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FDFFB" w14:textId="77777777" w:rsidR="00196A43" w:rsidRDefault="00EC6335">
      <w:pPr>
        <w:spacing w:after="0" w:line="240" w:lineRule="auto"/>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OPTIMIZING DEEP REINFORCEMENT LEARNIN</w:t>
      </w:r>
      <w:bookmarkStart w:id="0" w:name="_GoBack"/>
      <w:bookmarkEnd w:id="0"/>
      <w:r>
        <w:rPr>
          <w:rFonts w:ascii="Times New Roman" w:hAnsi="Times New Roman" w:cs="Times New Roman"/>
          <w:b/>
          <w:color w:val="000000" w:themeColor="text1"/>
          <w:sz w:val="24"/>
          <w:szCs w:val="24"/>
          <w:shd w:val="clear" w:color="auto" w:fill="FFFFFF"/>
        </w:rPr>
        <w:t>G AND COMPUTER VISION FOR DRONE NAVIGATION</w:t>
      </w:r>
    </w:p>
    <w:p w14:paraId="5B6F5D66" w14:textId="77777777" w:rsidR="00EB013A" w:rsidRPr="00112662" w:rsidRDefault="00EB013A" w:rsidP="00EB013A">
      <w:pPr>
        <w:spacing w:after="0" w:line="240" w:lineRule="auto"/>
        <w:jc w:val="center"/>
        <w:rPr>
          <w:rFonts w:ascii="Times New Roman" w:hAnsi="Times New Roman" w:cs="Times New Roman"/>
          <w:b/>
          <w:color w:val="000000" w:themeColor="text1"/>
          <w:sz w:val="24"/>
          <w:szCs w:val="24"/>
          <w:shd w:val="clear" w:color="auto" w:fill="FFFFFF"/>
        </w:rPr>
      </w:pPr>
      <w:proofErr w:type="spellStart"/>
      <w:r w:rsidRPr="00112662">
        <w:rPr>
          <w:rFonts w:ascii="Times New Roman" w:hAnsi="Times New Roman" w:cs="Times New Roman"/>
          <w:b/>
          <w:color w:val="000000" w:themeColor="text1"/>
          <w:sz w:val="24"/>
          <w:szCs w:val="24"/>
          <w:shd w:val="clear" w:color="auto" w:fill="FFFFFF"/>
        </w:rPr>
        <w:t>Oleka</w:t>
      </w:r>
      <w:proofErr w:type="spellEnd"/>
      <w:r w:rsidRPr="00112662">
        <w:rPr>
          <w:rFonts w:ascii="Times New Roman" w:hAnsi="Times New Roman" w:cs="Times New Roman"/>
          <w:b/>
          <w:color w:val="000000" w:themeColor="text1"/>
          <w:sz w:val="24"/>
          <w:szCs w:val="24"/>
          <w:shd w:val="clear" w:color="auto" w:fill="FFFFFF"/>
        </w:rPr>
        <w:t xml:space="preserve"> </w:t>
      </w:r>
      <w:proofErr w:type="spellStart"/>
      <w:r w:rsidRPr="00112662">
        <w:rPr>
          <w:rFonts w:ascii="Times New Roman" w:hAnsi="Times New Roman" w:cs="Times New Roman"/>
          <w:b/>
          <w:color w:val="000000" w:themeColor="text1"/>
          <w:sz w:val="24"/>
          <w:szCs w:val="24"/>
          <w:shd w:val="clear" w:color="auto" w:fill="FFFFFF"/>
        </w:rPr>
        <w:t>Chioma</w:t>
      </w:r>
      <w:proofErr w:type="spellEnd"/>
      <w:r w:rsidRPr="00112662">
        <w:rPr>
          <w:rFonts w:ascii="Times New Roman" w:hAnsi="Times New Roman" w:cs="Times New Roman"/>
          <w:b/>
          <w:color w:val="000000" w:themeColor="text1"/>
          <w:sz w:val="24"/>
          <w:szCs w:val="24"/>
          <w:shd w:val="clear" w:color="auto" w:fill="FFFFFF"/>
        </w:rPr>
        <w:t xml:space="preserve"> Violet, </w:t>
      </w:r>
      <w:proofErr w:type="spellStart"/>
      <w:r w:rsidRPr="00112662">
        <w:rPr>
          <w:rFonts w:ascii="Times New Roman" w:hAnsi="Times New Roman" w:cs="Times New Roman"/>
          <w:b/>
          <w:color w:val="000000" w:themeColor="text1"/>
          <w:sz w:val="24"/>
          <w:szCs w:val="24"/>
          <w:shd w:val="clear" w:color="auto" w:fill="FFFFFF"/>
        </w:rPr>
        <w:t>Nnadi</w:t>
      </w:r>
      <w:proofErr w:type="spellEnd"/>
      <w:r w:rsidRPr="00112662">
        <w:rPr>
          <w:rFonts w:ascii="Times New Roman" w:hAnsi="Times New Roman" w:cs="Times New Roman"/>
          <w:b/>
          <w:color w:val="000000" w:themeColor="text1"/>
          <w:sz w:val="24"/>
          <w:szCs w:val="24"/>
          <w:shd w:val="clear" w:color="auto" w:fill="FFFFFF"/>
        </w:rPr>
        <w:t xml:space="preserve"> Kingsley </w:t>
      </w:r>
      <w:proofErr w:type="spellStart"/>
      <w:r w:rsidRPr="00112662">
        <w:rPr>
          <w:rFonts w:ascii="Times New Roman" w:hAnsi="Times New Roman" w:cs="Times New Roman"/>
          <w:b/>
          <w:color w:val="000000" w:themeColor="text1"/>
          <w:sz w:val="24"/>
          <w:szCs w:val="24"/>
          <w:shd w:val="clear" w:color="auto" w:fill="FFFFFF"/>
        </w:rPr>
        <w:t>Ifeanyi</w:t>
      </w:r>
      <w:proofErr w:type="spellEnd"/>
    </w:p>
    <w:p w14:paraId="5A5EF988" w14:textId="77777777" w:rsidR="00EB013A" w:rsidRPr="007D55F8" w:rsidRDefault="00EB013A" w:rsidP="00EB013A">
      <w:pPr>
        <w:spacing w:line="240" w:lineRule="auto"/>
        <w:jc w:val="center"/>
        <w:rPr>
          <w:rFonts w:ascii="Times New Roman" w:hAnsi="Times New Roman" w:cs="Times New Roman"/>
          <w:b/>
          <w:i/>
          <w:color w:val="000000" w:themeColor="text1"/>
          <w:sz w:val="24"/>
          <w:szCs w:val="24"/>
          <w:shd w:val="clear" w:color="auto" w:fill="FFFFFF"/>
        </w:rPr>
      </w:pPr>
      <w:r w:rsidRPr="007D55F8">
        <w:rPr>
          <w:rFonts w:ascii="Times New Roman" w:hAnsi="Times New Roman" w:cs="Times New Roman"/>
          <w:b/>
          <w:i/>
          <w:color w:val="000000" w:themeColor="text1"/>
          <w:sz w:val="24"/>
          <w:szCs w:val="24"/>
          <w:shd w:val="clear" w:color="auto" w:fill="FFFFFF"/>
        </w:rPr>
        <w:t>Department of Computer Engineering, Faculty of Engineering, Enugu States University of Science and Technology (ESUT)</w:t>
      </w:r>
    </w:p>
    <w:p w14:paraId="7DFCF12C" w14:textId="77777777" w:rsidR="00196A43" w:rsidRDefault="00196A43">
      <w:pPr>
        <w:rPr>
          <w:b/>
        </w:rPr>
        <w:sectPr w:rsidR="00196A43">
          <w:pgSz w:w="12240" w:h="15840"/>
          <w:pgMar w:top="1440" w:right="1440" w:bottom="1440" w:left="1440" w:header="720" w:footer="720" w:gutter="0"/>
          <w:cols w:space="720"/>
          <w:docGrid w:linePitch="360"/>
        </w:sectPr>
      </w:pPr>
    </w:p>
    <w:p w14:paraId="6BBD1839" w14:textId="77777777" w:rsidR="00196A43" w:rsidRDefault="00EC6335">
      <w:r>
        <w:rPr>
          <w:b/>
        </w:rPr>
        <w:lastRenderedPageBreak/>
        <w:t>ABSTRACT</w:t>
      </w:r>
      <w:r>
        <w:t>:</w:t>
      </w:r>
    </w:p>
    <w:p w14:paraId="50572AA2" w14:textId="77777777" w:rsidR="00196A43" w:rsidRDefault="00EC6335">
      <w:pPr>
        <w:pStyle w:val="NormalWeb"/>
        <w:spacing w:before="0" w:beforeAutospacing="0" w:after="0" w:afterAutospacing="0"/>
        <w:jc w:val="both"/>
        <w:rPr>
          <w:color w:val="000000" w:themeColor="text1"/>
          <w:sz w:val="20"/>
          <w:szCs w:val="20"/>
        </w:rPr>
      </w:pPr>
      <w:r>
        <w:rPr>
          <w:color w:val="000000" w:themeColor="text1"/>
          <w:sz w:val="20"/>
          <w:szCs w:val="20"/>
        </w:rPr>
        <w:t>The fast development of autonomous aerial systems has given the focus on the necessity of intelligent navigation methods that would be able to operate in complex, dynamic, and unstructured environments. This paper is dedicated to the optimization of Deep R</w:t>
      </w:r>
      <w:r>
        <w:rPr>
          <w:color w:val="000000" w:themeColor="text1"/>
          <w:sz w:val="20"/>
          <w:szCs w:val="20"/>
        </w:rPr>
        <w:t>einforcement Learning (DRL) with the usage of Computer Vision (CV) in autonomous drone navigation with the focus on the simulation-based testing of the model performance before its practical application</w:t>
      </w:r>
      <w:proofErr w:type="gramStart"/>
      <w:r>
        <w:rPr>
          <w:color w:val="000000" w:themeColor="text1"/>
          <w:sz w:val="20"/>
          <w:szCs w:val="20"/>
        </w:rPr>
        <w:t>..</w:t>
      </w:r>
      <w:proofErr w:type="gramEnd"/>
      <w:r>
        <w:rPr>
          <w:color w:val="000000" w:themeColor="text1"/>
          <w:sz w:val="20"/>
          <w:szCs w:val="20"/>
        </w:rPr>
        <w:t xml:space="preserve"> The study has followed a simulation-based approach </w:t>
      </w:r>
      <w:r>
        <w:rPr>
          <w:color w:val="000000" w:themeColor="text1"/>
          <w:sz w:val="20"/>
          <w:szCs w:val="20"/>
        </w:rPr>
        <w:t>with a combination of Proximal Policy Optimization (PPO) of reinforcement learning and computer vision models of convolutional neural networks (ResNet50 and YOLOv5). The simulation environment is a recreation of diverse scenarios such as indoor, urban, for</w:t>
      </w:r>
      <w:r>
        <w:rPr>
          <w:color w:val="000000" w:themeColor="text1"/>
          <w:sz w:val="20"/>
          <w:szCs w:val="20"/>
        </w:rPr>
        <w:t>ested and open field scenarios. It has 500 flight episodes, in which the performance of the UAV is measured with the key metrics including rate of reaching target, number of collisions, total rewards, navigation accuracy, convergence rate of DRL algorithms</w:t>
      </w:r>
      <w:r>
        <w:rPr>
          <w:color w:val="000000" w:themeColor="text1"/>
          <w:sz w:val="20"/>
          <w:szCs w:val="20"/>
        </w:rPr>
        <w:t>, and power consumption. The most important results show that the integrated DRA-CV model reached a target-reaching success rate of 96 percent and also had an average number of collisions in the form of 1.33 per episode. PPO algorithm performed better than</w:t>
      </w:r>
      <w:r>
        <w:rPr>
          <w:color w:val="000000" w:themeColor="text1"/>
          <w:sz w:val="20"/>
          <w:szCs w:val="20"/>
        </w:rPr>
        <w:t xml:space="preserve"> DQN, A3C and SAC in terms of convergence, and optimal policies were obtained on an average of 177.5 episodes. CNN-based visual perception was able to identify obstacles with 94 percent accuracy of the obstacle with a low rate of false positive (3 percent)</w:t>
      </w:r>
      <w:r>
        <w:rPr>
          <w:color w:val="000000" w:themeColor="text1"/>
          <w:sz w:val="20"/>
          <w:szCs w:val="20"/>
        </w:rPr>
        <w:t xml:space="preserve"> and false negative (2 percent) to navigate a dynamic environment safely. The average cumulative reward was 1847 units and the energy consumption was </w:t>
      </w:r>
      <w:proofErr w:type="spellStart"/>
      <w:r>
        <w:rPr>
          <w:color w:val="000000" w:themeColor="text1"/>
          <w:sz w:val="20"/>
          <w:szCs w:val="20"/>
        </w:rPr>
        <w:t>optimised</w:t>
      </w:r>
      <w:proofErr w:type="spellEnd"/>
      <w:r>
        <w:rPr>
          <w:color w:val="000000" w:themeColor="text1"/>
          <w:sz w:val="20"/>
          <w:szCs w:val="20"/>
        </w:rPr>
        <w:t xml:space="preserve"> to 1184.7 Joules which proved to be an efficient use of resources</w:t>
      </w:r>
      <w:proofErr w:type="gramStart"/>
      <w:r>
        <w:rPr>
          <w:color w:val="000000" w:themeColor="text1"/>
          <w:sz w:val="20"/>
          <w:szCs w:val="20"/>
        </w:rPr>
        <w:t>..</w:t>
      </w:r>
      <w:proofErr w:type="gramEnd"/>
    </w:p>
    <w:p w14:paraId="3B0B604B" w14:textId="77777777" w:rsidR="00196A43" w:rsidRDefault="00EC6335">
      <w:pPr>
        <w:pStyle w:val="NormalWeb"/>
        <w:spacing w:before="0" w:beforeAutospacing="0" w:after="0" w:afterAutospacing="0"/>
        <w:jc w:val="both"/>
        <w:rPr>
          <w:color w:val="000000" w:themeColor="text1"/>
          <w:sz w:val="22"/>
          <w:szCs w:val="22"/>
        </w:rPr>
      </w:pPr>
      <w:r>
        <w:rPr>
          <w:rStyle w:val="Strong"/>
          <w:rFonts w:eastAsiaTheme="majorEastAsia"/>
          <w:color w:val="000000" w:themeColor="text1"/>
          <w:sz w:val="22"/>
          <w:szCs w:val="22"/>
        </w:rPr>
        <w:t>Keywords:</w:t>
      </w:r>
      <w:r>
        <w:rPr>
          <w:color w:val="000000" w:themeColor="text1"/>
          <w:sz w:val="22"/>
          <w:szCs w:val="22"/>
        </w:rPr>
        <w:t xml:space="preserve"> Deep Reinforcement</w:t>
      </w:r>
      <w:r>
        <w:rPr>
          <w:color w:val="000000" w:themeColor="text1"/>
          <w:sz w:val="22"/>
          <w:szCs w:val="22"/>
        </w:rPr>
        <w:t xml:space="preserve"> Learning, Computer Vision, UAV Navigation, Autonomous Drones, Simulation, Obstacle Avoidance, Path Planning</w:t>
      </w:r>
    </w:p>
    <w:p w14:paraId="3E79F61D" w14:textId="77777777" w:rsidR="00196A43" w:rsidRDefault="00196A43">
      <w:pPr>
        <w:pStyle w:val="NormalWeb"/>
        <w:spacing w:before="0" w:beforeAutospacing="0" w:after="0" w:afterAutospacing="0"/>
        <w:jc w:val="both"/>
        <w:rPr>
          <w:color w:val="000000" w:themeColor="text1"/>
          <w:sz w:val="22"/>
          <w:szCs w:val="22"/>
        </w:rPr>
      </w:pPr>
    </w:p>
    <w:p w14:paraId="67E37A58" w14:textId="77777777" w:rsidR="00196A43" w:rsidRDefault="00EC6335">
      <w:pPr>
        <w:pStyle w:val="ListParagraph"/>
        <w:numPr>
          <w:ilvl w:val="0"/>
          <w:numId w:val="1"/>
        </w:numPr>
        <w:spacing w:after="0" w:line="240" w:lineRule="auto"/>
        <w:ind w:left="450" w:hanging="450"/>
        <w:rPr>
          <w:b/>
        </w:rPr>
      </w:pPr>
      <w:r>
        <w:rPr>
          <w:b/>
        </w:rPr>
        <w:t>INTRODUCTION:</w:t>
      </w:r>
    </w:p>
    <w:p w14:paraId="1CD96A92" w14:textId="77777777" w:rsidR="00196A43" w:rsidRDefault="00EC6335">
      <w:pPr>
        <w:pStyle w:val="NormalWeb"/>
        <w:spacing w:before="0" w:beforeAutospacing="0" w:after="0" w:afterAutospacing="0"/>
        <w:jc w:val="both"/>
        <w:rPr>
          <w:color w:val="000000" w:themeColor="text1"/>
          <w:sz w:val="22"/>
          <w:szCs w:val="22"/>
        </w:rPr>
      </w:pPr>
      <w:r>
        <w:rPr>
          <w:color w:val="000000" w:themeColor="text1"/>
          <w:sz w:val="22"/>
          <w:szCs w:val="22"/>
        </w:rPr>
        <w:t>The Unmanned Aerial Vehicles (UAVs) also known as drones have been essential in the contemporary use in areas of surveillance, searc</w:t>
      </w:r>
      <w:r>
        <w:rPr>
          <w:color w:val="000000" w:themeColor="text1"/>
          <w:sz w:val="22"/>
          <w:szCs w:val="22"/>
        </w:rPr>
        <w:t xml:space="preserve">h and rescue, agriculture, logistics, and </w:t>
      </w:r>
      <w:r>
        <w:rPr>
          <w:color w:val="000000" w:themeColor="text1"/>
          <w:sz w:val="22"/>
          <w:szCs w:val="22"/>
        </w:rPr>
        <w:lastRenderedPageBreak/>
        <w:t xml:space="preserve">military missions. The growing complexity of the environments where drones will be used requires powerful and adaptive autonomous navigation solutions (Zhang, Sun, Liu, and Zhang, 2020).  Recent innovations in the </w:t>
      </w:r>
      <w:r>
        <w:rPr>
          <w:color w:val="000000" w:themeColor="text1"/>
          <w:sz w:val="22"/>
          <w:szCs w:val="22"/>
        </w:rPr>
        <w:t>field of deep reinforcement learning (DRL) have allowed UAVs to develop the most appropriate navigation policies based on trial-and-error behavioral patterns in interaction with the environment. Compared to the conventional rule-based or model-based contro</w:t>
      </w:r>
      <w:r>
        <w:rPr>
          <w:color w:val="000000" w:themeColor="text1"/>
          <w:sz w:val="22"/>
          <w:szCs w:val="22"/>
        </w:rPr>
        <w:t>l systems, DRL enables drones to make their choices more effectively in real time, which makes it very appropriate in dynamic and unpredictable settings (Xu, Wang, and Huang, 2021).  Computer vision (CV) is also important in drone navigation in addition to</w:t>
      </w:r>
      <w:r>
        <w:rPr>
          <w:color w:val="000000" w:themeColor="text1"/>
          <w:sz w:val="22"/>
          <w:szCs w:val="22"/>
        </w:rPr>
        <w:t xml:space="preserve"> DRA. CV offers the perception layer to interpret the environment around it by visual data, such as identification of obstacles, recognition of objects, and interpretation of a scene (Yang, Zhang, Liu, and Zhou, 2021). The combination of DRA and CV allows </w:t>
      </w:r>
      <w:r>
        <w:rPr>
          <w:color w:val="000000" w:themeColor="text1"/>
          <w:sz w:val="22"/>
          <w:szCs w:val="22"/>
        </w:rPr>
        <w:t>drones to not only see but also react to the complicated situations intelligently in an autonomous manner.  Both AI2-THOR and other frameworks have shown the promise of embodied AI, and are simulation environments in which DRL agents can be trained to navi</w:t>
      </w:r>
      <w:r>
        <w:rPr>
          <w:color w:val="000000" w:themeColor="text1"/>
          <w:sz w:val="22"/>
          <w:szCs w:val="22"/>
        </w:rPr>
        <w:t xml:space="preserve">gate the realistic visual scene (Zhu </w:t>
      </w:r>
      <w:r>
        <w:rPr>
          <w:i/>
          <w:color w:val="000000" w:themeColor="text1"/>
          <w:sz w:val="22"/>
          <w:szCs w:val="22"/>
        </w:rPr>
        <w:t>et al</w:t>
      </w:r>
      <w:r>
        <w:rPr>
          <w:color w:val="000000" w:themeColor="text1"/>
          <w:sz w:val="22"/>
          <w:szCs w:val="22"/>
        </w:rPr>
        <w:t xml:space="preserve">., 2020). These platforms enable research to be conducted safely where experimentation in a virtual setting is carried out before implementation in a real environment. </w:t>
      </w:r>
    </w:p>
    <w:p w14:paraId="5BDA2C64" w14:textId="77777777" w:rsidR="00196A43" w:rsidRDefault="00EC6335">
      <w:pPr>
        <w:pStyle w:val="NormalWeb"/>
        <w:numPr>
          <w:ilvl w:val="0"/>
          <w:numId w:val="1"/>
        </w:numPr>
        <w:spacing w:before="0" w:beforeAutospacing="0" w:after="0" w:afterAutospacing="0"/>
        <w:ind w:left="0" w:hanging="630"/>
        <w:jc w:val="both"/>
        <w:rPr>
          <w:b/>
          <w:color w:val="000000" w:themeColor="text1"/>
          <w:sz w:val="22"/>
          <w:szCs w:val="22"/>
        </w:rPr>
      </w:pPr>
      <w:r>
        <w:rPr>
          <w:b/>
          <w:color w:val="000000" w:themeColor="text1"/>
          <w:sz w:val="22"/>
          <w:szCs w:val="22"/>
        </w:rPr>
        <w:t>REVIEW OF RELATED LITERATURE:</w:t>
      </w:r>
    </w:p>
    <w:p w14:paraId="5BE5F1DC" w14:textId="77777777" w:rsidR="00196A43" w:rsidRDefault="00EC6335">
      <w:pPr>
        <w:pStyle w:val="NormalWeb"/>
        <w:spacing w:before="0" w:beforeAutospacing="0" w:after="0" w:afterAutospacing="0"/>
        <w:jc w:val="both"/>
        <w:rPr>
          <w:color w:val="000000" w:themeColor="text1"/>
          <w:sz w:val="22"/>
          <w:szCs w:val="22"/>
        </w:rPr>
      </w:pPr>
      <w:r>
        <w:rPr>
          <w:color w:val="000000" w:themeColor="text1"/>
          <w:sz w:val="22"/>
          <w:szCs w:val="22"/>
        </w:rPr>
        <w:t>Deep reinforcem</w:t>
      </w:r>
      <w:r>
        <w:rPr>
          <w:color w:val="000000" w:themeColor="text1"/>
          <w:sz w:val="22"/>
          <w:szCs w:val="22"/>
        </w:rPr>
        <w:t>ent learning is a method to enhance the capabilities of a computer to behave as a human being and react to environmental stimuli in order to produce a smart system.  Deep reinforcement learning (DRL) has emerged as one of the prevailing methods of autonomo</w:t>
      </w:r>
      <w:r>
        <w:rPr>
          <w:color w:val="000000" w:themeColor="text1"/>
          <w:sz w:val="22"/>
          <w:szCs w:val="22"/>
        </w:rPr>
        <w:t xml:space="preserve">us UAV navigation because it can learn the best policies via interaction with the complex environment. DRL is a hybrid of trial and error of reinforcing learning with feature extraction of deep learning (Yang, Gao, and </w:t>
      </w:r>
      <w:r>
        <w:rPr>
          <w:color w:val="000000" w:themeColor="text1"/>
          <w:sz w:val="22"/>
          <w:szCs w:val="22"/>
        </w:rPr>
        <w:lastRenderedPageBreak/>
        <w:t>Wang, 2022).  DRL models allow drones</w:t>
      </w:r>
      <w:r>
        <w:rPr>
          <w:color w:val="000000" w:themeColor="text1"/>
          <w:sz w:val="22"/>
          <w:szCs w:val="22"/>
        </w:rPr>
        <w:t xml:space="preserve"> to be flexible to dynamic scenarios e.g. moving obstacles or unexpected changes in the environment, which cannot be managed with traditional control algorithms (Luo, Li, and Xu, 2021).  The curriculum learning approaches in DRL have provided the gradual t</w:t>
      </w:r>
      <w:r>
        <w:rPr>
          <w:color w:val="000000" w:themeColor="text1"/>
          <w:sz w:val="22"/>
          <w:szCs w:val="22"/>
        </w:rPr>
        <w:t>raining of UAVs in more and more complicated conditions, enhancing the efficiency and resilience of learning (Yang, Gao, and Wang, 2022).  Adaptive path planning using DRL enables the UAVs to navigate through unknown conditions, continuously changing its p</w:t>
      </w:r>
      <w:r>
        <w:rPr>
          <w:color w:val="000000" w:themeColor="text1"/>
          <w:sz w:val="22"/>
          <w:szCs w:val="22"/>
        </w:rPr>
        <w:t>olicies according to the observed states and obtained rewards (Luo, Li, and Xu, 2021).  End-to-end DRA methods combine perception, planning and control into one system enabling drones to directly convert the raw sensory input into navigation actions withou</w:t>
      </w:r>
      <w:r>
        <w:rPr>
          <w:color w:val="000000" w:themeColor="text1"/>
          <w:sz w:val="22"/>
          <w:szCs w:val="22"/>
        </w:rPr>
        <w:t>t manually engineering features (Chen, Sun, and Zhao, 2020).  Drone safe reinforcement learning methods are such that reinforcement can be conducted safely so that drones can avoid crashing and stay within the set safety limits, even in the unknown environ</w:t>
      </w:r>
      <w:r>
        <w:rPr>
          <w:color w:val="000000" w:themeColor="text1"/>
          <w:sz w:val="22"/>
          <w:szCs w:val="22"/>
        </w:rPr>
        <w:t>ment (Mehta and Hwang, 2021).  DRL frameworks have already been enhanced by depth images and other sophisticated sensing modalities to enhance perception and make better decisions in 3D space to steer navigation (Qu, Zhang, and Liu, 2022).  Hierarchical DR</w:t>
      </w:r>
      <w:r>
        <w:rPr>
          <w:color w:val="000000" w:themeColor="text1"/>
          <w:sz w:val="22"/>
          <w:szCs w:val="22"/>
        </w:rPr>
        <w:t>A strategies take complex navigation problems and sub-divide them to enhance learning speed and enable UAVs to handle multiple tasks at once (Wang, Chen, and Zhao, 2021).  DRL is also demonstrated to be generalizable to other environmental settings, with t</w:t>
      </w:r>
      <w:r>
        <w:rPr>
          <w:color w:val="000000" w:themeColor="text1"/>
          <w:sz w:val="22"/>
          <w:szCs w:val="22"/>
        </w:rPr>
        <w:t>he trained drones operating in the virtual environment being able to move the acquired policies into the real-world environment with limited adaptation (Mao, Chen, and Li, 2021).  All in all, DRL forms the computational basis of autonomous UAVs, allowing t</w:t>
      </w:r>
      <w:r>
        <w:rPr>
          <w:color w:val="000000" w:themeColor="text1"/>
          <w:sz w:val="22"/>
          <w:szCs w:val="22"/>
        </w:rPr>
        <w:t>hem to experience learning and develop their navigation schemes through the process of constant improvement in a complex and dynamic environment (Zhao and Li, 2020). Empirical researches give details of DRL and computer vision algorithm efficiency in auton</w:t>
      </w:r>
      <w:r>
        <w:rPr>
          <w:color w:val="000000" w:themeColor="text1"/>
          <w:sz w:val="22"/>
          <w:szCs w:val="22"/>
        </w:rPr>
        <w:t xml:space="preserve">omous UAV navigation. Such studies involve simulation-based testing, algorithm performance testing, and CV testing with the statistical analysis of the results in detail.   Small </w:t>
      </w:r>
      <w:r>
        <w:rPr>
          <w:color w:val="000000" w:themeColor="text1"/>
          <w:sz w:val="22"/>
          <w:szCs w:val="22"/>
        </w:rPr>
        <w:lastRenderedPageBreak/>
        <w:t>drones that can navigate autonomously and are controlled via remote control a</w:t>
      </w:r>
      <w:r>
        <w:rPr>
          <w:color w:val="000000" w:themeColor="text1"/>
          <w:sz w:val="22"/>
          <w:szCs w:val="22"/>
        </w:rPr>
        <w:t>re referred to as simulation-based drone navigation.  Yang, Gao, and Wang, 2022 investigated curriculum-based DRL in the obstacle avoidance of UAVs in simulated settings. It simulated 100 flights on a Unity 3D platform and the obstacles avoidance success r</w:t>
      </w:r>
      <w:r>
        <w:rPr>
          <w:color w:val="000000" w:themeColor="text1"/>
          <w:sz w:val="22"/>
          <w:szCs w:val="22"/>
        </w:rPr>
        <w:t xml:space="preserve">ate was 92 percent. The statistical analysis showed a p &lt; 0.05 and </w:t>
      </w:r>
      <w:proofErr w:type="gramStart"/>
      <w:r>
        <w:rPr>
          <w:color w:val="000000" w:themeColor="text1"/>
          <w:sz w:val="22"/>
          <w:szCs w:val="22"/>
        </w:rPr>
        <w:t>F(</w:t>
      </w:r>
      <w:proofErr w:type="gramEnd"/>
      <w:r>
        <w:rPr>
          <w:color w:val="000000" w:themeColor="text1"/>
          <w:sz w:val="22"/>
          <w:szCs w:val="22"/>
        </w:rPr>
        <w:t xml:space="preserve">1, 98) = 7.65 which showed significant improvement in performance. Luo, Li, and Xu, 2021 compared adaptive path planning of UAVs using DRL in unknown conditions. UAVs passed 50 scenarios </w:t>
      </w:r>
      <w:r>
        <w:rPr>
          <w:color w:val="000000" w:themeColor="text1"/>
          <w:sz w:val="22"/>
          <w:szCs w:val="22"/>
        </w:rPr>
        <w:t>with 88 percent accuracy. A t-test was used to verify t = 3.42, p = 0.002, which indicated that there were significant gains in comparison with baseline path planning methods.  Chen, Sun, and Zhao, 2020 examined the vision-based DRL navigation in GPS-denie</w:t>
      </w:r>
      <w:r>
        <w:rPr>
          <w:color w:val="000000" w:themeColor="text1"/>
          <w:sz w:val="22"/>
          <w:szCs w:val="22"/>
        </w:rPr>
        <w:t>d space. In 60 trials, UAVs were able to deliver precisely their targets in 85 percent of the cases. The F = 6.12, p = 0.01 results of ANOVA methodology have shown that it is strong in uncertain environmental conditions.  Mehta and Hwang, 2021 were interes</w:t>
      </w:r>
      <w:r>
        <w:rPr>
          <w:color w:val="000000" w:themeColor="text1"/>
          <w:sz w:val="22"/>
          <w:szCs w:val="22"/>
        </w:rPr>
        <w:t>ted in safe reinforcement learning in cluttered space. In 80 trials, UAVs used to avoid collisions and this was 90 percent. Statistical analysis revealed that p = 0.01 and t = 4.05, which revealed a significant decrease in collision cases as compared to th</w:t>
      </w:r>
      <w:r>
        <w:rPr>
          <w:color w:val="000000" w:themeColor="text1"/>
          <w:sz w:val="22"/>
          <w:szCs w:val="22"/>
        </w:rPr>
        <w:t>e conventional DRL methods.  In simulation, Qu, Zhang, and Liu, 2022 tried to use DRL navigation with depth image data as input. The 70 flights with UAVs achieved target in 87% of the flights with a mean improvement of 15 in the reward. It was found that F</w:t>
      </w:r>
      <w:r>
        <w:rPr>
          <w:color w:val="000000" w:themeColor="text1"/>
          <w:sz w:val="22"/>
          <w:szCs w:val="22"/>
        </w:rPr>
        <w:t xml:space="preserve"> = 5.84, p = 0.02, which confirms that depth-based perception is effective. </w:t>
      </w:r>
    </w:p>
    <w:p w14:paraId="1F7C7697" w14:textId="77777777" w:rsidR="00196A43" w:rsidRDefault="00EC6335">
      <w:pPr>
        <w:pStyle w:val="NormalWeb"/>
        <w:jc w:val="both"/>
        <w:rPr>
          <w:color w:val="000000" w:themeColor="text1"/>
          <w:sz w:val="22"/>
          <w:szCs w:val="22"/>
        </w:rPr>
      </w:pPr>
      <w:r>
        <w:rPr>
          <w:color w:val="000000" w:themeColor="text1"/>
          <w:sz w:val="22"/>
          <w:szCs w:val="22"/>
        </w:rPr>
        <w:t xml:space="preserve">Sharma and Kumar, 2021 incorporated CV and DRL in a simulated city setting. The obstacle avoidance of UAVs was 91% in 60 trials. The statistical tests showed t = 3.89, p = 0.003, </w:t>
      </w:r>
      <w:r>
        <w:rPr>
          <w:color w:val="000000" w:themeColor="text1"/>
          <w:sz w:val="22"/>
          <w:szCs w:val="22"/>
        </w:rPr>
        <w:t>and 0.24 which is a strong model effect.  Han, Liu and Zhou, 2022 tested visual navigation in dynamic urban simulated environments using DRL. Success rate was 89% over 100 runs. The result of ANOVA presented the F = 6.78, p = 0.012, indicating the adaptabi</w:t>
      </w:r>
      <w:r>
        <w:rPr>
          <w:color w:val="000000" w:themeColor="text1"/>
          <w:sz w:val="22"/>
          <w:szCs w:val="22"/>
        </w:rPr>
        <w:t xml:space="preserve">lity to the moving obstacles. A comparison of standard DRL and curriculum-based DRL in obstacle avoidance was done by Yang, Gao, and Wang, 2022. The </w:t>
      </w:r>
      <w:r>
        <w:rPr>
          <w:color w:val="000000" w:themeColor="text1"/>
          <w:sz w:val="22"/>
          <w:szCs w:val="22"/>
        </w:rPr>
        <w:lastRenderedPageBreak/>
        <w:t xml:space="preserve">learning of curriculum improved the rate of success by 79 to 92 percent. Paired t-tests showed t = 4.12, p </w:t>
      </w:r>
      <w:r>
        <w:rPr>
          <w:color w:val="000000" w:themeColor="text1"/>
          <w:sz w:val="22"/>
          <w:szCs w:val="22"/>
        </w:rPr>
        <w:t xml:space="preserve">= 0.001.  Luo, Li, and Xu, 2021 compared policy gradient, DQN and A3C in UAV navigation. A3C scored 90% which is much higher compared to DQN (78%), and policy gradient (81%), </w:t>
      </w:r>
      <w:proofErr w:type="gramStart"/>
      <w:r>
        <w:rPr>
          <w:color w:val="000000" w:themeColor="text1"/>
          <w:sz w:val="22"/>
          <w:szCs w:val="22"/>
        </w:rPr>
        <w:t>F(</w:t>
      </w:r>
      <w:proofErr w:type="gramEnd"/>
      <w:r>
        <w:rPr>
          <w:color w:val="000000" w:themeColor="text1"/>
          <w:sz w:val="22"/>
          <w:szCs w:val="22"/>
        </w:rPr>
        <w:t>2, 57) = 8.34, p = 0.002.  Chen, Sun and Zhao, 2020 examined the convergence ra</w:t>
      </w:r>
      <w:r>
        <w:rPr>
          <w:color w:val="000000" w:themeColor="text1"/>
          <w:sz w:val="22"/>
          <w:szCs w:val="22"/>
        </w:rPr>
        <w:t xml:space="preserve">te in GPS-denied navigation using DRL. Mean convergence was found to reduce by 20% t =3.45, p = 0.004.  Mehta and Hwang, 2021 evaluated safety-constrained DRL. The rate of collision reduced to 6% instead of the 15, p = 0.01, F = 5.92.  Qu, Zhang, and Lui, </w:t>
      </w:r>
      <w:r>
        <w:rPr>
          <w:color w:val="000000" w:themeColor="text1"/>
          <w:sz w:val="22"/>
          <w:szCs w:val="22"/>
        </w:rPr>
        <w:t xml:space="preserve">2022 compared the performance of DRL with RGB compared to depth images. The depth input enhanced the accuracy of navigation by 9% t =3.77, p =0.003.  Sharma and Kumar, 2021 evaluated end-to-end DRL using CV integration. The means reward went up to 0.91, p </w:t>
      </w:r>
      <w:r>
        <w:rPr>
          <w:color w:val="000000" w:themeColor="text1"/>
          <w:sz w:val="22"/>
          <w:szCs w:val="22"/>
        </w:rPr>
        <w:t xml:space="preserve">= 0.002. </w:t>
      </w:r>
    </w:p>
    <w:p w14:paraId="04DE4764" w14:textId="77777777" w:rsidR="00196A43" w:rsidRDefault="00EC6335">
      <w:pPr>
        <w:pStyle w:val="NormalWeb"/>
        <w:numPr>
          <w:ilvl w:val="0"/>
          <w:numId w:val="1"/>
        </w:numPr>
        <w:spacing w:before="0" w:beforeAutospacing="0" w:after="0" w:afterAutospacing="0"/>
        <w:ind w:left="720" w:hanging="630"/>
        <w:jc w:val="both"/>
        <w:rPr>
          <w:b/>
          <w:color w:val="000000" w:themeColor="text1"/>
          <w:sz w:val="22"/>
          <w:szCs w:val="22"/>
        </w:rPr>
      </w:pPr>
      <w:r>
        <w:rPr>
          <w:b/>
          <w:color w:val="000000" w:themeColor="text1"/>
          <w:sz w:val="22"/>
          <w:szCs w:val="22"/>
        </w:rPr>
        <w:t>MATERIALS AND METHODS:</w:t>
      </w:r>
    </w:p>
    <w:p w14:paraId="5E657435" w14:textId="77777777" w:rsidR="00196A43" w:rsidRDefault="00EC6335">
      <w:pPr>
        <w:pStyle w:val="NormalWeb"/>
        <w:spacing w:before="0" w:beforeAutospacing="0" w:after="0" w:afterAutospacing="0"/>
        <w:jc w:val="both"/>
        <w:rPr>
          <w:color w:val="000000" w:themeColor="text1"/>
          <w:sz w:val="22"/>
          <w:szCs w:val="22"/>
        </w:rPr>
      </w:pPr>
      <w:r>
        <w:rPr>
          <w:color w:val="000000" w:themeColor="text1"/>
          <w:sz w:val="22"/>
          <w:szCs w:val="22"/>
        </w:rPr>
        <w:t>The Hardware Materials allows the research to utilizes a high-performance computing system to support the training of deep reinforcement learning algorithms and computer vision models. The system includes an NVIDIA RTX 3090</w:t>
      </w:r>
      <w:r>
        <w:rPr>
          <w:color w:val="000000" w:themeColor="text1"/>
          <w:sz w:val="22"/>
          <w:szCs w:val="22"/>
        </w:rPr>
        <w:t xml:space="preserve"> GPU, Intel Core i9-11900K CPU, and 64GB RAM to ensure efficient processing of large datasets and complex neural network architectures. This hardware enables rapid simulation and real-time inference during UAV navigation tasks. Additionally, a quadrotor UA</w:t>
      </w:r>
      <w:r>
        <w:rPr>
          <w:color w:val="000000" w:themeColor="text1"/>
          <w:sz w:val="22"/>
          <w:szCs w:val="22"/>
        </w:rPr>
        <w:t>V platform equipped with onboard sensors, including RGB and depth cameras, IMU, and ultrasonic sensors, is used for testing and validation. The UAV provides real-world data for validating the simulation results and ensuring transferability of learned polic</w:t>
      </w:r>
      <w:r>
        <w:rPr>
          <w:color w:val="000000" w:themeColor="text1"/>
          <w:sz w:val="22"/>
          <w:szCs w:val="22"/>
        </w:rPr>
        <w:t>ies. Peripheral devices, such as a high-speed storage SSD, monitor, and power backup systems, are employed to maintain uninterrupted experiments. The hardware setup ensures computational stability and reliability during both simulation and real-world drone</w:t>
      </w:r>
      <w:r>
        <w:rPr>
          <w:color w:val="000000" w:themeColor="text1"/>
          <w:sz w:val="22"/>
          <w:szCs w:val="22"/>
        </w:rPr>
        <w:t xml:space="preserve"> navigation experiments.</w:t>
      </w:r>
    </w:p>
    <w:p w14:paraId="75280DE3" w14:textId="77777777" w:rsidR="00196A43" w:rsidRDefault="00EC6335">
      <w:pPr>
        <w:pStyle w:val="NormalWeb"/>
        <w:jc w:val="both"/>
        <w:rPr>
          <w:color w:val="000000" w:themeColor="text1"/>
          <w:sz w:val="22"/>
          <w:szCs w:val="22"/>
        </w:rPr>
      </w:pPr>
      <w:r>
        <w:rPr>
          <w:color w:val="000000" w:themeColor="text1"/>
          <w:sz w:val="22"/>
          <w:szCs w:val="22"/>
        </w:rPr>
        <w:t xml:space="preserve">The research uses Python as the primary programming language, supported by deep learning libraries including </w:t>
      </w:r>
      <w:proofErr w:type="spellStart"/>
      <w:r>
        <w:rPr>
          <w:color w:val="000000" w:themeColor="text1"/>
          <w:sz w:val="22"/>
          <w:szCs w:val="22"/>
        </w:rPr>
        <w:t>TensorFlow</w:t>
      </w:r>
      <w:proofErr w:type="spellEnd"/>
      <w:r>
        <w:rPr>
          <w:color w:val="000000" w:themeColor="text1"/>
          <w:sz w:val="22"/>
          <w:szCs w:val="22"/>
        </w:rPr>
        <w:t xml:space="preserve"> and </w:t>
      </w:r>
      <w:proofErr w:type="spellStart"/>
      <w:r>
        <w:rPr>
          <w:color w:val="000000" w:themeColor="text1"/>
          <w:sz w:val="22"/>
          <w:szCs w:val="22"/>
        </w:rPr>
        <w:t>PyTorch</w:t>
      </w:r>
      <w:proofErr w:type="spellEnd"/>
      <w:r>
        <w:rPr>
          <w:color w:val="000000" w:themeColor="text1"/>
          <w:sz w:val="22"/>
          <w:szCs w:val="22"/>
        </w:rPr>
        <w:t xml:space="preserve"> for implementing DRL and computer </w:t>
      </w:r>
      <w:r>
        <w:rPr>
          <w:color w:val="000000" w:themeColor="text1"/>
          <w:sz w:val="22"/>
          <w:szCs w:val="22"/>
        </w:rPr>
        <w:lastRenderedPageBreak/>
        <w:t>vision algorithms. These frameworks facilitate flexible model dev</w:t>
      </w:r>
      <w:r>
        <w:rPr>
          <w:color w:val="000000" w:themeColor="text1"/>
          <w:sz w:val="22"/>
          <w:szCs w:val="22"/>
        </w:rPr>
        <w:t xml:space="preserve">elopment, gradient computation, and GPU acceleration. Simulation environments are developed using Unity 3D and </w:t>
      </w:r>
      <w:proofErr w:type="spellStart"/>
      <w:r>
        <w:rPr>
          <w:color w:val="000000" w:themeColor="text1"/>
          <w:sz w:val="22"/>
          <w:szCs w:val="22"/>
        </w:rPr>
        <w:t>AirSim</w:t>
      </w:r>
      <w:proofErr w:type="spellEnd"/>
      <w:r>
        <w:rPr>
          <w:color w:val="000000" w:themeColor="text1"/>
          <w:sz w:val="22"/>
          <w:szCs w:val="22"/>
        </w:rPr>
        <w:t>, providing realistic UAV flight dynamics and visual perception data. ROS (Robot Operating System) is employed for real-time UAV control an</w:t>
      </w:r>
      <w:r>
        <w:rPr>
          <w:color w:val="000000" w:themeColor="text1"/>
          <w:sz w:val="22"/>
          <w:szCs w:val="22"/>
        </w:rPr>
        <w:t>d sensor integration. Additional software tools include OpenCV for image processing, MATLAB for statistical analysis, and Git for version control. These software materials enable seamless integration between algorithm development, simulation, and performan</w:t>
      </w:r>
      <w:r>
        <w:rPr>
          <w:color w:val="000000" w:themeColor="text1"/>
          <w:sz w:val="22"/>
          <w:szCs w:val="22"/>
        </w:rPr>
        <w:t>ce evaluation.</w:t>
      </w:r>
    </w:p>
    <w:p w14:paraId="1CA9A83D" w14:textId="77777777" w:rsidR="00196A43" w:rsidRDefault="00EC6335">
      <w:pPr>
        <w:pStyle w:val="NormalWeb"/>
        <w:jc w:val="both"/>
        <w:rPr>
          <w:color w:val="000000" w:themeColor="text1"/>
          <w:sz w:val="22"/>
          <w:szCs w:val="22"/>
        </w:rPr>
      </w:pPr>
      <w:r>
        <w:rPr>
          <w:color w:val="000000" w:themeColor="text1"/>
          <w:sz w:val="22"/>
          <w:szCs w:val="22"/>
        </w:rPr>
        <w:t xml:space="preserve">Datasets for training the models are acquired from a combination of simulated environments and publicly available UAV navigation datasets, such as the </w:t>
      </w:r>
      <w:proofErr w:type="spellStart"/>
      <w:r>
        <w:rPr>
          <w:color w:val="000000" w:themeColor="text1"/>
          <w:sz w:val="22"/>
          <w:szCs w:val="22"/>
        </w:rPr>
        <w:t>AirSim</w:t>
      </w:r>
      <w:proofErr w:type="spellEnd"/>
      <w:r>
        <w:rPr>
          <w:color w:val="000000" w:themeColor="text1"/>
          <w:sz w:val="22"/>
          <w:szCs w:val="22"/>
        </w:rPr>
        <w:t xml:space="preserve"> UAV dataset and UAV123 benchmark. The datasets include RGB, depth, and optical flow</w:t>
      </w:r>
      <w:r>
        <w:rPr>
          <w:color w:val="000000" w:themeColor="text1"/>
          <w:sz w:val="22"/>
          <w:szCs w:val="22"/>
        </w:rPr>
        <w:t xml:space="preserve"> images with corresponding UAV position and velocity data. Data preprocessing involves normalization, resizing of images to 224x224 pixels, and augmentation techniques such as rotation, translation, and brightness adjustment to improve model generalization</w:t>
      </w:r>
      <w:r>
        <w:rPr>
          <w:color w:val="000000" w:themeColor="text1"/>
          <w:sz w:val="22"/>
          <w:szCs w:val="22"/>
        </w:rPr>
        <w:t>. Segmentation and labeling are performed for supervised learning tasks in CV-based perception modules. Finally, datasets are split into training, validation, and test sets in a 70:15:15 ratio. This ensures robust evaluation of model performance while prev</w:t>
      </w:r>
      <w:r>
        <w:rPr>
          <w:color w:val="000000" w:themeColor="text1"/>
          <w:sz w:val="22"/>
          <w:szCs w:val="22"/>
        </w:rPr>
        <w:t>enting over fitting and providing realistic assessment of generalization capabilities.</w:t>
      </w:r>
    </w:p>
    <w:p w14:paraId="33A7FFDB" w14:textId="77777777" w:rsidR="00196A43" w:rsidRDefault="00EC6335">
      <w:pPr>
        <w:pStyle w:val="Heading2"/>
        <w:spacing w:line="240" w:lineRule="auto"/>
        <w:jc w:val="both"/>
        <w:rPr>
          <w:rFonts w:ascii="Times New Roman" w:hAnsi="Times New Roman" w:cs="Times New Roman"/>
          <w:color w:val="000000" w:themeColor="text1"/>
          <w:sz w:val="22"/>
          <w:szCs w:val="22"/>
        </w:rPr>
      </w:pPr>
      <w:r>
        <w:rPr>
          <w:color w:val="000000" w:themeColor="text1"/>
          <w:sz w:val="22"/>
          <w:szCs w:val="22"/>
        </w:rPr>
        <w:lastRenderedPageBreak/>
        <w:t xml:space="preserve">The proposed model consists of two interconnected modules: a CV perception module and a DRL decision-making module. The CV module uses CNN layers to extract visual </w:t>
      </w:r>
      <w:r>
        <w:rPr>
          <w:color w:val="000000" w:themeColor="text1"/>
          <w:sz w:val="22"/>
          <w:szCs w:val="22"/>
        </w:rPr>
        <w:t>features, which are concatenated with UAV positional and velocity states. The DRL module comprises an actor-critic network structure. Training involves iteratively updating the DRL agent over 5000 episodes. Each episode lasts until the UAV reaches the targ</w:t>
      </w:r>
      <w:r>
        <w:rPr>
          <w:color w:val="000000" w:themeColor="text1"/>
          <w:sz w:val="22"/>
          <w:szCs w:val="22"/>
        </w:rPr>
        <w:t>et or collides with an obstacle. Mini-batch gradient updates and experience replay are employed to stabilize learning. Early stopping and check pointing monitor convergence.</w:t>
      </w:r>
    </w:p>
    <w:p w14:paraId="50A2298D" w14:textId="77777777" w:rsidR="002D3E1A" w:rsidRDefault="002D3E1A" w:rsidP="002D3E1A">
      <w:pPr>
        <w:pStyle w:val="NormalWeb"/>
        <w:ind w:left="90"/>
        <w:jc w:val="both"/>
        <w:rPr>
          <w:b/>
          <w:color w:val="000000" w:themeColor="text1"/>
          <w:sz w:val="22"/>
          <w:szCs w:val="22"/>
        </w:rPr>
      </w:pPr>
    </w:p>
    <w:p w14:paraId="4F0F4A47" w14:textId="77777777" w:rsidR="00196A43" w:rsidRDefault="00EC6335" w:rsidP="002D3E1A">
      <w:pPr>
        <w:pStyle w:val="NormalWeb"/>
        <w:ind w:left="90"/>
        <w:jc w:val="both"/>
        <w:rPr>
          <w:b/>
          <w:color w:val="000000" w:themeColor="text1"/>
          <w:sz w:val="22"/>
          <w:szCs w:val="22"/>
        </w:rPr>
      </w:pPr>
      <w:r>
        <w:rPr>
          <w:b/>
          <w:color w:val="000000" w:themeColor="text1"/>
          <w:sz w:val="22"/>
          <w:szCs w:val="22"/>
        </w:rPr>
        <w:t>RESULTS AND DISCUSSIONS:</w:t>
      </w:r>
    </w:p>
    <w:p w14:paraId="18A157D8" w14:textId="77777777" w:rsidR="00196A43" w:rsidRDefault="00EC6335">
      <w:pPr>
        <w:pStyle w:val="Heading2"/>
        <w:rPr>
          <w:rFonts w:ascii="Times New Roman" w:hAnsi="Times New Roman" w:cs="Times New Roman"/>
          <w:b/>
          <w:color w:val="000000" w:themeColor="text1"/>
          <w:sz w:val="22"/>
          <w:szCs w:val="22"/>
        </w:rPr>
      </w:pPr>
      <w:bookmarkStart w:id="1" w:name="_Toc216177159"/>
      <w:r>
        <w:rPr>
          <w:rFonts w:ascii="Times New Roman" w:hAnsi="Times New Roman" w:cs="Times New Roman"/>
          <w:b/>
          <w:color w:val="000000" w:themeColor="text1"/>
          <w:sz w:val="22"/>
          <w:szCs w:val="22"/>
        </w:rPr>
        <w:t>Table 1: Simulation Results</w:t>
      </w:r>
      <w:bookmarkEnd w:id="1"/>
    </w:p>
    <w:tbl>
      <w:tblPr>
        <w:tblStyle w:val="Table"/>
        <w:tblW w:w="0" w:type="auto"/>
        <w:tblInd w:w="0" w:type="dxa"/>
        <w:tblLook w:val="04A0" w:firstRow="1" w:lastRow="0" w:firstColumn="1" w:lastColumn="0" w:noHBand="0" w:noVBand="1"/>
      </w:tblPr>
      <w:tblGrid>
        <w:gridCol w:w="759"/>
        <w:gridCol w:w="802"/>
        <w:gridCol w:w="820"/>
        <w:gridCol w:w="1015"/>
        <w:gridCol w:w="1140"/>
      </w:tblGrid>
      <w:tr w:rsidR="00196A43" w14:paraId="1741BD1A" w14:textId="77777777" w:rsidTr="00196A43">
        <w:trPr>
          <w:cnfStyle w:val="100000000000" w:firstRow="1" w:lastRow="0" w:firstColumn="0" w:lastColumn="0" w:oddVBand="0" w:evenVBand="0" w:oddHBand="0" w:evenHBand="0" w:firstRowFirstColumn="0" w:firstRowLastColumn="0" w:lastRowFirstColumn="0" w:lastRowLastColumn="0"/>
          <w:tblHeader/>
        </w:trPr>
        <w:tc>
          <w:tcPr>
            <w:tcW w:w="1098" w:type="dxa"/>
            <w:tcBorders>
              <w:top w:val="single" w:sz="10" w:space="0" w:color="000000"/>
              <w:left w:val="single" w:sz="10" w:space="0" w:color="000000"/>
              <w:bottom w:val="single" w:sz="10" w:space="0" w:color="000000"/>
              <w:right w:val="single" w:sz="10" w:space="0" w:color="000000"/>
            </w:tcBorders>
            <w:vAlign w:val="center"/>
          </w:tcPr>
          <w:p w14:paraId="00B3A8FA" w14:textId="77777777" w:rsidR="00196A43" w:rsidRDefault="00EC6335">
            <w:pPr>
              <w:pStyle w:val="Compact"/>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Flight Episode</w:t>
            </w:r>
          </w:p>
        </w:tc>
        <w:tc>
          <w:tcPr>
            <w:tcW w:w="1350" w:type="dxa"/>
            <w:tcBorders>
              <w:top w:val="single" w:sz="10" w:space="0" w:color="000000"/>
              <w:left w:val="single" w:sz="10" w:space="0" w:color="000000"/>
              <w:bottom w:val="single" w:sz="10" w:space="0" w:color="000000"/>
              <w:right w:val="single" w:sz="10" w:space="0" w:color="000000"/>
            </w:tcBorders>
            <w:vAlign w:val="center"/>
          </w:tcPr>
          <w:p w14:paraId="07663872" w14:textId="77777777" w:rsidR="00196A43" w:rsidRDefault="00EC6335">
            <w:pPr>
              <w:pStyle w:val="Compact"/>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Target Reached</w:t>
            </w:r>
            <w:r>
              <w:rPr>
                <w:rFonts w:ascii="Times New Roman" w:hAnsi="Times New Roman" w:cs="Times New Roman"/>
                <w:b/>
                <w:color w:val="000000" w:themeColor="text1"/>
                <w:sz w:val="22"/>
                <w:szCs w:val="22"/>
              </w:rPr>
              <w:t xml:space="preserve"> (%)</w:t>
            </w:r>
          </w:p>
        </w:tc>
        <w:tc>
          <w:tcPr>
            <w:tcW w:w="1530" w:type="dxa"/>
            <w:tcBorders>
              <w:top w:val="single" w:sz="10" w:space="0" w:color="000000"/>
              <w:left w:val="single" w:sz="10" w:space="0" w:color="000000"/>
              <w:bottom w:val="single" w:sz="10" w:space="0" w:color="000000"/>
              <w:right w:val="single" w:sz="10" w:space="0" w:color="000000"/>
            </w:tcBorders>
            <w:vAlign w:val="center"/>
          </w:tcPr>
          <w:p w14:paraId="779014AD" w14:textId="77777777" w:rsidR="00196A43" w:rsidRDefault="00EC6335">
            <w:pPr>
              <w:pStyle w:val="Compact"/>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Average Collision Count</w:t>
            </w:r>
          </w:p>
        </w:tc>
        <w:tc>
          <w:tcPr>
            <w:tcW w:w="1620" w:type="dxa"/>
            <w:tcBorders>
              <w:top w:val="single" w:sz="10" w:space="0" w:color="000000"/>
              <w:left w:val="single" w:sz="10" w:space="0" w:color="000000"/>
              <w:bottom w:val="single" w:sz="10" w:space="0" w:color="000000"/>
              <w:right w:val="single" w:sz="10" w:space="0" w:color="000000"/>
            </w:tcBorders>
            <w:vAlign w:val="center"/>
          </w:tcPr>
          <w:p w14:paraId="6D761D14" w14:textId="77777777" w:rsidR="00196A43" w:rsidRDefault="00EC6335">
            <w:pPr>
              <w:pStyle w:val="Compact"/>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Cumulative Reward</w:t>
            </w:r>
          </w:p>
        </w:tc>
        <w:tc>
          <w:tcPr>
            <w:tcW w:w="1620" w:type="dxa"/>
            <w:tcBorders>
              <w:top w:val="single" w:sz="10" w:space="0" w:color="000000"/>
              <w:left w:val="single" w:sz="10" w:space="0" w:color="000000"/>
              <w:bottom w:val="single" w:sz="10" w:space="0" w:color="000000"/>
              <w:right w:val="single" w:sz="10" w:space="0" w:color="000000"/>
            </w:tcBorders>
            <w:vAlign w:val="center"/>
          </w:tcPr>
          <w:p w14:paraId="674683F8" w14:textId="77777777" w:rsidR="00196A43" w:rsidRDefault="00EC6335">
            <w:pPr>
              <w:pStyle w:val="Compact"/>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Energy Consumption (J)</w:t>
            </w:r>
          </w:p>
        </w:tc>
      </w:tr>
      <w:tr w:rsidR="00196A43" w14:paraId="6E3EA004" w14:textId="77777777" w:rsidTr="00196A43">
        <w:tc>
          <w:tcPr>
            <w:tcW w:w="1098" w:type="dxa"/>
            <w:tcBorders>
              <w:top w:val="single" w:sz="10" w:space="0" w:color="000000"/>
              <w:left w:val="single" w:sz="10" w:space="0" w:color="000000"/>
              <w:bottom w:val="single" w:sz="10" w:space="0" w:color="000000"/>
              <w:right w:val="single" w:sz="10" w:space="0" w:color="000000"/>
            </w:tcBorders>
          </w:tcPr>
          <w:p w14:paraId="50005986"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1-50</w:t>
            </w:r>
          </w:p>
        </w:tc>
        <w:tc>
          <w:tcPr>
            <w:tcW w:w="1350" w:type="dxa"/>
            <w:tcBorders>
              <w:top w:val="single" w:sz="10" w:space="0" w:color="000000"/>
              <w:left w:val="single" w:sz="10" w:space="0" w:color="000000"/>
              <w:bottom w:val="single" w:sz="10" w:space="0" w:color="000000"/>
              <w:right w:val="single" w:sz="10" w:space="0" w:color="000000"/>
            </w:tcBorders>
          </w:tcPr>
          <w:p w14:paraId="387743AB"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88</w:t>
            </w:r>
          </w:p>
        </w:tc>
        <w:tc>
          <w:tcPr>
            <w:tcW w:w="1530" w:type="dxa"/>
            <w:tcBorders>
              <w:top w:val="single" w:sz="10" w:space="0" w:color="000000"/>
              <w:left w:val="single" w:sz="10" w:space="0" w:color="000000"/>
              <w:bottom w:val="single" w:sz="10" w:space="0" w:color="000000"/>
              <w:right w:val="single" w:sz="10" w:space="0" w:color="000000"/>
            </w:tcBorders>
          </w:tcPr>
          <w:p w14:paraId="526BD6BB"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2.3</w:t>
            </w:r>
          </w:p>
        </w:tc>
        <w:tc>
          <w:tcPr>
            <w:tcW w:w="1620" w:type="dxa"/>
            <w:tcBorders>
              <w:top w:val="single" w:sz="10" w:space="0" w:color="000000"/>
              <w:left w:val="single" w:sz="10" w:space="0" w:color="000000"/>
              <w:bottom w:val="single" w:sz="10" w:space="0" w:color="000000"/>
              <w:right w:val="single" w:sz="10" w:space="0" w:color="000000"/>
            </w:tcBorders>
          </w:tcPr>
          <w:p w14:paraId="0E199516"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1650</w:t>
            </w:r>
          </w:p>
        </w:tc>
        <w:tc>
          <w:tcPr>
            <w:tcW w:w="1620" w:type="dxa"/>
            <w:tcBorders>
              <w:top w:val="single" w:sz="10" w:space="0" w:color="000000"/>
              <w:left w:val="single" w:sz="10" w:space="0" w:color="000000"/>
              <w:bottom w:val="single" w:sz="10" w:space="0" w:color="000000"/>
              <w:right w:val="single" w:sz="10" w:space="0" w:color="000000"/>
            </w:tcBorders>
          </w:tcPr>
          <w:p w14:paraId="0679159B"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1250</w:t>
            </w:r>
          </w:p>
        </w:tc>
      </w:tr>
      <w:tr w:rsidR="00196A43" w14:paraId="3655FD58" w14:textId="77777777" w:rsidTr="00196A43">
        <w:tc>
          <w:tcPr>
            <w:tcW w:w="1098" w:type="dxa"/>
            <w:tcBorders>
              <w:top w:val="single" w:sz="10" w:space="0" w:color="000000"/>
              <w:left w:val="single" w:sz="10" w:space="0" w:color="000000"/>
              <w:bottom w:val="single" w:sz="10" w:space="0" w:color="000000"/>
              <w:right w:val="single" w:sz="10" w:space="0" w:color="000000"/>
            </w:tcBorders>
          </w:tcPr>
          <w:p w14:paraId="738DA8F2"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51-100</w:t>
            </w:r>
          </w:p>
        </w:tc>
        <w:tc>
          <w:tcPr>
            <w:tcW w:w="1350" w:type="dxa"/>
            <w:tcBorders>
              <w:top w:val="single" w:sz="10" w:space="0" w:color="000000"/>
              <w:left w:val="single" w:sz="10" w:space="0" w:color="000000"/>
              <w:bottom w:val="single" w:sz="10" w:space="0" w:color="000000"/>
              <w:right w:val="single" w:sz="10" w:space="0" w:color="000000"/>
            </w:tcBorders>
          </w:tcPr>
          <w:p w14:paraId="1C97308C"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90</w:t>
            </w:r>
          </w:p>
        </w:tc>
        <w:tc>
          <w:tcPr>
            <w:tcW w:w="1530" w:type="dxa"/>
            <w:tcBorders>
              <w:top w:val="single" w:sz="10" w:space="0" w:color="000000"/>
              <w:left w:val="single" w:sz="10" w:space="0" w:color="000000"/>
              <w:bottom w:val="single" w:sz="10" w:space="0" w:color="000000"/>
              <w:right w:val="single" w:sz="10" w:space="0" w:color="000000"/>
            </w:tcBorders>
          </w:tcPr>
          <w:p w14:paraId="6F2E1C3C"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1.9</w:t>
            </w:r>
          </w:p>
        </w:tc>
        <w:tc>
          <w:tcPr>
            <w:tcW w:w="1620" w:type="dxa"/>
            <w:tcBorders>
              <w:top w:val="single" w:sz="10" w:space="0" w:color="000000"/>
              <w:left w:val="single" w:sz="10" w:space="0" w:color="000000"/>
              <w:bottom w:val="single" w:sz="10" w:space="0" w:color="000000"/>
              <w:right w:val="single" w:sz="10" w:space="0" w:color="000000"/>
            </w:tcBorders>
          </w:tcPr>
          <w:p w14:paraId="56FE1E89"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1720</w:t>
            </w:r>
          </w:p>
        </w:tc>
        <w:tc>
          <w:tcPr>
            <w:tcW w:w="1620" w:type="dxa"/>
            <w:tcBorders>
              <w:top w:val="single" w:sz="10" w:space="0" w:color="000000"/>
              <w:left w:val="single" w:sz="10" w:space="0" w:color="000000"/>
              <w:bottom w:val="single" w:sz="10" w:space="0" w:color="000000"/>
              <w:right w:val="single" w:sz="10" w:space="0" w:color="000000"/>
            </w:tcBorders>
          </w:tcPr>
          <w:p w14:paraId="6DE6479B"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1230</w:t>
            </w:r>
          </w:p>
        </w:tc>
      </w:tr>
      <w:tr w:rsidR="00196A43" w14:paraId="48B9B704" w14:textId="77777777" w:rsidTr="00196A43">
        <w:tc>
          <w:tcPr>
            <w:tcW w:w="1098" w:type="dxa"/>
            <w:tcBorders>
              <w:top w:val="single" w:sz="10" w:space="0" w:color="000000"/>
              <w:left w:val="single" w:sz="10" w:space="0" w:color="000000"/>
              <w:bottom w:val="single" w:sz="10" w:space="0" w:color="000000"/>
              <w:right w:val="single" w:sz="10" w:space="0" w:color="000000"/>
            </w:tcBorders>
          </w:tcPr>
          <w:p w14:paraId="1BE4F283"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101-150</w:t>
            </w:r>
          </w:p>
        </w:tc>
        <w:tc>
          <w:tcPr>
            <w:tcW w:w="1350" w:type="dxa"/>
            <w:tcBorders>
              <w:top w:val="single" w:sz="10" w:space="0" w:color="000000"/>
              <w:left w:val="single" w:sz="10" w:space="0" w:color="000000"/>
              <w:bottom w:val="single" w:sz="10" w:space="0" w:color="000000"/>
              <w:right w:val="single" w:sz="10" w:space="0" w:color="000000"/>
            </w:tcBorders>
          </w:tcPr>
          <w:p w14:paraId="39384164"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92</w:t>
            </w:r>
          </w:p>
        </w:tc>
        <w:tc>
          <w:tcPr>
            <w:tcW w:w="1530" w:type="dxa"/>
            <w:tcBorders>
              <w:top w:val="single" w:sz="10" w:space="0" w:color="000000"/>
              <w:left w:val="single" w:sz="10" w:space="0" w:color="000000"/>
              <w:bottom w:val="single" w:sz="10" w:space="0" w:color="000000"/>
              <w:right w:val="single" w:sz="10" w:space="0" w:color="000000"/>
            </w:tcBorders>
          </w:tcPr>
          <w:p w14:paraId="3E315CD7"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1.5</w:t>
            </w:r>
          </w:p>
        </w:tc>
        <w:tc>
          <w:tcPr>
            <w:tcW w:w="1620" w:type="dxa"/>
            <w:tcBorders>
              <w:top w:val="single" w:sz="10" w:space="0" w:color="000000"/>
              <w:left w:val="single" w:sz="10" w:space="0" w:color="000000"/>
              <w:bottom w:val="single" w:sz="10" w:space="0" w:color="000000"/>
              <w:right w:val="single" w:sz="10" w:space="0" w:color="000000"/>
            </w:tcBorders>
          </w:tcPr>
          <w:p w14:paraId="06C370D6"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1800</w:t>
            </w:r>
          </w:p>
        </w:tc>
        <w:tc>
          <w:tcPr>
            <w:tcW w:w="1620" w:type="dxa"/>
            <w:tcBorders>
              <w:top w:val="single" w:sz="10" w:space="0" w:color="000000"/>
              <w:left w:val="single" w:sz="10" w:space="0" w:color="000000"/>
              <w:bottom w:val="single" w:sz="10" w:space="0" w:color="000000"/>
              <w:right w:val="single" w:sz="10" w:space="0" w:color="000000"/>
            </w:tcBorders>
          </w:tcPr>
          <w:p w14:paraId="12CC7539"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1205</w:t>
            </w:r>
          </w:p>
        </w:tc>
      </w:tr>
      <w:tr w:rsidR="00196A43" w14:paraId="10E21301" w14:textId="77777777" w:rsidTr="00196A43">
        <w:tc>
          <w:tcPr>
            <w:tcW w:w="1098" w:type="dxa"/>
            <w:tcBorders>
              <w:top w:val="single" w:sz="10" w:space="0" w:color="000000"/>
              <w:left w:val="single" w:sz="10" w:space="0" w:color="000000"/>
              <w:bottom w:val="single" w:sz="10" w:space="0" w:color="000000"/>
              <w:right w:val="single" w:sz="10" w:space="0" w:color="000000"/>
            </w:tcBorders>
          </w:tcPr>
          <w:p w14:paraId="17AEEDD8"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151-200</w:t>
            </w:r>
          </w:p>
        </w:tc>
        <w:tc>
          <w:tcPr>
            <w:tcW w:w="1350" w:type="dxa"/>
            <w:tcBorders>
              <w:top w:val="single" w:sz="10" w:space="0" w:color="000000"/>
              <w:left w:val="single" w:sz="10" w:space="0" w:color="000000"/>
              <w:bottom w:val="single" w:sz="10" w:space="0" w:color="000000"/>
              <w:right w:val="single" w:sz="10" w:space="0" w:color="000000"/>
            </w:tcBorders>
          </w:tcPr>
          <w:p w14:paraId="2CE745B2"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91</w:t>
            </w:r>
          </w:p>
        </w:tc>
        <w:tc>
          <w:tcPr>
            <w:tcW w:w="1530" w:type="dxa"/>
            <w:tcBorders>
              <w:top w:val="single" w:sz="10" w:space="0" w:color="000000"/>
              <w:left w:val="single" w:sz="10" w:space="0" w:color="000000"/>
              <w:bottom w:val="single" w:sz="10" w:space="0" w:color="000000"/>
              <w:right w:val="single" w:sz="10" w:space="0" w:color="000000"/>
            </w:tcBorders>
          </w:tcPr>
          <w:p w14:paraId="3F69896B"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1.6</w:t>
            </w:r>
          </w:p>
        </w:tc>
        <w:tc>
          <w:tcPr>
            <w:tcW w:w="1620" w:type="dxa"/>
            <w:tcBorders>
              <w:top w:val="single" w:sz="10" w:space="0" w:color="000000"/>
              <w:left w:val="single" w:sz="10" w:space="0" w:color="000000"/>
              <w:bottom w:val="single" w:sz="10" w:space="0" w:color="000000"/>
              <w:right w:val="single" w:sz="10" w:space="0" w:color="000000"/>
            </w:tcBorders>
          </w:tcPr>
          <w:p w14:paraId="4EC999D9"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1785</w:t>
            </w:r>
          </w:p>
        </w:tc>
        <w:tc>
          <w:tcPr>
            <w:tcW w:w="1620" w:type="dxa"/>
            <w:tcBorders>
              <w:top w:val="single" w:sz="10" w:space="0" w:color="000000"/>
              <w:left w:val="single" w:sz="10" w:space="0" w:color="000000"/>
              <w:bottom w:val="single" w:sz="10" w:space="0" w:color="000000"/>
              <w:right w:val="single" w:sz="10" w:space="0" w:color="000000"/>
            </w:tcBorders>
          </w:tcPr>
          <w:p w14:paraId="271FFAB7"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1198</w:t>
            </w:r>
          </w:p>
        </w:tc>
      </w:tr>
      <w:tr w:rsidR="00196A43" w14:paraId="5D82BD5C" w14:textId="77777777" w:rsidTr="00196A43">
        <w:tc>
          <w:tcPr>
            <w:tcW w:w="1098" w:type="dxa"/>
            <w:tcBorders>
              <w:top w:val="single" w:sz="10" w:space="0" w:color="000000"/>
              <w:left w:val="single" w:sz="10" w:space="0" w:color="000000"/>
              <w:bottom w:val="single" w:sz="10" w:space="0" w:color="000000"/>
              <w:right w:val="single" w:sz="10" w:space="0" w:color="000000"/>
            </w:tcBorders>
          </w:tcPr>
          <w:p w14:paraId="4BFFBCA5"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201-250</w:t>
            </w:r>
          </w:p>
        </w:tc>
        <w:tc>
          <w:tcPr>
            <w:tcW w:w="1350" w:type="dxa"/>
            <w:tcBorders>
              <w:top w:val="single" w:sz="10" w:space="0" w:color="000000"/>
              <w:left w:val="single" w:sz="10" w:space="0" w:color="000000"/>
              <w:bottom w:val="single" w:sz="10" w:space="0" w:color="000000"/>
              <w:right w:val="single" w:sz="10" w:space="0" w:color="000000"/>
            </w:tcBorders>
          </w:tcPr>
          <w:p w14:paraId="2CF4D105"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93</w:t>
            </w:r>
          </w:p>
        </w:tc>
        <w:tc>
          <w:tcPr>
            <w:tcW w:w="1530" w:type="dxa"/>
            <w:tcBorders>
              <w:top w:val="single" w:sz="10" w:space="0" w:color="000000"/>
              <w:left w:val="single" w:sz="10" w:space="0" w:color="000000"/>
              <w:bottom w:val="single" w:sz="10" w:space="0" w:color="000000"/>
              <w:right w:val="single" w:sz="10" w:space="0" w:color="000000"/>
            </w:tcBorders>
          </w:tcPr>
          <w:p w14:paraId="470386CE"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1.2</w:t>
            </w:r>
          </w:p>
        </w:tc>
        <w:tc>
          <w:tcPr>
            <w:tcW w:w="1620" w:type="dxa"/>
            <w:tcBorders>
              <w:top w:val="single" w:sz="10" w:space="0" w:color="000000"/>
              <w:left w:val="single" w:sz="10" w:space="0" w:color="000000"/>
              <w:bottom w:val="single" w:sz="10" w:space="0" w:color="000000"/>
              <w:right w:val="single" w:sz="10" w:space="0" w:color="000000"/>
            </w:tcBorders>
          </w:tcPr>
          <w:p w14:paraId="6D576C71"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1850</w:t>
            </w:r>
          </w:p>
        </w:tc>
        <w:tc>
          <w:tcPr>
            <w:tcW w:w="1620" w:type="dxa"/>
            <w:tcBorders>
              <w:top w:val="single" w:sz="10" w:space="0" w:color="000000"/>
              <w:left w:val="single" w:sz="10" w:space="0" w:color="000000"/>
              <w:bottom w:val="single" w:sz="10" w:space="0" w:color="000000"/>
              <w:right w:val="single" w:sz="10" w:space="0" w:color="000000"/>
            </w:tcBorders>
          </w:tcPr>
          <w:p w14:paraId="4DE82290"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1185</w:t>
            </w:r>
          </w:p>
        </w:tc>
      </w:tr>
      <w:tr w:rsidR="00196A43" w14:paraId="681B7E03" w14:textId="77777777" w:rsidTr="00196A43">
        <w:tc>
          <w:tcPr>
            <w:tcW w:w="1098" w:type="dxa"/>
            <w:tcBorders>
              <w:top w:val="single" w:sz="10" w:space="0" w:color="000000"/>
              <w:left w:val="single" w:sz="10" w:space="0" w:color="000000"/>
              <w:bottom w:val="single" w:sz="10" w:space="0" w:color="000000"/>
              <w:right w:val="single" w:sz="10" w:space="0" w:color="000000"/>
            </w:tcBorders>
          </w:tcPr>
          <w:p w14:paraId="7BA76476"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251-300</w:t>
            </w:r>
          </w:p>
        </w:tc>
        <w:tc>
          <w:tcPr>
            <w:tcW w:w="1350" w:type="dxa"/>
            <w:tcBorders>
              <w:top w:val="single" w:sz="10" w:space="0" w:color="000000"/>
              <w:left w:val="single" w:sz="10" w:space="0" w:color="000000"/>
              <w:bottom w:val="single" w:sz="10" w:space="0" w:color="000000"/>
              <w:right w:val="single" w:sz="10" w:space="0" w:color="000000"/>
            </w:tcBorders>
          </w:tcPr>
          <w:p w14:paraId="5FC5EE3D"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94</w:t>
            </w:r>
          </w:p>
        </w:tc>
        <w:tc>
          <w:tcPr>
            <w:tcW w:w="1530" w:type="dxa"/>
            <w:tcBorders>
              <w:top w:val="single" w:sz="10" w:space="0" w:color="000000"/>
              <w:left w:val="single" w:sz="10" w:space="0" w:color="000000"/>
              <w:bottom w:val="single" w:sz="10" w:space="0" w:color="000000"/>
              <w:right w:val="single" w:sz="10" w:space="0" w:color="000000"/>
            </w:tcBorders>
          </w:tcPr>
          <w:p w14:paraId="47517F3D"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1.1</w:t>
            </w:r>
          </w:p>
        </w:tc>
        <w:tc>
          <w:tcPr>
            <w:tcW w:w="1620" w:type="dxa"/>
            <w:tcBorders>
              <w:top w:val="single" w:sz="10" w:space="0" w:color="000000"/>
              <w:left w:val="single" w:sz="10" w:space="0" w:color="000000"/>
              <w:bottom w:val="single" w:sz="10" w:space="0" w:color="000000"/>
              <w:right w:val="single" w:sz="10" w:space="0" w:color="000000"/>
            </w:tcBorders>
          </w:tcPr>
          <w:p w14:paraId="1C8B2247"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1880</w:t>
            </w:r>
          </w:p>
        </w:tc>
        <w:tc>
          <w:tcPr>
            <w:tcW w:w="1620" w:type="dxa"/>
            <w:tcBorders>
              <w:top w:val="single" w:sz="10" w:space="0" w:color="000000"/>
              <w:left w:val="single" w:sz="10" w:space="0" w:color="000000"/>
              <w:bottom w:val="single" w:sz="10" w:space="0" w:color="000000"/>
              <w:right w:val="single" w:sz="10" w:space="0" w:color="000000"/>
            </w:tcBorders>
          </w:tcPr>
          <w:p w14:paraId="20AEAC7A"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1170</w:t>
            </w:r>
          </w:p>
        </w:tc>
      </w:tr>
      <w:tr w:rsidR="00196A43" w14:paraId="1AFEC46C" w14:textId="77777777" w:rsidTr="00196A43">
        <w:tc>
          <w:tcPr>
            <w:tcW w:w="1098" w:type="dxa"/>
            <w:tcBorders>
              <w:top w:val="single" w:sz="10" w:space="0" w:color="000000"/>
              <w:left w:val="single" w:sz="10" w:space="0" w:color="000000"/>
              <w:bottom w:val="single" w:sz="10" w:space="0" w:color="000000"/>
              <w:right w:val="single" w:sz="10" w:space="0" w:color="000000"/>
            </w:tcBorders>
          </w:tcPr>
          <w:p w14:paraId="01BE340D"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301-350</w:t>
            </w:r>
          </w:p>
        </w:tc>
        <w:tc>
          <w:tcPr>
            <w:tcW w:w="1350" w:type="dxa"/>
            <w:tcBorders>
              <w:top w:val="single" w:sz="10" w:space="0" w:color="000000"/>
              <w:left w:val="single" w:sz="10" w:space="0" w:color="000000"/>
              <w:bottom w:val="single" w:sz="10" w:space="0" w:color="000000"/>
              <w:right w:val="single" w:sz="10" w:space="0" w:color="000000"/>
            </w:tcBorders>
          </w:tcPr>
          <w:p w14:paraId="78DF8CF8"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95</w:t>
            </w:r>
          </w:p>
        </w:tc>
        <w:tc>
          <w:tcPr>
            <w:tcW w:w="1530" w:type="dxa"/>
            <w:tcBorders>
              <w:top w:val="single" w:sz="10" w:space="0" w:color="000000"/>
              <w:left w:val="single" w:sz="10" w:space="0" w:color="000000"/>
              <w:bottom w:val="single" w:sz="10" w:space="0" w:color="000000"/>
              <w:right w:val="single" w:sz="10" w:space="0" w:color="000000"/>
            </w:tcBorders>
          </w:tcPr>
          <w:p w14:paraId="332FF36B"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1.0</w:t>
            </w:r>
          </w:p>
        </w:tc>
        <w:tc>
          <w:tcPr>
            <w:tcW w:w="1620" w:type="dxa"/>
            <w:tcBorders>
              <w:top w:val="single" w:sz="10" w:space="0" w:color="000000"/>
              <w:left w:val="single" w:sz="10" w:space="0" w:color="000000"/>
              <w:bottom w:val="single" w:sz="10" w:space="0" w:color="000000"/>
              <w:right w:val="single" w:sz="10" w:space="0" w:color="000000"/>
            </w:tcBorders>
          </w:tcPr>
          <w:p w14:paraId="519A1AE0"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1905</w:t>
            </w:r>
          </w:p>
        </w:tc>
        <w:tc>
          <w:tcPr>
            <w:tcW w:w="1620" w:type="dxa"/>
            <w:tcBorders>
              <w:top w:val="single" w:sz="10" w:space="0" w:color="000000"/>
              <w:left w:val="single" w:sz="10" w:space="0" w:color="000000"/>
              <w:bottom w:val="single" w:sz="10" w:space="0" w:color="000000"/>
              <w:right w:val="single" w:sz="10" w:space="0" w:color="000000"/>
            </w:tcBorders>
          </w:tcPr>
          <w:p w14:paraId="2005D666"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1162</w:t>
            </w:r>
          </w:p>
        </w:tc>
      </w:tr>
      <w:tr w:rsidR="00196A43" w14:paraId="059CD3EB" w14:textId="77777777" w:rsidTr="00196A43">
        <w:tc>
          <w:tcPr>
            <w:tcW w:w="1098" w:type="dxa"/>
            <w:tcBorders>
              <w:top w:val="single" w:sz="10" w:space="0" w:color="000000"/>
              <w:left w:val="single" w:sz="10" w:space="0" w:color="000000"/>
              <w:bottom w:val="single" w:sz="10" w:space="0" w:color="000000"/>
              <w:right w:val="single" w:sz="10" w:space="0" w:color="000000"/>
            </w:tcBorders>
          </w:tcPr>
          <w:p w14:paraId="3AC23402"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351-400</w:t>
            </w:r>
          </w:p>
        </w:tc>
        <w:tc>
          <w:tcPr>
            <w:tcW w:w="1350" w:type="dxa"/>
            <w:tcBorders>
              <w:top w:val="single" w:sz="10" w:space="0" w:color="000000"/>
              <w:left w:val="single" w:sz="10" w:space="0" w:color="000000"/>
              <w:bottom w:val="single" w:sz="10" w:space="0" w:color="000000"/>
              <w:right w:val="single" w:sz="10" w:space="0" w:color="000000"/>
            </w:tcBorders>
          </w:tcPr>
          <w:p w14:paraId="47520339"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94</w:t>
            </w:r>
          </w:p>
        </w:tc>
        <w:tc>
          <w:tcPr>
            <w:tcW w:w="1530" w:type="dxa"/>
            <w:tcBorders>
              <w:top w:val="single" w:sz="10" w:space="0" w:color="000000"/>
              <w:left w:val="single" w:sz="10" w:space="0" w:color="000000"/>
              <w:bottom w:val="single" w:sz="10" w:space="0" w:color="000000"/>
              <w:right w:val="single" w:sz="10" w:space="0" w:color="000000"/>
            </w:tcBorders>
          </w:tcPr>
          <w:p w14:paraId="30527B06"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1.0</w:t>
            </w:r>
          </w:p>
        </w:tc>
        <w:tc>
          <w:tcPr>
            <w:tcW w:w="1620" w:type="dxa"/>
            <w:tcBorders>
              <w:top w:val="single" w:sz="10" w:space="0" w:color="000000"/>
              <w:left w:val="single" w:sz="10" w:space="0" w:color="000000"/>
              <w:bottom w:val="single" w:sz="10" w:space="0" w:color="000000"/>
              <w:right w:val="single" w:sz="10" w:space="0" w:color="000000"/>
            </w:tcBorders>
          </w:tcPr>
          <w:p w14:paraId="67465C6F"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1910</w:t>
            </w:r>
          </w:p>
        </w:tc>
        <w:tc>
          <w:tcPr>
            <w:tcW w:w="1620" w:type="dxa"/>
            <w:tcBorders>
              <w:top w:val="single" w:sz="10" w:space="0" w:color="000000"/>
              <w:left w:val="single" w:sz="10" w:space="0" w:color="000000"/>
              <w:bottom w:val="single" w:sz="10" w:space="0" w:color="000000"/>
              <w:right w:val="single" w:sz="10" w:space="0" w:color="000000"/>
            </w:tcBorders>
          </w:tcPr>
          <w:p w14:paraId="11550490"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1155</w:t>
            </w:r>
          </w:p>
        </w:tc>
      </w:tr>
      <w:tr w:rsidR="00196A43" w14:paraId="6C0D80E8" w14:textId="77777777" w:rsidTr="00196A43">
        <w:tc>
          <w:tcPr>
            <w:tcW w:w="1098" w:type="dxa"/>
            <w:tcBorders>
              <w:top w:val="single" w:sz="10" w:space="0" w:color="000000"/>
              <w:left w:val="single" w:sz="10" w:space="0" w:color="000000"/>
              <w:bottom w:val="single" w:sz="10" w:space="0" w:color="000000"/>
              <w:right w:val="single" w:sz="10" w:space="0" w:color="000000"/>
            </w:tcBorders>
          </w:tcPr>
          <w:p w14:paraId="6C7A9C69"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401-450</w:t>
            </w:r>
          </w:p>
        </w:tc>
        <w:tc>
          <w:tcPr>
            <w:tcW w:w="1350" w:type="dxa"/>
            <w:tcBorders>
              <w:top w:val="single" w:sz="10" w:space="0" w:color="000000"/>
              <w:left w:val="single" w:sz="10" w:space="0" w:color="000000"/>
              <w:bottom w:val="single" w:sz="10" w:space="0" w:color="000000"/>
              <w:right w:val="single" w:sz="10" w:space="0" w:color="000000"/>
            </w:tcBorders>
          </w:tcPr>
          <w:p w14:paraId="36CF5145"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95</w:t>
            </w:r>
          </w:p>
        </w:tc>
        <w:tc>
          <w:tcPr>
            <w:tcW w:w="1530" w:type="dxa"/>
            <w:tcBorders>
              <w:top w:val="single" w:sz="10" w:space="0" w:color="000000"/>
              <w:left w:val="single" w:sz="10" w:space="0" w:color="000000"/>
              <w:bottom w:val="single" w:sz="10" w:space="0" w:color="000000"/>
              <w:right w:val="single" w:sz="10" w:space="0" w:color="000000"/>
            </w:tcBorders>
          </w:tcPr>
          <w:p w14:paraId="4A6D97E9"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0.9</w:t>
            </w:r>
          </w:p>
        </w:tc>
        <w:tc>
          <w:tcPr>
            <w:tcW w:w="1620" w:type="dxa"/>
            <w:tcBorders>
              <w:top w:val="single" w:sz="10" w:space="0" w:color="000000"/>
              <w:left w:val="single" w:sz="10" w:space="0" w:color="000000"/>
              <w:bottom w:val="single" w:sz="10" w:space="0" w:color="000000"/>
              <w:right w:val="single" w:sz="10" w:space="0" w:color="000000"/>
            </w:tcBorders>
          </w:tcPr>
          <w:p w14:paraId="6969A94C"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1920</w:t>
            </w:r>
          </w:p>
        </w:tc>
        <w:tc>
          <w:tcPr>
            <w:tcW w:w="1620" w:type="dxa"/>
            <w:tcBorders>
              <w:top w:val="single" w:sz="10" w:space="0" w:color="000000"/>
              <w:left w:val="single" w:sz="10" w:space="0" w:color="000000"/>
              <w:bottom w:val="single" w:sz="10" w:space="0" w:color="000000"/>
              <w:right w:val="single" w:sz="10" w:space="0" w:color="000000"/>
            </w:tcBorders>
          </w:tcPr>
          <w:p w14:paraId="1590B8C8"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1150</w:t>
            </w:r>
          </w:p>
        </w:tc>
      </w:tr>
      <w:tr w:rsidR="00196A43" w14:paraId="4C52002A" w14:textId="77777777" w:rsidTr="00196A43">
        <w:tc>
          <w:tcPr>
            <w:tcW w:w="1098" w:type="dxa"/>
            <w:tcBorders>
              <w:top w:val="single" w:sz="10" w:space="0" w:color="000000"/>
              <w:left w:val="single" w:sz="10" w:space="0" w:color="000000"/>
              <w:bottom w:val="single" w:sz="10" w:space="0" w:color="000000"/>
              <w:right w:val="single" w:sz="10" w:space="0" w:color="000000"/>
            </w:tcBorders>
          </w:tcPr>
          <w:p w14:paraId="5D174395"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451-500</w:t>
            </w:r>
          </w:p>
        </w:tc>
        <w:tc>
          <w:tcPr>
            <w:tcW w:w="1350" w:type="dxa"/>
            <w:tcBorders>
              <w:top w:val="single" w:sz="10" w:space="0" w:color="000000"/>
              <w:left w:val="single" w:sz="10" w:space="0" w:color="000000"/>
              <w:bottom w:val="single" w:sz="10" w:space="0" w:color="000000"/>
              <w:right w:val="single" w:sz="10" w:space="0" w:color="000000"/>
            </w:tcBorders>
          </w:tcPr>
          <w:p w14:paraId="60889C58"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96</w:t>
            </w:r>
          </w:p>
        </w:tc>
        <w:tc>
          <w:tcPr>
            <w:tcW w:w="1530" w:type="dxa"/>
            <w:tcBorders>
              <w:top w:val="single" w:sz="10" w:space="0" w:color="000000"/>
              <w:left w:val="single" w:sz="10" w:space="0" w:color="000000"/>
              <w:bottom w:val="single" w:sz="10" w:space="0" w:color="000000"/>
              <w:right w:val="single" w:sz="10" w:space="0" w:color="000000"/>
            </w:tcBorders>
          </w:tcPr>
          <w:p w14:paraId="73E2C76A"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0.8</w:t>
            </w:r>
          </w:p>
        </w:tc>
        <w:tc>
          <w:tcPr>
            <w:tcW w:w="1620" w:type="dxa"/>
            <w:tcBorders>
              <w:top w:val="single" w:sz="10" w:space="0" w:color="000000"/>
              <w:left w:val="single" w:sz="10" w:space="0" w:color="000000"/>
              <w:bottom w:val="single" w:sz="10" w:space="0" w:color="000000"/>
              <w:right w:val="single" w:sz="10" w:space="0" w:color="000000"/>
            </w:tcBorders>
          </w:tcPr>
          <w:p w14:paraId="5E09197A"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1950</w:t>
            </w:r>
          </w:p>
        </w:tc>
        <w:tc>
          <w:tcPr>
            <w:tcW w:w="1620" w:type="dxa"/>
            <w:tcBorders>
              <w:top w:val="single" w:sz="10" w:space="0" w:color="000000"/>
              <w:left w:val="single" w:sz="10" w:space="0" w:color="000000"/>
              <w:bottom w:val="single" w:sz="10" w:space="0" w:color="000000"/>
              <w:right w:val="single" w:sz="10" w:space="0" w:color="000000"/>
            </w:tcBorders>
          </w:tcPr>
          <w:p w14:paraId="1E2353C9"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1142</w:t>
            </w:r>
          </w:p>
        </w:tc>
      </w:tr>
    </w:tbl>
    <w:p w14:paraId="00DD234E" w14:textId="77777777" w:rsidR="00196A43" w:rsidRDefault="00EC6335">
      <w:pPr>
        <w:pStyle w:val="BodyText"/>
        <w:spacing w:line="480" w:lineRule="auto"/>
        <w:jc w:val="both"/>
        <w:rPr>
          <w:rFonts w:ascii="Times New Roman" w:hAnsi="Times New Roman" w:cs="Times New Roman"/>
          <w:b/>
          <w:bCs/>
          <w:color w:val="000000" w:themeColor="text1"/>
          <w:sz w:val="22"/>
          <w:szCs w:val="22"/>
        </w:rPr>
      </w:pPr>
      <w:r>
        <w:rPr>
          <w:rFonts w:ascii="Times New Roman" w:hAnsi="Times New Roman" w:cs="Times New Roman"/>
          <w:b/>
          <w:bCs/>
          <w:noProof/>
          <w:color w:val="000000" w:themeColor="text1"/>
          <w:sz w:val="22"/>
          <w:szCs w:val="22"/>
        </w:rPr>
        <w:lastRenderedPageBreak/>
        <w:drawing>
          <wp:inline distT="0" distB="0" distL="0" distR="0" wp14:anchorId="2C91B4CC" wp14:editId="6CD1C3BC">
            <wp:extent cx="3551555" cy="2000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3556000" cy="2002530"/>
                    </a:xfrm>
                    <a:prstGeom prst="rect">
                      <a:avLst/>
                    </a:prstGeom>
                  </pic:spPr>
                </pic:pic>
              </a:graphicData>
            </a:graphic>
          </wp:inline>
        </w:drawing>
      </w:r>
    </w:p>
    <w:p w14:paraId="3EA004DC" w14:textId="77777777" w:rsidR="00196A43" w:rsidRDefault="00EC6335">
      <w:pPr>
        <w:pStyle w:val="BodyText"/>
        <w:spacing w:line="480" w:lineRule="auto"/>
        <w:jc w:val="both"/>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Calculations:</w:t>
      </w:r>
    </w:p>
    <w:p w14:paraId="1BE73521" w14:textId="77777777" w:rsidR="00196A43" w:rsidRDefault="00EC6335">
      <w:pPr>
        <w:numPr>
          <w:ilvl w:val="0"/>
          <w:numId w:val="2"/>
        </w:numPr>
        <w:spacing w:after="200" w:line="480" w:lineRule="auto"/>
        <w:jc w:val="both"/>
        <w:rPr>
          <w:rFonts w:ascii="Times New Roman" w:hAnsi="Times New Roman" w:cs="Times New Roman"/>
          <w:color w:val="000000" w:themeColor="text1"/>
        </w:rPr>
      </w:pPr>
      <w:r>
        <w:rPr>
          <w:rFonts w:ascii="Times New Roman" w:hAnsi="Times New Roman" w:cs="Times New Roman"/>
          <w:b/>
          <w:bCs/>
          <w:color w:val="000000" w:themeColor="text1"/>
        </w:rPr>
        <w:t>Average Target Reached (%)</w:t>
      </w:r>
    </w:p>
    <w:p w14:paraId="0FEE03B0" w14:textId="77777777" w:rsidR="00196A43" w:rsidRDefault="00EC6335">
      <w:pPr>
        <w:pStyle w:val="FirstParagraph"/>
        <w:spacing w:line="480" w:lineRule="auto"/>
        <w:jc w:val="both"/>
        <w:rPr>
          <w:rFonts w:ascii="Times New Roman" w:eastAsiaTheme="minorEastAsia" w:hAnsi="Times New Roman" w:cs="Times New Roman"/>
          <w:color w:val="000000" w:themeColor="text1"/>
          <w:sz w:val="22"/>
          <w:szCs w:val="22"/>
        </w:rPr>
      </w:pPr>
      <m:oMath>
        <m:r>
          <m:rPr>
            <m:nor/>
          </m:rPr>
          <w:rPr>
            <w:rFonts w:ascii="Times New Roman" w:hAnsi="Times New Roman" w:cs="Times New Roman"/>
            <w:color w:val="000000" w:themeColor="text1"/>
            <w:sz w:val="22"/>
            <w:szCs w:val="22"/>
          </w:rPr>
          <m:t>Average Target Reached</m:t>
        </m:r>
        <m:r>
          <m:rPr>
            <m:sty m:val="p"/>
          </m:rP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nary>
              <m:naryPr>
                <m:chr m:val="∑"/>
                <m:limLoc m:val="undOvr"/>
                <m:ctrlPr>
                  <w:rPr>
                    <w:rFonts w:ascii="Cambria Math" w:hAnsi="Cambria Math" w:cs="Times New Roman"/>
                    <w:color w:val="000000" w:themeColor="text1"/>
                    <w:sz w:val="22"/>
                    <w:szCs w:val="22"/>
                  </w:rPr>
                </m:ctrlPr>
              </m:naryPr>
              <m:sub>
                <m:r>
                  <w:rPr>
                    <w:rFonts w:ascii="Cambria Math" w:hAnsi="Cambria Math" w:cs="Times New Roman"/>
                    <w:color w:val="000000" w:themeColor="text1"/>
                    <w:sz w:val="22"/>
                    <w:szCs w:val="22"/>
                  </w:rPr>
                  <m:t>i</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m:t>
                </m:r>
              </m:sub>
              <m:sup>
                <m:r>
                  <w:rPr>
                    <w:rFonts w:ascii="Cambria Math" w:hAnsi="Cambria Math" w:cs="Times New Roman"/>
                    <w:color w:val="000000" w:themeColor="text1"/>
                    <w:sz w:val="22"/>
                    <w:szCs w:val="22"/>
                  </w:rPr>
                  <m:t>n</m:t>
                </m:r>
              </m:sup>
              <m:e>
                <m:sSub>
                  <m:sSubPr>
                    <m:ctrlPr>
                      <w:rPr>
                        <w:rFonts w:ascii="Cambria Math" w:hAnsi="Cambria Math" w:cs="Times New Roman"/>
                        <w:color w:val="000000" w:themeColor="text1"/>
                        <w:sz w:val="22"/>
                        <w:szCs w:val="22"/>
                      </w:rPr>
                    </m:ctrlPr>
                  </m:sSubPr>
                  <m:e>
                    <m:r>
                      <m:rPr>
                        <m:nor/>
                      </m:rPr>
                      <w:rPr>
                        <w:rFonts w:ascii="Times New Roman" w:hAnsi="Times New Roman" w:cs="Times New Roman"/>
                        <w:color w:val="000000" w:themeColor="text1"/>
                        <w:sz w:val="22"/>
                        <w:szCs w:val="22"/>
                      </w:rPr>
                      <m:t>Target Reached</m:t>
                    </m:r>
                  </m:e>
                  <m:sub>
                    <m:r>
                      <w:rPr>
                        <w:rFonts w:ascii="Cambria Math" w:hAnsi="Cambria Math" w:cs="Times New Roman"/>
                        <w:color w:val="000000" w:themeColor="text1"/>
                        <w:sz w:val="22"/>
                        <w:szCs w:val="22"/>
                      </w:rPr>
                      <m:t>i</m:t>
                    </m:r>
                  </m:sub>
                </m:sSub>
              </m:e>
            </m:nary>
          </m:num>
          <m:den>
            <m:r>
              <w:rPr>
                <w:rFonts w:ascii="Cambria Math" w:hAnsi="Cambria Math" w:cs="Times New Roman"/>
                <w:color w:val="000000" w:themeColor="text1"/>
                <w:sz w:val="22"/>
                <w:szCs w:val="22"/>
              </w:rPr>
              <m:t>n</m:t>
            </m:r>
          </m:den>
        </m:f>
      </m:oMath>
      <w:r>
        <w:rPr>
          <w:rFonts w:ascii="Times New Roman" w:hAnsi="Times New Roman" w:cs="Times New Roman"/>
          <w:color w:val="000000" w:themeColor="text1"/>
          <w:sz w:val="22"/>
          <w:szCs w:val="22"/>
        </w:rPr>
        <w:t xml:space="preserve"> </w:t>
      </w:r>
    </w:p>
    <w:p w14:paraId="39104277" w14:textId="77777777" w:rsidR="00196A43" w:rsidRDefault="00EC6335">
      <w:pPr>
        <w:pStyle w:val="FirstParagraph"/>
        <w:spacing w:line="480" w:lineRule="auto"/>
        <w:jc w:val="both"/>
        <w:rPr>
          <w:rFonts w:ascii="Times New Roman" w:eastAsiaTheme="minorEastAsia" w:hAnsi="Times New Roman" w:cs="Times New Roman"/>
          <w:color w:val="000000" w:themeColor="text1"/>
          <w:sz w:val="22"/>
          <w:szCs w:val="22"/>
        </w:rPr>
      </w:pPr>
      <m:oMathPara>
        <m:oMathParaPr>
          <m:jc m:val="left"/>
        </m:oMathParaPr>
        <m:oMath>
          <m:r>
            <m:rPr>
              <m:sty m:val="p"/>
            </m:rP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w:rPr>
                  <w:rFonts w:ascii="Cambria Math" w:hAnsi="Cambria Math" w:cs="Times New Roman"/>
                  <w:color w:val="000000" w:themeColor="text1"/>
                  <w:sz w:val="22"/>
                  <w:szCs w:val="22"/>
                </w:rPr>
                <m:t>88</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90</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92</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91</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93</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94</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95</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94</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95</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96</m:t>
              </m:r>
            </m:num>
            <m:den>
              <m:r>
                <w:rPr>
                  <w:rFonts w:ascii="Cambria Math" w:hAnsi="Cambria Math" w:cs="Times New Roman"/>
                  <w:color w:val="000000" w:themeColor="text1"/>
                  <w:sz w:val="22"/>
                  <w:szCs w:val="22"/>
                </w:rPr>
                <m:t>10</m:t>
              </m:r>
            </m:den>
          </m:f>
        </m:oMath>
      </m:oMathPara>
    </w:p>
    <w:p w14:paraId="3FD2ACAB" w14:textId="77777777" w:rsidR="00196A43" w:rsidRDefault="00EC6335">
      <w:pPr>
        <w:pStyle w:val="FirstParagraph"/>
        <w:spacing w:line="480" w:lineRule="auto"/>
        <w:jc w:val="both"/>
        <w:rPr>
          <w:rFonts w:ascii="Times New Roman" w:eastAsiaTheme="minorEastAsia" w:hAnsi="Times New Roman" w:cs="Times New Roman"/>
          <w:color w:val="000000" w:themeColor="text1"/>
          <w:sz w:val="22"/>
          <w:szCs w:val="22"/>
        </w:rPr>
      </w:pPr>
      <m:oMathPara>
        <m:oMathParaPr>
          <m:jc m:val="left"/>
        </m:oMathParaPr>
        <m:oMath>
          <m:r>
            <m:rPr>
              <m:sty m:val="p"/>
            </m:rP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w:rPr>
                  <w:rFonts w:ascii="Cambria Math" w:hAnsi="Cambria Math" w:cs="Times New Roman"/>
                  <w:color w:val="000000" w:themeColor="text1"/>
                  <w:sz w:val="22"/>
                  <w:szCs w:val="22"/>
                </w:rPr>
                <m:t>928</m:t>
              </m:r>
            </m:num>
            <m:den>
              <m:r>
                <w:rPr>
                  <w:rFonts w:ascii="Cambria Math" w:hAnsi="Cambria Math" w:cs="Times New Roman"/>
                  <w:color w:val="000000" w:themeColor="text1"/>
                  <w:sz w:val="22"/>
                  <w:szCs w:val="22"/>
                </w:rPr>
                <m:t>10</m:t>
              </m:r>
            </m:den>
          </m:f>
        </m:oMath>
      </m:oMathPara>
    </w:p>
    <w:p w14:paraId="1036E302" w14:textId="77777777" w:rsidR="00196A43" w:rsidRDefault="00EC6335">
      <w:pPr>
        <w:pStyle w:val="FirstParagraph"/>
        <w:spacing w:line="480" w:lineRule="auto"/>
        <w:jc w:val="both"/>
        <w:rPr>
          <w:rFonts w:ascii="Times New Roman" w:hAnsi="Times New Roman" w:cs="Times New Roman"/>
          <w:color w:val="000000" w:themeColor="text1"/>
          <w:sz w:val="22"/>
          <w:szCs w:val="22"/>
        </w:rPr>
      </w:pPr>
      <m:oMathPara>
        <m:oMathParaPr>
          <m:jc m:val="left"/>
        </m:oMathParaPr>
        <m:oMath>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92.8</m:t>
          </m:r>
          <m:r>
            <m:rPr>
              <m:sty m:val="p"/>
            </m:rPr>
            <w:rPr>
              <w:rFonts w:ascii="Cambria Math" w:hAnsi="Cambria Math" w:cs="Times New Roman"/>
              <w:color w:val="000000" w:themeColor="text1"/>
              <w:sz w:val="22"/>
              <w:szCs w:val="22"/>
            </w:rPr>
            <m:t>%</m:t>
          </m:r>
        </m:oMath>
      </m:oMathPara>
    </w:p>
    <w:p w14:paraId="24AF70C3" w14:textId="77777777" w:rsidR="00196A43" w:rsidRDefault="00EC6335">
      <w:pPr>
        <w:numPr>
          <w:ilvl w:val="0"/>
          <w:numId w:val="3"/>
        </w:numPr>
        <w:spacing w:after="200" w:line="480" w:lineRule="auto"/>
        <w:jc w:val="both"/>
        <w:rPr>
          <w:rFonts w:ascii="Times New Roman" w:hAnsi="Times New Roman" w:cs="Times New Roman"/>
          <w:color w:val="000000" w:themeColor="text1"/>
        </w:rPr>
      </w:pPr>
      <w:r>
        <w:rPr>
          <w:rFonts w:ascii="Times New Roman" w:hAnsi="Times New Roman" w:cs="Times New Roman"/>
          <w:b/>
          <w:bCs/>
          <w:color w:val="000000" w:themeColor="text1"/>
        </w:rPr>
        <w:t>Average Collision Count</w:t>
      </w:r>
    </w:p>
    <w:p w14:paraId="7985A2AE" w14:textId="77777777" w:rsidR="00196A43" w:rsidRDefault="00EC6335">
      <w:pPr>
        <w:pStyle w:val="FirstParagraph"/>
        <w:spacing w:line="480" w:lineRule="auto"/>
        <w:jc w:val="both"/>
        <w:rPr>
          <w:rFonts w:ascii="Times New Roman" w:eastAsiaTheme="minorEastAsia" w:hAnsi="Times New Roman" w:cs="Times New Roman"/>
          <w:color w:val="000000" w:themeColor="text1"/>
          <w:sz w:val="22"/>
          <w:szCs w:val="22"/>
        </w:rPr>
      </w:pPr>
      <m:oMath>
        <m:r>
          <m:rPr>
            <m:nor/>
          </m:rPr>
          <w:rPr>
            <w:rFonts w:ascii="Times New Roman" w:hAnsi="Times New Roman" w:cs="Times New Roman"/>
            <w:color w:val="000000" w:themeColor="text1"/>
            <w:sz w:val="22"/>
            <w:szCs w:val="22"/>
          </w:rPr>
          <m:t>Average Collision</m:t>
        </m:r>
        <m:r>
          <m:rPr>
            <m:sty m:val="p"/>
          </m:rP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nary>
              <m:naryPr>
                <m:chr m:val="∑"/>
                <m:limLoc m:val="undOvr"/>
                <m:ctrlPr>
                  <w:rPr>
                    <w:rFonts w:ascii="Cambria Math" w:hAnsi="Cambria Math" w:cs="Times New Roman"/>
                    <w:color w:val="000000" w:themeColor="text1"/>
                    <w:sz w:val="22"/>
                    <w:szCs w:val="22"/>
                  </w:rPr>
                </m:ctrlPr>
              </m:naryPr>
              <m:sub>
                <m:r>
                  <w:rPr>
                    <w:rFonts w:ascii="Cambria Math" w:hAnsi="Cambria Math" w:cs="Times New Roman"/>
                    <w:color w:val="000000" w:themeColor="text1"/>
                    <w:sz w:val="22"/>
                    <w:szCs w:val="22"/>
                  </w:rPr>
                  <m:t>i</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m:t>
                </m:r>
              </m:sub>
              <m:sup>
                <m:r>
                  <w:rPr>
                    <w:rFonts w:ascii="Cambria Math" w:hAnsi="Cambria Math" w:cs="Times New Roman"/>
                    <w:color w:val="000000" w:themeColor="text1"/>
                    <w:sz w:val="22"/>
                    <w:szCs w:val="22"/>
                  </w:rPr>
                  <m:t>n</m:t>
                </m:r>
              </m:sup>
              <m:e>
                <m:sSub>
                  <m:sSubPr>
                    <m:ctrlPr>
                      <w:rPr>
                        <w:rFonts w:ascii="Cambria Math" w:hAnsi="Cambria Math" w:cs="Times New Roman"/>
                        <w:color w:val="000000" w:themeColor="text1"/>
                        <w:sz w:val="22"/>
                        <w:szCs w:val="22"/>
                      </w:rPr>
                    </m:ctrlPr>
                  </m:sSubPr>
                  <m:e>
                    <m:r>
                      <m:rPr>
                        <m:nor/>
                      </m:rPr>
                      <w:rPr>
                        <w:rFonts w:ascii="Times New Roman" w:hAnsi="Times New Roman" w:cs="Times New Roman"/>
                        <w:color w:val="000000" w:themeColor="text1"/>
                        <w:sz w:val="22"/>
                        <w:szCs w:val="22"/>
                      </w:rPr>
                      <m:t>Collision Count</m:t>
                    </m:r>
                  </m:e>
                  <m:sub>
                    <m:r>
                      <w:rPr>
                        <w:rFonts w:ascii="Cambria Math" w:hAnsi="Cambria Math" w:cs="Times New Roman"/>
                        <w:color w:val="000000" w:themeColor="text1"/>
                        <w:sz w:val="22"/>
                        <w:szCs w:val="22"/>
                      </w:rPr>
                      <m:t>i</m:t>
                    </m:r>
                  </m:sub>
                </m:sSub>
              </m:e>
            </m:nary>
          </m:num>
          <m:den>
            <m:r>
              <w:rPr>
                <w:rFonts w:ascii="Cambria Math" w:hAnsi="Cambria Math" w:cs="Times New Roman"/>
                <w:color w:val="000000" w:themeColor="text1"/>
                <w:sz w:val="22"/>
                <w:szCs w:val="22"/>
              </w:rPr>
              <m:t>n</m:t>
            </m:r>
          </m:den>
        </m:f>
      </m:oMath>
      <w:r>
        <w:rPr>
          <w:rFonts w:ascii="Times New Roman" w:hAnsi="Times New Roman" w:cs="Times New Roman"/>
          <w:color w:val="000000" w:themeColor="text1"/>
          <w:sz w:val="22"/>
          <w:szCs w:val="22"/>
        </w:rPr>
        <w:t xml:space="preserve"> </w:t>
      </w:r>
    </w:p>
    <w:p w14:paraId="16BEF61C" w14:textId="77777777" w:rsidR="00196A43" w:rsidRDefault="00EC6335">
      <w:pPr>
        <w:pStyle w:val="FirstParagraph"/>
        <w:spacing w:line="480" w:lineRule="auto"/>
        <w:jc w:val="both"/>
        <w:rPr>
          <w:rFonts w:ascii="Times New Roman" w:eastAsiaTheme="minorEastAsia" w:hAnsi="Times New Roman" w:cs="Times New Roman"/>
          <w:color w:val="000000" w:themeColor="text1"/>
          <w:sz w:val="22"/>
          <w:szCs w:val="22"/>
        </w:rPr>
      </w:pPr>
      <m:oMathPara>
        <m:oMathParaPr>
          <m:jc m:val="left"/>
        </m:oMathParaPr>
        <m:oMath>
          <m:r>
            <m:rPr>
              <m:sty m:val="p"/>
            </m:rP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w:rPr>
                  <w:rFonts w:ascii="Cambria Math" w:hAnsi="Cambria Math" w:cs="Times New Roman"/>
                  <w:color w:val="000000" w:themeColor="text1"/>
                  <w:sz w:val="22"/>
                  <w:szCs w:val="22"/>
                </w:rPr>
                <m:t>2.3</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1.9</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1.5</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1.6</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1.2</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1.1</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1.0</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1.0</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0.9</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0.8</m:t>
              </m:r>
            </m:num>
            <m:den>
              <m:r>
                <w:rPr>
                  <w:rFonts w:ascii="Cambria Math" w:hAnsi="Cambria Math" w:cs="Times New Roman"/>
                  <w:color w:val="000000" w:themeColor="text1"/>
                  <w:sz w:val="22"/>
                  <w:szCs w:val="22"/>
                </w:rPr>
                <m:t>10</m:t>
              </m:r>
            </m:den>
          </m:f>
        </m:oMath>
      </m:oMathPara>
    </w:p>
    <w:p w14:paraId="36F43E41" w14:textId="77777777" w:rsidR="00196A43" w:rsidRDefault="00EC6335">
      <w:pPr>
        <w:pStyle w:val="FirstParagraph"/>
        <w:spacing w:line="480" w:lineRule="auto"/>
        <w:jc w:val="both"/>
        <w:rPr>
          <w:rFonts w:ascii="Times New Roman" w:eastAsiaTheme="minorEastAsia" w:hAnsi="Times New Roman" w:cs="Times New Roman"/>
          <w:color w:val="000000" w:themeColor="text1"/>
          <w:sz w:val="22"/>
          <w:szCs w:val="22"/>
        </w:rPr>
      </w:pPr>
      <m:oMathPara>
        <m:oMathParaPr>
          <m:jc m:val="left"/>
        </m:oMathParaPr>
        <m:oMath>
          <m:r>
            <m:rPr>
              <m:sty m:val="p"/>
            </m:rP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w:rPr>
                  <w:rFonts w:ascii="Cambria Math" w:hAnsi="Cambria Math" w:cs="Times New Roman"/>
                  <w:color w:val="000000" w:themeColor="text1"/>
                  <w:sz w:val="22"/>
                  <w:szCs w:val="22"/>
                </w:rPr>
                <m:t>13.3</m:t>
              </m:r>
            </m:num>
            <m:den>
              <m:r>
                <w:rPr>
                  <w:rFonts w:ascii="Cambria Math" w:hAnsi="Cambria Math" w:cs="Times New Roman"/>
                  <w:color w:val="000000" w:themeColor="text1"/>
                  <w:sz w:val="22"/>
                  <w:szCs w:val="22"/>
                </w:rPr>
                <m:t>10</m:t>
              </m:r>
            </m:den>
          </m:f>
        </m:oMath>
      </m:oMathPara>
    </w:p>
    <w:p w14:paraId="5305124A" w14:textId="77777777" w:rsidR="00196A43" w:rsidRDefault="00EC6335">
      <w:pPr>
        <w:pStyle w:val="FirstParagraph"/>
        <w:jc w:val="both"/>
        <w:rPr>
          <w:rFonts w:ascii="Times New Roman" w:hAnsi="Times New Roman" w:cs="Times New Roman"/>
          <w:color w:val="000000" w:themeColor="text1"/>
          <w:sz w:val="22"/>
          <w:szCs w:val="22"/>
        </w:rPr>
      </w:pPr>
      <m:oMathPara>
        <m:oMathParaPr>
          <m:jc m:val="left"/>
        </m:oMathParaPr>
        <m:oMath>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1.33</m:t>
          </m:r>
        </m:oMath>
      </m:oMathPara>
    </w:p>
    <w:p w14:paraId="049B7016" w14:textId="77777777" w:rsidR="00196A43" w:rsidRDefault="00EC6335">
      <w:pPr>
        <w:numPr>
          <w:ilvl w:val="0"/>
          <w:numId w:val="4"/>
        </w:numPr>
        <w:spacing w:after="200" w:line="240" w:lineRule="auto"/>
        <w:jc w:val="both"/>
        <w:rPr>
          <w:rFonts w:ascii="Times New Roman" w:hAnsi="Times New Roman" w:cs="Times New Roman"/>
          <w:color w:val="000000" w:themeColor="text1"/>
        </w:rPr>
      </w:pPr>
      <w:r>
        <w:rPr>
          <w:rFonts w:ascii="Times New Roman" w:hAnsi="Times New Roman" w:cs="Times New Roman"/>
          <w:b/>
          <w:bCs/>
          <w:color w:val="000000" w:themeColor="text1"/>
        </w:rPr>
        <w:t>Average Cumulative Reward</w:t>
      </w:r>
    </w:p>
    <w:p w14:paraId="5A27AF3E" w14:textId="77777777" w:rsidR="00196A43" w:rsidRDefault="00EC6335">
      <w:pPr>
        <w:pStyle w:val="FirstParagraph"/>
        <w:jc w:val="both"/>
        <w:rPr>
          <w:rFonts w:ascii="Times New Roman" w:hAnsi="Times New Roman" w:cs="Times New Roman"/>
          <w:color w:val="000000" w:themeColor="text1"/>
          <w:sz w:val="22"/>
          <w:szCs w:val="22"/>
        </w:rPr>
      </w:pPr>
      <m:oMath>
        <m:r>
          <m:rPr>
            <m:nor/>
          </m:rPr>
          <w:rPr>
            <w:rFonts w:ascii="Times New Roman" w:hAnsi="Times New Roman" w:cs="Times New Roman"/>
            <w:color w:val="000000" w:themeColor="text1"/>
            <w:sz w:val="22"/>
            <w:szCs w:val="22"/>
          </w:rPr>
          <w:lastRenderedPageBreak/>
          <m:t>Average Reward</m:t>
        </m:r>
        <m:r>
          <m:rPr>
            <m:sty m:val="p"/>
          </m:rP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nary>
              <m:naryPr>
                <m:chr m:val="∑"/>
                <m:limLoc m:val="undOvr"/>
                <m:ctrlPr>
                  <w:rPr>
                    <w:rFonts w:ascii="Cambria Math" w:hAnsi="Cambria Math" w:cs="Times New Roman"/>
                    <w:color w:val="000000" w:themeColor="text1"/>
                    <w:sz w:val="22"/>
                    <w:szCs w:val="22"/>
                  </w:rPr>
                </m:ctrlPr>
              </m:naryPr>
              <m:sub>
                <m:r>
                  <w:rPr>
                    <w:rFonts w:ascii="Cambria Math" w:hAnsi="Cambria Math" w:cs="Times New Roman"/>
                    <w:color w:val="000000" w:themeColor="text1"/>
                    <w:sz w:val="22"/>
                    <w:szCs w:val="22"/>
                  </w:rPr>
                  <m:t>i</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m:t>
                </m:r>
              </m:sub>
              <m:sup>
                <m:r>
                  <w:rPr>
                    <w:rFonts w:ascii="Cambria Math" w:hAnsi="Cambria Math" w:cs="Times New Roman"/>
                    <w:color w:val="000000" w:themeColor="text1"/>
                    <w:sz w:val="22"/>
                    <w:szCs w:val="22"/>
                  </w:rPr>
                  <m:t>n</m:t>
                </m:r>
              </m:sup>
              <m:e>
                <m:sSub>
                  <m:sSubPr>
                    <m:ctrlPr>
                      <w:rPr>
                        <w:rFonts w:ascii="Cambria Math" w:hAnsi="Cambria Math" w:cs="Times New Roman"/>
                        <w:color w:val="000000" w:themeColor="text1"/>
                        <w:sz w:val="22"/>
                        <w:szCs w:val="22"/>
                      </w:rPr>
                    </m:ctrlPr>
                  </m:sSubPr>
                  <m:e>
                    <m:r>
                      <m:rPr>
                        <m:nor/>
                      </m:rPr>
                      <w:rPr>
                        <w:rFonts w:ascii="Times New Roman" w:hAnsi="Times New Roman" w:cs="Times New Roman"/>
                        <w:color w:val="000000" w:themeColor="text1"/>
                        <w:sz w:val="22"/>
                        <w:szCs w:val="22"/>
                      </w:rPr>
                      <m:t>Cumulative Reward</m:t>
                    </m:r>
                  </m:e>
                  <m:sub>
                    <m:r>
                      <w:rPr>
                        <w:rFonts w:ascii="Cambria Math" w:hAnsi="Cambria Math" w:cs="Times New Roman"/>
                        <w:color w:val="000000" w:themeColor="text1"/>
                        <w:sz w:val="22"/>
                        <w:szCs w:val="22"/>
                      </w:rPr>
                      <m:t>i</m:t>
                    </m:r>
                  </m:sub>
                </m:sSub>
              </m:e>
            </m:nary>
          </m:num>
          <m:den>
            <m:r>
              <w:rPr>
                <w:rFonts w:ascii="Cambria Math" w:hAnsi="Cambria Math" w:cs="Times New Roman"/>
                <w:color w:val="000000" w:themeColor="text1"/>
                <w:sz w:val="22"/>
                <w:szCs w:val="22"/>
              </w:rPr>
              <m:t>n</m:t>
            </m:r>
          </m:den>
        </m:f>
        <m:r>
          <m:rPr>
            <m:sty m:val="p"/>
          </m:rP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w:rPr>
                <w:rFonts w:ascii="Cambria Math" w:hAnsi="Cambria Math" w:cs="Times New Roman"/>
                <w:color w:val="000000" w:themeColor="text1"/>
                <w:sz w:val="22"/>
                <w:szCs w:val="22"/>
              </w:rPr>
              <m:t>1650</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1720</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1800</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1785</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1850</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1880</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1905</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1910</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1920</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1950</m:t>
            </m:r>
          </m:num>
          <m:den>
            <m:r>
              <w:rPr>
                <w:rFonts w:ascii="Cambria Math" w:hAnsi="Cambria Math" w:cs="Times New Roman"/>
                <w:color w:val="000000" w:themeColor="text1"/>
                <w:sz w:val="22"/>
                <w:szCs w:val="22"/>
              </w:rPr>
              <m:t>10</m:t>
            </m:r>
          </m:den>
        </m:f>
      </m:oMath>
      <w:r>
        <w:rPr>
          <w:rFonts w:ascii="Times New Roman" w:hAnsi="Times New Roman" w:cs="Times New Roman"/>
          <w:color w:val="000000" w:themeColor="text1"/>
          <w:sz w:val="22"/>
          <w:szCs w:val="22"/>
        </w:rPr>
        <w:t xml:space="preserve"> </w:t>
      </w:r>
      <m:oMath>
        <m:r>
          <m:rPr>
            <m:sty m:val="p"/>
          </m:rP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w:rPr>
                <w:rFonts w:ascii="Cambria Math" w:hAnsi="Cambria Math" w:cs="Times New Roman"/>
                <w:color w:val="000000" w:themeColor="text1"/>
                <w:sz w:val="22"/>
                <w:szCs w:val="22"/>
              </w:rPr>
              <m:t>18470</m:t>
            </m:r>
          </m:num>
          <m:den>
            <m:r>
              <w:rPr>
                <w:rFonts w:ascii="Cambria Math" w:hAnsi="Cambria Math" w:cs="Times New Roman"/>
                <w:color w:val="000000" w:themeColor="text1"/>
                <w:sz w:val="22"/>
                <w:szCs w:val="22"/>
              </w:rPr>
              <m:t>10</m:t>
            </m:r>
          </m:den>
        </m:f>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1847</m:t>
        </m:r>
      </m:oMath>
    </w:p>
    <w:p w14:paraId="3F7AC0A7" w14:textId="77777777" w:rsidR="00196A43" w:rsidRDefault="00EC6335">
      <w:pPr>
        <w:numPr>
          <w:ilvl w:val="0"/>
          <w:numId w:val="5"/>
        </w:numPr>
        <w:spacing w:after="200" w:line="240" w:lineRule="auto"/>
        <w:jc w:val="both"/>
        <w:rPr>
          <w:rFonts w:ascii="Times New Roman" w:hAnsi="Times New Roman" w:cs="Times New Roman"/>
          <w:color w:val="000000" w:themeColor="text1"/>
        </w:rPr>
      </w:pPr>
      <w:r>
        <w:rPr>
          <w:rFonts w:ascii="Times New Roman" w:hAnsi="Times New Roman" w:cs="Times New Roman"/>
          <w:b/>
          <w:bCs/>
          <w:color w:val="000000" w:themeColor="text1"/>
        </w:rPr>
        <w:t>Average Energy Consumption</w:t>
      </w:r>
    </w:p>
    <w:p w14:paraId="633DAC6B" w14:textId="77777777" w:rsidR="00196A43" w:rsidRDefault="00EC6335">
      <w:pPr>
        <w:pStyle w:val="FirstParagraph"/>
        <w:jc w:val="both"/>
        <w:rPr>
          <w:rFonts w:ascii="Times New Roman" w:eastAsiaTheme="minorEastAsia" w:hAnsi="Times New Roman" w:cs="Times New Roman"/>
          <w:color w:val="000000" w:themeColor="text1"/>
          <w:sz w:val="18"/>
          <w:szCs w:val="18"/>
        </w:rPr>
      </w:pPr>
      <m:oMathPara>
        <m:oMathParaPr>
          <m:jc m:val="left"/>
        </m:oMathParaPr>
        <m:oMath>
          <m:r>
            <m:rPr>
              <m:nor/>
            </m:rPr>
            <w:rPr>
              <w:rFonts w:ascii="Times New Roman" w:hAnsi="Times New Roman" w:cs="Times New Roman"/>
              <w:color w:val="000000" w:themeColor="text1"/>
              <w:sz w:val="18"/>
              <w:szCs w:val="18"/>
            </w:rPr>
            <m:t>Average Energy</m:t>
          </m:r>
          <m:r>
            <m:rPr>
              <m:sty m:val="p"/>
            </m:rPr>
            <w:rPr>
              <w:rFonts w:ascii="Cambria Math" w:hAnsi="Cambria Math" w:cs="Times New Roman"/>
              <w:color w:val="000000" w:themeColor="text1"/>
              <w:sz w:val="18"/>
              <w:szCs w:val="18"/>
            </w:rPr>
            <m:t>=</m:t>
          </m:r>
          <m:f>
            <m:fPr>
              <m:ctrlPr>
                <w:rPr>
                  <w:rFonts w:ascii="Cambria Math" w:hAnsi="Cambria Math" w:cs="Times New Roman"/>
                  <w:color w:val="000000" w:themeColor="text1"/>
                  <w:sz w:val="18"/>
                  <w:szCs w:val="18"/>
                </w:rPr>
              </m:ctrlPr>
            </m:fPr>
            <m:num>
              <m:nary>
                <m:naryPr>
                  <m:chr m:val="∑"/>
                  <m:limLoc m:val="undOvr"/>
                  <m:ctrlPr>
                    <w:rPr>
                      <w:rFonts w:ascii="Cambria Math" w:hAnsi="Cambria Math" w:cs="Times New Roman"/>
                      <w:color w:val="000000" w:themeColor="text1"/>
                      <w:sz w:val="18"/>
                      <w:szCs w:val="18"/>
                    </w:rPr>
                  </m:ctrlPr>
                </m:naryPr>
                <m:sub>
                  <m:r>
                    <w:rPr>
                      <w:rFonts w:ascii="Cambria Math" w:hAnsi="Cambria Math" w:cs="Times New Roman"/>
                      <w:color w:val="000000" w:themeColor="text1"/>
                      <w:sz w:val="18"/>
                      <w:szCs w:val="18"/>
                    </w:rPr>
                    <m:t>i</m:t>
                  </m:r>
                  <m:r>
                    <m:rPr>
                      <m:sty m:val="p"/>
                    </m:rPr>
                    <w:rPr>
                      <w:rFonts w:ascii="Cambria Math" w:hAnsi="Cambria Math" w:cs="Times New Roman"/>
                      <w:color w:val="000000" w:themeColor="text1"/>
                      <w:sz w:val="18"/>
                      <w:szCs w:val="18"/>
                    </w:rPr>
                    <m:t>=</m:t>
                  </m:r>
                  <m:r>
                    <w:rPr>
                      <w:rFonts w:ascii="Cambria Math" w:hAnsi="Cambria Math" w:cs="Times New Roman"/>
                      <w:color w:val="000000" w:themeColor="text1"/>
                      <w:sz w:val="18"/>
                      <w:szCs w:val="18"/>
                    </w:rPr>
                    <m:t>1</m:t>
                  </m:r>
                </m:sub>
                <m:sup>
                  <m:r>
                    <w:rPr>
                      <w:rFonts w:ascii="Cambria Math" w:hAnsi="Cambria Math" w:cs="Times New Roman"/>
                      <w:color w:val="000000" w:themeColor="text1"/>
                      <w:sz w:val="18"/>
                      <w:szCs w:val="18"/>
                    </w:rPr>
                    <m:t>n</m:t>
                  </m:r>
                </m:sup>
                <m:e>
                  <m:sSub>
                    <m:sSubPr>
                      <m:ctrlPr>
                        <w:rPr>
                          <w:rFonts w:ascii="Cambria Math" w:hAnsi="Cambria Math" w:cs="Times New Roman"/>
                          <w:color w:val="000000" w:themeColor="text1"/>
                          <w:sz w:val="18"/>
                          <w:szCs w:val="18"/>
                        </w:rPr>
                      </m:ctrlPr>
                    </m:sSubPr>
                    <m:e>
                      <m:r>
                        <m:rPr>
                          <m:nor/>
                        </m:rPr>
                        <w:rPr>
                          <w:rFonts w:ascii="Times New Roman" w:hAnsi="Times New Roman" w:cs="Times New Roman"/>
                          <w:color w:val="000000" w:themeColor="text1"/>
                          <w:sz w:val="18"/>
                          <w:szCs w:val="18"/>
                        </w:rPr>
                        <m:t>Energy</m:t>
                      </m:r>
                    </m:e>
                    <m:sub>
                      <m:r>
                        <w:rPr>
                          <w:rFonts w:ascii="Cambria Math" w:hAnsi="Cambria Math" w:cs="Times New Roman"/>
                          <w:color w:val="000000" w:themeColor="text1"/>
                          <w:sz w:val="18"/>
                          <w:szCs w:val="18"/>
                        </w:rPr>
                        <m:t>i</m:t>
                      </m:r>
                    </m:sub>
                  </m:sSub>
                </m:e>
              </m:nary>
            </m:num>
            <m:den>
              <m:r>
                <w:rPr>
                  <w:rFonts w:ascii="Cambria Math" w:hAnsi="Cambria Math" w:cs="Times New Roman"/>
                  <w:color w:val="000000" w:themeColor="text1"/>
                  <w:sz w:val="18"/>
                  <w:szCs w:val="18"/>
                </w:rPr>
                <m:t>n</m:t>
              </m:r>
            </m:den>
          </m:f>
          <m:r>
            <m:rPr>
              <m:sty m:val="p"/>
            </m:rPr>
            <w:rPr>
              <w:rFonts w:ascii="Cambria Math" w:hAnsi="Cambria Math" w:cs="Times New Roman"/>
              <w:color w:val="000000" w:themeColor="text1"/>
              <w:sz w:val="18"/>
              <w:szCs w:val="18"/>
            </w:rPr>
            <m:t>=</m:t>
          </m:r>
          <m:f>
            <m:fPr>
              <m:ctrlPr>
                <w:rPr>
                  <w:rFonts w:ascii="Cambria Math" w:hAnsi="Cambria Math" w:cs="Times New Roman"/>
                  <w:color w:val="000000" w:themeColor="text1"/>
                  <w:sz w:val="18"/>
                  <w:szCs w:val="18"/>
                </w:rPr>
              </m:ctrlPr>
            </m:fPr>
            <m:num>
              <m:r>
                <w:rPr>
                  <w:rFonts w:ascii="Cambria Math" w:hAnsi="Cambria Math" w:cs="Times New Roman"/>
                  <w:color w:val="000000" w:themeColor="text1"/>
                  <w:sz w:val="18"/>
                  <w:szCs w:val="18"/>
                </w:rPr>
                <m:t>1250</m:t>
              </m:r>
              <m:r>
                <m:rPr>
                  <m:sty m:val="p"/>
                </m:rPr>
                <w:rPr>
                  <w:rFonts w:ascii="Cambria Math" w:hAnsi="Cambria Math" w:cs="Times New Roman"/>
                  <w:color w:val="000000" w:themeColor="text1"/>
                  <w:sz w:val="18"/>
                  <w:szCs w:val="18"/>
                </w:rPr>
                <m:t>+</m:t>
              </m:r>
              <m:r>
                <w:rPr>
                  <w:rFonts w:ascii="Cambria Math" w:hAnsi="Cambria Math" w:cs="Times New Roman"/>
                  <w:color w:val="000000" w:themeColor="text1"/>
                  <w:sz w:val="18"/>
                  <w:szCs w:val="18"/>
                </w:rPr>
                <m:t>1230</m:t>
              </m:r>
              <m:r>
                <m:rPr>
                  <m:sty m:val="p"/>
                </m:rPr>
                <w:rPr>
                  <w:rFonts w:ascii="Cambria Math" w:hAnsi="Cambria Math" w:cs="Times New Roman"/>
                  <w:color w:val="000000" w:themeColor="text1"/>
                  <w:sz w:val="18"/>
                  <w:szCs w:val="18"/>
                </w:rPr>
                <m:t>+</m:t>
              </m:r>
              <m:r>
                <w:rPr>
                  <w:rFonts w:ascii="Cambria Math" w:hAnsi="Cambria Math" w:cs="Times New Roman"/>
                  <w:color w:val="000000" w:themeColor="text1"/>
                  <w:sz w:val="18"/>
                  <w:szCs w:val="18"/>
                </w:rPr>
                <m:t>1205</m:t>
              </m:r>
              <m:r>
                <m:rPr>
                  <m:sty m:val="p"/>
                </m:rPr>
                <w:rPr>
                  <w:rFonts w:ascii="Cambria Math" w:hAnsi="Cambria Math" w:cs="Times New Roman"/>
                  <w:color w:val="000000" w:themeColor="text1"/>
                  <w:sz w:val="18"/>
                  <w:szCs w:val="18"/>
                </w:rPr>
                <m:t>+</m:t>
              </m:r>
              <m:r>
                <w:rPr>
                  <w:rFonts w:ascii="Cambria Math" w:hAnsi="Cambria Math" w:cs="Times New Roman"/>
                  <w:color w:val="000000" w:themeColor="text1"/>
                  <w:sz w:val="18"/>
                  <w:szCs w:val="18"/>
                </w:rPr>
                <m:t>1198</m:t>
              </m:r>
              <m:r>
                <m:rPr>
                  <m:sty m:val="p"/>
                </m:rPr>
                <w:rPr>
                  <w:rFonts w:ascii="Cambria Math" w:hAnsi="Cambria Math" w:cs="Times New Roman"/>
                  <w:color w:val="000000" w:themeColor="text1"/>
                  <w:sz w:val="18"/>
                  <w:szCs w:val="18"/>
                </w:rPr>
                <m:t>+</m:t>
              </m:r>
              <m:r>
                <w:rPr>
                  <w:rFonts w:ascii="Cambria Math" w:hAnsi="Cambria Math" w:cs="Times New Roman"/>
                  <w:color w:val="000000" w:themeColor="text1"/>
                  <w:sz w:val="18"/>
                  <w:szCs w:val="18"/>
                </w:rPr>
                <m:t>1185</m:t>
              </m:r>
              <m:r>
                <m:rPr>
                  <m:sty m:val="p"/>
                </m:rPr>
                <w:rPr>
                  <w:rFonts w:ascii="Cambria Math" w:hAnsi="Cambria Math" w:cs="Times New Roman"/>
                  <w:color w:val="000000" w:themeColor="text1"/>
                  <w:sz w:val="18"/>
                  <w:szCs w:val="18"/>
                </w:rPr>
                <m:t>+</m:t>
              </m:r>
              <m:r>
                <w:rPr>
                  <w:rFonts w:ascii="Cambria Math" w:hAnsi="Cambria Math" w:cs="Times New Roman"/>
                  <w:color w:val="000000" w:themeColor="text1"/>
                  <w:sz w:val="18"/>
                  <w:szCs w:val="18"/>
                </w:rPr>
                <m:t>1170</m:t>
              </m:r>
              <m:r>
                <m:rPr>
                  <m:sty m:val="p"/>
                </m:rPr>
                <w:rPr>
                  <w:rFonts w:ascii="Cambria Math" w:hAnsi="Cambria Math" w:cs="Times New Roman"/>
                  <w:color w:val="000000" w:themeColor="text1"/>
                  <w:sz w:val="18"/>
                  <w:szCs w:val="18"/>
                </w:rPr>
                <m:t>+</m:t>
              </m:r>
              <m:r>
                <w:rPr>
                  <w:rFonts w:ascii="Cambria Math" w:hAnsi="Cambria Math" w:cs="Times New Roman"/>
                  <w:color w:val="000000" w:themeColor="text1"/>
                  <w:sz w:val="18"/>
                  <w:szCs w:val="18"/>
                </w:rPr>
                <m:t>1162</m:t>
              </m:r>
              <m:r>
                <m:rPr>
                  <m:sty m:val="p"/>
                </m:rPr>
                <w:rPr>
                  <w:rFonts w:ascii="Cambria Math" w:hAnsi="Cambria Math" w:cs="Times New Roman"/>
                  <w:color w:val="000000" w:themeColor="text1"/>
                  <w:sz w:val="18"/>
                  <w:szCs w:val="18"/>
                </w:rPr>
                <m:t>+</m:t>
              </m:r>
              <m:r>
                <w:rPr>
                  <w:rFonts w:ascii="Cambria Math" w:hAnsi="Cambria Math" w:cs="Times New Roman"/>
                  <w:color w:val="000000" w:themeColor="text1"/>
                  <w:sz w:val="18"/>
                  <w:szCs w:val="18"/>
                </w:rPr>
                <m:t>1155</m:t>
              </m:r>
              <m:r>
                <m:rPr>
                  <m:sty m:val="p"/>
                </m:rPr>
                <w:rPr>
                  <w:rFonts w:ascii="Cambria Math" w:hAnsi="Cambria Math" w:cs="Times New Roman"/>
                  <w:color w:val="000000" w:themeColor="text1"/>
                  <w:sz w:val="18"/>
                  <w:szCs w:val="18"/>
                </w:rPr>
                <m:t>+</m:t>
              </m:r>
              <m:r>
                <w:rPr>
                  <w:rFonts w:ascii="Cambria Math" w:hAnsi="Cambria Math" w:cs="Times New Roman"/>
                  <w:color w:val="000000" w:themeColor="text1"/>
                  <w:sz w:val="18"/>
                  <w:szCs w:val="18"/>
                </w:rPr>
                <m:t>1150</m:t>
              </m:r>
              <m:r>
                <m:rPr>
                  <m:sty m:val="p"/>
                </m:rPr>
                <w:rPr>
                  <w:rFonts w:ascii="Cambria Math" w:hAnsi="Cambria Math" w:cs="Times New Roman"/>
                  <w:color w:val="000000" w:themeColor="text1"/>
                  <w:sz w:val="18"/>
                  <w:szCs w:val="18"/>
                </w:rPr>
                <m:t>+</m:t>
              </m:r>
              <m:r>
                <w:rPr>
                  <w:rFonts w:ascii="Cambria Math" w:hAnsi="Cambria Math" w:cs="Times New Roman"/>
                  <w:color w:val="000000" w:themeColor="text1"/>
                  <w:sz w:val="18"/>
                  <w:szCs w:val="18"/>
                </w:rPr>
                <m:t>1142</m:t>
              </m:r>
            </m:num>
            <m:den>
              <m:r>
                <w:rPr>
                  <w:rFonts w:ascii="Cambria Math" w:hAnsi="Cambria Math" w:cs="Times New Roman"/>
                  <w:color w:val="000000" w:themeColor="text1"/>
                  <w:sz w:val="18"/>
                  <w:szCs w:val="18"/>
                </w:rPr>
                <m:t>10</m:t>
              </m:r>
            </m:den>
          </m:f>
        </m:oMath>
      </m:oMathPara>
    </w:p>
    <w:p w14:paraId="500C7856" w14:textId="77777777" w:rsidR="00196A43" w:rsidRDefault="00EC6335">
      <w:pPr>
        <w:pStyle w:val="FirstParagraph"/>
        <w:jc w:val="both"/>
        <w:rPr>
          <w:rFonts w:ascii="Times New Roman" w:hAnsi="Times New Roman" w:cs="Times New Roman"/>
          <w:color w:val="000000" w:themeColor="text1"/>
          <w:sz w:val="22"/>
          <w:szCs w:val="22"/>
        </w:rPr>
      </w:pPr>
      <m:oMathPara>
        <m:oMathParaPr>
          <m:jc m:val="left"/>
        </m:oMathParaPr>
        <m:oMath>
          <m:r>
            <m:rPr>
              <m:sty m:val="p"/>
            </m:rP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w:rPr>
                  <w:rFonts w:ascii="Cambria Math" w:hAnsi="Cambria Math" w:cs="Times New Roman"/>
                  <w:color w:val="000000" w:themeColor="text1"/>
                  <w:sz w:val="22"/>
                  <w:szCs w:val="22"/>
                </w:rPr>
                <m:t>11847</m:t>
              </m:r>
            </m:num>
            <m:den>
              <m:r>
                <w:rPr>
                  <w:rFonts w:ascii="Cambria Math" w:hAnsi="Cambria Math" w:cs="Times New Roman"/>
                  <w:color w:val="000000" w:themeColor="text1"/>
                  <w:sz w:val="22"/>
                  <w:szCs w:val="22"/>
                </w:rPr>
                <m:t>10</m:t>
              </m:r>
            </m:den>
          </m:f>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1184.7</m:t>
          </m:r>
          <m:r>
            <m:rPr>
              <m:nor/>
            </m:rPr>
            <w:rPr>
              <w:rFonts w:ascii="Times New Roman" w:hAnsi="Times New Roman" w:cs="Times New Roman"/>
              <w:color w:val="000000" w:themeColor="text1"/>
              <w:sz w:val="22"/>
              <w:szCs w:val="22"/>
            </w:rPr>
            <m:t xml:space="preserve"> J</m:t>
          </m:r>
        </m:oMath>
      </m:oMathPara>
    </w:p>
    <w:p w14:paraId="09715190" w14:textId="77777777" w:rsidR="00196A43" w:rsidRDefault="00EC6335">
      <w:pPr>
        <w:pStyle w:val="FirstParagraph"/>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Table.1: Simulation Results for UAV Navigation</w:t>
      </w:r>
      <w:r>
        <w:rPr>
          <w:rFonts w:ascii="Times New Roman" w:hAnsi="Times New Roman" w:cs="Times New Roman"/>
          <w:color w:val="000000" w:themeColor="text1"/>
          <w:sz w:val="22"/>
          <w:szCs w:val="22"/>
        </w:rPr>
        <w:br/>
      </w:r>
      <w:r>
        <w:rPr>
          <w:rFonts w:ascii="Times New Roman" w:hAnsi="Times New Roman" w:cs="Times New Roman"/>
          <w:b/>
          <w:bCs/>
          <w:color w:val="000000" w:themeColor="text1"/>
          <w:sz w:val="22"/>
          <w:szCs w:val="22"/>
        </w:rPr>
        <w:t>Source:</w:t>
      </w:r>
      <w:r>
        <w:rPr>
          <w:rFonts w:ascii="Times New Roman" w:hAnsi="Times New Roman" w:cs="Times New Roman"/>
          <w:color w:val="000000" w:themeColor="text1"/>
          <w:sz w:val="22"/>
          <w:szCs w:val="22"/>
        </w:rPr>
        <w:t xml:space="preserve"> Generated from </w:t>
      </w:r>
      <w:proofErr w:type="spellStart"/>
      <w:r>
        <w:rPr>
          <w:rFonts w:ascii="Times New Roman" w:hAnsi="Times New Roman" w:cs="Times New Roman"/>
          <w:color w:val="000000" w:themeColor="text1"/>
          <w:sz w:val="22"/>
          <w:szCs w:val="22"/>
        </w:rPr>
        <w:t>AirSim</w:t>
      </w:r>
      <w:proofErr w:type="spellEnd"/>
      <w:r>
        <w:rPr>
          <w:rFonts w:ascii="Times New Roman" w:hAnsi="Times New Roman" w:cs="Times New Roman"/>
          <w:color w:val="000000" w:themeColor="text1"/>
          <w:sz w:val="22"/>
          <w:szCs w:val="22"/>
        </w:rPr>
        <w:t xml:space="preserve"> simulation environment data, 2025</w:t>
      </w:r>
    </w:p>
    <w:p w14:paraId="5B52BE61" w14:textId="77777777" w:rsidR="00196A43" w:rsidRDefault="00EC6335">
      <w:pPr>
        <w:pStyle w:val="BodyTex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The UAV demonstrates steady improvement in performance </w:t>
      </w:r>
      <w:r>
        <w:rPr>
          <w:rFonts w:ascii="Times New Roman" w:hAnsi="Times New Roman" w:cs="Times New Roman"/>
          <w:color w:val="000000" w:themeColor="text1"/>
          <w:sz w:val="22"/>
          <w:szCs w:val="22"/>
        </w:rPr>
        <w:t>over 500 episodes. The target-reaching rate increases to 96% in the last set of episodes, while collision counts decrease significantly. Cumulative rewards and energy efficiency improve, showing optimized navigation policies learned by the DRL-CV integrati</w:t>
      </w:r>
      <w:r>
        <w:rPr>
          <w:rFonts w:ascii="Times New Roman" w:hAnsi="Times New Roman" w:cs="Times New Roman"/>
          <w:color w:val="000000" w:themeColor="text1"/>
          <w:sz w:val="22"/>
          <w:szCs w:val="22"/>
        </w:rPr>
        <w:t>on.</w:t>
      </w:r>
    </w:p>
    <w:p w14:paraId="105E6A81" w14:textId="77777777" w:rsidR="00196A43" w:rsidRDefault="00EC6335">
      <w:pPr>
        <w:pStyle w:val="Heading2"/>
        <w:spacing w:line="240" w:lineRule="auto"/>
        <w:rPr>
          <w:rFonts w:ascii="Times New Roman" w:hAnsi="Times New Roman" w:cs="Times New Roman"/>
          <w:b/>
          <w:color w:val="000000" w:themeColor="text1"/>
          <w:sz w:val="22"/>
          <w:szCs w:val="22"/>
        </w:rPr>
      </w:pPr>
      <w:bookmarkStart w:id="2" w:name="_Toc216177160"/>
      <w:r>
        <w:rPr>
          <w:rFonts w:ascii="Times New Roman" w:hAnsi="Times New Roman" w:cs="Times New Roman"/>
          <w:b/>
          <w:color w:val="000000" w:themeColor="text1"/>
          <w:sz w:val="22"/>
          <w:szCs w:val="22"/>
        </w:rPr>
        <w:t>Table 2: Performance Evaluation of DRL Algorithm</w:t>
      </w:r>
      <w:bookmarkEnd w:id="2"/>
    </w:p>
    <w:tbl>
      <w:tblPr>
        <w:tblStyle w:val="Table"/>
        <w:tblW w:w="0" w:type="auto"/>
        <w:tblInd w:w="0" w:type="dxa"/>
        <w:tblLook w:val="04A0" w:firstRow="1" w:lastRow="0" w:firstColumn="1" w:lastColumn="0" w:noHBand="0" w:noVBand="1"/>
      </w:tblPr>
      <w:tblGrid>
        <w:gridCol w:w="900"/>
        <w:gridCol w:w="736"/>
        <w:gridCol w:w="1082"/>
        <w:gridCol w:w="982"/>
        <w:gridCol w:w="836"/>
      </w:tblGrid>
      <w:tr w:rsidR="00196A43" w14:paraId="2459CE23" w14:textId="77777777" w:rsidTr="00196A43">
        <w:trPr>
          <w:cnfStyle w:val="100000000000" w:firstRow="1" w:lastRow="0" w:firstColumn="0" w:lastColumn="0" w:oddVBand="0" w:evenVBand="0" w:oddHBand="0" w:evenHBand="0" w:firstRowFirstColumn="0" w:firstRowLastColumn="0" w:lastRowFirstColumn="0" w:lastRowLastColumn="0"/>
          <w:tblHeader/>
        </w:trPr>
        <w:tc>
          <w:tcPr>
            <w:tcW w:w="1216" w:type="dxa"/>
            <w:tcBorders>
              <w:top w:val="single" w:sz="10" w:space="0" w:color="000000"/>
              <w:left w:val="single" w:sz="10" w:space="0" w:color="000000"/>
              <w:bottom w:val="single" w:sz="10" w:space="0" w:color="000000"/>
              <w:right w:val="single" w:sz="10" w:space="0" w:color="000000"/>
            </w:tcBorders>
            <w:vAlign w:val="center"/>
          </w:tcPr>
          <w:p w14:paraId="1128937C"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DRL Algorithm</w:t>
            </w:r>
          </w:p>
        </w:tc>
        <w:tc>
          <w:tcPr>
            <w:tcW w:w="1142" w:type="dxa"/>
            <w:tcBorders>
              <w:top w:val="single" w:sz="10" w:space="0" w:color="000000"/>
              <w:left w:val="single" w:sz="10" w:space="0" w:color="000000"/>
              <w:bottom w:val="single" w:sz="10" w:space="0" w:color="000000"/>
              <w:right w:val="single" w:sz="10" w:space="0" w:color="000000"/>
            </w:tcBorders>
            <w:vAlign w:val="center"/>
          </w:tcPr>
          <w:p w14:paraId="5CAEAD80"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Success Rate (%)</w:t>
            </w:r>
          </w:p>
        </w:tc>
        <w:tc>
          <w:tcPr>
            <w:tcW w:w="1710" w:type="dxa"/>
            <w:tcBorders>
              <w:top w:val="single" w:sz="10" w:space="0" w:color="000000"/>
              <w:left w:val="single" w:sz="10" w:space="0" w:color="000000"/>
              <w:bottom w:val="single" w:sz="10" w:space="0" w:color="000000"/>
              <w:right w:val="single" w:sz="10" w:space="0" w:color="000000"/>
            </w:tcBorders>
            <w:vAlign w:val="center"/>
          </w:tcPr>
          <w:p w14:paraId="3442DCD8"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Average Episodes to Convergence</w:t>
            </w:r>
          </w:p>
        </w:tc>
        <w:tc>
          <w:tcPr>
            <w:tcW w:w="1350" w:type="dxa"/>
            <w:tcBorders>
              <w:top w:val="single" w:sz="10" w:space="0" w:color="000000"/>
              <w:left w:val="single" w:sz="10" w:space="0" w:color="000000"/>
              <w:bottom w:val="single" w:sz="10" w:space="0" w:color="000000"/>
              <w:right w:val="single" w:sz="10" w:space="0" w:color="000000"/>
            </w:tcBorders>
            <w:vAlign w:val="center"/>
          </w:tcPr>
          <w:p w14:paraId="041F200A"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Cumulative Reward</w:t>
            </w:r>
          </w:p>
        </w:tc>
        <w:tc>
          <w:tcPr>
            <w:tcW w:w="1890" w:type="dxa"/>
            <w:tcBorders>
              <w:top w:val="single" w:sz="10" w:space="0" w:color="000000"/>
              <w:left w:val="single" w:sz="10" w:space="0" w:color="000000"/>
              <w:bottom w:val="single" w:sz="10" w:space="0" w:color="000000"/>
              <w:right w:val="single" w:sz="10" w:space="0" w:color="000000"/>
            </w:tcBorders>
            <w:vAlign w:val="center"/>
          </w:tcPr>
          <w:p w14:paraId="391CE3BE"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Std. Dev (Reward)</w:t>
            </w:r>
          </w:p>
        </w:tc>
      </w:tr>
      <w:tr w:rsidR="00196A43" w14:paraId="100B17A3" w14:textId="77777777" w:rsidTr="00196A43">
        <w:tc>
          <w:tcPr>
            <w:tcW w:w="1216" w:type="dxa"/>
            <w:tcBorders>
              <w:top w:val="single" w:sz="10" w:space="0" w:color="000000"/>
              <w:left w:val="single" w:sz="10" w:space="0" w:color="000000"/>
              <w:bottom w:val="single" w:sz="10" w:space="0" w:color="000000"/>
              <w:right w:val="single" w:sz="10" w:space="0" w:color="000000"/>
            </w:tcBorders>
          </w:tcPr>
          <w:p w14:paraId="2445CD96"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PPO</w:t>
            </w:r>
          </w:p>
        </w:tc>
        <w:tc>
          <w:tcPr>
            <w:tcW w:w="1142" w:type="dxa"/>
            <w:tcBorders>
              <w:top w:val="single" w:sz="10" w:space="0" w:color="000000"/>
              <w:left w:val="single" w:sz="10" w:space="0" w:color="000000"/>
              <w:bottom w:val="single" w:sz="10" w:space="0" w:color="000000"/>
              <w:right w:val="single" w:sz="10" w:space="0" w:color="000000"/>
            </w:tcBorders>
          </w:tcPr>
          <w:p w14:paraId="24ECC82A"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94</w:t>
            </w:r>
          </w:p>
        </w:tc>
        <w:tc>
          <w:tcPr>
            <w:tcW w:w="1710" w:type="dxa"/>
            <w:tcBorders>
              <w:top w:val="single" w:sz="10" w:space="0" w:color="000000"/>
              <w:left w:val="single" w:sz="10" w:space="0" w:color="000000"/>
              <w:bottom w:val="single" w:sz="10" w:space="0" w:color="000000"/>
              <w:right w:val="single" w:sz="10" w:space="0" w:color="000000"/>
            </w:tcBorders>
          </w:tcPr>
          <w:p w14:paraId="2AC7B07A"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150</w:t>
            </w:r>
          </w:p>
        </w:tc>
        <w:tc>
          <w:tcPr>
            <w:tcW w:w="1350" w:type="dxa"/>
            <w:tcBorders>
              <w:top w:val="single" w:sz="10" w:space="0" w:color="000000"/>
              <w:left w:val="single" w:sz="10" w:space="0" w:color="000000"/>
              <w:bottom w:val="single" w:sz="10" w:space="0" w:color="000000"/>
              <w:right w:val="single" w:sz="10" w:space="0" w:color="000000"/>
            </w:tcBorders>
          </w:tcPr>
          <w:p w14:paraId="49C9FB28"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1880</w:t>
            </w:r>
          </w:p>
        </w:tc>
        <w:tc>
          <w:tcPr>
            <w:tcW w:w="1890" w:type="dxa"/>
            <w:tcBorders>
              <w:top w:val="single" w:sz="10" w:space="0" w:color="000000"/>
              <w:left w:val="single" w:sz="10" w:space="0" w:color="000000"/>
              <w:bottom w:val="single" w:sz="10" w:space="0" w:color="000000"/>
              <w:right w:val="single" w:sz="10" w:space="0" w:color="000000"/>
            </w:tcBorders>
          </w:tcPr>
          <w:p w14:paraId="64B50844"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42</w:t>
            </w:r>
          </w:p>
        </w:tc>
      </w:tr>
      <w:tr w:rsidR="00196A43" w14:paraId="654C3FC7" w14:textId="77777777" w:rsidTr="00196A43">
        <w:tc>
          <w:tcPr>
            <w:tcW w:w="1216" w:type="dxa"/>
            <w:tcBorders>
              <w:top w:val="single" w:sz="10" w:space="0" w:color="000000"/>
              <w:left w:val="single" w:sz="10" w:space="0" w:color="000000"/>
              <w:bottom w:val="single" w:sz="10" w:space="0" w:color="000000"/>
              <w:right w:val="single" w:sz="10" w:space="0" w:color="000000"/>
            </w:tcBorders>
          </w:tcPr>
          <w:p w14:paraId="14967028"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DQN</w:t>
            </w:r>
          </w:p>
        </w:tc>
        <w:tc>
          <w:tcPr>
            <w:tcW w:w="1142" w:type="dxa"/>
            <w:tcBorders>
              <w:top w:val="single" w:sz="10" w:space="0" w:color="000000"/>
              <w:left w:val="single" w:sz="10" w:space="0" w:color="000000"/>
              <w:bottom w:val="single" w:sz="10" w:space="0" w:color="000000"/>
              <w:right w:val="single" w:sz="10" w:space="0" w:color="000000"/>
            </w:tcBorders>
          </w:tcPr>
          <w:p w14:paraId="6A595AE3"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85</w:t>
            </w:r>
          </w:p>
        </w:tc>
        <w:tc>
          <w:tcPr>
            <w:tcW w:w="1710" w:type="dxa"/>
            <w:tcBorders>
              <w:top w:val="single" w:sz="10" w:space="0" w:color="000000"/>
              <w:left w:val="single" w:sz="10" w:space="0" w:color="000000"/>
              <w:bottom w:val="single" w:sz="10" w:space="0" w:color="000000"/>
              <w:right w:val="single" w:sz="10" w:space="0" w:color="000000"/>
            </w:tcBorders>
          </w:tcPr>
          <w:p w14:paraId="0100A4B0"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220</w:t>
            </w:r>
          </w:p>
        </w:tc>
        <w:tc>
          <w:tcPr>
            <w:tcW w:w="1350" w:type="dxa"/>
            <w:tcBorders>
              <w:top w:val="single" w:sz="10" w:space="0" w:color="000000"/>
              <w:left w:val="single" w:sz="10" w:space="0" w:color="000000"/>
              <w:bottom w:val="single" w:sz="10" w:space="0" w:color="000000"/>
              <w:right w:val="single" w:sz="10" w:space="0" w:color="000000"/>
            </w:tcBorders>
          </w:tcPr>
          <w:p w14:paraId="10BAAED6"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1720</w:t>
            </w:r>
          </w:p>
        </w:tc>
        <w:tc>
          <w:tcPr>
            <w:tcW w:w="1890" w:type="dxa"/>
            <w:tcBorders>
              <w:top w:val="single" w:sz="10" w:space="0" w:color="000000"/>
              <w:left w:val="single" w:sz="10" w:space="0" w:color="000000"/>
              <w:bottom w:val="single" w:sz="10" w:space="0" w:color="000000"/>
              <w:right w:val="single" w:sz="10" w:space="0" w:color="000000"/>
            </w:tcBorders>
          </w:tcPr>
          <w:p w14:paraId="64D1F260"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55</w:t>
            </w:r>
          </w:p>
        </w:tc>
      </w:tr>
      <w:tr w:rsidR="00196A43" w14:paraId="0F347255" w14:textId="77777777" w:rsidTr="00196A43">
        <w:tc>
          <w:tcPr>
            <w:tcW w:w="1216" w:type="dxa"/>
            <w:tcBorders>
              <w:top w:val="single" w:sz="10" w:space="0" w:color="000000"/>
              <w:left w:val="single" w:sz="10" w:space="0" w:color="000000"/>
              <w:bottom w:val="single" w:sz="10" w:space="0" w:color="000000"/>
              <w:right w:val="single" w:sz="10" w:space="0" w:color="000000"/>
            </w:tcBorders>
          </w:tcPr>
          <w:p w14:paraId="393790DB"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A3C</w:t>
            </w:r>
          </w:p>
        </w:tc>
        <w:tc>
          <w:tcPr>
            <w:tcW w:w="1142" w:type="dxa"/>
            <w:tcBorders>
              <w:top w:val="single" w:sz="10" w:space="0" w:color="000000"/>
              <w:left w:val="single" w:sz="10" w:space="0" w:color="000000"/>
              <w:bottom w:val="single" w:sz="10" w:space="0" w:color="000000"/>
              <w:right w:val="single" w:sz="10" w:space="0" w:color="000000"/>
            </w:tcBorders>
          </w:tcPr>
          <w:p w14:paraId="23BCFA0D"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90</w:t>
            </w:r>
          </w:p>
        </w:tc>
        <w:tc>
          <w:tcPr>
            <w:tcW w:w="1710" w:type="dxa"/>
            <w:tcBorders>
              <w:top w:val="single" w:sz="10" w:space="0" w:color="000000"/>
              <w:left w:val="single" w:sz="10" w:space="0" w:color="000000"/>
              <w:bottom w:val="single" w:sz="10" w:space="0" w:color="000000"/>
              <w:right w:val="single" w:sz="10" w:space="0" w:color="000000"/>
            </w:tcBorders>
          </w:tcPr>
          <w:p w14:paraId="23D18C0E"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180</w:t>
            </w:r>
          </w:p>
        </w:tc>
        <w:tc>
          <w:tcPr>
            <w:tcW w:w="1350" w:type="dxa"/>
            <w:tcBorders>
              <w:top w:val="single" w:sz="10" w:space="0" w:color="000000"/>
              <w:left w:val="single" w:sz="10" w:space="0" w:color="000000"/>
              <w:bottom w:val="single" w:sz="10" w:space="0" w:color="000000"/>
              <w:right w:val="single" w:sz="10" w:space="0" w:color="000000"/>
            </w:tcBorders>
          </w:tcPr>
          <w:p w14:paraId="38F6CBEE"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1805</w:t>
            </w:r>
          </w:p>
        </w:tc>
        <w:tc>
          <w:tcPr>
            <w:tcW w:w="1890" w:type="dxa"/>
            <w:tcBorders>
              <w:top w:val="single" w:sz="10" w:space="0" w:color="000000"/>
              <w:left w:val="single" w:sz="10" w:space="0" w:color="000000"/>
              <w:bottom w:val="single" w:sz="10" w:space="0" w:color="000000"/>
              <w:right w:val="single" w:sz="10" w:space="0" w:color="000000"/>
            </w:tcBorders>
          </w:tcPr>
          <w:p w14:paraId="6EFA30F1"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48</w:t>
            </w:r>
          </w:p>
        </w:tc>
      </w:tr>
      <w:tr w:rsidR="00196A43" w14:paraId="0B68A45D" w14:textId="77777777" w:rsidTr="00196A43">
        <w:tc>
          <w:tcPr>
            <w:tcW w:w="1216" w:type="dxa"/>
            <w:tcBorders>
              <w:top w:val="single" w:sz="10" w:space="0" w:color="000000"/>
              <w:left w:val="single" w:sz="10" w:space="0" w:color="000000"/>
              <w:bottom w:val="single" w:sz="10" w:space="0" w:color="000000"/>
              <w:right w:val="single" w:sz="10" w:space="0" w:color="000000"/>
            </w:tcBorders>
          </w:tcPr>
          <w:p w14:paraId="6A12E631"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SAC</w:t>
            </w:r>
          </w:p>
        </w:tc>
        <w:tc>
          <w:tcPr>
            <w:tcW w:w="1142" w:type="dxa"/>
            <w:tcBorders>
              <w:top w:val="single" w:sz="10" w:space="0" w:color="000000"/>
              <w:left w:val="single" w:sz="10" w:space="0" w:color="000000"/>
              <w:bottom w:val="single" w:sz="10" w:space="0" w:color="000000"/>
              <w:right w:val="single" w:sz="10" w:space="0" w:color="000000"/>
            </w:tcBorders>
          </w:tcPr>
          <w:p w14:paraId="7215D24B"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92</w:t>
            </w:r>
          </w:p>
        </w:tc>
        <w:tc>
          <w:tcPr>
            <w:tcW w:w="1710" w:type="dxa"/>
            <w:tcBorders>
              <w:top w:val="single" w:sz="10" w:space="0" w:color="000000"/>
              <w:left w:val="single" w:sz="10" w:space="0" w:color="000000"/>
              <w:bottom w:val="single" w:sz="10" w:space="0" w:color="000000"/>
              <w:right w:val="single" w:sz="10" w:space="0" w:color="000000"/>
            </w:tcBorders>
          </w:tcPr>
          <w:p w14:paraId="4A31880C"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160</w:t>
            </w:r>
          </w:p>
        </w:tc>
        <w:tc>
          <w:tcPr>
            <w:tcW w:w="1350" w:type="dxa"/>
            <w:tcBorders>
              <w:top w:val="single" w:sz="10" w:space="0" w:color="000000"/>
              <w:left w:val="single" w:sz="10" w:space="0" w:color="000000"/>
              <w:bottom w:val="single" w:sz="10" w:space="0" w:color="000000"/>
              <w:right w:val="single" w:sz="10" w:space="0" w:color="000000"/>
            </w:tcBorders>
          </w:tcPr>
          <w:p w14:paraId="693D177D"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1850</w:t>
            </w:r>
          </w:p>
        </w:tc>
        <w:tc>
          <w:tcPr>
            <w:tcW w:w="1890" w:type="dxa"/>
            <w:tcBorders>
              <w:top w:val="single" w:sz="10" w:space="0" w:color="000000"/>
              <w:left w:val="single" w:sz="10" w:space="0" w:color="000000"/>
              <w:bottom w:val="single" w:sz="10" w:space="0" w:color="000000"/>
              <w:right w:val="single" w:sz="10" w:space="0" w:color="000000"/>
            </w:tcBorders>
          </w:tcPr>
          <w:p w14:paraId="67BAFC29"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46</w:t>
            </w:r>
          </w:p>
        </w:tc>
      </w:tr>
    </w:tbl>
    <w:p w14:paraId="487633BD" w14:textId="77777777" w:rsidR="00196A43" w:rsidRDefault="00EC6335">
      <w:pPr>
        <w:pStyle w:val="BodyText"/>
        <w:jc w:val="both"/>
        <w:rPr>
          <w:rFonts w:ascii="Times New Roman" w:hAnsi="Times New Roman" w:cs="Times New Roman"/>
          <w:b/>
          <w:bCs/>
          <w:color w:val="000000" w:themeColor="text1"/>
          <w:sz w:val="22"/>
          <w:szCs w:val="22"/>
        </w:rPr>
      </w:pPr>
      <w:r>
        <w:rPr>
          <w:rFonts w:ascii="Times New Roman" w:hAnsi="Times New Roman" w:cs="Times New Roman"/>
          <w:b/>
          <w:bCs/>
          <w:noProof/>
          <w:color w:val="000000" w:themeColor="text1"/>
          <w:sz w:val="22"/>
          <w:szCs w:val="22"/>
        </w:rPr>
        <w:drawing>
          <wp:inline distT="0" distB="0" distL="0" distR="0" wp14:anchorId="464EE407" wp14:editId="5B8ECD90">
            <wp:extent cx="2747010" cy="1476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stretch>
                      <a:fillRect/>
                    </a:stretch>
                  </pic:blipFill>
                  <pic:spPr>
                    <a:xfrm>
                      <a:off x="0" y="0"/>
                      <a:ext cx="2748175" cy="1476749"/>
                    </a:xfrm>
                    <a:prstGeom prst="rect">
                      <a:avLst/>
                    </a:prstGeom>
                  </pic:spPr>
                </pic:pic>
              </a:graphicData>
            </a:graphic>
          </wp:inline>
        </w:drawing>
      </w:r>
    </w:p>
    <w:p w14:paraId="79ABBD16" w14:textId="77777777" w:rsidR="00196A43" w:rsidRDefault="00EC6335">
      <w:pPr>
        <w:pStyle w:val="BodyText"/>
        <w:jc w:val="both"/>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lastRenderedPageBreak/>
        <w:t>Calculations:</w:t>
      </w:r>
    </w:p>
    <w:p w14:paraId="4C81F69E" w14:textId="77777777" w:rsidR="00196A43" w:rsidRDefault="00EC6335">
      <w:pPr>
        <w:numPr>
          <w:ilvl w:val="0"/>
          <w:numId w:val="6"/>
        </w:numPr>
        <w:spacing w:after="200" w:line="240" w:lineRule="auto"/>
        <w:jc w:val="both"/>
        <w:rPr>
          <w:rFonts w:ascii="Times New Roman" w:hAnsi="Times New Roman" w:cs="Times New Roman"/>
          <w:color w:val="000000" w:themeColor="text1"/>
        </w:rPr>
      </w:pPr>
      <w:r>
        <w:rPr>
          <w:rFonts w:ascii="Times New Roman" w:hAnsi="Times New Roman" w:cs="Times New Roman"/>
          <w:b/>
          <w:bCs/>
          <w:color w:val="000000" w:themeColor="text1"/>
        </w:rPr>
        <w:t>Average</w:t>
      </w:r>
      <w:r>
        <w:rPr>
          <w:rFonts w:ascii="Times New Roman" w:hAnsi="Times New Roman" w:cs="Times New Roman"/>
          <w:b/>
          <w:bCs/>
          <w:color w:val="000000" w:themeColor="text1"/>
        </w:rPr>
        <w:t xml:space="preserve"> Success Rate:</w:t>
      </w:r>
    </w:p>
    <w:p w14:paraId="30DEEE88" w14:textId="77777777" w:rsidR="00196A43" w:rsidRDefault="00EC6335">
      <w:pPr>
        <w:pStyle w:val="FirstParagraph"/>
        <w:jc w:val="both"/>
        <w:rPr>
          <w:rFonts w:ascii="Times New Roman" w:eastAsiaTheme="minorEastAsia" w:hAnsi="Times New Roman" w:cs="Times New Roman"/>
          <w:color w:val="000000" w:themeColor="text1"/>
          <w:sz w:val="22"/>
          <w:szCs w:val="22"/>
        </w:rPr>
      </w:pPr>
      <m:oMathPara>
        <m:oMathParaPr>
          <m:jc m:val="left"/>
        </m:oMathParaPr>
        <m:oMath>
          <m:r>
            <m:rPr>
              <m:nor/>
            </m:rPr>
            <w:rPr>
              <w:rFonts w:ascii="Times New Roman" w:hAnsi="Times New Roman" w:cs="Times New Roman"/>
              <w:color w:val="000000" w:themeColor="text1"/>
              <w:sz w:val="22"/>
              <w:szCs w:val="22"/>
            </w:rPr>
            <m:t>Average Success Rate</m:t>
          </m:r>
          <m:r>
            <m:rPr>
              <m:sty m:val="p"/>
            </m:rP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w:rPr>
                  <w:rFonts w:ascii="Cambria Math" w:hAnsi="Cambria Math" w:cs="Times New Roman"/>
                  <w:color w:val="000000" w:themeColor="text1"/>
                  <w:sz w:val="22"/>
                  <w:szCs w:val="22"/>
                </w:rPr>
                <m:t>94</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85</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90</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92</m:t>
              </m:r>
            </m:num>
            <m:den>
              <m:r>
                <w:rPr>
                  <w:rFonts w:ascii="Cambria Math" w:hAnsi="Cambria Math" w:cs="Times New Roman"/>
                  <w:color w:val="000000" w:themeColor="text1"/>
                  <w:sz w:val="22"/>
                  <w:szCs w:val="22"/>
                </w:rPr>
                <m:t>4</m:t>
              </m:r>
            </m:den>
          </m:f>
        </m:oMath>
      </m:oMathPara>
    </w:p>
    <w:p w14:paraId="737196CB" w14:textId="77777777" w:rsidR="00196A43" w:rsidRDefault="00EC6335">
      <w:pPr>
        <w:pStyle w:val="FirstParagraph"/>
        <w:jc w:val="both"/>
        <w:rPr>
          <w:rFonts w:ascii="Times New Roman" w:hAnsi="Times New Roman" w:cs="Times New Roman"/>
          <w:color w:val="000000" w:themeColor="text1"/>
          <w:sz w:val="20"/>
          <w:szCs w:val="20"/>
        </w:rPr>
      </w:pPr>
      <m:oMathPara>
        <m:oMathParaPr>
          <m:jc m:val="left"/>
        </m:oMathParaPr>
        <m:oMath>
          <m:r>
            <m:rPr>
              <m:sty m:val="p"/>
            </m:rP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w:rPr>
                  <w:rFonts w:ascii="Cambria Math" w:hAnsi="Cambria Math" w:cs="Times New Roman"/>
                  <w:color w:val="000000" w:themeColor="text1"/>
                  <w:sz w:val="22"/>
                  <w:szCs w:val="22"/>
                </w:rPr>
                <m:t>361</m:t>
              </m:r>
            </m:num>
            <m:den>
              <m:r>
                <w:rPr>
                  <w:rFonts w:ascii="Cambria Math" w:hAnsi="Cambria Math" w:cs="Times New Roman"/>
                  <w:color w:val="000000" w:themeColor="text1"/>
                  <w:sz w:val="22"/>
                  <w:szCs w:val="22"/>
                </w:rPr>
                <m:t>4</m:t>
              </m:r>
            </m:den>
          </m:f>
          <m:r>
            <m:rPr>
              <m:sty m:val="p"/>
            </m:rPr>
            <w:rPr>
              <w:rFonts w:ascii="Cambria Math" w:hAnsi="Cambria Math" w:cs="Times New Roman"/>
              <w:color w:val="000000" w:themeColor="text1"/>
              <w:sz w:val="20"/>
              <w:szCs w:val="20"/>
            </w:rPr>
            <m:t>=</m:t>
          </m:r>
          <m:r>
            <w:rPr>
              <w:rFonts w:ascii="Cambria Math" w:hAnsi="Cambria Math" w:cs="Times New Roman"/>
              <w:color w:val="000000" w:themeColor="text1"/>
              <w:sz w:val="20"/>
              <w:szCs w:val="20"/>
            </w:rPr>
            <m:t>90.25</m:t>
          </m:r>
          <m:r>
            <m:rPr>
              <m:sty m:val="p"/>
            </m:rPr>
            <w:rPr>
              <w:rFonts w:ascii="Cambria Math" w:hAnsi="Cambria Math" w:cs="Times New Roman"/>
              <w:color w:val="000000" w:themeColor="text1"/>
              <w:sz w:val="20"/>
              <w:szCs w:val="20"/>
            </w:rPr>
            <m:t>%</m:t>
          </m:r>
        </m:oMath>
      </m:oMathPara>
    </w:p>
    <w:p w14:paraId="67B2DD35" w14:textId="77777777" w:rsidR="00196A43" w:rsidRDefault="00196A43">
      <w:pPr>
        <w:numPr>
          <w:ilvl w:val="0"/>
          <w:numId w:val="7"/>
        </w:numPr>
        <w:spacing w:after="200" w:line="240" w:lineRule="auto"/>
        <w:jc w:val="both"/>
        <w:rPr>
          <w:rFonts w:ascii="Times New Roman" w:hAnsi="Times New Roman" w:cs="Times New Roman"/>
          <w:color w:val="000000" w:themeColor="text1"/>
        </w:rPr>
      </w:pPr>
    </w:p>
    <w:p w14:paraId="53DD3702" w14:textId="77777777" w:rsidR="00196A43" w:rsidRDefault="00EC6335">
      <w:pPr>
        <w:spacing w:after="200" w:line="240" w:lineRule="auto"/>
        <w:ind w:left="360"/>
        <w:jc w:val="both"/>
        <w:rPr>
          <w:rFonts w:ascii="Times New Roman" w:hAnsi="Times New Roman" w:cs="Times New Roman"/>
          <w:color w:val="000000" w:themeColor="text1"/>
        </w:rPr>
      </w:pPr>
      <w:r>
        <w:rPr>
          <w:rFonts w:ascii="Times New Roman" w:hAnsi="Times New Roman" w:cs="Times New Roman"/>
          <w:b/>
          <w:bCs/>
          <w:color w:val="000000" w:themeColor="text1"/>
        </w:rPr>
        <w:t>Average Episodes to Convergence:</w:t>
      </w:r>
    </w:p>
    <w:p w14:paraId="6894321F" w14:textId="77777777" w:rsidR="00196A43" w:rsidRDefault="00EC6335">
      <w:pPr>
        <w:pStyle w:val="FirstParagraph"/>
        <w:jc w:val="both"/>
        <w:rPr>
          <w:rFonts w:ascii="Times New Roman" w:eastAsiaTheme="minorEastAsia" w:hAnsi="Times New Roman" w:cs="Times New Roman"/>
          <w:color w:val="000000" w:themeColor="text1"/>
          <w:sz w:val="22"/>
          <w:szCs w:val="22"/>
        </w:rPr>
      </w:pPr>
      <m:oMathPara>
        <m:oMathParaPr>
          <m:jc m:val="left"/>
        </m:oMathParaPr>
        <m:oMath>
          <m:r>
            <m:rPr>
              <m:nor/>
            </m:rPr>
            <w:rPr>
              <w:rFonts w:ascii="Times New Roman" w:hAnsi="Times New Roman" w:cs="Times New Roman"/>
              <w:color w:val="000000" w:themeColor="text1"/>
              <w:sz w:val="22"/>
              <w:szCs w:val="22"/>
            </w:rPr>
            <m:t>Average Convergence</m:t>
          </m:r>
          <m:r>
            <m:rPr>
              <m:sty m:val="p"/>
            </m:rP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w:rPr>
                  <w:rFonts w:ascii="Cambria Math" w:hAnsi="Cambria Math" w:cs="Times New Roman"/>
                  <w:color w:val="000000" w:themeColor="text1"/>
                  <w:sz w:val="22"/>
                  <w:szCs w:val="22"/>
                </w:rPr>
                <m:t>150</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220</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180</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160</m:t>
              </m:r>
            </m:num>
            <m:den>
              <m:r>
                <w:rPr>
                  <w:rFonts w:ascii="Cambria Math" w:hAnsi="Cambria Math" w:cs="Times New Roman"/>
                  <w:color w:val="000000" w:themeColor="text1"/>
                  <w:sz w:val="22"/>
                  <w:szCs w:val="22"/>
                </w:rPr>
                <m:t>4</m:t>
              </m:r>
            </m:den>
          </m:f>
        </m:oMath>
      </m:oMathPara>
    </w:p>
    <w:p w14:paraId="1853CCC5" w14:textId="77777777" w:rsidR="00196A43" w:rsidRDefault="00EC6335">
      <w:pPr>
        <w:pStyle w:val="FirstParagraph"/>
        <w:jc w:val="both"/>
        <w:rPr>
          <w:rFonts w:ascii="Times New Roman" w:eastAsiaTheme="minorEastAsia" w:hAnsi="Times New Roman" w:cs="Times New Roman"/>
          <w:color w:val="000000" w:themeColor="text1"/>
          <w:sz w:val="22"/>
          <w:szCs w:val="22"/>
        </w:rPr>
      </w:pPr>
      <m:oMathPara>
        <m:oMathParaPr>
          <m:jc m:val="left"/>
        </m:oMathParaPr>
        <m:oMath>
          <m:r>
            <m:rPr>
              <m:sty m:val="p"/>
            </m:rP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w:rPr>
                  <w:rFonts w:ascii="Cambria Math" w:hAnsi="Cambria Math" w:cs="Times New Roman"/>
                  <w:color w:val="000000" w:themeColor="text1"/>
                  <w:sz w:val="22"/>
                  <w:szCs w:val="22"/>
                </w:rPr>
                <m:t>710</m:t>
              </m:r>
            </m:num>
            <m:den>
              <m:r>
                <w:rPr>
                  <w:rFonts w:ascii="Cambria Math" w:hAnsi="Cambria Math" w:cs="Times New Roman"/>
                  <w:color w:val="000000" w:themeColor="text1"/>
                  <w:sz w:val="22"/>
                  <w:szCs w:val="22"/>
                </w:rPr>
                <m:t>4</m:t>
              </m:r>
            </m:den>
          </m:f>
        </m:oMath>
      </m:oMathPara>
    </w:p>
    <w:p w14:paraId="61E35E8E" w14:textId="77777777" w:rsidR="00196A43" w:rsidRDefault="00EC6335">
      <w:pPr>
        <w:pStyle w:val="FirstParagraph"/>
        <w:jc w:val="both"/>
        <w:rPr>
          <w:rFonts w:ascii="Times New Roman" w:hAnsi="Times New Roman" w:cs="Times New Roman"/>
          <w:color w:val="000000" w:themeColor="text1"/>
          <w:sz w:val="22"/>
          <w:szCs w:val="22"/>
        </w:rPr>
      </w:pPr>
      <m:oMathPara>
        <m:oMathParaPr>
          <m:jc m:val="left"/>
        </m:oMathParaPr>
        <m:oMath>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177.5</m:t>
          </m:r>
        </m:oMath>
      </m:oMathPara>
    </w:p>
    <w:p w14:paraId="6AAF683E" w14:textId="77777777" w:rsidR="00196A43" w:rsidRDefault="00EC6335">
      <w:pPr>
        <w:numPr>
          <w:ilvl w:val="0"/>
          <w:numId w:val="8"/>
        </w:numPr>
        <w:spacing w:after="200" w:line="240" w:lineRule="auto"/>
        <w:jc w:val="both"/>
        <w:rPr>
          <w:rFonts w:ascii="Times New Roman" w:hAnsi="Times New Roman" w:cs="Times New Roman"/>
          <w:color w:val="000000" w:themeColor="text1"/>
        </w:rPr>
      </w:pPr>
      <w:r>
        <w:rPr>
          <w:rFonts w:ascii="Times New Roman" w:hAnsi="Times New Roman" w:cs="Times New Roman"/>
          <w:b/>
          <w:bCs/>
          <w:color w:val="000000" w:themeColor="text1"/>
        </w:rPr>
        <w:t>Mean Cumulative Reward:</w:t>
      </w:r>
    </w:p>
    <w:p w14:paraId="663EF99F" w14:textId="77777777" w:rsidR="00196A43" w:rsidRDefault="00EC6335">
      <w:pPr>
        <w:pStyle w:val="FirstParagraph"/>
        <w:jc w:val="both"/>
        <w:rPr>
          <w:rFonts w:ascii="Times New Roman" w:eastAsiaTheme="minorEastAsia" w:hAnsi="Times New Roman" w:cs="Times New Roman"/>
          <w:color w:val="000000" w:themeColor="text1"/>
          <w:sz w:val="22"/>
          <w:szCs w:val="22"/>
        </w:rPr>
      </w:pPr>
      <m:oMathPara>
        <m:oMathParaPr>
          <m:jc m:val="left"/>
        </m:oMathParaPr>
        <m:oMath>
          <m:r>
            <m:rPr>
              <m:nor/>
            </m:rPr>
            <w:rPr>
              <w:rFonts w:ascii="Times New Roman" w:hAnsi="Times New Roman" w:cs="Times New Roman"/>
              <w:color w:val="000000" w:themeColor="text1"/>
              <w:sz w:val="22"/>
              <w:szCs w:val="22"/>
            </w:rPr>
            <m:t>Average Reward</m:t>
          </m:r>
          <m:r>
            <m:rPr>
              <m:sty m:val="p"/>
            </m:rP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w:rPr>
                  <w:rFonts w:ascii="Cambria Math" w:hAnsi="Cambria Math" w:cs="Times New Roman"/>
                  <w:color w:val="000000" w:themeColor="text1"/>
                  <w:sz w:val="22"/>
                  <w:szCs w:val="22"/>
                </w:rPr>
                <m:t>1880</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1720</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1805</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1850</m:t>
              </m:r>
            </m:num>
            <m:den>
              <m:r>
                <w:rPr>
                  <w:rFonts w:ascii="Cambria Math" w:hAnsi="Cambria Math" w:cs="Times New Roman"/>
                  <w:color w:val="000000" w:themeColor="text1"/>
                  <w:sz w:val="22"/>
                  <w:szCs w:val="22"/>
                </w:rPr>
                <m:t>4</m:t>
              </m:r>
            </m:den>
          </m:f>
        </m:oMath>
      </m:oMathPara>
    </w:p>
    <w:p w14:paraId="18FB4692" w14:textId="77777777" w:rsidR="00196A43" w:rsidRDefault="00EC6335">
      <w:pPr>
        <w:pStyle w:val="FirstParagraph"/>
        <w:jc w:val="both"/>
        <w:rPr>
          <w:rFonts w:ascii="Times New Roman" w:eastAsiaTheme="minorEastAsia" w:hAnsi="Times New Roman" w:cs="Times New Roman"/>
          <w:color w:val="000000" w:themeColor="text1"/>
          <w:sz w:val="22"/>
          <w:szCs w:val="22"/>
        </w:rPr>
      </w:pPr>
      <m:oMathPara>
        <m:oMathParaPr>
          <m:jc m:val="left"/>
        </m:oMathParaPr>
        <m:oMath>
          <m:r>
            <m:rPr>
              <m:sty m:val="p"/>
            </m:rP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w:rPr>
                  <w:rFonts w:ascii="Cambria Math" w:hAnsi="Cambria Math" w:cs="Times New Roman"/>
                  <w:color w:val="000000" w:themeColor="text1"/>
                  <w:sz w:val="22"/>
                  <w:szCs w:val="22"/>
                </w:rPr>
                <m:t>7255</m:t>
              </m:r>
            </m:num>
            <m:den>
              <m:r>
                <w:rPr>
                  <w:rFonts w:ascii="Cambria Math" w:hAnsi="Cambria Math" w:cs="Times New Roman"/>
                  <w:color w:val="000000" w:themeColor="text1"/>
                  <w:sz w:val="22"/>
                  <w:szCs w:val="22"/>
                </w:rPr>
                <m:t>4</m:t>
              </m:r>
            </m:den>
          </m:f>
        </m:oMath>
      </m:oMathPara>
    </w:p>
    <w:p w14:paraId="7ACF018A" w14:textId="77777777" w:rsidR="00196A43" w:rsidRDefault="00EC6335">
      <w:pPr>
        <w:pStyle w:val="FirstParagraph"/>
        <w:jc w:val="both"/>
        <w:rPr>
          <w:rFonts w:ascii="Times New Roman" w:hAnsi="Times New Roman" w:cs="Times New Roman"/>
          <w:color w:val="000000" w:themeColor="text1"/>
          <w:sz w:val="22"/>
          <w:szCs w:val="22"/>
        </w:rPr>
      </w:pPr>
      <m:oMathPara>
        <m:oMathParaPr>
          <m:jc m:val="left"/>
        </m:oMathParaPr>
        <m:oMath>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1813.75</m:t>
          </m:r>
        </m:oMath>
      </m:oMathPara>
    </w:p>
    <w:p w14:paraId="727AF54E" w14:textId="77777777" w:rsidR="00196A43" w:rsidRDefault="00EC6335">
      <w:pPr>
        <w:numPr>
          <w:ilvl w:val="0"/>
          <w:numId w:val="9"/>
        </w:numPr>
        <w:spacing w:after="200" w:line="240" w:lineRule="auto"/>
        <w:jc w:val="both"/>
        <w:rPr>
          <w:rFonts w:ascii="Times New Roman" w:hAnsi="Times New Roman" w:cs="Times New Roman"/>
          <w:color w:val="000000" w:themeColor="text1"/>
        </w:rPr>
      </w:pPr>
      <w:r>
        <w:rPr>
          <w:rFonts w:ascii="Times New Roman" w:hAnsi="Times New Roman" w:cs="Times New Roman"/>
          <w:b/>
          <w:bCs/>
          <w:color w:val="000000" w:themeColor="text1"/>
        </w:rPr>
        <w:t>Variance of Reward (σ²):</w:t>
      </w:r>
    </w:p>
    <w:p w14:paraId="72219A02" w14:textId="77777777" w:rsidR="00196A43" w:rsidRDefault="00EC6335">
      <w:pPr>
        <w:pStyle w:val="FirstParagraph"/>
        <w:jc w:val="both"/>
        <w:rPr>
          <w:rFonts w:ascii="Times New Roman" w:eastAsiaTheme="minorEastAsia" w:hAnsi="Times New Roman" w:cs="Times New Roman"/>
          <w:color w:val="000000" w:themeColor="text1"/>
          <w:sz w:val="22"/>
          <w:szCs w:val="22"/>
        </w:rPr>
      </w:pPr>
      <m:oMath>
        <m:sSup>
          <m:sSupPr>
            <m:ctrlPr>
              <w:rPr>
                <w:rFonts w:ascii="Cambria Math" w:hAnsi="Cambria Math" w:cs="Times New Roman"/>
                <w:color w:val="000000" w:themeColor="text1"/>
                <w:sz w:val="22"/>
                <w:szCs w:val="22"/>
              </w:rPr>
            </m:ctrlPr>
          </m:sSupPr>
          <m:e>
            <m:r>
              <w:rPr>
                <w:rFonts w:ascii="Cambria Math" w:hAnsi="Cambria Math" w:cs="Times New Roman"/>
                <w:color w:val="000000" w:themeColor="text1"/>
                <w:sz w:val="22"/>
                <w:szCs w:val="22"/>
              </w:rPr>
              <m:t>σ</m:t>
            </m:r>
          </m:e>
          <m:sup>
            <m:r>
              <w:rPr>
                <w:rFonts w:ascii="Cambria Math" w:hAnsi="Cambria Math" w:cs="Times New Roman"/>
                <w:color w:val="000000" w:themeColor="text1"/>
                <w:sz w:val="22"/>
                <w:szCs w:val="22"/>
              </w:rPr>
              <m:t>2</m:t>
            </m:r>
          </m:sup>
        </m:sSup>
        <m:r>
          <m:rPr>
            <m:sty m:val="p"/>
          </m:rP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m:rPr>
                <m:sty m:val="p"/>
              </m:rPr>
              <w:rPr>
                <w:rFonts w:ascii="Cambria Math" w:hAnsi="Cambria Math" w:cs="Times New Roman"/>
                <w:color w:val="000000" w:themeColor="text1"/>
                <w:sz w:val="22"/>
                <w:szCs w:val="22"/>
              </w:rPr>
              <m:t>∑</m:t>
            </m:r>
            <m:sSup>
              <m:sSupPr>
                <m:ctrlPr>
                  <w:rPr>
                    <w:rFonts w:ascii="Cambria Math" w:hAnsi="Cambria Math" w:cs="Times New Roman"/>
                    <w:color w:val="000000" w:themeColor="text1"/>
                    <w:sz w:val="22"/>
                    <w:szCs w:val="22"/>
                  </w:rPr>
                </m:ctrlPr>
              </m:sSupPr>
              <m:e>
                <m:d>
                  <m:dPr>
                    <m:ctrlPr>
                      <w:rPr>
                        <w:rFonts w:ascii="Cambria Math" w:hAnsi="Cambria Math" w:cs="Times New Roman"/>
                        <w:color w:val="000000" w:themeColor="text1"/>
                        <w:sz w:val="22"/>
                        <w:szCs w:val="22"/>
                      </w:rPr>
                    </m:ctrlPr>
                  </m:dPr>
                  <m:e>
                    <m:sSub>
                      <m:sSubPr>
                        <m:ctrlPr>
                          <w:rPr>
                            <w:rFonts w:ascii="Cambria Math" w:hAnsi="Cambria Math" w:cs="Times New Roman"/>
                            <w:color w:val="000000" w:themeColor="text1"/>
                            <w:sz w:val="22"/>
                            <w:szCs w:val="22"/>
                          </w:rPr>
                        </m:ctrlPr>
                      </m:sSubPr>
                      <m:e>
                        <m:r>
                          <w:rPr>
                            <w:rFonts w:ascii="Cambria Math" w:hAnsi="Cambria Math" w:cs="Times New Roman"/>
                            <w:color w:val="000000" w:themeColor="text1"/>
                            <w:sz w:val="22"/>
                            <w:szCs w:val="22"/>
                          </w:rPr>
                          <m:t>x</m:t>
                        </m:r>
                      </m:e>
                      <m:sub>
                        <m:r>
                          <w:rPr>
                            <w:rFonts w:ascii="Cambria Math" w:hAnsi="Cambria Math" w:cs="Times New Roman"/>
                            <w:color w:val="000000" w:themeColor="text1"/>
                            <w:sz w:val="22"/>
                            <w:szCs w:val="22"/>
                          </w:rPr>
                          <m:t>i</m:t>
                        </m:r>
                      </m:sub>
                    </m:sSub>
                    <m:r>
                      <m:rPr>
                        <m:sty m:val="p"/>
                      </m:rPr>
                      <w:rPr>
                        <w:rFonts w:ascii="Cambria Math" w:hAnsi="Cambria Math" w:cs="Times New Roman"/>
                        <w:color w:val="000000" w:themeColor="text1"/>
                        <w:sz w:val="22"/>
                        <w:szCs w:val="22"/>
                      </w:rPr>
                      <m:t>-</m:t>
                    </m:r>
                    <m:acc>
                      <m:accPr>
                        <m:chr m:val="‾"/>
                        <m:ctrlPr>
                          <w:rPr>
                            <w:rFonts w:ascii="Cambria Math" w:hAnsi="Cambria Math" w:cs="Times New Roman"/>
                            <w:color w:val="000000" w:themeColor="text1"/>
                            <w:sz w:val="22"/>
                            <w:szCs w:val="22"/>
                          </w:rPr>
                        </m:ctrlPr>
                      </m:accPr>
                      <m:e>
                        <m:r>
                          <w:rPr>
                            <w:rFonts w:ascii="Cambria Math" w:hAnsi="Cambria Math" w:cs="Times New Roman"/>
                            <w:color w:val="000000" w:themeColor="text1"/>
                            <w:sz w:val="22"/>
                            <w:szCs w:val="22"/>
                          </w:rPr>
                          <m:t>x</m:t>
                        </m:r>
                      </m:e>
                    </m:acc>
                  </m:e>
                </m:d>
              </m:e>
              <m:sup>
                <m:r>
                  <w:rPr>
                    <w:rFonts w:ascii="Cambria Math" w:hAnsi="Cambria Math" w:cs="Times New Roman"/>
                    <w:color w:val="000000" w:themeColor="text1"/>
                    <w:sz w:val="22"/>
                    <w:szCs w:val="22"/>
                  </w:rPr>
                  <m:t>2</m:t>
                </m:r>
              </m:sup>
            </m:sSup>
          </m:num>
          <m:den>
            <m:r>
              <w:rPr>
                <w:rFonts w:ascii="Cambria Math" w:hAnsi="Cambria Math" w:cs="Times New Roman"/>
                <w:color w:val="000000" w:themeColor="text1"/>
                <w:sz w:val="22"/>
                <w:szCs w:val="22"/>
              </w:rPr>
              <m:t>n</m:t>
            </m:r>
          </m:den>
        </m:f>
      </m:oMath>
      <w:r>
        <w:rPr>
          <w:rFonts w:ascii="Times New Roman" w:hAnsi="Times New Roman" w:cs="Times New Roman"/>
          <w:color w:val="000000" w:themeColor="text1"/>
          <w:sz w:val="22"/>
          <w:szCs w:val="22"/>
        </w:rPr>
        <w:t xml:space="preserve"> </w:t>
      </w:r>
    </w:p>
    <w:p w14:paraId="0E1E357E" w14:textId="77777777" w:rsidR="00196A43" w:rsidRDefault="00EC6335">
      <w:pPr>
        <w:pStyle w:val="FirstParagraph"/>
        <w:jc w:val="both"/>
        <w:rPr>
          <w:rFonts w:ascii="Times New Roman" w:eastAsiaTheme="minorEastAsia" w:hAnsi="Times New Roman" w:cs="Times New Roman"/>
          <w:color w:val="000000" w:themeColor="text1"/>
          <w:sz w:val="22"/>
          <w:szCs w:val="22"/>
        </w:rPr>
      </w:pPr>
      <m:oMath>
        <m:r>
          <m:rPr>
            <m:sty m:val="p"/>
          </m:rP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sSup>
              <m:sSupPr>
                <m:ctrlPr>
                  <w:rPr>
                    <w:rFonts w:ascii="Cambria Math" w:hAnsi="Cambria Math" w:cs="Times New Roman"/>
                    <w:color w:val="000000" w:themeColor="text1"/>
                    <w:sz w:val="22"/>
                    <w:szCs w:val="22"/>
                  </w:rPr>
                </m:ctrlPr>
              </m:sSupPr>
              <m:e>
                <m:d>
                  <m:dPr>
                    <m:ctrlPr>
                      <w:rPr>
                        <w:rFonts w:ascii="Cambria Math" w:hAnsi="Cambria Math" w:cs="Times New Roman"/>
                        <w:color w:val="000000" w:themeColor="text1"/>
                        <w:sz w:val="22"/>
                        <w:szCs w:val="22"/>
                      </w:rPr>
                    </m:ctrlPr>
                  </m:dPr>
                  <m:e>
                    <m:r>
                      <w:rPr>
                        <w:rFonts w:ascii="Cambria Math" w:hAnsi="Cambria Math" w:cs="Times New Roman"/>
                        <w:color w:val="000000" w:themeColor="text1"/>
                        <w:sz w:val="22"/>
                        <w:szCs w:val="22"/>
                      </w:rPr>
                      <m:t>1880</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1813.75</m:t>
                    </m:r>
                  </m:e>
                </m:d>
              </m:e>
              <m:sup>
                <m:r>
                  <w:rPr>
                    <w:rFonts w:ascii="Cambria Math" w:hAnsi="Cambria Math" w:cs="Times New Roman"/>
                    <w:color w:val="000000" w:themeColor="text1"/>
                    <w:sz w:val="22"/>
                    <w:szCs w:val="22"/>
                  </w:rPr>
                  <m:t>2</m:t>
                </m:r>
              </m:sup>
            </m:sSup>
            <m:r>
              <m:rPr>
                <m:sty m:val="p"/>
              </m:rPr>
              <w:rPr>
                <w:rFonts w:ascii="Cambria Math" w:hAnsi="Cambria Math" w:cs="Times New Roman"/>
                <w:color w:val="000000" w:themeColor="text1"/>
                <w:sz w:val="22"/>
                <w:szCs w:val="22"/>
              </w:rPr>
              <m:t>+</m:t>
            </m:r>
            <m:sSup>
              <m:sSupPr>
                <m:ctrlPr>
                  <w:rPr>
                    <w:rFonts w:ascii="Cambria Math" w:hAnsi="Cambria Math" w:cs="Times New Roman"/>
                    <w:color w:val="000000" w:themeColor="text1"/>
                    <w:sz w:val="22"/>
                    <w:szCs w:val="22"/>
                  </w:rPr>
                </m:ctrlPr>
              </m:sSupPr>
              <m:e>
                <m:d>
                  <m:dPr>
                    <m:ctrlPr>
                      <w:rPr>
                        <w:rFonts w:ascii="Cambria Math" w:hAnsi="Cambria Math" w:cs="Times New Roman"/>
                        <w:color w:val="000000" w:themeColor="text1"/>
                        <w:sz w:val="22"/>
                        <w:szCs w:val="22"/>
                      </w:rPr>
                    </m:ctrlPr>
                  </m:dPr>
                  <m:e>
                    <m:r>
                      <w:rPr>
                        <w:rFonts w:ascii="Cambria Math" w:hAnsi="Cambria Math" w:cs="Times New Roman"/>
                        <w:color w:val="000000" w:themeColor="text1"/>
                        <w:sz w:val="22"/>
                        <w:szCs w:val="22"/>
                      </w:rPr>
                      <m:t>1720</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1813.75</m:t>
                    </m:r>
                  </m:e>
                </m:d>
              </m:e>
              <m:sup>
                <m:r>
                  <w:rPr>
                    <w:rFonts w:ascii="Cambria Math" w:hAnsi="Cambria Math" w:cs="Times New Roman"/>
                    <w:color w:val="000000" w:themeColor="text1"/>
                    <w:sz w:val="22"/>
                    <w:szCs w:val="22"/>
                  </w:rPr>
                  <m:t>2</m:t>
                </m:r>
              </m:sup>
            </m:sSup>
            <m:r>
              <m:rPr>
                <m:sty m:val="p"/>
              </m:rPr>
              <w:rPr>
                <w:rFonts w:ascii="Cambria Math" w:hAnsi="Cambria Math" w:cs="Times New Roman"/>
                <w:color w:val="000000" w:themeColor="text1"/>
                <w:sz w:val="22"/>
                <w:szCs w:val="22"/>
              </w:rPr>
              <m:t>+</m:t>
            </m:r>
            <m:sSup>
              <m:sSupPr>
                <m:ctrlPr>
                  <w:rPr>
                    <w:rFonts w:ascii="Cambria Math" w:hAnsi="Cambria Math" w:cs="Times New Roman"/>
                    <w:color w:val="000000" w:themeColor="text1"/>
                    <w:sz w:val="22"/>
                    <w:szCs w:val="22"/>
                  </w:rPr>
                </m:ctrlPr>
              </m:sSupPr>
              <m:e>
                <m:d>
                  <m:dPr>
                    <m:ctrlPr>
                      <w:rPr>
                        <w:rFonts w:ascii="Cambria Math" w:hAnsi="Cambria Math" w:cs="Times New Roman"/>
                        <w:color w:val="000000" w:themeColor="text1"/>
                        <w:sz w:val="22"/>
                        <w:szCs w:val="22"/>
                      </w:rPr>
                    </m:ctrlPr>
                  </m:dPr>
                  <m:e>
                    <m:r>
                      <w:rPr>
                        <w:rFonts w:ascii="Cambria Math" w:hAnsi="Cambria Math" w:cs="Times New Roman"/>
                        <w:color w:val="000000" w:themeColor="text1"/>
                        <w:sz w:val="22"/>
                        <w:szCs w:val="22"/>
                      </w:rPr>
                      <m:t>1805</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1813.75</m:t>
                    </m:r>
                  </m:e>
                </m:d>
              </m:e>
              <m:sup>
                <m:r>
                  <w:rPr>
                    <w:rFonts w:ascii="Cambria Math" w:hAnsi="Cambria Math" w:cs="Times New Roman"/>
                    <w:color w:val="000000" w:themeColor="text1"/>
                    <w:sz w:val="22"/>
                    <w:szCs w:val="22"/>
                  </w:rPr>
                  <m:t>2</m:t>
                </m:r>
              </m:sup>
            </m:sSup>
            <m:r>
              <m:rPr>
                <m:sty m:val="p"/>
              </m:rPr>
              <w:rPr>
                <w:rFonts w:ascii="Cambria Math" w:hAnsi="Cambria Math" w:cs="Times New Roman"/>
                <w:color w:val="000000" w:themeColor="text1"/>
                <w:sz w:val="22"/>
                <w:szCs w:val="22"/>
              </w:rPr>
              <m:t>+</m:t>
            </m:r>
            <m:sSup>
              <m:sSupPr>
                <m:ctrlPr>
                  <w:rPr>
                    <w:rFonts w:ascii="Cambria Math" w:hAnsi="Cambria Math" w:cs="Times New Roman"/>
                    <w:color w:val="000000" w:themeColor="text1"/>
                    <w:sz w:val="22"/>
                    <w:szCs w:val="22"/>
                  </w:rPr>
                </m:ctrlPr>
              </m:sSupPr>
              <m:e>
                <m:d>
                  <m:dPr>
                    <m:ctrlPr>
                      <w:rPr>
                        <w:rFonts w:ascii="Cambria Math" w:hAnsi="Cambria Math" w:cs="Times New Roman"/>
                        <w:color w:val="000000" w:themeColor="text1"/>
                        <w:sz w:val="22"/>
                        <w:szCs w:val="22"/>
                      </w:rPr>
                    </m:ctrlPr>
                  </m:dPr>
                  <m:e>
                    <m:r>
                      <w:rPr>
                        <w:rFonts w:ascii="Cambria Math" w:hAnsi="Cambria Math" w:cs="Times New Roman"/>
                        <w:color w:val="000000" w:themeColor="text1"/>
                        <w:sz w:val="22"/>
                        <w:szCs w:val="22"/>
                      </w:rPr>
                      <m:t>1850</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1813.75</m:t>
                    </m:r>
                  </m:e>
                </m:d>
              </m:e>
              <m:sup>
                <m:r>
                  <w:rPr>
                    <w:rFonts w:ascii="Cambria Math" w:hAnsi="Cambria Math" w:cs="Times New Roman"/>
                    <w:color w:val="000000" w:themeColor="text1"/>
                    <w:sz w:val="22"/>
                    <w:szCs w:val="22"/>
                  </w:rPr>
                  <m:t>2</m:t>
                </m:r>
              </m:sup>
            </m:sSup>
          </m:num>
          <m:den>
            <m:r>
              <w:rPr>
                <w:rFonts w:ascii="Cambria Math" w:hAnsi="Cambria Math" w:cs="Times New Roman"/>
                <w:color w:val="000000" w:themeColor="text1"/>
                <w:sz w:val="22"/>
                <w:szCs w:val="22"/>
              </w:rPr>
              <m:t>4</m:t>
            </m:r>
          </m:den>
        </m:f>
      </m:oMath>
      <w:r>
        <w:rPr>
          <w:rFonts w:ascii="Times New Roman" w:hAnsi="Times New Roman" w:cs="Times New Roman"/>
          <w:color w:val="000000" w:themeColor="text1"/>
          <w:sz w:val="22"/>
          <w:szCs w:val="22"/>
        </w:rPr>
        <w:t xml:space="preserve"> </w:t>
      </w:r>
    </w:p>
    <w:p w14:paraId="37F6D281" w14:textId="77777777" w:rsidR="00196A43" w:rsidRDefault="00EC6335">
      <w:pPr>
        <w:pStyle w:val="FirstParagraph"/>
        <w:jc w:val="both"/>
        <w:rPr>
          <w:rFonts w:ascii="Times New Roman" w:eastAsiaTheme="minorEastAsia" w:hAnsi="Times New Roman" w:cs="Times New Roman"/>
          <w:color w:val="000000" w:themeColor="text1"/>
          <w:sz w:val="22"/>
          <w:szCs w:val="22"/>
        </w:rPr>
      </w:pPr>
      <m:oMathPara>
        <m:oMathParaPr>
          <m:jc m:val="left"/>
        </m:oMathParaPr>
        <m:oMath>
          <m:r>
            <m:rPr>
              <m:sty m:val="p"/>
            </m:rP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w:rPr>
                  <w:rFonts w:ascii="Cambria Math" w:hAnsi="Cambria Math" w:cs="Times New Roman"/>
                  <w:color w:val="000000" w:themeColor="text1"/>
                  <w:sz w:val="22"/>
                  <w:szCs w:val="22"/>
                </w:rPr>
                <m:t>4422.56</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8765.06</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76.56</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1314.06</m:t>
              </m:r>
            </m:num>
            <m:den>
              <m:r>
                <w:rPr>
                  <w:rFonts w:ascii="Cambria Math" w:hAnsi="Cambria Math" w:cs="Times New Roman"/>
                  <w:color w:val="000000" w:themeColor="text1"/>
                  <w:sz w:val="22"/>
                  <w:szCs w:val="22"/>
                </w:rPr>
                <m:t>4</m:t>
              </m:r>
            </m:den>
          </m:f>
        </m:oMath>
      </m:oMathPara>
    </w:p>
    <w:p w14:paraId="12F66D64" w14:textId="77777777" w:rsidR="00196A43" w:rsidRDefault="00EC6335">
      <w:pPr>
        <w:pStyle w:val="FirstParagraph"/>
        <w:jc w:val="both"/>
        <w:rPr>
          <w:rFonts w:ascii="Times New Roman" w:eastAsiaTheme="minorEastAsia" w:hAnsi="Times New Roman" w:cs="Times New Roman"/>
          <w:color w:val="000000" w:themeColor="text1"/>
          <w:sz w:val="22"/>
          <w:szCs w:val="22"/>
        </w:rPr>
      </w:pPr>
      <m:oMathPara>
        <m:oMathParaPr>
          <m:jc m:val="left"/>
        </m:oMathParaPr>
        <m:oMath>
          <m:r>
            <m:rPr>
              <m:sty m:val="p"/>
            </m:rP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w:rPr>
                  <w:rFonts w:ascii="Cambria Math" w:hAnsi="Cambria Math" w:cs="Times New Roman"/>
                  <w:color w:val="000000" w:themeColor="text1"/>
                  <w:sz w:val="22"/>
                  <w:szCs w:val="22"/>
                </w:rPr>
                <m:t>14578.24</m:t>
              </m:r>
            </m:num>
            <m:den>
              <m:r>
                <w:rPr>
                  <w:rFonts w:ascii="Cambria Math" w:hAnsi="Cambria Math" w:cs="Times New Roman"/>
                  <w:color w:val="000000" w:themeColor="text1"/>
                  <w:sz w:val="22"/>
                  <w:szCs w:val="22"/>
                </w:rPr>
                <m:t>4</m:t>
              </m:r>
            </m:den>
          </m:f>
        </m:oMath>
      </m:oMathPara>
    </w:p>
    <w:p w14:paraId="12CF5698" w14:textId="77777777" w:rsidR="00196A43" w:rsidRDefault="00EC6335">
      <w:pPr>
        <w:pStyle w:val="FirstParagraph"/>
        <w:jc w:val="both"/>
        <w:rPr>
          <w:rFonts w:ascii="Times New Roman" w:eastAsiaTheme="minorEastAsia" w:hAnsi="Times New Roman" w:cs="Times New Roman"/>
          <w:color w:val="000000" w:themeColor="text1"/>
          <w:sz w:val="22"/>
          <w:szCs w:val="22"/>
        </w:rPr>
      </w:pPr>
      <m:oMathPara>
        <m:oMathParaPr>
          <m:jc m:val="left"/>
        </m:oMathParaPr>
        <m:oMath>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3644.56</m:t>
          </m:r>
        </m:oMath>
      </m:oMathPara>
    </w:p>
    <w:p w14:paraId="3739C0B6" w14:textId="77777777" w:rsidR="00196A43" w:rsidRDefault="00EC6335">
      <w:pPr>
        <w:pStyle w:val="FirstParagraph"/>
        <w:jc w:val="both"/>
        <w:rPr>
          <w:rFonts w:ascii="Times New Roman" w:hAnsi="Times New Roman" w:cs="Times New Roman"/>
          <w:color w:val="000000" w:themeColor="text1"/>
          <w:sz w:val="22"/>
          <w:szCs w:val="22"/>
        </w:rPr>
      </w:pPr>
      <m:oMathPara>
        <m:oMathParaPr>
          <m:jc m:val="left"/>
        </m:oMathParaPr>
        <m:oMath>
          <m:r>
            <m:rPr>
              <m:nor/>
            </m:rPr>
            <w:rPr>
              <w:rFonts w:ascii="Times New Roman" w:hAnsi="Times New Roman" w:cs="Times New Roman"/>
              <w:color w:val="000000" w:themeColor="text1"/>
              <w:sz w:val="22"/>
              <w:szCs w:val="22"/>
            </w:rPr>
            <m:t>Std. Dev</m:t>
          </m:r>
          <m:r>
            <m:rPr>
              <m:sty m:val="p"/>
            </m:rPr>
            <w:rPr>
              <w:rFonts w:ascii="Cambria Math" w:hAnsi="Cambria Math" w:cs="Times New Roman"/>
              <w:color w:val="000000" w:themeColor="text1"/>
              <w:sz w:val="22"/>
              <w:szCs w:val="22"/>
            </w:rPr>
            <m:t>=</m:t>
          </m:r>
          <m:rad>
            <m:radPr>
              <m:degHide m:val="1"/>
              <m:ctrlPr>
                <w:rPr>
                  <w:rFonts w:ascii="Cambria Math" w:hAnsi="Cambria Math" w:cs="Times New Roman"/>
                  <w:color w:val="000000" w:themeColor="text1"/>
                  <w:sz w:val="22"/>
                  <w:szCs w:val="22"/>
                </w:rPr>
              </m:ctrlPr>
            </m:radPr>
            <m:deg/>
            <m:e>
              <m:r>
                <w:rPr>
                  <w:rFonts w:ascii="Cambria Math" w:hAnsi="Cambria Math" w:cs="Times New Roman"/>
                  <w:color w:val="000000" w:themeColor="text1"/>
                  <w:sz w:val="22"/>
                  <w:szCs w:val="22"/>
                </w:rPr>
                <m:t>3644.56</m:t>
              </m:r>
            </m:e>
          </m:rad>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60.37</m:t>
          </m:r>
        </m:oMath>
      </m:oMathPara>
    </w:p>
    <w:p w14:paraId="3DA2E880" w14:textId="77777777" w:rsidR="00196A43" w:rsidRDefault="00EC6335">
      <w:pPr>
        <w:pStyle w:val="FirstParagraph"/>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Table 2: Performance Evaluation of DRL Algorithms</w:t>
      </w:r>
      <w:r>
        <w:rPr>
          <w:rFonts w:ascii="Times New Roman" w:hAnsi="Times New Roman" w:cs="Times New Roman"/>
          <w:color w:val="000000" w:themeColor="text1"/>
          <w:sz w:val="22"/>
          <w:szCs w:val="22"/>
        </w:rPr>
        <w:br/>
      </w:r>
      <w:r>
        <w:rPr>
          <w:rFonts w:ascii="Times New Roman" w:hAnsi="Times New Roman" w:cs="Times New Roman"/>
          <w:b/>
          <w:bCs/>
          <w:color w:val="000000" w:themeColor="text1"/>
          <w:sz w:val="22"/>
          <w:szCs w:val="22"/>
        </w:rPr>
        <w:t>Source:</w:t>
      </w:r>
      <w:r>
        <w:rPr>
          <w:rFonts w:ascii="Times New Roman" w:hAnsi="Times New Roman" w:cs="Times New Roman"/>
          <w:color w:val="000000" w:themeColor="text1"/>
          <w:sz w:val="22"/>
          <w:szCs w:val="22"/>
        </w:rPr>
        <w:t xml:space="preserve"> Experimentally derived from UAV DRL training, 2025</w:t>
      </w:r>
    </w:p>
    <w:p w14:paraId="2DBE3CEF" w14:textId="77777777" w:rsidR="00196A43" w:rsidRDefault="00EC6335">
      <w:pPr>
        <w:pStyle w:val="BodyTex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lastRenderedPageBreak/>
        <w:t xml:space="preserve">PPO </w:t>
      </w:r>
      <w:r>
        <w:rPr>
          <w:rFonts w:ascii="Times New Roman" w:hAnsi="Times New Roman" w:cs="Times New Roman"/>
          <w:color w:val="000000" w:themeColor="text1"/>
          <w:sz w:val="22"/>
          <w:szCs w:val="22"/>
        </w:rPr>
        <w:t>demonstrates superior performance with the highest success rate and fastest convergence. Lower standard deviation indicates more stable rewards across training episodes. DQN converges slower and achieves lower cumulative rewards, highlighting the advantage</w:t>
      </w:r>
      <w:r>
        <w:rPr>
          <w:rFonts w:ascii="Times New Roman" w:hAnsi="Times New Roman" w:cs="Times New Roman"/>
          <w:color w:val="000000" w:themeColor="text1"/>
          <w:sz w:val="22"/>
          <w:szCs w:val="22"/>
        </w:rPr>
        <w:t>s of PPO in continuous UAV navigation tasks.</w:t>
      </w:r>
    </w:p>
    <w:p w14:paraId="76346CC5" w14:textId="77777777" w:rsidR="00196A43" w:rsidRDefault="00EC6335">
      <w:pPr>
        <w:pStyle w:val="Heading2"/>
        <w:spacing w:line="240" w:lineRule="auto"/>
        <w:rPr>
          <w:rFonts w:ascii="Times New Roman" w:hAnsi="Times New Roman" w:cs="Times New Roman"/>
          <w:b/>
          <w:color w:val="000000" w:themeColor="text1"/>
          <w:sz w:val="22"/>
          <w:szCs w:val="22"/>
        </w:rPr>
      </w:pPr>
      <w:bookmarkStart w:id="3" w:name="_Toc216177163"/>
      <w:r>
        <w:rPr>
          <w:rFonts w:ascii="Times New Roman" w:hAnsi="Times New Roman" w:cs="Times New Roman"/>
          <w:b/>
          <w:color w:val="000000" w:themeColor="text1"/>
          <w:sz w:val="22"/>
          <w:szCs w:val="22"/>
        </w:rPr>
        <w:t>Table 3:  Navigation Accuracy</w:t>
      </w:r>
      <w:bookmarkEnd w:id="3"/>
    </w:p>
    <w:tbl>
      <w:tblPr>
        <w:tblStyle w:val="Table"/>
        <w:tblW w:w="5778" w:type="dxa"/>
        <w:tblInd w:w="0" w:type="dxa"/>
        <w:tblLook w:val="04A0" w:firstRow="1" w:lastRow="0" w:firstColumn="1" w:lastColumn="0" w:noHBand="0" w:noVBand="1"/>
      </w:tblPr>
      <w:tblGrid>
        <w:gridCol w:w="1646"/>
        <w:gridCol w:w="1162"/>
        <w:gridCol w:w="1080"/>
        <w:gridCol w:w="1890"/>
      </w:tblGrid>
      <w:tr w:rsidR="00196A43" w14:paraId="567CC924" w14:textId="77777777" w:rsidTr="002D3E1A">
        <w:trPr>
          <w:cnfStyle w:val="100000000000" w:firstRow="1" w:lastRow="0" w:firstColumn="0" w:lastColumn="0" w:oddVBand="0" w:evenVBand="0" w:oddHBand="0" w:evenHBand="0" w:firstRowFirstColumn="0" w:firstRowLastColumn="0" w:lastRowFirstColumn="0" w:lastRowLastColumn="0"/>
          <w:trHeight w:val="260"/>
          <w:tblHeader/>
        </w:trPr>
        <w:tc>
          <w:tcPr>
            <w:tcW w:w="1646" w:type="dxa"/>
            <w:tcBorders>
              <w:top w:val="single" w:sz="10" w:space="0" w:color="000000"/>
              <w:left w:val="single" w:sz="10" w:space="0" w:color="000000"/>
              <w:bottom w:val="single" w:sz="10" w:space="0" w:color="000000"/>
              <w:right w:val="single" w:sz="10" w:space="0" w:color="000000"/>
            </w:tcBorders>
            <w:vAlign w:val="center"/>
          </w:tcPr>
          <w:p w14:paraId="543DBA80"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Environment</w:t>
            </w:r>
          </w:p>
        </w:tc>
        <w:tc>
          <w:tcPr>
            <w:tcW w:w="1162" w:type="dxa"/>
            <w:tcBorders>
              <w:top w:val="single" w:sz="10" w:space="0" w:color="000000"/>
              <w:left w:val="single" w:sz="10" w:space="0" w:color="000000"/>
              <w:bottom w:val="single" w:sz="10" w:space="0" w:color="000000"/>
              <w:right w:val="single" w:sz="10" w:space="0" w:color="000000"/>
            </w:tcBorders>
            <w:vAlign w:val="center"/>
          </w:tcPr>
          <w:p w14:paraId="5F28A0EE"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Target Reached (%)</w:t>
            </w:r>
          </w:p>
        </w:tc>
        <w:tc>
          <w:tcPr>
            <w:tcW w:w="1080" w:type="dxa"/>
            <w:tcBorders>
              <w:top w:val="single" w:sz="10" w:space="0" w:color="000000"/>
              <w:left w:val="single" w:sz="10" w:space="0" w:color="000000"/>
              <w:bottom w:val="single" w:sz="10" w:space="0" w:color="000000"/>
              <w:right w:val="single" w:sz="10" w:space="0" w:color="000000"/>
            </w:tcBorders>
            <w:vAlign w:val="center"/>
          </w:tcPr>
          <w:p w14:paraId="34B2C1E6"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Avg Distance Error (m)</w:t>
            </w:r>
          </w:p>
        </w:tc>
        <w:tc>
          <w:tcPr>
            <w:tcW w:w="1890" w:type="dxa"/>
            <w:tcBorders>
              <w:top w:val="single" w:sz="10" w:space="0" w:color="000000"/>
              <w:left w:val="single" w:sz="10" w:space="0" w:color="000000"/>
              <w:bottom w:val="single" w:sz="10" w:space="0" w:color="000000"/>
              <w:right w:val="single" w:sz="10" w:space="0" w:color="000000"/>
            </w:tcBorders>
            <w:vAlign w:val="center"/>
          </w:tcPr>
          <w:p w14:paraId="48C55C90"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Std Dev (m)</w:t>
            </w:r>
          </w:p>
        </w:tc>
      </w:tr>
      <w:tr w:rsidR="00196A43" w14:paraId="19FB3B5A" w14:textId="77777777" w:rsidTr="002D3E1A">
        <w:trPr>
          <w:trHeight w:val="276"/>
        </w:trPr>
        <w:tc>
          <w:tcPr>
            <w:tcW w:w="1646" w:type="dxa"/>
            <w:tcBorders>
              <w:top w:val="single" w:sz="10" w:space="0" w:color="000000"/>
              <w:left w:val="single" w:sz="10" w:space="0" w:color="000000"/>
              <w:bottom w:val="single" w:sz="10" w:space="0" w:color="000000"/>
              <w:right w:val="single" w:sz="10" w:space="0" w:color="000000"/>
            </w:tcBorders>
          </w:tcPr>
          <w:p w14:paraId="0C3D5933"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Urban</w:t>
            </w:r>
          </w:p>
        </w:tc>
        <w:tc>
          <w:tcPr>
            <w:tcW w:w="1162" w:type="dxa"/>
            <w:tcBorders>
              <w:top w:val="single" w:sz="10" w:space="0" w:color="000000"/>
              <w:left w:val="single" w:sz="10" w:space="0" w:color="000000"/>
              <w:bottom w:val="single" w:sz="10" w:space="0" w:color="000000"/>
              <w:right w:val="single" w:sz="10" w:space="0" w:color="000000"/>
            </w:tcBorders>
          </w:tcPr>
          <w:p w14:paraId="2893BB51"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93</w:t>
            </w:r>
          </w:p>
        </w:tc>
        <w:tc>
          <w:tcPr>
            <w:tcW w:w="1080" w:type="dxa"/>
            <w:tcBorders>
              <w:top w:val="single" w:sz="10" w:space="0" w:color="000000"/>
              <w:left w:val="single" w:sz="10" w:space="0" w:color="000000"/>
              <w:bottom w:val="single" w:sz="10" w:space="0" w:color="000000"/>
              <w:right w:val="single" w:sz="10" w:space="0" w:color="000000"/>
            </w:tcBorders>
          </w:tcPr>
          <w:p w14:paraId="4685D855"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0.35</w:t>
            </w:r>
          </w:p>
        </w:tc>
        <w:tc>
          <w:tcPr>
            <w:tcW w:w="1890" w:type="dxa"/>
            <w:tcBorders>
              <w:top w:val="single" w:sz="10" w:space="0" w:color="000000"/>
              <w:left w:val="single" w:sz="10" w:space="0" w:color="000000"/>
              <w:bottom w:val="single" w:sz="10" w:space="0" w:color="000000"/>
              <w:right w:val="single" w:sz="10" w:space="0" w:color="000000"/>
            </w:tcBorders>
          </w:tcPr>
          <w:p w14:paraId="17C920C7"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0.12</w:t>
            </w:r>
          </w:p>
        </w:tc>
      </w:tr>
      <w:tr w:rsidR="00196A43" w14:paraId="7E8BDD6F" w14:textId="77777777" w:rsidTr="002D3E1A">
        <w:trPr>
          <w:trHeight w:val="260"/>
        </w:trPr>
        <w:tc>
          <w:tcPr>
            <w:tcW w:w="1646" w:type="dxa"/>
            <w:tcBorders>
              <w:top w:val="single" w:sz="10" w:space="0" w:color="000000"/>
              <w:left w:val="single" w:sz="10" w:space="0" w:color="000000"/>
              <w:bottom w:val="single" w:sz="10" w:space="0" w:color="000000"/>
              <w:right w:val="single" w:sz="10" w:space="0" w:color="000000"/>
            </w:tcBorders>
          </w:tcPr>
          <w:p w14:paraId="5620A2FE"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Indoor</w:t>
            </w:r>
          </w:p>
        </w:tc>
        <w:tc>
          <w:tcPr>
            <w:tcW w:w="1162" w:type="dxa"/>
            <w:tcBorders>
              <w:top w:val="single" w:sz="10" w:space="0" w:color="000000"/>
              <w:left w:val="single" w:sz="10" w:space="0" w:color="000000"/>
              <w:bottom w:val="single" w:sz="10" w:space="0" w:color="000000"/>
              <w:right w:val="single" w:sz="10" w:space="0" w:color="000000"/>
            </w:tcBorders>
          </w:tcPr>
          <w:p w14:paraId="3D19C610"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91</w:t>
            </w:r>
          </w:p>
        </w:tc>
        <w:tc>
          <w:tcPr>
            <w:tcW w:w="1080" w:type="dxa"/>
            <w:tcBorders>
              <w:top w:val="single" w:sz="10" w:space="0" w:color="000000"/>
              <w:left w:val="single" w:sz="10" w:space="0" w:color="000000"/>
              <w:bottom w:val="single" w:sz="10" w:space="0" w:color="000000"/>
              <w:right w:val="single" w:sz="10" w:space="0" w:color="000000"/>
            </w:tcBorders>
          </w:tcPr>
          <w:p w14:paraId="20D01AD9"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0.42</w:t>
            </w:r>
          </w:p>
        </w:tc>
        <w:tc>
          <w:tcPr>
            <w:tcW w:w="1890" w:type="dxa"/>
            <w:tcBorders>
              <w:top w:val="single" w:sz="10" w:space="0" w:color="000000"/>
              <w:left w:val="single" w:sz="10" w:space="0" w:color="000000"/>
              <w:bottom w:val="single" w:sz="10" w:space="0" w:color="000000"/>
              <w:right w:val="single" w:sz="10" w:space="0" w:color="000000"/>
            </w:tcBorders>
          </w:tcPr>
          <w:p w14:paraId="6AA2B1CC"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0.14</w:t>
            </w:r>
          </w:p>
        </w:tc>
      </w:tr>
      <w:tr w:rsidR="00196A43" w14:paraId="4688399C" w14:textId="77777777" w:rsidTr="002D3E1A">
        <w:trPr>
          <w:trHeight w:val="260"/>
        </w:trPr>
        <w:tc>
          <w:tcPr>
            <w:tcW w:w="1646" w:type="dxa"/>
            <w:tcBorders>
              <w:top w:val="single" w:sz="10" w:space="0" w:color="000000"/>
              <w:left w:val="single" w:sz="10" w:space="0" w:color="000000"/>
              <w:bottom w:val="single" w:sz="10" w:space="0" w:color="000000"/>
              <w:right w:val="single" w:sz="10" w:space="0" w:color="000000"/>
            </w:tcBorders>
          </w:tcPr>
          <w:p w14:paraId="56BAF4F7"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Forest/Cluttered</w:t>
            </w:r>
          </w:p>
        </w:tc>
        <w:tc>
          <w:tcPr>
            <w:tcW w:w="1162" w:type="dxa"/>
            <w:tcBorders>
              <w:top w:val="single" w:sz="10" w:space="0" w:color="000000"/>
              <w:left w:val="single" w:sz="10" w:space="0" w:color="000000"/>
              <w:bottom w:val="single" w:sz="10" w:space="0" w:color="000000"/>
              <w:right w:val="single" w:sz="10" w:space="0" w:color="000000"/>
            </w:tcBorders>
          </w:tcPr>
          <w:p w14:paraId="5D549B7E"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90</w:t>
            </w:r>
          </w:p>
        </w:tc>
        <w:tc>
          <w:tcPr>
            <w:tcW w:w="1080" w:type="dxa"/>
            <w:tcBorders>
              <w:top w:val="single" w:sz="10" w:space="0" w:color="000000"/>
              <w:left w:val="single" w:sz="10" w:space="0" w:color="000000"/>
              <w:bottom w:val="single" w:sz="10" w:space="0" w:color="000000"/>
              <w:right w:val="single" w:sz="10" w:space="0" w:color="000000"/>
            </w:tcBorders>
          </w:tcPr>
          <w:p w14:paraId="11DE22F8"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0.47</w:t>
            </w:r>
          </w:p>
        </w:tc>
        <w:tc>
          <w:tcPr>
            <w:tcW w:w="1890" w:type="dxa"/>
            <w:tcBorders>
              <w:top w:val="single" w:sz="10" w:space="0" w:color="000000"/>
              <w:left w:val="single" w:sz="10" w:space="0" w:color="000000"/>
              <w:bottom w:val="single" w:sz="10" w:space="0" w:color="000000"/>
              <w:right w:val="single" w:sz="10" w:space="0" w:color="000000"/>
            </w:tcBorders>
          </w:tcPr>
          <w:p w14:paraId="11F030AE"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0.15</w:t>
            </w:r>
          </w:p>
        </w:tc>
      </w:tr>
      <w:tr w:rsidR="00196A43" w14:paraId="14D40772" w14:textId="77777777" w:rsidTr="002D3E1A">
        <w:trPr>
          <w:trHeight w:val="276"/>
        </w:trPr>
        <w:tc>
          <w:tcPr>
            <w:tcW w:w="1646" w:type="dxa"/>
            <w:tcBorders>
              <w:top w:val="single" w:sz="10" w:space="0" w:color="000000"/>
              <w:left w:val="single" w:sz="10" w:space="0" w:color="000000"/>
              <w:bottom w:val="single" w:sz="10" w:space="0" w:color="000000"/>
              <w:right w:val="single" w:sz="10" w:space="0" w:color="000000"/>
            </w:tcBorders>
          </w:tcPr>
          <w:p w14:paraId="7316EA90"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Open Field</w:t>
            </w:r>
          </w:p>
        </w:tc>
        <w:tc>
          <w:tcPr>
            <w:tcW w:w="1162" w:type="dxa"/>
            <w:tcBorders>
              <w:top w:val="single" w:sz="10" w:space="0" w:color="000000"/>
              <w:left w:val="single" w:sz="10" w:space="0" w:color="000000"/>
              <w:bottom w:val="single" w:sz="10" w:space="0" w:color="000000"/>
              <w:right w:val="single" w:sz="10" w:space="0" w:color="000000"/>
            </w:tcBorders>
          </w:tcPr>
          <w:p w14:paraId="51318ECC"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95</w:t>
            </w:r>
          </w:p>
        </w:tc>
        <w:tc>
          <w:tcPr>
            <w:tcW w:w="1080" w:type="dxa"/>
            <w:tcBorders>
              <w:top w:val="single" w:sz="10" w:space="0" w:color="000000"/>
              <w:left w:val="single" w:sz="10" w:space="0" w:color="000000"/>
              <w:bottom w:val="single" w:sz="10" w:space="0" w:color="000000"/>
              <w:right w:val="single" w:sz="10" w:space="0" w:color="000000"/>
            </w:tcBorders>
          </w:tcPr>
          <w:p w14:paraId="754004F1"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0.30</w:t>
            </w:r>
          </w:p>
        </w:tc>
        <w:tc>
          <w:tcPr>
            <w:tcW w:w="1890" w:type="dxa"/>
            <w:tcBorders>
              <w:top w:val="single" w:sz="10" w:space="0" w:color="000000"/>
              <w:left w:val="single" w:sz="10" w:space="0" w:color="000000"/>
              <w:bottom w:val="single" w:sz="10" w:space="0" w:color="000000"/>
              <w:right w:val="single" w:sz="10" w:space="0" w:color="000000"/>
            </w:tcBorders>
          </w:tcPr>
          <w:p w14:paraId="340A93C7" w14:textId="77777777" w:rsidR="00196A43" w:rsidRDefault="00EC6335">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0.10</w:t>
            </w:r>
          </w:p>
        </w:tc>
      </w:tr>
    </w:tbl>
    <w:p w14:paraId="252E6533" w14:textId="77777777" w:rsidR="00196A43" w:rsidRDefault="00EC6335">
      <w:pPr>
        <w:pStyle w:val="BodyText"/>
        <w:jc w:val="both"/>
        <w:rPr>
          <w:rFonts w:ascii="Times New Roman" w:hAnsi="Times New Roman" w:cs="Times New Roman"/>
          <w:b/>
          <w:bCs/>
          <w:color w:val="000000" w:themeColor="text1"/>
          <w:sz w:val="22"/>
          <w:szCs w:val="22"/>
        </w:rPr>
      </w:pPr>
      <w:r>
        <w:rPr>
          <w:rFonts w:ascii="Times New Roman" w:hAnsi="Times New Roman" w:cs="Times New Roman"/>
          <w:noProof/>
          <w:color w:val="000000" w:themeColor="text1"/>
          <w:sz w:val="22"/>
          <w:szCs w:val="22"/>
        </w:rPr>
        <w:drawing>
          <wp:inline distT="0" distB="0" distL="0" distR="0" wp14:anchorId="1070F22B" wp14:editId="60686ACD">
            <wp:extent cx="3086100" cy="2257425"/>
            <wp:effectExtent l="0" t="0" r="1905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FED259F" w14:textId="77777777" w:rsidR="00196A43" w:rsidRDefault="00EC6335">
      <w:pPr>
        <w:pStyle w:val="BodyText"/>
        <w:jc w:val="both"/>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Simulation </w:t>
      </w:r>
      <w:r>
        <w:rPr>
          <w:rFonts w:ascii="Times New Roman" w:hAnsi="Times New Roman" w:cs="Times New Roman"/>
          <w:b/>
          <w:bCs/>
          <w:color w:val="000000" w:themeColor="text1"/>
          <w:sz w:val="22"/>
          <w:szCs w:val="22"/>
        </w:rPr>
        <w:t>Calculations:</w:t>
      </w:r>
    </w:p>
    <w:p w14:paraId="47C94BA2" w14:textId="77777777" w:rsidR="00196A43" w:rsidRDefault="00EC6335">
      <w:pPr>
        <w:numPr>
          <w:ilvl w:val="0"/>
          <w:numId w:val="10"/>
        </w:numPr>
        <w:spacing w:after="200" w:line="240" w:lineRule="auto"/>
        <w:jc w:val="both"/>
        <w:rPr>
          <w:rFonts w:ascii="Times New Roman" w:hAnsi="Times New Roman" w:cs="Times New Roman"/>
          <w:color w:val="000000" w:themeColor="text1"/>
        </w:rPr>
      </w:pPr>
      <w:r>
        <w:rPr>
          <w:rFonts w:ascii="Times New Roman" w:hAnsi="Times New Roman" w:cs="Times New Roman"/>
          <w:b/>
          <w:bCs/>
          <w:color w:val="000000" w:themeColor="text1"/>
        </w:rPr>
        <w:t>Mean Target Reached:</w:t>
      </w:r>
    </w:p>
    <w:p w14:paraId="10675DE5" w14:textId="77777777" w:rsidR="00196A43" w:rsidRDefault="00EC6335">
      <w:pPr>
        <w:pStyle w:val="FirstParagraph"/>
        <w:rPr>
          <w:rFonts w:ascii="Times New Roman" w:hAnsi="Times New Roman" w:cs="Times New Roman"/>
          <w:color w:val="000000" w:themeColor="text1"/>
          <w:sz w:val="22"/>
          <w:szCs w:val="22"/>
        </w:rPr>
      </w:pPr>
      <m:oMathPara>
        <m:oMathParaPr>
          <m:jc m:val="left"/>
        </m:oMathParaPr>
        <m:oMath>
          <m:acc>
            <m:accPr>
              <m:chr m:val="‾"/>
              <m:ctrlPr>
                <w:rPr>
                  <w:rFonts w:ascii="Cambria Math" w:hAnsi="Cambria Math" w:cs="Times New Roman"/>
                  <w:color w:val="000000" w:themeColor="text1"/>
                  <w:sz w:val="22"/>
                  <w:szCs w:val="22"/>
                </w:rPr>
              </m:ctrlPr>
            </m:accPr>
            <m:e>
              <m:r>
                <w:rPr>
                  <w:rFonts w:ascii="Cambria Math" w:hAnsi="Cambria Math" w:cs="Times New Roman"/>
                  <w:color w:val="000000" w:themeColor="text1"/>
                  <w:sz w:val="22"/>
                  <w:szCs w:val="22"/>
                </w:rPr>
                <m:t>T</m:t>
              </m:r>
            </m:e>
          </m:acc>
          <m:r>
            <m:rPr>
              <m:sty m:val="p"/>
            </m:rP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w:rPr>
                  <w:rFonts w:ascii="Cambria Math" w:hAnsi="Cambria Math" w:cs="Times New Roman"/>
                  <w:color w:val="000000" w:themeColor="text1"/>
                  <w:sz w:val="22"/>
                  <w:szCs w:val="22"/>
                </w:rPr>
                <m:t>93</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91</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90</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95</m:t>
              </m:r>
            </m:num>
            <m:den>
              <m:r>
                <w:rPr>
                  <w:rFonts w:ascii="Cambria Math" w:hAnsi="Cambria Math" w:cs="Times New Roman"/>
                  <w:color w:val="000000" w:themeColor="text1"/>
                  <w:sz w:val="22"/>
                  <w:szCs w:val="22"/>
                </w:rPr>
                <m:t>4</m:t>
              </m:r>
            </m:den>
          </m:f>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92.25</m:t>
          </m:r>
          <m:r>
            <m:rPr>
              <m:sty m:val="p"/>
            </m:rPr>
            <w:rPr>
              <w:rFonts w:ascii="Cambria Math" w:hAnsi="Cambria Math" w:cs="Times New Roman"/>
              <w:color w:val="000000" w:themeColor="text1"/>
              <w:sz w:val="22"/>
              <w:szCs w:val="22"/>
            </w:rPr>
            <m:t>%</m:t>
          </m:r>
        </m:oMath>
      </m:oMathPara>
    </w:p>
    <w:p w14:paraId="6889DE13" w14:textId="77777777" w:rsidR="00196A43" w:rsidRDefault="00EC6335">
      <w:pPr>
        <w:numPr>
          <w:ilvl w:val="0"/>
          <w:numId w:val="10"/>
        </w:numPr>
        <w:spacing w:after="200" w:line="240" w:lineRule="auto"/>
        <w:rPr>
          <w:rFonts w:ascii="Times New Roman" w:hAnsi="Times New Roman" w:cs="Times New Roman"/>
          <w:color w:val="000000" w:themeColor="text1"/>
        </w:rPr>
      </w:pPr>
      <w:r>
        <w:rPr>
          <w:rFonts w:ascii="Times New Roman" w:hAnsi="Times New Roman" w:cs="Times New Roman"/>
          <w:b/>
          <w:bCs/>
          <w:color w:val="000000" w:themeColor="text1"/>
        </w:rPr>
        <w:t>Mean Distance Error:</w:t>
      </w:r>
    </w:p>
    <w:p w14:paraId="0C196E79" w14:textId="77777777" w:rsidR="00196A43" w:rsidRDefault="00EC6335">
      <w:pPr>
        <w:pStyle w:val="FirstParagraph"/>
        <w:rPr>
          <w:rFonts w:ascii="Times New Roman" w:hAnsi="Times New Roman" w:cs="Times New Roman"/>
          <w:color w:val="000000" w:themeColor="text1"/>
          <w:sz w:val="22"/>
          <w:szCs w:val="22"/>
        </w:rPr>
      </w:pPr>
      <m:oMathPara>
        <m:oMathParaPr>
          <m:jc m:val="left"/>
        </m:oMathParaPr>
        <m:oMath>
          <m:acc>
            <m:accPr>
              <m:chr m:val="‾"/>
              <m:ctrlPr>
                <w:rPr>
                  <w:rFonts w:ascii="Cambria Math" w:hAnsi="Cambria Math" w:cs="Times New Roman"/>
                  <w:color w:val="000000" w:themeColor="text1"/>
                  <w:sz w:val="22"/>
                  <w:szCs w:val="22"/>
                </w:rPr>
              </m:ctrlPr>
            </m:accPr>
            <m:e>
              <m:r>
                <w:rPr>
                  <w:rFonts w:ascii="Cambria Math" w:hAnsi="Cambria Math" w:cs="Times New Roman"/>
                  <w:color w:val="000000" w:themeColor="text1"/>
                  <w:sz w:val="22"/>
                  <w:szCs w:val="22"/>
                </w:rPr>
                <m:t>D</m:t>
              </m:r>
            </m:e>
          </m:acc>
          <m:r>
            <m:rPr>
              <m:sty m:val="p"/>
            </m:rP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w:rPr>
                  <w:rFonts w:ascii="Cambria Math" w:hAnsi="Cambria Math" w:cs="Times New Roman"/>
                  <w:color w:val="000000" w:themeColor="text1"/>
                  <w:sz w:val="22"/>
                  <w:szCs w:val="22"/>
                </w:rPr>
                <m:t>0.35</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0.42</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0.47</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0.30</m:t>
              </m:r>
            </m:num>
            <m:den>
              <m:r>
                <w:rPr>
                  <w:rFonts w:ascii="Cambria Math" w:hAnsi="Cambria Math" w:cs="Times New Roman"/>
                  <w:color w:val="000000" w:themeColor="text1"/>
                  <w:sz w:val="22"/>
                  <w:szCs w:val="22"/>
                </w:rPr>
                <m:t>4</m:t>
              </m:r>
            </m:den>
          </m:f>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0.385</m:t>
          </m:r>
          <m:r>
            <m:rPr>
              <m:nor/>
            </m:rPr>
            <w:rPr>
              <w:rFonts w:ascii="Times New Roman" w:hAnsi="Times New Roman" w:cs="Times New Roman"/>
              <w:color w:val="000000" w:themeColor="text1"/>
              <w:sz w:val="22"/>
              <w:szCs w:val="22"/>
            </w:rPr>
            <m:t xml:space="preserve"> m</m:t>
          </m:r>
        </m:oMath>
      </m:oMathPara>
    </w:p>
    <w:p w14:paraId="46AFDD31" w14:textId="77777777" w:rsidR="00196A43" w:rsidRDefault="00EC6335">
      <w:pPr>
        <w:numPr>
          <w:ilvl w:val="0"/>
          <w:numId w:val="10"/>
        </w:numPr>
        <w:spacing w:after="200" w:line="240" w:lineRule="auto"/>
        <w:rPr>
          <w:rFonts w:ascii="Times New Roman" w:hAnsi="Times New Roman" w:cs="Times New Roman"/>
          <w:color w:val="000000" w:themeColor="text1"/>
        </w:rPr>
      </w:pPr>
      <m:oMath>
        <m:r>
          <w:rPr>
            <w:rFonts w:ascii="Cambria Math" w:hAnsi="Cambria Math" w:cs="Times New Roman"/>
            <w:color w:val="000000" w:themeColor="text1"/>
          </w:rPr>
          <m:t>σ</m:t>
        </m:r>
        <m:r>
          <m:rPr>
            <m:sty m:val="p"/>
          </m:rPr>
          <w:rPr>
            <w:rFonts w:ascii="Cambria Math" w:hAnsi="Cambria Math" w:cs="Times New Roman"/>
            <w:color w:val="000000" w:themeColor="text1"/>
          </w:rPr>
          <m:t>=</m:t>
        </m:r>
        <m:rad>
          <m:radPr>
            <m:degHide m:val="1"/>
            <m:ctrlPr>
              <w:rPr>
                <w:rFonts w:ascii="Cambria Math" w:hAnsi="Cambria Math" w:cs="Times New Roman"/>
                <w:color w:val="000000" w:themeColor="text1"/>
              </w:rPr>
            </m:ctrlPr>
          </m:radPr>
          <m:deg/>
          <m:e>
            <m:f>
              <m:fPr>
                <m:ctrlPr>
                  <w:rPr>
                    <w:rFonts w:ascii="Cambria Math" w:hAnsi="Cambria Math" w:cs="Times New Roman"/>
                    <w:color w:val="000000" w:themeColor="text1"/>
                  </w:rPr>
                </m:ctrlPr>
              </m:fPr>
              <m:num>
                <m:r>
                  <m:rPr>
                    <m:sty m:val="p"/>
                  </m:rPr>
                  <w:rPr>
                    <w:rFonts w:ascii="Cambria Math" w:hAnsi="Cambria Math" w:cs="Times New Roman"/>
                    <w:color w:val="000000" w:themeColor="text1"/>
                  </w:rPr>
                  <m:t>∑</m:t>
                </m:r>
                <m:sSup>
                  <m:sSupPr>
                    <m:ctrlPr>
                      <w:rPr>
                        <w:rFonts w:ascii="Cambria Math" w:hAnsi="Cambria Math" w:cs="Times New Roman"/>
                        <w:color w:val="000000" w:themeColor="text1"/>
                      </w:rPr>
                    </m:ctrlPr>
                  </m:sSupPr>
                  <m:e>
                    <m:d>
                      <m:dPr>
                        <m:ctrlPr>
                          <w:rPr>
                            <w:rFonts w:ascii="Cambria Math" w:hAnsi="Cambria Math" w:cs="Times New Roman"/>
                            <w:color w:val="000000" w:themeColor="text1"/>
                          </w:rPr>
                        </m:ctrlPr>
                      </m:dPr>
                      <m:e>
                        <m:sSub>
                          <m:sSubPr>
                            <m:ctrlPr>
                              <w:rPr>
                                <w:rFonts w:ascii="Cambria Math" w:hAnsi="Cambria Math" w:cs="Times New Roman"/>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i</m:t>
                            </m:r>
                          </m:sub>
                        </m:sSub>
                        <m:r>
                          <m:rPr>
                            <m:sty m:val="p"/>
                          </m:rPr>
                          <w:rPr>
                            <w:rFonts w:ascii="Cambria Math" w:hAnsi="Cambria Math" w:cs="Times New Roman"/>
                            <w:color w:val="000000" w:themeColor="text1"/>
                          </w:rPr>
                          <m:t>-</m:t>
                        </m:r>
                        <m:acc>
                          <m:accPr>
                            <m:chr m:val="‾"/>
                            <m:ctrlPr>
                              <w:rPr>
                                <w:rFonts w:ascii="Cambria Math" w:hAnsi="Cambria Math" w:cs="Times New Roman"/>
                                <w:color w:val="000000" w:themeColor="text1"/>
                              </w:rPr>
                            </m:ctrlPr>
                          </m:accPr>
                          <m:e>
                            <m:r>
                              <w:rPr>
                                <w:rFonts w:ascii="Cambria Math" w:hAnsi="Cambria Math" w:cs="Times New Roman"/>
                                <w:color w:val="000000" w:themeColor="text1"/>
                              </w:rPr>
                              <m:t>x</m:t>
                            </m:r>
                          </m:e>
                        </m:acc>
                      </m:e>
                    </m:d>
                  </m:e>
                  <m:sup>
                    <m:r>
                      <w:rPr>
                        <w:rFonts w:ascii="Cambria Math" w:hAnsi="Cambria Math" w:cs="Times New Roman"/>
                        <w:color w:val="000000" w:themeColor="text1"/>
                      </w:rPr>
                      <m:t>2</m:t>
                    </m:r>
                  </m:sup>
                </m:sSup>
              </m:num>
              <m:den>
                <m:r>
                  <w:rPr>
                    <w:rFonts w:ascii="Cambria Math" w:hAnsi="Cambria Math" w:cs="Times New Roman"/>
                    <w:color w:val="000000" w:themeColor="text1"/>
                  </w:rPr>
                  <m:t>n</m:t>
                </m:r>
              </m:den>
            </m:f>
          </m:e>
        </m:rad>
        <m:r>
          <m:rPr>
            <m:sty m:val="p"/>
          </m:rPr>
          <w:rPr>
            <w:rFonts w:ascii="Cambria Math" w:hAnsi="Cambria Math" w:cs="Times New Roman"/>
            <w:color w:val="000000" w:themeColor="text1"/>
          </w:rPr>
          <m:t>=</m:t>
        </m:r>
        <m:rad>
          <m:radPr>
            <m:degHide m:val="1"/>
            <m:ctrlPr>
              <w:rPr>
                <w:rFonts w:ascii="Cambria Math" w:hAnsi="Cambria Math" w:cs="Times New Roman"/>
                <w:color w:val="000000" w:themeColor="text1"/>
              </w:rPr>
            </m:ctrlPr>
          </m:radPr>
          <m:deg/>
          <m:e>
            <m:f>
              <m:fPr>
                <m:ctrlPr>
                  <w:rPr>
                    <w:rFonts w:ascii="Cambria Math" w:hAnsi="Cambria Math" w:cs="Times New Roman"/>
                    <w:color w:val="000000" w:themeColor="text1"/>
                  </w:rPr>
                </m:ctrlPr>
              </m:fPr>
              <m:num>
                <m:sSup>
                  <m:sSupPr>
                    <m:ctrlPr>
                      <w:rPr>
                        <w:rFonts w:ascii="Cambria Math" w:hAnsi="Cambria Math" w:cs="Times New Roman"/>
                        <w:color w:val="000000" w:themeColor="text1"/>
                      </w:rPr>
                    </m:ctrlPr>
                  </m:sSupPr>
                  <m:e>
                    <m:d>
                      <m:dPr>
                        <m:ctrlPr>
                          <w:rPr>
                            <w:rFonts w:ascii="Cambria Math" w:hAnsi="Cambria Math" w:cs="Times New Roman"/>
                            <w:color w:val="000000" w:themeColor="text1"/>
                          </w:rPr>
                        </m:ctrlPr>
                      </m:dPr>
                      <m:e>
                        <m:r>
                          <w:rPr>
                            <w:rFonts w:ascii="Cambria Math" w:hAnsi="Cambria Math" w:cs="Times New Roman"/>
                            <w:color w:val="000000" w:themeColor="text1"/>
                          </w:rPr>
                          <m:t>0.35</m:t>
                        </m:r>
                        <m:r>
                          <m:rPr>
                            <m:sty m:val="p"/>
                          </m:rPr>
                          <w:rPr>
                            <w:rFonts w:ascii="Cambria Math" w:hAnsi="Cambria Math" w:cs="Times New Roman"/>
                            <w:color w:val="000000" w:themeColor="text1"/>
                          </w:rPr>
                          <m:t>-</m:t>
                        </m:r>
                        <m:r>
                          <w:rPr>
                            <w:rFonts w:ascii="Cambria Math" w:hAnsi="Cambria Math" w:cs="Times New Roman"/>
                            <w:color w:val="000000" w:themeColor="text1"/>
                          </w:rPr>
                          <m:t>0.385</m:t>
                        </m:r>
                      </m:e>
                    </m:d>
                  </m:e>
                  <m:sup>
                    <m:r>
                      <w:rPr>
                        <w:rFonts w:ascii="Cambria Math" w:hAnsi="Cambria Math" w:cs="Times New Roman"/>
                        <w:color w:val="000000" w:themeColor="text1"/>
                      </w:rPr>
                      <m:t>2</m:t>
                    </m:r>
                  </m:sup>
                </m:sSup>
                <m:r>
                  <m:rPr>
                    <m:sty m:val="p"/>
                  </m:rPr>
                  <w:rPr>
                    <w:rFonts w:ascii="Cambria Math" w:hAnsi="Cambria Math" w:cs="Times New Roman"/>
                    <w:color w:val="000000" w:themeColor="text1"/>
                  </w:rPr>
                  <m:t>+...</m:t>
                </m:r>
              </m:num>
              <m:den>
                <m:r>
                  <w:rPr>
                    <w:rFonts w:ascii="Cambria Math" w:hAnsi="Cambria Math" w:cs="Times New Roman"/>
                    <w:color w:val="000000" w:themeColor="text1"/>
                  </w:rPr>
                  <m:t>4</m:t>
                </m:r>
              </m:den>
            </m:f>
          </m:e>
        </m:rad>
        <m:r>
          <m:rPr>
            <m:sty m:val="p"/>
          </m:rPr>
          <w:rPr>
            <w:rFonts w:ascii="Cambria Math" w:hAnsi="Cambria Math" w:cs="Times New Roman"/>
            <w:color w:val="000000" w:themeColor="text1"/>
          </w:rPr>
          <m:t>≈</m:t>
        </m:r>
        <m:r>
          <w:rPr>
            <w:rFonts w:ascii="Cambria Math" w:hAnsi="Cambria Math" w:cs="Times New Roman"/>
            <w:color w:val="000000" w:themeColor="text1"/>
          </w:rPr>
          <m:t>0.13</m:t>
        </m:r>
        <m:r>
          <m:rPr>
            <m:nor/>
          </m:rPr>
          <w:rPr>
            <w:rFonts w:ascii="Times New Roman" w:hAnsi="Times New Roman" w:cs="Times New Roman"/>
            <w:color w:val="000000" w:themeColor="text1"/>
          </w:rPr>
          <m:t xml:space="preserve"> m</m:t>
        </m:r>
      </m:oMath>
    </w:p>
    <w:p w14:paraId="63C57458" w14:textId="77777777" w:rsidR="00196A43" w:rsidRDefault="00EC6335">
      <w:pPr>
        <w:pStyle w:val="FirstParagraph"/>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Table .3: Navigation Accuracy Across Environments</w:t>
      </w:r>
      <w:r>
        <w:rPr>
          <w:rFonts w:ascii="Times New Roman" w:hAnsi="Times New Roman" w:cs="Times New Roman"/>
          <w:color w:val="000000" w:themeColor="text1"/>
          <w:sz w:val="22"/>
          <w:szCs w:val="22"/>
        </w:rPr>
        <w:br/>
      </w:r>
      <w:r>
        <w:rPr>
          <w:rFonts w:ascii="Times New Roman" w:hAnsi="Times New Roman" w:cs="Times New Roman"/>
          <w:b/>
          <w:bCs/>
          <w:color w:val="000000" w:themeColor="text1"/>
          <w:sz w:val="22"/>
          <w:szCs w:val="22"/>
        </w:rPr>
        <w:t>Source:</w:t>
      </w:r>
      <w:r>
        <w:rPr>
          <w:rFonts w:ascii="Times New Roman" w:hAnsi="Times New Roman" w:cs="Times New Roman"/>
          <w:color w:val="000000" w:themeColor="text1"/>
          <w:sz w:val="22"/>
          <w:szCs w:val="22"/>
        </w:rPr>
        <w:t xml:space="preserve"> UAV Simulation Analysis, 2025</w:t>
      </w:r>
    </w:p>
    <w:p w14:paraId="290D421D" w14:textId="77777777" w:rsidR="00196A43" w:rsidRDefault="00EC6335">
      <w:pPr>
        <w:pStyle w:val="BodyText"/>
        <w:spacing w:before="0" w:after="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lastRenderedPageBreak/>
        <w:t xml:space="preserve">Navigation </w:t>
      </w:r>
      <w:r>
        <w:rPr>
          <w:rFonts w:ascii="Times New Roman" w:hAnsi="Times New Roman" w:cs="Times New Roman"/>
          <w:color w:val="000000" w:themeColor="text1"/>
          <w:sz w:val="22"/>
          <w:szCs w:val="22"/>
        </w:rPr>
        <w:t>accuracy remains robust (&gt;90%) across all environments. Higher errors in forested areas reflect increased challenge for visual perception, whereas open fields show minimal error, demonstrating strong model generalization.</w:t>
      </w:r>
    </w:p>
    <w:p w14:paraId="7CAE2CD2" w14:textId="77777777" w:rsidR="00196A43" w:rsidRDefault="00EC6335">
      <w:pPr>
        <w:pStyle w:val="Heading1"/>
        <w:spacing w:before="0" w:line="240" w:lineRule="auto"/>
        <w:jc w:val="both"/>
        <w:rPr>
          <w:rFonts w:ascii="Times New Roman" w:hAnsi="Times New Roman" w:cs="Times New Roman"/>
          <w:b w:val="0"/>
          <w:color w:val="000000" w:themeColor="text1"/>
          <w:sz w:val="22"/>
          <w:szCs w:val="22"/>
        </w:rPr>
      </w:pPr>
      <w:r>
        <w:rPr>
          <w:b w:val="0"/>
          <w:color w:val="000000" w:themeColor="text1"/>
          <w:sz w:val="22"/>
          <w:szCs w:val="22"/>
        </w:rPr>
        <w:t>The simulation results demonstrate</w:t>
      </w:r>
      <w:r>
        <w:rPr>
          <w:b w:val="0"/>
          <w:color w:val="000000" w:themeColor="text1"/>
          <w:sz w:val="22"/>
          <w:szCs w:val="22"/>
        </w:rPr>
        <w:t xml:space="preserve"> that the integration of deep reinforcement learning (DRL) and computer vision (CV) significantly enhances UAV navigation performance. Across 500 episodes, the target-reaching rate improved progressively from 88% to 96%, indicating that the DRL algorithm e</w:t>
      </w:r>
      <w:r>
        <w:rPr>
          <w:b w:val="0"/>
          <w:color w:val="000000" w:themeColor="text1"/>
          <w:sz w:val="22"/>
          <w:szCs w:val="22"/>
        </w:rPr>
        <w:t>ffectively learned optimal navigation policies in complex environments. The reduction in collision counts and gradual increase in cumulative rewards reinforce the model’s learning efficiency. These findings align with previous studies where PPO and similar</w:t>
      </w:r>
      <w:r>
        <w:rPr>
          <w:b w:val="0"/>
          <w:color w:val="000000" w:themeColor="text1"/>
          <w:sz w:val="22"/>
          <w:szCs w:val="22"/>
        </w:rPr>
        <w:t xml:space="preserve"> DRL algorithms exhibited superior convergence rates and stability in autonomous UAV tasks (Zhang, Sun, Liu, &amp; Zhang, 2020; Bai, Li, &amp; Liu, 2021). </w:t>
      </w:r>
    </w:p>
    <w:p w14:paraId="40FA6FC5" w14:textId="77777777" w:rsidR="00196A43" w:rsidRDefault="00EC6335">
      <w:pPr>
        <w:pStyle w:val="NormalWeb"/>
        <w:spacing w:before="0" w:beforeAutospacing="0" w:after="0" w:afterAutospacing="0"/>
        <w:jc w:val="both"/>
        <w:rPr>
          <w:color w:val="000000" w:themeColor="text1"/>
          <w:sz w:val="22"/>
          <w:szCs w:val="22"/>
        </w:rPr>
      </w:pPr>
      <w:r>
        <w:rPr>
          <w:color w:val="000000" w:themeColor="text1"/>
          <w:sz w:val="22"/>
          <w:szCs w:val="22"/>
        </w:rPr>
        <w:t xml:space="preserve">Additionally, energy consumption trends and cumulative reward improvements illustrate that the integration </w:t>
      </w:r>
      <w:r>
        <w:rPr>
          <w:color w:val="000000" w:themeColor="text1"/>
          <w:sz w:val="22"/>
          <w:szCs w:val="22"/>
        </w:rPr>
        <w:t>of DRL and CV optimizes resource utilization, a key consideration for battery-powered UAVs. Finally, the findings highlight practical implications for autonomous UAV navigation. The results suggest that simulation-based training with DRL and CV integration</w:t>
      </w:r>
      <w:r>
        <w:rPr>
          <w:color w:val="000000" w:themeColor="text1"/>
          <w:sz w:val="22"/>
          <w:szCs w:val="22"/>
        </w:rPr>
        <w:t xml:space="preserve"> can significantly reduce real-world trial-and-error, enhancing safety and operational efficiency. The study demonstrates that advanced DRL algorithms combined with robust computer vision techniques can create UAV systems capable of performing complex navi</w:t>
      </w:r>
      <w:r>
        <w:rPr>
          <w:color w:val="000000" w:themeColor="text1"/>
          <w:sz w:val="22"/>
          <w:szCs w:val="22"/>
        </w:rPr>
        <w:t>gation tasks autonomously, even in previously unstructured or GPS-denied environments (Yang, Zhang, Liu, &amp; Zhou, 2021; Hwang, Cho, &amp; Kim, 2020).</w:t>
      </w:r>
    </w:p>
    <w:p w14:paraId="629EBF97" w14:textId="77777777" w:rsidR="00196A43" w:rsidRDefault="00EC6335">
      <w:pPr>
        <w:pStyle w:val="NormalWeb"/>
        <w:numPr>
          <w:ilvl w:val="0"/>
          <w:numId w:val="1"/>
        </w:numPr>
        <w:ind w:left="720" w:hanging="630"/>
        <w:jc w:val="both"/>
        <w:rPr>
          <w:b/>
          <w:color w:val="000000" w:themeColor="text1"/>
          <w:sz w:val="22"/>
          <w:szCs w:val="22"/>
        </w:rPr>
      </w:pPr>
      <w:r>
        <w:rPr>
          <w:b/>
          <w:color w:val="000000" w:themeColor="text1"/>
          <w:sz w:val="22"/>
          <w:szCs w:val="22"/>
        </w:rPr>
        <w:t>CONCLUSION AND RECOMMENDATIONS:</w:t>
      </w:r>
    </w:p>
    <w:p w14:paraId="7F28FAB0" w14:textId="181C39D9" w:rsidR="00196A43" w:rsidRDefault="00EC6335">
      <w:pPr>
        <w:pStyle w:val="NormalWeb"/>
        <w:jc w:val="both"/>
        <w:rPr>
          <w:color w:val="000000" w:themeColor="text1"/>
          <w:sz w:val="22"/>
          <w:szCs w:val="22"/>
        </w:rPr>
      </w:pPr>
      <w:r>
        <w:rPr>
          <w:color w:val="000000" w:themeColor="text1"/>
          <w:sz w:val="22"/>
          <w:szCs w:val="22"/>
        </w:rPr>
        <w:t>The simulation outcomes showed that there are major advancements in the rate of</w:t>
      </w:r>
      <w:r>
        <w:rPr>
          <w:color w:val="000000" w:themeColor="text1"/>
          <w:sz w:val="22"/>
          <w:szCs w:val="22"/>
        </w:rPr>
        <w:t xml:space="preserve"> target reaching, collision avoidance, and cumulative reward in over 500 training sessions. The DRL-CV integration has enabled the UAV to move </w:t>
      </w:r>
      <w:r>
        <w:rPr>
          <w:color w:val="000000" w:themeColor="text1"/>
          <w:sz w:val="22"/>
          <w:szCs w:val="22"/>
        </w:rPr>
        <w:lastRenderedPageBreak/>
        <w:t>through complex and dynamic environments effectively, indicating that reinforcement learning policies are adaptab</w:t>
      </w:r>
      <w:r>
        <w:rPr>
          <w:color w:val="000000" w:themeColor="text1"/>
          <w:sz w:val="22"/>
          <w:szCs w:val="22"/>
        </w:rPr>
        <w:t>le with regard to real-time visual information.  Comparison of the performance of various DRL algorithms showed that PPO had the highest success rate of 94% and converged in the least number of episodes with DQN and A3C spending more episodes and having gr</w:t>
      </w:r>
      <w:r>
        <w:rPr>
          <w:color w:val="000000" w:themeColor="text1"/>
          <w:sz w:val="22"/>
          <w:szCs w:val="22"/>
        </w:rPr>
        <w:t>eater variability of cumulative rewards. This affirms the applicability of the use of policy gradient algorithms in continuous action problems in UAV navigation and is in line with the existing research trends in robotics and autonomous systems.  The compu</w:t>
      </w:r>
      <w:r>
        <w:rPr>
          <w:color w:val="000000" w:themeColor="text1"/>
          <w:sz w:val="22"/>
          <w:szCs w:val="22"/>
        </w:rPr>
        <w:t>ter vision analysis presented the fact that CNN-based algorithms, in particular ResNet50, were able to detect obstacles with the accuracy of 94 percent and ensure the processing speed of real-time. It was also found that YOLOv5 was effective, but with slig</w:t>
      </w:r>
      <w:r>
        <w:rPr>
          <w:color w:val="000000" w:themeColor="text1"/>
          <w:sz w:val="22"/>
          <w:szCs w:val="22"/>
        </w:rPr>
        <w:t>htly higher processing speeds and slightly reduced detection rates. The combination of DRL and high-performing CV algorithms guaranteed strong navigation in various environments such as indoor, urban, and forested.  The combination of DRA and CV did not on</w:t>
      </w:r>
      <w:r>
        <w:rPr>
          <w:color w:val="000000" w:themeColor="text1"/>
          <w:sz w:val="22"/>
          <w:szCs w:val="22"/>
        </w:rPr>
        <w:t>ly enhance the performance of navigation, but also enhanced computational and energy efficiency. Simulation results of cumulative reward increases and less energy use show that this integration can increase the UAV autonomy and reduce the cost of operation</w:t>
      </w:r>
      <w:r>
        <w:rPr>
          <w:color w:val="000000" w:themeColor="text1"/>
          <w:sz w:val="22"/>
          <w:szCs w:val="22"/>
        </w:rPr>
        <w:t>.  Moreover, the simulation-based design of the study confirms the fact that simulation of realistic environments is possible to test and train UAV navigation systems simulating their functioning in the real world. This greatly decreases the risks, resourc</w:t>
      </w:r>
      <w:r>
        <w:rPr>
          <w:color w:val="000000" w:themeColor="text1"/>
          <w:sz w:val="22"/>
          <w:szCs w:val="22"/>
        </w:rPr>
        <w:t>e usage and experimental overheads involved in physical UAV trials.  To sum up the study, it has been established that deep reinforcement-based learning coupled with computer vision is a powerful means of autonomous navigation of a UAV to overcome the diff</w:t>
      </w:r>
      <w:r>
        <w:rPr>
          <w:color w:val="000000" w:themeColor="text1"/>
          <w:sz w:val="22"/>
          <w:szCs w:val="22"/>
        </w:rPr>
        <w:t>iculties of a dynamic and unorganized environment, enhance efficiency, safety, and reliability. On the findings, a number of recommendations are put forward. First, there should be the extension of the integration along with DRA and CV to multi-drone syste</w:t>
      </w:r>
      <w:r>
        <w:rPr>
          <w:color w:val="000000" w:themeColor="text1"/>
          <w:sz w:val="22"/>
          <w:szCs w:val="22"/>
        </w:rPr>
        <w:t xml:space="preserve">ms to examine the coordinated navigation and swarm intelligence applications. </w:t>
      </w:r>
      <w:r w:rsidR="00CE0B42">
        <w:rPr>
          <w:color w:val="000000" w:themeColor="text1"/>
          <w:sz w:val="22"/>
          <w:szCs w:val="22"/>
        </w:rPr>
        <w:t>The researcher hereby recommends that</w:t>
      </w:r>
      <w:r>
        <w:rPr>
          <w:color w:val="000000" w:themeColor="text1"/>
          <w:sz w:val="22"/>
          <w:szCs w:val="22"/>
        </w:rPr>
        <w:t xml:space="preserve">, the future studies should explore the application of </w:t>
      </w:r>
      <w:r>
        <w:rPr>
          <w:color w:val="000000" w:themeColor="text1"/>
          <w:sz w:val="22"/>
          <w:szCs w:val="22"/>
        </w:rPr>
        <w:lastRenderedPageBreak/>
        <w:t>simulation-trained policies to real-world UAVs to ensure the robustness of the policies provided by different condi</w:t>
      </w:r>
      <w:r>
        <w:rPr>
          <w:color w:val="000000" w:themeColor="text1"/>
          <w:sz w:val="22"/>
          <w:szCs w:val="22"/>
        </w:rPr>
        <w:t xml:space="preserve">tions and sensor noise. </w:t>
      </w:r>
    </w:p>
    <w:p w14:paraId="20D619A2" w14:textId="77777777" w:rsidR="002D3E1A" w:rsidRDefault="002D3E1A">
      <w:pPr>
        <w:pStyle w:val="NormalWeb"/>
        <w:jc w:val="both"/>
        <w:rPr>
          <w:color w:val="000000" w:themeColor="text1"/>
          <w:sz w:val="22"/>
          <w:szCs w:val="22"/>
        </w:rPr>
      </w:pPr>
    </w:p>
    <w:p w14:paraId="62263549" w14:textId="77777777" w:rsidR="00196A43" w:rsidRDefault="00EC6335">
      <w:pPr>
        <w:pStyle w:val="NormalWeb"/>
        <w:numPr>
          <w:ilvl w:val="0"/>
          <w:numId w:val="1"/>
        </w:numPr>
        <w:ind w:left="720" w:hanging="630"/>
        <w:jc w:val="both"/>
        <w:rPr>
          <w:b/>
          <w:color w:val="000000" w:themeColor="text1"/>
          <w:sz w:val="22"/>
          <w:szCs w:val="22"/>
        </w:rPr>
      </w:pPr>
      <w:r>
        <w:rPr>
          <w:b/>
          <w:color w:val="000000" w:themeColor="text1"/>
          <w:sz w:val="22"/>
          <w:szCs w:val="22"/>
        </w:rPr>
        <w:t xml:space="preserve">REFERENCES: </w:t>
      </w:r>
    </w:p>
    <w:p w14:paraId="6ED71B64" w14:textId="77777777" w:rsidR="00196A43" w:rsidRDefault="00EC6335">
      <w:pPr>
        <w:pStyle w:val="NormalWeb"/>
        <w:jc w:val="both"/>
        <w:rPr>
          <w:color w:val="000000" w:themeColor="text1"/>
          <w:sz w:val="22"/>
          <w:szCs w:val="22"/>
        </w:rPr>
      </w:pPr>
      <w:r>
        <w:rPr>
          <w:color w:val="000000" w:themeColor="text1"/>
          <w:sz w:val="22"/>
          <w:szCs w:val="22"/>
        </w:rPr>
        <w:t xml:space="preserve">Chen, C., Sun, H., &amp; Zhao, L. (2020). Deep reinforcement learning for vision-based UAV navigation in GPS-denied environments. </w:t>
      </w:r>
      <w:r>
        <w:rPr>
          <w:rStyle w:val="Emphasis"/>
          <w:rFonts w:eastAsiaTheme="majorEastAsia"/>
          <w:color w:val="000000" w:themeColor="text1"/>
          <w:sz w:val="22"/>
          <w:szCs w:val="22"/>
        </w:rPr>
        <w:t>Robotics, 9</w:t>
      </w:r>
      <w:r>
        <w:rPr>
          <w:color w:val="000000" w:themeColor="text1"/>
          <w:sz w:val="22"/>
          <w:szCs w:val="22"/>
        </w:rPr>
        <w:t xml:space="preserve">(4), 87. </w:t>
      </w:r>
      <w:hyperlink r:id="rId11" w:tgtFrame="_new" w:history="1">
        <w:r>
          <w:rPr>
            <w:rStyle w:val="Hyperlink"/>
            <w:rFonts w:eastAsiaTheme="majorEastAsia"/>
            <w:color w:val="000000" w:themeColor="text1"/>
            <w:sz w:val="22"/>
            <w:szCs w:val="22"/>
          </w:rPr>
          <w:t>https://</w:t>
        </w:r>
        <w:r>
          <w:rPr>
            <w:rStyle w:val="Hyperlink"/>
            <w:rFonts w:eastAsiaTheme="majorEastAsia"/>
            <w:color w:val="000000" w:themeColor="text1"/>
            <w:sz w:val="22"/>
            <w:szCs w:val="22"/>
          </w:rPr>
          <w:t>www.mdpi.com/2218-6581/9/4/87</w:t>
        </w:r>
      </w:hyperlink>
    </w:p>
    <w:p w14:paraId="4D42BE6B" w14:textId="77777777" w:rsidR="00196A43" w:rsidRDefault="00EC6335">
      <w:pPr>
        <w:pStyle w:val="NormalWeb"/>
        <w:jc w:val="both"/>
        <w:rPr>
          <w:color w:val="000000" w:themeColor="text1"/>
          <w:sz w:val="22"/>
          <w:szCs w:val="22"/>
        </w:rPr>
      </w:pPr>
      <w:r>
        <w:rPr>
          <w:color w:val="000000" w:themeColor="text1"/>
          <w:sz w:val="22"/>
          <w:szCs w:val="22"/>
        </w:rPr>
        <w:t xml:space="preserve">Han, Z., Liu, W., &amp; Zhou, J. (2022). DRL-based visual navigation for UAVs in dynamic urban scenarios. </w:t>
      </w:r>
      <w:r>
        <w:rPr>
          <w:rStyle w:val="Emphasis"/>
          <w:rFonts w:eastAsiaTheme="majorEastAsia"/>
          <w:color w:val="000000" w:themeColor="text1"/>
          <w:sz w:val="22"/>
          <w:szCs w:val="22"/>
        </w:rPr>
        <w:t>Robotics and Autonomous Systems, 153</w:t>
      </w:r>
      <w:r>
        <w:rPr>
          <w:color w:val="000000" w:themeColor="text1"/>
          <w:sz w:val="22"/>
          <w:szCs w:val="22"/>
        </w:rPr>
        <w:t>, 104071. https://www.sciencedirect.com/science/article/pii/S092188902200030X</w:t>
      </w:r>
    </w:p>
    <w:p w14:paraId="148FE8B7" w14:textId="77777777" w:rsidR="00196A43" w:rsidRDefault="00EC6335">
      <w:pPr>
        <w:pStyle w:val="NormalWeb"/>
        <w:jc w:val="both"/>
        <w:rPr>
          <w:color w:val="000000" w:themeColor="text1"/>
          <w:sz w:val="22"/>
          <w:szCs w:val="22"/>
        </w:rPr>
      </w:pPr>
      <w:r>
        <w:rPr>
          <w:color w:val="000000" w:themeColor="text1"/>
          <w:sz w:val="22"/>
          <w:szCs w:val="22"/>
        </w:rPr>
        <w:t>Luo, T., &amp;</w:t>
      </w:r>
      <w:r>
        <w:rPr>
          <w:color w:val="000000" w:themeColor="text1"/>
          <w:sz w:val="22"/>
          <w:szCs w:val="22"/>
        </w:rPr>
        <w:t xml:space="preserve"> Tang, Y. (2021). DRL for UAV autonomous navigation with real-time obstacle avoidance. </w:t>
      </w:r>
      <w:r>
        <w:rPr>
          <w:rStyle w:val="Emphasis"/>
          <w:rFonts w:eastAsiaTheme="majorEastAsia"/>
          <w:color w:val="000000" w:themeColor="text1"/>
          <w:sz w:val="22"/>
          <w:szCs w:val="22"/>
        </w:rPr>
        <w:t>Sensors, 21</w:t>
      </w:r>
      <w:r>
        <w:rPr>
          <w:color w:val="000000" w:themeColor="text1"/>
          <w:sz w:val="22"/>
          <w:szCs w:val="22"/>
        </w:rPr>
        <w:t xml:space="preserve">(15), 5090. </w:t>
      </w:r>
      <w:hyperlink r:id="rId12" w:tgtFrame="_new" w:history="1">
        <w:r>
          <w:rPr>
            <w:rStyle w:val="Hyperlink"/>
            <w:rFonts w:eastAsiaTheme="majorEastAsia"/>
            <w:color w:val="000000" w:themeColor="text1"/>
            <w:sz w:val="22"/>
            <w:szCs w:val="22"/>
          </w:rPr>
          <w:t>https://www.mdpi.com/1424-8220/21/15/5090</w:t>
        </w:r>
      </w:hyperlink>
    </w:p>
    <w:p w14:paraId="6FDF5FC9" w14:textId="77777777" w:rsidR="00196A43" w:rsidRDefault="00EC6335">
      <w:pPr>
        <w:pStyle w:val="NormalWeb"/>
        <w:jc w:val="both"/>
        <w:rPr>
          <w:color w:val="000000" w:themeColor="text1"/>
          <w:sz w:val="22"/>
          <w:szCs w:val="22"/>
        </w:rPr>
      </w:pPr>
      <w:r>
        <w:rPr>
          <w:color w:val="000000" w:themeColor="text1"/>
          <w:sz w:val="22"/>
          <w:szCs w:val="22"/>
        </w:rPr>
        <w:t xml:space="preserve">Mao, Y., Chen, J., &amp; Li, P. (2021). </w:t>
      </w:r>
      <w:r>
        <w:rPr>
          <w:color w:val="000000" w:themeColor="text1"/>
          <w:sz w:val="22"/>
          <w:szCs w:val="22"/>
        </w:rPr>
        <w:t xml:space="preserve">End-to-end DRL for autonomous drone navigation using monocular images. </w:t>
      </w:r>
      <w:r>
        <w:rPr>
          <w:rStyle w:val="Emphasis"/>
          <w:rFonts w:eastAsiaTheme="majorEastAsia"/>
          <w:color w:val="000000" w:themeColor="text1"/>
          <w:sz w:val="22"/>
          <w:szCs w:val="22"/>
        </w:rPr>
        <w:t>Robotics and Autonomous Systems, 141</w:t>
      </w:r>
      <w:r>
        <w:rPr>
          <w:color w:val="000000" w:themeColor="text1"/>
          <w:sz w:val="22"/>
          <w:szCs w:val="22"/>
        </w:rPr>
        <w:t>, 103742. https://www.sciencedirect.com/science/article/pii/S0921889021001125</w:t>
      </w:r>
    </w:p>
    <w:p w14:paraId="676AA1C5" w14:textId="77777777" w:rsidR="00196A43" w:rsidRDefault="00EC6335">
      <w:pPr>
        <w:pStyle w:val="NormalWeb"/>
        <w:jc w:val="both"/>
        <w:rPr>
          <w:color w:val="000000" w:themeColor="text1"/>
          <w:sz w:val="22"/>
          <w:szCs w:val="22"/>
        </w:rPr>
      </w:pPr>
      <w:r>
        <w:rPr>
          <w:color w:val="000000" w:themeColor="text1"/>
          <w:sz w:val="22"/>
          <w:szCs w:val="22"/>
        </w:rPr>
        <w:t>Mehta, P., &amp;</w:t>
      </w:r>
      <w:r>
        <w:rPr>
          <w:color w:val="000000" w:themeColor="text1"/>
          <w:sz w:val="22"/>
          <w:szCs w:val="22"/>
        </w:rPr>
        <w:t xml:space="preserve"> Hwang, J. (2021). Safe reinforcement learning for drone navigation in cluttered environments. </w:t>
      </w:r>
      <w:r>
        <w:rPr>
          <w:rStyle w:val="Emphasis"/>
          <w:rFonts w:eastAsiaTheme="majorEastAsia"/>
          <w:color w:val="000000" w:themeColor="text1"/>
          <w:sz w:val="22"/>
          <w:szCs w:val="22"/>
        </w:rPr>
        <w:t>IEEE Robotics and Automation Letters, 6</w:t>
      </w:r>
      <w:r>
        <w:rPr>
          <w:color w:val="000000" w:themeColor="text1"/>
          <w:sz w:val="22"/>
          <w:szCs w:val="22"/>
        </w:rPr>
        <w:t>(2), 2637–2644. https://ieeexplore.ieee.org/document/9381743</w:t>
      </w:r>
    </w:p>
    <w:p w14:paraId="00CCF73C" w14:textId="77777777" w:rsidR="00196A43" w:rsidRDefault="00EC6335">
      <w:pPr>
        <w:pStyle w:val="NormalWeb"/>
        <w:jc w:val="both"/>
        <w:rPr>
          <w:color w:val="000000" w:themeColor="text1"/>
          <w:sz w:val="22"/>
          <w:szCs w:val="22"/>
        </w:rPr>
      </w:pPr>
      <w:r>
        <w:rPr>
          <w:color w:val="000000" w:themeColor="text1"/>
          <w:sz w:val="22"/>
          <w:szCs w:val="22"/>
        </w:rPr>
        <w:t xml:space="preserve">Park, J., &amp; Kim, H. (2021). Vision-guided deep reinforcement </w:t>
      </w:r>
      <w:r>
        <w:rPr>
          <w:color w:val="000000" w:themeColor="text1"/>
          <w:sz w:val="22"/>
          <w:szCs w:val="22"/>
        </w:rPr>
        <w:t xml:space="preserve">learning for quadrotor navigation in cluttered environments. </w:t>
      </w:r>
      <w:r>
        <w:rPr>
          <w:rStyle w:val="Emphasis"/>
          <w:rFonts w:eastAsiaTheme="majorEastAsia"/>
          <w:color w:val="000000" w:themeColor="text1"/>
          <w:sz w:val="22"/>
          <w:szCs w:val="22"/>
        </w:rPr>
        <w:t>Sensors, 21</w:t>
      </w:r>
      <w:r>
        <w:rPr>
          <w:color w:val="000000" w:themeColor="text1"/>
          <w:sz w:val="22"/>
          <w:szCs w:val="22"/>
        </w:rPr>
        <w:t xml:space="preserve">(20), 6842. </w:t>
      </w:r>
      <w:hyperlink r:id="rId13" w:tgtFrame="_new" w:history="1">
        <w:r>
          <w:rPr>
            <w:rStyle w:val="Hyperlink"/>
            <w:rFonts w:eastAsiaTheme="majorEastAsia"/>
            <w:color w:val="000000" w:themeColor="text1"/>
            <w:sz w:val="22"/>
            <w:szCs w:val="22"/>
          </w:rPr>
          <w:t>https://www.mdpi.com/1424-8220/21/20/6842</w:t>
        </w:r>
      </w:hyperlink>
    </w:p>
    <w:p w14:paraId="52356527" w14:textId="77777777" w:rsidR="00196A43" w:rsidRDefault="00EC6335">
      <w:pPr>
        <w:pStyle w:val="NormalWeb"/>
        <w:jc w:val="both"/>
        <w:rPr>
          <w:color w:val="000000" w:themeColor="text1"/>
          <w:sz w:val="22"/>
          <w:szCs w:val="22"/>
        </w:rPr>
      </w:pPr>
      <w:r>
        <w:rPr>
          <w:color w:val="000000" w:themeColor="text1"/>
          <w:sz w:val="22"/>
          <w:szCs w:val="22"/>
        </w:rPr>
        <w:t>Qu, Y., Zhang, Q., &amp; Liu, Y. (2022). UAV navigation with DRL u</w:t>
      </w:r>
      <w:r>
        <w:rPr>
          <w:color w:val="000000" w:themeColor="text1"/>
          <w:sz w:val="22"/>
          <w:szCs w:val="22"/>
        </w:rPr>
        <w:t xml:space="preserve">sing depth images. </w:t>
      </w:r>
      <w:r>
        <w:rPr>
          <w:rStyle w:val="Emphasis"/>
          <w:rFonts w:eastAsiaTheme="majorEastAsia"/>
          <w:color w:val="000000" w:themeColor="text1"/>
          <w:sz w:val="22"/>
          <w:szCs w:val="22"/>
        </w:rPr>
        <w:t>Sensors, 22</w:t>
      </w:r>
      <w:r>
        <w:rPr>
          <w:color w:val="000000" w:themeColor="text1"/>
          <w:sz w:val="22"/>
          <w:szCs w:val="22"/>
        </w:rPr>
        <w:t xml:space="preserve">(3), 976. </w:t>
      </w:r>
      <w:hyperlink r:id="rId14" w:tgtFrame="_new" w:history="1">
        <w:r>
          <w:rPr>
            <w:rStyle w:val="Hyperlink"/>
            <w:rFonts w:eastAsiaTheme="majorEastAsia"/>
            <w:color w:val="000000" w:themeColor="text1"/>
            <w:sz w:val="22"/>
            <w:szCs w:val="22"/>
          </w:rPr>
          <w:t>https://www.mdpi.com/1424-8220/22/3/976</w:t>
        </w:r>
      </w:hyperlink>
    </w:p>
    <w:p w14:paraId="65767763" w14:textId="77777777" w:rsidR="00196A43" w:rsidRDefault="00EC6335">
      <w:pPr>
        <w:pStyle w:val="NormalWeb"/>
        <w:jc w:val="both"/>
        <w:rPr>
          <w:color w:val="000000" w:themeColor="text1"/>
          <w:sz w:val="22"/>
          <w:szCs w:val="22"/>
        </w:rPr>
      </w:pPr>
      <w:r>
        <w:rPr>
          <w:color w:val="000000" w:themeColor="text1"/>
          <w:sz w:val="22"/>
          <w:szCs w:val="22"/>
        </w:rPr>
        <w:lastRenderedPageBreak/>
        <w:t xml:space="preserve">Sharma, R., &amp; Kumar, S. (2021). Integration of computer vision and deep reinforcement learning for autonomous </w:t>
      </w:r>
      <w:r>
        <w:rPr>
          <w:color w:val="000000" w:themeColor="text1"/>
          <w:sz w:val="22"/>
          <w:szCs w:val="22"/>
        </w:rPr>
        <w:t xml:space="preserve">drone flight. </w:t>
      </w:r>
      <w:r>
        <w:rPr>
          <w:rStyle w:val="Emphasis"/>
          <w:rFonts w:eastAsiaTheme="majorEastAsia"/>
          <w:color w:val="000000" w:themeColor="text1"/>
          <w:sz w:val="22"/>
          <w:szCs w:val="22"/>
        </w:rPr>
        <w:t>Journal of Intelligent &amp; Robotic Systems, 102</w:t>
      </w:r>
      <w:r>
        <w:rPr>
          <w:color w:val="000000" w:themeColor="text1"/>
          <w:sz w:val="22"/>
          <w:szCs w:val="22"/>
        </w:rPr>
        <w:t xml:space="preserve">(2), 1–17. </w:t>
      </w:r>
      <w:hyperlink r:id="rId15" w:tgtFrame="_new" w:history="1">
        <w:r>
          <w:rPr>
            <w:rStyle w:val="Hyperlink"/>
            <w:rFonts w:eastAsiaTheme="majorEastAsia"/>
            <w:color w:val="000000" w:themeColor="text1"/>
            <w:sz w:val="22"/>
            <w:szCs w:val="22"/>
          </w:rPr>
          <w:t>https://link.springer.com/article/10.1007/s10846-021-01338-w</w:t>
        </w:r>
      </w:hyperlink>
    </w:p>
    <w:p w14:paraId="0CCEFDB0" w14:textId="77777777" w:rsidR="00196A43" w:rsidRDefault="00EC6335">
      <w:pPr>
        <w:pStyle w:val="NormalWeb"/>
        <w:jc w:val="both"/>
        <w:rPr>
          <w:color w:val="000000" w:themeColor="text1"/>
          <w:sz w:val="22"/>
          <w:szCs w:val="22"/>
        </w:rPr>
      </w:pPr>
      <w:r>
        <w:rPr>
          <w:color w:val="000000" w:themeColor="text1"/>
          <w:sz w:val="22"/>
          <w:szCs w:val="22"/>
        </w:rPr>
        <w:t>Wang, J., Chen, Y., &amp; Zhao, Q. (2021).</w:t>
      </w:r>
      <w:r>
        <w:rPr>
          <w:color w:val="000000" w:themeColor="text1"/>
          <w:sz w:val="22"/>
          <w:szCs w:val="22"/>
        </w:rPr>
        <w:t xml:space="preserve"> Hierarchical deep reinforcement learning for autonomous drone navigation. </w:t>
      </w:r>
      <w:r>
        <w:rPr>
          <w:rStyle w:val="Emphasis"/>
          <w:rFonts w:eastAsiaTheme="majorEastAsia"/>
          <w:color w:val="000000" w:themeColor="text1"/>
          <w:sz w:val="22"/>
          <w:szCs w:val="22"/>
        </w:rPr>
        <w:t>IEEE Transactions on Cybernetics, 51</w:t>
      </w:r>
      <w:r>
        <w:rPr>
          <w:color w:val="000000" w:themeColor="text1"/>
          <w:sz w:val="22"/>
          <w:szCs w:val="22"/>
        </w:rPr>
        <w:t>(12), 6072–6084. https://ieeexplore.ieee.org/document/9444923</w:t>
      </w:r>
    </w:p>
    <w:p w14:paraId="7BE711EA" w14:textId="77777777" w:rsidR="00196A43" w:rsidRDefault="00EC6335">
      <w:pPr>
        <w:pStyle w:val="NormalWeb"/>
        <w:jc w:val="both"/>
        <w:rPr>
          <w:color w:val="000000" w:themeColor="text1"/>
          <w:sz w:val="22"/>
          <w:szCs w:val="22"/>
        </w:rPr>
      </w:pPr>
      <w:r>
        <w:rPr>
          <w:color w:val="000000" w:themeColor="text1"/>
          <w:sz w:val="22"/>
          <w:szCs w:val="22"/>
        </w:rPr>
        <w:t>Yang, L., Zhang, K., Liu, J., &amp; Zhou, D. (2021). Vision-based autonomous drone navi</w:t>
      </w:r>
      <w:r>
        <w:rPr>
          <w:color w:val="000000" w:themeColor="text1"/>
          <w:sz w:val="22"/>
          <w:szCs w:val="22"/>
        </w:rPr>
        <w:t xml:space="preserve">gation with deep reinforcement learning. </w:t>
      </w:r>
      <w:r>
        <w:rPr>
          <w:rStyle w:val="Emphasis"/>
          <w:rFonts w:eastAsiaTheme="majorEastAsia"/>
          <w:color w:val="000000" w:themeColor="text1"/>
          <w:sz w:val="22"/>
          <w:szCs w:val="22"/>
        </w:rPr>
        <w:t>Sensors, 21</w:t>
      </w:r>
      <w:r>
        <w:rPr>
          <w:color w:val="000000" w:themeColor="text1"/>
          <w:sz w:val="22"/>
          <w:szCs w:val="22"/>
        </w:rPr>
        <w:t xml:space="preserve">(5), 1765. </w:t>
      </w:r>
      <w:hyperlink r:id="rId16" w:tgtFrame="_new" w:history="1">
        <w:r>
          <w:rPr>
            <w:rStyle w:val="Hyperlink"/>
            <w:rFonts w:eastAsiaTheme="majorEastAsia"/>
            <w:color w:val="000000" w:themeColor="text1"/>
            <w:sz w:val="22"/>
            <w:szCs w:val="22"/>
          </w:rPr>
          <w:t>https://www.mdpi.com/1424-8220/21/5/1765</w:t>
        </w:r>
      </w:hyperlink>
    </w:p>
    <w:p w14:paraId="6AA73B10" w14:textId="77777777" w:rsidR="00196A43" w:rsidRDefault="00EC6335">
      <w:pPr>
        <w:pStyle w:val="NormalWeb"/>
        <w:jc w:val="both"/>
        <w:rPr>
          <w:color w:val="000000" w:themeColor="text1"/>
          <w:sz w:val="22"/>
          <w:szCs w:val="22"/>
        </w:rPr>
      </w:pPr>
      <w:r>
        <w:rPr>
          <w:color w:val="000000" w:themeColor="text1"/>
          <w:sz w:val="22"/>
          <w:szCs w:val="22"/>
        </w:rPr>
        <w:t>Yang, Z., Gao, W., &amp; Wang, H. (2022). Deep reinforcement learning with curriculum lea</w:t>
      </w:r>
      <w:r>
        <w:rPr>
          <w:color w:val="000000" w:themeColor="text1"/>
          <w:sz w:val="22"/>
          <w:szCs w:val="22"/>
        </w:rPr>
        <w:t xml:space="preserve">rning for UAV obstacle avoidance. </w:t>
      </w:r>
      <w:r>
        <w:rPr>
          <w:rStyle w:val="Emphasis"/>
          <w:rFonts w:eastAsiaTheme="majorEastAsia"/>
          <w:color w:val="000000" w:themeColor="text1"/>
          <w:sz w:val="22"/>
          <w:szCs w:val="22"/>
        </w:rPr>
        <w:t>Robotics and Autonomous Systems, 151</w:t>
      </w:r>
      <w:r>
        <w:rPr>
          <w:color w:val="000000" w:themeColor="text1"/>
          <w:sz w:val="22"/>
          <w:szCs w:val="22"/>
        </w:rPr>
        <w:t>, 103949. https://www.sciencedirect.com/science/article/pii/S0921889021002125</w:t>
      </w:r>
    </w:p>
    <w:sectPr w:rsidR="00196A43">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68204" w14:textId="77777777" w:rsidR="00EC6335" w:rsidRDefault="00EC6335">
      <w:pPr>
        <w:spacing w:line="240" w:lineRule="auto"/>
      </w:pPr>
      <w:r>
        <w:separator/>
      </w:r>
    </w:p>
  </w:endnote>
  <w:endnote w:type="continuationSeparator" w:id="0">
    <w:p w14:paraId="5FDDB335" w14:textId="77777777" w:rsidR="00EC6335" w:rsidRDefault="00EC63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4E4B5" w14:textId="77777777" w:rsidR="00EC6335" w:rsidRDefault="00EC6335">
      <w:pPr>
        <w:spacing w:after="0"/>
      </w:pPr>
      <w:r>
        <w:separator/>
      </w:r>
    </w:p>
  </w:footnote>
  <w:footnote w:type="continuationSeparator" w:id="0">
    <w:p w14:paraId="479FA61F" w14:textId="77777777" w:rsidR="00EC6335" w:rsidRDefault="00EC633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1"/>
    <w:multiLevelType w:val="multilevel"/>
    <w:tmpl w:val="0000A991"/>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00A99201"/>
    <w:multiLevelType w:val="multilevel"/>
    <w:tmpl w:val="00A992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00A99202"/>
    <w:multiLevelType w:val="multilevel"/>
    <w:tmpl w:val="00A99202"/>
    <w:lvl w:ilvl="0">
      <w:start w:val="2"/>
      <w:numFmt w:val="decimal"/>
      <w:lvlText w:val="%1."/>
      <w:lvlJc w:val="left"/>
      <w:pPr>
        <w:ind w:left="720" w:hanging="360"/>
      </w:pPr>
    </w:lvl>
    <w:lvl w:ilvl="1">
      <w:start w:val="2"/>
      <w:numFmt w:val="lowerLetter"/>
      <w:lvlText w:val="%2."/>
      <w:lvlJc w:val="left"/>
      <w:pPr>
        <w:ind w:left="1440" w:hanging="360"/>
      </w:pPr>
    </w:lvl>
    <w:lvl w:ilvl="2">
      <w:start w:val="2"/>
      <w:numFmt w:val="lowerRoman"/>
      <w:lvlText w:val="%3."/>
      <w:lvlJc w:val="left"/>
      <w:pPr>
        <w:ind w:left="2160" w:hanging="360"/>
      </w:pPr>
    </w:lvl>
    <w:lvl w:ilvl="3">
      <w:start w:val="2"/>
      <w:numFmt w:val="decimal"/>
      <w:lvlText w:val="%4."/>
      <w:lvlJc w:val="left"/>
      <w:pPr>
        <w:ind w:left="2880" w:hanging="360"/>
      </w:pPr>
    </w:lvl>
    <w:lvl w:ilvl="4">
      <w:start w:val="2"/>
      <w:numFmt w:val="lowerLetter"/>
      <w:lvlText w:val="%5."/>
      <w:lvlJc w:val="left"/>
      <w:pPr>
        <w:ind w:left="3600" w:hanging="360"/>
      </w:pPr>
    </w:lvl>
    <w:lvl w:ilvl="5">
      <w:start w:val="2"/>
      <w:numFmt w:val="lowerRoman"/>
      <w:lvlText w:val="%6."/>
      <w:lvlJc w:val="left"/>
      <w:pPr>
        <w:ind w:left="4320" w:hanging="360"/>
      </w:pPr>
    </w:lvl>
    <w:lvl w:ilvl="6">
      <w:start w:val="2"/>
      <w:numFmt w:val="decimal"/>
      <w:lvlText w:val="%7."/>
      <w:lvlJc w:val="left"/>
      <w:pPr>
        <w:ind w:left="5040" w:hanging="360"/>
      </w:pPr>
    </w:lvl>
    <w:lvl w:ilvl="7">
      <w:start w:val="2"/>
      <w:numFmt w:val="lowerLetter"/>
      <w:lvlText w:val="%8."/>
      <w:lvlJc w:val="left"/>
      <w:pPr>
        <w:ind w:left="5760" w:hanging="360"/>
      </w:pPr>
    </w:lvl>
    <w:lvl w:ilvl="8">
      <w:start w:val="2"/>
      <w:numFmt w:val="lowerRoman"/>
      <w:lvlText w:val="%9."/>
      <w:lvlJc w:val="left"/>
      <w:pPr>
        <w:ind w:left="6480" w:hanging="360"/>
      </w:pPr>
    </w:lvl>
  </w:abstractNum>
  <w:abstractNum w:abstractNumId="3">
    <w:nsid w:val="00A99203"/>
    <w:multiLevelType w:val="multilevel"/>
    <w:tmpl w:val="00A99203"/>
    <w:lvl w:ilvl="0">
      <w:start w:val="3"/>
      <w:numFmt w:val="decimal"/>
      <w:lvlText w:val="%1."/>
      <w:lvlJc w:val="left"/>
      <w:pPr>
        <w:ind w:left="720" w:hanging="360"/>
      </w:pPr>
    </w:lvl>
    <w:lvl w:ilvl="1">
      <w:start w:val="3"/>
      <w:numFmt w:val="lowerLetter"/>
      <w:lvlText w:val="%2."/>
      <w:lvlJc w:val="left"/>
      <w:pPr>
        <w:ind w:left="1440" w:hanging="360"/>
      </w:pPr>
    </w:lvl>
    <w:lvl w:ilvl="2">
      <w:start w:val="3"/>
      <w:numFmt w:val="lowerRoman"/>
      <w:lvlText w:val="%3."/>
      <w:lvlJc w:val="left"/>
      <w:pPr>
        <w:ind w:left="2160" w:hanging="360"/>
      </w:pPr>
    </w:lvl>
    <w:lvl w:ilvl="3">
      <w:start w:val="3"/>
      <w:numFmt w:val="decimal"/>
      <w:lvlText w:val="%4."/>
      <w:lvlJc w:val="left"/>
      <w:pPr>
        <w:ind w:left="2880" w:hanging="360"/>
      </w:pPr>
    </w:lvl>
    <w:lvl w:ilvl="4">
      <w:start w:val="3"/>
      <w:numFmt w:val="lowerLetter"/>
      <w:lvlText w:val="%5."/>
      <w:lvlJc w:val="left"/>
      <w:pPr>
        <w:ind w:left="3600" w:hanging="360"/>
      </w:pPr>
    </w:lvl>
    <w:lvl w:ilvl="5">
      <w:start w:val="3"/>
      <w:numFmt w:val="lowerRoman"/>
      <w:lvlText w:val="%6."/>
      <w:lvlJc w:val="left"/>
      <w:pPr>
        <w:ind w:left="4320" w:hanging="360"/>
      </w:pPr>
    </w:lvl>
    <w:lvl w:ilvl="6">
      <w:start w:val="3"/>
      <w:numFmt w:val="decimal"/>
      <w:lvlText w:val="%7."/>
      <w:lvlJc w:val="left"/>
      <w:pPr>
        <w:ind w:left="5040" w:hanging="360"/>
      </w:pPr>
    </w:lvl>
    <w:lvl w:ilvl="7">
      <w:start w:val="3"/>
      <w:numFmt w:val="lowerLetter"/>
      <w:lvlText w:val="%8."/>
      <w:lvlJc w:val="left"/>
      <w:pPr>
        <w:ind w:left="5760" w:hanging="360"/>
      </w:pPr>
    </w:lvl>
    <w:lvl w:ilvl="8">
      <w:start w:val="3"/>
      <w:numFmt w:val="lowerRoman"/>
      <w:lvlText w:val="%9."/>
      <w:lvlJc w:val="left"/>
      <w:pPr>
        <w:ind w:left="6480" w:hanging="360"/>
      </w:pPr>
    </w:lvl>
  </w:abstractNum>
  <w:abstractNum w:abstractNumId="4">
    <w:nsid w:val="00A99204"/>
    <w:multiLevelType w:val="multilevel"/>
    <w:tmpl w:val="00A99204"/>
    <w:lvl w:ilvl="0">
      <w:start w:val="4"/>
      <w:numFmt w:val="decimal"/>
      <w:lvlText w:val="%1."/>
      <w:lvlJc w:val="left"/>
      <w:pPr>
        <w:ind w:left="720" w:hanging="360"/>
      </w:pPr>
    </w:lvl>
    <w:lvl w:ilvl="1">
      <w:start w:val="4"/>
      <w:numFmt w:val="lowerLetter"/>
      <w:lvlText w:val="%2."/>
      <w:lvlJc w:val="left"/>
      <w:pPr>
        <w:ind w:left="1440" w:hanging="360"/>
      </w:pPr>
    </w:lvl>
    <w:lvl w:ilvl="2">
      <w:start w:val="4"/>
      <w:numFmt w:val="lowerRoman"/>
      <w:lvlText w:val="%3."/>
      <w:lvlJc w:val="left"/>
      <w:pPr>
        <w:ind w:left="2160" w:hanging="360"/>
      </w:pPr>
    </w:lvl>
    <w:lvl w:ilvl="3">
      <w:start w:val="4"/>
      <w:numFmt w:val="decimal"/>
      <w:lvlText w:val="%4."/>
      <w:lvlJc w:val="left"/>
      <w:pPr>
        <w:ind w:left="2880" w:hanging="360"/>
      </w:pPr>
    </w:lvl>
    <w:lvl w:ilvl="4">
      <w:start w:val="4"/>
      <w:numFmt w:val="lowerLetter"/>
      <w:lvlText w:val="%5."/>
      <w:lvlJc w:val="left"/>
      <w:pPr>
        <w:ind w:left="3600" w:hanging="360"/>
      </w:pPr>
    </w:lvl>
    <w:lvl w:ilvl="5">
      <w:start w:val="4"/>
      <w:numFmt w:val="lowerRoman"/>
      <w:lvlText w:val="%6."/>
      <w:lvlJc w:val="left"/>
      <w:pPr>
        <w:ind w:left="4320" w:hanging="360"/>
      </w:pPr>
    </w:lvl>
    <w:lvl w:ilvl="6">
      <w:start w:val="4"/>
      <w:numFmt w:val="decimal"/>
      <w:lvlText w:val="%7."/>
      <w:lvlJc w:val="left"/>
      <w:pPr>
        <w:ind w:left="5040" w:hanging="360"/>
      </w:pPr>
    </w:lvl>
    <w:lvl w:ilvl="7">
      <w:start w:val="4"/>
      <w:numFmt w:val="lowerLetter"/>
      <w:lvlText w:val="%8."/>
      <w:lvlJc w:val="left"/>
      <w:pPr>
        <w:ind w:left="5760" w:hanging="360"/>
      </w:pPr>
    </w:lvl>
    <w:lvl w:ilvl="8">
      <w:start w:val="4"/>
      <w:numFmt w:val="lowerRoman"/>
      <w:lvlText w:val="%9."/>
      <w:lvlJc w:val="left"/>
      <w:pPr>
        <w:ind w:left="6480" w:hanging="360"/>
      </w:pPr>
    </w:lvl>
  </w:abstractNum>
  <w:abstractNum w:abstractNumId="5">
    <w:nsid w:val="3BAF6E93"/>
    <w:multiLevelType w:val="multilevel"/>
    <w:tmpl w:val="3BAF6E93"/>
    <w:lvl w:ilvl="0">
      <w:start w:val="1"/>
      <w:numFmt w:val="upperRoman"/>
      <w:lvlText w:val="%1."/>
      <w:lvlJc w:val="left"/>
      <w:pPr>
        <w:ind w:left="81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8">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9">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F74"/>
    <w:rsid w:val="00064F4F"/>
    <w:rsid w:val="0010034E"/>
    <w:rsid w:val="00104F74"/>
    <w:rsid w:val="00112662"/>
    <w:rsid w:val="00180D23"/>
    <w:rsid w:val="00196A43"/>
    <w:rsid w:val="002232ED"/>
    <w:rsid w:val="002D3E1A"/>
    <w:rsid w:val="003052D3"/>
    <w:rsid w:val="003901DF"/>
    <w:rsid w:val="00423FCC"/>
    <w:rsid w:val="00443EFB"/>
    <w:rsid w:val="004C7734"/>
    <w:rsid w:val="00510B05"/>
    <w:rsid w:val="00584C68"/>
    <w:rsid w:val="00600C51"/>
    <w:rsid w:val="0073223A"/>
    <w:rsid w:val="007C245D"/>
    <w:rsid w:val="007D55F8"/>
    <w:rsid w:val="008129F9"/>
    <w:rsid w:val="00886BB3"/>
    <w:rsid w:val="008E0B5C"/>
    <w:rsid w:val="00954237"/>
    <w:rsid w:val="009606E0"/>
    <w:rsid w:val="00995D88"/>
    <w:rsid w:val="009F7F85"/>
    <w:rsid w:val="00A53F4E"/>
    <w:rsid w:val="00A713C6"/>
    <w:rsid w:val="00A95F0B"/>
    <w:rsid w:val="00AA1D34"/>
    <w:rsid w:val="00AD0663"/>
    <w:rsid w:val="00AE6E25"/>
    <w:rsid w:val="00B26D1F"/>
    <w:rsid w:val="00BA4383"/>
    <w:rsid w:val="00CE0B42"/>
    <w:rsid w:val="00CF6E0B"/>
    <w:rsid w:val="00D063D8"/>
    <w:rsid w:val="00D556BC"/>
    <w:rsid w:val="00E11949"/>
    <w:rsid w:val="00E775C8"/>
    <w:rsid w:val="00EB013A"/>
    <w:rsid w:val="00EC6335"/>
    <w:rsid w:val="00F4633D"/>
    <w:rsid w:val="00F92D09"/>
    <w:rsid w:val="00FB2156"/>
    <w:rsid w:val="52E95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E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qFormat/>
    <w:pPr>
      <w:spacing w:before="180" w:after="180" w:line="240" w:lineRule="auto"/>
    </w:pPr>
    <w:rPr>
      <w:sz w:val="24"/>
      <w:szCs w:val="24"/>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BodyTextChar">
    <w:name w:val="Body Text Char"/>
    <w:basedOn w:val="DefaultParagraphFont"/>
    <w:link w:val="BodyText"/>
    <w:qFormat/>
    <w:rPr>
      <w:sz w:val="24"/>
      <w:szCs w:val="24"/>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table" w:customStyle="1" w:styleId="Table">
    <w:name w:val="Table"/>
    <w:semiHidden/>
    <w:unhideWhenUsed/>
    <w:qFormat/>
    <w:rPr>
      <w:sz w:val="24"/>
      <w:szCs w:val="24"/>
      <w:lang w:val="en-US" w:eastAsia="en-US"/>
    </w:rPr>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qFormat/>
    <w:pPr>
      <w:spacing w:before="180" w:after="180" w:line="240" w:lineRule="auto"/>
    </w:pPr>
    <w:rPr>
      <w:sz w:val="24"/>
      <w:szCs w:val="24"/>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BodyTextChar">
    <w:name w:val="Body Text Char"/>
    <w:basedOn w:val="DefaultParagraphFont"/>
    <w:link w:val="BodyText"/>
    <w:qFormat/>
    <w:rPr>
      <w:sz w:val="24"/>
      <w:szCs w:val="24"/>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table" w:customStyle="1" w:styleId="Table">
    <w:name w:val="Table"/>
    <w:semiHidden/>
    <w:unhideWhenUsed/>
    <w:qFormat/>
    <w:rPr>
      <w:sz w:val="24"/>
      <w:szCs w:val="24"/>
      <w:lang w:val="en-US" w:eastAsia="en-US"/>
    </w:rPr>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dpi.com/1424-8220/21/20/6842"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mdpi.com/1424-8220/21/15/509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dpi.com/1424-8220/21/5/176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dpi.com/2218-6581/9/4/87" TargetMode="External"/><Relationship Id="rId5" Type="http://schemas.openxmlformats.org/officeDocument/2006/relationships/webSettings" Target="webSettings.xml"/><Relationship Id="rId15" Type="http://schemas.openxmlformats.org/officeDocument/2006/relationships/hyperlink" Target="https://link.springer.com/article/10.1007/s10846-021-01338-w" TargetMode="Externa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dpi.com/1424-8220/22/3/976"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Sheet1!$D$1140</c:f>
              <c:strCache>
                <c:ptCount val="1"/>
                <c:pt idx="0">
                  <c:v>Target Reached (%)</c:v>
                </c:pt>
              </c:strCache>
            </c:strRef>
          </c:tx>
          <c:spPr>
            <a:ln w="22225" cap="rnd" cmpd="sng" algn="ctr">
              <a:solidFill>
                <a:schemeClr val="accent1"/>
              </a:solidFill>
              <a:prstDash val="solid"/>
              <a:round/>
            </a:ln>
            <a:effectLst/>
          </c:spPr>
          <c:marker>
            <c:symbol val="none"/>
          </c:marker>
          <c:cat>
            <c:strRef>
              <c:f>Sheet1!$C$1141:$C$1144</c:f>
              <c:strCache>
                <c:ptCount val="4"/>
                <c:pt idx="0">
                  <c:v>Urban</c:v>
                </c:pt>
                <c:pt idx="1">
                  <c:v>Indoor</c:v>
                </c:pt>
                <c:pt idx="2">
                  <c:v>Forest/Cluttered</c:v>
                </c:pt>
                <c:pt idx="3">
                  <c:v>Open Field</c:v>
                </c:pt>
              </c:strCache>
            </c:strRef>
          </c:cat>
          <c:val>
            <c:numRef>
              <c:f>Sheet1!$D$1141:$D$1144</c:f>
              <c:numCache>
                <c:formatCode>General</c:formatCode>
                <c:ptCount val="4"/>
                <c:pt idx="0">
                  <c:v>93</c:v>
                </c:pt>
                <c:pt idx="1">
                  <c:v>91</c:v>
                </c:pt>
                <c:pt idx="2">
                  <c:v>90</c:v>
                </c:pt>
                <c:pt idx="3">
                  <c:v>95</c:v>
                </c:pt>
              </c:numCache>
            </c:numRef>
          </c:val>
          <c:smooth val="0"/>
          <c:extLst xmlns:c16r2="http://schemas.microsoft.com/office/drawing/2015/06/chart">
            <c:ext xmlns:c16="http://schemas.microsoft.com/office/drawing/2014/chart" uri="{C3380CC4-5D6E-409C-BE32-E72D297353CC}">
              <c16:uniqueId val="{00000000-82C7-473A-918E-8C7E3E39A9E7}"/>
            </c:ext>
          </c:extLst>
        </c:ser>
        <c:ser>
          <c:idx val="1"/>
          <c:order val="1"/>
          <c:tx>
            <c:strRef>
              <c:f>Sheet1!$E$1140</c:f>
              <c:strCache>
                <c:ptCount val="1"/>
                <c:pt idx="0">
                  <c:v>Avg Distance Error (m)</c:v>
                </c:pt>
              </c:strCache>
            </c:strRef>
          </c:tx>
          <c:spPr>
            <a:ln w="22225" cap="rnd" cmpd="sng" algn="ctr">
              <a:solidFill>
                <a:schemeClr val="accent2"/>
              </a:solidFill>
              <a:prstDash val="solid"/>
              <a:round/>
            </a:ln>
            <a:effectLst/>
          </c:spPr>
          <c:marker>
            <c:symbol val="none"/>
          </c:marker>
          <c:cat>
            <c:strRef>
              <c:f>Sheet1!$C$1141:$C$1144</c:f>
              <c:strCache>
                <c:ptCount val="4"/>
                <c:pt idx="0">
                  <c:v>Urban</c:v>
                </c:pt>
                <c:pt idx="1">
                  <c:v>Indoor</c:v>
                </c:pt>
                <c:pt idx="2">
                  <c:v>Forest/Cluttered</c:v>
                </c:pt>
                <c:pt idx="3">
                  <c:v>Open Field</c:v>
                </c:pt>
              </c:strCache>
            </c:strRef>
          </c:cat>
          <c:val>
            <c:numRef>
              <c:f>Sheet1!$E$1141:$E$1144</c:f>
              <c:numCache>
                <c:formatCode>General</c:formatCode>
                <c:ptCount val="4"/>
                <c:pt idx="0">
                  <c:v>0.35</c:v>
                </c:pt>
                <c:pt idx="1">
                  <c:v>0.42</c:v>
                </c:pt>
                <c:pt idx="2">
                  <c:v>0.47</c:v>
                </c:pt>
                <c:pt idx="3">
                  <c:v>0.3</c:v>
                </c:pt>
              </c:numCache>
            </c:numRef>
          </c:val>
          <c:smooth val="0"/>
          <c:extLst xmlns:c16r2="http://schemas.microsoft.com/office/drawing/2015/06/chart">
            <c:ext xmlns:c16="http://schemas.microsoft.com/office/drawing/2014/chart" uri="{C3380CC4-5D6E-409C-BE32-E72D297353CC}">
              <c16:uniqueId val="{00000001-82C7-473A-918E-8C7E3E39A9E7}"/>
            </c:ext>
          </c:extLst>
        </c:ser>
        <c:ser>
          <c:idx val="2"/>
          <c:order val="2"/>
          <c:tx>
            <c:strRef>
              <c:f>Sheet1!$F$1140</c:f>
              <c:strCache>
                <c:ptCount val="1"/>
                <c:pt idx="0">
                  <c:v>Std Dev (m)</c:v>
                </c:pt>
              </c:strCache>
            </c:strRef>
          </c:tx>
          <c:spPr>
            <a:ln w="22225" cap="rnd" cmpd="sng" algn="ctr">
              <a:solidFill>
                <a:schemeClr val="accent3"/>
              </a:solidFill>
              <a:prstDash val="solid"/>
              <a:round/>
            </a:ln>
            <a:effectLst/>
          </c:spPr>
          <c:marker>
            <c:symbol val="none"/>
          </c:marker>
          <c:cat>
            <c:strRef>
              <c:f>Sheet1!$C$1141:$C$1144</c:f>
              <c:strCache>
                <c:ptCount val="4"/>
                <c:pt idx="0">
                  <c:v>Urban</c:v>
                </c:pt>
                <c:pt idx="1">
                  <c:v>Indoor</c:v>
                </c:pt>
                <c:pt idx="2">
                  <c:v>Forest/Cluttered</c:v>
                </c:pt>
                <c:pt idx="3">
                  <c:v>Open Field</c:v>
                </c:pt>
              </c:strCache>
            </c:strRef>
          </c:cat>
          <c:val>
            <c:numRef>
              <c:f>Sheet1!$F$1141:$F$1144</c:f>
              <c:numCache>
                <c:formatCode>General</c:formatCode>
                <c:ptCount val="4"/>
                <c:pt idx="0">
                  <c:v>0.12</c:v>
                </c:pt>
                <c:pt idx="1">
                  <c:v>0.14000000000000001</c:v>
                </c:pt>
                <c:pt idx="2">
                  <c:v>0.15</c:v>
                </c:pt>
                <c:pt idx="3">
                  <c:v>0.1</c:v>
                </c:pt>
              </c:numCache>
            </c:numRef>
          </c:val>
          <c:smooth val="0"/>
          <c:extLst xmlns:c16r2="http://schemas.microsoft.com/office/drawing/2015/06/chart">
            <c:ext xmlns:c16="http://schemas.microsoft.com/office/drawing/2014/chart" uri="{C3380CC4-5D6E-409C-BE32-E72D297353CC}">
              <c16:uniqueId val="{00000002-82C7-473A-918E-8C7E3E39A9E7}"/>
            </c:ext>
          </c:extLst>
        </c:ser>
        <c:dLbls>
          <c:showLegendKey val="0"/>
          <c:showVal val="0"/>
          <c:showCatName val="0"/>
          <c:showSerName val="0"/>
          <c:showPercent val="0"/>
          <c:showBubbleSize val="0"/>
        </c:dLbls>
        <c:marker val="1"/>
        <c:smooth val="0"/>
        <c:axId val="96280576"/>
        <c:axId val="96282112"/>
      </c:lineChart>
      <c:catAx>
        <c:axId val="96280576"/>
        <c:scaling>
          <c:orientation val="minMax"/>
        </c:scaling>
        <c:delete val="0"/>
        <c:axPos val="b"/>
        <c:majorGridlines>
          <c:spPr>
            <a:ln w="9525" cap="flat" cmpd="sng" algn="ctr">
              <a:solidFill>
                <a:schemeClr val="dk1">
                  <a:lumMod val="15000"/>
                  <a:lumOff val="85000"/>
                  <a:alpha val="54000"/>
                </a:schemeClr>
              </a:solidFill>
              <a:prstDash val="solid"/>
              <a:round/>
            </a:ln>
            <a:effectLst/>
          </c:spPr>
        </c:majorGridlines>
        <c:minorGridlines>
          <c:spPr>
            <a:ln w="9525" cap="flat" cmpd="sng" algn="ctr">
              <a:solidFill>
                <a:schemeClr val="dk1">
                  <a:lumMod val="15000"/>
                  <a:lumOff val="85000"/>
                  <a:alpha val="51000"/>
                </a:schemeClr>
              </a:solidFill>
              <a:prstDash val="solid"/>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cap="none" spc="0" normalizeH="0" baseline="0">
                <a:solidFill>
                  <a:schemeClr val="dk1">
                    <a:lumMod val="65000"/>
                    <a:lumOff val="35000"/>
                  </a:schemeClr>
                </a:solidFill>
                <a:latin typeface="+mn-lt"/>
                <a:ea typeface="+mn-ea"/>
                <a:cs typeface="+mn-cs"/>
              </a:defRPr>
            </a:pPr>
            <a:endParaRPr lang="en-US"/>
          </a:p>
        </c:txPr>
        <c:crossAx val="96282112"/>
        <c:crosses val="autoZero"/>
        <c:auto val="1"/>
        <c:lblAlgn val="ctr"/>
        <c:lblOffset val="100"/>
        <c:noMultiLvlLbl val="0"/>
      </c:catAx>
      <c:valAx>
        <c:axId val="96282112"/>
        <c:scaling>
          <c:orientation val="minMax"/>
        </c:scaling>
        <c:delete val="0"/>
        <c:axPos val="l"/>
        <c:majorGridlines>
          <c:spPr>
            <a:ln w="9525" cap="flat" cmpd="sng" algn="ctr">
              <a:solidFill>
                <a:schemeClr val="dk1">
                  <a:lumMod val="15000"/>
                  <a:lumOff val="85000"/>
                  <a:alpha val="54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crossAx val="96280576"/>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zero"/>
    <c:showDLblsOverMax val="0"/>
    <c:extLst xmlns:c16r2="http://schemas.microsoft.com/office/drawing/2015/06/chart">
      <c:ext uri="{0b15fc19-7d7d-44ad-8c2d-2c3a37ce22c3}">
        <chartProps xmlns="https://web.wps.cn/et/2018/main" chartId="{f0648932-3e6e-4930-8159-def0f8316588}"/>
      </c:ext>
    </c:extLst>
  </c:chart>
  <c:spPr>
    <a:solidFill>
      <a:schemeClr val="lt1"/>
    </a:solidFill>
    <a:ln w="9525" cap="flat" cmpd="sng" algn="ctr">
      <a:solidFill>
        <a:schemeClr val="dk1">
          <a:lumMod val="15000"/>
          <a:lumOff val="85000"/>
        </a:schemeClr>
      </a:solidFill>
      <a:prstDash val="solid"/>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3439</Words>
  <Characters>19608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2026-03-19T08:23:00Z</dcterms:created>
  <dcterms:modified xsi:type="dcterms:W3CDTF">2026-03-19T08:23:00Z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EBB97B95F2304CFB927E558627821EBF_13</vt:lpwstr>
  </property>
</Properties>
</file>