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AFBAF" w14:textId="3089EB34" w:rsidR="000420D9" w:rsidRPr="000420D9" w:rsidRDefault="000420D9" w:rsidP="00AF21B9">
      <w:pPr>
        <w:spacing w:before="100" w:beforeAutospacing="1" w:after="100" w:afterAutospacing="1" w:line="240" w:lineRule="auto"/>
        <w:outlineLvl w:val="0"/>
        <w:rPr>
          <w:rFonts w:ascii="Times New Roman" w:eastAsia="Times New Roman" w:hAnsi="Times New Roman" w:cs="Times New Roman"/>
          <w:b/>
          <w:bCs/>
          <w:kern w:val="36"/>
          <w:sz w:val="28"/>
          <w:szCs w:val="28"/>
          <w:lang w:eastAsia="en-GB"/>
        </w:rPr>
      </w:pPr>
      <w:r w:rsidRPr="000420D9">
        <w:rPr>
          <w:rFonts w:ascii="Times New Roman" w:eastAsia="Times New Roman" w:hAnsi="Times New Roman" w:cs="Times New Roman"/>
          <w:b/>
          <w:bCs/>
          <w:kern w:val="36"/>
          <w:sz w:val="28"/>
          <w:szCs w:val="28"/>
          <w:lang w:eastAsia="en-GB"/>
        </w:rPr>
        <w:t>DETERMINATION OF HEAVY METAL LEVELS IN HYBRID AND INDIGENOUS KAMBA MAIZE SEED VARIETIES FROM FARMS IN MASII, MACHAKOS COUNTY</w:t>
      </w:r>
      <w:r w:rsidR="00AF7EB7">
        <w:rPr>
          <w:rFonts w:ascii="Times New Roman" w:eastAsia="Times New Roman" w:hAnsi="Times New Roman" w:cs="Times New Roman"/>
          <w:b/>
          <w:bCs/>
          <w:kern w:val="36"/>
          <w:sz w:val="28"/>
          <w:szCs w:val="28"/>
          <w:lang w:eastAsia="en-GB"/>
        </w:rPr>
        <w:t xml:space="preserve">, </w:t>
      </w:r>
      <w:r w:rsidR="00AF7EB7" w:rsidRPr="00AF7EB7">
        <w:rPr>
          <w:rFonts w:ascii="Times New Roman" w:eastAsia="Times New Roman" w:hAnsi="Times New Roman" w:cs="Times New Roman"/>
          <w:b/>
          <w:bCs/>
          <w:color w:val="FF0000"/>
          <w:kern w:val="36"/>
          <w:sz w:val="28"/>
          <w:szCs w:val="28"/>
          <w:lang w:eastAsia="en-GB"/>
        </w:rPr>
        <w:t>KENYA</w:t>
      </w:r>
    </w:p>
    <w:p w14:paraId="2676725F" w14:textId="7E5A9221" w:rsidR="000420D9" w:rsidRPr="008751EA" w:rsidRDefault="000420D9" w:rsidP="000420D9">
      <w:pPr>
        <w:spacing w:before="100" w:beforeAutospacing="1" w:after="100" w:afterAutospacing="1" w:line="240" w:lineRule="auto"/>
        <w:jc w:val="center"/>
        <w:rPr>
          <w:rFonts w:ascii="Times New Roman" w:eastAsia="Times New Roman" w:hAnsi="Times New Roman" w:cs="Times New Roman"/>
          <w:sz w:val="32"/>
          <w:szCs w:val="32"/>
          <w:lang w:eastAsia="en-GB"/>
        </w:rPr>
      </w:pPr>
      <w:r w:rsidRPr="008751EA">
        <w:rPr>
          <w:rFonts w:ascii="Times New Roman" w:eastAsia="Times New Roman" w:hAnsi="Times New Roman" w:cs="Times New Roman"/>
          <w:b/>
          <w:bCs/>
          <w:i/>
          <w:iCs/>
          <w:sz w:val="32"/>
          <w:szCs w:val="32"/>
          <w:lang w:eastAsia="en-GB"/>
        </w:rPr>
        <w:t>Joyce G.N. Kithure,</w:t>
      </w:r>
      <w:r w:rsidR="00F057F5" w:rsidRPr="008751EA">
        <w:rPr>
          <w:rFonts w:ascii="Times New Roman" w:eastAsia="Times New Roman" w:hAnsi="Times New Roman" w:cs="Times New Roman"/>
          <w:b/>
          <w:bCs/>
          <w:i/>
          <w:iCs/>
          <w:sz w:val="32"/>
          <w:szCs w:val="32"/>
          <w:lang w:eastAsia="en-GB"/>
        </w:rPr>
        <w:t xml:space="preserve"> </w:t>
      </w:r>
      <w:r w:rsidRPr="008751EA">
        <w:rPr>
          <w:rFonts w:ascii="Times New Roman" w:eastAsia="Times New Roman" w:hAnsi="Times New Roman" w:cs="Times New Roman"/>
          <w:b/>
          <w:bCs/>
          <w:i/>
          <w:iCs/>
          <w:sz w:val="32"/>
          <w:szCs w:val="32"/>
          <w:lang w:eastAsia="en-GB"/>
        </w:rPr>
        <w:t>Deborah A. Abong'o</w:t>
      </w:r>
      <w:r w:rsidR="00F057F5" w:rsidRPr="008751EA">
        <w:rPr>
          <w:rFonts w:ascii="Times New Roman" w:eastAsia="Times New Roman" w:hAnsi="Times New Roman" w:cs="Times New Roman"/>
          <w:b/>
          <w:bCs/>
          <w:i/>
          <w:iCs/>
          <w:sz w:val="32"/>
          <w:szCs w:val="32"/>
          <w:lang w:eastAsia="en-GB"/>
        </w:rPr>
        <w:t>, Precious M</w:t>
      </w:r>
      <w:r w:rsidR="001A0E29" w:rsidRPr="008751EA">
        <w:rPr>
          <w:rFonts w:ascii="Times New Roman" w:eastAsia="Times New Roman" w:hAnsi="Times New Roman" w:cs="Times New Roman"/>
          <w:b/>
          <w:bCs/>
          <w:i/>
          <w:iCs/>
          <w:sz w:val="32"/>
          <w:szCs w:val="32"/>
          <w:lang w:eastAsia="en-GB"/>
        </w:rPr>
        <w:t>.</w:t>
      </w:r>
      <w:r w:rsidR="00F057F5" w:rsidRPr="008751EA">
        <w:rPr>
          <w:rFonts w:ascii="Times New Roman" w:eastAsia="Times New Roman" w:hAnsi="Times New Roman" w:cs="Times New Roman"/>
          <w:b/>
          <w:bCs/>
          <w:i/>
          <w:iCs/>
          <w:sz w:val="32"/>
          <w:szCs w:val="32"/>
          <w:lang w:eastAsia="en-GB"/>
        </w:rPr>
        <w:t xml:space="preserve"> Mumo</w:t>
      </w:r>
    </w:p>
    <w:p w14:paraId="290E5B7D" w14:textId="77777777" w:rsidR="000420D9" w:rsidRPr="000420D9" w:rsidRDefault="000420D9" w:rsidP="00C1545B">
      <w:pPr>
        <w:spacing w:after="0" w:line="240" w:lineRule="auto"/>
        <w:jc w:val="center"/>
        <w:rPr>
          <w:i/>
          <w:color w:val="0563C1" w:themeColor="hyperlink"/>
          <w:sz w:val="20"/>
          <w:szCs w:val="20"/>
          <w:u w:val="single"/>
          <w:lang w:val="en-US"/>
        </w:rPr>
      </w:pPr>
      <w:r w:rsidRPr="000420D9">
        <w:rPr>
          <w:rFonts w:ascii="Times New Roman" w:eastAsia="Times New Roman" w:hAnsi="Times New Roman" w:cs="Times New Roman"/>
          <w:i/>
          <w:iCs/>
          <w:sz w:val="20"/>
          <w:szCs w:val="20"/>
          <w:lang w:eastAsia="en-GB"/>
        </w:rPr>
        <w:t>Department of Chemistry, University of Nairobi, P.O Box 30197-00100, Nairobi, Kenya</w:t>
      </w:r>
      <w:r w:rsidRPr="000420D9">
        <w:rPr>
          <w:rFonts w:ascii="Times New Roman" w:eastAsia="Times New Roman" w:hAnsi="Times New Roman" w:cs="Times New Roman"/>
          <w:sz w:val="20"/>
          <w:szCs w:val="20"/>
          <w:lang w:eastAsia="en-GB"/>
        </w:rPr>
        <w:br/>
      </w:r>
      <w:r w:rsidR="00C1545B">
        <w:rPr>
          <w:rFonts w:ascii="Times New Roman" w:eastAsia="Times New Roman" w:hAnsi="Times New Roman" w:cs="Times New Roman"/>
          <w:i/>
          <w:iCs/>
          <w:sz w:val="20"/>
          <w:szCs w:val="20"/>
          <w:lang w:eastAsia="en-GB"/>
        </w:rPr>
        <w:t xml:space="preserve">Email Address: </w:t>
      </w:r>
      <w:hyperlink r:id="rId8" w:history="1">
        <w:r w:rsidR="00C1545B" w:rsidRPr="004E311D">
          <w:rPr>
            <w:rStyle w:val="Hyperlink"/>
            <w:i/>
            <w:sz w:val="20"/>
            <w:szCs w:val="20"/>
            <w:lang w:val="en-US"/>
          </w:rPr>
          <w:t>jkithure@uonbi.ac.ke</w:t>
        </w:r>
      </w:hyperlink>
    </w:p>
    <w:p w14:paraId="26D88DFF" w14:textId="77777777" w:rsidR="000420D9" w:rsidRPr="000420D9" w:rsidRDefault="000420D9" w:rsidP="000F0C56">
      <w:pPr>
        <w:pBdr>
          <w:bottom w:val="single" w:sz="4" w:space="1" w:color="auto"/>
        </w:pBdr>
        <w:spacing w:after="0" w:line="240" w:lineRule="auto"/>
        <w:rPr>
          <w:rFonts w:ascii="Times New Roman" w:eastAsia="Times New Roman" w:hAnsi="Times New Roman" w:cs="Times New Roman"/>
          <w:sz w:val="24"/>
          <w:szCs w:val="24"/>
          <w:lang w:eastAsia="en-GB"/>
        </w:rPr>
      </w:pPr>
    </w:p>
    <w:p w14:paraId="5CCC4355" w14:textId="77777777" w:rsidR="00EF4C45" w:rsidRDefault="00EF4C45" w:rsidP="000420D9">
      <w:pPr>
        <w:spacing w:before="100" w:beforeAutospacing="1" w:after="100" w:afterAutospacing="1" w:line="240" w:lineRule="auto"/>
        <w:outlineLvl w:val="1"/>
        <w:rPr>
          <w:rFonts w:ascii="Times New Roman" w:eastAsia="Times New Roman" w:hAnsi="Times New Roman" w:cs="Times New Roman"/>
          <w:b/>
          <w:bCs/>
          <w:sz w:val="36"/>
          <w:szCs w:val="36"/>
          <w:lang w:eastAsia="en-GB"/>
        </w:rPr>
        <w:sectPr w:rsidR="00EF4C45">
          <w:headerReference w:type="default" r:id="rId9"/>
          <w:footerReference w:type="default" r:id="rId10"/>
          <w:pgSz w:w="11906" w:h="16838"/>
          <w:pgMar w:top="1440" w:right="1440" w:bottom="1440" w:left="1440" w:header="708" w:footer="708" w:gutter="0"/>
          <w:cols w:space="708"/>
          <w:docGrid w:linePitch="360"/>
        </w:sectPr>
      </w:pPr>
    </w:p>
    <w:p w14:paraId="233FE999" w14:textId="77777777" w:rsidR="000420D9" w:rsidRPr="000420D9" w:rsidRDefault="000420D9" w:rsidP="00011E3D">
      <w:pPr>
        <w:pBdr>
          <w:bottom w:val="single" w:sz="4" w:space="1" w:color="auto"/>
        </w:pBd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ARTICLE INFO</w:t>
      </w:r>
    </w:p>
    <w:p w14:paraId="65F164A0" w14:textId="15A9E6A0" w:rsidR="000420D9" w:rsidRPr="000420D9" w:rsidRDefault="000420D9" w:rsidP="00011E3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b/>
          <w:bCs/>
          <w:sz w:val="24"/>
          <w:szCs w:val="24"/>
          <w:lang w:eastAsia="en-GB"/>
        </w:rPr>
        <w:t>Keywords:</w:t>
      </w:r>
      <w:r w:rsidRPr="000420D9">
        <w:rPr>
          <w:rFonts w:ascii="Times New Roman" w:eastAsia="Times New Roman" w:hAnsi="Times New Roman" w:cs="Times New Roman"/>
          <w:sz w:val="24"/>
          <w:szCs w:val="24"/>
          <w:lang w:eastAsia="en-GB"/>
        </w:rPr>
        <w:t xml:space="preserve"> Heavy metals, Maize seeds, Atomic Absorption Spectroscopy, SC Duma 43, SC Sungura 301, Indigenous Kamba maize, Lead, Cadmium, Food safety, Machakos County</w:t>
      </w:r>
      <w:r w:rsidR="00F057F5">
        <w:rPr>
          <w:rFonts w:ascii="Times New Roman" w:eastAsia="Times New Roman" w:hAnsi="Times New Roman" w:cs="Times New Roman"/>
          <w:sz w:val="24"/>
          <w:szCs w:val="24"/>
          <w:lang w:eastAsia="en-GB"/>
        </w:rPr>
        <w:t>.</w:t>
      </w:r>
    </w:p>
    <w:p w14:paraId="78AE4A5A" w14:textId="77777777" w:rsidR="000420D9" w:rsidRPr="000420D9" w:rsidRDefault="000420D9" w:rsidP="00011E3D">
      <w:pPr>
        <w:pBdr>
          <w:bottom w:val="single" w:sz="4" w:space="1" w:color="auto"/>
        </w:pBdr>
        <w:spacing w:after="0" w:line="240" w:lineRule="auto"/>
        <w:rPr>
          <w:rFonts w:ascii="Times New Roman" w:eastAsia="Times New Roman" w:hAnsi="Times New Roman" w:cs="Times New Roman"/>
          <w:sz w:val="24"/>
          <w:szCs w:val="24"/>
          <w:lang w:eastAsia="en-GB"/>
        </w:rPr>
      </w:pPr>
    </w:p>
    <w:p w14:paraId="5167650A" w14:textId="77777777" w:rsidR="000420D9" w:rsidRPr="000420D9" w:rsidRDefault="00011E3D" w:rsidP="00665BAD">
      <w:pPr>
        <w:pBdr>
          <w:bottom w:val="single" w:sz="4" w:space="1" w:color="auto"/>
        </w:pBd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36"/>
          <w:szCs w:val="36"/>
          <w:lang w:eastAsia="en-GB"/>
        </w:rPr>
        <w:br w:type="column"/>
      </w:r>
      <w:r w:rsidR="000420D9" w:rsidRPr="000420D9">
        <w:rPr>
          <w:rFonts w:ascii="Times New Roman" w:eastAsia="Times New Roman" w:hAnsi="Times New Roman" w:cs="Times New Roman"/>
          <w:b/>
          <w:bCs/>
          <w:sz w:val="24"/>
          <w:szCs w:val="24"/>
          <w:lang w:eastAsia="en-GB"/>
        </w:rPr>
        <w:t>ABSTRACT</w:t>
      </w:r>
    </w:p>
    <w:p w14:paraId="399452E5" w14:textId="77777777" w:rsidR="00FE1398" w:rsidRDefault="00FE1398" w:rsidP="002B046D">
      <w:pPr>
        <w:rPr>
          <w:rFonts w:ascii="Times New Roman" w:eastAsia="Times New Roman" w:hAnsi="Times New Roman" w:cs="Times New Roman"/>
          <w:sz w:val="24"/>
          <w:szCs w:val="24"/>
          <w:lang w:eastAsia="en-GB"/>
        </w:rPr>
        <w:sectPr w:rsidR="00FE1398" w:rsidSect="007C5034">
          <w:type w:val="continuous"/>
          <w:pgSz w:w="11906" w:h="16838"/>
          <w:pgMar w:top="1440" w:right="1440" w:bottom="1440" w:left="1440" w:header="708" w:footer="708" w:gutter="0"/>
          <w:cols w:num="2" w:space="385" w:equalWidth="0">
            <w:col w:w="2642" w:space="385"/>
            <w:col w:w="5999"/>
          </w:cols>
          <w:docGrid w:linePitch="360"/>
        </w:sectPr>
      </w:pPr>
      <w:bookmarkStart w:id="0" w:name="_Hlk225416702"/>
    </w:p>
    <w:p w14:paraId="0850C612" w14:textId="77777777" w:rsidR="00FF5F73" w:rsidRDefault="00FF5F73" w:rsidP="00FE1398">
      <w:pPr>
        <w:jc w:val="both"/>
        <w:rPr>
          <w:rFonts w:ascii="Times New Roman" w:hAnsi="Times New Roman" w:cs="Times New Roman"/>
          <w:color w:val="FF0000"/>
          <w:sz w:val="24"/>
          <w:szCs w:val="24"/>
          <w:lang w:val="en-US"/>
        </w:rPr>
      </w:pPr>
      <w:bookmarkStart w:id="1" w:name="_Hlk225408155"/>
      <w:bookmarkStart w:id="2" w:name="_Hlk225432276"/>
      <w:bookmarkEnd w:id="0"/>
    </w:p>
    <w:p w14:paraId="1A26E8DD" w14:textId="76300BA4" w:rsidR="00FF5F73" w:rsidRPr="00FF5F73" w:rsidRDefault="00FF5F73" w:rsidP="00FE1398">
      <w:pPr>
        <w:jc w:val="both"/>
        <w:rPr>
          <w:rFonts w:ascii="Times New Roman" w:hAnsi="Times New Roman" w:cs="Times New Roman"/>
          <w:color w:val="000000" w:themeColor="text1"/>
          <w:sz w:val="24"/>
          <w:szCs w:val="24"/>
          <w:lang w:val="en-US"/>
        </w:rPr>
      </w:pPr>
      <w:r w:rsidRPr="00FF5F73">
        <w:rPr>
          <w:rFonts w:ascii="Times New Roman" w:hAnsi="Times New Roman" w:cs="Times New Roman"/>
          <w:color w:val="000000" w:themeColor="text1"/>
          <w:sz w:val="24"/>
          <w:szCs w:val="24"/>
          <w:lang w:val="en-US"/>
        </w:rPr>
        <w:t>ABSTRACT</w:t>
      </w:r>
    </w:p>
    <w:p w14:paraId="739FAD29" w14:textId="0CD93B5A" w:rsidR="00FE1398" w:rsidRPr="00A356DF" w:rsidRDefault="00FE1398" w:rsidP="00FE1398">
      <w:pPr>
        <w:jc w:val="both"/>
        <w:rPr>
          <w:rFonts w:ascii="Times New Roman" w:eastAsia="Times New Roman" w:hAnsi="Times New Roman" w:cs="Times New Roman"/>
          <w:sz w:val="24"/>
          <w:szCs w:val="24"/>
          <w:lang w:eastAsia="en-GB"/>
        </w:rPr>
      </w:pPr>
      <w:r w:rsidRPr="004E464B">
        <w:rPr>
          <w:rFonts w:ascii="Times New Roman" w:hAnsi="Times New Roman" w:cs="Times New Roman"/>
          <w:color w:val="FF0000"/>
          <w:sz w:val="24"/>
          <w:szCs w:val="24"/>
          <w:lang w:val="en-US"/>
        </w:rPr>
        <w:t>Maize is a staple food consumed by the Kenyan population; however, heavy metal contamination in maize seeds poses significant health risks</w:t>
      </w:r>
      <w:r w:rsidRPr="004E464B">
        <w:rPr>
          <w:rFonts w:ascii="Times New Roman" w:eastAsia="Times New Roman" w:hAnsi="Times New Roman" w:cs="Times New Roman"/>
          <w:sz w:val="24"/>
          <w:szCs w:val="24"/>
          <w:lang w:eastAsia="en-GB"/>
        </w:rPr>
        <w:t xml:space="preserve">. This study </w:t>
      </w:r>
      <w:r w:rsidRPr="004E464B">
        <w:rPr>
          <w:rFonts w:ascii="Times New Roman" w:eastAsia="Times New Roman" w:hAnsi="Times New Roman" w:cs="Times New Roman"/>
          <w:color w:val="FF0000"/>
          <w:sz w:val="24"/>
          <w:szCs w:val="24"/>
          <w:lang w:eastAsia="en-GB"/>
        </w:rPr>
        <w:t>determined</w:t>
      </w:r>
      <w:r w:rsidRPr="004E464B">
        <w:rPr>
          <w:rFonts w:ascii="Times New Roman" w:eastAsia="Times New Roman" w:hAnsi="Times New Roman" w:cs="Times New Roman"/>
          <w:sz w:val="24"/>
          <w:szCs w:val="24"/>
          <w:lang w:eastAsia="en-GB"/>
        </w:rPr>
        <w:t xml:space="preserve"> the levels of lead</w:t>
      </w:r>
      <w:r>
        <w:rPr>
          <w:rFonts w:ascii="Times New Roman" w:eastAsia="Times New Roman" w:hAnsi="Times New Roman" w:cs="Times New Roman"/>
          <w:sz w:val="24"/>
          <w:szCs w:val="24"/>
          <w:lang w:eastAsia="en-GB"/>
        </w:rPr>
        <w:t xml:space="preserve"> </w:t>
      </w:r>
      <w:r w:rsidR="001A214C">
        <w:rPr>
          <w:rFonts w:ascii="Times New Roman" w:eastAsia="Times New Roman" w:hAnsi="Times New Roman" w:cs="Times New Roman"/>
          <w:sz w:val="24"/>
          <w:szCs w:val="24"/>
          <w:lang w:eastAsia="en-GB"/>
        </w:rPr>
        <w:t>(Pb</w:t>
      </w:r>
      <w:r w:rsidR="001A214C" w:rsidRPr="00E11152">
        <w:rPr>
          <w:rFonts w:ascii="Times New Roman" w:eastAsia="Times New Roman" w:hAnsi="Times New Roman" w:cs="Times New Roman"/>
          <w:sz w:val="24"/>
          <w:szCs w:val="24"/>
          <w:vertAlign w:val="superscript"/>
          <w:lang w:eastAsia="en-GB"/>
        </w:rPr>
        <w:t>2+</w:t>
      </w:r>
      <w:r w:rsidR="001A214C" w:rsidRPr="00E11152">
        <w:rPr>
          <w:rFonts w:ascii="Times New Roman" w:eastAsia="Times New Roman" w:hAnsi="Times New Roman" w:cs="Times New Roman"/>
          <w:sz w:val="24"/>
          <w:szCs w:val="24"/>
          <w:lang w:eastAsia="en-GB"/>
        </w:rPr>
        <w:t>)</w:t>
      </w:r>
      <w:r w:rsidRPr="00E11152">
        <w:rPr>
          <w:rFonts w:ascii="Times New Roman" w:eastAsia="Times New Roman" w:hAnsi="Times New Roman" w:cs="Times New Roman"/>
          <w:sz w:val="24"/>
          <w:szCs w:val="24"/>
          <w:vertAlign w:val="superscript"/>
          <w:lang w:eastAsia="en-GB"/>
        </w:rPr>
        <w:t>,</w:t>
      </w:r>
      <w:r w:rsidRPr="004E464B">
        <w:rPr>
          <w:rFonts w:ascii="Times New Roman" w:eastAsia="Times New Roman" w:hAnsi="Times New Roman" w:cs="Times New Roman"/>
          <w:sz w:val="24"/>
          <w:szCs w:val="24"/>
          <w:lang w:eastAsia="en-GB"/>
        </w:rPr>
        <w:t xml:space="preserve"> cadmium</w:t>
      </w:r>
      <w:r w:rsidR="00E11152">
        <w:rPr>
          <w:rFonts w:ascii="Times New Roman" w:eastAsia="Times New Roman" w:hAnsi="Times New Roman" w:cs="Times New Roman"/>
          <w:sz w:val="24"/>
          <w:szCs w:val="24"/>
          <w:lang w:eastAsia="en-GB"/>
        </w:rPr>
        <w:t xml:space="preserve"> </w:t>
      </w:r>
      <w:r w:rsidR="001A214C">
        <w:rPr>
          <w:rFonts w:ascii="Times New Roman" w:eastAsia="Times New Roman" w:hAnsi="Times New Roman" w:cs="Times New Roman"/>
          <w:sz w:val="24"/>
          <w:szCs w:val="24"/>
          <w:lang w:eastAsia="en-GB"/>
        </w:rPr>
        <w:t>(</w:t>
      </w:r>
      <w:r w:rsidR="001A214C" w:rsidRPr="00E11152">
        <w:rPr>
          <w:rFonts w:ascii="Times New Roman" w:eastAsia="Times New Roman" w:hAnsi="Times New Roman" w:cs="Times New Roman"/>
          <w:sz w:val="24"/>
          <w:szCs w:val="24"/>
          <w:lang w:eastAsia="en-GB"/>
        </w:rPr>
        <w:t>Cd</w:t>
      </w:r>
      <w:r w:rsidR="001A214C" w:rsidRPr="00E11152">
        <w:rPr>
          <w:rFonts w:ascii="Times New Roman" w:eastAsia="Times New Roman" w:hAnsi="Times New Roman" w:cs="Times New Roman"/>
          <w:sz w:val="24"/>
          <w:szCs w:val="24"/>
          <w:vertAlign w:val="superscript"/>
          <w:lang w:eastAsia="en-GB"/>
        </w:rPr>
        <w:t>2+</w:t>
      </w:r>
      <w:r w:rsidR="001A214C">
        <w:rPr>
          <w:rFonts w:ascii="Times New Roman" w:eastAsia="Times New Roman" w:hAnsi="Times New Roman" w:cs="Times New Roman"/>
          <w:sz w:val="24"/>
          <w:szCs w:val="24"/>
          <w:lang w:eastAsia="en-GB"/>
        </w:rPr>
        <w:t>)</w:t>
      </w:r>
      <w:r w:rsidR="001A214C" w:rsidRPr="004E464B">
        <w:rPr>
          <w:rFonts w:ascii="Times New Roman" w:eastAsia="Times New Roman" w:hAnsi="Times New Roman" w:cs="Times New Roman"/>
          <w:sz w:val="24"/>
          <w:szCs w:val="24"/>
          <w:lang w:eastAsia="en-GB"/>
        </w:rPr>
        <w:t>,</w:t>
      </w:r>
      <w:r w:rsidRPr="004E464B">
        <w:rPr>
          <w:rFonts w:ascii="Times New Roman" w:eastAsia="Times New Roman" w:hAnsi="Times New Roman" w:cs="Times New Roman"/>
          <w:sz w:val="24"/>
          <w:szCs w:val="24"/>
          <w:lang w:eastAsia="en-GB"/>
        </w:rPr>
        <w:t xml:space="preserve"> </w:t>
      </w:r>
      <w:r w:rsidR="00E11152" w:rsidRPr="004E464B">
        <w:rPr>
          <w:rFonts w:ascii="Times New Roman" w:eastAsia="Times New Roman" w:hAnsi="Times New Roman" w:cs="Times New Roman"/>
          <w:sz w:val="24"/>
          <w:szCs w:val="24"/>
          <w:lang w:eastAsia="en-GB"/>
        </w:rPr>
        <w:t>zinc</w:t>
      </w:r>
      <w:r w:rsidR="00E11152">
        <w:rPr>
          <w:rFonts w:ascii="Times New Roman" w:eastAsia="Times New Roman" w:hAnsi="Times New Roman" w:cs="Times New Roman"/>
          <w:sz w:val="24"/>
          <w:szCs w:val="24"/>
          <w:lang w:eastAsia="en-GB"/>
        </w:rPr>
        <w:t xml:space="preserve"> (</w:t>
      </w:r>
      <w:r w:rsidR="001A214C">
        <w:rPr>
          <w:rFonts w:ascii="Times New Roman" w:eastAsia="Times New Roman" w:hAnsi="Times New Roman" w:cs="Times New Roman"/>
          <w:sz w:val="24"/>
          <w:szCs w:val="24"/>
          <w:lang w:eastAsia="en-GB"/>
        </w:rPr>
        <w:t>Zn</w:t>
      </w:r>
      <w:r w:rsidR="001A214C" w:rsidRPr="00E11152">
        <w:rPr>
          <w:rFonts w:ascii="Times New Roman" w:eastAsia="Times New Roman" w:hAnsi="Times New Roman" w:cs="Times New Roman"/>
          <w:sz w:val="24"/>
          <w:szCs w:val="24"/>
          <w:vertAlign w:val="superscript"/>
          <w:lang w:eastAsia="en-GB"/>
        </w:rPr>
        <w:t>2+</w:t>
      </w:r>
      <w:r w:rsidR="001A214C" w:rsidRPr="00E11152">
        <w:rPr>
          <w:rFonts w:ascii="Times New Roman" w:eastAsia="Times New Roman" w:hAnsi="Times New Roman" w:cs="Times New Roman"/>
          <w:sz w:val="24"/>
          <w:szCs w:val="24"/>
          <w:lang w:eastAsia="en-GB"/>
        </w:rPr>
        <w:t>),</w:t>
      </w:r>
      <w:r w:rsidRPr="004E464B">
        <w:rPr>
          <w:rFonts w:ascii="Times New Roman" w:eastAsia="Times New Roman" w:hAnsi="Times New Roman" w:cs="Times New Roman"/>
          <w:sz w:val="24"/>
          <w:szCs w:val="24"/>
          <w:lang w:eastAsia="en-GB"/>
        </w:rPr>
        <w:t xml:space="preserve"> copper</w:t>
      </w:r>
      <w:r w:rsidR="00E11152">
        <w:rPr>
          <w:rFonts w:ascii="Times New Roman" w:eastAsia="Times New Roman" w:hAnsi="Times New Roman" w:cs="Times New Roman"/>
          <w:sz w:val="24"/>
          <w:szCs w:val="24"/>
          <w:lang w:eastAsia="en-GB"/>
        </w:rPr>
        <w:t xml:space="preserve"> (Cu</w:t>
      </w:r>
      <w:r w:rsidR="00E11152" w:rsidRPr="00E11152">
        <w:rPr>
          <w:rFonts w:ascii="Times New Roman" w:eastAsia="Times New Roman" w:hAnsi="Times New Roman" w:cs="Times New Roman"/>
          <w:sz w:val="24"/>
          <w:szCs w:val="24"/>
          <w:vertAlign w:val="superscript"/>
          <w:lang w:eastAsia="en-GB"/>
        </w:rPr>
        <w:t>2+</w:t>
      </w:r>
      <w:r w:rsidR="00E11152" w:rsidRPr="00E11152">
        <w:rPr>
          <w:rFonts w:ascii="Times New Roman" w:eastAsia="Times New Roman" w:hAnsi="Times New Roman" w:cs="Times New Roman"/>
          <w:sz w:val="24"/>
          <w:szCs w:val="24"/>
          <w:lang w:eastAsia="en-GB"/>
        </w:rPr>
        <w:t>),</w:t>
      </w:r>
      <w:r w:rsidRPr="00E11152">
        <w:rPr>
          <w:rFonts w:ascii="Times New Roman" w:eastAsia="Times New Roman" w:hAnsi="Times New Roman" w:cs="Times New Roman"/>
          <w:sz w:val="24"/>
          <w:szCs w:val="24"/>
          <w:vertAlign w:val="superscript"/>
          <w:lang w:eastAsia="en-GB"/>
        </w:rPr>
        <w:t xml:space="preserve"> </w:t>
      </w:r>
      <w:r w:rsidRPr="004E464B">
        <w:rPr>
          <w:rFonts w:ascii="Times New Roman" w:eastAsia="Times New Roman" w:hAnsi="Times New Roman" w:cs="Times New Roman"/>
          <w:sz w:val="24"/>
          <w:szCs w:val="24"/>
          <w:lang w:eastAsia="en-GB"/>
        </w:rPr>
        <w:t xml:space="preserve">and </w:t>
      </w:r>
      <w:r w:rsidR="00E11152" w:rsidRPr="004E464B">
        <w:rPr>
          <w:rFonts w:ascii="Times New Roman" w:eastAsia="Times New Roman" w:hAnsi="Times New Roman" w:cs="Times New Roman"/>
          <w:sz w:val="24"/>
          <w:szCs w:val="24"/>
          <w:lang w:eastAsia="en-GB"/>
        </w:rPr>
        <w:t>manganese</w:t>
      </w:r>
      <w:r w:rsidR="00E11152">
        <w:rPr>
          <w:rFonts w:ascii="Times New Roman" w:eastAsia="Times New Roman" w:hAnsi="Times New Roman" w:cs="Times New Roman"/>
          <w:sz w:val="24"/>
          <w:szCs w:val="24"/>
          <w:lang w:eastAsia="en-GB"/>
        </w:rPr>
        <w:t xml:space="preserve"> (Mn</w:t>
      </w:r>
      <w:r w:rsidR="00E11152" w:rsidRPr="00F857BB">
        <w:rPr>
          <w:rFonts w:ascii="Times New Roman" w:eastAsia="Times New Roman" w:hAnsi="Times New Roman" w:cs="Times New Roman"/>
          <w:sz w:val="24"/>
          <w:szCs w:val="24"/>
          <w:vertAlign w:val="superscript"/>
          <w:lang w:eastAsia="en-GB"/>
        </w:rPr>
        <w:t>2+</w:t>
      </w:r>
      <w:r w:rsidR="00E11152" w:rsidRPr="00F857BB">
        <w:rPr>
          <w:rFonts w:ascii="Times New Roman" w:eastAsia="Times New Roman" w:hAnsi="Times New Roman" w:cs="Times New Roman"/>
          <w:sz w:val="24"/>
          <w:szCs w:val="24"/>
          <w:lang w:eastAsia="en-GB"/>
        </w:rPr>
        <w:t>),</w:t>
      </w:r>
      <w:r w:rsidR="00E11152" w:rsidRPr="004E464B">
        <w:rPr>
          <w:rFonts w:ascii="Times New Roman" w:eastAsia="Times New Roman" w:hAnsi="Times New Roman" w:cs="Times New Roman"/>
          <w:sz w:val="24"/>
          <w:szCs w:val="24"/>
          <w:lang w:eastAsia="en-GB"/>
        </w:rPr>
        <w:t xml:space="preserve"> in</w:t>
      </w:r>
      <w:r w:rsidRPr="004E464B">
        <w:rPr>
          <w:rFonts w:ascii="Times New Roman" w:eastAsia="Times New Roman" w:hAnsi="Times New Roman" w:cs="Times New Roman"/>
          <w:sz w:val="24"/>
          <w:szCs w:val="24"/>
          <w:lang w:eastAsia="en-GB"/>
        </w:rPr>
        <w:t xml:space="preserve"> three maize seed varieties harvested from Masii </w:t>
      </w:r>
      <w:r w:rsidR="009873D2" w:rsidRPr="009873D2">
        <w:rPr>
          <w:rFonts w:ascii="Times New Roman" w:eastAsia="Times New Roman" w:hAnsi="Times New Roman" w:cs="Times New Roman"/>
          <w:color w:val="FF0000"/>
          <w:sz w:val="24"/>
          <w:szCs w:val="24"/>
          <w:lang w:eastAsia="en-GB"/>
        </w:rPr>
        <w:t>Ward</w:t>
      </w:r>
      <w:r w:rsidRPr="004E464B">
        <w:rPr>
          <w:rFonts w:ascii="Times New Roman" w:eastAsia="Times New Roman" w:hAnsi="Times New Roman" w:cs="Times New Roman"/>
          <w:sz w:val="24"/>
          <w:szCs w:val="24"/>
          <w:lang w:eastAsia="en-GB"/>
        </w:rPr>
        <w:t xml:space="preserve">, Mwala Sub-County, Machakos County, Kenya. </w:t>
      </w:r>
      <w:r w:rsidRPr="004E464B">
        <w:rPr>
          <w:rFonts w:ascii="Times New Roman" w:eastAsia="Times New Roman" w:hAnsi="Times New Roman" w:cs="Times New Roman"/>
          <w:color w:val="FF0000"/>
          <w:sz w:val="24"/>
          <w:szCs w:val="24"/>
          <w:lang w:val="en-US" w:eastAsia="en-GB"/>
        </w:rPr>
        <w:t xml:space="preserve">Fresh and dry SC Duma 43 and SC Sungura 301 hybrid with Indigenous Kamba (Kinyaanya) maize seeds, were collected from selected farms in Mbaani, Kathama, and Muthei </w:t>
      </w:r>
      <w:r w:rsidR="000A5827">
        <w:rPr>
          <w:rFonts w:ascii="Times New Roman" w:eastAsia="Times New Roman" w:hAnsi="Times New Roman" w:cs="Times New Roman"/>
          <w:color w:val="FF0000"/>
          <w:sz w:val="24"/>
          <w:szCs w:val="24"/>
          <w:lang w:val="en-US" w:eastAsia="en-GB"/>
        </w:rPr>
        <w:t>sub-location</w:t>
      </w:r>
      <w:r w:rsidRPr="004E464B">
        <w:rPr>
          <w:rFonts w:ascii="Times New Roman" w:eastAsia="Times New Roman" w:hAnsi="Times New Roman" w:cs="Times New Roman"/>
          <w:color w:val="FF0000"/>
          <w:sz w:val="24"/>
          <w:szCs w:val="24"/>
          <w:lang w:val="en-US" w:eastAsia="en-GB"/>
        </w:rPr>
        <w:t xml:space="preserve"> in Masii </w:t>
      </w:r>
      <w:r w:rsidR="000A5827">
        <w:rPr>
          <w:rFonts w:ascii="Times New Roman" w:eastAsia="Times New Roman" w:hAnsi="Times New Roman" w:cs="Times New Roman"/>
          <w:color w:val="FF0000"/>
          <w:sz w:val="24"/>
          <w:szCs w:val="24"/>
          <w:lang w:val="en-US" w:eastAsia="en-GB"/>
        </w:rPr>
        <w:t>Ward</w:t>
      </w:r>
      <w:r w:rsidRPr="004E464B">
        <w:rPr>
          <w:rFonts w:ascii="Times New Roman" w:eastAsia="Times New Roman" w:hAnsi="Times New Roman" w:cs="Times New Roman"/>
          <w:color w:val="FF0000"/>
          <w:sz w:val="24"/>
          <w:szCs w:val="24"/>
          <w:lang w:val="en-US" w:eastAsia="en-GB"/>
        </w:rPr>
        <w:t xml:space="preserve"> and </w:t>
      </w:r>
      <w:r w:rsidRPr="004E464B">
        <w:rPr>
          <w:rFonts w:ascii="Times New Roman" w:eastAsia="Times New Roman" w:hAnsi="Times New Roman" w:cs="Times New Roman"/>
          <w:sz w:val="24"/>
          <w:szCs w:val="24"/>
          <w:lang w:eastAsia="en-GB"/>
        </w:rPr>
        <w:t xml:space="preserve">transported to the Department of Chemistry, University of Nairobi, </w:t>
      </w:r>
      <w:r w:rsidRPr="004E464B">
        <w:rPr>
          <w:rFonts w:ascii="Times New Roman" w:eastAsia="Times New Roman" w:hAnsi="Times New Roman" w:cs="Times New Roman"/>
          <w:color w:val="FF0000"/>
          <w:sz w:val="24"/>
          <w:szCs w:val="24"/>
          <w:lang w:eastAsia="en-GB"/>
        </w:rPr>
        <w:t>for analysis. The dried and ground</w:t>
      </w:r>
      <w:r>
        <w:rPr>
          <w:rFonts w:ascii="Times New Roman" w:eastAsia="Times New Roman" w:hAnsi="Times New Roman" w:cs="Times New Roman"/>
          <w:color w:val="FF0000"/>
          <w:sz w:val="24"/>
          <w:szCs w:val="24"/>
          <w:lang w:eastAsia="en-GB"/>
        </w:rPr>
        <w:t xml:space="preserve"> maize</w:t>
      </w:r>
      <w:r w:rsidRPr="004E464B">
        <w:rPr>
          <w:rFonts w:ascii="Times New Roman" w:eastAsia="Times New Roman" w:hAnsi="Times New Roman" w:cs="Times New Roman"/>
          <w:color w:val="FF0000"/>
          <w:sz w:val="24"/>
          <w:szCs w:val="24"/>
          <w:lang w:eastAsia="en-GB"/>
        </w:rPr>
        <w:t xml:space="preserve"> </w:t>
      </w:r>
      <w:r>
        <w:rPr>
          <w:rFonts w:ascii="Times New Roman" w:eastAsia="Times New Roman" w:hAnsi="Times New Roman" w:cs="Times New Roman"/>
          <w:color w:val="FF0000"/>
          <w:sz w:val="24"/>
          <w:szCs w:val="24"/>
          <w:lang w:eastAsia="en-GB"/>
        </w:rPr>
        <w:t>seeds</w:t>
      </w:r>
      <w:r w:rsidRPr="004E464B">
        <w:rPr>
          <w:rFonts w:ascii="Times New Roman" w:eastAsia="Times New Roman" w:hAnsi="Times New Roman" w:cs="Times New Roman"/>
          <w:color w:val="FF0000"/>
          <w:sz w:val="24"/>
          <w:szCs w:val="24"/>
          <w:lang w:eastAsia="en-GB"/>
        </w:rPr>
        <w:t xml:space="preserve"> were digested</w:t>
      </w:r>
      <w:r w:rsidRPr="004E464B">
        <w:rPr>
          <w:rFonts w:ascii="Times New Roman" w:eastAsia="Times New Roman" w:hAnsi="Times New Roman" w:cs="Times New Roman"/>
          <w:sz w:val="24"/>
          <w:szCs w:val="24"/>
          <w:lang w:eastAsia="en-GB"/>
        </w:rPr>
        <w:t xml:space="preserve"> using an optimized acid mixture of HNO₃, HClO₄, and H₂O₂ </w:t>
      </w:r>
      <w:r w:rsidRPr="004E464B">
        <w:rPr>
          <w:rFonts w:ascii="Times New Roman" w:eastAsia="Times New Roman" w:hAnsi="Times New Roman" w:cs="Times New Roman"/>
          <w:color w:val="FF0000"/>
          <w:sz w:val="24"/>
          <w:szCs w:val="24"/>
          <w:lang w:eastAsia="en-GB"/>
        </w:rPr>
        <w:t xml:space="preserve">in a ratio of 2.5:0.75:0.5 v/v at 105°C for </w:t>
      </w:r>
      <w:bookmarkEnd w:id="1"/>
      <w:r w:rsidRPr="004E464B">
        <w:rPr>
          <w:rFonts w:ascii="Times New Roman" w:eastAsia="Times New Roman" w:hAnsi="Times New Roman" w:cs="Times New Roman"/>
          <w:color w:val="FF0000"/>
          <w:sz w:val="24"/>
          <w:szCs w:val="24"/>
          <w:lang w:eastAsia="en-GB"/>
        </w:rPr>
        <w:t>2.5 hours.</w:t>
      </w:r>
      <w:r w:rsidRPr="004E464B">
        <w:rPr>
          <w:rFonts w:ascii="Times New Roman" w:eastAsia="Times New Roman" w:hAnsi="Times New Roman" w:cs="Times New Roman"/>
          <w:sz w:val="24"/>
          <w:szCs w:val="24"/>
          <w:lang w:eastAsia="en-GB"/>
        </w:rPr>
        <w:t xml:space="preserve"> </w:t>
      </w:r>
      <w:r w:rsidRPr="004E464B">
        <w:rPr>
          <w:rFonts w:ascii="Times New Roman" w:hAnsi="Times New Roman" w:cs="Times New Roman"/>
          <w:color w:val="FF0000"/>
          <w:sz w:val="24"/>
          <w:szCs w:val="24"/>
          <w:lang w:val="en-US"/>
        </w:rPr>
        <w:t>The</w:t>
      </w:r>
      <w:r w:rsidRPr="004E464B">
        <w:rPr>
          <w:rFonts w:ascii="Times New Roman" w:hAnsi="Times New Roman" w:cs="Times New Roman"/>
          <w:sz w:val="24"/>
          <w:szCs w:val="24"/>
          <w:lang w:val="en-US"/>
        </w:rPr>
        <w:t xml:space="preserve"> heavy metals were </w:t>
      </w:r>
      <w:r w:rsidRPr="004E464B">
        <w:rPr>
          <w:rFonts w:ascii="Times New Roman" w:hAnsi="Times New Roman" w:cs="Times New Roman"/>
          <w:color w:val="FF0000"/>
          <w:sz w:val="24"/>
          <w:szCs w:val="24"/>
          <w:lang w:val="en-US"/>
        </w:rPr>
        <w:t xml:space="preserve">analysed </w:t>
      </w:r>
      <w:r w:rsidRPr="00A356DF">
        <w:rPr>
          <w:rFonts w:ascii="Times New Roman" w:hAnsi="Times New Roman" w:cs="Times New Roman"/>
          <w:color w:val="FF0000"/>
          <w:sz w:val="24"/>
          <w:szCs w:val="24"/>
          <w:lang w:val="en-US"/>
        </w:rPr>
        <w:t>using</w:t>
      </w:r>
      <w:r w:rsidRPr="004E464B">
        <w:rPr>
          <w:rFonts w:ascii="Times New Roman" w:hAnsi="Times New Roman" w:cs="Times New Roman"/>
          <w:sz w:val="24"/>
          <w:szCs w:val="24"/>
          <w:lang w:val="en-US"/>
        </w:rPr>
        <w:t xml:space="preserve"> Atomic Absorption Spectroscopy (AAS). The results showed that zinc levels ranged from 0.343 ± 0.0505 mg/g to 0.389 ± 0.0007mg/g, cadmium from 0.562 ± 0.217 mg/g to 1.998 ± 0.110 mg/g, copper from 0.700 ± 0.0380 mg/g to 0.756 ± 0.101 mg/g, manganese from 0.270 ± 0.0586 mg/g to 2.745 ± 0.851 mg/g, and lead from 8.247 ± 0.798 mg/g to 10.449 ± 0. 398 mg/g. </w:t>
      </w:r>
      <w:r w:rsidRPr="00A356DF">
        <w:rPr>
          <w:rFonts w:ascii="Times New Roman" w:hAnsi="Times New Roman" w:cs="Times New Roman"/>
          <w:color w:val="FF0000"/>
          <w:sz w:val="24"/>
          <w:szCs w:val="24"/>
          <w:lang w:val="en-US"/>
        </w:rPr>
        <w:t xml:space="preserve">Despite falling below World Health Organization </w:t>
      </w:r>
      <w:r w:rsidR="000A5827">
        <w:rPr>
          <w:rFonts w:ascii="Times New Roman" w:hAnsi="Times New Roman" w:cs="Times New Roman"/>
          <w:color w:val="FF0000"/>
          <w:sz w:val="24"/>
          <w:szCs w:val="24"/>
          <w:lang w:val="en-US"/>
        </w:rPr>
        <w:t>/</w:t>
      </w:r>
      <w:r w:rsidRPr="00A356DF">
        <w:rPr>
          <w:rFonts w:ascii="Times New Roman" w:hAnsi="Times New Roman" w:cs="Times New Roman"/>
          <w:color w:val="FF0000"/>
          <w:sz w:val="24"/>
          <w:szCs w:val="24"/>
          <w:lang w:val="en-US"/>
        </w:rPr>
        <w:t xml:space="preserve"> Food and Agriculture Organization (</w:t>
      </w:r>
      <w:r w:rsidR="000A5827">
        <w:rPr>
          <w:rFonts w:ascii="Times New Roman" w:hAnsi="Times New Roman" w:cs="Times New Roman"/>
          <w:color w:val="FF0000"/>
          <w:sz w:val="24"/>
          <w:szCs w:val="24"/>
          <w:lang w:val="en-US"/>
        </w:rPr>
        <w:t>WHO/</w:t>
      </w:r>
      <w:r w:rsidRPr="00A356DF">
        <w:rPr>
          <w:rFonts w:ascii="Times New Roman" w:hAnsi="Times New Roman" w:cs="Times New Roman"/>
          <w:color w:val="FF0000"/>
          <w:sz w:val="24"/>
          <w:szCs w:val="24"/>
          <w:lang w:val="en-US"/>
        </w:rPr>
        <w:t xml:space="preserve">FAO), and Kenya Bureau of Standards (KEBS) </w:t>
      </w:r>
      <w:proofErr w:type="gramStart"/>
      <w:r w:rsidRPr="00A356DF">
        <w:rPr>
          <w:rFonts w:ascii="Times New Roman" w:hAnsi="Times New Roman" w:cs="Times New Roman"/>
          <w:color w:val="FF0000"/>
          <w:sz w:val="24"/>
          <w:szCs w:val="24"/>
          <w:lang w:val="en-US"/>
        </w:rPr>
        <w:t>limits</w:t>
      </w:r>
      <w:r w:rsidR="00A36030">
        <w:rPr>
          <w:rFonts w:ascii="Times New Roman" w:hAnsi="Times New Roman" w:cs="Times New Roman"/>
          <w:color w:val="FF0000"/>
          <w:sz w:val="24"/>
          <w:szCs w:val="24"/>
          <w:lang w:val="en-US"/>
        </w:rPr>
        <w:t xml:space="preserve"> </w:t>
      </w:r>
      <w:r w:rsidRPr="00A356DF">
        <w:rPr>
          <w:rFonts w:ascii="Times New Roman" w:hAnsi="Times New Roman" w:cs="Times New Roman"/>
          <w:color w:val="FF0000"/>
          <w:sz w:val="24"/>
          <w:szCs w:val="24"/>
          <w:lang w:val="en-US"/>
        </w:rPr>
        <w:t>,</w:t>
      </w:r>
      <w:proofErr w:type="gramEnd"/>
      <w:r w:rsidRPr="00A356DF">
        <w:rPr>
          <w:rFonts w:ascii="Times New Roman" w:hAnsi="Times New Roman" w:cs="Times New Roman"/>
          <w:color w:val="FF0000"/>
          <w:sz w:val="24"/>
          <w:szCs w:val="24"/>
          <w:lang w:val="en-US"/>
        </w:rPr>
        <w:t xml:space="preserve"> the detected levels of zinc, copper, and manganese requires monitoring regarding long-term bioaccumulation</w:t>
      </w:r>
      <w:r w:rsidRPr="004E46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Cadmium and lead </w:t>
      </w:r>
      <w:r w:rsidRPr="00A356DF">
        <w:rPr>
          <w:rFonts w:ascii="Times New Roman" w:hAnsi="Times New Roman" w:cs="Times New Roman"/>
          <w:color w:val="FF0000"/>
          <w:sz w:val="24"/>
          <w:szCs w:val="24"/>
          <w:lang w:val="en-US"/>
        </w:rPr>
        <w:t xml:space="preserve">levels exceeded permissible limits (0.1 and 0.5 mg/g, respectively), </w:t>
      </w:r>
      <w:r>
        <w:rPr>
          <w:rFonts w:ascii="Times New Roman" w:hAnsi="Times New Roman" w:cs="Times New Roman"/>
          <w:sz w:val="24"/>
          <w:szCs w:val="24"/>
          <w:lang w:val="en-US"/>
        </w:rPr>
        <w:t xml:space="preserve">with lead </w:t>
      </w:r>
      <w:r w:rsidRPr="00A356DF">
        <w:rPr>
          <w:rFonts w:ascii="Times New Roman" w:hAnsi="Times New Roman" w:cs="Times New Roman"/>
          <w:color w:val="FF0000"/>
          <w:sz w:val="24"/>
          <w:szCs w:val="24"/>
          <w:lang w:val="en-US"/>
        </w:rPr>
        <w:t>concentration</w:t>
      </w:r>
      <w:r>
        <w:rPr>
          <w:rFonts w:ascii="Times New Roman" w:hAnsi="Times New Roman" w:cs="Times New Roman"/>
          <w:sz w:val="24"/>
          <w:szCs w:val="24"/>
          <w:lang w:val="en-US"/>
        </w:rPr>
        <w:t xml:space="preserve"> particularly high across all three varieties</w:t>
      </w:r>
      <w:r w:rsidRPr="004E464B">
        <w:rPr>
          <w:rFonts w:ascii="Times New Roman" w:eastAsia="Times New Roman" w:hAnsi="Times New Roman" w:cs="Times New Roman"/>
          <w:sz w:val="24"/>
          <w:szCs w:val="24"/>
          <w:lang w:eastAsia="en-GB"/>
        </w:rPr>
        <w:t xml:space="preserve">. </w:t>
      </w:r>
      <w:r w:rsidRPr="00A356DF">
        <w:rPr>
          <w:rFonts w:ascii="Times New Roman" w:eastAsia="Times New Roman" w:hAnsi="Times New Roman" w:cs="Times New Roman"/>
          <w:color w:val="FF0000"/>
          <w:sz w:val="24"/>
          <w:szCs w:val="24"/>
          <w:lang w:eastAsia="en-GB"/>
        </w:rPr>
        <w:t xml:space="preserve">The analysis revealed that </w:t>
      </w:r>
      <w:r w:rsidRPr="00A356DF">
        <w:rPr>
          <w:rFonts w:ascii="Times New Roman" w:eastAsia="Times New Roman" w:hAnsi="Times New Roman" w:cs="Times New Roman"/>
          <w:sz w:val="24"/>
          <w:szCs w:val="24"/>
          <w:lang w:eastAsia="en-GB"/>
        </w:rPr>
        <w:t xml:space="preserve">maize seeds pose </w:t>
      </w:r>
      <w:r w:rsidRPr="00A356DF">
        <w:rPr>
          <w:rFonts w:ascii="Times New Roman" w:eastAsia="Times New Roman" w:hAnsi="Times New Roman" w:cs="Times New Roman"/>
          <w:color w:val="FF0000"/>
          <w:sz w:val="24"/>
          <w:szCs w:val="24"/>
          <w:lang w:eastAsia="en-GB"/>
        </w:rPr>
        <w:t>severe</w:t>
      </w:r>
      <w:r w:rsidRPr="00A356DF">
        <w:rPr>
          <w:rFonts w:ascii="Times New Roman" w:eastAsia="Times New Roman" w:hAnsi="Times New Roman" w:cs="Times New Roman"/>
          <w:sz w:val="24"/>
          <w:szCs w:val="24"/>
          <w:lang w:eastAsia="en-GB"/>
        </w:rPr>
        <w:t xml:space="preserve"> health risks and </w:t>
      </w:r>
      <w:r w:rsidRPr="00A356DF">
        <w:rPr>
          <w:rFonts w:ascii="Times New Roman" w:eastAsia="Times New Roman" w:hAnsi="Times New Roman" w:cs="Times New Roman"/>
          <w:color w:val="FF0000"/>
          <w:sz w:val="24"/>
          <w:szCs w:val="24"/>
          <w:lang w:eastAsia="en-GB"/>
        </w:rPr>
        <w:t xml:space="preserve">are unfit </w:t>
      </w:r>
      <w:r w:rsidRPr="00A356DF">
        <w:rPr>
          <w:rFonts w:ascii="Times New Roman" w:eastAsia="Times New Roman" w:hAnsi="Times New Roman" w:cs="Times New Roman"/>
          <w:sz w:val="24"/>
          <w:szCs w:val="24"/>
          <w:lang w:eastAsia="en-GB"/>
        </w:rPr>
        <w:t>for human consumption.</w:t>
      </w:r>
      <w:r w:rsidRPr="00A356DF">
        <w:rPr>
          <w:rFonts w:ascii="Times New Roman" w:hAnsi="Times New Roman" w:cs="Times New Roman"/>
          <w:sz w:val="24"/>
          <w:szCs w:val="24"/>
          <w:lang w:val="en-US"/>
        </w:rPr>
        <w:t xml:space="preserve"> This study highlights the urgent need for regular monitoring of heavy metals contamination in food crops and for the implementation on remediation strategies </w:t>
      </w:r>
      <w:r w:rsidRPr="00A356DF">
        <w:rPr>
          <w:rFonts w:ascii="Times New Roman" w:hAnsi="Times New Roman" w:cs="Times New Roman"/>
          <w:color w:val="FF0000"/>
          <w:sz w:val="24"/>
          <w:szCs w:val="24"/>
          <w:lang w:val="en-US"/>
        </w:rPr>
        <w:t xml:space="preserve">to safeguard </w:t>
      </w:r>
      <w:r w:rsidRPr="00A356DF">
        <w:rPr>
          <w:rFonts w:ascii="Times New Roman" w:hAnsi="Times New Roman" w:cs="Times New Roman"/>
          <w:sz w:val="24"/>
          <w:szCs w:val="24"/>
          <w:lang w:val="en-US"/>
        </w:rPr>
        <w:t xml:space="preserve">public health in Machakos County and similar agricultural </w:t>
      </w:r>
      <w:r w:rsidR="002B2453">
        <w:rPr>
          <w:rFonts w:ascii="Times New Roman" w:hAnsi="Times New Roman" w:cs="Times New Roman"/>
          <w:sz w:val="24"/>
          <w:szCs w:val="24"/>
          <w:lang w:val="en-US"/>
        </w:rPr>
        <w:t>regions</w:t>
      </w:r>
      <w:r w:rsidRPr="00A356DF">
        <w:rPr>
          <w:rFonts w:ascii="Times New Roman" w:hAnsi="Times New Roman" w:cs="Times New Roman"/>
          <w:sz w:val="24"/>
          <w:szCs w:val="24"/>
          <w:lang w:val="en-US"/>
        </w:rPr>
        <w:t xml:space="preserve"> </w:t>
      </w:r>
      <w:r w:rsidRPr="00A356DF">
        <w:rPr>
          <w:rFonts w:ascii="Times New Roman" w:hAnsi="Times New Roman" w:cs="Times New Roman"/>
          <w:color w:val="FF0000"/>
          <w:sz w:val="24"/>
          <w:szCs w:val="24"/>
          <w:lang w:val="en-US"/>
        </w:rPr>
        <w:t>in Kenya</w:t>
      </w:r>
      <w:bookmarkEnd w:id="2"/>
      <w:r w:rsidRPr="00A356DF">
        <w:rPr>
          <w:rFonts w:ascii="Times New Roman" w:hAnsi="Times New Roman" w:cs="Times New Roman"/>
          <w:sz w:val="24"/>
          <w:szCs w:val="24"/>
          <w:lang w:val="en-US"/>
        </w:rPr>
        <w:t>.</w:t>
      </w:r>
    </w:p>
    <w:p w14:paraId="5CCB0585" w14:textId="77777777" w:rsidR="00FE1398" w:rsidRDefault="00FE1398" w:rsidP="00011E3D">
      <w:pPr>
        <w:spacing w:before="100" w:beforeAutospacing="1" w:after="100" w:afterAutospacing="1" w:line="240" w:lineRule="auto"/>
        <w:jc w:val="both"/>
        <w:rPr>
          <w:rFonts w:ascii="Times New Roman" w:eastAsia="Times New Roman" w:hAnsi="Times New Roman" w:cs="Times New Roman"/>
          <w:sz w:val="24"/>
          <w:szCs w:val="24"/>
          <w:lang w:eastAsia="en-GB"/>
        </w:rPr>
        <w:sectPr w:rsidR="00FE1398" w:rsidSect="00FE1398">
          <w:type w:val="continuous"/>
          <w:pgSz w:w="11906" w:h="16838"/>
          <w:pgMar w:top="1440" w:right="1440" w:bottom="1440" w:left="1440" w:header="708" w:footer="708" w:gutter="0"/>
          <w:cols w:space="385"/>
          <w:docGrid w:linePitch="360"/>
        </w:sectPr>
      </w:pPr>
    </w:p>
    <w:p w14:paraId="2B9FE09D" w14:textId="77777777" w:rsidR="007C5034" w:rsidRDefault="007C5034" w:rsidP="00011E3D">
      <w:pPr>
        <w:spacing w:before="100" w:beforeAutospacing="1" w:after="100" w:afterAutospacing="1" w:line="240" w:lineRule="auto"/>
        <w:jc w:val="both"/>
        <w:rPr>
          <w:rFonts w:ascii="Times New Roman" w:eastAsia="Times New Roman" w:hAnsi="Times New Roman" w:cs="Times New Roman"/>
          <w:sz w:val="24"/>
          <w:szCs w:val="24"/>
          <w:lang w:eastAsia="en-GB"/>
        </w:rPr>
        <w:sectPr w:rsidR="007C5034" w:rsidSect="007C5034">
          <w:type w:val="continuous"/>
          <w:pgSz w:w="11906" w:h="16838"/>
          <w:pgMar w:top="1440" w:right="1440" w:bottom="1440" w:left="1440" w:header="708" w:footer="708" w:gutter="0"/>
          <w:cols w:num="2" w:space="385" w:equalWidth="0">
            <w:col w:w="2642" w:space="385"/>
            <w:col w:w="5999"/>
          </w:cols>
          <w:docGrid w:linePitch="360"/>
        </w:sectPr>
      </w:pPr>
    </w:p>
    <w:p w14:paraId="4175FDA2" w14:textId="37F041C3" w:rsidR="000420D9" w:rsidRPr="00FF5F73" w:rsidRDefault="00E23AA2" w:rsidP="00FF5F73">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lastRenderedPageBreak/>
        <w:t xml:space="preserve"> </w:t>
      </w:r>
      <w:r w:rsidR="000420D9" w:rsidRPr="000420D9">
        <w:rPr>
          <w:rFonts w:ascii="Times New Roman" w:eastAsia="Times New Roman" w:hAnsi="Times New Roman" w:cs="Times New Roman"/>
          <w:b/>
          <w:bCs/>
          <w:sz w:val="24"/>
          <w:szCs w:val="24"/>
          <w:lang w:eastAsia="en-GB"/>
        </w:rPr>
        <w:t>INTRODUCTION</w:t>
      </w:r>
    </w:p>
    <w:p w14:paraId="668FFC47" w14:textId="5FD7AFE3" w:rsidR="000420D9" w:rsidRPr="000420D9" w:rsidRDefault="000420D9" w:rsidP="00715C5B">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(Zea mays L.) stands as one of the most important cereal crops worldwide and serves as a primary staple food for billions of people, particularly in sub-Saharan Africa. In Kenya, maize occupies a central position in food security, with the majority of households depending on it as their main source of calories and nutrition. The crop is cultivated across diverse agro-ecological zones in the country, with Machakos County being one of the significant production areas. However, the safety and nutritional quality of maize can be compromised by the presence of heavy metal contaminants, which pose substantial risks to human health and environmental integrity</w:t>
      </w:r>
      <w:r w:rsidR="005D3BB2">
        <w:rPr>
          <w:rFonts w:ascii="Times New Roman" w:eastAsia="Times New Roman" w:hAnsi="Times New Roman" w:cs="Times New Roman"/>
          <w:sz w:val="24"/>
          <w:szCs w:val="24"/>
          <w:lang w:eastAsia="en-GB"/>
        </w:rPr>
        <w:t xml:space="preserve"> </w:t>
      </w:r>
      <w:r w:rsidR="00715C5B" w:rsidRPr="00715C5B">
        <w:rPr>
          <w:rFonts w:ascii="Times New Roman" w:eastAsia="Times New Roman" w:hAnsi="Times New Roman" w:cs="Times New Roman"/>
          <w:color w:val="FF0000"/>
          <w:sz w:val="24"/>
          <w:szCs w:val="24"/>
          <w:lang w:eastAsia="en-GB"/>
        </w:rPr>
        <w:t>[1]</w:t>
      </w:r>
      <w:r w:rsidRPr="00715C5B">
        <w:rPr>
          <w:rFonts w:ascii="Times New Roman" w:eastAsia="Times New Roman" w:hAnsi="Times New Roman" w:cs="Times New Roman"/>
          <w:color w:val="FF0000"/>
          <w:sz w:val="24"/>
          <w:szCs w:val="24"/>
          <w:lang w:eastAsia="en-GB"/>
        </w:rPr>
        <w:t>.</w:t>
      </w:r>
    </w:p>
    <w:p w14:paraId="3CCE141F" w14:textId="29C53FD2"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Heavy metals are defined as chemical elements with relatively high atomic weights and densities that exhibit strong toxic effects even at low concentrations. These metallic elements are persistent in the environment, non-biodegradable, and </w:t>
      </w:r>
      <w:r w:rsidR="00390625" w:rsidRPr="00390625">
        <w:rPr>
          <w:rFonts w:ascii="Times New Roman" w:eastAsia="Times New Roman" w:hAnsi="Times New Roman" w:cs="Times New Roman"/>
          <w:color w:val="FF0000"/>
          <w:sz w:val="24"/>
          <w:szCs w:val="24"/>
          <w:lang w:eastAsia="en-GB"/>
        </w:rPr>
        <w:t xml:space="preserve">tend </w:t>
      </w:r>
      <w:r w:rsidR="00390625" w:rsidRPr="000420D9">
        <w:rPr>
          <w:rFonts w:ascii="Times New Roman" w:eastAsia="Times New Roman" w:hAnsi="Times New Roman" w:cs="Times New Roman"/>
          <w:sz w:val="24"/>
          <w:szCs w:val="24"/>
          <w:lang w:eastAsia="en-GB"/>
        </w:rPr>
        <w:t>to</w:t>
      </w:r>
      <w:r w:rsidRPr="000420D9">
        <w:rPr>
          <w:rFonts w:ascii="Times New Roman" w:eastAsia="Times New Roman" w:hAnsi="Times New Roman" w:cs="Times New Roman"/>
          <w:sz w:val="24"/>
          <w:szCs w:val="24"/>
          <w:lang w:eastAsia="en-GB"/>
        </w:rPr>
        <w:t xml:space="preserve"> bioaccumulate in living organisms, making them particularly dangerous environmental pollutants</w:t>
      </w:r>
      <w:r w:rsidR="00390625">
        <w:rPr>
          <w:rFonts w:ascii="Times New Roman" w:eastAsia="Times New Roman" w:hAnsi="Times New Roman" w:cs="Times New Roman"/>
          <w:sz w:val="24"/>
          <w:szCs w:val="24"/>
          <w:lang w:eastAsia="en-GB"/>
        </w:rPr>
        <w:t xml:space="preserve"> </w:t>
      </w:r>
      <w:r w:rsidR="00715C5B" w:rsidRPr="00390625">
        <w:rPr>
          <w:rFonts w:ascii="Times New Roman" w:eastAsia="Times New Roman" w:hAnsi="Times New Roman" w:cs="Times New Roman"/>
          <w:color w:val="FF0000"/>
          <w:sz w:val="24"/>
          <w:szCs w:val="24"/>
          <w:lang w:eastAsia="en-GB"/>
        </w:rPr>
        <w:t>[2]</w:t>
      </w:r>
      <w:r w:rsidRPr="00390625">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 primary heavy metals of concern in agricultural systems include lead (Pb), cadmium (Cd), zinc (Zn), copper (Cu), and manganese (Mn), among others. Their presence in agricultural soils and subsequently in food crops has become a matter of increasing concern among researchers, public health officials, and policymakers worldwide</w:t>
      </w:r>
      <w:r w:rsidR="00BD6C5F">
        <w:rPr>
          <w:rFonts w:ascii="Times New Roman" w:eastAsia="Times New Roman" w:hAnsi="Times New Roman" w:cs="Times New Roman"/>
          <w:sz w:val="24"/>
          <w:szCs w:val="24"/>
          <w:lang w:eastAsia="en-GB"/>
        </w:rPr>
        <w:t xml:space="preserve"> </w:t>
      </w:r>
      <w:r w:rsidR="00390625" w:rsidRPr="00390625">
        <w:rPr>
          <w:rFonts w:ascii="Times New Roman" w:eastAsia="Times New Roman" w:hAnsi="Times New Roman" w:cs="Times New Roman"/>
          <w:color w:val="FF0000"/>
          <w:sz w:val="24"/>
          <w:szCs w:val="24"/>
          <w:lang w:eastAsia="en-GB"/>
        </w:rPr>
        <w:t xml:space="preserve">[2]. </w:t>
      </w:r>
    </w:p>
    <w:p w14:paraId="48E6CB6B" w14:textId="0CCC3E0B"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contamination of agricultural soils with heavy metals occurs through various anthropogenic and natural pathways. Industrial activities such as mining, smelting, and manufacturing release substantial amounts of heavy metals into the environment, contaminating both soil and water resources used for </w:t>
      </w:r>
      <w:r w:rsidR="00390625" w:rsidRPr="000420D9">
        <w:rPr>
          <w:rFonts w:ascii="Times New Roman" w:eastAsia="Times New Roman" w:hAnsi="Times New Roman" w:cs="Times New Roman"/>
          <w:sz w:val="24"/>
          <w:szCs w:val="24"/>
          <w:lang w:eastAsia="en-GB"/>
        </w:rPr>
        <w:t>irrigation</w:t>
      </w:r>
      <w:r w:rsidR="00390625">
        <w:rPr>
          <w:rFonts w:ascii="Times New Roman" w:eastAsia="Times New Roman" w:hAnsi="Times New Roman" w:cs="Times New Roman"/>
          <w:sz w:val="24"/>
          <w:szCs w:val="24"/>
          <w:lang w:eastAsia="en-GB"/>
        </w:rPr>
        <w:t xml:space="preserve"> [</w:t>
      </w:r>
      <w:r w:rsidR="00390625" w:rsidRPr="00390625">
        <w:rPr>
          <w:rFonts w:ascii="Times New Roman" w:eastAsia="Times New Roman" w:hAnsi="Times New Roman" w:cs="Times New Roman"/>
          <w:color w:val="FF0000"/>
          <w:sz w:val="24"/>
          <w:szCs w:val="24"/>
          <w:lang w:eastAsia="en-GB"/>
        </w:rPr>
        <w:t>3]</w:t>
      </w:r>
      <w:r w:rsidRPr="00390625">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Agricultural practices themselves contribute to this problem through the long-term application of phosphate fertilizers, which often contain heavy metal impurities, the use of pesticides with metallic </w:t>
      </w:r>
      <w:r w:rsidR="00BD6C5F" w:rsidRPr="000420D9">
        <w:rPr>
          <w:rFonts w:ascii="Times New Roman" w:eastAsia="Times New Roman" w:hAnsi="Times New Roman" w:cs="Times New Roman"/>
          <w:sz w:val="24"/>
          <w:szCs w:val="24"/>
          <w:lang w:eastAsia="en-GB"/>
        </w:rPr>
        <w:t>components</w:t>
      </w:r>
      <w:r w:rsidRPr="000420D9">
        <w:rPr>
          <w:rFonts w:ascii="Times New Roman" w:eastAsia="Times New Roman" w:hAnsi="Times New Roman" w:cs="Times New Roman"/>
          <w:sz w:val="24"/>
          <w:szCs w:val="24"/>
          <w:lang w:eastAsia="en-GB"/>
        </w:rPr>
        <w:t xml:space="preserve">, and the application of sewage sludge as soil amendment. Additionally, atmospheric deposition from vehicle emissions and industrial discharges introduces heavy metals into farmlands, particularly in areas close to urban </w:t>
      </w:r>
      <w:r w:rsidR="00BD6C5F" w:rsidRPr="000420D9">
        <w:rPr>
          <w:rFonts w:ascii="Times New Roman" w:eastAsia="Times New Roman" w:hAnsi="Times New Roman" w:cs="Times New Roman"/>
          <w:sz w:val="24"/>
          <w:szCs w:val="24"/>
          <w:lang w:eastAsia="en-GB"/>
        </w:rPr>
        <w:t>centres</w:t>
      </w:r>
      <w:r w:rsidRPr="000420D9">
        <w:rPr>
          <w:rFonts w:ascii="Times New Roman" w:eastAsia="Times New Roman" w:hAnsi="Times New Roman" w:cs="Times New Roman"/>
          <w:sz w:val="24"/>
          <w:szCs w:val="24"/>
          <w:lang w:eastAsia="en-GB"/>
        </w:rPr>
        <w:t xml:space="preserve"> or industrial zones. Natural geological formations in certain regions may also contribute elevated levels of specific heavy metals to the soil</w:t>
      </w:r>
      <w:r w:rsidR="00E9700D">
        <w:rPr>
          <w:rFonts w:ascii="Times New Roman" w:eastAsia="Times New Roman" w:hAnsi="Times New Roman" w:cs="Times New Roman"/>
          <w:sz w:val="24"/>
          <w:szCs w:val="24"/>
          <w:lang w:eastAsia="en-GB"/>
        </w:rPr>
        <w:t xml:space="preserve"> </w:t>
      </w:r>
      <w:r w:rsidR="00E9700D" w:rsidRPr="00E9700D">
        <w:rPr>
          <w:rFonts w:ascii="Times New Roman" w:eastAsia="Times New Roman" w:hAnsi="Times New Roman" w:cs="Times New Roman"/>
          <w:color w:val="FF0000"/>
          <w:sz w:val="24"/>
          <w:szCs w:val="24"/>
          <w:lang w:eastAsia="en-GB"/>
        </w:rPr>
        <w:t>[3]</w:t>
      </w:r>
      <w:r w:rsidRPr="00E9700D">
        <w:rPr>
          <w:rFonts w:ascii="Times New Roman" w:eastAsia="Times New Roman" w:hAnsi="Times New Roman" w:cs="Times New Roman"/>
          <w:color w:val="FF0000"/>
          <w:sz w:val="24"/>
          <w:szCs w:val="24"/>
          <w:lang w:eastAsia="en-GB"/>
        </w:rPr>
        <w:t>.</w:t>
      </w:r>
    </w:p>
    <w:p w14:paraId="59169FC3" w14:textId="3EB47F10"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Maize plants are known to be sensitive to heavy metal stress and can absorb these contaminants from the soil through their root systems. Once absorbed, heavy metals are transported to various plant parts, including the grains, where they accumulate to varying degrees. The extent of accumulation depends on multiple factors including the concentration of metals in the soil, the specific metal type, the maize variety, soil pH, organic matter content, and prevailing environmental conditions. Research has demonstrated that different maize varieties exhibit varying capacities for heavy metal uptake and accumulation, with some cultivars showing higher susceptibility than others. Understanding these varietal differences is essential for developing appropriate mitigation strategies and breeding programs aimed at reducing heavy metal accumulation in edible portions of the crop</w:t>
      </w:r>
      <w:r w:rsidR="00E9700D">
        <w:rPr>
          <w:rFonts w:ascii="Times New Roman" w:eastAsia="Times New Roman" w:hAnsi="Times New Roman" w:cs="Times New Roman"/>
          <w:sz w:val="24"/>
          <w:szCs w:val="24"/>
          <w:lang w:eastAsia="en-GB"/>
        </w:rPr>
        <w:t xml:space="preserve"> </w:t>
      </w:r>
      <w:r w:rsidR="00E9700D" w:rsidRPr="00E9700D">
        <w:rPr>
          <w:rFonts w:ascii="Times New Roman" w:eastAsia="Times New Roman" w:hAnsi="Times New Roman" w:cs="Times New Roman"/>
          <w:color w:val="FF0000"/>
          <w:sz w:val="24"/>
          <w:szCs w:val="24"/>
          <w:lang w:eastAsia="en-GB"/>
        </w:rPr>
        <w:t>[4]</w:t>
      </w:r>
      <w:r w:rsidRPr="00E9700D">
        <w:rPr>
          <w:rFonts w:ascii="Times New Roman" w:eastAsia="Times New Roman" w:hAnsi="Times New Roman" w:cs="Times New Roman"/>
          <w:color w:val="FF0000"/>
          <w:sz w:val="24"/>
          <w:szCs w:val="24"/>
          <w:lang w:eastAsia="en-GB"/>
        </w:rPr>
        <w:t>.</w:t>
      </w:r>
    </w:p>
    <w:p w14:paraId="53FBD827" w14:textId="45E7C34E" w:rsidR="000420D9" w:rsidRPr="0080533B" w:rsidRDefault="000420D9"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sidRPr="000420D9">
        <w:rPr>
          <w:rFonts w:ascii="Times New Roman" w:eastAsia="Times New Roman" w:hAnsi="Times New Roman" w:cs="Times New Roman"/>
          <w:sz w:val="24"/>
          <w:szCs w:val="24"/>
          <w:lang w:eastAsia="en-GB"/>
        </w:rPr>
        <w:t xml:space="preserve">The health implications of consuming heavy metal-contaminated maize are severe and multifaceted. Lead exposure, even at relatively low levels, has been associated with neurodevelopmental problems in children, including reduced intelligence quotient (IQ), learning disabilities, and </w:t>
      </w:r>
      <w:r w:rsidR="0080533B" w:rsidRPr="000420D9">
        <w:rPr>
          <w:rFonts w:ascii="Times New Roman" w:eastAsia="Times New Roman" w:hAnsi="Times New Roman" w:cs="Times New Roman"/>
          <w:sz w:val="24"/>
          <w:szCs w:val="24"/>
          <w:lang w:eastAsia="en-GB"/>
        </w:rPr>
        <w:t>behavioural</w:t>
      </w:r>
      <w:r w:rsidRPr="000420D9">
        <w:rPr>
          <w:rFonts w:ascii="Times New Roman" w:eastAsia="Times New Roman" w:hAnsi="Times New Roman" w:cs="Times New Roman"/>
          <w:sz w:val="24"/>
          <w:szCs w:val="24"/>
          <w:lang w:eastAsia="en-GB"/>
        </w:rPr>
        <w:t xml:space="preserve"> disorders. In adults, chronic lead exposure can lead to hypertension, cardiovascular disease, kidney damage, and reproductive problems. Cadmium, classified as a human carcinogen by international health agencies, accumulates primarily in the kidneys and liver, causing nephrotoxicity, hepatotoxicity, and bone disease. It interferes with </w:t>
      </w:r>
      <w:r w:rsidRPr="000420D9">
        <w:rPr>
          <w:rFonts w:ascii="Times New Roman" w:eastAsia="Times New Roman" w:hAnsi="Times New Roman" w:cs="Times New Roman"/>
          <w:sz w:val="24"/>
          <w:szCs w:val="24"/>
          <w:lang w:eastAsia="en-GB"/>
        </w:rPr>
        <w:lastRenderedPageBreak/>
        <w:t>calcium metabolism and can lead to osteoporosis and skeletal damage. Both lead and cadmium have been shown to induce oxidative stress, damage deoxyribonucleic acid (DNA), and disrupt multiple physiological systems including the endocrine, cardiovascular, and reproductive systems</w:t>
      </w:r>
      <w:r w:rsidR="002410D1">
        <w:rPr>
          <w:rFonts w:ascii="Times New Roman" w:eastAsia="Times New Roman" w:hAnsi="Times New Roman" w:cs="Times New Roman"/>
          <w:sz w:val="24"/>
          <w:szCs w:val="24"/>
          <w:lang w:eastAsia="en-GB"/>
        </w:rPr>
        <w:t xml:space="preserve"> </w:t>
      </w:r>
      <w:r w:rsidR="002410D1" w:rsidRPr="002410D1">
        <w:rPr>
          <w:rFonts w:ascii="Times New Roman" w:eastAsia="Times New Roman" w:hAnsi="Times New Roman" w:cs="Times New Roman"/>
          <w:color w:val="FF0000"/>
          <w:sz w:val="24"/>
          <w:szCs w:val="24"/>
          <w:lang w:eastAsia="en-GB"/>
        </w:rPr>
        <w:t xml:space="preserve">[4].  </w:t>
      </w:r>
    </w:p>
    <w:p w14:paraId="517EE09B" w14:textId="6ED2522B" w:rsidR="001433AE" w:rsidRPr="001433AE" w:rsidRDefault="000420D9" w:rsidP="001433AE">
      <w:pPr>
        <w:spacing w:before="100" w:beforeAutospacing="1" w:after="100" w:afterAutospacing="1" w:line="240" w:lineRule="auto"/>
        <w:jc w:val="both"/>
        <w:rPr>
          <w:rFonts w:ascii="Times New Roman" w:hAnsi="Times New Roman" w:cs="Times New Roman"/>
          <w:color w:val="FF0000"/>
        </w:rPr>
      </w:pPr>
      <w:r w:rsidRPr="000420D9">
        <w:rPr>
          <w:rFonts w:ascii="Times New Roman" w:eastAsia="Times New Roman" w:hAnsi="Times New Roman" w:cs="Times New Roman"/>
          <w:sz w:val="24"/>
          <w:szCs w:val="24"/>
          <w:lang w:eastAsia="en-GB"/>
        </w:rPr>
        <w:t xml:space="preserve">While zinc, copper, and manganese are essential micronutrients required for normal physiological functions, their presence in excessive amounts can be equally harmful. Zinc toxicity manifests as gastrointestinal distress, including nausea, vomiting, and </w:t>
      </w:r>
      <w:r w:rsidR="0080533B" w:rsidRPr="0080533B">
        <w:rPr>
          <w:rFonts w:ascii="Times New Roman" w:eastAsia="Times New Roman" w:hAnsi="Times New Roman" w:cs="Times New Roman"/>
          <w:color w:val="FF0000"/>
          <w:sz w:val="24"/>
          <w:szCs w:val="24"/>
          <w:lang w:eastAsia="en-GB"/>
        </w:rPr>
        <w:t>diarrhoea</w:t>
      </w:r>
      <w:r w:rsidRPr="000420D9">
        <w:rPr>
          <w:rFonts w:ascii="Times New Roman" w:eastAsia="Times New Roman" w:hAnsi="Times New Roman" w:cs="Times New Roman"/>
          <w:sz w:val="24"/>
          <w:szCs w:val="24"/>
          <w:lang w:eastAsia="en-GB"/>
        </w:rPr>
        <w:t>, and can interfere with the absorption of other essential minerals such as iron and copper, leading to secondary deficiencies. Excessive copper intake causes liver damage, neurological problems, and can trigger Wilson's disease-like symptoms. Manganese toxicity primarily affects the central nervous system, potentially causing a condition resembling Parkinson's disease, characterized by tremors, difficulty walking, and facial muscle spasms</w:t>
      </w:r>
      <w:r w:rsidR="00452A18">
        <w:rPr>
          <w:rFonts w:ascii="Times New Roman" w:eastAsia="Times New Roman" w:hAnsi="Times New Roman" w:cs="Times New Roman"/>
          <w:sz w:val="24"/>
          <w:szCs w:val="24"/>
          <w:lang w:eastAsia="en-GB"/>
        </w:rPr>
        <w:t xml:space="preserve"> </w:t>
      </w:r>
      <w:r w:rsidR="00452A18" w:rsidRPr="00452A18">
        <w:rPr>
          <w:rFonts w:ascii="Times New Roman" w:eastAsia="Times New Roman" w:hAnsi="Times New Roman" w:cs="Times New Roman"/>
          <w:color w:val="FF0000"/>
          <w:sz w:val="24"/>
          <w:szCs w:val="24"/>
          <w:lang w:eastAsia="en-GB"/>
        </w:rPr>
        <w:t>[5].</w:t>
      </w:r>
    </w:p>
    <w:p w14:paraId="3D366EE2" w14:textId="7F386CB1"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This research aligns with several United Nations Sustainable Development Goals (SDGs), demonstrating its broader significance beyond immediate health concerns. SDG 2, which focuses on achieving zero hunger and ensuring access to safe and nutritious food, is directly addressed through this study's emphasis on food safety and the identification of contamination risks. SDG 3, promoting good health and wellbeing, is supported by efforts to prevent both acute and chronic health issues arising from heavy metal exposure. The study contributes to SDG 6 on clean water and sanitation by highlighting how contaminated irrigation water can affect food safety. Furthermore, it supports SDG 12 on responsible consumption and production by encouraging safer agricultural practices, including judicious use of fertilizers and pesticides. SDG 13 on climate action is relevant because climate change can influence heavy metal bioavailability in soils, and SDG 15 on life on land is addressed through the promotion of sustainable land use practices that minimize soil contamination.</w:t>
      </w:r>
    </w:p>
    <w:p w14:paraId="0BDB6F81" w14:textId="14DB9CE6" w:rsidR="00983520" w:rsidRPr="00037629" w:rsidRDefault="00653F81" w:rsidP="00037629">
      <w:pPr>
        <w:jc w:val="both"/>
        <w:rPr>
          <w:rFonts w:ascii="Times New Roman" w:hAnsi="Times New Roman" w:cs="Times New Roman"/>
          <w:sz w:val="24"/>
          <w:szCs w:val="24"/>
          <w:lang w:val="en-US"/>
        </w:rPr>
      </w:pPr>
      <w:r w:rsidRPr="00653F81">
        <w:rPr>
          <w:rFonts w:ascii="Times New Roman" w:hAnsi="Times New Roman" w:cs="Times New Roman"/>
          <w:sz w:val="24"/>
          <w:szCs w:val="24"/>
          <w:lang w:val="en-US"/>
        </w:rPr>
        <w:t xml:space="preserve">Despite the growing research knowledge on heavy metals contamination in food </w:t>
      </w:r>
      <w:r w:rsidR="00C87D2E" w:rsidRPr="00653F81">
        <w:rPr>
          <w:rFonts w:ascii="Times New Roman" w:hAnsi="Times New Roman" w:cs="Times New Roman"/>
          <w:sz w:val="24"/>
          <w:szCs w:val="24"/>
          <w:lang w:val="en-US"/>
        </w:rPr>
        <w:t>crops globally</w:t>
      </w:r>
      <w:r w:rsidRPr="00653F81">
        <w:rPr>
          <w:rFonts w:ascii="Times New Roman" w:hAnsi="Times New Roman" w:cs="Times New Roman"/>
          <w:sz w:val="24"/>
          <w:szCs w:val="24"/>
          <w:lang w:val="en-US"/>
        </w:rPr>
        <w:t>, there remains a significant knowledge gap regarding the levels and distribution of these contaminants in Kenyan maize</w:t>
      </w:r>
      <w:r>
        <w:rPr>
          <w:rFonts w:ascii="Times New Roman" w:hAnsi="Times New Roman" w:cs="Times New Roman"/>
          <w:sz w:val="24"/>
          <w:szCs w:val="24"/>
          <w:lang w:val="en-US"/>
        </w:rPr>
        <w:t xml:space="preserve">, </w:t>
      </w:r>
      <w:r w:rsidR="000420D9" w:rsidRPr="000420D9">
        <w:rPr>
          <w:rFonts w:ascii="Times New Roman" w:eastAsia="Times New Roman" w:hAnsi="Times New Roman" w:cs="Times New Roman"/>
          <w:sz w:val="24"/>
          <w:szCs w:val="24"/>
          <w:lang w:eastAsia="en-GB"/>
        </w:rPr>
        <w:t>particularly in specific agricultural regions like Machakos County. Most existing studies have been conducted in other countries, particularly Nigeria and other West African nations</w:t>
      </w:r>
      <w:r w:rsidR="00A06DA9">
        <w:rPr>
          <w:rFonts w:ascii="Times New Roman" w:eastAsia="Times New Roman" w:hAnsi="Times New Roman" w:cs="Times New Roman"/>
          <w:sz w:val="24"/>
          <w:szCs w:val="24"/>
          <w:lang w:eastAsia="en-GB"/>
        </w:rPr>
        <w:t xml:space="preserve"> </w:t>
      </w:r>
      <w:r w:rsidR="00A06DA9" w:rsidRPr="00D87A06">
        <w:rPr>
          <w:rFonts w:ascii="Times New Roman" w:eastAsia="Times New Roman" w:hAnsi="Times New Roman" w:cs="Times New Roman"/>
          <w:color w:val="FF0000"/>
          <w:sz w:val="24"/>
          <w:szCs w:val="24"/>
          <w:lang w:eastAsia="en-GB"/>
        </w:rPr>
        <w:t>[5]</w:t>
      </w:r>
      <w:r w:rsidR="000420D9" w:rsidRPr="00D87A06">
        <w:rPr>
          <w:rFonts w:ascii="Times New Roman" w:eastAsia="Times New Roman" w:hAnsi="Times New Roman" w:cs="Times New Roman"/>
          <w:color w:val="FF0000"/>
          <w:sz w:val="24"/>
          <w:szCs w:val="24"/>
          <w:lang w:eastAsia="en-GB"/>
        </w:rPr>
        <w:t xml:space="preserve">, </w:t>
      </w:r>
      <w:r w:rsidR="000420D9" w:rsidRPr="000420D9">
        <w:rPr>
          <w:rFonts w:ascii="Times New Roman" w:eastAsia="Times New Roman" w:hAnsi="Times New Roman" w:cs="Times New Roman"/>
          <w:sz w:val="24"/>
          <w:szCs w:val="24"/>
          <w:lang w:eastAsia="en-GB"/>
        </w:rPr>
        <w:t xml:space="preserve">leaving East African contexts understudied. Additionally, limited analytical capacity in terms of laboratory infrastructure and sophisticated instrumentation has hindered comprehensive food safety monitoring in Kenya. There is also insufficient public awareness regarding heavy metal contamination risks among farming communities and consumers, which perpetuates unsafe agricultural practices and consumption </w:t>
      </w:r>
      <w:r w:rsidR="00037629" w:rsidRPr="000420D9">
        <w:rPr>
          <w:rFonts w:ascii="Times New Roman" w:eastAsia="Times New Roman" w:hAnsi="Times New Roman" w:cs="Times New Roman"/>
          <w:sz w:val="24"/>
          <w:szCs w:val="24"/>
          <w:lang w:eastAsia="en-GB"/>
        </w:rPr>
        <w:t>patterns.</w:t>
      </w:r>
    </w:p>
    <w:p w14:paraId="5602031B" w14:textId="1BF530F1" w:rsidR="00983520" w:rsidRPr="001433AE" w:rsidRDefault="00983520" w:rsidP="001433AE">
      <w:pPr>
        <w:jc w:val="both"/>
        <w:rPr>
          <w:rFonts w:ascii="Times New Roman" w:hAnsi="Times New Roman" w:cs="Times New Roman"/>
          <w:sz w:val="24"/>
          <w:szCs w:val="24"/>
          <w:lang w:val="en-US"/>
        </w:rPr>
      </w:pPr>
      <w:r w:rsidRPr="00FA464D">
        <w:rPr>
          <w:rFonts w:ascii="Times New Roman" w:hAnsi="Times New Roman" w:cs="Times New Roman"/>
          <w:color w:val="FF0000"/>
          <w:sz w:val="24"/>
          <w:szCs w:val="24"/>
          <w:lang w:val="en-US"/>
        </w:rPr>
        <w:t xml:space="preserve">This study aimed to address the safety of maize (Zea </w:t>
      </w:r>
      <w:r w:rsidR="0098664C" w:rsidRPr="00FA464D">
        <w:rPr>
          <w:rFonts w:ascii="Times New Roman" w:hAnsi="Times New Roman" w:cs="Times New Roman"/>
          <w:color w:val="FF0000"/>
          <w:sz w:val="24"/>
          <w:szCs w:val="24"/>
          <w:lang w:val="en-US"/>
        </w:rPr>
        <w:t>mays)</w:t>
      </w:r>
      <w:r w:rsidRPr="00FA464D">
        <w:rPr>
          <w:rFonts w:ascii="Times New Roman" w:hAnsi="Times New Roman" w:cs="Times New Roman"/>
          <w:color w:val="FF0000"/>
          <w:sz w:val="24"/>
          <w:szCs w:val="24"/>
          <w:lang w:val="en-US"/>
        </w:rPr>
        <w:t xml:space="preserve"> for human consumption by assessing the levels of lead, cadmium, zinc, copper and Manganese in three popular maize varieties cultivated </w:t>
      </w:r>
      <w:r w:rsidR="00A501C4" w:rsidRPr="00FA464D">
        <w:rPr>
          <w:rFonts w:ascii="Times New Roman" w:hAnsi="Times New Roman" w:cs="Times New Roman"/>
          <w:color w:val="FF0000"/>
          <w:sz w:val="24"/>
          <w:szCs w:val="24"/>
          <w:lang w:val="en-US"/>
        </w:rPr>
        <w:t xml:space="preserve">in </w:t>
      </w:r>
      <w:r w:rsidR="00A501C4" w:rsidRPr="00FA464D">
        <w:rPr>
          <w:rFonts w:ascii="Times New Roman" w:eastAsia="Times New Roman" w:hAnsi="Times New Roman" w:cs="Times New Roman"/>
          <w:color w:val="FF0000"/>
          <w:sz w:val="24"/>
          <w:szCs w:val="24"/>
          <w:lang w:eastAsia="en-GB"/>
        </w:rPr>
        <w:t>Masii</w:t>
      </w:r>
      <w:r w:rsidRPr="00FA464D">
        <w:rPr>
          <w:rFonts w:ascii="Times New Roman" w:eastAsia="Times New Roman" w:hAnsi="Times New Roman" w:cs="Times New Roman"/>
          <w:color w:val="FF0000"/>
          <w:sz w:val="24"/>
          <w:szCs w:val="24"/>
          <w:lang w:eastAsia="en-GB"/>
        </w:rPr>
        <w:t xml:space="preserve"> </w:t>
      </w:r>
      <w:r w:rsidR="00EC0ACD">
        <w:rPr>
          <w:rFonts w:ascii="Times New Roman" w:eastAsia="Times New Roman" w:hAnsi="Times New Roman" w:cs="Times New Roman"/>
          <w:color w:val="FF0000"/>
          <w:sz w:val="24"/>
          <w:szCs w:val="24"/>
          <w:lang w:eastAsia="en-GB"/>
        </w:rPr>
        <w:t>Ward</w:t>
      </w:r>
      <w:r w:rsidRPr="00FA464D">
        <w:rPr>
          <w:rFonts w:ascii="Times New Roman" w:eastAsia="Times New Roman" w:hAnsi="Times New Roman" w:cs="Times New Roman"/>
          <w:color w:val="FF0000"/>
          <w:sz w:val="24"/>
          <w:szCs w:val="24"/>
          <w:lang w:eastAsia="en-GB"/>
        </w:rPr>
        <w:t>, Machakos County.</w:t>
      </w:r>
      <w:r w:rsidR="00487CB2" w:rsidRPr="00FA464D">
        <w:rPr>
          <w:rFonts w:ascii="Times New Roman" w:hAnsi="Times New Roman" w:cs="Times New Roman"/>
          <w:color w:val="FF0000"/>
          <w:sz w:val="24"/>
          <w:szCs w:val="24"/>
          <w:lang w:val="en-US"/>
        </w:rPr>
        <w:t xml:space="preserve"> While SC Duma 43 and SC Sungura 301 are engineered </w:t>
      </w:r>
      <w:r w:rsidR="00A501C4" w:rsidRPr="00FA464D">
        <w:rPr>
          <w:rFonts w:ascii="Times New Roman" w:hAnsi="Times New Roman" w:cs="Times New Roman"/>
          <w:color w:val="FF0000"/>
          <w:sz w:val="24"/>
          <w:szCs w:val="24"/>
          <w:lang w:val="en-US"/>
        </w:rPr>
        <w:t xml:space="preserve">hybrids </w:t>
      </w:r>
      <w:r w:rsidR="00487CB2" w:rsidRPr="00FA464D">
        <w:rPr>
          <w:rFonts w:ascii="Times New Roman" w:hAnsi="Times New Roman" w:cs="Times New Roman"/>
          <w:color w:val="FF0000"/>
          <w:sz w:val="24"/>
          <w:szCs w:val="24"/>
          <w:lang w:val="en-US"/>
        </w:rPr>
        <w:t>for rapid maturity and superior drought tolerance 90-100 days for Duma 43, 75-85 days for Sungura 301, traditional landraces like Kamba (Kinyaanya) maize often have different genetic structures that affect their stress response and uptake of soil contaminants</w:t>
      </w:r>
      <w:r w:rsidR="00A501C4" w:rsidRPr="00FA464D">
        <w:rPr>
          <w:rFonts w:ascii="Times New Roman" w:hAnsi="Times New Roman" w:cs="Times New Roman"/>
          <w:color w:val="FF0000"/>
          <w:sz w:val="24"/>
          <w:szCs w:val="24"/>
          <w:lang w:val="en-US"/>
        </w:rPr>
        <w:t>.</w:t>
      </w:r>
      <w:r w:rsidR="00037629" w:rsidRPr="00FA464D">
        <w:rPr>
          <w:rFonts w:ascii="Times New Roman" w:hAnsi="Times New Roman" w:cs="Times New Roman"/>
          <w:color w:val="FF0000"/>
          <w:sz w:val="24"/>
          <w:szCs w:val="24"/>
          <w:lang w:val="en-US"/>
        </w:rPr>
        <w:t xml:space="preserve"> Furthermore, by comparing measured heavy metals levels against Maximum Residue Limits (MRLs) established by WHO, FAO, and KEBS, th</w:t>
      </w:r>
      <w:r w:rsidR="00D87A06">
        <w:rPr>
          <w:rFonts w:ascii="Times New Roman" w:hAnsi="Times New Roman" w:cs="Times New Roman"/>
          <w:color w:val="FF0000"/>
          <w:sz w:val="24"/>
          <w:szCs w:val="24"/>
          <w:lang w:val="en-US"/>
        </w:rPr>
        <w:t>is</w:t>
      </w:r>
      <w:r w:rsidR="00037629" w:rsidRPr="00FA464D">
        <w:rPr>
          <w:rFonts w:ascii="Times New Roman" w:hAnsi="Times New Roman" w:cs="Times New Roman"/>
          <w:color w:val="FF0000"/>
          <w:sz w:val="24"/>
          <w:szCs w:val="24"/>
          <w:lang w:val="en-US"/>
        </w:rPr>
        <w:t xml:space="preserve"> study assessed food safety and potential consumer health risks</w:t>
      </w:r>
      <w:r w:rsidR="00EC0ACD">
        <w:rPr>
          <w:rFonts w:ascii="Times New Roman" w:hAnsi="Times New Roman" w:cs="Times New Roman"/>
          <w:color w:val="FF0000"/>
          <w:sz w:val="24"/>
          <w:szCs w:val="24"/>
          <w:lang w:val="en-US"/>
        </w:rPr>
        <w:t xml:space="preserve"> in Masii Ward, Mwala Sub County</w:t>
      </w:r>
      <w:r w:rsidR="00EC0ACD">
        <w:rPr>
          <w:rFonts w:ascii="Times New Roman" w:hAnsi="Times New Roman" w:cs="Times New Roman"/>
          <w:sz w:val="24"/>
          <w:szCs w:val="24"/>
          <w:lang w:val="en-US"/>
        </w:rPr>
        <w:t xml:space="preserve">, </w:t>
      </w:r>
      <w:r w:rsidR="00EC0ACD" w:rsidRPr="00EC0ACD">
        <w:rPr>
          <w:rFonts w:ascii="Times New Roman" w:hAnsi="Times New Roman" w:cs="Times New Roman"/>
          <w:color w:val="FF0000"/>
          <w:sz w:val="24"/>
          <w:szCs w:val="24"/>
          <w:lang w:val="en-US"/>
        </w:rPr>
        <w:t>Machakos County</w:t>
      </w:r>
      <w:r w:rsidR="00EC0ACD">
        <w:rPr>
          <w:rFonts w:ascii="Times New Roman" w:hAnsi="Times New Roman" w:cs="Times New Roman"/>
          <w:sz w:val="24"/>
          <w:szCs w:val="24"/>
          <w:lang w:val="en-US"/>
        </w:rPr>
        <w:t>.</w:t>
      </w:r>
    </w:p>
    <w:p w14:paraId="3B6846AC" w14:textId="1C5D7319"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t>
      </w:r>
    </w:p>
    <w:p w14:paraId="2A6C02F0" w14:textId="7777777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lastRenderedPageBreak/>
        <w:t xml:space="preserve">1.2 </w:t>
      </w:r>
      <w:r w:rsidRPr="000420D9">
        <w:rPr>
          <w:rFonts w:ascii="Times New Roman" w:eastAsia="Times New Roman" w:hAnsi="Times New Roman" w:cs="Times New Roman"/>
          <w:b/>
          <w:bCs/>
          <w:sz w:val="24"/>
          <w:szCs w:val="24"/>
          <w:lang w:eastAsia="en-GB"/>
        </w:rPr>
        <w:t>Statement of the Problem</w:t>
      </w:r>
    </w:p>
    <w:p w14:paraId="38DED701" w14:textId="4ECAC06E" w:rsidR="00D43062" w:rsidRPr="00D87A06" w:rsidRDefault="000420D9" w:rsidP="00D43062">
      <w:pPr>
        <w:spacing w:line="240" w:lineRule="auto"/>
        <w:jc w:val="both"/>
        <w:rPr>
          <w:rFonts w:ascii="Times New Roman" w:hAnsi="Times New Roman" w:cs="Times New Roman"/>
          <w:color w:val="FF0000"/>
        </w:rPr>
      </w:pPr>
      <w:r w:rsidRPr="000420D9">
        <w:rPr>
          <w:rFonts w:ascii="Times New Roman" w:eastAsia="Times New Roman" w:hAnsi="Times New Roman" w:cs="Times New Roman"/>
          <w:sz w:val="24"/>
          <w:szCs w:val="24"/>
          <w:lang w:eastAsia="en-GB"/>
        </w:rPr>
        <w:t>Maize constitutes the primary staple food for the majority of Kenyan households, with particularly high consumption rates in rural and peri-urban communities. However, the potential for heavy metal accumulation in maize grains from contaminated agricultural soils presents a serious but often overlooked public health threat</w:t>
      </w:r>
      <w:r w:rsidR="004A0F6A">
        <w:rPr>
          <w:rFonts w:ascii="Times New Roman" w:eastAsia="Times New Roman" w:hAnsi="Times New Roman" w:cs="Times New Roman"/>
          <w:sz w:val="24"/>
          <w:szCs w:val="24"/>
          <w:lang w:eastAsia="en-GB"/>
        </w:rPr>
        <w:t xml:space="preserve"> </w:t>
      </w:r>
      <w:r w:rsidR="00D87A06" w:rsidRPr="00D87A06">
        <w:rPr>
          <w:rFonts w:ascii="Times New Roman" w:eastAsia="Times New Roman" w:hAnsi="Times New Roman" w:cs="Times New Roman"/>
          <w:color w:val="FF0000"/>
          <w:sz w:val="24"/>
          <w:szCs w:val="24"/>
          <w:lang w:eastAsia="en-GB"/>
        </w:rPr>
        <w:t>[1]</w:t>
      </w:r>
    </w:p>
    <w:p w14:paraId="0CB96B7C" w14:textId="01A8D7D9" w:rsidR="000420D9" w:rsidRPr="00D43062" w:rsidRDefault="000420D9" w:rsidP="00D43062">
      <w:pPr>
        <w:spacing w:line="240" w:lineRule="auto"/>
        <w:jc w:val="both"/>
        <w:rPr>
          <w:rFonts w:ascii="Times New Roman" w:hAnsi="Times New Roman" w:cs="Times New Roman"/>
        </w:rPr>
      </w:pPr>
      <w:r w:rsidRPr="000420D9">
        <w:rPr>
          <w:rFonts w:ascii="Times New Roman" w:eastAsia="Times New Roman" w:hAnsi="Times New Roman" w:cs="Times New Roman"/>
          <w:sz w:val="24"/>
          <w:szCs w:val="24"/>
          <w:lang w:eastAsia="en-GB"/>
        </w:rPr>
        <w:t xml:space="preserve">In Machakos County, farmers cultivate maize in areas that may be exposed to various sources of heavy metal contamination, including long-term use of synthetic fertilizers, proximity to urban </w:t>
      </w:r>
      <w:r w:rsidR="001433AE" w:rsidRPr="000420D9">
        <w:rPr>
          <w:rFonts w:ascii="Times New Roman" w:eastAsia="Times New Roman" w:hAnsi="Times New Roman" w:cs="Times New Roman"/>
          <w:sz w:val="24"/>
          <w:szCs w:val="24"/>
          <w:lang w:eastAsia="en-GB"/>
        </w:rPr>
        <w:t>centres</w:t>
      </w:r>
      <w:r w:rsidRPr="000420D9">
        <w:rPr>
          <w:rFonts w:ascii="Times New Roman" w:eastAsia="Times New Roman" w:hAnsi="Times New Roman" w:cs="Times New Roman"/>
          <w:sz w:val="24"/>
          <w:szCs w:val="24"/>
          <w:lang w:eastAsia="en-GB"/>
        </w:rPr>
        <w:t xml:space="preserve"> with industrial activities, and irrigation with potentially contaminated water sources</w:t>
      </w:r>
      <w:r w:rsidR="00D87A06">
        <w:rPr>
          <w:rFonts w:ascii="Times New Roman" w:eastAsia="Times New Roman" w:hAnsi="Times New Roman" w:cs="Times New Roman"/>
          <w:sz w:val="24"/>
          <w:szCs w:val="24"/>
          <w:lang w:eastAsia="en-GB"/>
        </w:rPr>
        <w:t xml:space="preserve"> </w:t>
      </w:r>
      <w:r w:rsidR="00D87A06" w:rsidRPr="00D87A06">
        <w:rPr>
          <w:rFonts w:ascii="Times New Roman" w:eastAsia="Times New Roman" w:hAnsi="Times New Roman" w:cs="Times New Roman"/>
          <w:color w:val="FF0000"/>
          <w:sz w:val="24"/>
          <w:szCs w:val="24"/>
          <w:lang w:eastAsia="en-GB"/>
        </w:rPr>
        <w:t>[6].</w:t>
      </w:r>
    </w:p>
    <w:p w14:paraId="405D33A9" w14:textId="236CFB85"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Reports of unexplained health problems among local populations have emerged, yet these ailments have not been systematically investigated or linked to specific causal agents</w:t>
      </w:r>
      <w:r w:rsidR="00D87A06">
        <w:rPr>
          <w:rFonts w:ascii="Times New Roman" w:eastAsia="Times New Roman" w:hAnsi="Times New Roman" w:cs="Times New Roman"/>
          <w:sz w:val="24"/>
          <w:szCs w:val="24"/>
          <w:lang w:eastAsia="en-GB"/>
        </w:rPr>
        <w:t xml:space="preserve"> </w:t>
      </w:r>
      <w:r w:rsidR="00D87A06" w:rsidRPr="00D87A06">
        <w:rPr>
          <w:rFonts w:ascii="Times New Roman" w:eastAsia="Times New Roman" w:hAnsi="Times New Roman" w:cs="Times New Roman"/>
          <w:color w:val="FF0000"/>
          <w:sz w:val="24"/>
          <w:szCs w:val="24"/>
          <w:lang w:eastAsia="en-GB"/>
        </w:rPr>
        <w:t>[7].</w:t>
      </w:r>
      <w:r w:rsidRPr="00D87A06">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While some preliminary studies have suggested associations between heavy metal-contaminated food consumption and various health conditions, comprehensive research specifically focused on maize from Machakos County has not been conducted. This knowledge gap is particularly concerning given that heavy metals such as lead, cadmium, copper, zinc, and manganese can cause devastating health effects ranging from neurological damage and developmental delays in children to cardiovascular disease, kidney failure, and cancer in adults.</w:t>
      </w:r>
    </w:p>
    <w:p w14:paraId="5293BC66" w14:textId="2E7569DE"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situation is further complicated by the fact that different maize varieties may accumulate heavy metals at different rates, meaning that some commonly planted hybrids or traditional varieties could pose greater risks than others</w:t>
      </w:r>
      <w:r w:rsidR="00245EE8">
        <w:rPr>
          <w:rFonts w:ascii="Times New Roman" w:eastAsia="Times New Roman" w:hAnsi="Times New Roman" w:cs="Times New Roman"/>
          <w:sz w:val="24"/>
          <w:szCs w:val="24"/>
          <w:lang w:eastAsia="en-GB"/>
        </w:rPr>
        <w:t xml:space="preserve"> </w:t>
      </w:r>
      <w:r w:rsidR="00245EE8" w:rsidRPr="00245EE8">
        <w:rPr>
          <w:rFonts w:ascii="Times New Roman" w:eastAsia="Times New Roman" w:hAnsi="Times New Roman" w:cs="Times New Roman"/>
          <w:color w:val="FF0000"/>
          <w:sz w:val="24"/>
          <w:szCs w:val="24"/>
          <w:lang w:eastAsia="en-GB"/>
        </w:rPr>
        <w:t>[7]</w:t>
      </w:r>
      <w:r w:rsidRPr="00245EE8">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Without adequate data on heavy metal levels in locally consumed maize varieties, it is impossible to make informed decisions about food safety, implement appropriate interventions, or provide evidence-based guidance to farming communities. There is therefore an urgent need to conduct detailed assessments of heavy metal contamination in maize seeds from Machakos County to protect public health and inform agricultural and food safety policies.</w:t>
      </w:r>
    </w:p>
    <w:p w14:paraId="496B961F" w14:textId="4078BE97"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1.</w:t>
      </w:r>
      <w:r w:rsidR="001433AE" w:rsidRPr="00BB15F1">
        <w:rPr>
          <w:rFonts w:ascii="Times New Roman" w:eastAsia="Times New Roman" w:hAnsi="Times New Roman" w:cs="Times New Roman"/>
          <w:b/>
          <w:bCs/>
          <w:color w:val="FF0000"/>
          <w:sz w:val="24"/>
          <w:szCs w:val="24"/>
          <w:lang w:eastAsia="en-GB"/>
        </w:rPr>
        <w:t>3</w:t>
      </w:r>
      <w:r w:rsidRPr="00BB15F1">
        <w:rPr>
          <w:rFonts w:ascii="Times New Roman" w:eastAsia="Times New Roman" w:hAnsi="Times New Roman" w:cs="Times New Roman"/>
          <w:b/>
          <w:bCs/>
          <w:color w:val="FF0000"/>
          <w:sz w:val="24"/>
          <w:szCs w:val="24"/>
          <w:lang w:eastAsia="en-GB"/>
        </w:rPr>
        <w:t xml:space="preserve"> </w:t>
      </w:r>
      <w:r w:rsidRPr="000420D9">
        <w:rPr>
          <w:rFonts w:ascii="Times New Roman" w:eastAsia="Times New Roman" w:hAnsi="Times New Roman" w:cs="Times New Roman"/>
          <w:b/>
          <w:bCs/>
          <w:sz w:val="24"/>
          <w:szCs w:val="24"/>
          <w:lang w:eastAsia="en-GB"/>
        </w:rPr>
        <w:t>General Objective</w:t>
      </w:r>
    </w:p>
    <w:p w14:paraId="3F6B05CB" w14:textId="5076D8B5"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general objective of this study was to determine the levels of heavy metals in SC Duma 43, SC Sungura 301 hybrid, and Indigenous Kamba (Kinyaanya) maize seeds </w:t>
      </w:r>
      <w:r w:rsidR="003C49B8">
        <w:rPr>
          <w:rFonts w:ascii="Times New Roman" w:eastAsia="Times New Roman" w:hAnsi="Times New Roman" w:cs="Times New Roman"/>
          <w:sz w:val="24"/>
          <w:szCs w:val="24"/>
          <w:lang w:eastAsia="en-GB"/>
        </w:rPr>
        <w:t>from</w:t>
      </w:r>
      <w:r w:rsidR="003C49B8" w:rsidRPr="000420D9">
        <w:rPr>
          <w:rFonts w:ascii="Times New Roman" w:eastAsia="Times New Roman" w:hAnsi="Times New Roman" w:cs="Times New Roman"/>
          <w:sz w:val="24"/>
          <w:szCs w:val="24"/>
          <w:lang w:eastAsia="en-GB"/>
        </w:rPr>
        <w:t xml:space="preserve"> </w:t>
      </w:r>
      <w:r w:rsidR="003C49B8" w:rsidRPr="00DA6CDE">
        <w:rPr>
          <w:rFonts w:ascii="Times New Roman" w:eastAsia="Times New Roman" w:hAnsi="Times New Roman" w:cs="Times New Roman"/>
          <w:color w:val="FF0000"/>
          <w:sz w:val="24"/>
          <w:szCs w:val="24"/>
          <w:lang w:eastAsia="en-GB"/>
        </w:rPr>
        <w:t>farms</w:t>
      </w:r>
      <w:r w:rsidR="00DA6CDE" w:rsidRPr="00DA6CDE">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in Masii </w:t>
      </w:r>
      <w:r w:rsidR="00EC0ACD" w:rsidRPr="00EC0ACD">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Mwala Sub-County, Machakos County, Kenya.</w:t>
      </w:r>
    </w:p>
    <w:p w14:paraId="07CA111E" w14:textId="4100556A" w:rsidR="000420D9" w:rsidRPr="000420D9" w:rsidRDefault="000420D9"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1.</w:t>
      </w:r>
      <w:r w:rsidR="001433AE" w:rsidRPr="00BB15F1">
        <w:rPr>
          <w:rFonts w:ascii="Times New Roman" w:eastAsia="Times New Roman" w:hAnsi="Times New Roman" w:cs="Times New Roman"/>
          <w:b/>
          <w:bCs/>
          <w:color w:val="FF0000"/>
          <w:sz w:val="24"/>
          <w:szCs w:val="24"/>
          <w:lang w:eastAsia="en-GB"/>
        </w:rPr>
        <w:t>3</w:t>
      </w:r>
      <w:r w:rsidRPr="00BB15F1">
        <w:rPr>
          <w:rFonts w:ascii="Times New Roman" w:eastAsia="Times New Roman" w:hAnsi="Times New Roman" w:cs="Times New Roman"/>
          <w:b/>
          <w:bCs/>
          <w:color w:val="FF0000"/>
          <w:sz w:val="24"/>
          <w:szCs w:val="24"/>
          <w:lang w:eastAsia="en-GB"/>
        </w:rPr>
        <w:t xml:space="preserve">.1 </w:t>
      </w:r>
      <w:r w:rsidRPr="000420D9">
        <w:rPr>
          <w:rFonts w:ascii="Times New Roman" w:eastAsia="Times New Roman" w:hAnsi="Times New Roman" w:cs="Times New Roman"/>
          <w:b/>
          <w:bCs/>
          <w:sz w:val="24"/>
          <w:szCs w:val="24"/>
          <w:lang w:eastAsia="en-GB"/>
        </w:rPr>
        <w:t>Specific Objectives</w:t>
      </w:r>
    </w:p>
    <w:p w14:paraId="6DFF739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specific objectives of this study were to:</w:t>
      </w:r>
    </w:p>
    <w:p w14:paraId="0151CB79" w14:textId="15B9902D" w:rsidR="0074608E" w:rsidRDefault="000420D9" w:rsidP="0038231D">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74608E">
        <w:rPr>
          <w:rFonts w:ascii="Times New Roman" w:eastAsia="Times New Roman" w:hAnsi="Times New Roman" w:cs="Times New Roman"/>
          <w:sz w:val="24"/>
          <w:szCs w:val="24"/>
          <w:lang w:eastAsia="en-GB"/>
        </w:rPr>
        <w:t xml:space="preserve">Determine the </w:t>
      </w:r>
      <w:r w:rsidR="00DA6CDE" w:rsidRPr="0074608E">
        <w:rPr>
          <w:rFonts w:ascii="Times New Roman" w:eastAsia="Times New Roman" w:hAnsi="Times New Roman" w:cs="Times New Roman"/>
          <w:sz w:val="24"/>
          <w:szCs w:val="24"/>
          <w:lang w:eastAsia="en-GB"/>
        </w:rPr>
        <w:t>levels</w:t>
      </w:r>
      <w:r w:rsidRPr="0074608E">
        <w:rPr>
          <w:rFonts w:ascii="Times New Roman" w:eastAsia="Times New Roman" w:hAnsi="Times New Roman" w:cs="Times New Roman"/>
          <w:sz w:val="24"/>
          <w:szCs w:val="24"/>
          <w:lang w:eastAsia="en-GB"/>
        </w:rPr>
        <w:t xml:space="preserve"> of lead, cadmium, zinc, copper, and manganese in SC Duma 43, SC Sungura 301 hybrid, and Indigenous Kamba (Kinyaanya) maize seeds from selected farms in Masii </w:t>
      </w:r>
      <w:r w:rsidR="00E23AA2" w:rsidRPr="00EC0ACD">
        <w:rPr>
          <w:rFonts w:ascii="Times New Roman" w:eastAsia="Times New Roman" w:hAnsi="Times New Roman" w:cs="Times New Roman"/>
          <w:color w:val="FF0000"/>
          <w:sz w:val="24"/>
          <w:szCs w:val="24"/>
          <w:lang w:eastAsia="en-GB"/>
        </w:rPr>
        <w:t>Ward</w:t>
      </w:r>
      <w:r w:rsidRPr="0074608E">
        <w:rPr>
          <w:rFonts w:ascii="Times New Roman" w:eastAsia="Times New Roman" w:hAnsi="Times New Roman" w:cs="Times New Roman"/>
          <w:sz w:val="24"/>
          <w:szCs w:val="24"/>
          <w:lang w:eastAsia="en-GB"/>
        </w:rPr>
        <w:t>, Mach</w:t>
      </w:r>
      <w:r w:rsidR="00E23AA2">
        <w:rPr>
          <w:rFonts w:ascii="Times New Roman" w:eastAsia="Times New Roman" w:hAnsi="Times New Roman" w:cs="Times New Roman"/>
          <w:sz w:val="24"/>
          <w:szCs w:val="24"/>
          <w:lang w:eastAsia="en-GB"/>
        </w:rPr>
        <w:t>akos</w:t>
      </w:r>
      <w:r w:rsidRPr="0074608E">
        <w:rPr>
          <w:rFonts w:ascii="Times New Roman" w:eastAsia="Times New Roman" w:hAnsi="Times New Roman" w:cs="Times New Roman"/>
          <w:sz w:val="24"/>
          <w:szCs w:val="24"/>
          <w:lang w:eastAsia="en-GB"/>
        </w:rPr>
        <w:t xml:space="preserve"> County.</w:t>
      </w:r>
    </w:p>
    <w:p w14:paraId="588AC67A" w14:textId="77777777" w:rsidR="0074608E" w:rsidRDefault="000420D9" w:rsidP="0038231D">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74608E">
        <w:rPr>
          <w:rFonts w:ascii="Times New Roman" w:eastAsia="Times New Roman" w:hAnsi="Times New Roman" w:cs="Times New Roman"/>
          <w:sz w:val="24"/>
          <w:szCs w:val="24"/>
          <w:lang w:eastAsia="en-GB"/>
        </w:rPr>
        <w:t xml:space="preserve">Compare the heavy metal levels </w:t>
      </w:r>
      <w:r w:rsidR="00DA6CDE" w:rsidRPr="0074608E">
        <w:rPr>
          <w:rFonts w:ascii="Times New Roman" w:eastAsia="Times New Roman" w:hAnsi="Times New Roman" w:cs="Times New Roman"/>
          <w:sz w:val="24"/>
          <w:szCs w:val="24"/>
          <w:lang w:eastAsia="en-GB"/>
        </w:rPr>
        <w:t>in</w:t>
      </w:r>
      <w:r w:rsidRPr="0074608E">
        <w:rPr>
          <w:rFonts w:ascii="Times New Roman" w:eastAsia="Times New Roman" w:hAnsi="Times New Roman" w:cs="Times New Roman"/>
          <w:sz w:val="24"/>
          <w:szCs w:val="24"/>
          <w:lang w:eastAsia="en-GB"/>
        </w:rPr>
        <w:t xml:space="preserve"> the three different maize seed varieties to identify varietal differences in metal accumulation.</w:t>
      </w:r>
    </w:p>
    <w:p w14:paraId="46D6D192" w14:textId="67617A11" w:rsidR="000420D9" w:rsidRPr="0074608E" w:rsidRDefault="000420D9" w:rsidP="0038231D">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74608E">
        <w:rPr>
          <w:rFonts w:ascii="Times New Roman" w:eastAsia="Times New Roman" w:hAnsi="Times New Roman" w:cs="Times New Roman"/>
          <w:sz w:val="24"/>
          <w:szCs w:val="24"/>
          <w:lang w:eastAsia="en-GB"/>
        </w:rPr>
        <w:t xml:space="preserve">Evaluate the potential health risks associated with consumption of the </w:t>
      </w:r>
      <w:r w:rsidR="0074608E" w:rsidRPr="0074608E">
        <w:rPr>
          <w:rFonts w:ascii="Times New Roman" w:eastAsia="Times New Roman" w:hAnsi="Times New Roman" w:cs="Times New Roman"/>
          <w:sz w:val="24"/>
          <w:szCs w:val="24"/>
          <w:lang w:eastAsia="en-GB"/>
        </w:rPr>
        <w:t>analysed</w:t>
      </w:r>
      <w:r w:rsidRPr="0074608E">
        <w:rPr>
          <w:rFonts w:ascii="Times New Roman" w:eastAsia="Times New Roman" w:hAnsi="Times New Roman" w:cs="Times New Roman"/>
          <w:sz w:val="24"/>
          <w:szCs w:val="24"/>
          <w:lang w:eastAsia="en-GB"/>
        </w:rPr>
        <w:t xml:space="preserve"> maize varieties based on their heavy metal content.</w:t>
      </w:r>
    </w:p>
    <w:p w14:paraId="3A32BB83" w14:textId="2476E330" w:rsidR="000420D9" w:rsidRPr="000420D9" w:rsidRDefault="000420D9"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1.</w:t>
      </w:r>
      <w:r w:rsidR="00843F5E" w:rsidRPr="00BB15F1">
        <w:rPr>
          <w:rFonts w:ascii="Times New Roman" w:eastAsia="Times New Roman" w:hAnsi="Times New Roman" w:cs="Times New Roman"/>
          <w:b/>
          <w:bCs/>
          <w:color w:val="FF0000"/>
          <w:sz w:val="24"/>
          <w:szCs w:val="24"/>
          <w:lang w:eastAsia="en-GB"/>
        </w:rPr>
        <w:t>4</w:t>
      </w:r>
      <w:r w:rsidRPr="00BB15F1">
        <w:rPr>
          <w:rFonts w:ascii="Times New Roman" w:eastAsia="Times New Roman" w:hAnsi="Times New Roman" w:cs="Times New Roman"/>
          <w:b/>
          <w:bCs/>
          <w:color w:val="FF0000"/>
          <w:sz w:val="24"/>
          <w:szCs w:val="24"/>
          <w:lang w:eastAsia="en-GB"/>
        </w:rPr>
        <w:t xml:space="preserve"> </w:t>
      </w:r>
      <w:r w:rsidRPr="000420D9">
        <w:rPr>
          <w:rFonts w:ascii="Times New Roman" w:eastAsia="Times New Roman" w:hAnsi="Times New Roman" w:cs="Times New Roman"/>
          <w:b/>
          <w:bCs/>
          <w:sz w:val="24"/>
          <w:szCs w:val="24"/>
          <w:lang w:eastAsia="en-GB"/>
        </w:rPr>
        <w:t xml:space="preserve">Justification </w:t>
      </w:r>
      <w:r w:rsidR="003C49B8">
        <w:rPr>
          <w:rFonts w:ascii="Times New Roman" w:eastAsia="Times New Roman" w:hAnsi="Times New Roman" w:cs="Times New Roman"/>
          <w:b/>
          <w:bCs/>
          <w:sz w:val="24"/>
          <w:szCs w:val="24"/>
          <w:lang w:eastAsia="en-GB"/>
        </w:rPr>
        <w:t>and s</w:t>
      </w:r>
      <w:r w:rsidR="003C49B8" w:rsidRPr="003C49B8">
        <w:rPr>
          <w:rFonts w:ascii="Times New Roman" w:eastAsia="Times New Roman" w:hAnsi="Times New Roman" w:cs="Times New Roman"/>
          <w:b/>
          <w:bCs/>
          <w:color w:val="FF0000"/>
          <w:sz w:val="24"/>
          <w:szCs w:val="24"/>
          <w:lang w:eastAsia="en-GB"/>
        </w:rPr>
        <w:t>ignificance</w:t>
      </w:r>
      <w:r w:rsidR="003C49B8">
        <w:rPr>
          <w:rFonts w:ascii="Times New Roman" w:eastAsia="Times New Roman" w:hAnsi="Times New Roman" w:cs="Times New Roman"/>
          <w:b/>
          <w:bCs/>
          <w:sz w:val="24"/>
          <w:szCs w:val="24"/>
          <w:lang w:eastAsia="en-GB"/>
        </w:rPr>
        <w:t xml:space="preserve"> </w:t>
      </w:r>
      <w:r w:rsidRPr="000420D9">
        <w:rPr>
          <w:rFonts w:ascii="Times New Roman" w:eastAsia="Times New Roman" w:hAnsi="Times New Roman" w:cs="Times New Roman"/>
          <w:b/>
          <w:bCs/>
          <w:sz w:val="24"/>
          <w:szCs w:val="24"/>
          <w:lang w:eastAsia="en-GB"/>
        </w:rPr>
        <w:t>of the Study</w:t>
      </w:r>
    </w:p>
    <w:p w14:paraId="0949307A" w14:textId="2C720A35" w:rsidR="00D25D78" w:rsidRPr="000420D9" w:rsidRDefault="00D25D78"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This study addressed a critical knowledge gap regarding food safety and heavy metal contamination in one of Kenya’s most important maize-producing regions. The findings provide</w:t>
      </w:r>
      <w:r w:rsidR="007A2E2D">
        <w:rPr>
          <w:rFonts w:ascii="Times New Roman" w:eastAsia="Times New Roman" w:hAnsi="Times New Roman" w:cs="Times New Roman"/>
          <w:sz w:val="24"/>
          <w:szCs w:val="24"/>
          <w:lang w:eastAsia="en-GB"/>
        </w:rPr>
        <w:t>d</w:t>
      </w:r>
      <w:r>
        <w:rPr>
          <w:rFonts w:ascii="Times New Roman" w:eastAsia="Times New Roman" w:hAnsi="Times New Roman" w:cs="Times New Roman"/>
          <w:sz w:val="24"/>
          <w:szCs w:val="24"/>
          <w:lang w:eastAsia="en-GB"/>
        </w:rPr>
        <w:t xml:space="preserve"> essential baseline data on the levels of toxic heavy metals in commonly consumed maize varieties, information that is currently lacking for Machakos County and similar agricultural areas in Kenya.</w:t>
      </w:r>
      <w:r w:rsidR="007A2E2D">
        <w:rPr>
          <w:rFonts w:ascii="Times New Roman" w:eastAsia="Times New Roman" w:hAnsi="Times New Roman" w:cs="Times New Roman"/>
          <w:sz w:val="24"/>
          <w:szCs w:val="24"/>
          <w:lang w:eastAsia="en-GB"/>
        </w:rPr>
        <w:t xml:space="preserve"> By analysing both modern hybrid varieties and traditional indigenous maize grains, </w:t>
      </w:r>
      <w:r w:rsidR="007A2E2D" w:rsidRPr="003117CD">
        <w:rPr>
          <w:rFonts w:ascii="Times New Roman" w:eastAsia="Times New Roman" w:hAnsi="Times New Roman" w:cs="Times New Roman"/>
          <w:color w:val="FF0000"/>
          <w:sz w:val="24"/>
          <w:szCs w:val="24"/>
          <w:lang w:eastAsia="en-GB"/>
        </w:rPr>
        <w:t xml:space="preserve">the study offered insights relevant to diverse </w:t>
      </w:r>
      <w:r w:rsidR="007A2E2D">
        <w:rPr>
          <w:rFonts w:ascii="Times New Roman" w:eastAsia="Times New Roman" w:hAnsi="Times New Roman" w:cs="Times New Roman"/>
          <w:sz w:val="24"/>
          <w:szCs w:val="24"/>
          <w:lang w:eastAsia="en-GB"/>
        </w:rPr>
        <w:t>farming communities with different varietal preferences.</w:t>
      </w:r>
    </w:p>
    <w:p w14:paraId="6F7AD8E3" w14:textId="0E5CF51E"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research has significant implications for public health protection in Masii </w:t>
      </w:r>
      <w:r w:rsidR="00D7653B" w:rsidRPr="00722B88">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xml:space="preserve"> and the broader Machakos County region. By identifying maize varieties with excessive heavy metal levels, the study enables targeted interventions and informed decision-making </w:t>
      </w:r>
      <w:r w:rsidR="003C0A5E" w:rsidRPr="003C0A5E">
        <w:rPr>
          <w:rFonts w:ascii="Times New Roman" w:eastAsia="Times New Roman" w:hAnsi="Times New Roman" w:cs="Times New Roman"/>
          <w:color w:val="FF0000"/>
          <w:sz w:val="24"/>
          <w:szCs w:val="24"/>
          <w:lang w:eastAsia="en-GB"/>
        </w:rPr>
        <w:t>for</w:t>
      </w:r>
      <w:r w:rsidRPr="000420D9">
        <w:rPr>
          <w:rFonts w:ascii="Times New Roman" w:eastAsia="Times New Roman" w:hAnsi="Times New Roman" w:cs="Times New Roman"/>
          <w:sz w:val="24"/>
          <w:szCs w:val="24"/>
          <w:lang w:eastAsia="en-GB"/>
        </w:rPr>
        <w:t xml:space="preserve"> consumers, farmers, and health authorities</w:t>
      </w:r>
      <w:r w:rsidR="001615A9">
        <w:rPr>
          <w:rFonts w:ascii="Times New Roman" w:eastAsia="Times New Roman" w:hAnsi="Times New Roman" w:cs="Times New Roman"/>
          <w:sz w:val="24"/>
          <w:szCs w:val="24"/>
          <w:lang w:eastAsia="en-GB"/>
        </w:rPr>
        <w:t xml:space="preserve"> </w:t>
      </w:r>
      <w:r w:rsidR="001615A9" w:rsidRPr="001615A9">
        <w:rPr>
          <w:rFonts w:ascii="Times New Roman" w:eastAsia="Times New Roman" w:hAnsi="Times New Roman" w:cs="Times New Roman"/>
          <w:color w:val="FF0000"/>
          <w:sz w:val="24"/>
          <w:szCs w:val="24"/>
          <w:lang w:eastAsia="en-GB"/>
        </w:rPr>
        <w:t>[8]</w:t>
      </w:r>
      <w:r w:rsidRPr="001615A9">
        <w:rPr>
          <w:rFonts w:ascii="Times New Roman" w:eastAsia="Times New Roman" w:hAnsi="Times New Roman" w:cs="Times New Roman"/>
          <w:b/>
          <w:color w:val="FF0000"/>
          <w:sz w:val="24"/>
          <w:szCs w:val="24"/>
          <w:lang w:eastAsia="en-GB"/>
        </w:rPr>
        <w:t>.</w:t>
      </w:r>
      <w:r w:rsidRPr="001615A9">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 comparison with international and national safety standards provides a clear framework for assessing food safety risks and determining which maize varieties may pose health hazards.</w:t>
      </w:r>
    </w:p>
    <w:p w14:paraId="7176778A" w14:textId="1D807CF2" w:rsidR="00C1773A" w:rsidRPr="003117CD" w:rsidRDefault="00C1773A" w:rsidP="003117CD">
      <w:pPr>
        <w:jc w:val="both"/>
        <w:rPr>
          <w:rFonts w:ascii="Times New Roman" w:hAnsi="Times New Roman" w:cs="Times New Roman"/>
          <w:sz w:val="24"/>
          <w:szCs w:val="24"/>
          <w:lang w:val="en-US"/>
        </w:rPr>
      </w:pPr>
      <w:r w:rsidRPr="003117CD">
        <w:rPr>
          <w:rFonts w:ascii="Times New Roman" w:hAnsi="Times New Roman" w:cs="Times New Roman"/>
          <w:sz w:val="24"/>
          <w:szCs w:val="24"/>
          <w:lang w:val="en-US"/>
        </w:rPr>
        <w:t xml:space="preserve">From a policy perspective, this study </w:t>
      </w:r>
      <w:r w:rsidRPr="003117CD">
        <w:rPr>
          <w:rFonts w:ascii="Times New Roman" w:hAnsi="Times New Roman" w:cs="Times New Roman"/>
          <w:color w:val="FF0000"/>
          <w:sz w:val="24"/>
          <w:szCs w:val="24"/>
          <w:lang w:val="en-US"/>
        </w:rPr>
        <w:t>generated evidence to informal agricultural extension services</w:t>
      </w:r>
      <w:r w:rsidRPr="003117CD">
        <w:rPr>
          <w:rFonts w:ascii="Times New Roman" w:hAnsi="Times New Roman" w:cs="Times New Roman"/>
          <w:sz w:val="24"/>
          <w:szCs w:val="24"/>
          <w:lang w:val="en-US"/>
        </w:rPr>
        <w:t xml:space="preserve">, food safety regulations, and public health campaigns </w:t>
      </w:r>
      <w:r w:rsidRPr="003117CD">
        <w:rPr>
          <w:rFonts w:ascii="Times New Roman" w:hAnsi="Times New Roman" w:cs="Times New Roman"/>
          <w:color w:val="FF0000"/>
          <w:sz w:val="24"/>
          <w:szCs w:val="24"/>
          <w:lang w:val="en-US"/>
        </w:rPr>
        <w:t xml:space="preserve">by guiding </w:t>
      </w:r>
      <w:r w:rsidRPr="003117CD">
        <w:rPr>
          <w:rFonts w:ascii="Times New Roman" w:hAnsi="Times New Roman" w:cs="Times New Roman"/>
          <w:sz w:val="24"/>
          <w:szCs w:val="24"/>
          <w:lang w:val="en-US"/>
        </w:rPr>
        <w:t xml:space="preserve">recommendation on safe farming practices, fertilizer application, and water quality management to reduce heavy metal accumulation. Additionally, </w:t>
      </w:r>
      <w:r w:rsidRPr="003117CD">
        <w:rPr>
          <w:rFonts w:ascii="Times New Roman" w:hAnsi="Times New Roman" w:cs="Times New Roman"/>
          <w:color w:val="FF0000"/>
          <w:sz w:val="24"/>
          <w:szCs w:val="24"/>
          <w:lang w:val="en-US"/>
        </w:rPr>
        <w:t xml:space="preserve">these findings support broader initiative for </w:t>
      </w:r>
      <w:r w:rsidRPr="003117CD">
        <w:rPr>
          <w:rFonts w:ascii="Times New Roman" w:hAnsi="Times New Roman" w:cs="Times New Roman"/>
          <w:sz w:val="24"/>
          <w:szCs w:val="24"/>
          <w:lang w:val="en-US"/>
        </w:rPr>
        <w:t xml:space="preserve">food safety and nutritional </w:t>
      </w:r>
      <w:r w:rsidRPr="003117CD">
        <w:rPr>
          <w:rFonts w:ascii="Times New Roman" w:hAnsi="Times New Roman" w:cs="Times New Roman"/>
          <w:color w:val="FF0000"/>
          <w:sz w:val="24"/>
          <w:szCs w:val="24"/>
          <w:lang w:val="en-US"/>
        </w:rPr>
        <w:t xml:space="preserve">security that </w:t>
      </w:r>
      <w:r w:rsidRPr="003117CD">
        <w:rPr>
          <w:rFonts w:ascii="Times New Roman" w:hAnsi="Times New Roman" w:cs="Times New Roman"/>
          <w:sz w:val="24"/>
          <w:szCs w:val="24"/>
          <w:lang w:val="en-US"/>
        </w:rPr>
        <w:t xml:space="preserve">align with Kenya’s national </w:t>
      </w:r>
      <w:r w:rsidRPr="003117CD">
        <w:rPr>
          <w:rFonts w:ascii="Times New Roman" w:hAnsi="Times New Roman" w:cs="Times New Roman"/>
          <w:color w:val="FF0000"/>
          <w:sz w:val="24"/>
          <w:szCs w:val="24"/>
          <w:lang w:val="en-US"/>
        </w:rPr>
        <w:t>development agenda and international sustainable goals</w:t>
      </w:r>
      <w:r w:rsidRPr="003117CD">
        <w:rPr>
          <w:rFonts w:ascii="Times New Roman" w:hAnsi="Times New Roman" w:cs="Times New Roman"/>
          <w:sz w:val="24"/>
          <w:szCs w:val="24"/>
          <w:lang w:val="en-US"/>
        </w:rPr>
        <w:t>.</w:t>
      </w:r>
    </w:p>
    <w:p w14:paraId="0D7376A9" w14:textId="219BD9C8" w:rsidR="000B54C2" w:rsidRPr="000B54C2" w:rsidRDefault="006512BD"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Pr>
          <w:rFonts w:ascii="Times New Roman" w:eastAsia="Times New Roman" w:hAnsi="Times New Roman" w:cs="Times New Roman"/>
          <w:sz w:val="24"/>
          <w:szCs w:val="24"/>
          <w:lang w:eastAsia="en-GB"/>
        </w:rPr>
        <w:t xml:space="preserve">This </w:t>
      </w:r>
      <w:r w:rsidRPr="00D22730">
        <w:rPr>
          <w:rFonts w:ascii="Times New Roman" w:eastAsia="Times New Roman" w:hAnsi="Times New Roman" w:cs="Times New Roman"/>
          <w:color w:val="FF0000"/>
          <w:sz w:val="24"/>
          <w:szCs w:val="24"/>
          <w:lang w:eastAsia="en-GB"/>
        </w:rPr>
        <w:t>study contributed to analytical chemistry through an optimized acid digestion protocol suitable for future monitoring programs</w:t>
      </w:r>
      <w:r>
        <w:rPr>
          <w:rFonts w:ascii="Times New Roman" w:eastAsia="Times New Roman" w:hAnsi="Times New Roman" w:cs="Times New Roman"/>
          <w:sz w:val="24"/>
          <w:szCs w:val="24"/>
          <w:lang w:eastAsia="en-GB"/>
        </w:rPr>
        <w:t xml:space="preserve">.  Furthermore, using Atomic Absorption Spectroscopy for heavy metal analysis in maize </w:t>
      </w:r>
      <w:r w:rsidR="00D22730" w:rsidRPr="00D22730">
        <w:rPr>
          <w:rFonts w:ascii="Times New Roman" w:eastAsia="Times New Roman" w:hAnsi="Times New Roman" w:cs="Times New Roman"/>
          <w:color w:val="FF0000"/>
          <w:sz w:val="24"/>
          <w:szCs w:val="24"/>
          <w:lang w:eastAsia="en-GB"/>
        </w:rPr>
        <w:t>strengthens</w:t>
      </w:r>
      <w:r w:rsidRPr="00D22730">
        <w:rPr>
          <w:rFonts w:ascii="Times New Roman" w:eastAsia="Times New Roman" w:hAnsi="Times New Roman" w:cs="Times New Roman"/>
          <w:color w:val="FF0000"/>
          <w:sz w:val="24"/>
          <w:szCs w:val="24"/>
          <w:lang w:eastAsia="en-GB"/>
        </w:rPr>
        <w:t xml:space="preserve"> local expertise and serves as a framework for similar investigation elsewhere</w:t>
      </w:r>
      <w:r w:rsidR="000B54C2">
        <w:rPr>
          <w:rFonts w:ascii="Times New Roman" w:eastAsia="Times New Roman" w:hAnsi="Times New Roman" w:cs="Times New Roman"/>
          <w:color w:val="FF0000"/>
          <w:sz w:val="24"/>
          <w:szCs w:val="24"/>
          <w:lang w:eastAsia="en-GB"/>
        </w:rPr>
        <w:t>.</w:t>
      </w:r>
    </w:p>
    <w:p w14:paraId="59CBAFBB" w14:textId="77777777" w:rsidR="004F6A56" w:rsidRDefault="000B54C2" w:rsidP="004F6A56">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sidRPr="00455241">
        <w:rPr>
          <w:rFonts w:ascii="Times New Roman" w:hAnsi="Times New Roman" w:cs="Times New Roman"/>
          <w:sz w:val="24"/>
          <w:szCs w:val="24"/>
          <w:lang w:val="en-US"/>
        </w:rPr>
        <w:t xml:space="preserve">Finally, the study serves an important educational function by raising awareness among farming communities about heavy metal contamination risks. By sharing findings with local stakeholders, the research </w:t>
      </w:r>
      <w:r w:rsidRPr="000B54C2">
        <w:rPr>
          <w:rFonts w:ascii="Times New Roman" w:hAnsi="Times New Roman" w:cs="Times New Roman"/>
          <w:color w:val="FF0000"/>
          <w:sz w:val="24"/>
          <w:szCs w:val="24"/>
          <w:lang w:val="en-US"/>
        </w:rPr>
        <w:t>will</w:t>
      </w:r>
      <w:r w:rsidRPr="00455241">
        <w:rPr>
          <w:rFonts w:ascii="Times New Roman" w:hAnsi="Times New Roman" w:cs="Times New Roman"/>
          <w:sz w:val="24"/>
          <w:szCs w:val="24"/>
          <w:lang w:val="en-US"/>
        </w:rPr>
        <w:t xml:space="preserve"> empower communities to make informed choices about crop production </w:t>
      </w:r>
      <w:r w:rsidRPr="000B54C2">
        <w:rPr>
          <w:rFonts w:ascii="Times New Roman" w:hAnsi="Times New Roman" w:cs="Times New Roman"/>
          <w:color w:val="FF0000"/>
          <w:sz w:val="24"/>
          <w:szCs w:val="24"/>
          <w:lang w:val="en-US"/>
        </w:rPr>
        <w:t>and development in Machakos County</w:t>
      </w:r>
      <w:r w:rsidRPr="00455241">
        <w:rPr>
          <w:rFonts w:ascii="Times New Roman" w:hAnsi="Times New Roman" w:cs="Times New Roman"/>
          <w:sz w:val="24"/>
          <w:szCs w:val="24"/>
          <w:lang w:val="en-US"/>
        </w:rPr>
        <w:t xml:space="preserve">. </w:t>
      </w:r>
      <w:r w:rsidRPr="003C49B8">
        <w:rPr>
          <w:rFonts w:ascii="Times New Roman" w:hAnsi="Times New Roman" w:cs="Times New Roman"/>
          <w:color w:val="FF0000"/>
          <w:sz w:val="24"/>
          <w:szCs w:val="24"/>
          <w:lang w:val="en-US"/>
        </w:rPr>
        <w:t>Comparing these distinct genetic backgrounds (improved drought-tolerant hybrids versus locally adapted indigenous varieties) is critical for identifying which varieties can be grown in areas without exceeding heavy metal safety standards in produced maize grains.</w:t>
      </w:r>
    </w:p>
    <w:p w14:paraId="34D9076F" w14:textId="70DFEE73" w:rsidR="000420D9" w:rsidRPr="004F6A56" w:rsidRDefault="00843F5E" w:rsidP="004F6A56">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Pr>
          <w:rFonts w:ascii="Times New Roman" w:eastAsia="Times New Roman" w:hAnsi="Times New Roman" w:cs="Times New Roman"/>
          <w:b/>
          <w:bCs/>
          <w:sz w:val="24"/>
          <w:szCs w:val="24"/>
          <w:lang w:eastAsia="en-GB"/>
        </w:rPr>
        <w:t xml:space="preserve"> </w:t>
      </w:r>
      <w:r w:rsidRPr="000420D9">
        <w:rPr>
          <w:rFonts w:ascii="Times New Roman" w:eastAsia="Times New Roman" w:hAnsi="Times New Roman" w:cs="Times New Roman"/>
          <w:b/>
          <w:bCs/>
          <w:sz w:val="24"/>
          <w:szCs w:val="24"/>
          <w:lang w:eastAsia="en-GB"/>
        </w:rPr>
        <w:t>MATERIALS</w:t>
      </w:r>
      <w:r w:rsidR="000420D9" w:rsidRPr="000420D9">
        <w:rPr>
          <w:rFonts w:ascii="Times New Roman" w:eastAsia="Times New Roman" w:hAnsi="Times New Roman" w:cs="Times New Roman"/>
          <w:b/>
          <w:bCs/>
          <w:sz w:val="24"/>
          <w:szCs w:val="24"/>
          <w:lang w:eastAsia="en-GB"/>
        </w:rPr>
        <w:t xml:space="preserve"> AND METHODS</w:t>
      </w:r>
    </w:p>
    <w:p w14:paraId="04FEEFB7" w14:textId="1283DDC1" w:rsidR="000420D9" w:rsidRPr="000420D9" w:rsidRDefault="00843F5E"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2</w:t>
      </w:r>
      <w:r w:rsidR="000420D9" w:rsidRPr="00BB15F1">
        <w:rPr>
          <w:rFonts w:ascii="Times New Roman" w:eastAsia="Times New Roman" w:hAnsi="Times New Roman" w:cs="Times New Roman"/>
          <w:b/>
          <w:bCs/>
          <w:color w:val="FF0000"/>
          <w:sz w:val="24"/>
          <w:szCs w:val="24"/>
          <w:lang w:eastAsia="en-GB"/>
        </w:rPr>
        <w:t xml:space="preserve">.1 </w:t>
      </w:r>
      <w:r w:rsidR="000420D9" w:rsidRPr="000420D9">
        <w:rPr>
          <w:rFonts w:ascii="Times New Roman" w:eastAsia="Times New Roman" w:hAnsi="Times New Roman" w:cs="Times New Roman"/>
          <w:b/>
          <w:bCs/>
          <w:sz w:val="24"/>
          <w:szCs w:val="24"/>
          <w:lang w:eastAsia="en-GB"/>
        </w:rPr>
        <w:t>Study Area</w:t>
      </w:r>
    </w:p>
    <w:p w14:paraId="433EF069" w14:textId="41510A9C" w:rsidR="000420D9" w:rsidRPr="00A872E7" w:rsidRDefault="000420D9"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sidRPr="000420D9">
        <w:rPr>
          <w:rFonts w:ascii="Times New Roman" w:eastAsia="Times New Roman" w:hAnsi="Times New Roman" w:cs="Times New Roman"/>
          <w:sz w:val="24"/>
          <w:szCs w:val="24"/>
          <w:lang w:eastAsia="en-GB"/>
        </w:rPr>
        <w:t>The research was conducted in Masii Location</w:t>
      </w:r>
      <w:r w:rsidR="00384E95">
        <w:rPr>
          <w:rFonts w:ascii="Times New Roman" w:eastAsia="Times New Roman" w:hAnsi="Times New Roman" w:cs="Times New Roman"/>
          <w:sz w:val="24"/>
          <w:szCs w:val="24"/>
          <w:lang w:eastAsia="en-GB"/>
        </w:rPr>
        <w:t xml:space="preserve"> in</w:t>
      </w:r>
      <w:r w:rsidRPr="000420D9">
        <w:rPr>
          <w:rFonts w:ascii="Times New Roman" w:eastAsia="Times New Roman" w:hAnsi="Times New Roman" w:cs="Times New Roman"/>
          <w:sz w:val="24"/>
          <w:szCs w:val="24"/>
          <w:lang w:eastAsia="en-GB"/>
        </w:rPr>
        <w:t xml:space="preserve"> Mwala Sub-County</w:t>
      </w:r>
      <w:r w:rsidR="00384E95">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xml:space="preserve"> Machakos County, Kenya</w:t>
      </w:r>
      <w:r w:rsidR="00384E95">
        <w:rPr>
          <w:rFonts w:ascii="Times New Roman" w:eastAsia="Times New Roman" w:hAnsi="Times New Roman" w:cs="Times New Roman"/>
          <w:sz w:val="24"/>
          <w:szCs w:val="24"/>
          <w:lang w:eastAsia="en-GB"/>
        </w:rPr>
        <w:t xml:space="preserve"> </w:t>
      </w:r>
      <w:r w:rsidR="00384E95" w:rsidRPr="00384E95">
        <w:rPr>
          <w:rFonts w:ascii="Times New Roman" w:eastAsia="Times New Roman" w:hAnsi="Times New Roman" w:cs="Times New Roman"/>
          <w:color w:val="FF0000"/>
          <w:sz w:val="24"/>
          <w:szCs w:val="24"/>
          <w:lang w:eastAsia="en-GB"/>
        </w:rPr>
        <w:t>(Figure1)</w:t>
      </w:r>
      <w:r w:rsidRPr="000420D9">
        <w:rPr>
          <w:rFonts w:ascii="Times New Roman" w:eastAsia="Times New Roman" w:hAnsi="Times New Roman" w:cs="Times New Roman"/>
          <w:sz w:val="24"/>
          <w:szCs w:val="24"/>
          <w:lang w:eastAsia="en-GB"/>
        </w:rPr>
        <w:t xml:space="preserve">. Machakos County is located in the Eastern region of Kenya, approximately 64 </w:t>
      </w:r>
      <w:r w:rsidR="00384E95" w:rsidRPr="00384E95">
        <w:rPr>
          <w:rFonts w:ascii="Times New Roman" w:eastAsia="Times New Roman" w:hAnsi="Times New Roman" w:cs="Times New Roman"/>
          <w:color w:val="FF0000"/>
          <w:sz w:val="24"/>
          <w:szCs w:val="24"/>
          <w:lang w:eastAsia="en-GB"/>
        </w:rPr>
        <w:t>kilometres</w:t>
      </w:r>
      <w:r w:rsidRPr="000420D9">
        <w:rPr>
          <w:rFonts w:ascii="Times New Roman" w:eastAsia="Times New Roman" w:hAnsi="Times New Roman" w:cs="Times New Roman"/>
          <w:sz w:val="24"/>
          <w:szCs w:val="24"/>
          <w:lang w:eastAsia="en-GB"/>
        </w:rPr>
        <w:t xml:space="preserve"> southeast of Nairobi, the capital city</w:t>
      </w:r>
      <w:r w:rsidR="00384E95">
        <w:rPr>
          <w:rFonts w:ascii="Times New Roman" w:eastAsia="Times New Roman" w:hAnsi="Times New Roman" w:cs="Times New Roman"/>
          <w:sz w:val="24"/>
          <w:szCs w:val="24"/>
          <w:lang w:eastAsia="en-GB"/>
        </w:rPr>
        <w:t xml:space="preserve"> </w:t>
      </w:r>
      <w:r w:rsidR="00384E95" w:rsidRPr="00384E95">
        <w:rPr>
          <w:rFonts w:ascii="Times New Roman" w:eastAsia="Times New Roman" w:hAnsi="Times New Roman" w:cs="Times New Roman"/>
          <w:color w:val="FF0000"/>
          <w:sz w:val="24"/>
          <w:szCs w:val="24"/>
          <w:lang w:eastAsia="en-GB"/>
        </w:rPr>
        <w:t>of Kenya</w:t>
      </w:r>
      <w:r w:rsidRPr="000420D9">
        <w:rPr>
          <w:rFonts w:ascii="Times New Roman" w:eastAsia="Times New Roman" w:hAnsi="Times New Roman" w:cs="Times New Roman"/>
          <w:sz w:val="24"/>
          <w:szCs w:val="24"/>
          <w:lang w:eastAsia="en-GB"/>
        </w:rPr>
        <w:t>. The county lies within the semi-arid to arid agro-ecological zones, characterized by erratic rainfall patterns and generally challenging conditions for rain-fed agriculture. Despite these environmental constraints, the region supports substantial maize production, with farmers relying on this crop as both a staple food and a source of income</w:t>
      </w:r>
      <w:r w:rsidR="009D29DA">
        <w:rPr>
          <w:rFonts w:ascii="Times New Roman" w:eastAsia="Times New Roman" w:hAnsi="Times New Roman" w:cs="Times New Roman"/>
          <w:sz w:val="24"/>
          <w:szCs w:val="24"/>
          <w:lang w:eastAsia="en-GB"/>
        </w:rPr>
        <w:t xml:space="preserve"> </w:t>
      </w:r>
      <w:r w:rsidR="009D29DA" w:rsidRPr="009D29DA">
        <w:rPr>
          <w:rFonts w:ascii="Times New Roman" w:eastAsia="Times New Roman" w:hAnsi="Times New Roman" w:cs="Times New Roman"/>
          <w:color w:val="FF0000"/>
          <w:sz w:val="24"/>
          <w:szCs w:val="24"/>
          <w:lang w:eastAsia="en-GB"/>
        </w:rPr>
        <w:t>[9].</w:t>
      </w:r>
    </w:p>
    <w:p w14:paraId="50C411CA" w14:textId="3F11C360" w:rsidR="00064FFE"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study area </w:t>
      </w:r>
      <w:r w:rsidR="00A872E7" w:rsidRPr="00A872E7">
        <w:rPr>
          <w:rFonts w:ascii="Times New Roman" w:eastAsia="Times New Roman" w:hAnsi="Times New Roman" w:cs="Times New Roman"/>
          <w:color w:val="FF0000"/>
          <w:sz w:val="24"/>
          <w:szCs w:val="24"/>
          <w:lang w:eastAsia="en-GB"/>
        </w:rPr>
        <w:t>is</w:t>
      </w:r>
      <w:r w:rsidRPr="000420D9">
        <w:rPr>
          <w:rFonts w:ascii="Times New Roman" w:eastAsia="Times New Roman" w:hAnsi="Times New Roman" w:cs="Times New Roman"/>
          <w:sz w:val="24"/>
          <w:szCs w:val="24"/>
          <w:lang w:eastAsia="en-GB"/>
        </w:rPr>
        <w:t xml:space="preserve"> approximately 9 </w:t>
      </w:r>
      <w:r w:rsidR="00A872E7" w:rsidRPr="000420D9">
        <w:rPr>
          <w:rFonts w:ascii="Times New Roman" w:eastAsia="Times New Roman" w:hAnsi="Times New Roman" w:cs="Times New Roman"/>
          <w:sz w:val="24"/>
          <w:szCs w:val="24"/>
          <w:lang w:eastAsia="en-GB"/>
        </w:rPr>
        <w:t>kilometres</w:t>
      </w:r>
      <w:r w:rsidRPr="000420D9">
        <w:rPr>
          <w:rFonts w:ascii="Times New Roman" w:eastAsia="Times New Roman" w:hAnsi="Times New Roman" w:cs="Times New Roman"/>
          <w:sz w:val="24"/>
          <w:szCs w:val="24"/>
          <w:lang w:eastAsia="en-GB"/>
        </w:rPr>
        <w:t xml:space="preserve"> and covers a catchment area of 72 </w:t>
      </w:r>
      <w:r w:rsidR="00A872E7" w:rsidRPr="00A872E7">
        <w:rPr>
          <w:rFonts w:ascii="Times New Roman" w:eastAsia="Times New Roman" w:hAnsi="Times New Roman" w:cs="Times New Roman"/>
          <w:color w:val="FF0000"/>
          <w:sz w:val="24"/>
          <w:szCs w:val="24"/>
          <w:lang w:eastAsia="en-GB"/>
        </w:rPr>
        <w:t>km</w:t>
      </w:r>
      <w:r w:rsidR="00A872E7" w:rsidRPr="00A872E7">
        <w:rPr>
          <w:rFonts w:ascii="Times New Roman" w:eastAsia="Times New Roman" w:hAnsi="Times New Roman" w:cs="Times New Roman"/>
          <w:color w:val="FF0000"/>
          <w:sz w:val="24"/>
          <w:szCs w:val="24"/>
          <w:vertAlign w:val="superscript"/>
          <w:lang w:eastAsia="en-GB"/>
        </w:rPr>
        <w:t>2</w:t>
      </w:r>
      <w:r w:rsidRPr="00A872E7">
        <w:rPr>
          <w:rFonts w:ascii="Times New Roman" w:eastAsia="Times New Roman" w:hAnsi="Times New Roman" w:cs="Times New Roman"/>
          <w:color w:val="FF0000"/>
          <w:sz w:val="24"/>
          <w:szCs w:val="24"/>
          <w:lang w:eastAsia="en-GB"/>
        </w:rPr>
        <w:t>.</w:t>
      </w:r>
      <w:r w:rsidRPr="000420D9">
        <w:rPr>
          <w:rFonts w:ascii="Times New Roman" w:eastAsia="Times New Roman" w:hAnsi="Times New Roman" w:cs="Times New Roman"/>
          <w:sz w:val="24"/>
          <w:szCs w:val="24"/>
          <w:lang w:eastAsia="en-GB"/>
        </w:rPr>
        <w:t xml:space="preserve"> Geographically, the location falls between longitude 37.3912° to 37.5496° East and latitude </w:t>
      </w:r>
      <w:r w:rsidRPr="000420D9">
        <w:rPr>
          <w:rFonts w:ascii="Times New Roman" w:eastAsia="Times New Roman" w:hAnsi="Times New Roman" w:cs="Times New Roman"/>
          <w:sz w:val="24"/>
          <w:szCs w:val="24"/>
          <w:lang w:eastAsia="en-GB"/>
        </w:rPr>
        <w:lastRenderedPageBreak/>
        <w:t>1.4767° to 1.4104° South. The topography is characterized by gently rolling hills and valleys typical of the Eastern Highlands, with elevation varying across the study sites. This variation in altitude influences local microclimates and agricultural practices, with farmers adapting their crop management strategies to local conditions</w:t>
      </w:r>
      <w:r w:rsidR="009D29DA">
        <w:rPr>
          <w:rFonts w:ascii="Times New Roman" w:eastAsia="Times New Roman" w:hAnsi="Times New Roman" w:cs="Times New Roman"/>
          <w:sz w:val="24"/>
          <w:szCs w:val="24"/>
          <w:lang w:eastAsia="en-GB"/>
        </w:rPr>
        <w:t xml:space="preserve"> </w:t>
      </w:r>
      <w:r w:rsidR="009D29DA" w:rsidRPr="009D29DA">
        <w:rPr>
          <w:rFonts w:ascii="Times New Roman" w:eastAsia="Times New Roman" w:hAnsi="Times New Roman" w:cs="Times New Roman"/>
          <w:color w:val="FF0000"/>
          <w:sz w:val="24"/>
          <w:szCs w:val="24"/>
          <w:lang w:eastAsia="en-GB"/>
        </w:rPr>
        <w:t>[9].</w:t>
      </w:r>
    </w:p>
    <w:p w14:paraId="20C6CB0B" w14:textId="1D1373B7" w:rsidR="00FC16C5" w:rsidRDefault="00E469E8"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477EF199" wp14:editId="68415C4C">
                <wp:simplePos x="0" y="0"/>
                <wp:positionH relativeFrom="margin">
                  <wp:align>right</wp:align>
                </wp:positionH>
                <wp:positionV relativeFrom="paragraph">
                  <wp:posOffset>26035</wp:posOffset>
                </wp:positionV>
                <wp:extent cx="5686425" cy="6343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686425" cy="6343650"/>
                        </a:xfrm>
                        <a:prstGeom prst="rect">
                          <a:avLst/>
                        </a:prstGeom>
                        <a:solidFill>
                          <a:schemeClr val="lt1"/>
                        </a:solidFill>
                        <a:ln w="6350">
                          <a:solidFill>
                            <a:schemeClr val="bg1"/>
                          </a:solidFill>
                        </a:ln>
                      </wps:spPr>
                      <wps:txbx>
                        <w:txbxContent>
                          <w:p w14:paraId="6A721CD3" w14:textId="612A58C4" w:rsidR="00E23AA2" w:rsidRDefault="00E23AA2" w:rsidP="00E469E8">
                            <w:pPr>
                              <w:pStyle w:val="NormalWeb"/>
                            </w:pPr>
                            <w:r>
                              <w:rPr>
                                <w:noProof/>
                              </w:rPr>
                              <w:drawing>
                                <wp:inline distT="0" distB="0" distL="0" distR="0" wp14:anchorId="63590DC5" wp14:editId="14C23449">
                                  <wp:extent cx="5593859" cy="6537960"/>
                                  <wp:effectExtent l="0" t="0" r="6985" b="0"/>
                                  <wp:docPr id="5" name="Picture 5" descr="C:\Users\Deborah\Downloads\Mwala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orah\Downloads\Mwala 3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3859" cy="6537960"/>
                                          </a:xfrm>
                                          <a:prstGeom prst="rect">
                                            <a:avLst/>
                                          </a:prstGeom>
                                          <a:noFill/>
                                          <a:ln>
                                            <a:noFill/>
                                          </a:ln>
                                        </pic:spPr>
                                      </pic:pic>
                                    </a:graphicData>
                                  </a:graphic>
                                </wp:inline>
                              </w:drawing>
                            </w:r>
                          </w:p>
                          <w:p w14:paraId="1BE7E681" w14:textId="77777777" w:rsidR="00E23AA2" w:rsidRDefault="00E23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F199" id="_x0000_t202" coordsize="21600,21600" o:spt="202" path="m,l,21600r21600,l21600,xe">
                <v:stroke joinstyle="miter"/>
                <v:path gradientshapeok="t" o:connecttype="rect"/>
              </v:shapetype>
              <v:shape id="Text Box 4" o:spid="_x0000_s1026" type="#_x0000_t202" style="position:absolute;left:0;text-align:left;margin-left:396.55pt;margin-top:2.05pt;width:447.75pt;height:49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" fillcolor="white [3201]" strokecolor="white [3212]" strokeweight=".5pt">
                <v:textbox>
                  <w:txbxContent>
                    <w:p w14:paraId="6A721CD3" w14:textId="612A58C4" w:rsidR="00E23AA2" w:rsidRDefault="00E23AA2" w:rsidP="00E469E8">
                      <w:pPr>
                        <w:pStyle w:val="NormalWeb"/>
                      </w:pPr>
                      <w:r>
                        <w:rPr>
                          <w:noProof/>
                        </w:rPr>
                        <w:drawing>
                          <wp:inline distT="0" distB="0" distL="0" distR="0" wp14:anchorId="63590DC5" wp14:editId="14C23449">
                            <wp:extent cx="5593859" cy="6537960"/>
                            <wp:effectExtent l="0" t="0" r="6985" b="0"/>
                            <wp:docPr id="5" name="Picture 5" descr="C:\Users\Deborah\Downloads\Mwala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orah\Downloads\Mwala 3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859" cy="6537960"/>
                                    </a:xfrm>
                                    <a:prstGeom prst="rect">
                                      <a:avLst/>
                                    </a:prstGeom>
                                    <a:noFill/>
                                    <a:ln>
                                      <a:noFill/>
                                    </a:ln>
                                  </pic:spPr>
                                </pic:pic>
                              </a:graphicData>
                            </a:graphic>
                          </wp:inline>
                        </w:drawing>
                      </w:r>
                    </w:p>
                    <w:p w14:paraId="1BE7E681" w14:textId="77777777" w:rsidR="00E23AA2" w:rsidRDefault="00E23AA2"/>
                  </w:txbxContent>
                </v:textbox>
                <w10:wrap anchorx="margin"/>
              </v:shape>
            </w:pict>
          </mc:Fallback>
        </mc:AlternateContent>
      </w:r>
    </w:p>
    <w:p w14:paraId="09651EC2" w14:textId="0759A0F1" w:rsidR="00FC16C5" w:rsidRDefault="00FC16C5"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147FF454" w14:textId="705F1665" w:rsidR="00FC16C5" w:rsidRDefault="00FC16C5"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0AEB1416" w14:textId="776E38FA" w:rsidR="00A43881" w:rsidRDefault="00A43881"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5A8CB65F" w14:textId="633D358C" w:rsidR="00A43881" w:rsidRDefault="00A43881"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E3C304C" w14:textId="2615B7CA" w:rsidR="00A43881" w:rsidRDefault="00A43881"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2A38949B" w14:textId="57A9B814" w:rsidR="00A43881" w:rsidRDefault="00A43881"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2507B2D4" w14:textId="33644782" w:rsidR="00A43881" w:rsidRDefault="00A43881"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29180D8F" w14:textId="77777777" w:rsidR="00A43881" w:rsidRDefault="00A43881"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0D41C2C6"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793F1C61"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34ED6CFE"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76B9D4F9"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05B67764"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099AE64C"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0916D29B"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7480A107"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0A431F62" w14:textId="77777777" w:rsidR="00E469E8" w:rsidRDefault="00E469E8"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p>
    <w:p w14:paraId="01E4A195" w14:textId="119C4E7D" w:rsidR="00E469E8" w:rsidRPr="00E469E8" w:rsidRDefault="00FC16C5" w:rsidP="004A112A">
      <w:pPr>
        <w:spacing w:before="100" w:beforeAutospacing="1" w:after="100" w:afterAutospacing="1" w:line="240" w:lineRule="auto"/>
        <w:ind w:firstLine="720"/>
        <w:jc w:val="both"/>
        <w:rPr>
          <w:rFonts w:ascii="Times New Roman" w:eastAsia="Times New Roman" w:hAnsi="Times New Roman" w:cs="Times New Roman"/>
          <w:color w:val="FF0000"/>
          <w:sz w:val="24"/>
          <w:szCs w:val="24"/>
          <w:lang w:eastAsia="en-GB"/>
        </w:rPr>
      </w:pPr>
      <w:r w:rsidRPr="00FC16C5">
        <w:rPr>
          <w:rFonts w:ascii="Times New Roman" w:eastAsia="Times New Roman" w:hAnsi="Times New Roman" w:cs="Times New Roman"/>
          <w:color w:val="FF0000"/>
          <w:sz w:val="24"/>
          <w:szCs w:val="24"/>
          <w:lang w:eastAsia="en-GB"/>
        </w:rPr>
        <w:t>Figure 1: Map of Mwala Sub-County Showing Sampling Sites</w:t>
      </w:r>
      <w:r w:rsidR="00E906A5">
        <w:rPr>
          <w:rFonts w:ascii="Times New Roman" w:eastAsia="Times New Roman" w:hAnsi="Times New Roman" w:cs="Times New Roman"/>
          <w:color w:val="FF0000"/>
          <w:sz w:val="24"/>
          <w:szCs w:val="24"/>
          <w:lang w:eastAsia="en-GB"/>
        </w:rPr>
        <w:t xml:space="preserve"> in Masii Ward</w:t>
      </w:r>
    </w:p>
    <w:p w14:paraId="06CB48E2" w14:textId="38C40B6A" w:rsidR="00FC16C5" w:rsidRPr="00BB15F1" w:rsidRDefault="00843F5E" w:rsidP="0038231D">
      <w:pPr>
        <w:spacing w:before="100" w:beforeAutospacing="1" w:after="100" w:afterAutospacing="1" w:line="240" w:lineRule="auto"/>
        <w:jc w:val="both"/>
        <w:rPr>
          <w:rFonts w:ascii="Times New Roman" w:eastAsia="Times New Roman" w:hAnsi="Times New Roman" w:cs="Times New Roman"/>
          <w:b/>
          <w:color w:val="FF0000"/>
          <w:sz w:val="24"/>
          <w:szCs w:val="24"/>
          <w:lang w:eastAsia="en-GB"/>
        </w:rPr>
      </w:pPr>
      <w:r w:rsidRPr="00BB15F1">
        <w:rPr>
          <w:rFonts w:ascii="Times New Roman" w:eastAsia="Times New Roman" w:hAnsi="Times New Roman" w:cs="Times New Roman"/>
          <w:b/>
          <w:color w:val="FF0000"/>
          <w:sz w:val="24"/>
          <w:szCs w:val="24"/>
          <w:lang w:eastAsia="en-GB"/>
        </w:rPr>
        <w:t xml:space="preserve">2.2 </w:t>
      </w:r>
      <w:r w:rsidR="00FC16C5" w:rsidRPr="00BB15F1">
        <w:rPr>
          <w:rFonts w:ascii="Times New Roman" w:eastAsia="Times New Roman" w:hAnsi="Times New Roman" w:cs="Times New Roman"/>
          <w:b/>
          <w:color w:val="FF0000"/>
          <w:sz w:val="24"/>
          <w:szCs w:val="24"/>
          <w:lang w:eastAsia="en-GB"/>
        </w:rPr>
        <w:t>Climate Condition</w:t>
      </w:r>
      <w:r w:rsidRPr="00BB15F1">
        <w:rPr>
          <w:rFonts w:ascii="Times New Roman" w:eastAsia="Times New Roman" w:hAnsi="Times New Roman" w:cs="Times New Roman"/>
          <w:b/>
          <w:color w:val="FF0000"/>
          <w:sz w:val="24"/>
          <w:szCs w:val="24"/>
          <w:lang w:eastAsia="en-GB"/>
        </w:rPr>
        <w:t>s</w:t>
      </w:r>
      <w:r w:rsidR="00FC16C5" w:rsidRPr="00BB15F1">
        <w:rPr>
          <w:rFonts w:ascii="Times New Roman" w:eastAsia="Times New Roman" w:hAnsi="Times New Roman" w:cs="Times New Roman"/>
          <w:b/>
          <w:color w:val="FF0000"/>
          <w:sz w:val="24"/>
          <w:szCs w:val="24"/>
          <w:lang w:eastAsia="en-GB"/>
        </w:rPr>
        <w:t xml:space="preserve"> an</w:t>
      </w:r>
      <w:r w:rsidR="00673EE6" w:rsidRPr="00BB15F1">
        <w:rPr>
          <w:rFonts w:ascii="Times New Roman" w:eastAsia="Times New Roman" w:hAnsi="Times New Roman" w:cs="Times New Roman"/>
          <w:b/>
          <w:color w:val="FF0000"/>
          <w:sz w:val="24"/>
          <w:szCs w:val="24"/>
          <w:lang w:eastAsia="en-GB"/>
        </w:rPr>
        <w:t>d</w:t>
      </w:r>
      <w:r w:rsidR="00FC16C5" w:rsidRPr="00BB15F1">
        <w:rPr>
          <w:rFonts w:ascii="Times New Roman" w:eastAsia="Times New Roman" w:hAnsi="Times New Roman" w:cs="Times New Roman"/>
          <w:b/>
          <w:color w:val="FF0000"/>
          <w:sz w:val="24"/>
          <w:szCs w:val="24"/>
          <w:lang w:eastAsia="en-GB"/>
        </w:rPr>
        <w:t xml:space="preserve"> Economic Activities in the study area</w:t>
      </w:r>
    </w:p>
    <w:p w14:paraId="22C31F09" w14:textId="703FBDBA" w:rsidR="00FC16C5" w:rsidRPr="000420D9" w:rsidRDefault="00FC16C5" w:rsidP="00FC16C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climate across all three sites is classified as semi-arid, with mean annual rainfall ranging between 600</w:t>
      </w:r>
      <w:r w:rsidR="00673EE6">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w:t>
      </w:r>
      <w:r w:rsidR="00673EE6">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 xml:space="preserve">900 </w:t>
      </w:r>
      <w:r w:rsidR="00673EE6">
        <w:rPr>
          <w:rFonts w:ascii="Times New Roman" w:eastAsia="Times New Roman" w:hAnsi="Times New Roman" w:cs="Times New Roman"/>
          <w:sz w:val="24"/>
          <w:szCs w:val="24"/>
          <w:lang w:eastAsia="en-GB"/>
        </w:rPr>
        <w:t>mm</w:t>
      </w:r>
      <w:r w:rsidRPr="000420D9">
        <w:rPr>
          <w:rFonts w:ascii="Times New Roman" w:eastAsia="Times New Roman" w:hAnsi="Times New Roman" w:cs="Times New Roman"/>
          <w:sz w:val="24"/>
          <w:szCs w:val="24"/>
          <w:lang w:eastAsia="en-GB"/>
        </w:rPr>
        <w:t xml:space="preserve">, distributed in a bimodal pattern. The long rains typically occur from March to May, while short rains fall between October and December. Temperatures are moderate, with mean annual temperatures ranging from 18°C </w:t>
      </w:r>
      <w:r w:rsidR="00F22E6F">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xml:space="preserve">26°C. These climatic conditions, combined with the soil characteristics and topography, create an environment where maize </w:t>
      </w:r>
      <w:r w:rsidRPr="000420D9">
        <w:rPr>
          <w:rFonts w:ascii="Times New Roman" w:eastAsia="Times New Roman" w:hAnsi="Times New Roman" w:cs="Times New Roman"/>
          <w:sz w:val="24"/>
          <w:szCs w:val="24"/>
          <w:lang w:eastAsia="en-GB"/>
        </w:rPr>
        <w:lastRenderedPageBreak/>
        <w:t xml:space="preserve">production requires careful management and is often supplemented with supplementary irrigation during dry </w:t>
      </w:r>
      <w:r w:rsidR="00F22E6F" w:rsidRPr="00F22E6F">
        <w:rPr>
          <w:rFonts w:ascii="Times New Roman" w:eastAsia="Times New Roman" w:hAnsi="Times New Roman" w:cs="Times New Roman"/>
          <w:color w:val="FF0000"/>
          <w:sz w:val="24"/>
          <w:szCs w:val="24"/>
          <w:lang w:eastAsia="en-GB"/>
        </w:rPr>
        <w:t>seasons</w:t>
      </w:r>
      <w:r>
        <w:rPr>
          <w:rFonts w:ascii="Times New Roman" w:eastAsia="Times New Roman" w:hAnsi="Times New Roman" w:cs="Times New Roman"/>
          <w:sz w:val="24"/>
          <w:szCs w:val="24"/>
          <w:lang w:eastAsia="en-GB"/>
        </w:rPr>
        <w:t xml:space="preserve"> </w:t>
      </w:r>
      <w:r w:rsidR="00E07613" w:rsidRPr="00E07613">
        <w:rPr>
          <w:rFonts w:ascii="Times New Roman" w:eastAsia="Times New Roman" w:hAnsi="Times New Roman" w:cs="Times New Roman"/>
          <w:color w:val="FF0000"/>
          <w:sz w:val="24"/>
          <w:szCs w:val="24"/>
          <w:lang w:eastAsia="en-GB"/>
        </w:rPr>
        <w:t xml:space="preserve">[9]. </w:t>
      </w:r>
    </w:p>
    <w:p w14:paraId="20C281F3" w14:textId="6A619712" w:rsidR="004710F2" w:rsidRDefault="00FC16C5" w:rsidP="00FC16C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Human activities in the study area that could potentially influence heavy metal levels in agricultural soils include intensive farming with regular application of agrochemicals, small-scale commercial activities, transport-related emissions from the roads connecting rural areas to market centres, and in some areas, use of wastewater or water from potentially contaminated sources for irrigation during dry seasons. The area also experiences population pressure, leading to continuous cultivation with minimal fallow periods, which may affect soil health and contaminant dynamics.</w:t>
      </w:r>
      <w:r w:rsidR="004710F2">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Income-generating activities in Masii Location include smallholder agriculture focused on maize, beans, and horticultural crops, livestock rearing including cattle, goats, sheep, and poultry, trade and commerce cantered around local markets, and transport services connecting rural communities to urban centres. These economic activities influence agricultural practices and may contribute to environmental contamination through various pathways</w:t>
      </w:r>
    </w:p>
    <w:p w14:paraId="7BCEB875" w14:textId="33A2F1E9" w:rsidR="00673EE6" w:rsidRPr="000420D9" w:rsidRDefault="00843F5E" w:rsidP="00673EE6">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BB15F1">
        <w:rPr>
          <w:rFonts w:ascii="Times New Roman" w:eastAsia="Times New Roman" w:hAnsi="Times New Roman" w:cs="Times New Roman"/>
          <w:b/>
          <w:bCs/>
          <w:color w:val="FF0000"/>
          <w:sz w:val="27"/>
          <w:szCs w:val="27"/>
          <w:lang w:eastAsia="en-GB"/>
        </w:rPr>
        <w:t>2.3</w:t>
      </w:r>
      <w:r w:rsidR="00673EE6" w:rsidRPr="00BB15F1">
        <w:rPr>
          <w:rFonts w:ascii="Times New Roman" w:eastAsia="Times New Roman" w:hAnsi="Times New Roman" w:cs="Times New Roman"/>
          <w:b/>
          <w:bCs/>
          <w:color w:val="FF0000"/>
          <w:sz w:val="27"/>
          <w:szCs w:val="27"/>
          <w:lang w:eastAsia="en-GB"/>
        </w:rPr>
        <w:t xml:space="preserve"> </w:t>
      </w:r>
      <w:r w:rsidR="00673EE6" w:rsidRPr="000420D9">
        <w:rPr>
          <w:rFonts w:ascii="Times New Roman" w:eastAsia="Times New Roman" w:hAnsi="Times New Roman" w:cs="Times New Roman"/>
          <w:b/>
          <w:bCs/>
          <w:sz w:val="24"/>
          <w:szCs w:val="24"/>
          <w:lang w:eastAsia="en-GB"/>
        </w:rPr>
        <w:t>Equipment and Apparatus</w:t>
      </w:r>
    </w:p>
    <w:p w14:paraId="448759AA" w14:textId="77777777"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analytical work required a comprehensive array of laboratory equipment and apparatus to ensure accurate and reliable results. The primary analytical instrument was an Atomic Absorption Spectrophotometer (AAS), which served as the core tool for heavy metal quantification. This sophisticated instrument was equipped with appropriate hollow cathode lamps for each element of interest and was capable of both flame and graphite furnace atomization, though flame atomization was primarily utilized in this study.</w:t>
      </w:r>
    </w:p>
    <w:p w14:paraId="17879DA9" w14:textId="399FDF4F"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Sample preparation and processing utilized an analytical weighing balance with precision to four decimal places, ensuring accurate measurement of sample masses and reagent volumes. A mortar and pestle made of porcelain was employed for grinding dried maize samples to fine powder, facilitating complete digestion. A hot plate with temperature control capability up to 200°C provided the heat source for acid digestion of samples.</w:t>
      </w:r>
      <w:r w:rsidR="001C2958">
        <w:rPr>
          <w:rFonts w:ascii="Times New Roman" w:eastAsia="Times New Roman" w:hAnsi="Times New Roman" w:cs="Times New Roman"/>
          <w:sz w:val="24"/>
          <w:szCs w:val="24"/>
          <w:lang w:eastAsia="en-GB"/>
        </w:rPr>
        <w:t xml:space="preserve"> Freezer,</w:t>
      </w:r>
      <w:r w:rsidRPr="000420D9">
        <w:rPr>
          <w:rFonts w:ascii="Times New Roman" w:eastAsia="Times New Roman" w:hAnsi="Times New Roman" w:cs="Times New Roman"/>
          <w:sz w:val="24"/>
          <w:szCs w:val="24"/>
          <w:lang w:eastAsia="en-GB"/>
        </w:rPr>
        <w:t xml:space="preserve"> A muffle furnace, though primarily kept as backup, was available for alternative sample preparation methods if needed.</w:t>
      </w:r>
    </w:p>
    <w:p w14:paraId="48B81A23" w14:textId="77777777"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Glassware employed in the study included 100 mL conical flasks for sample digestion, volumetric flasks of various sizes (25 mL, 50 mL, and 100 mL) for preparation of standard solutions and dilution of digested samples, measuring cylinders of 10 mL and 50 mL capacity for reagent measurements, filter funnels with appropriate diameter to accommodate filter papers, wash bottles for dispensing distilled water, and glass stirring rods for mixing solutions.</w:t>
      </w:r>
    </w:p>
    <w:p w14:paraId="59CF7DF7" w14:textId="0DE79C87"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Additional equipment included a polyurethane cool</w:t>
      </w:r>
      <w:r w:rsidR="001C2958" w:rsidRPr="001C2958">
        <w:rPr>
          <w:rFonts w:ascii="Times New Roman" w:eastAsia="Times New Roman" w:hAnsi="Times New Roman" w:cs="Times New Roman"/>
          <w:color w:val="FF0000"/>
          <w:sz w:val="24"/>
          <w:szCs w:val="24"/>
          <w:lang w:eastAsia="en-GB"/>
        </w:rPr>
        <w:t>er</w:t>
      </w:r>
      <w:r w:rsidRPr="000420D9">
        <w:rPr>
          <w:rFonts w:ascii="Times New Roman" w:eastAsia="Times New Roman" w:hAnsi="Times New Roman" w:cs="Times New Roman"/>
          <w:sz w:val="24"/>
          <w:szCs w:val="24"/>
          <w:lang w:eastAsia="en-GB"/>
        </w:rPr>
        <w:t xml:space="preserve"> box for sample transportation and temporary storage, maintaining samples at appropriate temperatures during transit from the field to the laboratory. Khaki paper bags, which are breathable and prevent moisture accumulation, were used for collecting and packaging individual samples. A permanent marker pen was essential for labelling samples and containers. Spatulas made of stainless steel or porcelain facilitated transfer of ground samples. Filter papers of appropriate pore size (Whatman Grade 1 or equivalent) were used for filtration of digested samples. Bumping chips or boiling stones were added to digestion flasks to promote smooth boiling and prevent violent bumping during heating. Cork stoppers or appropriate closures were used to seal containers and prevent contamination or evaporation.</w:t>
      </w:r>
    </w:p>
    <w:p w14:paraId="082050FD" w14:textId="77777777"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All glassware was thoroughly cleaned before use following a rigorous protocol. Items were first washed with laboratory detergent and tap water, then rinsed multiple times with distilled water. For heavy metal analysis, additional cleaning involved soaking glassware in 10% nitric acid for at least 24 hours, followed by thorough rinsing with distilled water. This acid wash step was critical for removing any residual metal contamination that could interfere with trace metal analysis. Glassware was air-dried in a dust-free environment or in a drying oven before use.</w:t>
      </w:r>
    </w:p>
    <w:p w14:paraId="5ACFAEBC" w14:textId="038C1EC5" w:rsidR="00673EE6" w:rsidRPr="000420D9" w:rsidRDefault="00843F5E" w:rsidP="00673EE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2.4</w:t>
      </w:r>
      <w:r w:rsidR="00673EE6" w:rsidRPr="000420D9">
        <w:rPr>
          <w:rFonts w:ascii="Times New Roman" w:eastAsia="Times New Roman" w:hAnsi="Times New Roman" w:cs="Times New Roman"/>
          <w:b/>
          <w:bCs/>
          <w:sz w:val="24"/>
          <w:szCs w:val="24"/>
          <w:lang w:eastAsia="en-GB"/>
        </w:rPr>
        <w:t xml:space="preserve"> Chemicals and Reagents</w:t>
      </w:r>
    </w:p>
    <w:p w14:paraId="6C6F3E4E" w14:textId="21999086"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All chemicals and reagents used in this study were of analytical grade to ensure high purity and minimize contamination. Concentrated nitric acid (HNO₃, 65-70% purity) served as the primary digestion acid, selected for its strong oxidizing properties and ability to dissolve organic matter and release bound metals. Perchloric acid (HClO₄, 70% purity) was included in the digestion mixture to enhance breakdown of resistant organic compounds and ensure complete sample dissolution. Hydrogen peroxide (H₂O₂, 30% purity) acted as an additional oxidizing agent, facilitating digestion of organic materials and helping to achieve clear, </w:t>
      </w:r>
      <w:r w:rsidR="00894109" w:rsidRPr="000420D9">
        <w:rPr>
          <w:rFonts w:ascii="Times New Roman" w:eastAsia="Times New Roman" w:hAnsi="Times New Roman" w:cs="Times New Roman"/>
          <w:sz w:val="24"/>
          <w:szCs w:val="24"/>
          <w:lang w:eastAsia="en-GB"/>
        </w:rPr>
        <w:t>colourless</w:t>
      </w:r>
      <w:r w:rsidRPr="000420D9">
        <w:rPr>
          <w:rFonts w:ascii="Times New Roman" w:eastAsia="Times New Roman" w:hAnsi="Times New Roman" w:cs="Times New Roman"/>
          <w:sz w:val="24"/>
          <w:szCs w:val="24"/>
          <w:lang w:eastAsia="en-GB"/>
        </w:rPr>
        <w:t xml:space="preserve"> digestates.</w:t>
      </w:r>
    </w:p>
    <w:p w14:paraId="02B638A4" w14:textId="56A30A25"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Distilled </w:t>
      </w:r>
      <w:r w:rsidR="00894109" w:rsidRPr="00894109">
        <w:rPr>
          <w:rFonts w:ascii="Times New Roman" w:eastAsia="Times New Roman" w:hAnsi="Times New Roman" w:cs="Times New Roman"/>
          <w:color w:val="FF0000"/>
          <w:sz w:val="24"/>
          <w:szCs w:val="24"/>
          <w:lang w:eastAsia="en-GB"/>
        </w:rPr>
        <w:t>deionized</w:t>
      </w:r>
      <w:r w:rsidR="00894109">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water, with conductivity less than 2 μS/cm, was used throughout the study for preparation of solutions, dilutions, rinsing, and as a blank in analytical measurements. The use of high-purity water was essential to avoid introducing metallic contaminants from the water itself.</w:t>
      </w:r>
    </w:p>
    <w:p w14:paraId="23A79A43" w14:textId="1FAE8863" w:rsidR="00673EE6" w:rsidRPr="000420D9" w:rsidRDefault="00673EE6" w:rsidP="00673E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Standard stock solutions of the target heavy metals </w:t>
      </w:r>
      <w:r w:rsidR="00894109" w:rsidRPr="008169E7">
        <w:rPr>
          <w:rFonts w:ascii="Times New Roman" w:eastAsia="Times New Roman" w:hAnsi="Times New Roman" w:cs="Times New Roman"/>
          <w:color w:val="FF0000"/>
          <w:sz w:val="24"/>
          <w:szCs w:val="24"/>
          <w:lang w:eastAsia="en-GB"/>
        </w:rPr>
        <w:t xml:space="preserve">and reagents used </w:t>
      </w:r>
      <w:r w:rsidR="0001055A" w:rsidRPr="008169E7">
        <w:rPr>
          <w:rFonts w:ascii="Times New Roman" w:eastAsia="Times New Roman" w:hAnsi="Times New Roman" w:cs="Times New Roman"/>
          <w:color w:val="FF0000"/>
          <w:sz w:val="24"/>
          <w:szCs w:val="24"/>
          <w:lang w:eastAsia="en-GB"/>
        </w:rPr>
        <w:t>were</w:t>
      </w:r>
      <w:r w:rsidR="00894109" w:rsidRPr="008169E7">
        <w:rPr>
          <w:rFonts w:ascii="Times New Roman" w:hAnsi="Times New Roman"/>
          <w:color w:val="FF0000"/>
          <w:szCs w:val="24"/>
        </w:rPr>
        <w:t xml:space="preserve"> </w:t>
      </w:r>
      <w:r w:rsidR="00894109" w:rsidRPr="00FD20A6">
        <w:rPr>
          <w:rFonts w:ascii="Times New Roman" w:hAnsi="Times New Roman"/>
          <w:color w:val="FF0000"/>
          <w:szCs w:val="24"/>
        </w:rPr>
        <w:t>obtained from BDH Laboratory reagents Poole England Ltd</w:t>
      </w:r>
      <w:r w:rsidRPr="000420D9">
        <w:rPr>
          <w:rFonts w:ascii="Times New Roman" w:eastAsia="Times New Roman" w:hAnsi="Times New Roman" w:cs="Times New Roman"/>
          <w:sz w:val="24"/>
          <w:szCs w:val="24"/>
          <w:lang w:eastAsia="en-GB"/>
        </w:rPr>
        <w:t xml:space="preserve"> and were certified reference materials with known concentrations and traceability to international standards. Individual standard solutions were available for lead (Pb), cadmium (Cd), zinc (Zn), copper (Cu), and manganese (Mn), typically at concentrations of 1000 mg/L (1000 ppm). From these stock solutions, working standard solutions at appropriate concentration ranges were prepared by serial dilution using volumetric glassware and acidified distilled </w:t>
      </w:r>
      <w:r w:rsidR="0001055A" w:rsidRPr="0001055A">
        <w:rPr>
          <w:rFonts w:ascii="Times New Roman" w:eastAsia="Times New Roman" w:hAnsi="Times New Roman" w:cs="Times New Roman"/>
          <w:color w:val="FF0000"/>
          <w:sz w:val="24"/>
          <w:szCs w:val="24"/>
          <w:lang w:eastAsia="en-GB"/>
        </w:rPr>
        <w:t xml:space="preserve">deionized </w:t>
      </w:r>
      <w:r w:rsidRPr="000420D9">
        <w:rPr>
          <w:rFonts w:ascii="Times New Roman" w:eastAsia="Times New Roman" w:hAnsi="Times New Roman" w:cs="Times New Roman"/>
          <w:sz w:val="24"/>
          <w:szCs w:val="24"/>
          <w:lang w:eastAsia="en-GB"/>
        </w:rPr>
        <w:t>water (typically 2% HNO₃) to prevent metal adsorption onto container walls and precipitation.</w:t>
      </w:r>
    </w:p>
    <w:p w14:paraId="3CED6F2C" w14:textId="101D67C8" w:rsidR="00673EE6" w:rsidRDefault="00673EE6" w:rsidP="00FC16C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Dilute nitric acid solutions at various concentrations (2%, 5%, and 10%) were prepared from the concentrated acid for different purposes including cleaning glassware, acidifying solutions, and preparing blanks and standards. All reagent bottles were clearly </w:t>
      </w:r>
      <w:r w:rsidR="008169E7" w:rsidRPr="008169E7">
        <w:rPr>
          <w:rFonts w:ascii="Times New Roman" w:eastAsia="Times New Roman" w:hAnsi="Times New Roman" w:cs="Times New Roman"/>
          <w:color w:val="FF0000"/>
          <w:sz w:val="24"/>
          <w:szCs w:val="24"/>
          <w:lang w:eastAsia="en-GB"/>
        </w:rPr>
        <w:t>labelled</w:t>
      </w:r>
      <w:r w:rsidRPr="000420D9">
        <w:rPr>
          <w:rFonts w:ascii="Times New Roman" w:eastAsia="Times New Roman" w:hAnsi="Times New Roman" w:cs="Times New Roman"/>
          <w:sz w:val="24"/>
          <w:szCs w:val="24"/>
          <w:lang w:eastAsia="en-GB"/>
        </w:rPr>
        <w:t xml:space="preserve"> with content information, concentration, preparation date, and expiry date where applicable. Reagents were stored according to manufacturer recommendations, with acids kept in designated acid storage cabinets in well-ventilated areas.</w:t>
      </w:r>
    </w:p>
    <w:p w14:paraId="3C2CCE48" w14:textId="585E74EA" w:rsidR="009E1B9C" w:rsidRPr="00BB15F1" w:rsidRDefault="00843F5E" w:rsidP="0038231D">
      <w:pPr>
        <w:spacing w:before="100" w:beforeAutospacing="1" w:after="100" w:afterAutospacing="1" w:line="240" w:lineRule="auto"/>
        <w:jc w:val="both"/>
        <w:rPr>
          <w:rFonts w:ascii="Times New Roman" w:eastAsia="Times New Roman" w:hAnsi="Times New Roman" w:cs="Times New Roman"/>
          <w:b/>
          <w:color w:val="FF0000"/>
          <w:sz w:val="24"/>
          <w:szCs w:val="24"/>
          <w:lang w:eastAsia="en-GB"/>
        </w:rPr>
      </w:pPr>
      <w:r w:rsidRPr="00BB15F1">
        <w:rPr>
          <w:rFonts w:ascii="Times New Roman" w:eastAsia="Times New Roman" w:hAnsi="Times New Roman" w:cs="Times New Roman"/>
          <w:b/>
          <w:color w:val="FF0000"/>
          <w:sz w:val="24"/>
          <w:szCs w:val="24"/>
          <w:lang w:eastAsia="en-GB"/>
        </w:rPr>
        <w:t xml:space="preserve">2.5 </w:t>
      </w:r>
      <w:r w:rsidR="009E1B9C" w:rsidRPr="00BB15F1">
        <w:rPr>
          <w:rFonts w:ascii="Times New Roman" w:eastAsia="Times New Roman" w:hAnsi="Times New Roman" w:cs="Times New Roman"/>
          <w:b/>
          <w:color w:val="FF0000"/>
          <w:sz w:val="24"/>
          <w:szCs w:val="24"/>
          <w:lang w:eastAsia="en-GB"/>
        </w:rPr>
        <w:t>Site</w:t>
      </w:r>
      <w:r w:rsidR="00E07613">
        <w:rPr>
          <w:rFonts w:ascii="Times New Roman" w:eastAsia="Times New Roman" w:hAnsi="Times New Roman" w:cs="Times New Roman"/>
          <w:b/>
          <w:color w:val="FF0000"/>
          <w:sz w:val="24"/>
          <w:szCs w:val="24"/>
          <w:lang w:eastAsia="en-GB"/>
        </w:rPr>
        <w:t>s</w:t>
      </w:r>
      <w:r w:rsidR="009E1B9C" w:rsidRPr="00BB15F1">
        <w:rPr>
          <w:rFonts w:ascii="Times New Roman" w:eastAsia="Times New Roman" w:hAnsi="Times New Roman" w:cs="Times New Roman"/>
          <w:b/>
          <w:color w:val="FF0000"/>
          <w:sz w:val="24"/>
          <w:szCs w:val="24"/>
          <w:lang w:eastAsia="en-GB"/>
        </w:rPr>
        <w:t xml:space="preserve"> selection</w:t>
      </w:r>
      <w:r w:rsidR="00673EE6" w:rsidRPr="00BB15F1">
        <w:rPr>
          <w:rFonts w:ascii="Times New Roman" w:eastAsia="Times New Roman" w:hAnsi="Times New Roman" w:cs="Times New Roman"/>
          <w:b/>
          <w:color w:val="FF0000"/>
          <w:sz w:val="24"/>
          <w:szCs w:val="24"/>
          <w:lang w:eastAsia="en-GB"/>
        </w:rPr>
        <w:t xml:space="preserve"> and Atherogenic Activities around the sampling site</w:t>
      </w:r>
    </w:p>
    <w:p w14:paraId="4DF10784" w14:textId="6FBA6268" w:rsidR="00501B91"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Three </w:t>
      </w:r>
      <w:r w:rsidR="00064FFE" w:rsidRPr="00064FFE">
        <w:rPr>
          <w:rFonts w:ascii="Times New Roman" w:eastAsia="Times New Roman" w:hAnsi="Times New Roman" w:cs="Times New Roman"/>
          <w:color w:val="FF0000"/>
          <w:sz w:val="24"/>
          <w:szCs w:val="24"/>
          <w:lang w:eastAsia="en-GB"/>
        </w:rPr>
        <w:t>selected</w:t>
      </w:r>
      <w:r w:rsidRPr="000420D9">
        <w:rPr>
          <w:rFonts w:ascii="Times New Roman" w:eastAsia="Times New Roman" w:hAnsi="Times New Roman" w:cs="Times New Roman"/>
          <w:sz w:val="24"/>
          <w:szCs w:val="24"/>
          <w:lang w:eastAsia="en-GB"/>
        </w:rPr>
        <w:t xml:space="preserve"> sampling sites </w:t>
      </w:r>
      <w:r w:rsidR="00DB0097">
        <w:rPr>
          <w:rFonts w:ascii="Times New Roman" w:eastAsia="Times New Roman" w:hAnsi="Times New Roman" w:cs="Times New Roman"/>
          <w:sz w:val="24"/>
          <w:szCs w:val="24"/>
          <w:lang w:eastAsia="en-GB"/>
        </w:rPr>
        <w:t>in</w:t>
      </w:r>
      <w:r w:rsidR="00064FFE">
        <w:rPr>
          <w:rFonts w:ascii="Times New Roman" w:eastAsia="Times New Roman" w:hAnsi="Times New Roman" w:cs="Times New Roman"/>
          <w:sz w:val="24"/>
          <w:szCs w:val="24"/>
          <w:lang w:eastAsia="en-GB"/>
        </w:rPr>
        <w:t xml:space="preserve"> </w:t>
      </w:r>
      <w:r w:rsidR="00064FFE" w:rsidRPr="000420D9">
        <w:rPr>
          <w:rFonts w:ascii="Times New Roman" w:eastAsia="Times New Roman" w:hAnsi="Times New Roman" w:cs="Times New Roman"/>
          <w:sz w:val="24"/>
          <w:szCs w:val="24"/>
          <w:lang w:eastAsia="en-GB"/>
        </w:rPr>
        <w:t>Mbaani, Kathama, and Muthei</w:t>
      </w:r>
      <w:r w:rsidRPr="000420D9">
        <w:rPr>
          <w:rFonts w:ascii="Times New Roman" w:eastAsia="Times New Roman" w:hAnsi="Times New Roman" w:cs="Times New Roman"/>
          <w:sz w:val="24"/>
          <w:szCs w:val="24"/>
          <w:lang w:eastAsia="en-GB"/>
        </w:rPr>
        <w:t xml:space="preserve"> </w:t>
      </w:r>
      <w:r w:rsidR="00667900" w:rsidRPr="00667900">
        <w:rPr>
          <w:rFonts w:ascii="Times New Roman" w:eastAsia="Times New Roman" w:hAnsi="Times New Roman" w:cs="Times New Roman"/>
          <w:color w:val="FF0000"/>
          <w:sz w:val="24"/>
          <w:szCs w:val="24"/>
          <w:lang w:eastAsia="en-GB"/>
        </w:rPr>
        <w:t>sub-locations</w:t>
      </w:r>
      <w:r w:rsidR="00DB0097" w:rsidRPr="00667900">
        <w:rPr>
          <w:rFonts w:ascii="Times New Roman" w:eastAsia="Times New Roman" w:hAnsi="Times New Roman" w:cs="Times New Roman"/>
          <w:color w:val="FF0000"/>
          <w:sz w:val="24"/>
          <w:szCs w:val="24"/>
          <w:lang w:eastAsia="en-GB"/>
        </w:rPr>
        <w:t xml:space="preserve"> in Masii </w:t>
      </w:r>
      <w:r w:rsidR="00667900" w:rsidRPr="00667900">
        <w:rPr>
          <w:rFonts w:ascii="Times New Roman" w:eastAsia="Times New Roman" w:hAnsi="Times New Roman" w:cs="Times New Roman"/>
          <w:color w:val="FF0000"/>
          <w:sz w:val="24"/>
          <w:szCs w:val="24"/>
          <w:lang w:eastAsia="en-GB"/>
        </w:rPr>
        <w:t>Ward</w:t>
      </w:r>
      <w:r w:rsidR="008169E7">
        <w:rPr>
          <w:rFonts w:ascii="Times New Roman" w:eastAsia="Times New Roman" w:hAnsi="Times New Roman" w:cs="Times New Roman"/>
          <w:sz w:val="24"/>
          <w:szCs w:val="24"/>
          <w:lang w:eastAsia="en-GB"/>
        </w:rPr>
        <w:t xml:space="preserve">, </w:t>
      </w:r>
      <w:r w:rsidR="00DB0097">
        <w:rPr>
          <w:rFonts w:ascii="Times New Roman" w:eastAsia="Times New Roman" w:hAnsi="Times New Roman" w:cs="Times New Roman"/>
          <w:sz w:val="24"/>
          <w:szCs w:val="24"/>
          <w:lang w:eastAsia="en-GB"/>
        </w:rPr>
        <w:t>Mwala Sub-County</w:t>
      </w:r>
      <w:r w:rsidR="00895C7E">
        <w:rPr>
          <w:rFonts w:ascii="Times New Roman" w:eastAsia="Times New Roman" w:hAnsi="Times New Roman" w:cs="Times New Roman"/>
          <w:sz w:val="24"/>
          <w:szCs w:val="24"/>
          <w:lang w:eastAsia="en-GB"/>
        </w:rPr>
        <w:t xml:space="preserve"> (</w:t>
      </w:r>
      <w:r w:rsidR="00895C7E" w:rsidRPr="009E1B9C">
        <w:rPr>
          <w:rFonts w:ascii="Times New Roman" w:eastAsia="Times New Roman" w:hAnsi="Times New Roman" w:cs="Times New Roman"/>
          <w:color w:val="FF0000"/>
          <w:sz w:val="24"/>
          <w:szCs w:val="24"/>
          <w:lang w:eastAsia="en-GB"/>
        </w:rPr>
        <w:t>Figure 1)</w:t>
      </w:r>
      <w:r w:rsidR="00DB0097">
        <w:rPr>
          <w:rFonts w:ascii="Times New Roman" w:eastAsia="Times New Roman" w:hAnsi="Times New Roman" w:cs="Times New Roman"/>
          <w:color w:val="FF0000"/>
          <w:sz w:val="24"/>
          <w:szCs w:val="24"/>
          <w:lang w:eastAsia="en-GB"/>
        </w:rPr>
        <w:t xml:space="preserve"> were selected</w:t>
      </w:r>
      <w:r w:rsidR="00895C7E" w:rsidRPr="009E1B9C">
        <w:rPr>
          <w:rFonts w:ascii="Times New Roman" w:eastAsia="Times New Roman" w:hAnsi="Times New Roman" w:cs="Times New Roman"/>
          <w:color w:val="FF0000"/>
          <w:sz w:val="24"/>
          <w:szCs w:val="24"/>
          <w:lang w:eastAsia="en-GB"/>
        </w:rPr>
        <w:t>.</w:t>
      </w:r>
      <w:r w:rsidRPr="009E1B9C">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These sites were chosen based on several criteria including active maize cultivation, accessibility for sample collection, representation of typical farming systems in the area, and willingness of farmers to participate in </w:t>
      </w:r>
      <w:r w:rsidRPr="00DB0097">
        <w:rPr>
          <w:rFonts w:ascii="Times New Roman" w:eastAsia="Times New Roman" w:hAnsi="Times New Roman" w:cs="Times New Roman"/>
          <w:color w:val="FF0000"/>
          <w:sz w:val="24"/>
          <w:szCs w:val="24"/>
          <w:lang w:eastAsia="en-GB"/>
        </w:rPr>
        <w:t>th</w:t>
      </w:r>
      <w:r w:rsidR="00DB0097" w:rsidRPr="00DB0097">
        <w:rPr>
          <w:rFonts w:ascii="Times New Roman" w:eastAsia="Times New Roman" w:hAnsi="Times New Roman" w:cs="Times New Roman"/>
          <w:color w:val="FF0000"/>
          <w:sz w:val="24"/>
          <w:szCs w:val="24"/>
          <w:lang w:eastAsia="en-GB"/>
        </w:rPr>
        <w:t>is study</w:t>
      </w:r>
      <w:r w:rsidRPr="000420D9">
        <w:rPr>
          <w:rFonts w:ascii="Times New Roman" w:eastAsia="Times New Roman" w:hAnsi="Times New Roman" w:cs="Times New Roman"/>
          <w:sz w:val="24"/>
          <w:szCs w:val="24"/>
          <w:lang w:eastAsia="en-GB"/>
        </w:rPr>
        <w:t>. The Mbaani site is located at latitude -1.45196° and longitude 37.48384°, with an elevation of approximately 1200 meters above sea level</w:t>
      </w:r>
      <w:r w:rsidR="00DB0097">
        <w:rPr>
          <w:rFonts w:ascii="Times New Roman" w:eastAsia="Times New Roman" w:hAnsi="Times New Roman" w:cs="Times New Roman"/>
          <w:sz w:val="24"/>
          <w:szCs w:val="24"/>
          <w:lang w:eastAsia="en-GB"/>
        </w:rPr>
        <w:t xml:space="preserve"> (</w:t>
      </w:r>
      <w:r w:rsidR="00DB0097" w:rsidRPr="00DB0097">
        <w:rPr>
          <w:rFonts w:ascii="Times New Roman" w:eastAsia="Times New Roman" w:hAnsi="Times New Roman" w:cs="Times New Roman"/>
          <w:color w:val="FF0000"/>
          <w:sz w:val="24"/>
          <w:szCs w:val="24"/>
          <w:lang w:eastAsia="en-GB"/>
        </w:rPr>
        <w:t>Table 1</w:t>
      </w:r>
      <w:r w:rsidR="00DB0097">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This area is characterized primarily by agricultural activities, with maize being a dominant crop alongside beans, pigeon peas, and vegetables</w:t>
      </w:r>
      <w:r w:rsidR="00E07613">
        <w:rPr>
          <w:rFonts w:ascii="Times New Roman" w:eastAsia="Times New Roman" w:hAnsi="Times New Roman" w:cs="Times New Roman"/>
          <w:sz w:val="24"/>
          <w:szCs w:val="24"/>
          <w:lang w:eastAsia="en-GB"/>
        </w:rPr>
        <w:t xml:space="preserve"> </w:t>
      </w:r>
      <w:r w:rsidR="00E07613" w:rsidRPr="00E07613">
        <w:rPr>
          <w:rFonts w:ascii="Times New Roman" w:eastAsia="Times New Roman" w:hAnsi="Times New Roman" w:cs="Times New Roman"/>
          <w:color w:val="FF0000"/>
          <w:sz w:val="24"/>
          <w:szCs w:val="24"/>
          <w:lang w:eastAsia="en-GB"/>
        </w:rPr>
        <w:t>[9]</w:t>
      </w:r>
      <w:r w:rsidRPr="00E07613">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The soils in Mbaani are predominantly reddish-brown, suggesting weathered </w:t>
      </w:r>
      <w:r w:rsidRPr="000420D9">
        <w:rPr>
          <w:rFonts w:ascii="Times New Roman" w:eastAsia="Times New Roman" w:hAnsi="Times New Roman" w:cs="Times New Roman"/>
          <w:sz w:val="24"/>
          <w:szCs w:val="24"/>
          <w:lang w:eastAsia="en-GB"/>
        </w:rPr>
        <w:lastRenderedPageBreak/>
        <w:t>volcanic parent material, and farmers typically apply both organic manures and synthetic fertilizers to maintain soil fertility.</w:t>
      </w:r>
      <w:r w:rsidR="009E1B9C">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 xml:space="preserve">The Kathama sampling site, </w:t>
      </w:r>
      <w:r w:rsidR="0016724C">
        <w:rPr>
          <w:rFonts w:ascii="Times New Roman" w:eastAsia="Times New Roman" w:hAnsi="Times New Roman" w:cs="Times New Roman"/>
          <w:sz w:val="24"/>
          <w:szCs w:val="24"/>
          <w:lang w:eastAsia="en-GB"/>
        </w:rPr>
        <w:t xml:space="preserve">is </w:t>
      </w:r>
      <w:r w:rsidRPr="000420D9">
        <w:rPr>
          <w:rFonts w:ascii="Times New Roman" w:eastAsia="Times New Roman" w:hAnsi="Times New Roman" w:cs="Times New Roman"/>
          <w:sz w:val="24"/>
          <w:szCs w:val="24"/>
          <w:lang w:eastAsia="en-GB"/>
        </w:rPr>
        <w:t xml:space="preserve">positioned at latitude -1.44074° and longitude 37.41032°, sits at an elevation of approximately 1190 meters above sea level. This ward exhibits more diverse economic activities compared to Mbaani, with trade and commerce playing significant roles alongside agriculture. The proximity to local markets and trading </w:t>
      </w:r>
      <w:r w:rsidR="009E1B9C" w:rsidRPr="000420D9">
        <w:rPr>
          <w:rFonts w:ascii="Times New Roman" w:eastAsia="Times New Roman" w:hAnsi="Times New Roman" w:cs="Times New Roman"/>
          <w:sz w:val="24"/>
          <w:szCs w:val="24"/>
          <w:lang w:eastAsia="en-GB"/>
        </w:rPr>
        <w:t>centres</w:t>
      </w:r>
      <w:r w:rsidRPr="000420D9">
        <w:rPr>
          <w:rFonts w:ascii="Times New Roman" w:eastAsia="Times New Roman" w:hAnsi="Times New Roman" w:cs="Times New Roman"/>
          <w:sz w:val="24"/>
          <w:szCs w:val="24"/>
          <w:lang w:eastAsia="en-GB"/>
        </w:rPr>
        <w:t xml:space="preserve"> means that agricultural inputs including fertilizers and pesticides are readily accessible to farmers. The area experiences moderate human activity and vehicle traffic, which could potentially contribute to atmospheric deposition of certain contaminants.</w:t>
      </w:r>
      <w:r w:rsidR="009E1B9C">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Muthei ward, the third sampling location, is found at latitude -1.43958° and longitude 37.4078°, with a lower elevation of approximately 1011 meters above sea level</w:t>
      </w:r>
      <w:r w:rsidR="00E246E7">
        <w:rPr>
          <w:rFonts w:ascii="Times New Roman" w:eastAsia="Times New Roman" w:hAnsi="Times New Roman" w:cs="Times New Roman"/>
          <w:sz w:val="24"/>
          <w:szCs w:val="24"/>
          <w:lang w:eastAsia="en-GB"/>
        </w:rPr>
        <w:t xml:space="preserve"> (</w:t>
      </w:r>
      <w:r w:rsidR="00E246E7" w:rsidRPr="00DB0097">
        <w:rPr>
          <w:rFonts w:ascii="Times New Roman" w:eastAsia="Times New Roman" w:hAnsi="Times New Roman" w:cs="Times New Roman"/>
          <w:color w:val="FF0000"/>
          <w:sz w:val="24"/>
          <w:szCs w:val="24"/>
          <w:lang w:eastAsia="en-GB"/>
        </w:rPr>
        <w:t>Table 1</w:t>
      </w:r>
      <w:r w:rsidR="00E246E7">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This site is characterized by mixed farming systems with particular emphasis on livestock management alongside crop production. The integration of livestock activities means that animal manures are commonly used as soil amendments, and the area maintains higher organic matter inputs compared to areas relying solely on synthetic fertilizers. The lower elevation also results in slightly warmer conditions and potentially different cropping patterns</w:t>
      </w:r>
      <w:r w:rsidR="004863A9">
        <w:rPr>
          <w:rFonts w:ascii="Times New Roman" w:eastAsia="Times New Roman" w:hAnsi="Times New Roman" w:cs="Times New Roman"/>
          <w:sz w:val="24"/>
          <w:szCs w:val="24"/>
          <w:lang w:eastAsia="en-GB"/>
        </w:rPr>
        <w:t xml:space="preserve"> </w:t>
      </w:r>
      <w:r w:rsidR="00E07613" w:rsidRPr="00E07613">
        <w:rPr>
          <w:rFonts w:ascii="Times New Roman" w:eastAsia="Times New Roman" w:hAnsi="Times New Roman" w:cs="Times New Roman"/>
          <w:color w:val="FF0000"/>
          <w:sz w:val="24"/>
          <w:szCs w:val="24"/>
          <w:lang w:eastAsia="en-GB"/>
        </w:rPr>
        <w:t>[9]</w:t>
      </w:r>
      <w:r w:rsidRPr="00E07613">
        <w:rPr>
          <w:rFonts w:ascii="Times New Roman" w:eastAsia="Times New Roman" w:hAnsi="Times New Roman" w:cs="Times New Roman"/>
          <w:color w:val="FF0000"/>
          <w:sz w:val="24"/>
          <w:szCs w:val="24"/>
          <w:lang w:eastAsia="en-GB"/>
        </w:rPr>
        <w:t>.</w:t>
      </w:r>
    </w:p>
    <w:p w14:paraId="63A50E1A" w14:textId="497038A4" w:rsidR="00FC4E0E" w:rsidRPr="0016724C" w:rsidRDefault="00FC4E0E"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sidRPr="0016724C">
        <w:rPr>
          <w:rFonts w:ascii="Times New Roman" w:eastAsia="Times New Roman" w:hAnsi="Times New Roman" w:cs="Times New Roman"/>
          <w:color w:val="FF0000"/>
          <w:sz w:val="24"/>
          <w:szCs w:val="24"/>
          <w:lang w:eastAsia="en-GB"/>
        </w:rPr>
        <w:t>Table</w:t>
      </w:r>
      <w:r w:rsidR="00AF156F">
        <w:rPr>
          <w:rFonts w:ascii="Times New Roman" w:eastAsia="Times New Roman" w:hAnsi="Times New Roman" w:cs="Times New Roman"/>
          <w:color w:val="FF0000"/>
          <w:sz w:val="24"/>
          <w:szCs w:val="24"/>
          <w:lang w:eastAsia="en-GB"/>
        </w:rPr>
        <w:t xml:space="preserve"> 1</w:t>
      </w:r>
      <w:r w:rsidRPr="0016724C">
        <w:rPr>
          <w:rFonts w:ascii="Times New Roman" w:eastAsia="Times New Roman" w:hAnsi="Times New Roman" w:cs="Times New Roman"/>
          <w:color w:val="FF0000"/>
          <w:sz w:val="24"/>
          <w:szCs w:val="24"/>
          <w:lang w:eastAsia="en-GB"/>
        </w:rPr>
        <w:t xml:space="preserve">:  </w:t>
      </w:r>
      <w:r w:rsidR="0016724C" w:rsidRPr="0016724C">
        <w:rPr>
          <w:rFonts w:ascii="Times New Roman" w:eastAsia="Times New Roman" w:hAnsi="Times New Roman" w:cs="Times New Roman"/>
          <w:color w:val="FF0000"/>
          <w:sz w:val="24"/>
          <w:szCs w:val="24"/>
          <w:lang w:eastAsia="en-GB"/>
        </w:rPr>
        <w:t xml:space="preserve">Selected </w:t>
      </w:r>
      <w:r w:rsidRPr="0016724C">
        <w:rPr>
          <w:rFonts w:ascii="Times New Roman" w:eastAsia="Times New Roman" w:hAnsi="Times New Roman" w:cs="Times New Roman"/>
          <w:color w:val="FF0000"/>
          <w:sz w:val="24"/>
          <w:szCs w:val="24"/>
          <w:lang w:eastAsia="en-GB"/>
        </w:rPr>
        <w:t>Sampling Sites</w:t>
      </w:r>
      <w:r w:rsidR="00667900">
        <w:rPr>
          <w:rFonts w:ascii="Times New Roman" w:eastAsia="Times New Roman" w:hAnsi="Times New Roman" w:cs="Times New Roman"/>
          <w:color w:val="FF0000"/>
          <w:sz w:val="24"/>
          <w:szCs w:val="24"/>
          <w:lang w:eastAsia="en-GB"/>
        </w:rPr>
        <w:t xml:space="preserve"> in Masii</w:t>
      </w:r>
      <w:r w:rsidRPr="0016724C">
        <w:rPr>
          <w:rFonts w:ascii="Times New Roman" w:eastAsia="Times New Roman" w:hAnsi="Times New Roman" w:cs="Times New Roman"/>
          <w:color w:val="FF0000"/>
          <w:sz w:val="24"/>
          <w:szCs w:val="24"/>
          <w:lang w:eastAsia="en-GB"/>
        </w:rPr>
        <w:t xml:space="preserve"> </w:t>
      </w:r>
      <w:r w:rsidR="00667900">
        <w:rPr>
          <w:rFonts w:ascii="Times New Roman" w:eastAsia="Times New Roman" w:hAnsi="Times New Roman" w:cs="Times New Roman"/>
          <w:color w:val="FF0000"/>
          <w:sz w:val="24"/>
          <w:szCs w:val="24"/>
          <w:lang w:eastAsia="en-GB"/>
        </w:rPr>
        <w:t xml:space="preserve">Ward </w:t>
      </w:r>
      <w:r w:rsidRPr="0016724C">
        <w:rPr>
          <w:rFonts w:ascii="Times New Roman" w:eastAsia="Times New Roman" w:hAnsi="Times New Roman" w:cs="Times New Roman"/>
          <w:color w:val="FF0000"/>
          <w:sz w:val="24"/>
          <w:szCs w:val="24"/>
          <w:lang w:eastAsia="en-GB"/>
        </w:rPr>
        <w:t xml:space="preserve">and Atherogenic activities around </w:t>
      </w:r>
      <w:r w:rsidR="00673EE6" w:rsidRPr="0016724C">
        <w:rPr>
          <w:rFonts w:ascii="Times New Roman" w:eastAsia="Times New Roman" w:hAnsi="Times New Roman" w:cs="Times New Roman"/>
          <w:color w:val="FF0000"/>
          <w:sz w:val="24"/>
          <w:szCs w:val="24"/>
          <w:lang w:eastAsia="en-GB"/>
        </w:rPr>
        <w:t>the site</w:t>
      </w:r>
    </w:p>
    <w:tbl>
      <w:tblPr>
        <w:tblStyle w:val="TableGrid"/>
        <w:tblW w:w="9351" w:type="dxa"/>
        <w:tblLook w:val="04A0" w:firstRow="1" w:lastRow="0" w:firstColumn="1" w:lastColumn="0" w:noHBand="0" w:noVBand="1"/>
      </w:tblPr>
      <w:tblGrid>
        <w:gridCol w:w="988"/>
        <w:gridCol w:w="1134"/>
        <w:gridCol w:w="1134"/>
        <w:gridCol w:w="1134"/>
        <w:gridCol w:w="2551"/>
        <w:gridCol w:w="2410"/>
      </w:tblGrid>
      <w:tr w:rsidR="00FC4E0E" w:rsidRPr="00BC0231" w14:paraId="18EE20B9" w14:textId="77777777" w:rsidTr="00AF156F">
        <w:tc>
          <w:tcPr>
            <w:tcW w:w="988" w:type="dxa"/>
          </w:tcPr>
          <w:p w14:paraId="4E1AE6D1" w14:textId="77777777" w:rsidR="00FC4E0E" w:rsidRPr="00BC0231" w:rsidRDefault="00FC4E0E" w:rsidP="00FC4E0E">
            <w:pPr>
              <w:rPr>
                <w:b/>
                <w:sz w:val="20"/>
                <w:szCs w:val="20"/>
              </w:rPr>
            </w:pPr>
            <w:r w:rsidRPr="00BC0231">
              <w:rPr>
                <w:b/>
                <w:sz w:val="20"/>
                <w:szCs w:val="20"/>
              </w:rPr>
              <w:t>S/No</w:t>
            </w:r>
          </w:p>
        </w:tc>
        <w:tc>
          <w:tcPr>
            <w:tcW w:w="1134" w:type="dxa"/>
          </w:tcPr>
          <w:p w14:paraId="7915C4ED" w14:textId="77777777" w:rsidR="00FC4E0E" w:rsidRPr="00BC0231" w:rsidRDefault="00FC4E0E" w:rsidP="00FC4E0E">
            <w:pPr>
              <w:rPr>
                <w:b/>
                <w:sz w:val="20"/>
                <w:szCs w:val="20"/>
              </w:rPr>
            </w:pPr>
            <w:r w:rsidRPr="00BC0231">
              <w:rPr>
                <w:b/>
                <w:sz w:val="20"/>
                <w:szCs w:val="20"/>
              </w:rPr>
              <w:t>Site Name</w:t>
            </w:r>
          </w:p>
        </w:tc>
        <w:tc>
          <w:tcPr>
            <w:tcW w:w="1134" w:type="dxa"/>
          </w:tcPr>
          <w:p w14:paraId="5330B29B" w14:textId="77777777" w:rsidR="00FC4E0E" w:rsidRPr="00BC0231" w:rsidRDefault="00FC4E0E" w:rsidP="00FC4E0E">
            <w:pPr>
              <w:rPr>
                <w:b/>
                <w:sz w:val="20"/>
                <w:szCs w:val="20"/>
              </w:rPr>
            </w:pPr>
            <w:r w:rsidRPr="00BC0231">
              <w:rPr>
                <w:b/>
                <w:sz w:val="20"/>
                <w:szCs w:val="20"/>
              </w:rPr>
              <w:t>Latitude</w:t>
            </w:r>
          </w:p>
        </w:tc>
        <w:tc>
          <w:tcPr>
            <w:tcW w:w="1134" w:type="dxa"/>
          </w:tcPr>
          <w:p w14:paraId="0E40BD8D" w14:textId="77777777" w:rsidR="00FC4E0E" w:rsidRPr="00BC0231" w:rsidRDefault="00FC4E0E" w:rsidP="00FC4E0E">
            <w:pPr>
              <w:rPr>
                <w:b/>
                <w:sz w:val="20"/>
                <w:szCs w:val="20"/>
              </w:rPr>
            </w:pPr>
            <w:r w:rsidRPr="00BC0231">
              <w:rPr>
                <w:b/>
                <w:sz w:val="20"/>
                <w:szCs w:val="20"/>
              </w:rPr>
              <w:t>Longitude</w:t>
            </w:r>
          </w:p>
        </w:tc>
        <w:tc>
          <w:tcPr>
            <w:tcW w:w="2551" w:type="dxa"/>
          </w:tcPr>
          <w:p w14:paraId="64B48A82" w14:textId="77777777" w:rsidR="00FC4E0E" w:rsidRPr="00BC0231" w:rsidRDefault="00FC4E0E" w:rsidP="00FC4E0E">
            <w:pPr>
              <w:rPr>
                <w:b/>
                <w:sz w:val="20"/>
                <w:szCs w:val="20"/>
              </w:rPr>
            </w:pPr>
            <w:r w:rsidRPr="00BC0231">
              <w:rPr>
                <w:b/>
                <w:sz w:val="20"/>
                <w:szCs w:val="20"/>
              </w:rPr>
              <w:t>Hight above sea levels (m)</w:t>
            </w:r>
          </w:p>
        </w:tc>
        <w:tc>
          <w:tcPr>
            <w:tcW w:w="2410" w:type="dxa"/>
          </w:tcPr>
          <w:p w14:paraId="7D329795" w14:textId="77777777" w:rsidR="00FC4E0E" w:rsidRPr="00BC0231" w:rsidRDefault="00FC4E0E" w:rsidP="00FC4E0E">
            <w:pPr>
              <w:rPr>
                <w:b/>
                <w:sz w:val="20"/>
                <w:szCs w:val="20"/>
              </w:rPr>
            </w:pPr>
            <w:r w:rsidRPr="00BC0231">
              <w:rPr>
                <w:b/>
                <w:sz w:val="20"/>
                <w:szCs w:val="20"/>
              </w:rPr>
              <w:t>Human Activities</w:t>
            </w:r>
          </w:p>
        </w:tc>
      </w:tr>
      <w:tr w:rsidR="00FC4E0E" w14:paraId="7528C0B2" w14:textId="77777777" w:rsidTr="00AF156F">
        <w:tc>
          <w:tcPr>
            <w:tcW w:w="988" w:type="dxa"/>
          </w:tcPr>
          <w:p w14:paraId="026A1AC6" w14:textId="77777777" w:rsidR="00FC4E0E" w:rsidRDefault="00FC4E0E" w:rsidP="00FC4E0E">
            <w:r>
              <w:t>1</w:t>
            </w:r>
          </w:p>
        </w:tc>
        <w:tc>
          <w:tcPr>
            <w:tcW w:w="1134" w:type="dxa"/>
          </w:tcPr>
          <w:p w14:paraId="3B91CEEF" w14:textId="77777777" w:rsidR="00FC4E0E" w:rsidRDefault="00FC4E0E" w:rsidP="00FC4E0E">
            <w:r>
              <w:t>Mbaani</w:t>
            </w:r>
          </w:p>
        </w:tc>
        <w:tc>
          <w:tcPr>
            <w:tcW w:w="1134" w:type="dxa"/>
          </w:tcPr>
          <w:p w14:paraId="63BC78B9" w14:textId="77777777" w:rsidR="00FC4E0E" w:rsidRDefault="00FC4E0E" w:rsidP="00FC4E0E">
            <w:r>
              <w:t>-1.45196</w:t>
            </w:r>
          </w:p>
        </w:tc>
        <w:tc>
          <w:tcPr>
            <w:tcW w:w="1134" w:type="dxa"/>
          </w:tcPr>
          <w:p w14:paraId="50703024" w14:textId="77777777" w:rsidR="00FC4E0E" w:rsidRDefault="00FC4E0E" w:rsidP="00FC4E0E">
            <w:r>
              <w:t>37.48384</w:t>
            </w:r>
          </w:p>
        </w:tc>
        <w:tc>
          <w:tcPr>
            <w:tcW w:w="2551" w:type="dxa"/>
          </w:tcPr>
          <w:p w14:paraId="7AF3B43C" w14:textId="77777777" w:rsidR="00FC4E0E" w:rsidRDefault="00FC4E0E" w:rsidP="00FC4E0E">
            <w:r>
              <w:t>1200</w:t>
            </w:r>
          </w:p>
        </w:tc>
        <w:tc>
          <w:tcPr>
            <w:tcW w:w="2410" w:type="dxa"/>
          </w:tcPr>
          <w:p w14:paraId="725655DC" w14:textId="4CA4F83B" w:rsidR="00FC4E0E" w:rsidRDefault="00FC4E0E" w:rsidP="00FC4E0E">
            <w:r>
              <w:t>Maize, kales</w:t>
            </w:r>
            <w:r w:rsidR="0016724C">
              <w:t xml:space="preserve">, </w:t>
            </w:r>
            <w:r w:rsidR="00AF156F">
              <w:t xml:space="preserve">beans, </w:t>
            </w:r>
            <w:r w:rsidR="0016724C">
              <w:t>Fruits</w:t>
            </w:r>
          </w:p>
        </w:tc>
      </w:tr>
      <w:tr w:rsidR="00FC4E0E" w14:paraId="6ED56AE6" w14:textId="77777777" w:rsidTr="00AF156F">
        <w:tc>
          <w:tcPr>
            <w:tcW w:w="988" w:type="dxa"/>
          </w:tcPr>
          <w:p w14:paraId="37755C88" w14:textId="77777777" w:rsidR="00FC4E0E" w:rsidRDefault="00FC4E0E" w:rsidP="00FC4E0E">
            <w:r>
              <w:t>2</w:t>
            </w:r>
          </w:p>
        </w:tc>
        <w:tc>
          <w:tcPr>
            <w:tcW w:w="1134" w:type="dxa"/>
          </w:tcPr>
          <w:p w14:paraId="2C6BAE97" w14:textId="77777777" w:rsidR="00FC4E0E" w:rsidRDefault="00FC4E0E" w:rsidP="00FC4E0E">
            <w:r>
              <w:t>Kathama</w:t>
            </w:r>
          </w:p>
        </w:tc>
        <w:tc>
          <w:tcPr>
            <w:tcW w:w="1134" w:type="dxa"/>
          </w:tcPr>
          <w:p w14:paraId="3A15A0E3" w14:textId="77777777" w:rsidR="00FC4E0E" w:rsidRDefault="00FC4E0E" w:rsidP="00FC4E0E">
            <w:r>
              <w:t>-1.44074</w:t>
            </w:r>
          </w:p>
        </w:tc>
        <w:tc>
          <w:tcPr>
            <w:tcW w:w="1134" w:type="dxa"/>
          </w:tcPr>
          <w:p w14:paraId="6AC9E99F" w14:textId="77777777" w:rsidR="00FC4E0E" w:rsidRDefault="00FC4E0E" w:rsidP="00FC4E0E">
            <w:r>
              <w:t>37.41032</w:t>
            </w:r>
          </w:p>
        </w:tc>
        <w:tc>
          <w:tcPr>
            <w:tcW w:w="2551" w:type="dxa"/>
          </w:tcPr>
          <w:p w14:paraId="5F146BB3" w14:textId="77777777" w:rsidR="00FC4E0E" w:rsidRDefault="00FC4E0E" w:rsidP="00FC4E0E">
            <w:r>
              <w:t>1190</w:t>
            </w:r>
          </w:p>
        </w:tc>
        <w:tc>
          <w:tcPr>
            <w:tcW w:w="2410" w:type="dxa"/>
          </w:tcPr>
          <w:p w14:paraId="2D74A472" w14:textId="55B9FDB4" w:rsidR="00FC4E0E" w:rsidRDefault="00FC4E0E" w:rsidP="00FC4E0E">
            <w:r>
              <w:t xml:space="preserve">Maize, </w:t>
            </w:r>
            <w:r w:rsidR="0016724C">
              <w:t xml:space="preserve">Fruits, </w:t>
            </w:r>
            <w:r>
              <w:t>Trade and commercial activities</w:t>
            </w:r>
          </w:p>
        </w:tc>
      </w:tr>
      <w:tr w:rsidR="00FC4E0E" w14:paraId="5BF4BBA2" w14:textId="77777777" w:rsidTr="00AF156F">
        <w:tc>
          <w:tcPr>
            <w:tcW w:w="988" w:type="dxa"/>
          </w:tcPr>
          <w:p w14:paraId="0C72F052" w14:textId="77777777" w:rsidR="00FC4E0E" w:rsidRDefault="00FC4E0E" w:rsidP="00FC4E0E">
            <w:r>
              <w:t>3</w:t>
            </w:r>
          </w:p>
        </w:tc>
        <w:tc>
          <w:tcPr>
            <w:tcW w:w="1134" w:type="dxa"/>
          </w:tcPr>
          <w:p w14:paraId="307A2985" w14:textId="77777777" w:rsidR="00FC4E0E" w:rsidRDefault="00FC4E0E" w:rsidP="00FC4E0E">
            <w:r>
              <w:t>Muthei</w:t>
            </w:r>
          </w:p>
        </w:tc>
        <w:tc>
          <w:tcPr>
            <w:tcW w:w="1134" w:type="dxa"/>
          </w:tcPr>
          <w:p w14:paraId="5997A1D7" w14:textId="77777777" w:rsidR="00FC4E0E" w:rsidRDefault="00FC4E0E" w:rsidP="00FC4E0E">
            <w:r>
              <w:t>-1.43958</w:t>
            </w:r>
          </w:p>
        </w:tc>
        <w:tc>
          <w:tcPr>
            <w:tcW w:w="1134" w:type="dxa"/>
          </w:tcPr>
          <w:p w14:paraId="29289CBC" w14:textId="77777777" w:rsidR="00FC4E0E" w:rsidRDefault="00FC4E0E" w:rsidP="00FC4E0E">
            <w:r>
              <w:t>37.4078</w:t>
            </w:r>
          </w:p>
        </w:tc>
        <w:tc>
          <w:tcPr>
            <w:tcW w:w="2551" w:type="dxa"/>
          </w:tcPr>
          <w:p w14:paraId="161193CB" w14:textId="77777777" w:rsidR="00FC4E0E" w:rsidRDefault="00FC4E0E" w:rsidP="00FC4E0E">
            <w:r>
              <w:t>1011</w:t>
            </w:r>
          </w:p>
        </w:tc>
        <w:tc>
          <w:tcPr>
            <w:tcW w:w="2410" w:type="dxa"/>
          </w:tcPr>
          <w:p w14:paraId="3B5F8EC4" w14:textId="77777777" w:rsidR="00FC4E0E" w:rsidRDefault="00FC4E0E" w:rsidP="00FC4E0E">
            <w:r>
              <w:t>Maize, livestock managements</w:t>
            </w:r>
          </w:p>
        </w:tc>
      </w:tr>
    </w:tbl>
    <w:p w14:paraId="3AF7D53C" w14:textId="2B49B9F0" w:rsidR="00285697" w:rsidRPr="00673EE6" w:rsidRDefault="00285697" w:rsidP="00673EE6">
      <w:pPr>
        <w:spacing w:before="100" w:beforeAutospacing="1" w:after="100" w:afterAutospacing="1" w:line="240" w:lineRule="auto"/>
        <w:jc w:val="both"/>
        <w:rPr>
          <w:rFonts w:ascii="Times New Roman" w:eastAsia="Times New Roman" w:hAnsi="Times New Roman" w:cs="Times New Roman"/>
          <w:b/>
          <w:bCs/>
          <w:sz w:val="24"/>
          <w:szCs w:val="24"/>
          <w:lang w:eastAsia="en-GB"/>
        </w:rPr>
      </w:pPr>
    </w:p>
    <w:p w14:paraId="1806DF4D" w14:textId="388EA562" w:rsidR="000420D9" w:rsidRPr="000420D9" w:rsidRDefault="00BB15F1"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 xml:space="preserve">2.6 </w:t>
      </w:r>
      <w:r w:rsidRPr="000420D9">
        <w:rPr>
          <w:rFonts w:ascii="Times New Roman" w:eastAsia="Times New Roman" w:hAnsi="Times New Roman" w:cs="Times New Roman"/>
          <w:b/>
          <w:bCs/>
          <w:sz w:val="24"/>
          <w:szCs w:val="24"/>
          <w:lang w:eastAsia="en-GB"/>
        </w:rPr>
        <w:t>Sample</w:t>
      </w:r>
      <w:r w:rsidR="000420D9" w:rsidRPr="000420D9">
        <w:rPr>
          <w:rFonts w:ascii="Times New Roman" w:eastAsia="Times New Roman" w:hAnsi="Times New Roman" w:cs="Times New Roman"/>
          <w:b/>
          <w:bCs/>
          <w:sz w:val="24"/>
          <w:szCs w:val="24"/>
          <w:lang w:eastAsia="en-GB"/>
        </w:rPr>
        <w:t xml:space="preserve"> Collection, Transportation</w:t>
      </w:r>
      <w:r w:rsidR="00501B91">
        <w:rPr>
          <w:rFonts w:ascii="Times New Roman" w:eastAsia="Times New Roman" w:hAnsi="Times New Roman" w:cs="Times New Roman"/>
          <w:b/>
          <w:bCs/>
          <w:sz w:val="24"/>
          <w:szCs w:val="24"/>
          <w:lang w:eastAsia="en-GB"/>
        </w:rPr>
        <w:t xml:space="preserve"> </w:t>
      </w:r>
      <w:r w:rsidR="00501B91" w:rsidRPr="00501B91">
        <w:rPr>
          <w:rFonts w:ascii="Times New Roman" w:eastAsia="Times New Roman" w:hAnsi="Times New Roman" w:cs="Times New Roman"/>
          <w:b/>
          <w:bCs/>
          <w:color w:val="FF0000"/>
          <w:sz w:val="24"/>
          <w:szCs w:val="24"/>
          <w:lang w:eastAsia="en-GB"/>
        </w:rPr>
        <w:t>to the laboratory</w:t>
      </w:r>
      <w:r w:rsidR="000420D9" w:rsidRPr="000420D9">
        <w:rPr>
          <w:rFonts w:ascii="Times New Roman" w:eastAsia="Times New Roman" w:hAnsi="Times New Roman" w:cs="Times New Roman"/>
          <w:b/>
          <w:bCs/>
          <w:sz w:val="24"/>
          <w:szCs w:val="24"/>
          <w:lang w:eastAsia="en-GB"/>
        </w:rPr>
        <w:t>, Storage, and Preparation</w:t>
      </w:r>
    </w:p>
    <w:p w14:paraId="5AB15BF2" w14:textId="44AB95F5"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Sample collection was conducted during the harvest season in March 2024 when maize had reached physiological maturity</w:t>
      </w:r>
      <w:r w:rsidR="00501B91">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xml:space="preserve"> </w:t>
      </w:r>
      <w:r w:rsidR="00501B91" w:rsidRPr="00501B91">
        <w:rPr>
          <w:rFonts w:ascii="Times New Roman" w:eastAsia="Times New Roman" w:hAnsi="Times New Roman" w:cs="Times New Roman"/>
          <w:color w:val="FF0000"/>
          <w:sz w:val="24"/>
          <w:szCs w:val="24"/>
          <w:lang w:eastAsia="en-GB"/>
        </w:rPr>
        <w:t xml:space="preserve">fresh and dry </w:t>
      </w:r>
      <w:r w:rsidRPr="00501B91">
        <w:rPr>
          <w:rFonts w:ascii="Times New Roman" w:eastAsia="Times New Roman" w:hAnsi="Times New Roman" w:cs="Times New Roman"/>
          <w:color w:val="FF0000"/>
          <w:sz w:val="24"/>
          <w:szCs w:val="24"/>
          <w:lang w:eastAsia="en-GB"/>
        </w:rPr>
        <w:t>grains cob</w:t>
      </w:r>
      <w:r w:rsidR="00501B91" w:rsidRPr="00501B91">
        <w:rPr>
          <w:rFonts w:ascii="Times New Roman" w:eastAsia="Times New Roman" w:hAnsi="Times New Roman" w:cs="Times New Roman"/>
          <w:color w:val="FF0000"/>
          <w:sz w:val="24"/>
          <w:szCs w:val="24"/>
          <w:lang w:eastAsia="en-GB"/>
        </w:rPr>
        <w:t>s were collected</w:t>
      </w:r>
      <w:r w:rsidRPr="000420D9">
        <w:rPr>
          <w:rFonts w:ascii="Times New Roman" w:eastAsia="Times New Roman" w:hAnsi="Times New Roman" w:cs="Times New Roman"/>
          <w:sz w:val="24"/>
          <w:szCs w:val="24"/>
          <w:lang w:eastAsia="en-GB"/>
        </w:rPr>
        <w:t xml:space="preserve">. The timing of collection was important to ensure that samples represented the actual product consumed by local populations. Three different maize varieties were targeted: SC Duma 43 hybrid, SC Sungura 301 hybrid, and Indigenous Kamba maize (locally known as Kinyaanya). These varieties represent the range of maize types commonly grown in Masii </w:t>
      </w:r>
      <w:r w:rsidR="0097689C" w:rsidRPr="0097689C">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xml:space="preserve">, with the two </w:t>
      </w:r>
      <w:r w:rsidR="00436BEC" w:rsidRPr="003C49B8">
        <w:rPr>
          <w:rFonts w:ascii="Times New Roman" w:hAnsi="Times New Roman" w:cs="Times New Roman"/>
          <w:color w:val="FF0000"/>
          <w:sz w:val="24"/>
          <w:szCs w:val="24"/>
          <w:lang w:val="en-US"/>
        </w:rPr>
        <w:t>genetic</w:t>
      </w:r>
      <w:r w:rsidR="00436BEC">
        <w:rPr>
          <w:rFonts w:ascii="Times New Roman" w:hAnsi="Times New Roman" w:cs="Times New Roman"/>
          <w:color w:val="FF0000"/>
          <w:sz w:val="24"/>
          <w:szCs w:val="24"/>
          <w:lang w:val="en-US"/>
        </w:rPr>
        <w:t>ally</w:t>
      </w:r>
      <w:r w:rsidR="00436BEC" w:rsidRPr="003C49B8">
        <w:rPr>
          <w:rFonts w:ascii="Times New Roman" w:hAnsi="Times New Roman" w:cs="Times New Roman"/>
          <w:color w:val="FF0000"/>
          <w:sz w:val="24"/>
          <w:szCs w:val="24"/>
          <w:lang w:val="en-US"/>
        </w:rPr>
        <w:t xml:space="preserve"> improved drought-tolerant hybrids</w:t>
      </w:r>
      <w:r w:rsidR="00540985">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varieties promoted through agricultural extension services, while the indigenous variety represents traditional germplasm maintained by farmers over generations.</w:t>
      </w:r>
    </w:p>
    <w:p w14:paraId="61213DFC" w14:textId="73E430A0"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Samples were collected from three separate farms located in Mbaani, Kathama, and Muthei </w:t>
      </w:r>
      <w:r w:rsidR="00164565" w:rsidRPr="009E773A">
        <w:rPr>
          <w:rFonts w:ascii="Times New Roman" w:eastAsia="Times New Roman" w:hAnsi="Times New Roman" w:cs="Times New Roman"/>
          <w:color w:val="FF0000"/>
          <w:sz w:val="24"/>
          <w:szCs w:val="24"/>
          <w:lang w:eastAsia="en-GB"/>
        </w:rPr>
        <w:t>sub</w:t>
      </w:r>
      <w:r w:rsidR="009E773A" w:rsidRPr="009E773A">
        <w:rPr>
          <w:rFonts w:ascii="Times New Roman" w:eastAsia="Times New Roman" w:hAnsi="Times New Roman" w:cs="Times New Roman"/>
          <w:color w:val="FF0000"/>
          <w:sz w:val="24"/>
          <w:szCs w:val="24"/>
          <w:lang w:eastAsia="en-GB"/>
        </w:rPr>
        <w:t>-</w:t>
      </w:r>
      <w:r w:rsidR="00164565" w:rsidRPr="009E773A">
        <w:rPr>
          <w:rFonts w:ascii="Times New Roman" w:eastAsia="Times New Roman" w:hAnsi="Times New Roman" w:cs="Times New Roman"/>
          <w:color w:val="FF0000"/>
          <w:sz w:val="24"/>
          <w:szCs w:val="24"/>
          <w:lang w:eastAsia="en-GB"/>
        </w:rPr>
        <w:t>location</w:t>
      </w:r>
      <w:r w:rsidR="009E773A" w:rsidRPr="009E773A">
        <w:rPr>
          <w:rFonts w:ascii="Times New Roman" w:eastAsia="Times New Roman" w:hAnsi="Times New Roman" w:cs="Times New Roman"/>
          <w:color w:val="FF0000"/>
          <w:sz w:val="24"/>
          <w:szCs w:val="24"/>
          <w:lang w:eastAsia="en-GB"/>
        </w:rPr>
        <w:t>s</w:t>
      </w:r>
      <w:r w:rsidR="00164565" w:rsidRPr="009E773A">
        <w:rPr>
          <w:rFonts w:ascii="Times New Roman" w:eastAsia="Times New Roman" w:hAnsi="Times New Roman" w:cs="Times New Roman"/>
          <w:color w:val="FF0000"/>
          <w:sz w:val="24"/>
          <w:szCs w:val="24"/>
          <w:lang w:eastAsia="en-GB"/>
        </w:rPr>
        <w:t xml:space="preserve"> in </w:t>
      </w:r>
      <w:r w:rsidR="009E773A" w:rsidRPr="009E773A">
        <w:rPr>
          <w:rFonts w:ascii="Times New Roman" w:eastAsia="Times New Roman" w:hAnsi="Times New Roman" w:cs="Times New Roman"/>
          <w:color w:val="FF0000"/>
          <w:sz w:val="24"/>
          <w:szCs w:val="24"/>
          <w:lang w:eastAsia="en-GB"/>
        </w:rPr>
        <w:t>Masii Ward</w:t>
      </w:r>
      <w:r w:rsidR="00540985" w:rsidRPr="009E773A">
        <w:rPr>
          <w:rFonts w:ascii="Times New Roman" w:eastAsia="Times New Roman" w:hAnsi="Times New Roman" w:cs="Times New Roman"/>
          <w:color w:val="FF0000"/>
          <w:sz w:val="24"/>
          <w:szCs w:val="24"/>
          <w:lang w:eastAsia="en-GB"/>
        </w:rPr>
        <w:t xml:space="preserve"> </w:t>
      </w:r>
      <w:r w:rsidR="00540985">
        <w:rPr>
          <w:rFonts w:ascii="Times New Roman" w:eastAsia="Times New Roman" w:hAnsi="Times New Roman" w:cs="Times New Roman"/>
          <w:sz w:val="24"/>
          <w:szCs w:val="24"/>
          <w:lang w:eastAsia="en-GB"/>
        </w:rPr>
        <w:t>(</w:t>
      </w:r>
      <w:r w:rsidR="00540985" w:rsidRPr="00540985">
        <w:rPr>
          <w:rFonts w:ascii="Times New Roman" w:eastAsia="Times New Roman" w:hAnsi="Times New Roman" w:cs="Times New Roman"/>
          <w:color w:val="FF0000"/>
          <w:sz w:val="24"/>
          <w:szCs w:val="24"/>
          <w:lang w:eastAsia="en-GB"/>
        </w:rPr>
        <w:t>Figure 1)</w:t>
      </w:r>
      <w:r w:rsidRPr="000420D9">
        <w:rPr>
          <w:rFonts w:ascii="Times New Roman" w:eastAsia="Times New Roman" w:hAnsi="Times New Roman" w:cs="Times New Roman"/>
          <w:sz w:val="24"/>
          <w:szCs w:val="24"/>
          <w:lang w:eastAsia="en-GB"/>
        </w:rPr>
        <w:t>. At each farm, both fresh maize (</w:t>
      </w:r>
      <w:r w:rsidR="00540985" w:rsidRPr="00540985">
        <w:rPr>
          <w:rFonts w:ascii="Times New Roman" w:eastAsia="Times New Roman" w:hAnsi="Times New Roman" w:cs="Times New Roman"/>
          <w:color w:val="FF0000"/>
          <w:sz w:val="24"/>
          <w:szCs w:val="24"/>
          <w:lang w:eastAsia="en-GB"/>
        </w:rPr>
        <w:t>just</w:t>
      </w:r>
      <w:r w:rsidRPr="000420D9">
        <w:rPr>
          <w:rFonts w:ascii="Times New Roman" w:eastAsia="Times New Roman" w:hAnsi="Times New Roman" w:cs="Times New Roman"/>
          <w:sz w:val="24"/>
          <w:szCs w:val="24"/>
          <w:lang w:eastAsia="en-GB"/>
        </w:rPr>
        <w:t xml:space="preserve"> harvested with higher moisture content) and dry maize (</w:t>
      </w:r>
      <w:r w:rsidR="00540985">
        <w:rPr>
          <w:rFonts w:ascii="Times New Roman" w:eastAsia="Times New Roman" w:hAnsi="Times New Roman" w:cs="Times New Roman"/>
          <w:sz w:val="24"/>
          <w:szCs w:val="24"/>
          <w:lang w:eastAsia="en-GB"/>
        </w:rPr>
        <w:t xml:space="preserve">harvested </w:t>
      </w:r>
      <w:r w:rsidR="00540985" w:rsidRPr="00811C5F">
        <w:rPr>
          <w:rFonts w:ascii="Times New Roman" w:eastAsia="Times New Roman" w:hAnsi="Times New Roman" w:cs="Times New Roman"/>
          <w:color w:val="FF0000"/>
          <w:sz w:val="24"/>
          <w:szCs w:val="24"/>
          <w:lang w:eastAsia="en-GB"/>
        </w:rPr>
        <w:t>field dried</w:t>
      </w:r>
      <w:r w:rsidRPr="000420D9">
        <w:rPr>
          <w:rFonts w:ascii="Times New Roman" w:eastAsia="Times New Roman" w:hAnsi="Times New Roman" w:cs="Times New Roman"/>
          <w:sz w:val="24"/>
          <w:szCs w:val="24"/>
          <w:lang w:eastAsia="en-GB"/>
        </w:rPr>
        <w:t xml:space="preserve">) were </w:t>
      </w:r>
      <w:r w:rsidR="00540985" w:rsidRPr="00540985">
        <w:rPr>
          <w:rFonts w:ascii="Times New Roman" w:eastAsia="Times New Roman" w:hAnsi="Times New Roman" w:cs="Times New Roman"/>
          <w:color w:val="FF0000"/>
          <w:sz w:val="24"/>
          <w:szCs w:val="24"/>
          <w:lang w:eastAsia="en-GB"/>
        </w:rPr>
        <w:t>collected</w:t>
      </w:r>
      <w:r w:rsidRPr="000420D9">
        <w:rPr>
          <w:rFonts w:ascii="Times New Roman" w:eastAsia="Times New Roman" w:hAnsi="Times New Roman" w:cs="Times New Roman"/>
          <w:sz w:val="24"/>
          <w:szCs w:val="24"/>
          <w:lang w:eastAsia="en-GB"/>
        </w:rPr>
        <w:t xml:space="preserve"> to provide a comprehensive assessment. A random sampling approach was employed to ensure representative samples and minimize selection bias. From each farm</w:t>
      </w:r>
      <w:r w:rsidR="00540985">
        <w:rPr>
          <w:rFonts w:ascii="Times New Roman" w:eastAsia="Times New Roman" w:hAnsi="Times New Roman" w:cs="Times New Roman"/>
          <w:sz w:val="24"/>
          <w:szCs w:val="24"/>
          <w:lang w:eastAsia="en-GB"/>
        </w:rPr>
        <w:t xml:space="preserve"> (</w:t>
      </w:r>
      <w:r w:rsidR="00540985" w:rsidRPr="00540985">
        <w:rPr>
          <w:rFonts w:ascii="Times New Roman" w:eastAsia="Times New Roman" w:hAnsi="Times New Roman" w:cs="Times New Roman"/>
          <w:color w:val="FF0000"/>
          <w:sz w:val="24"/>
          <w:szCs w:val="24"/>
          <w:lang w:eastAsia="en-GB"/>
        </w:rPr>
        <w:t>Figure 2</w:t>
      </w:r>
      <w:r w:rsidR="00540985">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maize was collected from different parts of the field rather than from a single location, and multiple cobs were combined to create a composite sample representing that farm.</w:t>
      </w:r>
    </w:p>
    <w:p w14:paraId="76A4920A" w14:textId="77777777" w:rsidR="00290237" w:rsidRDefault="00290237" w:rsidP="0038231D">
      <w:pPr>
        <w:spacing w:before="100" w:beforeAutospacing="1" w:after="100" w:afterAutospacing="1" w:line="240" w:lineRule="auto"/>
        <w:jc w:val="both"/>
        <w:rPr>
          <w:rFonts w:ascii="Times New Roman" w:hAnsi="Times New Roman" w:cs="Times New Roman"/>
          <w:bCs/>
          <w:noProof/>
          <w:color w:val="000000" w:themeColor="text1"/>
          <w:lang w:eastAsia="en-GB"/>
        </w:rPr>
      </w:pPr>
    </w:p>
    <w:p w14:paraId="5353DC0A" w14:textId="68FE3E3B" w:rsidR="00801435" w:rsidRDefault="004043FE"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48405E">
        <w:rPr>
          <w:rFonts w:ascii="Times New Roman" w:hAnsi="Times New Roman" w:cs="Times New Roman"/>
          <w:bCs/>
          <w:noProof/>
        </w:rPr>
        <w:lastRenderedPageBreak/>
        <w:drawing>
          <wp:inline distT="0" distB="0" distL="0" distR="0" wp14:anchorId="4C9E48C3" wp14:editId="6F5A4B76">
            <wp:extent cx="4933950" cy="3076575"/>
            <wp:effectExtent l="0" t="0" r="0" b="9525"/>
            <wp:docPr id="132776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9360" name="Picture 1207739360"/>
                    <pic:cNvPicPr/>
                  </pic:nvPicPr>
                  <pic:blipFill>
                    <a:blip r:embed="rId13">
                      <a:extLst>
                        <a:ext uri="{28A0092B-C50C-407E-A947-70E740481C1C}">
                          <a14:useLocalDpi xmlns:a14="http://schemas.microsoft.com/office/drawing/2010/main" val="0"/>
                        </a:ext>
                      </a:extLst>
                    </a:blip>
                    <a:stretch>
                      <a:fillRect/>
                    </a:stretch>
                  </pic:blipFill>
                  <pic:spPr>
                    <a:xfrm>
                      <a:off x="0" y="0"/>
                      <a:ext cx="4933950" cy="3076575"/>
                    </a:xfrm>
                    <a:prstGeom prst="rect">
                      <a:avLst/>
                    </a:prstGeom>
                  </pic:spPr>
                </pic:pic>
              </a:graphicData>
            </a:graphic>
          </wp:inline>
        </w:drawing>
      </w:r>
    </w:p>
    <w:p w14:paraId="532D5043" w14:textId="7A32553C"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811C5F">
        <w:rPr>
          <w:rFonts w:ascii="Times New Roman" w:eastAsia="Times New Roman" w:hAnsi="Times New Roman" w:cs="Times New Roman"/>
          <w:bCs/>
          <w:color w:val="FF0000"/>
          <w:sz w:val="24"/>
          <w:szCs w:val="24"/>
          <w:lang w:eastAsia="en-GB"/>
        </w:rPr>
        <w:t>Figure</w:t>
      </w:r>
      <w:r w:rsidR="00801435" w:rsidRPr="00811C5F">
        <w:rPr>
          <w:rFonts w:ascii="Times New Roman" w:eastAsia="Times New Roman" w:hAnsi="Times New Roman" w:cs="Times New Roman"/>
          <w:bCs/>
          <w:color w:val="FF0000"/>
          <w:sz w:val="24"/>
          <w:szCs w:val="24"/>
          <w:lang w:eastAsia="en-GB"/>
        </w:rPr>
        <w:t xml:space="preserve"> 2</w:t>
      </w:r>
      <w:r w:rsidR="00811C5F" w:rsidRPr="00811C5F">
        <w:rPr>
          <w:rFonts w:ascii="Times New Roman" w:eastAsia="Times New Roman" w:hAnsi="Times New Roman" w:cs="Times New Roman"/>
          <w:bCs/>
          <w:color w:val="FF0000"/>
          <w:sz w:val="24"/>
          <w:szCs w:val="24"/>
          <w:lang w:eastAsia="en-GB"/>
        </w:rPr>
        <w:t>:</w:t>
      </w:r>
      <w:r w:rsidR="00801435" w:rsidRPr="00811C5F">
        <w:rPr>
          <w:rFonts w:ascii="Times New Roman" w:eastAsia="Times New Roman" w:hAnsi="Times New Roman" w:cs="Times New Roman"/>
          <w:b/>
          <w:bCs/>
          <w:color w:val="FF0000"/>
          <w:sz w:val="24"/>
          <w:szCs w:val="24"/>
          <w:lang w:eastAsia="en-GB"/>
        </w:rPr>
        <w:t xml:space="preserve"> </w:t>
      </w:r>
      <w:r w:rsidRPr="00CD25A2">
        <w:rPr>
          <w:rFonts w:ascii="Times New Roman" w:eastAsia="Times New Roman" w:hAnsi="Times New Roman" w:cs="Times New Roman"/>
          <w:bCs/>
          <w:sz w:val="24"/>
          <w:szCs w:val="24"/>
          <w:lang w:eastAsia="en-GB"/>
        </w:rPr>
        <w:t>Maize seeds samples collection from Mbaani sampling site</w:t>
      </w:r>
    </w:p>
    <w:p w14:paraId="0C6CF202" w14:textId="7541630A"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Each sample, consisting of approximately one kilogram of maize kernels</w:t>
      </w:r>
      <w:r w:rsidR="00811C5F">
        <w:rPr>
          <w:rFonts w:ascii="Times New Roman" w:eastAsia="Times New Roman" w:hAnsi="Times New Roman" w:cs="Times New Roman"/>
          <w:sz w:val="24"/>
          <w:szCs w:val="24"/>
          <w:lang w:eastAsia="en-GB"/>
        </w:rPr>
        <w:t xml:space="preserve"> (</w:t>
      </w:r>
      <w:r w:rsidR="00811C5F" w:rsidRPr="00811C5F">
        <w:rPr>
          <w:rFonts w:ascii="Times New Roman" w:eastAsia="Times New Roman" w:hAnsi="Times New Roman" w:cs="Times New Roman"/>
          <w:color w:val="FF0000"/>
          <w:sz w:val="24"/>
          <w:szCs w:val="24"/>
          <w:lang w:eastAsia="en-GB"/>
        </w:rPr>
        <w:t>Figure 3</w:t>
      </w:r>
      <w:r w:rsidR="00811C5F">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xml:space="preserve">, was carefully packed in clean khaki paper bags. Khaki bags were chosen because they are breathable, preventing moisture accumulation that could promote mold growth, while also being strong enough to prevent spillage during transportation. Each </w:t>
      </w:r>
      <w:r w:rsidR="00811C5F" w:rsidRPr="00811C5F">
        <w:rPr>
          <w:rFonts w:ascii="Times New Roman" w:eastAsia="Times New Roman" w:hAnsi="Times New Roman" w:cs="Times New Roman"/>
          <w:color w:val="FF0000"/>
          <w:sz w:val="24"/>
          <w:szCs w:val="24"/>
          <w:lang w:eastAsia="en-GB"/>
        </w:rPr>
        <w:t xml:space="preserve">sample </w:t>
      </w:r>
      <w:r w:rsidRPr="000420D9">
        <w:rPr>
          <w:rFonts w:ascii="Times New Roman" w:eastAsia="Times New Roman" w:hAnsi="Times New Roman" w:cs="Times New Roman"/>
          <w:sz w:val="24"/>
          <w:szCs w:val="24"/>
          <w:lang w:eastAsia="en-GB"/>
        </w:rPr>
        <w:t xml:space="preserve">bag was clearly </w:t>
      </w:r>
      <w:r w:rsidR="00811C5F" w:rsidRPr="00811C5F">
        <w:rPr>
          <w:rFonts w:ascii="Times New Roman" w:eastAsia="Times New Roman" w:hAnsi="Times New Roman" w:cs="Times New Roman"/>
          <w:color w:val="FF0000"/>
          <w:sz w:val="24"/>
          <w:szCs w:val="24"/>
          <w:lang w:eastAsia="en-GB"/>
        </w:rPr>
        <w:t>labelled</w:t>
      </w:r>
      <w:r w:rsidRPr="00811C5F">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with detailed information including sample identification code, variety name, collection site, collection date, and whether the sample was fresh or dry. The </w:t>
      </w:r>
      <w:r w:rsidR="00811C5F" w:rsidRPr="00811C5F">
        <w:rPr>
          <w:rFonts w:ascii="Times New Roman" w:eastAsia="Times New Roman" w:hAnsi="Times New Roman" w:cs="Times New Roman"/>
          <w:color w:val="FF0000"/>
          <w:sz w:val="24"/>
          <w:szCs w:val="24"/>
          <w:lang w:eastAsia="en-GB"/>
        </w:rPr>
        <w:t>labelling</w:t>
      </w:r>
      <w:r w:rsidRPr="00811C5F">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system ensured proper tracking throughout the analytical process.</w:t>
      </w:r>
    </w:p>
    <w:p w14:paraId="4A8CFE22" w14:textId="41EBB24F"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w:t>
      </w:r>
      <w:r w:rsidR="00811C5F" w:rsidRPr="00811C5F">
        <w:rPr>
          <w:rFonts w:ascii="Times New Roman" w:eastAsia="Times New Roman" w:hAnsi="Times New Roman" w:cs="Times New Roman"/>
          <w:color w:val="FF0000"/>
          <w:sz w:val="24"/>
          <w:szCs w:val="24"/>
          <w:lang w:eastAsia="en-GB"/>
        </w:rPr>
        <w:t>labelled</w:t>
      </w:r>
      <w:r w:rsidRPr="000420D9">
        <w:rPr>
          <w:rFonts w:ascii="Times New Roman" w:eastAsia="Times New Roman" w:hAnsi="Times New Roman" w:cs="Times New Roman"/>
          <w:sz w:val="24"/>
          <w:szCs w:val="24"/>
          <w:lang w:eastAsia="en-GB"/>
        </w:rPr>
        <w:t xml:space="preserve"> samples were </w:t>
      </w:r>
      <w:r w:rsidR="00811C5F" w:rsidRPr="00811C5F">
        <w:rPr>
          <w:rFonts w:ascii="Times New Roman" w:eastAsia="Times New Roman" w:hAnsi="Times New Roman" w:cs="Times New Roman"/>
          <w:color w:val="FF0000"/>
          <w:sz w:val="24"/>
          <w:szCs w:val="24"/>
          <w:lang w:eastAsia="en-GB"/>
        </w:rPr>
        <w:t>each</w:t>
      </w:r>
      <w:r w:rsidR="00811C5F">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placed in a clean polyurethane cool</w:t>
      </w:r>
      <w:r w:rsidR="00272804" w:rsidRPr="00272804">
        <w:rPr>
          <w:rFonts w:ascii="Times New Roman" w:eastAsia="Times New Roman" w:hAnsi="Times New Roman" w:cs="Times New Roman"/>
          <w:color w:val="FF0000"/>
          <w:sz w:val="24"/>
          <w:szCs w:val="24"/>
          <w:lang w:eastAsia="en-GB"/>
        </w:rPr>
        <w:t>er</w:t>
      </w:r>
      <w:r w:rsidRPr="000420D9">
        <w:rPr>
          <w:rFonts w:ascii="Times New Roman" w:eastAsia="Times New Roman" w:hAnsi="Times New Roman" w:cs="Times New Roman"/>
          <w:sz w:val="24"/>
          <w:szCs w:val="24"/>
          <w:lang w:eastAsia="en-GB"/>
        </w:rPr>
        <w:t xml:space="preserve"> box for transportation to the</w:t>
      </w:r>
      <w:r w:rsidR="00811C5F">
        <w:rPr>
          <w:rFonts w:ascii="Times New Roman" w:eastAsia="Times New Roman" w:hAnsi="Times New Roman" w:cs="Times New Roman"/>
          <w:sz w:val="24"/>
          <w:szCs w:val="24"/>
          <w:lang w:eastAsia="en-GB"/>
        </w:rPr>
        <w:t xml:space="preserve"> </w:t>
      </w:r>
      <w:r w:rsidR="00811C5F" w:rsidRPr="00811C5F">
        <w:rPr>
          <w:rFonts w:ascii="Times New Roman" w:eastAsia="Times New Roman" w:hAnsi="Times New Roman" w:cs="Times New Roman"/>
          <w:color w:val="FF0000"/>
          <w:sz w:val="24"/>
          <w:szCs w:val="24"/>
          <w:lang w:eastAsia="en-GB"/>
        </w:rPr>
        <w:t>Department of Chemistry</w:t>
      </w:r>
      <w:r w:rsidRPr="00811C5F">
        <w:rPr>
          <w:rFonts w:ascii="Times New Roman" w:eastAsia="Times New Roman" w:hAnsi="Times New Roman" w:cs="Times New Roman"/>
          <w:color w:val="FF0000"/>
          <w:sz w:val="24"/>
          <w:szCs w:val="24"/>
          <w:lang w:eastAsia="en-GB"/>
        </w:rPr>
        <w:t xml:space="preserve"> laboratory</w:t>
      </w:r>
      <w:r w:rsidR="00811C5F" w:rsidRPr="00811C5F">
        <w:rPr>
          <w:rFonts w:ascii="Times New Roman" w:eastAsia="Times New Roman" w:hAnsi="Times New Roman" w:cs="Times New Roman"/>
          <w:color w:val="FF0000"/>
          <w:sz w:val="24"/>
          <w:szCs w:val="24"/>
          <w:lang w:eastAsia="en-GB"/>
        </w:rPr>
        <w:t>, University of Nairobi</w:t>
      </w:r>
      <w:r w:rsidR="00811C5F">
        <w:rPr>
          <w:rFonts w:ascii="Times New Roman" w:eastAsia="Times New Roman" w:hAnsi="Times New Roman" w:cs="Times New Roman"/>
          <w:color w:val="FF0000"/>
          <w:sz w:val="24"/>
          <w:szCs w:val="24"/>
          <w:lang w:eastAsia="en-GB"/>
        </w:rPr>
        <w:t xml:space="preserve"> for storage an analysis</w:t>
      </w:r>
      <w:r w:rsidRPr="000420D9">
        <w:rPr>
          <w:rFonts w:ascii="Times New Roman" w:eastAsia="Times New Roman" w:hAnsi="Times New Roman" w:cs="Times New Roman"/>
          <w:sz w:val="24"/>
          <w:szCs w:val="24"/>
          <w:lang w:eastAsia="en-GB"/>
        </w:rPr>
        <w:t>. While refrigeration was not strictly necessary for dry grain samples, the cool</w:t>
      </w:r>
      <w:r w:rsidR="00272804" w:rsidRPr="00272804">
        <w:rPr>
          <w:rFonts w:ascii="Times New Roman" w:eastAsia="Times New Roman" w:hAnsi="Times New Roman" w:cs="Times New Roman"/>
          <w:color w:val="FF0000"/>
          <w:sz w:val="24"/>
          <w:szCs w:val="24"/>
          <w:lang w:eastAsia="en-GB"/>
        </w:rPr>
        <w:t>er</w:t>
      </w:r>
      <w:r w:rsidRPr="000420D9">
        <w:rPr>
          <w:rFonts w:ascii="Times New Roman" w:eastAsia="Times New Roman" w:hAnsi="Times New Roman" w:cs="Times New Roman"/>
          <w:sz w:val="24"/>
          <w:szCs w:val="24"/>
          <w:lang w:eastAsia="en-GB"/>
        </w:rPr>
        <w:t xml:space="preserve"> box provided protection from temperature extremes, physical damage, and contamination during the approximately two-hour journey from Masii Location to the Department of Chemistry</w:t>
      </w:r>
      <w:r w:rsidR="00272804">
        <w:rPr>
          <w:rFonts w:ascii="Times New Roman" w:eastAsia="Times New Roman" w:hAnsi="Times New Roman" w:cs="Times New Roman"/>
          <w:sz w:val="24"/>
          <w:szCs w:val="24"/>
          <w:lang w:eastAsia="en-GB"/>
        </w:rPr>
        <w:t xml:space="preserve"> </w:t>
      </w:r>
      <w:r w:rsidR="00272804" w:rsidRPr="00272804">
        <w:rPr>
          <w:rFonts w:ascii="Times New Roman" w:eastAsia="Times New Roman" w:hAnsi="Times New Roman" w:cs="Times New Roman"/>
          <w:color w:val="FF0000"/>
          <w:sz w:val="24"/>
          <w:szCs w:val="24"/>
          <w:lang w:eastAsia="en-GB"/>
        </w:rPr>
        <w:t>laboratory</w:t>
      </w:r>
      <w:r w:rsidRPr="000420D9">
        <w:rPr>
          <w:rFonts w:ascii="Times New Roman" w:eastAsia="Times New Roman" w:hAnsi="Times New Roman" w:cs="Times New Roman"/>
          <w:sz w:val="24"/>
          <w:szCs w:val="24"/>
          <w:lang w:eastAsia="en-GB"/>
        </w:rPr>
        <w:t>. Upon arrival at the laboratory, samples were transferred to the Inorganic Chemistry Laboratory where they were stored in airtight containers at room temperature in a dry, well-ventilated area until analysis</w:t>
      </w:r>
      <w:r w:rsidR="00272804">
        <w:rPr>
          <w:rFonts w:ascii="Times New Roman" w:eastAsia="Times New Roman" w:hAnsi="Times New Roman" w:cs="Times New Roman"/>
          <w:sz w:val="24"/>
          <w:szCs w:val="24"/>
          <w:lang w:eastAsia="en-GB"/>
        </w:rPr>
        <w:t xml:space="preserve"> </w:t>
      </w:r>
      <w:r w:rsidR="00272804" w:rsidRPr="00272804">
        <w:rPr>
          <w:rFonts w:ascii="Times New Roman" w:eastAsia="Times New Roman" w:hAnsi="Times New Roman" w:cs="Times New Roman"/>
          <w:color w:val="FF0000"/>
          <w:sz w:val="24"/>
          <w:szCs w:val="24"/>
          <w:lang w:eastAsia="en-GB"/>
        </w:rPr>
        <w:t>the following day</w:t>
      </w:r>
      <w:r w:rsidRPr="000420D9">
        <w:rPr>
          <w:rFonts w:ascii="Times New Roman" w:eastAsia="Times New Roman" w:hAnsi="Times New Roman" w:cs="Times New Roman"/>
          <w:sz w:val="24"/>
          <w:szCs w:val="24"/>
          <w:lang w:eastAsia="en-GB"/>
        </w:rPr>
        <w:t>.</w:t>
      </w:r>
    </w:p>
    <w:p w14:paraId="1DFE3C2A" w14:textId="03533F43" w:rsidR="000420D9" w:rsidRPr="000420D9" w:rsidRDefault="00801435"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cs="Times New Roman"/>
          <w:noProof/>
          <w:lang w:eastAsia="en-GB"/>
        </w:rPr>
        <w:lastRenderedPageBreak/>
        <w:drawing>
          <wp:inline distT="0" distB="0" distL="0" distR="0" wp14:anchorId="00D46333" wp14:editId="6EEE409D">
            <wp:extent cx="2693182" cy="2038350"/>
            <wp:effectExtent l="0" t="0" r="0" b="0"/>
            <wp:docPr id="810178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7801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437" cy="2047625"/>
                    </a:xfrm>
                    <a:prstGeom prst="rect">
                      <a:avLst/>
                    </a:prstGeom>
                  </pic:spPr>
                </pic:pic>
              </a:graphicData>
            </a:graphic>
          </wp:inline>
        </w:drawing>
      </w:r>
      <w:r w:rsidRPr="000420D9">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
          <w:bCs/>
          <w:sz w:val="24"/>
          <w:szCs w:val="24"/>
          <w:lang w:eastAsia="en-GB"/>
        </w:rPr>
        <w:br/>
      </w:r>
      <w:r>
        <w:rPr>
          <w:rFonts w:ascii="Times New Roman" w:eastAsia="Times New Roman" w:hAnsi="Times New Roman" w:cs="Times New Roman"/>
          <w:b/>
          <w:bCs/>
          <w:sz w:val="24"/>
          <w:szCs w:val="24"/>
          <w:lang w:eastAsia="en-GB"/>
        </w:rPr>
        <w:br/>
      </w:r>
      <w:r w:rsidRPr="00272804">
        <w:rPr>
          <w:rFonts w:ascii="Times New Roman" w:eastAsia="Times New Roman" w:hAnsi="Times New Roman" w:cs="Times New Roman"/>
          <w:bCs/>
          <w:color w:val="FF0000"/>
          <w:sz w:val="24"/>
          <w:szCs w:val="24"/>
          <w:lang w:eastAsia="en-GB"/>
        </w:rPr>
        <w:t>Figure 3</w:t>
      </w:r>
      <w:r w:rsidR="00272804" w:rsidRPr="00272804">
        <w:rPr>
          <w:rFonts w:ascii="Times New Roman" w:eastAsia="Times New Roman" w:hAnsi="Times New Roman" w:cs="Times New Roman"/>
          <w:bCs/>
          <w:color w:val="FF0000"/>
          <w:sz w:val="24"/>
          <w:szCs w:val="24"/>
          <w:lang w:eastAsia="en-GB"/>
        </w:rPr>
        <w:t xml:space="preserve">: </w:t>
      </w:r>
      <w:r w:rsidR="000420D9" w:rsidRPr="00272804">
        <w:rPr>
          <w:rFonts w:ascii="Times New Roman" w:eastAsia="Times New Roman" w:hAnsi="Times New Roman" w:cs="Times New Roman"/>
          <w:b/>
          <w:bCs/>
          <w:color w:val="FF0000"/>
          <w:sz w:val="24"/>
          <w:szCs w:val="24"/>
          <w:lang w:eastAsia="en-GB"/>
        </w:rPr>
        <w:t xml:space="preserve"> </w:t>
      </w:r>
      <w:r w:rsidR="000420D9" w:rsidRPr="00CD25A2">
        <w:rPr>
          <w:rFonts w:ascii="Times New Roman" w:eastAsia="Times New Roman" w:hAnsi="Times New Roman" w:cs="Times New Roman"/>
          <w:bCs/>
          <w:sz w:val="24"/>
          <w:szCs w:val="24"/>
          <w:lang w:eastAsia="en-GB"/>
        </w:rPr>
        <w:t>Maize seeds samples collected for analysis from Mbaani Site</w:t>
      </w:r>
    </w:p>
    <w:p w14:paraId="3D56DA9E" w14:textId="10BF5698" w:rsidR="000420D9" w:rsidRPr="000420D9" w:rsidRDefault="00953AD3"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53AD3">
        <w:rPr>
          <w:rFonts w:ascii="Times New Roman" w:eastAsia="Times New Roman" w:hAnsi="Times New Roman" w:cs="Times New Roman"/>
          <w:color w:val="FF0000"/>
          <w:sz w:val="24"/>
          <w:szCs w:val="24"/>
          <w:lang w:eastAsia="en-GB"/>
        </w:rPr>
        <w:t xml:space="preserve">In the laboratory, </w:t>
      </w:r>
      <w:r w:rsidR="000420D9" w:rsidRPr="000420D9">
        <w:rPr>
          <w:rFonts w:ascii="Times New Roman" w:eastAsia="Times New Roman" w:hAnsi="Times New Roman" w:cs="Times New Roman"/>
          <w:sz w:val="24"/>
          <w:szCs w:val="24"/>
          <w:lang w:eastAsia="en-GB"/>
        </w:rPr>
        <w:t xml:space="preserve">preparation began with drying fresh samples to remove excess moisture, which could interfere with accurate weighing and subsequent digestion. Samples were spread in thin layers on clean </w:t>
      </w:r>
      <w:r w:rsidR="00DB5866" w:rsidRPr="000420D9">
        <w:rPr>
          <w:rFonts w:ascii="Times New Roman" w:eastAsia="Times New Roman" w:hAnsi="Times New Roman" w:cs="Times New Roman"/>
          <w:sz w:val="24"/>
          <w:szCs w:val="24"/>
          <w:lang w:eastAsia="en-GB"/>
        </w:rPr>
        <w:t>aluminium</w:t>
      </w:r>
      <w:r w:rsidR="000420D9" w:rsidRPr="000420D9">
        <w:rPr>
          <w:rFonts w:ascii="Times New Roman" w:eastAsia="Times New Roman" w:hAnsi="Times New Roman" w:cs="Times New Roman"/>
          <w:sz w:val="24"/>
          <w:szCs w:val="24"/>
          <w:lang w:eastAsia="en-GB"/>
        </w:rPr>
        <w:t xml:space="preserve"> foil and placed in a drying oven set at 60°C for 24-48 hours, with the exact duration depending on initial moisture content.</w:t>
      </w:r>
      <w:r w:rsidR="00046D38">
        <w:rPr>
          <w:rFonts w:ascii="Times New Roman" w:eastAsia="Times New Roman" w:hAnsi="Times New Roman" w:cs="Times New Roman"/>
          <w:sz w:val="24"/>
          <w:szCs w:val="24"/>
          <w:lang w:eastAsia="en-GB"/>
        </w:rPr>
        <w:t xml:space="preserve"> The </w:t>
      </w:r>
      <w:r w:rsidRPr="00953AD3">
        <w:rPr>
          <w:rFonts w:ascii="Times New Roman" w:eastAsia="Times New Roman" w:hAnsi="Times New Roman" w:cs="Times New Roman"/>
          <w:color w:val="FF0000"/>
          <w:sz w:val="24"/>
          <w:szCs w:val="24"/>
          <w:lang w:eastAsia="en-GB"/>
        </w:rPr>
        <w:t>field</w:t>
      </w:r>
      <w:r>
        <w:rPr>
          <w:rFonts w:ascii="Times New Roman" w:eastAsia="Times New Roman" w:hAnsi="Times New Roman" w:cs="Times New Roman"/>
          <w:sz w:val="24"/>
          <w:szCs w:val="24"/>
          <w:lang w:eastAsia="en-GB"/>
        </w:rPr>
        <w:t xml:space="preserve"> </w:t>
      </w:r>
      <w:r w:rsidR="00046D38">
        <w:rPr>
          <w:rFonts w:ascii="Times New Roman" w:eastAsia="Times New Roman" w:hAnsi="Times New Roman" w:cs="Times New Roman"/>
          <w:sz w:val="24"/>
          <w:szCs w:val="24"/>
          <w:lang w:eastAsia="en-GB"/>
        </w:rPr>
        <w:t xml:space="preserve">dried maize samples were also further dried at </w:t>
      </w:r>
      <w:r w:rsidR="00046D38" w:rsidRPr="000420D9">
        <w:rPr>
          <w:rFonts w:ascii="Times New Roman" w:eastAsia="Times New Roman" w:hAnsi="Times New Roman" w:cs="Times New Roman"/>
          <w:sz w:val="24"/>
          <w:szCs w:val="24"/>
          <w:lang w:eastAsia="en-GB"/>
        </w:rPr>
        <w:t xml:space="preserve">60°C </w:t>
      </w:r>
      <w:r w:rsidR="00046D38" w:rsidRPr="00953AD3">
        <w:rPr>
          <w:rFonts w:ascii="Times New Roman" w:eastAsia="Times New Roman" w:hAnsi="Times New Roman" w:cs="Times New Roman"/>
          <w:color w:val="FF0000"/>
          <w:sz w:val="24"/>
          <w:szCs w:val="24"/>
          <w:lang w:eastAsia="en-GB"/>
        </w:rPr>
        <w:t xml:space="preserve">for </w:t>
      </w:r>
      <w:r w:rsidRPr="00953AD3">
        <w:rPr>
          <w:rFonts w:ascii="Times New Roman" w:eastAsia="Times New Roman" w:hAnsi="Times New Roman" w:cs="Times New Roman"/>
          <w:color w:val="FF0000"/>
          <w:sz w:val="24"/>
          <w:szCs w:val="24"/>
          <w:lang w:eastAsia="en-GB"/>
        </w:rPr>
        <w:t>4</w:t>
      </w:r>
      <w:r w:rsidR="00046D38" w:rsidRPr="00953AD3">
        <w:rPr>
          <w:rFonts w:ascii="Times New Roman" w:eastAsia="Times New Roman" w:hAnsi="Times New Roman" w:cs="Times New Roman"/>
          <w:color w:val="FF0000"/>
          <w:sz w:val="24"/>
          <w:szCs w:val="24"/>
          <w:lang w:eastAsia="en-GB"/>
        </w:rPr>
        <w:t xml:space="preserve"> hours</w:t>
      </w:r>
      <w:r>
        <w:rPr>
          <w:rFonts w:ascii="Times New Roman" w:eastAsia="Times New Roman" w:hAnsi="Times New Roman" w:cs="Times New Roman"/>
          <w:color w:val="FF0000"/>
          <w:sz w:val="24"/>
          <w:szCs w:val="24"/>
          <w:lang w:eastAsia="en-GB"/>
        </w:rPr>
        <w:t xml:space="preserve">. </w:t>
      </w:r>
      <w:r w:rsidR="000420D9" w:rsidRPr="00953AD3">
        <w:rPr>
          <w:rFonts w:ascii="Times New Roman" w:eastAsia="Times New Roman" w:hAnsi="Times New Roman" w:cs="Times New Roman"/>
          <w:sz w:val="24"/>
          <w:szCs w:val="24"/>
          <w:lang w:eastAsia="en-GB"/>
        </w:rPr>
        <w:t xml:space="preserve"> </w:t>
      </w:r>
      <w:r w:rsidR="000420D9" w:rsidRPr="000420D9">
        <w:rPr>
          <w:rFonts w:ascii="Times New Roman" w:eastAsia="Times New Roman" w:hAnsi="Times New Roman" w:cs="Times New Roman"/>
          <w:sz w:val="24"/>
          <w:szCs w:val="24"/>
          <w:lang w:eastAsia="en-GB"/>
        </w:rPr>
        <w:t xml:space="preserve">This temperature was selected to efficiently remove water without causing thermal degradation of the grain matrix or potential volatilization of certain metal species. Samples were considered sufficiently dry when consecutive </w:t>
      </w:r>
      <w:r w:rsidR="00DB5866" w:rsidRPr="000420D9">
        <w:rPr>
          <w:rFonts w:ascii="Times New Roman" w:eastAsia="Times New Roman" w:hAnsi="Times New Roman" w:cs="Times New Roman"/>
          <w:sz w:val="24"/>
          <w:szCs w:val="24"/>
          <w:lang w:eastAsia="en-GB"/>
        </w:rPr>
        <w:t>weighing</w:t>
      </w:r>
      <w:r w:rsidR="000420D9" w:rsidRPr="000420D9">
        <w:rPr>
          <w:rFonts w:ascii="Times New Roman" w:eastAsia="Times New Roman" w:hAnsi="Times New Roman" w:cs="Times New Roman"/>
          <w:sz w:val="24"/>
          <w:szCs w:val="24"/>
          <w:lang w:eastAsia="en-GB"/>
        </w:rPr>
        <w:t xml:space="preserve"> showed less than 0.1% weight change, indicating stable moisture content.</w:t>
      </w:r>
    </w:p>
    <w:p w14:paraId="480DC48D" w14:textId="70E0B1C8"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Once dried, samples were ground to fine powder using a clean porcelain mortar and pestle. The grinding process was conducted systematically, with thorough cleaning of the mortar and pestle between different samples using distilled </w:t>
      </w:r>
      <w:r w:rsidR="00CA7055" w:rsidRPr="00CA7055">
        <w:rPr>
          <w:rFonts w:ascii="Times New Roman" w:eastAsia="Times New Roman" w:hAnsi="Times New Roman" w:cs="Times New Roman"/>
          <w:color w:val="FF0000"/>
          <w:sz w:val="24"/>
          <w:szCs w:val="24"/>
          <w:lang w:eastAsia="en-GB"/>
        </w:rPr>
        <w:t>deionized</w:t>
      </w:r>
      <w:r w:rsidR="00CA7055">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water and ethanol, followed by air drying. This prevented cross-contamination between samples. The ground material was passed through a fine mesh sieve to ensure particle size uniformity, with the aim of achieving particles smaller than 0.5 mm in diameter. Fine particle size is crucial for efficient acid digestion as it increases the surface area available for acid attack and ensures homogeneity of the sample.</w:t>
      </w:r>
    </w:p>
    <w:p w14:paraId="533A374E" w14:textId="182BA7B1"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ground and sieved samples were stored in clean, </w:t>
      </w:r>
      <w:r w:rsidR="00CA7055" w:rsidRPr="00CA7055">
        <w:rPr>
          <w:rFonts w:ascii="Times New Roman" w:eastAsia="Times New Roman" w:hAnsi="Times New Roman" w:cs="Times New Roman"/>
          <w:color w:val="FF0000"/>
          <w:sz w:val="24"/>
          <w:szCs w:val="24"/>
          <w:lang w:eastAsia="en-GB"/>
        </w:rPr>
        <w:t>labelled</w:t>
      </w:r>
      <w:r w:rsidRPr="000420D9">
        <w:rPr>
          <w:rFonts w:ascii="Times New Roman" w:eastAsia="Times New Roman" w:hAnsi="Times New Roman" w:cs="Times New Roman"/>
          <w:sz w:val="24"/>
          <w:szCs w:val="24"/>
          <w:lang w:eastAsia="en-GB"/>
        </w:rPr>
        <w:t xml:space="preserve"> plastic containers with tight-fitting lids. The containers were kept in a desiccator when not in use to prevent moisture absorption from the atmosphere, which could alter sample weight and introduce potential contamination. Prior to digestion, samples were allowed to equilibrate to room temperature while still in sealed containers.</w:t>
      </w:r>
    </w:p>
    <w:p w14:paraId="7B687C41" w14:textId="23B4CD9A" w:rsidR="000420D9" w:rsidRPr="000420D9" w:rsidRDefault="00BB15F1"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BB15F1">
        <w:rPr>
          <w:rFonts w:ascii="Times New Roman" w:eastAsia="Times New Roman" w:hAnsi="Times New Roman" w:cs="Times New Roman"/>
          <w:b/>
          <w:bCs/>
          <w:color w:val="FF0000"/>
          <w:sz w:val="27"/>
          <w:szCs w:val="27"/>
          <w:lang w:eastAsia="en-GB"/>
        </w:rPr>
        <w:t>2.7</w:t>
      </w:r>
      <w:r w:rsidR="000420D9" w:rsidRPr="00BB15F1">
        <w:rPr>
          <w:rFonts w:ascii="Times New Roman" w:eastAsia="Times New Roman" w:hAnsi="Times New Roman" w:cs="Times New Roman"/>
          <w:b/>
          <w:bCs/>
          <w:color w:val="FF0000"/>
          <w:sz w:val="27"/>
          <w:szCs w:val="27"/>
          <w:lang w:eastAsia="en-GB"/>
        </w:rPr>
        <w:t xml:space="preserve"> </w:t>
      </w:r>
      <w:r w:rsidR="000420D9" w:rsidRPr="000420D9">
        <w:rPr>
          <w:rFonts w:ascii="Times New Roman" w:eastAsia="Times New Roman" w:hAnsi="Times New Roman" w:cs="Times New Roman"/>
          <w:b/>
          <w:bCs/>
          <w:sz w:val="27"/>
          <w:szCs w:val="27"/>
          <w:lang w:eastAsia="en-GB"/>
        </w:rPr>
        <w:t>Sample Digestion Protocol</w:t>
      </w:r>
    </w:p>
    <w:p w14:paraId="7273D06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digestion of maize samples constitutes a critical step in heavy metal analysis, as it must completely break down the organic matrix and release all metals into solution without losses due to volatilization or incomplete dissolution. For this study, a novel optimized digestion method was developed through preliminary trials, resulting in an efficient protocol that minimized reagent consumption, reduced digestion time, and simplified the overall procedure while maintaining excellent recovery rates.</w:t>
      </w:r>
    </w:p>
    <w:p w14:paraId="600F1D4A" w14:textId="3946C91C"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optimized digestion mixture consisted of nitric acid, perchloric acid, and hydrogen peroxide in a volume ratio of 2.5:0.75:0.5. This specific combination was selected based on preliminary experiments that tested various acid ratios and evaluated their effectiveness in </w:t>
      </w:r>
      <w:r w:rsidRPr="000420D9">
        <w:rPr>
          <w:rFonts w:ascii="Times New Roman" w:eastAsia="Times New Roman" w:hAnsi="Times New Roman" w:cs="Times New Roman"/>
          <w:sz w:val="24"/>
          <w:szCs w:val="24"/>
          <w:lang w:eastAsia="en-GB"/>
        </w:rPr>
        <w:lastRenderedPageBreak/>
        <w:t xml:space="preserve">achieving complete digestion while producing clear, </w:t>
      </w:r>
      <w:r w:rsidR="009873D2" w:rsidRPr="009873D2">
        <w:rPr>
          <w:rFonts w:ascii="Times New Roman" w:eastAsia="Times New Roman" w:hAnsi="Times New Roman" w:cs="Times New Roman"/>
          <w:color w:val="FF0000"/>
          <w:sz w:val="24"/>
          <w:szCs w:val="24"/>
          <w:lang w:eastAsia="en-GB"/>
        </w:rPr>
        <w:t>colourless</w:t>
      </w:r>
      <w:r w:rsidRPr="000420D9">
        <w:rPr>
          <w:rFonts w:ascii="Times New Roman" w:eastAsia="Times New Roman" w:hAnsi="Times New Roman" w:cs="Times New Roman"/>
          <w:sz w:val="24"/>
          <w:szCs w:val="24"/>
          <w:lang w:eastAsia="en-GB"/>
        </w:rPr>
        <w:t xml:space="preserve"> digestates suitable for AAS analysis. The synergistic action of these three oxidizing agents ensured thorough breakdown of complex organic compounds present in maize kernels, including proteins, lipids, and carbohydrates.</w:t>
      </w:r>
    </w:p>
    <w:p w14:paraId="3EE3954C" w14:textId="6EA657D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For each sample, 2.0</w:t>
      </w:r>
      <w:r w:rsidR="009D27E5">
        <w:rPr>
          <w:rFonts w:ascii="Times New Roman" w:eastAsia="Times New Roman" w:hAnsi="Times New Roman" w:cs="Times New Roman"/>
          <w:sz w:val="24"/>
          <w:szCs w:val="24"/>
          <w:lang w:eastAsia="en-GB"/>
        </w:rPr>
        <w:t xml:space="preserve"> </w:t>
      </w:r>
      <w:r w:rsidR="009D27E5" w:rsidRPr="009D27E5">
        <w:rPr>
          <w:rFonts w:ascii="Times New Roman" w:eastAsia="Times New Roman" w:hAnsi="Times New Roman" w:cs="Times New Roman"/>
          <w:color w:val="FF0000"/>
          <w:sz w:val="24"/>
          <w:szCs w:val="24"/>
          <w:lang w:eastAsia="en-GB"/>
        </w:rPr>
        <w:t>g</w:t>
      </w:r>
      <w:r w:rsidRPr="000420D9">
        <w:rPr>
          <w:rFonts w:ascii="Times New Roman" w:eastAsia="Times New Roman" w:hAnsi="Times New Roman" w:cs="Times New Roman"/>
          <w:sz w:val="24"/>
          <w:szCs w:val="24"/>
          <w:lang w:eastAsia="en-GB"/>
        </w:rPr>
        <w:t xml:space="preserve"> of the ground, dried maize powder was accurately weighed using the analytical balance and transferred into a clean 100 mL conical flask. The samples were </w:t>
      </w:r>
      <w:r w:rsidR="009D27E5" w:rsidRPr="009D27E5">
        <w:rPr>
          <w:rFonts w:ascii="Times New Roman" w:eastAsia="Times New Roman" w:hAnsi="Times New Roman" w:cs="Times New Roman"/>
          <w:color w:val="FF0000"/>
          <w:sz w:val="24"/>
          <w:szCs w:val="24"/>
          <w:lang w:eastAsia="en-GB"/>
        </w:rPr>
        <w:t>analysed</w:t>
      </w:r>
      <w:r w:rsidRPr="000420D9">
        <w:rPr>
          <w:rFonts w:ascii="Times New Roman" w:eastAsia="Times New Roman" w:hAnsi="Times New Roman" w:cs="Times New Roman"/>
          <w:sz w:val="24"/>
          <w:szCs w:val="24"/>
          <w:lang w:eastAsia="en-GB"/>
        </w:rPr>
        <w:t xml:space="preserve"> in triplicate, meaning three separate 2.0</w:t>
      </w:r>
      <w:r w:rsidR="009D27E5">
        <w:rPr>
          <w:rFonts w:ascii="Times New Roman" w:eastAsia="Times New Roman" w:hAnsi="Times New Roman" w:cs="Times New Roman"/>
          <w:sz w:val="24"/>
          <w:szCs w:val="24"/>
          <w:lang w:eastAsia="en-GB"/>
        </w:rPr>
        <w:t xml:space="preserve"> </w:t>
      </w:r>
      <w:r w:rsidR="009D27E5" w:rsidRPr="009D27E5">
        <w:rPr>
          <w:rFonts w:ascii="Times New Roman" w:eastAsia="Times New Roman" w:hAnsi="Times New Roman" w:cs="Times New Roman"/>
          <w:color w:val="FF0000"/>
          <w:sz w:val="24"/>
          <w:szCs w:val="24"/>
          <w:lang w:eastAsia="en-GB"/>
        </w:rPr>
        <w:t>g</w:t>
      </w:r>
      <w:r w:rsidRPr="000420D9">
        <w:rPr>
          <w:rFonts w:ascii="Times New Roman" w:eastAsia="Times New Roman" w:hAnsi="Times New Roman" w:cs="Times New Roman"/>
          <w:sz w:val="24"/>
          <w:szCs w:val="24"/>
          <w:lang w:eastAsia="en-GB"/>
        </w:rPr>
        <w:t xml:space="preserve"> portions were weighed from each sample to provide statistical reliability and allow calculation of mean values and standard deviations. The conical flask shape was preferred for digestion as it allows for refluxing of acid </w:t>
      </w:r>
      <w:r w:rsidR="009D27E5" w:rsidRPr="000420D9">
        <w:rPr>
          <w:rFonts w:ascii="Times New Roman" w:eastAsia="Times New Roman" w:hAnsi="Times New Roman" w:cs="Times New Roman"/>
          <w:sz w:val="24"/>
          <w:szCs w:val="24"/>
          <w:lang w:eastAsia="en-GB"/>
        </w:rPr>
        <w:t>vapours</w:t>
      </w:r>
      <w:r w:rsidRPr="000420D9">
        <w:rPr>
          <w:rFonts w:ascii="Times New Roman" w:eastAsia="Times New Roman" w:hAnsi="Times New Roman" w:cs="Times New Roman"/>
          <w:sz w:val="24"/>
          <w:szCs w:val="24"/>
          <w:lang w:eastAsia="en-GB"/>
        </w:rPr>
        <w:t xml:space="preserve"> and minimizes sample loss during heating.</w:t>
      </w:r>
    </w:p>
    <w:p w14:paraId="3BE3504A" w14:textId="50E868DC"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To each flask containing 2.0 g of sample, the acid mixture was added. Specifically, 2.5 mL of concentrated nitric acid was added first, followed by 0.75 mL of perchloric acid, and finally 0.5 mL of hydrogen peroxide. The acids </w:t>
      </w:r>
      <w:r w:rsidR="009D27E5" w:rsidRPr="009D27E5">
        <w:rPr>
          <w:rFonts w:ascii="Times New Roman" w:eastAsia="Times New Roman" w:hAnsi="Times New Roman" w:cs="Times New Roman"/>
          <w:color w:val="FF0000"/>
          <w:sz w:val="24"/>
          <w:szCs w:val="24"/>
          <w:lang w:eastAsia="en-GB"/>
        </w:rPr>
        <w:t>volumes</w:t>
      </w:r>
      <w:r w:rsidR="009D27E5">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were dispensed using calibrated pipettes or micropipettes for accuracy. After addition of the acid mixture, the flasks were gently swirled to ensure the sample was thoroughly wetted and mixed with the acids. The flasks were then allowed to stand at room temperature for approximately 30 minutes to permit initial pre-digestion reactions to occur, which helps prevent violent reactions when heating begins.</w:t>
      </w:r>
    </w:p>
    <w:p w14:paraId="70D9B585" w14:textId="7D663097" w:rsidR="000420D9" w:rsidRPr="00913832" w:rsidRDefault="000420D9"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p>
    <w:p w14:paraId="6B15AED8" w14:textId="7454C15E"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Following the pre-digestion period, the flasks were placed on a hot plate in a fume </w:t>
      </w:r>
      <w:r w:rsidR="002219DE" w:rsidRPr="000420D9">
        <w:rPr>
          <w:rFonts w:ascii="Times New Roman" w:eastAsia="Times New Roman" w:hAnsi="Times New Roman" w:cs="Times New Roman"/>
          <w:sz w:val="24"/>
          <w:szCs w:val="24"/>
          <w:lang w:eastAsia="en-GB"/>
        </w:rPr>
        <w:t>hood</w:t>
      </w:r>
      <w:r w:rsidR="002219DE">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xml:space="preserve"> The fume hood was essential for safety, as the digestion process releases nitrogen oxides and other potentially harmful fumes. The hot plate temperature was set to 105°C, a temperature selected through optimization studies as providing efficient digestion without excessive loss of acids through evaporation. The samples were heated at this temperature for 2 hours and 30 minutes, with occasional gentle swirling to ensure uniform heating and mixing.</w:t>
      </w:r>
    </w:p>
    <w:p w14:paraId="39E1744E" w14:textId="68501532"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During the digestion process, the initially thick, yellow-brown mixture gradually became clearer as organic matter was oxidized and dissolved. The endpoint of successful digestion was indicated by the formation of a clear, </w:t>
      </w:r>
      <w:r w:rsidR="00326685" w:rsidRPr="000420D9">
        <w:rPr>
          <w:rFonts w:ascii="Times New Roman" w:eastAsia="Times New Roman" w:hAnsi="Times New Roman" w:cs="Times New Roman"/>
          <w:sz w:val="24"/>
          <w:szCs w:val="24"/>
          <w:lang w:eastAsia="en-GB"/>
        </w:rPr>
        <w:t>colourless</w:t>
      </w:r>
      <w:r w:rsidRPr="000420D9">
        <w:rPr>
          <w:rFonts w:ascii="Times New Roman" w:eastAsia="Times New Roman" w:hAnsi="Times New Roman" w:cs="Times New Roman"/>
          <w:sz w:val="24"/>
          <w:szCs w:val="24"/>
          <w:lang w:eastAsia="en-GB"/>
        </w:rPr>
        <w:t xml:space="preserve"> or very </w:t>
      </w:r>
      <w:r w:rsidR="00C4162C" w:rsidRPr="000420D9">
        <w:rPr>
          <w:rFonts w:ascii="Times New Roman" w:eastAsia="Times New Roman" w:hAnsi="Times New Roman" w:cs="Times New Roman"/>
          <w:sz w:val="24"/>
          <w:szCs w:val="24"/>
          <w:lang w:eastAsia="en-GB"/>
        </w:rPr>
        <w:t>pale-yellow</w:t>
      </w:r>
      <w:r w:rsidRPr="000420D9">
        <w:rPr>
          <w:rFonts w:ascii="Times New Roman" w:eastAsia="Times New Roman" w:hAnsi="Times New Roman" w:cs="Times New Roman"/>
          <w:sz w:val="24"/>
          <w:szCs w:val="24"/>
          <w:lang w:eastAsia="en-GB"/>
        </w:rPr>
        <w:t xml:space="preserve"> solution with no visible particulate matter. If any sample remained turbid or showed brownish coloration after the prescribed digestion time, heating was continued for an additional 30 minutes. However, with the optimized protocol, most samples achieved complete digestion within the standard 2.5-hour period.</w:t>
      </w:r>
    </w:p>
    <w:p w14:paraId="1937941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After digestion was complete, the flasks were removed from the hot plate and allowed to cool to room temperature. Cooling was important before filtration to prevent thermal stress on filter papers and to allow any fumes to dissipate. The cooled digestates were filtered through Whatman Grade 1 filter paper (or equivalent) placed in glass funnels. The filtration step removed any undissolved residue, though with complete digestion, minimal residue should remain.</w:t>
      </w:r>
    </w:p>
    <w:p w14:paraId="03B0C3EC" w14:textId="5BE56BD4" w:rsidR="000420D9" w:rsidRPr="00913832"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clear filtrate was collected in clean volumetric flasks and diluted to a final volume of 50 mL using distilled</w:t>
      </w:r>
      <w:r w:rsidR="00326685">
        <w:rPr>
          <w:rFonts w:ascii="Times New Roman" w:eastAsia="Times New Roman" w:hAnsi="Times New Roman" w:cs="Times New Roman"/>
          <w:sz w:val="24"/>
          <w:szCs w:val="24"/>
          <w:lang w:eastAsia="en-GB"/>
        </w:rPr>
        <w:t xml:space="preserve"> </w:t>
      </w:r>
      <w:r w:rsidR="00326685" w:rsidRPr="00326685">
        <w:rPr>
          <w:rFonts w:ascii="Times New Roman" w:eastAsia="Times New Roman" w:hAnsi="Times New Roman" w:cs="Times New Roman"/>
          <w:color w:val="FF0000"/>
          <w:sz w:val="24"/>
          <w:szCs w:val="24"/>
          <w:lang w:eastAsia="en-GB"/>
        </w:rPr>
        <w:t>deionized</w:t>
      </w:r>
      <w:r w:rsidRPr="00326685">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water. This dilution served multiple purposes including reducing acid concentration to levels compatible with the AAS instrument, bringing metal concentrations into the optimal measurement range of the instrument, and providing sufficient volume for replicate analysis if needed. The diluted digestates were transferred to clean plastic bottles and </w:t>
      </w:r>
      <w:r w:rsidR="00C4162C" w:rsidRPr="000420D9">
        <w:rPr>
          <w:rFonts w:ascii="Times New Roman" w:eastAsia="Times New Roman" w:hAnsi="Times New Roman" w:cs="Times New Roman"/>
          <w:sz w:val="24"/>
          <w:szCs w:val="24"/>
          <w:lang w:eastAsia="en-GB"/>
        </w:rPr>
        <w:t>labelled</w:t>
      </w:r>
      <w:r w:rsidRPr="000420D9">
        <w:rPr>
          <w:rFonts w:ascii="Times New Roman" w:eastAsia="Times New Roman" w:hAnsi="Times New Roman" w:cs="Times New Roman"/>
          <w:sz w:val="24"/>
          <w:szCs w:val="24"/>
          <w:lang w:eastAsia="en-GB"/>
        </w:rPr>
        <w:t xml:space="preserve"> with sample identification, digestion date, and any dilution factors a</w:t>
      </w:r>
    </w:p>
    <w:p w14:paraId="2F58D807" w14:textId="732D527B"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The efficiency and reliability of the digestion protocol were validated through spike-recovery experiments. In these validation studies, known quantities of metal standards were added to portions of sample matrix, and the samples were digested and </w:t>
      </w:r>
      <w:r w:rsidR="004335DB" w:rsidRPr="000420D9">
        <w:rPr>
          <w:rFonts w:ascii="Times New Roman" w:eastAsia="Times New Roman" w:hAnsi="Times New Roman" w:cs="Times New Roman"/>
          <w:sz w:val="24"/>
          <w:szCs w:val="24"/>
          <w:lang w:eastAsia="en-GB"/>
        </w:rPr>
        <w:t>analysed</w:t>
      </w:r>
      <w:r w:rsidRPr="000420D9">
        <w:rPr>
          <w:rFonts w:ascii="Times New Roman" w:eastAsia="Times New Roman" w:hAnsi="Times New Roman" w:cs="Times New Roman"/>
          <w:sz w:val="24"/>
          <w:szCs w:val="24"/>
          <w:lang w:eastAsia="en-GB"/>
        </w:rPr>
        <w:t xml:space="preserve"> following the standard </w:t>
      </w:r>
      <w:r w:rsidR="003B2E93" w:rsidRPr="000420D9">
        <w:rPr>
          <w:rFonts w:ascii="Times New Roman" w:eastAsia="Times New Roman" w:hAnsi="Times New Roman" w:cs="Times New Roman"/>
          <w:sz w:val="24"/>
          <w:szCs w:val="24"/>
          <w:lang w:eastAsia="en-GB"/>
        </w:rPr>
        <w:t>protocol</w:t>
      </w:r>
      <w:r w:rsidR="003B2E93">
        <w:rPr>
          <w:rFonts w:ascii="Times New Roman" w:eastAsia="Times New Roman" w:hAnsi="Times New Roman" w:cs="Times New Roman"/>
          <w:sz w:val="24"/>
          <w:szCs w:val="24"/>
          <w:lang w:eastAsia="en-GB"/>
        </w:rPr>
        <w:t>.</w:t>
      </w:r>
      <w:r w:rsidRPr="00E1298F">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The measured </w:t>
      </w:r>
      <w:r w:rsidR="00E1298F">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were compared to expected values based on the added spike amounts. Recovery percentages, calculated as (measured concentration/expected concentration) × 100, ranged between 94</w:t>
      </w:r>
      <w:r w:rsidR="00F23962">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 xml:space="preserve">% and </w:t>
      </w:r>
      <w:r w:rsidR="00F23962" w:rsidRPr="000420D9">
        <w:rPr>
          <w:rFonts w:ascii="Times New Roman" w:eastAsia="Times New Roman" w:hAnsi="Times New Roman" w:cs="Times New Roman"/>
          <w:sz w:val="24"/>
          <w:szCs w:val="24"/>
          <w:lang w:eastAsia="en-GB"/>
        </w:rPr>
        <w:t>110</w:t>
      </w:r>
      <w:r w:rsidR="00F23962">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 xml:space="preserve"> for all five target metals. These recovery values fall within the acceptable range of 85-115</w:t>
      </w:r>
      <w:r w:rsidR="00F23962">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 typically required for trace metal analysis, confirming that the digestion method effectively released metals from the sample matrix without significant losses or contamination.</w:t>
      </w:r>
    </w:p>
    <w:p w14:paraId="7E644D38" w14:textId="0164F12E" w:rsidR="000420D9" w:rsidRPr="00CE2171" w:rsidRDefault="00BB15F1"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2.8</w:t>
      </w:r>
      <w:r w:rsidR="000420D9" w:rsidRPr="00BB15F1">
        <w:rPr>
          <w:rFonts w:ascii="Times New Roman" w:eastAsia="Times New Roman" w:hAnsi="Times New Roman" w:cs="Times New Roman"/>
          <w:b/>
          <w:bCs/>
          <w:color w:val="FF0000"/>
          <w:sz w:val="24"/>
          <w:szCs w:val="24"/>
          <w:lang w:eastAsia="en-GB"/>
        </w:rPr>
        <w:t xml:space="preserve"> </w:t>
      </w:r>
      <w:r w:rsidR="000420D9" w:rsidRPr="00CE2171">
        <w:rPr>
          <w:rFonts w:ascii="Times New Roman" w:eastAsia="Times New Roman" w:hAnsi="Times New Roman" w:cs="Times New Roman"/>
          <w:b/>
          <w:bCs/>
          <w:sz w:val="24"/>
          <w:szCs w:val="24"/>
          <w:lang w:eastAsia="en-GB"/>
        </w:rPr>
        <w:t>Heavy Metal Analysis Using Atomic Absorption Spectroscopy</w:t>
      </w:r>
    </w:p>
    <w:p w14:paraId="68F364E3" w14:textId="3266BAF8"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Following digestion and dilution</w:t>
      </w:r>
      <w:r w:rsidR="0063771F">
        <w:rPr>
          <w:rFonts w:ascii="Times New Roman" w:eastAsia="Times New Roman" w:hAnsi="Times New Roman" w:cs="Times New Roman"/>
          <w:sz w:val="24"/>
          <w:szCs w:val="24"/>
          <w:lang w:eastAsia="en-GB"/>
        </w:rPr>
        <w:t xml:space="preserve"> </w:t>
      </w:r>
      <w:r w:rsidR="0063771F" w:rsidRPr="0063771F">
        <w:rPr>
          <w:rFonts w:ascii="Times New Roman" w:eastAsia="Times New Roman" w:hAnsi="Times New Roman" w:cs="Times New Roman"/>
          <w:color w:val="FF0000"/>
          <w:sz w:val="24"/>
          <w:szCs w:val="24"/>
          <w:lang w:eastAsia="en-GB"/>
        </w:rPr>
        <w:t>processes</w:t>
      </w:r>
      <w:r w:rsidRPr="000420D9">
        <w:rPr>
          <w:rFonts w:ascii="Times New Roman" w:eastAsia="Times New Roman" w:hAnsi="Times New Roman" w:cs="Times New Roman"/>
          <w:sz w:val="24"/>
          <w:szCs w:val="24"/>
          <w:lang w:eastAsia="en-GB"/>
        </w:rPr>
        <w:t xml:space="preserve">, samples were </w:t>
      </w:r>
      <w:r w:rsidR="0063771F" w:rsidRPr="000420D9">
        <w:rPr>
          <w:rFonts w:ascii="Times New Roman" w:eastAsia="Times New Roman" w:hAnsi="Times New Roman" w:cs="Times New Roman"/>
          <w:sz w:val="24"/>
          <w:szCs w:val="24"/>
          <w:lang w:eastAsia="en-GB"/>
        </w:rPr>
        <w:t>analysed</w:t>
      </w:r>
      <w:r w:rsidRPr="000420D9">
        <w:rPr>
          <w:rFonts w:ascii="Times New Roman" w:eastAsia="Times New Roman" w:hAnsi="Times New Roman" w:cs="Times New Roman"/>
          <w:sz w:val="24"/>
          <w:szCs w:val="24"/>
          <w:lang w:eastAsia="en-GB"/>
        </w:rPr>
        <w:t xml:space="preserve"> using Atomic Absorption </w:t>
      </w:r>
      <w:r w:rsidR="00174BFB" w:rsidRPr="000420D9">
        <w:rPr>
          <w:rFonts w:ascii="Times New Roman" w:eastAsia="Times New Roman" w:hAnsi="Times New Roman" w:cs="Times New Roman"/>
          <w:sz w:val="24"/>
          <w:szCs w:val="24"/>
          <w:lang w:eastAsia="en-GB"/>
        </w:rPr>
        <w:t>Spectroscopy</w:t>
      </w:r>
      <w:r w:rsidR="00174BFB">
        <w:rPr>
          <w:rFonts w:ascii="Times New Roman" w:eastAsia="Times New Roman" w:hAnsi="Times New Roman" w:cs="Times New Roman"/>
          <w:sz w:val="24"/>
          <w:szCs w:val="24"/>
          <w:lang w:eastAsia="en-GB"/>
        </w:rPr>
        <w:t xml:space="preserve"> </w:t>
      </w:r>
      <w:r w:rsidR="00174BFB" w:rsidRPr="00E1298F">
        <w:rPr>
          <w:rFonts w:ascii="Times New Roman" w:eastAsia="Times New Roman" w:hAnsi="Times New Roman" w:cs="Times New Roman"/>
          <w:color w:val="FF0000"/>
          <w:sz w:val="24"/>
          <w:szCs w:val="24"/>
          <w:lang w:eastAsia="en-GB"/>
        </w:rPr>
        <w:t>to</w:t>
      </w:r>
      <w:r w:rsidRPr="000420D9">
        <w:rPr>
          <w:rFonts w:ascii="Times New Roman" w:eastAsia="Times New Roman" w:hAnsi="Times New Roman" w:cs="Times New Roman"/>
          <w:sz w:val="24"/>
          <w:szCs w:val="24"/>
          <w:lang w:eastAsia="en-GB"/>
        </w:rPr>
        <w:t xml:space="preserve"> quantify the concentrations of lead, cadmium, zinc, copper, and manganese. The analysis was performed on a flame atomic absorption spectrophotometer equipped with appropriate hollow cathode lamps for each element and using an air-acetylene flame for atomization.</w:t>
      </w:r>
    </w:p>
    <w:p w14:paraId="2764C4F4" w14:textId="76C76029" w:rsidR="000420D9" w:rsidRPr="00174BFB" w:rsidRDefault="000420D9"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p>
    <w:p w14:paraId="5FE48D18" w14:textId="15E1FB72"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Prior to sample analysis, the AAS instrument was calibrated using standard solutions prepared from certified reference materials. For each element, a series of standard solutions at different concentrations were prepared by serial dilution of stock </w:t>
      </w:r>
      <w:r w:rsidR="00DE25CF" w:rsidRPr="00DE25CF">
        <w:rPr>
          <w:rFonts w:ascii="Times New Roman" w:eastAsia="Times New Roman" w:hAnsi="Times New Roman" w:cs="Times New Roman"/>
          <w:color w:val="FF0000"/>
          <w:sz w:val="24"/>
          <w:szCs w:val="24"/>
          <w:lang w:eastAsia="en-GB"/>
        </w:rPr>
        <w:t xml:space="preserve">standard </w:t>
      </w:r>
      <w:r w:rsidRPr="000420D9">
        <w:rPr>
          <w:rFonts w:ascii="Times New Roman" w:eastAsia="Times New Roman" w:hAnsi="Times New Roman" w:cs="Times New Roman"/>
          <w:sz w:val="24"/>
          <w:szCs w:val="24"/>
          <w:lang w:eastAsia="en-GB"/>
        </w:rPr>
        <w:t xml:space="preserve">solutions. The concentration ranges were selected to bracket the expected levels in samples and to span the linear response range of the instrument. Specifically, zinc standards were prepared at concentrations of 0, 2, 4, 6, 8, and 10 </w:t>
      </w:r>
      <w:r w:rsidR="00DE25CF" w:rsidRPr="00DE25CF">
        <w:rPr>
          <w:rFonts w:ascii="Times New Roman" w:eastAsia="Times New Roman" w:hAnsi="Times New Roman" w:cs="Times New Roman"/>
          <w:color w:val="FF0000"/>
          <w:sz w:val="24"/>
          <w:szCs w:val="24"/>
          <w:lang w:eastAsia="en-GB"/>
        </w:rPr>
        <w:t>mg/L</w:t>
      </w:r>
      <w:r w:rsidRPr="000420D9">
        <w:rPr>
          <w:rFonts w:ascii="Times New Roman" w:eastAsia="Times New Roman" w:hAnsi="Times New Roman" w:cs="Times New Roman"/>
          <w:sz w:val="24"/>
          <w:szCs w:val="24"/>
          <w:lang w:eastAsia="en-GB"/>
        </w:rPr>
        <w:t xml:space="preserve">. Cadmium standards covered 0, 5, 10, 15, and 20 </w:t>
      </w:r>
      <w:r w:rsidR="00DE25CF" w:rsidRPr="00DE25CF">
        <w:rPr>
          <w:rFonts w:ascii="Times New Roman" w:eastAsia="Times New Roman" w:hAnsi="Times New Roman" w:cs="Times New Roman"/>
          <w:color w:val="FF0000"/>
          <w:sz w:val="24"/>
          <w:szCs w:val="24"/>
          <w:lang w:eastAsia="en-GB"/>
        </w:rPr>
        <w:t>mg/L</w:t>
      </w:r>
      <w:r w:rsidRPr="000420D9">
        <w:rPr>
          <w:rFonts w:ascii="Times New Roman" w:eastAsia="Times New Roman" w:hAnsi="Times New Roman" w:cs="Times New Roman"/>
          <w:sz w:val="24"/>
          <w:szCs w:val="24"/>
          <w:lang w:eastAsia="en-GB"/>
        </w:rPr>
        <w:t xml:space="preserve">. Copper standards were at 0, 2, 4, 6, 8, and 10 </w:t>
      </w:r>
      <w:r w:rsidR="00DE25CF" w:rsidRPr="00DE25CF">
        <w:rPr>
          <w:rFonts w:ascii="Times New Roman" w:eastAsia="Times New Roman" w:hAnsi="Times New Roman" w:cs="Times New Roman"/>
          <w:color w:val="FF0000"/>
          <w:sz w:val="24"/>
          <w:szCs w:val="24"/>
          <w:lang w:eastAsia="en-GB"/>
        </w:rPr>
        <w:t>mg/L</w:t>
      </w:r>
      <w:r w:rsidRPr="000420D9">
        <w:rPr>
          <w:rFonts w:ascii="Times New Roman" w:eastAsia="Times New Roman" w:hAnsi="Times New Roman" w:cs="Times New Roman"/>
          <w:sz w:val="24"/>
          <w:szCs w:val="24"/>
          <w:lang w:eastAsia="en-GB"/>
        </w:rPr>
        <w:t xml:space="preserve">. Manganese standards ranged from 0, 5, 10, 15, to 20 </w:t>
      </w:r>
      <w:r w:rsidR="00DE25CF" w:rsidRPr="00DE25CF">
        <w:rPr>
          <w:rFonts w:ascii="Times New Roman" w:eastAsia="Times New Roman" w:hAnsi="Times New Roman" w:cs="Times New Roman"/>
          <w:color w:val="FF0000"/>
          <w:sz w:val="24"/>
          <w:szCs w:val="24"/>
          <w:lang w:eastAsia="en-GB"/>
        </w:rPr>
        <w:t>mg/L</w:t>
      </w:r>
      <w:r w:rsidRPr="000420D9">
        <w:rPr>
          <w:rFonts w:ascii="Times New Roman" w:eastAsia="Times New Roman" w:hAnsi="Times New Roman" w:cs="Times New Roman"/>
          <w:sz w:val="24"/>
          <w:szCs w:val="24"/>
          <w:lang w:eastAsia="en-GB"/>
        </w:rPr>
        <w:t xml:space="preserve">. Lead standards were prepared at 0, 2, 4, 6, and 8 </w:t>
      </w:r>
      <w:r w:rsidR="00DE25CF" w:rsidRPr="00DE25CF">
        <w:rPr>
          <w:rFonts w:ascii="Times New Roman" w:eastAsia="Times New Roman" w:hAnsi="Times New Roman" w:cs="Times New Roman"/>
          <w:color w:val="FF0000"/>
          <w:sz w:val="24"/>
          <w:szCs w:val="24"/>
          <w:lang w:eastAsia="en-GB"/>
        </w:rPr>
        <w:t>mg/L</w:t>
      </w:r>
      <w:r w:rsidRPr="000420D9">
        <w:rPr>
          <w:rFonts w:ascii="Times New Roman" w:eastAsia="Times New Roman" w:hAnsi="Times New Roman" w:cs="Times New Roman"/>
          <w:sz w:val="24"/>
          <w:szCs w:val="24"/>
          <w:lang w:eastAsia="en-GB"/>
        </w:rPr>
        <w:t>.</w:t>
      </w:r>
    </w:p>
    <w:p w14:paraId="5E05C45C" w14:textId="1F2FC262"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zero concentration standard served as the blank and was prepared using the same acid matrix as the samples (typically 5% nitric acid) to match matrix composition and minimize interference effects. All standards were prepared fresh </w:t>
      </w:r>
      <w:r w:rsidR="00DE25CF" w:rsidRPr="00DE25CF">
        <w:rPr>
          <w:rFonts w:ascii="Times New Roman" w:eastAsia="Times New Roman" w:hAnsi="Times New Roman" w:cs="Times New Roman"/>
          <w:color w:val="FF0000"/>
          <w:sz w:val="24"/>
          <w:szCs w:val="24"/>
          <w:lang w:eastAsia="en-GB"/>
        </w:rPr>
        <w:t>daily</w:t>
      </w:r>
      <w:r w:rsidRPr="000420D9">
        <w:rPr>
          <w:rFonts w:ascii="Times New Roman" w:eastAsia="Times New Roman" w:hAnsi="Times New Roman" w:cs="Times New Roman"/>
          <w:sz w:val="24"/>
          <w:szCs w:val="24"/>
          <w:lang w:eastAsia="en-GB"/>
        </w:rPr>
        <w:t xml:space="preserve"> </w:t>
      </w:r>
      <w:r w:rsidR="00DE25CF">
        <w:rPr>
          <w:rFonts w:ascii="Times New Roman" w:eastAsia="Times New Roman" w:hAnsi="Times New Roman" w:cs="Times New Roman"/>
          <w:sz w:val="24"/>
          <w:szCs w:val="24"/>
          <w:lang w:eastAsia="en-GB"/>
        </w:rPr>
        <w:t>for</w:t>
      </w:r>
      <w:r w:rsidRPr="000420D9">
        <w:rPr>
          <w:rFonts w:ascii="Times New Roman" w:eastAsia="Times New Roman" w:hAnsi="Times New Roman" w:cs="Times New Roman"/>
          <w:sz w:val="24"/>
          <w:szCs w:val="24"/>
          <w:lang w:eastAsia="en-GB"/>
        </w:rPr>
        <w:t xml:space="preserve"> analysis or stored at 4°C for no more than one week to prevent degradation or adsorption losses.</w:t>
      </w:r>
    </w:p>
    <w:p w14:paraId="1E4AD3D1" w14:textId="30CDD9DA" w:rsidR="000420D9" w:rsidRDefault="000420D9" w:rsidP="00F8192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Calibration curves were constructed by measuring the absorbance of each standard solution at the element-specific wavelength</w:t>
      </w:r>
      <w:r w:rsidR="00F81929">
        <w:rPr>
          <w:rFonts w:ascii="Times New Roman" w:eastAsia="Times New Roman" w:hAnsi="Times New Roman" w:cs="Times New Roman"/>
          <w:sz w:val="24"/>
          <w:szCs w:val="24"/>
          <w:lang w:eastAsia="en-GB"/>
        </w:rPr>
        <w:t xml:space="preserve"> </w:t>
      </w:r>
      <w:r w:rsidR="00F81929" w:rsidRPr="00F81929">
        <w:rPr>
          <w:rFonts w:ascii="Times New Roman" w:eastAsia="Times New Roman" w:hAnsi="Times New Roman" w:cs="Times New Roman"/>
          <w:color w:val="FF0000"/>
          <w:sz w:val="24"/>
          <w:szCs w:val="24"/>
          <w:lang w:eastAsia="en-GB"/>
        </w:rPr>
        <w:t>(Table 2)</w:t>
      </w:r>
      <w:r w:rsidRPr="00F81929">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and plotting absorbance versus concentration. The wavelengths used for analysis were optimized for maximum sensitivity and were as follows: zinc at 213.9 nm, cadmium at 228.8 nm, copper at 324.8 nm, manganese at 279.5 nm, and lead at 217.0 nm</w:t>
      </w:r>
      <w:r w:rsidR="00C06E5A">
        <w:rPr>
          <w:rFonts w:ascii="Times New Roman" w:eastAsia="Times New Roman" w:hAnsi="Times New Roman" w:cs="Times New Roman"/>
          <w:sz w:val="24"/>
          <w:szCs w:val="24"/>
          <w:lang w:eastAsia="en-GB"/>
        </w:rPr>
        <w:t xml:space="preserve"> </w:t>
      </w:r>
      <w:r w:rsidR="00C06E5A" w:rsidRPr="00B269A1">
        <w:rPr>
          <w:rFonts w:ascii="Times New Roman" w:eastAsia="Times New Roman" w:hAnsi="Times New Roman" w:cs="Times New Roman"/>
          <w:color w:val="FF0000"/>
          <w:sz w:val="24"/>
          <w:szCs w:val="24"/>
          <w:lang w:eastAsia="en-GB"/>
        </w:rPr>
        <w:t>[</w:t>
      </w:r>
      <w:r w:rsidR="00B269A1" w:rsidRPr="00B269A1">
        <w:rPr>
          <w:rFonts w:ascii="Times New Roman" w:eastAsia="Times New Roman" w:hAnsi="Times New Roman" w:cs="Times New Roman"/>
          <w:color w:val="FF0000"/>
          <w:sz w:val="24"/>
          <w:szCs w:val="24"/>
          <w:lang w:eastAsia="en-GB"/>
        </w:rPr>
        <w:t>10</w:t>
      </w:r>
      <w:r w:rsidR="00C06E5A" w:rsidRPr="00B269A1">
        <w:rPr>
          <w:rFonts w:ascii="Times New Roman" w:eastAsia="Times New Roman" w:hAnsi="Times New Roman" w:cs="Times New Roman"/>
          <w:color w:val="FF0000"/>
          <w:sz w:val="24"/>
          <w:szCs w:val="24"/>
          <w:lang w:eastAsia="en-GB"/>
        </w:rPr>
        <w:t>]</w:t>
      </w:r>
      <w:r w:rsidRPr="000420D9">
        <w:rPr>
          <w:rFonts w:ascii="Times New Roman" w:eastAsia="Times New Roman" w:hAnsi="Times New Roman" w:cs="Times New Roman"/>
          <w:sz w:val="24"/>
          <w:szCs w:val="24"/>
          <w:lang w:eastAsia="en-GB"/>
        </w:rPr>
        <w:t>. These wavelengths correspond to the most sensitive absorption lines for each element and are standard analytical wavelengths used in atomic absorption spectroscopy.</w:t>
      </w:r>
    </w:p>
    <w:p w14:paraId="4C557716" w14:textId="258745C4" w:rsidR="00F81929" w:rsidRPr="00F81929" w:rsidRDefault="00F81929" w:rsidP="00F81929">
      <w:pPr>
        <w:pStyle w:val="Caption"/>
        <w:jc w:val="both"/>
        <w:rPr>
          <w:rFonts w:ascii="Times New Roman" w:hAnsi="Times New Roman" w:cs="Times New Roman"/>
          <w:i w:val="0"/>
          <w:iCs w:val="0"/>
          <w:color w:val="000000" w:themeColor="text1"/>
          <w:sz w:val="24"/>
          <w:szCs w:val="24"/>
        </w:rPr>
      </w:pPr>
      <w:r w:rsidRPr="00F81929">
        <w:rPr>
          <w:rFonts w:ascii="Times New Roman" w:hAnsi="Times New Roman" w:cs="Times New Roman"/>
          <w:i w:val="0"/>
          <w:iCs w:val="0"/>
          <w:color w:val="FF0000"/>
          <w:sz w:val="24"/>
          <w:szCs w:val="24"/>
        </w:rPr>
        <w:t xml:space="preserve">Table </w:t>
      </w:r>
      <w:r w:rsidRPr="00F81929">
        <w:rPr>
          <w:rFonts w:ascii="Times New Roman" w:hAnsi="Times New Roman" w:cs="Times New Roman"/>
          <w:i w:val="0"/>
          <w:iCs w:val="0"/>
          <w:color w:val="FF0000"/>
          <w:sz w:val="24"/>
          <w:szCs w:val="24"/>
        </w:rPr>
        <w:fldChar w:fldCharType="begin"/>
      </w:r>
      <w:r w:rsidRPr="00F81929">
        <w:rPr>
          <w:rFonts w:ascii="Times New Roman" w:hAnsi="Times New Roman" w:cs="Times New Roman"/>
          <w:i w:val="0"/>
          <w:iCs w:val="0"/>
          <w:color w:val="FF0000"/>
          <w:sz w:val="24"/>
          <w:szCs w:val="24"/>
        </w:rPr>
        <w:instrText xml:space="preserve"> SEQ Table_3 \* ARABIC </w:instrText>
      </w:r>
      <w:r w:rsidRPr="00F81929">
        <w:rPr>
          <w:rFonts w:ascii="Times New Roman" w:hAnsi="Times New Roman" w:cs="Times New Roman"/>
          <w:i w:val="0"/>
          <w:iCs w:val="0"/>
          <w:color w:val="FF0000"/>
          <w:sz w:val="24"/>
          <w:szCs w:val="24"/>
        </w:rPr>
        <w:fldChar w:fldCharType="separate"/>
      </w:r>
      <w:r w:rsidRPr="00F81929">
        <w:rPr>
          <w:rFonts w:ascii="Times New Roman" w:hAnsi="Times New Roman" w:cs="Times New Roman"/>
          <w:i w:val="0"/>
          <w:iCs w:val="0"/>
          <w:color w:val="FF0000"/>
          <w:sz w:val="24"/>
          <w:szCs w:val="24"/>
        </w:rPr>
        <w:t>2</w:t>
      </w:r>
      <w:r w:rsidRPr="00F81929">
        <w:rPr>
          <w:rFonts w:ascii="Times New Roman" w:hAnsi="Times New Roman" w:cs="Times New Roman"/>
          <w:i w:val="0"/>
          <w:iCs w:val="0"/>
          <w:color w:val="FF0000"/>
          <w:sz w:val="24"/>
          <w:szCs w:val="24"/>
        </w:rPr>
        <w:fldChar w:fldCharType="end"/>
      </w:r>
      <w:r w:rsidRPr="00F81929">
        <w:rPr>
          <w:rFonts w:ascii="Times New Roman" w:hAnsi="Times New Roman" w:cs="Times New Roman"/>
          <w:i w:val="0"/>
          <w:iCs w:val="0"/>
          <w:color w:val="FF0000"/>
          <w:sz w:val="24"/>
          <w:szCs w:val="24"/>
        </w:rPr>
        <w:t xml:space="preserve">:  </w:t>
      </w:r>
      <w:r>
        <w:rPr>
          <w:rFonts w:ascii="Times New Roman" w:hAnsi="Times New Roman" w:cs="Times New Roman"/>
          <w:i w:val="0"/>
          <w:iCs w:val="0"/>
          <w:color w:val="000000" w:themeColor="text1"/>
          <w:sz w:val="24"/>
          <w:szCs w:val="24"/>
        </w:rPr>
        <w:t>The Optimum conditions for AAS operation</w:t>
      </w:r>
    </w:p>
    <w:tbl>
      <w:tblPr>
        <w:tblStyle w:val="TableGrid1"/>
        <w:tblW w:w="0" w:type="auto"/>
        <w:tblInd w:w="562" w:type="dxa"/>
        <w:tblLook w:val="04A0" w:firstRow="1" w:lastRow="0" w:firstColumn="1" w:lastColumn="0" w:noHBand="0" w:noVBand="1"/>
      </w:tblPr>
      <w:tblGrid>
        <w:gridCol w:w="1560"/>
        <w:gridCol w:w="1559"/>
      </w:tblGrid>
      <w:tr w:rsidR="00F81929" w:rsidRPr="00352203" w14:paraId="773D9AF3" w14:textId="77777777" w:rsidTr="0072581D">
        <w:tc>
          <w:tcPr>
            <w:tcW w:w="1560" w:type="dxa"/>
          </w:tcPr>
          <w:p w14:paraId="05C65A17" w14:textId="77777777" w:rsidR="00F81929" w:rsidRPr="00352203" w:rsidRDefault="00F81929" w:rsidP="0072581D">
            <w:pPr>
              <w:spacing w:line="360" w:lineRule="auto"/>
              <w:jc w:val="both"/>
              <w:rPr>
                <w:rFonts w:ascii="Times New Roman" w:hAnsi="Times New Roman" w:cs="Times New Roman"/>
                <w:b/>
                <w:color w:val="000000"/>
                <w:kern w:val="2"/>
                <w:sz w:val="24"/>
                <w:szCs w:val="24"/>
                <w:lang w:val="en-US"/>
                <w14:ligatures w14:val="standardContextual"/>
              </w:rPr>
            </w:pPr>
            <w:r w:rsidRPr="00352203">
              <w:rPr>
                <w:rFonts w:ascii="Times New Roman" w:hAnsi="Times New Roman" w:cs="Times New Roman"/>
                <w:b/>
                <w:color w:val="000000"/>
                <w:kern w:val="2"/>
                <w:sz w:val="24"/>
                <w:szCs w:val="24"/>
                <w:lang w:val="en-US"/>
                <w14:ligatures w14:val="standardContextual"/>
              </w:rPr>
              <w:t>Metal ion</w:t>
            </w:r>
          </w:p>
        </w:tc>
        <w:tc>
          <w:tcPr>
            <w:tcW w:w="1559" w:type="dxa"/>
          </w:tcPr>
          <w:p w14:paraId="257AE8B1" w14:textId="77777777" w:rsidR="00F81929" w:rsidRPr="00352203" w:rsidRDefault="00F81929" w:rsidP="0072581D">
            <w:pPr>
              <w:spacing w:line="360" w:lineRule="auto"/>
              <w:jc w:val="both"/>
              <w:rPr>
                <w:rFonts w:ascii="Times New Roman" w:hAnsi="Times New Roman" w:cs="Times New Roman"/>
                <w:b/>
                <w:color w:val="000000"/>
                <w:kern w:val="2"/>
                <w:sz w:val="24"/>
                <w:szCs w:val="24"/>
                <w:lang w:val="en-US"/>
                <w14:ligatures w14:val="standardContextual"/>
              </w:rPr>
            </w:pPr>
            <w:r w:rsidRPr="00352203">
              <w:rPr>
                <w:rFonts w:ascii="Times New Roman" w:hAnsi="Times New Roman" w:cs="Times New Roman"/>
                <w:b/>
                <w:color w:val="000000"/>
                <w:kern w:val="2"/>
                <w:sz w:val="24"/>
                <w:szCs w:val="24"/>
                <w:lang w:val="en-US"/>
                <w14:ligatures w14:val="standardContextual"/>
              </w:rPr>
              <w:t>Wavelength</w:t>
            </w:r>
          </w:p>
        </w:tc>
      </w:tr>
      <w:tr w:rsidR="00F81929" w:rsidRPr="00352203" w14:paraId="56F8405B" w14:textId="77777777" w:rsidTr="0072581D">
        <w:tc>
          <w:tcPr>
            <w:tcW w:w="1560" w:type="dxa"/>
          </w:tcPr>
          <w:p w14:paraId="116E5584"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Zn</w:t>
            </w:r>
          </w:p>
        </w:tc>
        <w:tc>
          <w:tcPr>
            <w:tcW w:w="1559" w:type="dxa"/>
          </w:tcPr>
          <w:p w14:paraId="50D35888"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217.0005</w:t>
            </w:r>
          </w:p>
        </w:tc>
      </w:tr>
      <w:tr w:rsidR="00F81929" w:rsidRPr="00352203" w14:paraId="63274750" w14:textId="77777777" w:rsidTr="0072581D">
        <w:tc>
          <w:tcPr>
            <w:tcW w:w="1560" w:type="dxa"/>
          </w:tcPr>
          <w:p w14:paraId="0CC9D2EE"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Cd</w:t>
            </w:r>
          </w:p>
        </w:tc>
        <w:tc>
          <w:tcPr>
            <w:tcW w:w="1559" w:type="dxa"/>
          </w:tcPr>
          <w:p w14:paraId="35ADAF35"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357.8687</w:t>
            </w:r>
          </w:p>
        </w:tc>
      </w:tr>
      <w:tr w:rsidR="00F81929" w:rsidRPr="00352203" w14:paraId="4A9D9481" w14:textId="77777777" w:rsidTr="0072581D">
        <w:tc>
          <w:tcPr>
            <w:tcW w:w="1560" w:type="dxa"/>
          </w:tcPr>
          <w:p w14:paraId="74E7B7B4"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Cu</w:t>
            </w:r>
          </w:p>
        </w:tc>
        <w:tc>
          <w:tcPr>
            <w:tcW w:w="1559" w:type="dxa"/>
          </w:tcPr>
          <w:p w14:paraId="787F66F4"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324.7540</w:t>
            </w:r>
          </w:p>
        </w:tc>
      </w:tr>
      <w:tr w:rsidR="00F81929" w:rsidRPr="00352203" w14:paraId="228543BB" w14:textId="77777777" w:rsidTr="0072581D">
        <w:tc>
          <w:tcPr>
            <w:tcW w:w="1560" w:type="dxa"/>
          </w:tcPr>
          <w:p w14:paraId="1A56E811"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Mn</w:t>
            </w:r>
          </w:p>
        </w:tc>
        <w:tc>
          <w:tcPr>
            <w:tcW w:w="1559" w:type="dxa"/>
          </w:tcPr>
          <w:p w14:paraId="1311876E"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232.0030</w:t>
            </w:r>
          </w:p>
        </w:tc>
      </w:tr>
      <w:tr w:rsidR="00F81929" w:rsidRPr="00352203" w14:paraId="1BB5B902" w14:textId="77777777" w:rsidTr="0072581D">
        <w:tc>
          <w:tcPr>
            <w:tcW w:w="1560" w:type="dxa"/>
          </w:tcPr>
          <w:p w14:paraId="6D841C52"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lastRenderedPageBreak/>
              <w:t>Pb</w:t>
            </w:r>
          </w:p>
        </w:tc>
        <w:tc>
          <w:tcPr>
            <w:tcW w:w="1559" w:type="dxa"/>
          </w:tcPr>
          <w:p w14:paraId="003F6942" w14:textId="77777777" w:rsidR="00F81929" w:rsidRPr="00352203" w:rsidRDefault="00F81929" w:rsidP="0072581D">
            <w:pPr>
              <w:spacing w:line="360" w:lineRule="auto"/>
              <w:jc w:val="both"/>
              <w:rPr>
                <w:rFonts w:ascii="Times New Roman" w:hAnsi="Times New Roman" w:cs="Times New Roman"/>
                <w:color w:val="000000"/>
                <w:kern w:val="2"/>
                <w:sz w:val="24"/>
                <w:szCs w:val="24"/>
                <w:lang w:val="en-US"/>
                <w14:ligatures w14:val="standardContextual"/>
              </w:rPr>
            </w:pPr>
            <w:r w:rsidRPr="00352203">
              <w:rPr>
                <w:rFonts w:ascii="Times New Roman" w:hAnsi="Times New Roman" w:cs="Times New Roman"/>
                <w:color w:val="000000"/>
                <w:kern w:val="2"/>
                <w:sz w:val="24"/>
                <w:szCs w:val="24"/>
                <w:lang w:val="en-US"/>
                <w14:ligatures w14:val="standardContextual"/>
              </w:rPr>
              <w:t>217.0005</w:t>
            </w:r>
          </w:p>
        </w:tc>
      </w:tr>
    </w:tbl>
    <w:p w14:paraId="37ACBCF6" w14:textId="77777777" w:rsidR="000420D9" w:rsidRPr="000420D9" w:rsidRDefault="000420D9" w:rsidP="00F8192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flame composition and flow rates were optimized for each element to achieve maximum absorbance signal and stability. For most elements, an air-acetylene flame was used with fuel-lean (oxidizing) conditions. The burner height was adjusted to position the optical beam through the optimal part of the flame where the population of free ground-state atoms is maximized.</w:t>
      </w:r>
    </w:p>
    <w:p w14:paraId="78DA0081" w14:textId="77777777" w:rsidR="000420D9" w:rsidRPr="000420D9" w:rsidRDefault="000420D9" w:rsidP="00F8192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For each calibration standard, the solution was aspirated into the flame through the nebulizer system, which converts the liquid into a fine aerosol. The instrument measured the absorbance and the data were recorded. Linear regression analysis was performed to determine the calibration equation relating absorbance to concentration. The quality of the calibration was assessed using the correlation coefficient (R²), with values above 0.99 considered acceptable for quantitative analysis.</w:t>
      </w:r>
    </w:p>
    <w:p w14:paraId="5E525E94" w14:textId="06142467" w:rsidR="000420D9" w:rsidRPr="000420D9" w:rsidRDefault="000420D9" w:rsidP="00F8192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Following calibration, the digested sample solutions were </w:t>
      </w:r>
      <w:r w:rsidR="00DE25CF" w:rsidRPr="000420D9">
        <w:rPr>
          <w:rFonts w:ascii="Times New Roman" w:eastAsia="Times New Roman" w:hAnsi="Times New Roman" w:cs="Times New Roman"/>
          <w:sz w:val="24"/>
          <w:szCs w:val="24"/>
          <w:lang w:eastAsia="en-GB"/>
        </w:rPr>
        <w:t>analysed</w:t>
      </w:r>
      <w:r w:rsidRPr="000420D9">
        <w:rPr>
          <w:rFonts w:ascii="Times New Roman" w:eastAsia="Times New Roman" w:hAnsi="Times New Roman" w:cs="Times New Roman"/>
          <w:sz w:val="24"/>
          <w:szCs w:val="24"/>
          <w:lang w:eastAsia="en-GB"/>
        </w:rPr>
        <w:t xml:space="preserve"> in the same manner. Each sample was run in triplicate by aspirating the solution three times and recording the average absorbance. Between samples, the nebulizer system was rinsed with dilute nitric acid and distilled water to prevent carryover contamination. Blank solutions (acid matrix without sample) were run periodically to monitor baseline stability and check for instrumental drift.</w:t>
      </w:r>
    </w:p>
    <w:p w14:paraId="19034E93" w14:textId="77777777" w:rsidR="000420D9" w:rsidRPr="000420D9" w:rsidRDefault="000420D9" w:rsidP="00F8192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instrument's software automatically calculated sample concentrations based on the calibration curves. However, these concentrations represented the levels in the diluted digestate and required correction for dilution factors to determine the actual concentration in the original dry sample. The calculation accounted for the mass of sample digested, the final volume of digestate, and any additional dilutions performed.</w:t>
      </w:r>
    </w:p>
    <w:p w14:paraId="2EEA2C14" w14:textId="00D4A48D"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Quality control measures implemented during analysis included running certified reference materials when available, </w:t>
      </w:r>
      <w:r w:rsidR="00F81929" w:rsidRPr="000420D9">
        <w:rPr>
          <w:rFonts w:ascii="Times New Roman" w:eastAsia="Times New Roman" w:hAnsi="Times New Roman" w:cs="Times New Roman"/>
          <w:sz w:val="24"/>
          <w:szCs w:val="24"/>
          <w:lang w:eastAsia="en-GB"/>
        </w:rPr>
        <w:t>analysing</w:t>
      </w:r>
      <w:r w:rsidRPr="000420D9">
        <w:rPr>
          <w:rFonts w:ascii="Times New Roman" w:eastAsia="Times New Roman" w:hAnsi="Times New Roman" w:cs="Times New Roman"/>
          <w:sz w:val="24"/>
          <w:szCs w:val="24"/>
          <w:lang w:eastAsia="en-GB"/>
        </w:rPr>
        <w:t xml:space="preserve"> blank samples to check for contamination, running duplicate samples to assess precision, conducting spike recovery tests by adding known amounts of metals to selected samples and measuring recovery, and periodically re-calibrating the instrument during extended analysis sessions to compensate for any instrumental drift.</w:t>
      </w:r>
    </w:p>
    <w:p w14:paraId="68A9CA76" w14:textId="628CBF1B" w:rsidR="00352203"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limit</w:t>
      </w:r>
      <w:r w:rsidR="00F81929" w:rsidRPr="00F81929">
        <w:rPr>
          <w:rFonts w:ascii="Times New Roman" w:eastAsia="Times New Roman" w:hAnsi="Times New Roman" w:cs="Times New Roman"/>
          <w:color w:val="FF0000"/>
          <w:sz w:val="24"/>
          <w:szCs w:val="24"/>
          <w:lang w:eastAsia="en-GB"/>
        </w:rPr>
        <w:t>s</w:t>
      </w:r>
      <w:r w:rsidRPr="000420D9">
        <w:rPr>
          <w:rFonts w:ascii="Times New Roman" w:eastAsia="Times New Roman" w:hAnsi="Times New Roman" w:cs="Times New Roman"/>
          <w:sz w:val="24"/>
          <w:szCs w:val="24"/>
          <w:lang w:eastAsia="en-GB"/>
        </w:rPr>
        <w:t xml:space="preserve"> of detection (LOD) for each </w:t>
      </w:r>
      <w:r w:rsidR="00F81929" w:rsidRPr="00F81929">
        <w:rPr>
          <w:rFonts w:ascii="Times New Roman" w:eastAsia="Times New Roman" w:hAnsi="Times New Roman" w:cs="Times New Roman"/>
          <w:color w:val="FF0000"/>
          <w:sz w:val="24"/>
          <w:szCs w:val="24"/>
          <w:lang w:eastAsia="en-GB"/>
        </w:rPr>
        <w:t>metal</w:t>
      </w:r>
      <w:r w:rsidR="00F81929">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element was determined as three times the standard deviation of ten replicate measurements of the blank, divided by the slope of the calibration curve. The limits of quantification (LOQ) were calculated as ten times the standard deviation of the blank divided by the slope. These parameters provide information about the lowest concentrations that can be reliably detected and quantified by the analytical method.</w:t>
      </w:r>
    </w:p>
    <w:p w14:paraId="4468F967" w14:textId="0EB0DF13" w:rsidR="000420D9" w:rsidRPr="000420D9" w:rsidRDefault="00BB15F1"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2.9</w:t>
      </w:r>
      <w:r w:rsidR="000420D9" w:rsidRPr="00BB15F1">
        <w:rPr>
          <w:rFonts w:ascii="Times New Roman" w:eastAsia="Times New Roman" w:hAnsi="Times New Roman" w:cs="Times New Roman"/>
          <w:b/>
          <w:bCs/>
          <w:color w:val="FF0000"/>
          <w:sz w:val="24"/>
          <w:szCs w:val="24"/>
          <w:lang w:eastAsia="en-GB"/>
        </w:rPr>
        <w:t xml:space="preserve"> </w:t>
      </w:r>
      <w:r w:rsidR="000420D9" w:rsidRPr="000420D9">
        <w:rPr>
          <w:rFonts w:ascii="Times New Roman" w:eastAsia="Times New Roman" w:hAnsi="Times New Roman" w:cs="Times New Roman"/>
          <w:b/>
          <w:bCs/>
          <w:sz w:val="24"/>
          <w:szCs w:val="24"/>
          <w:lang w:eastAsia="en-GB"/>
        </w:rPr>
        <w:t>Data Analysis and Statistical Treatment</w:t>
      </w:r>
    </w:p>
    <w:p w14:paraId="0A34BF76"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All measurements were performed in triplicate to ensure reliability and allow statistical evaluation of results. The triplicate values for each sample were examined for outliers using appropriate statistical tests, though in general, values that differed from the mean by more than three standard deviations were flagged for investigation.</w:t>
      </w:r>
    </w:p>
    <w:p w14:paraId="24A1B99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Results for heavy metal concentrations were expressed as mean ± standard deviation, calculated using Microsoft Excel. The standard deviation provides a measure of the precision </w:t>
      </w:r>
      <w:r w:rsidRPr="000420D9">
        <w:rPr>
          <w:rFonts w:ascii="Times New Roman" w:eastAsia="Times New Roman" w:hAnsi="Times New Roman" w:cs="Times New Roman"/>
          <w:sz w:val="24"/>
          <w:szCs w:val="24"/>
          <w:lang w:eastAsia="en-GB"/>
        </w:rPr>
        <w:lastRenderedPageBreak/>
        <w:t>of the measurements, with smaller values indicating better reproducibility. Data were organized in tables showing concentrations for each metal in each variety from each sampling location.</w:t>
      </w:r>
    </w:p>
    <w:p w14:paraId="6B5946F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Graphical presentations were prepared using Excel software to facilitate visual comparison of metal levels across varieties and against regulatory limits. Bar charts with error bars representing standard deviations were created to show mean concentrations. These visualizations help identify patterns and differences that may not be immediately apparent from tabular data alone.</w:t>
      </w:r>
    </w:p>
    <w:p w14:paraId="313DA67C" w14:textId="4A907690" w:rsidR="000420D9" w:rsidRPr="000420D9" w:rsidRDefault="000420D9" w:rsidP="00B46EA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Comparison with regulatory limits established by the World Health Organization</w:t>
      </w:r>
      <w:r w:rsidR="00EB2B84">
        <w:rPr>
          <w:rFonts w:ascii="Times New Roman" w:eastAsia="Times New Roman" w:hAnsi="Times New Roman" w:cs="Times New Roman"/>
          <w:sz w:val="24"/>
          <w:szCs w:val="24"/>
          <w:lang w:eastAsia="en-GB"/>
        </w:rPr>
        <w:t xml:space="preserve"> </w:t>
      </w:r>
      <w:r w:rsidR="00EB2B84" w:rsidRPr="00EC3EC0">
        <w:rPr>
          <w:rFonts w:ascii="Times New Roman" w:eastAsia="Times New Roman" w:hAnsi="Times New Roman" w:cs="Times New Roman"/>
          <w:color w:val="FF0000"/>
          <w:sz w:val="24"/>
          <w:szCs w:val="24"/>
          <w:lang w:eastAsia="en-GB"/>
        </w:rPr>
        <w:t>(WHO)</w:t>
      </w:r>
      <w:r w:rsidR="00A20871">
        <w:rPr>
          <w:rFonts w:ascii="Times New Roman" w:eastAsia="Times New Roman" w:hAnsi="Times New Roman" w:cs="Times New Roman"/>
          <w:color w:val="FF0000"/>
          <w:sz w:val="24"/>
          <w:szCs w:val="24"/>
          <w:lang w:eastAsia="en-GB"/>
        </w:rPr>
        <w:t>/</w:t>
      </w:r>
      <w:r w:rsidRPr="000420D9">
        <w:rPr>
          <w:rFonts w:ascii="Times New Roman" w:eastAsia="Times New Roman" w:hAnsi="Times New Roman" w:cs="Times New Roman"/>
          <w:sz w:val="24"/>
          <w:szCs w:val="24"/>
          <w:lang w:eastAsia="en-GB"/>
        </w:rPr>
        <w:t>Food and Agriculture Organization</w:t>
      </w:r>
      <w:r w:rsidR="00EC3EC0">
        <w:rPr>
          <w:rFonts w:ascii="Times New Roman" w:eastAsia="Times New Roman" w:hAnsi="Times New Roman" w:cs="Times New Roman"/>
          <w:sz w:val="24"/>
          <w:szCs w:val="24"/>
          <w:lang w:eastAsia="en-GB"/>
        </w:rPr>
        <w:t xml:space="preserve"> </w:t>
      </w:r>
      <w:r w:rsidR="00EC3EC0" w:rsidRPr="00EC3EC0">
        <w:rPr>
          <w:rFonts w:ascii="Times New Roman" w:eastAsia="Times New Roman" w:hAnsi="Times New Roman" w:cs="Times New Roman"/>
          <w:color w:val="FF0000"/>
          <w:sz w:val="24"/>
          <w:szCs w:val="24"/>
          <w:lang w:eastAsia="en-GB"/>
        </w:rPr>
        <w:t>(</w:t>
      </w:r>
      <w:r w:rsidR="00A20871">
        <w:rPr>
          <w:rFonts w:ascii="Times New Roman" w:eastAsia="Times New Roman" w:hAnsi="Times New Roman" w:cs="Times New Roman"/>
          <w:color w:val="FF0000"/>
          <w:sz w:val="24"/>
          <w:szCs w:val="24"/>
          <w:lang w:eastAsia="en-GB"/>
        </w:rPr>
        <w:t>WHO/</w:t>
      </w:r>
      <w:r w:rsidR="00EC3EC0" w:rsidRPr="00EC3EC0">
        <w:rPr>
          <w:rFonts w:ascii="Times New Roman" w:eastAsia="Times New Roman" w:hAnsi="Times New Roman" w:cs="Times New Roman"/>
          <w:color w:val="FF0000"/>
          <w:sz w:val="24"/>
          <w:szCs w:val="24"/>
          <w:lang w:eastAsia="en-GB"/>
        </w:rPr>
        <w:t>FAO)</w:t>
      </w:r>
      <w:r w:rsidRPr="00EC3EC0">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and Kenya Bureau of Standards</w:t>
      </w:r>
      <w:r w:rsidR="00EC3EC0">
        <w:rPr>
          <w:rFonts w:ascii="Times New Roman" w:eastAsia="Times New Roman" w:hAnsi="Times New Roman" w:cs="Times New Roman"/>
          <w:sz w:val="24"/>
          <w:szCs w:val="24"/>
          <w:lang w:eastAsia="en-GB"/>
        </w:rPr>
        <w:t xml:space="preserve"> </w:t>
      </w:r>
      <w:r w:rsidR="00EC3EC0" w:rsidRPr="00EC3EC0">
        <w:rPr>
          <w:rFonts w:ascii="Times New Roman" w:eastAsia="Times New Roman" w:hAnsi="Times New Roman" w:cs="Times New Roman"/>
          <w:color w:val="FF0000"/>
          <w:sz w:val="24"/>
          <w:szCs w:val="24"/>
          <w:lang w:eastAsia="en-GB"/>
        </w:rPr>
        <w:t>(KEBS)</w:t>
      </w:r>
      <w:r w:rsidRPr="00EC3EC0">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allowed assessment of food safety status. Samples with concentrations exceeding maximum permissible limits were flagged as potential health risks.</w:t>
      </w:r>
    </w:p>
    <w:p w14:paraId="2528BE9C" w14:textId="16ACD298" w:rsidR="000420D9" w:rsidRPr="000420D9" w:rsidRDefault="00BB15F1"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RESULTS</w:t>
      </w:r>
      <w:r w:rsidR="000420D9" w:rsidRPr="000420D9">
        <w:rPr>
          <w:rFonts w:ascii="Times New Roman" w:eastAsia="Times New Roman" w:hAnsi="Times New Roman" w:cs="Times New Roman"/>
          <w:b/>
          <w:bCs/>
          <w:sz w:val="24"/>
          <w:szCs w:val="24"/>
          <w:lang w:eastAsia="en-GB"/>
        </w:rPr>
        <w:t xml:space="preserve"> AND DISCUSSION</w:t>
      </w:r>
    </w:p>
    <w:p w14:paraId="27253F2A" w14:textId="12A7ED53" w:rsidR="000420D9" w:rsidRPr="000420D9" w:rsidRDefault="00BB15F1"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3</w:t>
      </w:r>
      <w:r w:rsidR="000420D9" w:rsidRPr="00BB15F1">
        <w:rPr>
          <w:rFonts w:ascii="Times New Roman" w:eastAsia="Times New Roman" w:hAnsi="Times New Roman" w:cs="Times New Roman"/>
          <w:b/>
          <w:bCs/>
          <w:color w:val="FF0000"/>
          <w:sz w:val="24"/>
          <w:szCs w:val="24"/>
          <w:lang w:eastAsia="en-GB"/>
        </w:rPr>
        <w:t>.1</w:t>
      </w:r>
      <w:r w:rsidR="000420D9" w:rsidRPr="000420D9">
        <w:rPr>
          <w:rFonts w:ascii="Times New Roman" w:eastAsia="Times New Roman" w:hAnsi="Times New Roman" w:cs="Times New Roman"/>
          <w:b/>
          <w:bCs/>
          <w:sz w:val="24"/>
          <w:szCs w:val="24"/>
          <w:lang w:eastAsia="en-GB"/>
        </w:rPr>
        <w:t xml:space="preserve"> Calibration Curves </w:t>
      </w:r>
      <w:r w:rsidR="002407DB" w:rsidRPr="002407DB">
        <w:rPr>
          <w:rFonts w:ascii="Times New Roman" w:eastAsia="Times New Roman" w:hAnsi="Times New Roman" w:cs="Times New Roman"/>
          <w:b/>
          <w:bCs/>
          <w:color w:val="FF0000"/>
          <w:sz w:val="24"/>
          <w:szCs w:val="24"/>
          <w:lang w:eastAsia="en-GB"/>
        </w:rPr>
        <w:t>Preparation</w:t>
      </w:r>
      <w:r w:rsidR="002407DB">
        <w:rPr>
          <w:rFonts w:ascii="Times New Roman" w:eastAsia="Times New Roman" w:hAnsi="Times New Roman" w:cs="Times New Roman"/>
          <w:b/>
          <w:bCs/>
          <w:sz w:val="24"/>
          <w:szCs w:val="24"/>
          <w:lang w:eastAsia="en-GB"/>
        </w:rPr>
        <w:t xml:space="preserve"> </w:t>
      </w:r>
      <w:r w:rsidR="000420D9" w:rsidRPr="000420D9">
        <w:rPr>
          <w:rFonts w:ascii="Times New Roman" w:eastAsia="Times New Roman" w:hAnsi="Times New Roman" w:cs="Times New Roman"/>
          <w:b/>
          <w:bCs/>
          <w:sz w:val="24"/>
          <w:szCs w:val="24"/>
          <w:lang w:eastAsia="en-GB"/>
        </w:rPr>
        <w:t>and Analytical Performance</w:t>
      </w:r>
    </w:p>
    <w:p w14:paraId="027E78B4" w14:textId="0722D66E" w:rsidR="00352203" w:rsidRPr="00940004"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reliability and accuracy of heavy metal determinations by atomic absorption spectroscopy depend fundamentally on the quality of calibration curves generated from standard solutions. In this study, calibration curves were prepared for each of the five target metals using freshly prepared standard solutions at multiple concentration levels. The calibration data, regression equations, and correlation coefficients provide important information about the analytical method's performance and the relationship between absorbance and concentration.</w:t>
      </w:r>
    </w:p>
    <w:p w14:paraId="1F912D38" w14:textId="262105C4" w:rsidR="000420D9" w:rsidRPr="000420D9" w:rsidRDefault="00BB15F1"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3</w:t>
      </w:r>
      <w:r w:rsidR="000420D9" w:rsidRPr="00BB15F1">
        <w:rPr>
          <w:rFonts w:ascii="Times New Roman" w:eastAsia="Times New Roman" w:hAnsi="Times New Roman" w:cs="Times New Roman"/>
          <w:b/>
          <w:bCs/>
          <w:color w:val="FF0000"/>
          <w:sz w:val="24"/>
          <w:szCs w:val="24"/>
          <w:lang w:eastAsia="en-GB"/>
        </w:rPr>
        <w:t xml:space="preserve">.2 </w:t>
      </w:r>
      <w:r w:rsidR="000420D9" w:rsidRPr="000420D9">
        <w:rPr>
          <w:rFonts w:ascii="Times New Roman" w:eastAsia="Times New Roman" w:hAnsi="Times New Roman" w:cs="Times New Roman"/>
          <w:b/>
          <w:bCs/>
          <w:sz w:val="24"/>
          <w:szCs w:val="24"/>
          <w:lang w:eastAsia="en-GB"/>
        </w:rPr>
        <w:t xml:space="preserve">Heavy Metal </w:t>
      </w:r>
      <w:r w:rsidR="0053024D">
        <w:rPr>
          <w:rFonts w:ascii="Times New Roman" w:eastAsia="Times New Roman" w:hAnsi="Times New Roman" w:cs="Times New Roman"/>
          <w:b/>
          <w:bCs/>
          <w:sz w:val="24"/>
          <w:szCs w:val="24"/>
          <w:lang w:eastAsia="en-GB"/>
        </w:rPr>
        <w:t xml:space="preserve">levels </w:t>
      </w:r>
      <w:r w:rsidR="000420D9" w:rsidRPr="000420D9">
        <w:rPr>
          <w:rFonts w:ascii="Times New Roman" w:eastAsia="Times New Roman" w:hAnsi="Times New Roman" w:cs="Times New Roman"/>
          <w:b/>
          <w:bCs/>
          <w:sz w:val="24"/>
          <w:szCs w:val="24"/>
          <w:lang w:eastAsia="en-GB"/>
        </w:rPr>
        <w:t>in Maize Varieties</w:t>
      </w:r>
    </w:p>
    <w:p w14:paraId="1F8085CD" w14:textId="1AB6B982" w:rsid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analysis of heavy metals in the three maize varieties from Masii </w:t>
      </w:r>
      <w:r w:rsidR="00791575" w:rsidRPr="00791575">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xml:space="preserve"> revealed significant contamination, particularly with lead and cadmium, while zinc, copper, and manganese were present at lower levels. </w:t>
      </w:r>
      <w:r w:rsidRPr="00C6302C">
        <w:rPr>
          <w:rFonts w:ascii="Times New Roman" w:eastAsia="Times New Roman" w:hAnsi="Times New Roman" w:cs="Times New Roman"/>
          <w:color w:val="FF0000"/>
          <w:sz w:val="24"/>
          <w:szCs w:val="24"/>
          <w:lang w:eastAsia="en-GB"/>
        </w:rPr>
        <w:t>Table</w:t>
      </w:r>
      <w:r w:rsidR="002001C5" w:rsidRPr="00C6302C">
        <w:rPr>
          <w:rFonts w:ascii="Times New Roman" w:eastAsia="Times New Roman" w:hAnsi="Times New Roman" w:cs="Times New Roman"/>
          <w:color w:val="FF0000"/>
          <w:sz w:val="24"/>
          <w:szCs w:val="24"/>
          <w:lang w:eastAsia="en-GB"/>
        </w:rPr>
        <w:t xml:space="preserve"> 3</w:t>
      </w:r>
      <w:r w:rsidRPr="00C6302C">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presents a comprehensive summary of the measured </w:t>
      </w:r>
      <w:r w:rsidR="00C6302C">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for all five </w:t>
      </w:r>
      <w:r w:rsidR="00C6302C" w:rsidRPr="00C6302C">
        <w:rPr>
          <w:rFonts w:ascii="Times New Roman" w:eastAsia="Times New Roman" w:hAnsi="Times New Roman" w:cs="Times New Roman"/>
          <w:color w:val="FF0000"/>
          <w:sz w:val="24"/>
          <w:szCs w:val="24"/>
          <w:lang w:eastAsia="en-GB"/>
        </w:rPr>
        <w:t>heavy</w:t>
      </w:r>
      <w:r w:rsidR="00C6302C">
        <w:rPr>
          <w:rFonts w:ascii="Times New Roman" w:eastAsia="Times New Roman" w:hAnsi="Times New Roman" w:cs="Times New Roman"/>
          <w:sz w:val="24"/>
          <w:szCs w:val="24"/>
          <w:lang w:eastAsia="en-GB"/>
        </w:rPr>
        <w:t xml:space="preserve"> </w:t>
      </w:r>
      <w:r w:rsidRPr="000420D9">
        <w:rPr>
          <w:rFonts w:ascii="Times New Roman" w:eastAsia="Times New Roman" w:hAnsi="Times New Roman" w:cs="Times New Roman"/>
          <w:sz w:val="24"/>
          <w:szCs w:val="24"/>
          <w:lang w:eastAsia="en-GB"/>
        </w:rPr>
        <w:t xml:space="preserve">metals in each variety, along with the regulatory limits established by </w:t>
      </w:r>
      <w:r w:rsidRPr="00D72A89">
        <w:rPr>
          <w:rFonts w:ascii="Times New Roman" w:eastAsia="Times New Roman" w:hAnsi="Times New Roman" w:cs="Times New Roman"/>
          <w:color w:val="FF0000"/>
          <w:sz w:val="24"/>
          <w:szCs w:val="24"/>
          <w:lang w:eastAsia="en-GB"/>
        </w:rPr>
        <w:t>WHO</w:t>
      </w:r>
      <w:r w:rsidR="00D72A89" w:rsidRPr="00D72A89">
        <w:rPr>
          <w:rFonts w:ascii="Times New Roman" w:eastAsia="Times New Roman" w:hAnsi="Times New Roman" w:cs="Times New Roman"/>
          <w:color w:val="FF0000"/>
          <w:sz w:val="24"/>
          <w:szCs w:val="24"/>
          <w:lang w:eastAsia="en-GB"/>
        </w:rPr>
        <w:t>/FAO</w:t>
      </w:r>
      <w:r w:rsidR="00D72A89">
        <w:rPr>
          <w:rFonts w:ascii="Times New Roman" w:eastAsia="Times New Roman" w:hAnsi="Times New Roman" w:cs="Times New Roman"/>
          <w:sz w:val="24"/>
          <w:szCs w:val="24"/>
          <w:lang w:eastAsia="en-GB"/>
        </w:rPr>
        <w:t xml:space="preserve">, </w:t>
      </w:r>
      <w:r w:rsidR="00D72A89" w:rsidRPr="000420D9">
        <w:rPr>
          <w:rFonts w:ascii="Times New Roman" w:eastAsia="Times New Roman" w:hAnsi="Times New Roman" w:cs="Times New Roman"/>
          <w:sz w:val="24"/>
          <w:szCs w:val="24"/>
          <w:lang w:eastAsia="en-GB"/>
        </w:rPr>
        <w:t>KEBS</w:t>
      </w:r>
      <w:r w:rsidR="00D72A89">
        <w:rPr>
          <w:rFonts w:ascii="Times New Roman" w:eastAsia="Times New Roman" w:hAnsi="Times New Roman" w:cs="Times New Roman"/>
          <w:sz w:val="24"/>
          <w:szCs w:val="24"/>
          <w:lang w:eastAsia="en-GB"/>
        </w:rPr>
        <w:t xml:space="preserve"> and </w:t>
      </w:r>
      <w:r w:rsidR="00D72A89" w:rsidRPr="000420D9">
        <w:rPr>
          <w:rFonts w:ascii="Times New Roman" w:eastAsia="Times New Roman" w:hAnsi="Times New Roman" w:cs="Times New Roman"/>
          <w:sz w:val="24"/>
          <w:szCs w:val="24"/>
          <w:lang w:eastAsia="en-GB"/>
        </w:rPr>
        <w:t>the</w:t>
      </w:r>
      <w:r w:rsidRPr="000420D9">
        <w:rPr>
          <w:rFonts w:ascii="Times New Roman" w:eastAsia="Times New Roman" w:hAnsi="Times New Roman" w:cs="Times New Roman"/>
          <w:sz w:val="24"/>
          <w:szCs w:val="24"/>
          <w:lang w:eastAsia="en-GB"/>
        </w:rPr>
        <w:t xml:space="preserve"> analytical limits of detection</w:t>
      </w:r>
      <w:r w:rsidR="00D72A89">
        <w:rPr>
          <w:rFonts w:ascii="Times New Roman" w:eastAsia="Times New Roman" w:hAnsi="Times New Roman" w:cs="Times New Roman"/>
          <w:sz w:val="24"/>
          <w:szCs w:val="24"/>
          <w:lang w:eastAsia="en-GB"/>
        </w:rPr>
        <w:t xml:space="preserve"> </w:t>
      </w:r>
      <w:r w:rsidR="00D72A89" w:rsidRPr="00D72A89">
        <w:rPr>
          <w:rFonts w:ascii="Times New Roman" w:eastAsia="Times New Roman" w:hAnsi="Times New Roman" w:cs="Times New Roman"/>
          <w:color w:val="FF0000"/>
          <w:sz w:val="24"/>
          <w:szCs w:val="24"/>
          <w:lang w:eastAsia="en-GB"/>
        </w:rPr>
        <w:t>(LOD)</w:t>
      </w:r>
      <w:r w:rsidRPr="00D72A89">
        <w:rPr>
          <w:rFonts w:ascii="Times New Roman" w:eastAsia="Times New Roman" w:hAnsi="Times New Roman" w:cs="Times New Roman"/>
          <w:color w:val="FF0000"/>
          <w:sz w:val="24"/>
          <w:szCs w:val="24"/>
          <w:lang w:eastAsia="en-GB"/>
        </w:rPr>
        <w:t>.</w:t>
      </w:r>
    </w:p>
    <w:p w14:paraId="2099D5C0" w14:textId="3D1595A3" w:rsidR="000E0C6D" w:rsidRDefault="000E0C6D" w:rsidP="0038231D">
      <w:pPr>
        <w:pStyle w:val="Caption"/>
        <w:jc w:val="both"/>
        <w:rPr>
          <w:rFonts w:ascii="Times New Roman" w:hAnsi="Times New Roman" w:cs="Times New Roman"/>
          <w:i w:val="0"/>
          <w:iCs w:val="0"/>
          <w:color w:val="000000" w:themeColor="text1"/>
          <w:sz w:val="24"/>
          <w:szCs w:val="24"/>
        </w:rPr>
      </w:pPr>
      <w:bookmarkStart w:id="3" w:name="_Toc198897937"/>
      <w:r w:rsidRPr="00BB15F1">
        <w:rPr>
          <w:rFonts w:ascii="Times New Roman" w:hAnsi="Times New Roman" w:cs="Times New Roman"/>
          <w:i w:val="0"/>
          <w:iCs w:val="0"/>
          <w:color w:val="FF0000"/>
          <w:sz w:val="24"/>
          <w:szCs w:val="24"/>
        </w:rPr>
        <w:t xml:space="preserve">Table </w:t>
      </w:r>
      <w:r w:rsidR="00791575" w:rsidRPr="00BB15F1">
        <w:rPr>
          <w:rFonts w:ascii="Times New Roman" w:hAnsi="Times New Roman" w:cs="Times New Roman"/>
          <w:i w:val="0"/>
          <w:iCs w:val="0"/>
          <w:color w:val="FF0000"/>
          <w:sz w:val="24"/>
          <w:szCs w:val="24"/>
        </w:rPr>
        <w:t>3</w:t>
      </w:r>
      <w:r>
        <w:rPr>
          <w:rFonts w:ascii="Times New Roman" w:hAnsi="Times New Roman" w:cs="Times New Roman"/>
          <w:i w:val="0"/>
          <w:iCs w:val="0"/>
          <w:color w:val="000000" w:themeColor="text1"/>
          <w:sz w:val="24"/>
          <w:szCs w:val="24"/>
        </w:rPr>
        <w:t xml:space="preserve">: Heavy metal </w:t>
      </w:r>
      <w:r w:rsidR="0072581D">
        <w:rPr>
          <w:rFonts w:ascii="Times New Roman" w:hAnsi="Times New Roman" w:cs="Times New Roman"/>
          <w:i w:val="0"/>
          <w:iCs w:val="0"/>
          <w:color w:val="000000" w:themeColor="text1"/>
          <w:sz w:val="24"/>
          <w:szCs w:val="24"/>
        </w:rPr>
        <w:t xml:space="preserve">levels </w:t>
      </w:r>
      <w:r w:rsidR="0072581D" w:rsidRPr="00C6302C">
        <w:rPr>
          <w:rFonts w:ascii="Times New Roman" w:hAnsi="Times New Roman" w:cs="Times New Roman"/>
          <w:i w:val="0"/>
          <w:iCs w:val="0"/>
          <w:color w:val="FF0000"/>
          <w:sz w:val="24"/>
          <w:szCs w:val="24"/>
        </w:rPr>
        <w:t xml:space="preserve">(mg/g) </w:t>
      </w:r>
      <w:r>
        <w:rPr>
          <w:rFonts w:ascii="Times New Roman" w:hAnsi="Times New Roman" w:cs="Times New Roman"/>
          <w:i w:val="0"/>
          <w:iCs w:val="0"/>
          <w:color w:val="000000" w:themeColor="text1"/>
          <w:sz w:val="24"/>
          <w:szCs w:val="24"/>
        </w:rPr>
        <w:t>in three maize seeds varieties and the recommended values</w:t>
      </w:r>
      <w:bookmarkEnd w:id="3"/>
      <w:r>
        <w:rPr>
          <w:rFonts w:ascii="Times New Roman" w:hAnsi="Times New Roman" w:cs="Times New Roman"/>
          <w:i w:val="0"/>
          <w:iCs w:val="0"/>
          <w:color w:val="000000" w:themeColor="text1"/>
          <w:sz w:val="24"/>
          <w:szCs w:val="24"/>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559"/>
        <w:gridCol w:w="1701"/>
        <w:gridCol w:w="1701"/>
        <w:gridCol w:w="1701"/>
      </w:tblGrid>
      <w:tr w:rsidR="00A215B2" w:rsidRPr="00A215B2" w14:paraId="50E2181A" w14:textId="77777777" w:rsidTr="00D222D2">
        <w:trPr>
          <w:trHeight w:val="300"/>
        </w:trPr>
        <w:tc>
          <w:tcPr>
            <w:tcW w:w="1838" w:type="dxa"/>
            <w:shd w:val="clear" w:color="auto" w:fill="auto"/>
            <w:noWrap/>
            <w:vAlign w:val="bottom"/>
            <w:hideMark/>
          </w:tcPr>
          <w:p w14:paraId="094651E3"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 xml:space="preserve">Maize </w:t>
            </w:r>
            <w:r w:rsidRPr="00A215B2">
              <w:rPr>
                <w:rFonts w:ascii="Times New Roman" w:eastAsia="Times New Roman" w:hAnsi="Times New Roman" w:cs="Times New Roman"/>
                <w:color w:val="000000"/>
                <w:sz w:val="24"/>
                <w:szCs w:val="24"/>
                <w:lang/>
              </w:rPr>
              <w:t>Variety</w:t>
            </w:r>
          </w:p>
        </w:tc>
        <w:tc>
          <w:tcPr>
            <w:tcW w:w="1701" w:type="dxa"/>
            <w:shd w:val="clear" w:color="auto" w:fill="auto"/>
            <w:noWrap/>
            <w:vAlign w:val="bottom"/>
            <w:hideMark/>
          </w:tcPr>
          <w:p w14:paraId="69C031D3" w14:textId="5EC104DC"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 xml:space="preserve">Zn </w:t>
            </w:r>
          </w:p>
        </w:tc>
        <w:tc>
          <w:tcPr>
            <w:tcW w:w="1559" w:type="dxa"/>
            <w:shd w:val="clear" w:color="auto" w:fill="auto"/>
            <w:noWrap/>
            <w:vAlign w:val="bottom"/>
            <w:hideMark/>
          </w:tcPr>
          <w:p w14:paraId="0D446CFB"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Cd</w:t>
            </w:r>
          </w:p>
        </w:tc>
        <w:tc>
          <w:tcPr>
            <w:tcW w:w="1701" w:type="dxa"/>
            <w:shd w:val="clear" w:color="auto" w:fill="auto"/>
            <w:noWrap/>
            <w:vAlign w:val="bottom"/>
            <w:hideMark/>
          </w:tcPr>
          <w:p w14:paraId="1515A04B"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Cu</w:t>
            </w:r>
          </w:p>
        </w:tc>
        <w:tc>
          <w:tcPr>
            <w:tcW w:w="1701" w:type="dxa"/>
            <w:shd w:val="clear" w:color="auto" w:fill="auto"/>
            <w:noWrap/>
            <w:vAlign w:val="bottom"/>
            <w:hideMark/>
          </w:tcPr>
          <w:p w14:paraId="79B31F2E"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Mn</w:t>
            </w:r>
          </w:p>
        </w:tc>
        <w:tc>
          <w:tcPr>
            <w:tcW w:w="1701" w:type="dxa"/>
            <w:shd w:val="clear" w:color="auto" w:fill="auto"/>
            <w:noWrap/>
            <w:vAlign w:val="bottom"/>
            <w:hideMark/>
          </w:tcPr>
          <w:p w14:paraId="67C021EB"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Pb</w:t>
            </w:r>
          </w:p>
        </w:tc>
      </w:tr>
      <w:tr w:rsidR="00A215B2" w:rsidRPr="00A215B2" w14:paraId="223C7586" w14:textId="77777777" w:rsidTr="00D222D2">
        <w:trPr>
          <w:trHeight w:val="300"/>
        </w:trPr>
        <w:tc>
          <w:tcPr>
            <w:tcW w:w="1838" w:type="dxa"/>
            <w:shd w:val="clear" w:color="auto" w:fill="auto"/>
            <w:noWrap/>
            <w:vAlign w:val="bottom"/>
            <w:hideMark/>
          </w:tcPr>
          <w:p w14:paraId="0CC36E39"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SC Sungura 301</w:t>
            </w:r>
          </w:p>
        </w:tc>
        <w:tc>
          <w:tcPr>
            <w:tcW w:w="1701" w:type="dxa"/>
            <w:shd w:val="clear" w:color="auto" w:fill="auto"/>
            <w:noWrap/>
            <w:vAlign w:val="bottom"/>
            <w:hideMark/>
          </w:tcPr>
          <w:p w14:paraId="40682CD7"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0.343 ± 0.0505</w:t>
            </w:r>
          </w:p>
        </w:tc>
        <w:tc>
          <w:tcPr>
            <w:tcW w:w="1559" w:type="dxa"/>
            <w:shd w:val="clear" w:color="auto" w:fill="auto"/>
            <w:noWrap/>
            <w:vAlign w:val="bottom"/>
            <w:hideMark/>
          </w:tcPr>
          <w:p w14:paraId="778D0D6B"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1.998 ± 0.11</w:t>
            </w:r>
          </w:p>
        </w:tc>
        <w:tc>
          <w:tcPr>
            <w:tcW w:w="1701" w:type="dxa"/>
            <w:shd w:val="clear" w:color="auto" w:fill="auto"/>
            <w:noWrap/>
            <w:vAlign w:val="bottom"/>
            <w:hideMark/>
          </w:tcPr>
          <w:p w14:paraId="7948AF7D"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0.756 ± 0.101</w:t>
            </w:r>
          </w:p>
        </w:tc>
        <w:tc>
          <w:tcPr>
            <w:tcW w:w="1701" w:type="dxa"/>
            <w:shd w:val="clear" w:color="auto" w:fill="auto"/>
            <w:noWrap/>
            <w:vAlign w:val="bottom"/>
            <w:hideMark/>
          </w:tcPr>
          <w:p w14:paraId="748144B8"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2.745 ± 0.851</w:t>
            </w:r>
          </w:p>
        </w:tc>
        <w:tc>
          <w:tcPr>
            <w:tcW w:w="1701" w:type="dxa"/>
            <w:shd w:val="clear" w:color="auto" w:fill="auto"/>
            <w:noWrap/>
            <w:vAlign w:val="bottom"/>
            <w:hideMark/>
          </w:tcPr>
          <w:p w14:paraId="1E363FDB"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8.990 ± 0.752</w:t>
            </w:r>
          </w:p>
        </w:tc>
      </w:tr>
      <w:tr w:rsidR="00A215B2" w:rsidRPr="00A215B2" w14:paraId="0985134E" w14:textId="77777777" w:rsidTr="00D222D2">
        <w:trPr>
          <w:trHeight w:val="300"/>
        </w:trPr>
        <w:tc>
          <w:tcPr>
            <w:tcW w:w="1838" w:type="dxa"/>
            <w:shd w:val="clear" w:color="auto" w:fill="auto"/>
            <w:noWrap/>
            <w:vAlign w:val="bottom"/>
            <w:hideMark/>
          </w:tcPr>
          <w:p w14:paraId="04755BAB"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SC Duma 43</w:t>
            </w:r>
          </w:p>
        </w:tc>
        <w:tc>
          <w:tcPr>
            <w:tcW w:w="1701" w:type="dxa"/>
            <w:shd w:val="clear" w:color="auto" w:fill="auto"/>
            <w:noWrap/>
            <w:vAlign w:val="bottom"/>
            <w:hideMark/>
          </w:tcPr>
          <w:p w14:paraId="254A5543"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0.389 ±0.0007</w:t>
            </w:r>
          </w:p>
        </w:tc>
        <w:tc>
          <w:tcPr>
            <w:tcW w:w="1559" w:type="dxa"/>
            <w:shd w:val="clear" w:color="auto" w:fill="auto"/>
            <w:noWrap/>
            <w:vAlign w:val="bottom"/>
            <w:hideMark/>
          </w:tcPr>
          <w:p w14:paraId="2FB5B046"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0.562 ± 0.217</w:t>
            </w:r>
          </w:p>
        </w:tc>
        <w:tc>
          <w:tcPr>
            <w:tcW w:w="1701" w:type="dxa"/>
            <w:shd w:val="clear" w:color="auto" w:fill="auto"/>
            <w:noWrap/>
            <w:vAlign w:val="bottom"/>
            <w:hideMark/>
          </w:tcPr>
          <w:p w14:paraId="68384B76"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0.741 ± 0.0741</w:t>
            </w:r>
          </w:p>
        </w:tc>
        <w:tc>
          <w:tcPr>
            <w:tcW w:w="1701" w:type="dxa"/>
            <w:shd w:val="clear" w:color="auto" w:fill="auto"/>
            <w:noWrap/>
            <w:vAlign w:val="bottom"/>
            <w:hideMark/>
          </w:tcPr>
          <w:p w14:paraId="52B3EC7F"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1.748 ± 0.110</w:t>
            </w:r>
          </w:p>
        </w:tc>
        <w:tc>
          <w:tcPr>
            <w:tcW w:w="1701" w:type="dxa"/>
            <w:shd w:val="clear" w:color="auto" w:fill="auto"/>
            <w:noWrap/>
            <w:vAlign w:val="bottom"/>
            <w:hideMark/>
          </w:tcPr>
          <w:p w14:paraId="5B849CED"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10.449 ± 0.398</w:t>
            </w:r>
          </w:p>
        </w:tc>
      </w:tr>
      <w:tr w:rsidR="00A215B2" w:rsidRPr="00A215B2" w14:paraId="45514621" w14:textId="77777777" w:rsidTr="00D222D2">
        <w:trPr>
          <w:trHeight w:val="300"/>
        </w:trPr>
        <w:tc>
          <w:tcPr>
            <w:tcW w:w="1838" w:type="dxa"/>
            <w:shd w:val="clear" w:color="auto" w:fill="auto"/>
            <w:noWrap/>
            <w:vAlign w:val="bottom"/>
            <w:hideMark/>
          </w:tcPr>
          <w:p w14:paraId="51425DB1" w14:textId="16B35253"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A215B2">
              <w:rPr>
                <w:rFonts w:ascii="Times New Roman" w:eastAsia="Times New Roman" w:hAnsi="Times New Roman" w:cs="Times New Roman"/>
                <w:color w:val="000000"/>
                <w:sz w:val="24"/>
                <w:szCs w:val="24"/>
                <w:lang/>
              </w:rPr>
              <w:t xml:space="preserve">Indigenous </w:t>
            </w:r>
            <w:r w:rsidR="00546375">
              <w:rPr>
                <w:rFonts w:ascii="Times New Roman" w:eastAsia="Times New Roman" w:hAnsi="Times New Roman" w:cs="Times New Roman"/>
                <w:color w:val="000000"/>
                <w:sz w:val="24"/>
                <w:szCs w:val="24"/>
                <w:lang/>
              </w:rPr>
              <w:t xml:space="preserve">Kamba </w:t>
            </w:r>
            <w:r w:rsidRPr="00A215B2">
              <w:rPr>
                <w:rFonts w:ascii="Times New Roman" w:eastAsia="Times New Roman" w:hAnsi="Times New Roman" w:cs="Times New Roman"/>
                <w:color w:val="000000"/>
                <w:sz w:val="24"/>
                <w:szCs w:val="24"/>
                <w:lang/>
              </w:rPr>
              <w:t>Maize</w:t>
            </w:r>
          </w:p>
        </w:tc>
        <w:tc>
          <w:tcPr>
            <w:tcW w:w="1701" w:type="dxa"/>
            <w:shd w:val="clear" w:color="auto" w:fill="auto"/>
            <w:noWrap/>
            <w:vAlign w:val="bottom"/>
            <w:hideMark/>
          </w:tcPr>
          <w:p w14:paraId="7A113EA4"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0.372 ± 0.0257</w:t>
            </w:r>
          </w:p>
        </w:tc>
        <w:tc>
          <w:tcPr>
            <w:tcW w:w="1559" w:type="dxa"/>
            <w:shd w:val="clear" w:color="auto" w:fill="auto"/>
            <w:noWrap/>
            <w:vAlign w:val="bottom"/>
            <w:hideMark/>
          </w:tcPr>
          <w:p w14:paraId="029D16A3"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1.843 ± 0.373</w:t>
            </w:r>
          </w:p>
        </w:tc>
        <w:tc>
          <w:tcPr>
            <w:tcW w:w="1701" w:type="dxa"/>
            <w:shd w:val="clear" w:color="auto" w:fill="auto"/>
            <w:noWrap/>
            <w:vAlign w:val="bottom"/>
            <w:hideMark/>
          </w:tcPr>
          <w:p w14:paraId="5F7A24D5"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0.700± 0.0380</w:t>
            </w:r>
          </w:p>
        </w:tc>
        <w:tc>
          <w:tcPr>
            <w:tcW w:w="1701" w:type="dxa"/>
            <w:shd w:val="clear" w:color="auto" w:fill="auto"/>
            <w:noWrap/>
            <w:vAlign w:val="bottom"/>
            <w:hideMark/>
          </w:tcPr>
          <w:p w14:paraId="6BE3F35E"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0.270 ± 0.0586</w:t>
            </w:r>
          </w:p>
        </w:tc>
        <w:tc>
          <w:tcPr>
            <w:tcW w:w="1701" w:type="dxa"/>
            <w:shd w:val="clear" w:color="auto" w:fill="auto"/>
            <w:noWrap/>
            <w:vAlign w:val="bottom"/>
            <w:hideMark/>
          </w:tcPr>
          <w:p w14:paraId="22FC54E3"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8.247± 0.798</w:t>
            </w:r>
          </w:p>
        </w:tc>
      </w:tr>
      <w:tr w:rsidR="00A215B2" w:rsidRPr="00A215B2" w14:paraId="0CF31476" w14:textId="77777777" w:rsidTr="00D222D2">
        <w:trPr>
          <w:trHeight w:val="300"/>
        </w:trPr>
        <w:tc>
          <w:tcPr>
            <w:tcW w:w="1838" w:type="dxa"/>
            <w:shd w:val="clear" w:color="auto" w:fill="auto"/>
            <w:noWrap/>
            <w:vAlign w:val="bottom"/>
            <w:hideMark/>
          </w:tcPr>
          <w:p w14:paraId="59FC4CA2" w14:textId="14FD0383"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Limits of Detection</w:t>
            </w:r>
            <w:r w:rsidR="00546375">
              <w:rPr>
                <w:rFonts w:ascii="Times New Roman" w:eastAsia="Times New Roman" w:hAnsi="Times New Roman" w:cs="Times New Roman"/>
                <w:color w:val="000000"/>
                <w:sz w:val="24"/>
                <w:szCs w:val="24"/>
                <w:lang/>
              </w:rPr>
              <w:t xml:space="preserve"> </w:t>
            </w:r>
            <w:r w:rsidRPr="00DB0F45">
              <w:rPr>
                <w:rFonts w:ascii="Times New Roman" w:eastAsia="Times New Roman" w:hAnsi="Times New Roman" w:cs="Times New Roman"/>
                <w:color w:val="000000"/>
                <w:sz w:val="24"/>
                <w:szCs w:val="24"/>
                <w:lang/>
              </w:rPr>
              <w:t xml:space="preserve"> </w:t>
            </w:r>
          </w:p>
        </w:tc>
        <w:tc>
          <w:tcPr>
            <w:tcW w:w="1701" w:type="dxa"/>
            <w:shd w:val="clear" w:color="auto" w:fill="auto"/>
            <w:noWrap/>
            <w:vAlign w:val="bottom"/>
            <w:hideMark/>
          </w:tcPr>
          <w:p w14:paraId="3F14CB3A"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0.05</w:t>
            </w:r>
          </w:p>
        </w:tc>
        <w:tc>
          <w:tcPr>
            <w:tcW w:w="1559" w:type="dxa"/>
            <w:shd w:val="clear" w:color="auto" w:fill="auto"/>
            <w:noWrap/>
            <w:vAlign w:val="bottom"/>
            <w:hideMark/>
          </w:tcPr>
          <w:p w14:paraId="1BC54AE3"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0.05</w:t>
            </w:r>
          </w:p>
        </w:tc>
        <w:tc>
          <w:tcPr>
            <w:tcW w:w="1701" w:type="dxa"/>
            <w:shd w:val="clear" w:color="auto" w:fill="auto"/>
            <w:noWrap/>
            <w:vAlign w:val="bottom"/>
            <w:hideMark/>
          </w:tcPr>
          <w:p w14:paraId="7AD69FA2"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0.01</w:t>
            </w:r>
          </w:p>
        </w:tc>
        <w:tc>
          <w:tcPr>
            <w:tcW w:w="1701" w:type="dxa"/>
            <w:shd w:val="clear" w:color="auto" w:fill="auto"/>
            <w:noWrap/>
            <w:vAlign w:val="bottom"/>
            <w:hideMark/>
          </w:tcPr>
          <w:p w14:paraId="16B6FA66"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0.02</w:t>
            </w:r>
          </w:p>
        </w:tc>
        <w:tc>
          <w:tcPr>
            <w:tcW w:w="1701" w:type="dxa"/>
            <w:shd w:val="clear" w:color="auto" w:fill="auto"/>
            <w:noWrap/>
            <w:vAlign w:val="bottom"/>
            <w:hideMark/>
          </w:tcPr>
          <w:p w14:paraId="04B0C7F1"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0.01</w:t>
            </w:r>
          </w:p>
        </w:tc>
      </w:tr>
      <w:tr w:rsidR="00A215B2" w:rsidRPr="00A215B2" w14:paraId="06D7F26B" w14:textId="77777777" w:rsidTr="00D222D2">
        <w:trPr>
          <w:trHeight w:val="300"/>
        </w:trPr>
        <w:tc>
          <w:tcPr>
            <w:tcW w:w="10201" w:type="dxa"/>
            <w:gridSpan w:val="6"/>
            <w:shd w:val="clear" w:color="auto" w:fill="auto"/>
            <w:noWrap/>
            <w:vAlign w:val="bottom"/>
            <w:hideMark/>
          </w:tcPr>
          <w:p w14:paraId="6464B746" w14:textId="77777777" w:rsidR="00A215B2" w:rsidRPr="00DB0F45" w:rsidRDefault="00A215B2" w:rsidP="00E23AA2">
            <w:pPr>
              <w:spacing w:after="0" w:line="240" w:lineRule="auto"/>
              <w:jc w:val="center"/>
              <w:rPr>
                <w:rFonts w:ascii="Times New Roman" w:eastAsia="Times New Roman" w:hAnsi="Times New Roman" w:cs="Times New Roman"/>
                <w:b/>
                <w:sz w:val="24"/>
                <w:szCs w:val="24"/>
                <w:lang/>
              </w:rPr>
            </w:pPr>
            <w:r w:rsidRPr="00DB0F45">
              <w:rPr>
                <w:rFonts w:ascii="Times New Roman" w:eastAsia="Times New Roman" w:hAnsi="Times New Roman" w:cs="Times New Roman"/>
                <w:b/>
                <w:color w:val="000000"/>
                <w:sz w:val="24"/>
                <w:szCs w:val="24"/>
                <w:lang/>
              </w:rPr>
              <w:t>Recommended levels</w:t>
            </w:r>
          </w:p>
        </w:tc>
      </w:tr>
      <w:tr w:rsidR="00A215B2" w:rsidRPr="00A215B2" w14:paraId="7C4C8039" w14:textId="77777777" w:rsidTr="00D222D2">
        <w:trPr>
          <w:trHeight w:val="300"/>
        </w:trPr>
        <w:tc>
          <w:tcPr>
            <w:tcW w:w="1838" w:type="dxa"/>
            <w:shd w:val="clear" w:color="auto" w:fill="auto"/>
            <w:noWrap/>
            <w:vAlign w:val="bottom"/>
            <w:hideMark/>
          </w:tcPr>
          <w:p w14:paraId="257B9B42"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WHO</w:t>
            </w:r>
          </w:p>
        </w:tc>
        <w:tc>
          <w:tcPr>
            <w:tcW w:w="1701" w:type="dxa"/>
            <w:shd w:val="clear" w:color="auto" w:fill="auto"/>
            <w:noWrap/>
            <w:vAlign w:val="bottom"/>
            <w:hideMark/>
          </w:tcPr>
          <w:p w14:paraId="12000926" w14:textId="2BB3B5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3</w:t>
            </w:r>
            <w:r w:rsidR="0082371A">
              <w:rPr>
                <w:rFonts w:ascii="Times New Roman" w:eastAsia="Times New Roman" w:hAnsi="Times New Roman" w:cs="Times New Roman"/>
                <w:color w:val="000000"/>
                <w:sz w:val="24"/>
                <w:szCs w:val="24"/>
                <w:lang/>
              </w:rPr>
              <w:t>0</w:t>
            </w:r>
            <w:r w:rsidRPr="00DB0F45">
              <w:rPr>
                <w:rFonts w:ascii="Times New Roman" w:eastAsia="Times New Roman" w:hAnsi="Times New Roman" w:cs="Times New Roman"/>
                <w:color w:val="000000"/>
                <w:sz w:val="24"/>
                <w:szCs w:val="24"/>
                <w:lang/>
              </w:rPr>
              <w:t>-</w:t>
            </w:r>
            <w:r w:rsidR="0082371A">
              <w:rPr>
                <w:rFonts w:ascii="Times New Roman" w:eastAsia="Times New Roman" w:hAnsi="Times New Roman" w:cs="Times New Roman"/>
                <w:color w:val="000000"/>
                <w:sz w:val="24"/>
                <w:szCs w:val="24"/>
                <w:lang/>
              </w:rPr>
              <w:t>95</w:t>
            </w:r>
          </w:p>
        </w:tc>
        <w:tc>
          <w:tcPr>
            <w:tcW w:w="1559" w:type="dxa"/>
            <w:shd w:val="clear" w:color="auto" w:fill="auto"/>
            <w:noWrap/>
            <w:vAlign w:val="bottom"/>
            <w:hideMark/>
          </w:tcPr>
          <w:p w14:paraId="266BA5F0"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0.1</w:t>
            </w:r>
          </w:p>
        </w:tc>
        <w:tc>
          <w:tcPr>
            <w:tcW w:w="1701" w:type="dxa"/>
            <w:shd w:val="clear" w:color="auto" w:fill="auto"/>
            <w:noWrap/>
            <w:vAlign w:val="bottom"/>
            <w:hideMark/>
          </w:tcPr>
          <w:p w14:paraId="0AC9A555" w14:textId="435318CB" w:rsidR="00A215B2" w:rsidRPr="00DB0F45" w:rsidRDefault="007C13F1" w:rsidP="00E23AA2">
            <w:pPr>
              <w:spacing w:after="0" w:line="240" w:lineRule="auto"/>
              <w:rPr>
                <w:rFonts w:ascii="Times New Roman" w:eastAsia="Times New Roman" w:hAnsi="Times New Roman" w:cs="Times New Roman"/>
                <w:color w:val="000000"/>
                <w:sz w:val="24"/>
                <w:szCs w:val="24"/>
                <w:lang/>
              </w:rPr>
            </w:pPr>
            <w:r>
              <w:rPr>
                <w:rFonts w:ascii="Times New Roman" w:eastAsia="Times New Roman" w:hAnsi="Times New Roman" w:cs="Times New Roman"/>
                <w:color w:val="000000"/>
                <w:sz w:val="24"/>
                <w:szCs w:val="24"/>
                <w:lang/>
              </w:rPr>
              <w:t>10</w:t>
            </w:r>
            <w:r w:rsidR="00A215B2" w:rsidRPr="00DB0F45">
              <w:rPr>
                <w:rFonts w:ascii="Times New Roman" w:eastAsia="Times New Roman" w:hAnsi="Times New Roman" w:cs="Times New Roman"/>
                <w:color w:val="000000"/>
                <w:sz w:val="24"/>
                <w:szCs w:val="24"/>
                <w:lang/>
              </w:rPr>
              <w:t xml:space="preserve"> -</w:t>
            </w:r>
            <w:r>
              <w:rPr>
                <w:rFonts w:ascii="Times New Roman" w:eastAsia="Times New Roman" w:hAnsi="Times New Roman" w:cs="Times New Roman"/>
                <w:color w:val="000000"/>
                <w:sz w:val="24"/>
                <w:szCs w:val="24"/>
                <w:lang/>
              </w:rPr>
              <w:t xml:space="preserve"> 5</w:t>
            </w:r>
            <w:r w:rsidR="00A215B2" w:rsidRPr="00DB0F45">
              <w:rPr>
                <w:rFonts w:ascii="Times New Roman" w:eastAsia="Times New Roman" w:hAnsi="Times New Roman" w:cs="Times New Roman"/>
                <w:color w:val="000000"/>
                <w:sz w:val="24"/>
                <w:szCs w:val="24"/>
                <w:lang/>
              </w:rPr>
              <w:t xml:space="preserve">0 </w:t>
            </w:r>
          </w:p>
        </w:tc>
        <w:tc>
          <w:tcPr>
            <w:tcW w:w="1701" w:type="dxa"/>
            <w:shd w:val="clear" w:color="auto" w:fill="auto"/>
            <w:noWrap/>
            <w:vAlign w:val="bottom"/>
            <w:hideMark/>
          </w:tcPr>
          <w:p w14:paraId="74D869BE"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5</w:t>
            </w:r>
            <w:r w:rsidRPr="00A215B2">
              <w:rPr>
                <w:rFonts w:ascii="Times New Roman" w:eastAsia="Times New Roman" w:hAnsi="Times New Roman" w:cs="Times New Roman"/>
                <w:color w:val="000000"/>
                <w:sz w:val="24"/>
                <w:szCs w:val="24"/>
                <w:lang w:val="en-US"/>
              </w:rPr>
              <w:t xml:space="preserve"> </w:t>
            </w:r>
            <w:r w:rsidRPr="00DB0F45">
              <w:rPr>
                <w:rFonts w:ascii="Times New Roman" w:eastAsia="Times New Roman" w:hAnsi="Times New Roman" w:cs="Times New Roman"/>
                <w:color w:val="000000"/>
                <w:sz w:val="24"/>
                <w:szCs w:val="24"/>
                <w:lang/>
              </w:rPr>
              <w:t>-20</w:t>
            </w:r>
          </w:p>
        </w:tc>
        <w:tc>
          <w:tcPr>
            <w:tcW w:w="1701" w:type="dxa"/>
            <w:shd w:val="clear" w:color="auto" w:fill="auto"/>
            <w:noWrap/>
            <w:vAlign w:val="bottom"/>
            <w:hideMark/>
          </w:tcPr>
          <w:p w14:paraId="2D5DA33F"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0.2</w:t>
            </w:r>
          </w:p>
        </w:tc>
      </w:tr>
      <w:tr w:rsidR="00A215B2" w:rsidRPr="00A215B2" w14:paraId="7118A4E7" w14:textId="77777777" w:rsidTr="00D222D2">
        <w:trPr>
          <w:trHeight w:val="300"/>
        </w:trPr>
        <w:tc>
          <w:tcPr>
            <w:tcW w:w="1838" w:type="dxa"/>
            <w:shd w:val="clear" w:color="auto" w:fill="auto"/>
            <w:noWrap/>
            <w:vAlign w:val="bottom"/>
            <w:hideMark/>
          </w:tcPr>
          <w:p w14:paraId="1DE010D5"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FAO</w:t>
            </w:r>
          </w:p>
        </w:tc>
        <w:tc>
          <w:tcPr>
            <w:tcW w:w="1701" w:type="dxa"/>
            <w:shd w:val="clear" w:color="auto" w:fill="auto"/>
            <w:noWrap/>
            <w:vAlign w:val="bottom"/>
            <w:hideMark/>
          </w:tcPr>
          <w:p w14:paraId="37F27440"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38</w:t>
            </w:r>
          </w:p>
        </w:tc>
        <w:tc>
          <w:tcPr>
            <w:tcW w:w="1559" w:type="dxa"/>
            <w:shd w:val="clear" w:color="auto" w:fill="auto"/>
            <w:noWrap/>
            <w:vAlign w:val="bottom"/>
            <w:hideMark/>
          </w:tcPr>
          <w:p w14:paraId="6B628FEB"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0.1</w:t>
            </w:r>
          </w:p>
        </w:tc>
        <w:tc>
          <w:tcPr>
            <w:tcW w:w="1701" w:type="dxa"/>
            <w:shd w:val="clear" w:color="auto" w:fill="auto"/>
            <w:noWrap/>
            <w:vAlign w:val="bottom"/>
            <w:hideMark/>
          </w:tcPr>
          <w:p w14:paraId="3F380DF4"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0.05-0.5</w:t>
            </w:r>
          </w:p>
        </w:tc>
        <w:tc>
          <w:tcPr>
            <w:tcW w:w="1701" w:type="dxa"/>
            <w:shd w:val="clear" w:color="auto" w:fill="auto"/>
            <w:noWrap/>
            <w:vAlign w:val="bottom"/>
            <w:hideMark/>
          </w:tcPr>
          <w:p w14:paraId="647C0C8D"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5</w:t>
            </w:r>
            <w:r w:rsidRPr="00A215B2">
              <w:rPr>
                <w:rFonts w:ascii="Times New Roman" w:eastAsia="Times New Roman" w:hAnsi="Times New Roman" w:cs="Times New Roman"/>
                <w:color w:val="000000"/>
                <w:sz w:val="24"/>
                <w:szCs w:val="24"/>
                <w:lang w:val="en-US"/>
              </w:rPr>
              <w:t xml:space="preserve"> </w:t>
            </w:r>
            <w:r w:rsidRPr="00DB0F45">
              <w:rPr>
                <w:rFonts w:ascii="Times New Roman" w:eastAsia="Times New Roman" w:hAnsi="Times New Roman" w:cs="Times New Roman"/>
                <w:color w:val="000000"/>
                <w:sz w:val="24"/>
                <w:szCs w:val="24"/>
                <w:lang/>
              </w:rPr>
              <w:t>- 20</w:t>
            </w:r>
          </w:p>
        </w:tc>
        <w:tc>
          <w:tcPr>
            <w:tcW w:w="1701" w:type="dxa"/>
            <w:shd w:val="clear" w:color="auto" w:fill="auto"/>
            <w:noWrap/>
            <w:vAlign w:val="bottom"/>
            <w:hideMark/>
          </w:tcPr>
          <w:p w14:paraId="05FA5EEF"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0.2</w:t>
            </w:r>
          </w:p>
        </w:tc>
      </w:tr>
      <w:tr w:rsidR="00A215B2" w:rsidRPr="00A215B2" w14:paraId="2D67CC13" w14:textId="77777777" w:rsidTr="00D222D2">
        <w:trPr>
          <w:trHeight w:val="300"/>
        </w:trPr>
        <w:tc>
          <w:tcPr>
            <w:tcW w:w="1838" w:type="dxa"/>
            <w:shd w:val="clear" w:color="auto" w:fill="auto"/>
            <w:noWrap/>
            <w:vAlign w:val="bottom"/>
            <w:hideMark/>
          </w:tcPr>
          <w:p w14:paraId="597B26F4"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KEBS</w:t>
            </w:r>
          </w:p>
        </w:tc>
        <w:tc>
          <w:tcPr>
            <w:tcW w:w="1701" w:type="dxa"/>
            <w:shd w:val="clear" w:color="auto" w:fill="auto"/>
            <w:noWrap/>
            <w:vAlign w:val="bottom"/>
            <w:hideMark/>
          </w:tcPr>
          <w:p w14:paraId="6492545A"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33-65</w:t>
            </w:r>
          </w:p>
        </w:tc>
        <w:tc>
          <w:tcPr>
            <w:tcW w:w="1559" w:type="dxa"/>
            <w:shd w:val="clear" w:color="auto" w:fill="auto"/>
            <w:noWrap/>
            <w:vAlign w:val="bottom"/>
            <w:hideMark/>
          </w:tcPr>
          <w:p w14:paraId="5CBAE83F"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0.1</w:t>
            </w:r>
          </w:p>
        </w:tc>
        <w:tc>
          <w:tcPr>
            <w:tcW w:w="1701" w:type="dxa"/>
            <w:shd w:val="clear" w:color="auto" w:fill="auto"/>
            <w:noWrap/>
            <w:vAlign w:val="bottom"/>
            <w:hideMark/>
          </w:tcPr>
          <w:p w14:paraId="096C93C7"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10-50</w:t>
            </w:r>
          </w:p>
        </w:tc>
        <w:tc>
          <w:tcPr>
            <w:tcW w:w="1701" w:type="dxa"/>
            <w:shd w:val="clear" w:color="auto" w:fill="auto"/>
            <w:noWrap/>
            <w:vAlign w:val="bottom"/>
            <w:hideMark/>
          </w:tcPr>
          <w:p w14:paraId="256DF96F" w14:textId="77777777" w:rsidR="00A215B2" w:rsidRPr="00DB0F45" w:rsidRDefault="00A215B2" w:rsidP="00E23AA2">
            <w:pPr>
              <w:spacing w:after="0" w:line="240" w:lineRule="auto"/>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5- 20</w:t>
            </w:r>
          </w:p>
        </w:tc>
        <w:tc>
          <w:tcPr>
            <w:tcW w:w="1701" w:type="dxa"/>
            <w:shd w:val="clear" w:color="auto" w:fill="auto"/>
            <w:noWrap/>
            <w:vAlign w:val="bottom"/>
            <w:hideMark/>
          </w:tcPr>
          <w:p w14:paraId="0706DD63" w14:textId="77777777" w:rsidR="00A215B2" w:rsidRPr="00DB0F45" w:rsidRDefault="00A215B2" w:rsidP="00E23AA2">
            <w:pPr>
              <w:spacing w:after="0" w:line="240" w:lineRule="auto"/>
              <w:jc w:val="right"/>
              <w:rPr>
                <w:rFonts w:ascii="Times New Roman" w:eastAsia="Times New Roman" w:hAnsi="Times New Roman" w:cs="Times New Roman"/>
                <w:color w:val="000000"/>
                <w:sz w:val="24"/>
                <w:szCs w:val="24"/>
                <w:lang/>
              </w:rPr>
            </w:pPr>
            <w:r w:rsidRPr="00DB0F45">
              <w:rPr>
                <w:rFonts w:ascii="Times New Roman" w:eastAsia="Times New Roman" w:hAnsi="Times New Roman" w:cs="Times New Roman"/>
                <w:color w:val="000000"/>
                <w:sz w:val="24"/>
                <w:szCs w:val="24"/>
                <w:lang/>
              </w:rPr>
              <w:t>0.2</w:t>
            </w:r>
          </w:p>
        </w:tc>
      </w:tr>
    </w:tbl>
    <w:p w14:paraId="376FA9EC" w14:textId="0DB37FA8" w:rsidR="00352203" w:rsidRPr="00D87A06" w:rsidRDefault="007A46A7"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Pr>
          <w:rFonts w:ascii="Times New Roman" w:hAnsi="Times New Roman" w:cs="Times New Roman"/>
          <w:iCs/>
          <w:color w:val="FF0000"/>
        </w:rPr>
        <w:t xml:space="preserve">Source: </w:t>
      </w:r>
      <w:r w:rsidRPr="00F47A1C">
        <w:rPr>
          <w:rFonts w:ascii="Times New Roman" w:hAnsi="Times New Roman" w:cs="Times New Roman"/>
          <w:iCs/>
          <w:color w:val="FF0000"/>
        </w:rPr>
        <w:t>[</w:t>
      </w:r>
      <w:r w:rsidR="00E27BDE">
        <w:rPr>
          <w:rFonts w:ascii="Times New Roman" w:hAnsi="Times New Roman" w:cs="Times New Roman"/>
          <w:iCs/>
          <w:color w:val="FF0000"/>
        </w:rPr>
        <w:t>11, 12]</w:t>
      </w:r>
    </w:p>
    <w:p w14:paraId="51D6A244" w14:textId="56A41A26"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Among the three varieties studied, SC Duma 43 hybrid generally exhibited the highest levels of heavy metal contamination, followed by the indigenous Kamba maize, with SC Sungura 301 showing somewhat lower but still concerning levels for certain metals</w:t>
      </w:r>
      <w:r w:rsidR="00276B6C">
        <w:rPr>
          <w:rFonts w:ascii="Times New Roman" w:eastAsia="Times New Roman" w:hAnsi="Times New Roman" w:cs="Times New Roman"/>
          <w:sz w:val="24"/>
          <w:szCs w:val="24"/>
          <w:lang w:eastAsia="en-GB"/>
        </w:rPr>
        <w:t xml:space="preserve"> (</w:t>
      </w:r>
      <w:r w:rsidR="00276B6C" w:rsidRPr="00276B6C">
        <w:rPr>
          <w:rFonts w:ascii="Times New Roman" w:eastAsia="Times New Roman" w:hAnsi="Times New Roman" w:cs="Times New Roman"/>
          <w:color w:val="FF0000"/>
          <w:sz w:val="24"/>
          <w:szCs w:val="24"/>
          <w:lang w:eastAsia="en-GB"/>
        </w:rPr>
        <w:t>Table 3</w:t>
      </w:r>
      <w:r w:rsidR="00276B6C">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 xml:space="preserve">. This pattern was not consistent across all metals, however, as different varieties showed variable accumulation for different </w:t>
      </w:r>
      <w:r w:rsidR="00276B6C" w:rsidRPr="00276B6C">
        <w:rPr>
          <w:rFonts w:ascii="Times New Roman" w:eastAsia="Times New Roman" w:hAnsi="Times New Roman" w:cs="Times New Roman"/>
          <w:color w:val="FF0000"/>
          <w:sz w:val="24"/>
          <w:szCs w:val="24"/>
          <w:lang w:eastAsia="en-GB"/>
        </w:rPr>
        <w:t>metals</w:t>
      </w:r>
      <w:r w:rsidRPr="000420D9">
        <w:rPr>
          <w:rFonts w:ascii="Times New Roman" w:eastAsia="Times New Roman" w:hAnsi="Times New Roman" w:cs="Times New Roman"/>
          <w:sz w:val="24"/>
          <w:szCs w:val="24"/>
          <w:lang w:eastAsia="en-GB"/>
        </w:rPr>
        <w:t>, reflecting the complex interactions between plant genetics, metal uptake mechanisms, and environmental factors.</w:t>
      </w:r>
    </w:p>
    <w:p w14:paraId="321BFB3F" w14:textId="60E91CAD"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overall pattern of heavy metal abundance in the maize samples followed the order: Lead &gt;&gt; Cadmium &gt; Manganese &gt; Copper ≈ Zinc. This distribution indicates that lead contamination was the most severe problem, with </w:t>
      </w:r>
      <w:r w:rsidR="00276B6C">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far exceeding all other metals. Cadmium, while lower than lead, still reached alarmingly high levels well above safety limits</w:t>
      </w:r>
      <w:r w:rsidR="00276B6C">
        <w:rPr>
          <w:rFonts w:ascii="Times New Roman" w:eastAsia="Times New Roman" w:hAnsi="Times New Roman" w:cs="Times New Roman"/>
          <w:sz w:val="24"/>
          <w:szCs w:val="24"/>
          <w:lang w:eastAsia="en-GB"/>
        </w:rPr>
        <w:t xml:space="preserve"> of </w:t>
      </w:r>
      <w:r w:rsidR="00276B6C" w:rsidRPr="00913832">
        <w:rPr>
          <w:rFonts w:ascii="Times New Roman" w:eastAsia="Times New Roman" w:hAnsi="Times New Roman" w:cs="Times New Roman"/>
          <w:color w:val="FF0000"/>
          <w:sz w:val="24"/>
          <w:szCs w:val="24"/>
          <w:lang w:eastAsia="en-GB"/>
        </w:rPr>
        <w:t>0.1 mg/</w:t>
      </w:r>
      <w:r w:rsidR="00913832" w:rsidRPr="00913832">
        <w:rPr>
          <w:rFonts w:ascii="Times New Roman" w:eastAsia="Times New Roman" w:hAnsi="Times New Roman" w:cs="Times New Roman"/>
          <w:color w:val="FF0000"/>
          <w:sz w:val="24"/>
          <w:szCs w:val="24"/>
          <w:lang w:eastAsia="en-GB"/>
        </w:rPr>
        <w:t xml:space="preserve">g by </w:t>
      </w:r>
      <w:r w:rsidR="00DD7D17">
        <w:rPr>
          <w:rFonts w:ascii="Times New Roman" w:eastAsia="Times New Roman" w:hAnsi="Times New Roman" w:cs="Times New Roman"/>
          <w:color w:val="FF0000"/>
          <w:sz w:val="24"/>
          <w:szCs w:val="24"/>
          <w:lang w:eastAsia="en-GB"/>
        </w:rPr>
        <w:t>[</w:t>
      </w:r>
      <w:r w:rsidR="00384DAD">
        <w:rPr>
          <w:rFonts w:ascii="Times New Roman" w:eastAsia="Times New Roman" w:hAnsi="Times New Roman" w:cs="Times New Roman"/>
          <w:color w:val="FF0000"/>
          <w:sz w:val="24"/>
          <w:szCs w:val="24"/>
          <w:lang w:eastAsia="en-GB"/>
        </w:rPr>
        <w:t>11, 12]</w:t>
      </w:r>
      <w:r w:rsidRPr="000420D9">
        <w:rPr>
          <w:rFonts w:ascii="Times New Roman" w:eastAsia="Times New Roman" w:hAnsi="Times New Roman" w:cs="Times New Roman"/>
          <w:sz w:val="24"/>
          <w:szCs w:val="24"/>
          <w:lang w:eastAsia="en-GB"/>
        </w:rPr>
        <w:t xml:space="preserve">. The essential micronutrients zinc, copper, and manganese were present at much lower </w:t>
      </w:r>
      <w:r w:rsidR="00913832">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generally below recommended nutritional levels.</w:t>
      </w:r>
    </w:p>
    <w:p w14:paraId="0581F1E3" w14:textId="2D225EA5" w:rsidR="000E0C6D" w:rsidRPr="00413878" w:rsidRDefault="00BB15F1" w:rsidP="00413878">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3</w:t>
      </w:r>
      <w:r w:rsidR="000420D9" w:rsidRPr="00BB15F1">
        <w:rPr>
          <w:rFonts w:ascii="Times New Roman" w:eastAsia="Times New Roman" w:hAnsi="Times New Roman" w:cs="Times New Roman"/>
          <w:b/>
          <w:bCs/>
          <w:color w:val="FF0000"/>
          <w:sz w:val="24"/>
          <w:szCs w:val="24"/>
          <w:lang w:eastAsia="en-GB"/>
        </w:rPr>
        <w:t xml:space="preserve">.2.1 </w:t>
      </w:r>
      <w:r w:rsidR="000420D9" w:rsidRPr="000420D9">
        <w:rPr>
          <w:rFonts w:ascii="Times New Roman" w:eastAsia="Times New Roman" w:hAnsi="Times New Roman" w:cs="Times New Roman"/>
          <w:b/>
          <w:bCs/>
          <w:sz w:val="24"/>
          <w:szCs w:val="24"/>
          <w:lang w:eastAsia="en-GB"/>
        </w:rPr>
        <w:t>Zinc Levels in Maize Varieties</w:t>
      </w:r>
    </w:p>
    <w:p w14:paraId="15806F7E" w14:textId="7D8379A2" w:rsidR="00413878" w:rsidRDefault="00413878"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noProof/>
        </w:rPr>
        <w:drawing>
          <wp:inline distT="0" distB="0" distL="0" distR="0" wp14:anchorId="4179B3D1" wp14:editId="74F4329D">
            <wp:extent cx="4572000" cy="2743200"/>
            <wp:effectExtent l="0" t="0" r="0" b="0"/>
            <wp:docPr id="3" name="Chart 3">
              <a:extLst xmlns:a="http://schemas.openxmlformats.org/drawingml/2006/main">
                <a:ext uri="{FF2B5EF4-FFF2-40B4-BE49-F238E27FC236}">
                  <a16:creationId xmlns:a16="http://schemas.microsoft.com/office/drawing/2014/main" id="{DCB9B8D3-C381-4ED8-B7B0-3ABE134A1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2937C0" w14:textId="18E6071B"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15F1">
        <w:rPr>
          <w:rFonts w:ascii="Times New Roman" w:eastAsia="Times New Roman" w:hAnsi="Times New Roman" w:cs="Times New Roman"/>
          <w:bCs/>
          <w:color w:val="FF0000"/>
          <w:sz w:val="24"/>
          <w:szCs w:val="24"/>
          <w:lang w:eastAsia="en-GB"/>
        </w:rPr>
        <w:t>Fig</w:t>
      </w:r>
      <w:r w:rsidR="000E0C6D" w:rsidRPr="00BB15F1">
        <w:rPr>
          <w:rFonts w:ascii="Times New Roman" w:eastAsia="Times New Roman" w:hAnsi="Times New Roman" w:cs="Times New Roman"/>
          <w:bCs/>
          <w:color w:val="FF0000"/>
          <w:sz w:val="24"/>
          <w:szCs w:val="24"/>
          <w:lang w:eastAsia="en-GB"/>
        </w:rPr>
        <w:t>ure 4</w:t>
      </w:r>
      <w:r w:rsidR="0082371A" w:rsidRPr="00BB15F1">
        <w:rPr>
          <w:rFonts w:ascii="Times New Roman" w:eastAsia="Times New Roman" w:hAnsi="Times New Roman" w:cs="Times New Roman"/>
          <w:bCs/>
          <w:color w:val="FF0000"/>
          <w:sz w:val="24"/>
          <w:szCs w:val="24"/>
          <w:lang w:eastAsia="en-GB"/>
        </w:rPr>
        <w:t>:</w:t>
      </w:r>
      <w:r w:rsidR="0082371A">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Zinc levels in SC Sungura 301, SC Duma 43 and the Indigenous Kamba maize seeds</w:t>
      </w:r>
    </w:p>
    <w:p w14:paraId="794CB9FB" w14:textId="034A4E38"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Zinc concentrations in the three maize varieties were relatively uniform and low. SC Sungura 301 contained 0.343 ± 0.0505 mg/g zinc, SC Duma 43 had 0.389 ± 0.0007 mg/g, and the indigenous Kamba maize showed 0.372 ± 0.0257 mg/g. Among the three varieties, SC Duma 43 hybrid exhibited the highest zinc content, though the difference from the other varieties was small and may not be biologically significant. SC Sungura 301 had the lowest zinc level, while the indigenous variety fell between the two hybrids</w:t>
      </w:r>
      <w:r w:rsidR="0082371A">
        <w:rPr>
          <w:rFonts w:ascii="Times New Roman" w:eastAsia="Times New Roman" w:hAnsi="Times New Roman" w:cs="Times New Roman"/>
          <w:sz w:val="24"/>
          <w:szCs w:val="24"/>
          <w:lang w:eastAsia="en-GB"/>
        </w:rPr>
        <w:t xml:space="preserve"> </w:t>
      </w:r>
      <w:r w:rsidR="0082371A" w:rsidRPr="0082371A">
        <w:rPr>
          <w:rFonts w:ascii="Times New Roman" w:eastAsia="Times New Roman" w:hAnsi="Times New Roman" w:cs="Times New Roman"/>
          <w:color w:val="FF0000"/>
          <w:sz w:val="24"/>
          <w:szCs w:val="24"/>
          <w:lang w:eastAsia="en-GB"/>
        </w:rPr>
        <w:t>(Figure 4)</w:t>
      </w:r>
      <w:r w:rsidRPr="0082371A">
        <w:rPr>
          <w:rFonts w:ascii="Times New Roman" w:eastAsia="Times New Roman" w:hAnsi="Times New Roman" w:cs="Times New Roman"/>
          <w:color w:val="FF0000"/>
          <w:sz w:val="24"/>
          <w:szCs w:val="24"/>
          <w:lang w:eastAsia="en-GB"/>
        </w:rPr>
        <w:t>.</w:t>
      </w:r>
    </w:p>
    <w:p w14:paraId="0F87CE58" w14:textId="0DBD323C"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All three zinc </w:t>
      </w:r>
      <w:r w:rsidR="0082371A">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were dramatically below the recommended levels of 30-95 mg/g established by WHO, FAO, and KEBS for adequate nutritional content in cereal grains. This severe zinc deficiency in the maize samples raises important concerns from a nutritional standpoint. Zinc is an essential micronutrient required for numerous physiological functions including immune system function, wound healing, protein synthesis, DNA synthesis, and cell division. Adequate zinc intake is particularly crucial for children's growth and development, pregnant and lactating women, and for maintaining general health in all age groups.</w:t>
      </w:r>
    </w:p>
    <w:p w14:paraId="6803B8B1" w14:textId="6E000883"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The low zinc levels found in these maize varieties suggest that communities relying heavily on maize as their staple food may be at risk of zinc deficiency. Dietary zinc deficiency manifests as impaired immune function leading to increased susceptibility to infections, delayed wound healing, loss of appetite, growth retardation in children, hair loss, </w:t>
      </w:r>
      <w:r w:rsidR="003F0CAC" w:rsidRPr="008959DE">
        <w:rPr>
          <w:rFonts w:ascii="Times New Roman" w:eastAsia="Times New Roman" w:hAnsi="Times New Roman" w:cs="Times New Roman"/>
          <w:color w:val="FF0000"/>
          <w:sz w:val="24"/>
          <w:szCs w:val="24"/>
          <w:lang w:eastAsia="en-GB"/>
        </w:rPr>
        <w:t>diarrhoea</w:t>
      </w:r>
      <w:r w:rsidRPr="000420D9">
        <w:rPr>
          <w:rFonts w:ascii="Times New Roman" w:eastAsia="Times New Roman" w:hAnsi="Times New Roman" w:cs="Times New Roman"/>
          <w:sz w:val="24"/>
          <w:szCs w:val="24"/>
          <w:lang w:eastAsia="en-GB"/>
        </w:rPr>
        <w:t>, and mental lethargy. In severe cases, particularly in young children, zinc deficiency can contribute to stunting and increased mortality from infectious diseases.</w:t>
      </w:r>
    </w:p>
    <w:p w14:paraId="71D15D60"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reasons for low zinc content in these maize samples are likely multifactorial. Soil zinc deficiency is common in many Kenyan agricultural areas, particularly in soils with high pH, low organic matter content, or high phosphorus levels which can interfere with zinc availability. Additionally, the maize varieties themselves may not be efficient at zinc uptake or translocation to grains. Plant breeding efforts in recent decades have focused primarily on yield improvement rather than nutritional quality, potentially leading to reduced micronutrient density in modern cultivars.</w:t>
      </w:r>
    </w:p>
    <w:p w14:paraId="07F82E7B" w14:textId="7F837CE3"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While the immediate health concern in this study relates to toxic metal contamination, the zinc deficiency represents a chronic nutritional problem that undermines health and wellbeing over the long term. Biofortification strategies, including development of zinc-enriched maize varieties through conventional breeding or agronomic interventions such as zinc fertilization, may be necessary to address this nutritional gap</w:t>
      </w:r>
      <w:r w:rsidR="00AE5B1C">
        <w:rPr>
          <w:rFonts w:ascii="Times New Roman" w:eastAsia="Times New Roman" w:hAnsi="Times New Roman" w:cs="Times New Roman"/>
          <w:sz w:val="24"/>
          <w:szCs w:val="24"/>
          <w:lang w:eastAsia="en-GB"/>
        </w:rPr>
        <w:t xml:space="preserve"> </w:t>
      </w:r>
      <w:r w:rsidR="00AE5B1C" w:rsidRPr="00AE5B1C">
        <w:rPr>
          <w:rFonts w:ascii="Times New Roman" w:eastAsia="Times New Roman" w:hAnsi="Times New Roman" w:cs="Times New Roman"/>
          <w:color w:val="FF0000"/>
          <w:sz w:val="24"/>
          <w:szCs w:val="24"/>
          <w:lang w:eastAsia="en-GB"/>
        </w:rPr>
        <w:t>[13]</w:t>
      </w:r>
      <w:r w:rsidRPr="00AE5B1C">
        <w:rPr>
          <w:rFonts w:ascii="Times New Roman" w:eastAsia="Times New Roman" w:hAnsi="Times New Roman" w:cs="Times New Roman"/>
          <w:color w:val="FF0000"/>
          <w:sz w:val="24"/>
          <w:szCs w:val="24"/>
          <w:lang w:eastAsia="en-GB"/>
        </w:rPr>
        <w:t>.</w:t>
      </w:r>
    </w:p>
    <w:p w14:paraId="571BC8DF" w14:textId="383FAA0D"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It is worth noting that while the measured zinc levels are far below recommended nutritional levels, they are also well below </w:t>
      </w:r>
      <w:r w:rsidR="008959DE">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that would cause toxicity. Zinc toxicity typically becomes a concern only at levels exceeding 100 mg/g, far above what was detected in these samples. Therefore, from a food safety perspective regarding zinc toxicity, these maize varieties pose no risk. However, the severe nutritional deficiency remains a significant public health concern that warrants attention through agricultural and nutritional interventions.</w:t>
      </w:r>
    </w:p>
    <w:p w14:paraId="7CC2285E" w14:textId="045983A0" w:rsidR="000E0C6D" w:rsidRDefault="00BB15F1" w:rsidP="006327F5">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3</w:t>
      </w:r>
      <w:r w:rsidR="000420D9" w:rsidRPr="00BB15F1">
        <w:rPr>
          <w:rFonts w:ascii="Times New Roman" w:eastAsia="Times New Roman" w:hAnsi="Times New Roman" w:cs="Times New Roman"/>
          <w:b/>
          <w:bCs/>
          <w:color w:val="FF0000"/>
          <w:sz w:val="24"/>
          <w:szCs w:val="24"/>
          <w:lang w:eastAsia="en-GB"/>
        </w:rPr>
        <w:t xml:space="preserve">.2.2 </w:t>
      </w:r>
      <w:r w:rsidR="000420D9" w:rsidRPr="000420D9">
        <w:rPr>
          <w:rFonts w:ascii="Times New Roman" w:eastAsia="Times New Roman" w:hAnsi="Times New Roman" w:cs="Times New Roman"/>
          <w:b/>
          <w:bCs/>
          <w:sz w:val="24"/>
          <w:szCs w:val="24"/>
          <w:lang w:eastAsia="en-GB"/>
        </w:rPr>
        <w:t>Cadmium Levels in Maize Varieties</w:t>
      </w:r>
    </w:p>
    <w:p w14:paraId="1D96F3D0" w14:textId="18B81F28" w:rsidR="006327F5" w:rsidRDefault="006327F5" w:rsidP="006327F5">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Pr>
          <w:noProof/>
        </w:rPr>
        <w:drawing>
          <wp:inline distT="0" distB="0" distL="0" distR="0" wp14:anchorId="79A7A0E9" wp14:editId="2ED50108">
            <wp:extent cx="4572000" cy="2743200"/>
            <wp:effectExtent l="0" t="0" r="0" b="0"/>
            <wp:docPr id="8" name="Chart 8">
              <a:extLst xmlns:a="http://schemas.openxmlformats.org/drawingml/2006/main">
                <a:ext uri="{FF2B5EF4-FFF2-40B4-BE49-F238E27FC236}">
                  <a16:creationId xmlns:a16="http://schemas.microsoft.com/office/drawing/2014/main" id="{F97B8964-D74D-41D7-8248-4521C46FD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939309" w14:textId="593CA005"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679E7">
        <w:rPr>
          <w:rFonts w:ascii="Times New Roman" w:eastAsia="Times New Roman" w:hAnsi="Times New Roman" w:cs="Times New Roman"/>
          <w:bCs/>
          <w:color w:val="FF0000"/>
          <w:sz w:val="24"/>
          <w:szCs w:val="24"/>
          <w:lang w:eastAsia="en-GB"/>
        </w:rPr>
        <w:t>Fig</w:t>
      </w:r>
      <w:r w:rsidR="000E0C6D" w:rsidRPr="00B679E7">
        <w:rPr>
          <w:rFonts w:ascii="Times New Roman" w:eastAsia="Times New Roman" w:hAnsi="Times New Roman" w:cs="Times New Roman"/>
          <w:bCs/>
          <w:color w:val="FF0000"/>
          <w:sz w:val="24"/>
          <w:szCs w:val="24"/>
          <w:lang w:eastAsia="en-GB"/>
        </w:rPr>
        <w:t xml:space="preserve">ure </w:t>
      </w:r>
      <w:r w:rsidR="008959DE" w:rsidRPr="00B679E7">
        <w:rPr>
          <w:rFonts w:ascii="Times New Roman" w:eastAsia="Times New Roman" w:hAnsi="Times New Roman" w:cs="Times New Roman"/>
          <w:bCs/>
          <w:color w:val="FF0000"/>
          <w:sz w:val="24"/>
          <w:szCs w:val="24"/>
          <w:lang w:eastAsia="en-GB"/>
        </w:rPr>
        <w:t>5</w:t>
      </w:r>
      <w:r w:rsidR="00DA3530">
        <w:rPr>
          <w:rFonts w:ascii="Times New Roman" w:eastAsia="Times New Roman" w:hAnsi="Times New Roman" w:cs="Times New Roman"/>
          <w:b/>
          <w:bCs/>
          <w:sz w:val="24"/>
          <w:szCs w:val="24"/>
          <w:lang w:eastAsia="en-GB"/>
        </w:rPr>
        <w:t>:</w:t>
      </w:r>
      <w:r w:rsidR="000E0C6D">
        <w:rPr>
          <w:rFonts w:ascii="Times New Roman" w:eastAsia="Times New Roman" w:hAnsi="Times New Roman" w:cs="Times New Roman"/>
          <w:b/>
          <w:bCs/>
          <w:sz w:val="24"/>
          <w:szCs w:val="24"/>
          <w:lang w:eastAsia="en-GB"/>
        </w:rPr>
        <w:t xml:space="preserve"> </w:t>
      </w:r>
      <w:r w:rsidRPr="00CD25A2">
        <w:rPr>
          <w:rFonts w:ascii="Times New Roman" w:eastAsia="Times New Roman" w:hAnsi="Times New Roman" w:cs="Times New Roman"/>
          <w:bCs/>
          <w:sz w:val="24"/>
          <w:szCs w:val="24"/>
          <w:lang w:eastAsia="en-GB"/>
        </w:rPr>
        <w:t>Cadmium levels in SC Sungura 301, SC Duma 43 and the Indigenous Kamba maize</w:t>
      </w:r>
    </w:p>
    <w:p w14:paraId="1B7CA7E6" w14:textId="559E7A0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Cadmium levels in the three maize varieties presented the first major food safety concern identified in this study. The concentrations measured were 1.998 ± 0.110 mg/g in SC Sungura 301, 0.562 ± 0.217 mg/g in SC Duma 43, and 1.843 ± 0.373 mg/g in the indigenous Kamba maize</w:t>
      </w:r>
      <w:r w:rsidR="00614E08">
        <w:rPr>
          <w:rFonts w:ascii="Times New Roman" w:eastAsia="Times New Roman" w:hAnsi="Times New Roman" w:cs="Times New Roman"/>
          <w:sz w:val="24"/>
          <w:szCs w:val="24"/>
          <w:lang w:eastAsia="en-GB"/>
        </w:rPr>
        <w:t xml:space="preserve"> </w:t>
      </w:r>
      <w:r w:rsidR="00614E08" w:rsidRPr="00F2041E">
        <w:rPr>
          <w:rFonts w:ascii="Times New Roman" w:eastAsia="Times New Roman" w:hAnsi="Times New Roman" w:cs="Times New Roman"/>
          <w:color w:val="FF0000"/>
          <w:sz w:val="24"/>
          <w:szCs w:val="24"/>
          <w:lang w:eastAsia="en-GB"/>
        </w:rPr>
        <w:t>(</w:t>
      </w:r>
      <w:r w:rsidR="00F2041E" w:rsidRPr="00F2041E">
        <w:rPr>
          <w:rFonts w:ascii="Times New Roman" w:eastAsia="Times New Roman" w:hAnsi="Times New Roman" w:cs="Times New Roman"/>
          <w:color w:val="FF0000"/>
          <w:sz w:val="24"/>
          <w:szCs w:val="24"/>
          <w:lang w:eastAsia="en-GB"/>
        </w:rPr>
        <w:t>Table 3)</w:t>
      </w:r>
      <w:r w:rsidRPr="00F2041E">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These values far exceeded the maximum permissible limits of 0.1-0.5 mg/g established by WHO, FAO, and KEBS for cadmium in food grains. SC Sungura 301 showed the highest cadmium contamination, approximately four to twenty times higher than the upper safety limit, depending on which regulatory threshold is applied. The indigenous Kamba variety exhibited similarly elevated levels at 1.843 mg/g, while SC Duma 43 showed the lowest contamination among the three varieties, though still exceeding the safety limits</w:t>
      </w:r>
      <w:r w:rsidR="00136B55">
        <w:rPr>
          <w:rFonts w:ascii="Times New Roman" w:eastAsia="Times New Roman" w:hAnsi="Times New Roman" w:cs="Times New Roman"/>
          <w:sz w:val="24"/>
          <w:szCs w:val="24"/>
          <w:lang w:eastAsia="en-GB"/>
        </w:rPr>
        <w:t xml:space="preserve"> </w:t>
      </w:r>
      <w:r w:rsidR="00136B55" w:rsidRPr="00136B55">
        <w:rPr>
          <w:rFonts w:ascii="Times New Roman" w:eastAsia="Times New Roman" w:hAnsi="Times New Roman" w:cs="Times New Roman"/>
          <w:color w:val="FF0000"/>
          <w:sz w:val="24"/>
          <w:szCs w:val="24"/>
          <w:lang w:eastAsia="en-GB"/>
        </w:rPr>
        <w:t>(Figure 5)</w:t>
      </w:r>
      <w:r w:rsidRPr="00136B55">
        <w:rPr>
          <w:rFonts w:ascii="Times New Roman" w:eastAsia="Times New Roman" w:hAnsi="Times New Roman" w:cs="Times New Roman"/>
          <w:color w:val="FF0000"/>
          <w:sz w:val="24"/>
          <w:szCs w:val="24"/>
          <w:lang w:eastAsia="en-GB"/>
        </w:rPr>
        <w:t>.</w:t>
      </w:r>
    </w:p>
    <w:p w14:paraId="1841DE0D" w14:textId="65443FD2"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presence of cadmium at these elevated </w:t>
      </w:r>
      <w:r w:rsidR="00DA3530">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renders all three maize varieties unsafe for human consumption according to international food safety standards. Cadmium is classified as a Group 1 human carcinogen by the International Agency for Research on Cancer, with well-documented evidence of its carcinogenic potential. The metal accumulates primarily in kidneys and liver, where it has an extremely long biological half-life ranging from 10 to 30 years. This means that even relatively low daily intakes can lead to progressive accumulation over a lifetime, eventually reaching toxic levels</w:t>
      </w:r>
      <w:r w:rsidR="00C10C24">
        <w:rPr>
          <w:rFonts w:ascii="Times New Roman" w:eastAsia="Times New Roman" w:hAnsi="Times New Roman" w:cs="Times New Roman"/>
          <w:sz w:val="24"/>
          <w:szCs w:val="24"/>
          <w:lang w:eastAsia="en-GB"/>
        </w:rPr>
        <w:t xml:space="preserve"> </w:t>
      </w:r>
      <w:r w:rsidR="00C10C24" w:rsidRPr="00C10C24">
        <w:rPr>
          <w:rFonts w:ascii="Times New Roman" w:eastAsia="Times New Roman" w:hAnsi="Times New Roman" w:cs="Times New Roman"/>
          <w:color w:val="FF0000"/>
          <w:sz w:val="24"/>
          <w:szCs w:val="24"/>
          <w:lang w:eastAsia="en-GB"/>
        </w:rPr>
        <w:t>[14].</w:t>
      </w:r>
    </w:p>
    <w:p w14:paraId="31F054BE" w14:textId="39D61AD8"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health consequences of chronic cadmium exposure through dietary intake are severe and multisystemic. Kidney damage represents the most characteristic and sensitive endpoint of cadmium toxicity</w:t>
      </w:r>
      <w:r w:rsidR="00C10C24">
        <w:rPr>
          <w:rFonts w:ascii="Times New Roman" w:eastAsia="Times New Roman" w:hAnsi="Times New Roman" w:cs="Times New Roman"/>
          <w:sz w:val="24"/>
          <w:szCs w:val="24"/>
          <w:lang w:eastAsia="en-GB"/>
        </w:rPr>
        <w:t xml:space="preserve"> </w:t>
      </w:r>
      <w:r w:rsidR="00C10C24" w:rsidRPr="00C10C24">
        <w:rPr>
          <w:rFonts w:ascii="Times New Roman" w:eastAsia="Times New Roman" w:hAnsi="Times New Roman" w:cs="Times New Roman"/>
          <w:color w:val="FF0000"/>
          <w:sz w:val="24"/>
          <w:szCs w:val="24"/>
          <w:lang w:eastAsia="en-GB"/>
        </w:rPr>
        <w:t>[4]</w:t>
      </w:r>
      <w:r w:rsidRPr="00C10C24">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 metal specifically targets the proximal tubules of the nephron, causing tubular dysfunction that manifests initially as low-molecular-weight proteinuria</w:t>
      </w:r>
      <w:r w:rsidR="00C10C24">
        <w:rPr>
          <w:rFonts w:ascii="Times New Roman" w:eastAsia="Times New Roman" w:hAnsi="Times New Roman" w:cs="Times New Roman"/>
          <w:sz w:val="24"/>
          <w:szCs w:val="24"/>
          <w:lang w:eastAsia="en-GB"/>
        </w:rPr>
        <w:t xml:space="preserve"> </w:t>
      </w:r>
      <w:r w:rsidR="00C10C24" w:rsidRPr="00C10C24">
        <w:rPr>
          <w:rFonts w:ascii="Times New Roman" w:eastAsia="Times New Roman" w:hAnsi="Times New Roman" w:cs="Times New Roman"/>
          <w:color w:val="FF0000"/>
          <w:sz w:val="24"/>
          <w:szCs w:val="24"/>
          <w:lang w:eastAsia="en-GB"/>
        </w:rPr>
        <w:t>[</w:t>
      </w:r>
      <w:r w:rsidR="00C10C24" w:rsidRPr="00B21829">
        <w:rPr>
          <w:rFonts w:ascii="Times New Roman" w:eastAsia="Times New Roman" w:hAnsi="Times New Roman" w:cs="Times New Roman"/>
          <w:color w:val="FF0000"/>
          <w:sz w:val="24"/>
          <w:szCs w:val="24"/>
          <w:lang w:eastAsia="en-GB"/>
        </w:rPr>
        <w:t>7]</w:t>
      </w:r>
      <w:r w:rsidR="00C10C24">
        <w:rPr>
          <w:rFonts w:ascii="Times New Roman" w:eastAsia="Times New Roman" w:hAnsi="Times New Roman" w:cs="Times New Roman"/>
          <w:sz w:val="24"/>
          <w:szCs w:val="24"/>
          <w:lang w:eastAsia="en-GB"/>
        </w:rPr>
        <w:t>.</w:t>
      </w:r>
      <w:r w:rsidRPr="00934355">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As exposure continues and cadmium accumulates, more severe nephrotoxicity develops, including generalized proximal tubular dysfunction known as Fanconi syndrome. This condition is characterized by excessive urinary losses of glucose, phosphate, amino acids, and other substances that should be reabsorbed by healthy kidneys. The urinary losses of calcium and phosphate contribute to the skeletal manifestations of cadmium poisoning.</w:t>
      </w:r>
    </w:p>
    <w:p w14:paraId="6BEFC374" w14:textId="0C35431E"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Cadmium-induced bone disease can present as osteomalacia, osteoporosis, and in severe cases, the extremely painful condition known as itai-itai disease, which was first identified in Japan among populations exposed to high cadmium levels through contaminated rice consumption</w:t>
      </w:r>
      <w:r w:rsidR="00687A3A">
        <w:rPr>
          <w:rFonts w:ascii="Times New Roman" w:eastAsia="Times New Roman" w:hAnsi="Times New Roman" w:cs="Times New Roman"/>
          <w:sz w:val="24"/>
          <w:szCs w:val="24"/>
          <w:lang w:eastAsia="en-GB"/>
        </w:rPr>
        <w:t xml:space="preserve"> </w:t>
      </w:r>
      <w:r w:rsidR="00482FE3" w:rsidRPr="00482FE3">
        <w:rPr>
          <w:rFonts w:ascii="Times New Roman" w:eastAsia="Times New Roman" w:hAnsi="Times New Roman" w:cs="Times New Roman"/>
          <w:color w:val="FF0000"/>
          <w:sz w:val="24"/>
          <w:szCs w:val="24"/>
          <w:lang w:eastAsia="en-GB"/>
        </w:rPr>
        <w:t xml:space="preserve">[13]. </w:t>
      </w:r>
      <w:r w:rsidRPr="000420D9">
        <w:rPr>
          <w:rFonts w:ascii="Times New Roman" w:eastAsia="Times New Roman" w:hAnsi="Times New Roman" w:cs="Times New Roman"/>
          <w:sz w:val="24"/>
          <w:szCs w:val="24"/>
          <w:lang w:eastAsia="en-GB"/>
        </w:rPr>
        <w:t>The disease causes severe bone pain, fractures, and skeletal deformities due to cadmium's interference with vitamin D metabolism and calcium-phosphate homeostasis, combined with direct toxic effects on bone cells.</w:t>
      </w:r>
    </w:p>
    <w:p w14:paraId="682A2F73" w14:textId="1B45247A" w:rsidR="000420D9" w:rsidRPr="00B679E7" w:rsidRDefault="000420D9"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sidRPr="000420D9">
        <w:rPr>
          <w:rFonts w:ascii="Times New Roman" w:eastAsia="Times New Roman" w:hAnsi="Times New Roman" w:cs="Times New Roman"/>
          <w:sz w:val="24"/>
          <w:szCs w:val="24"/>
          <w:lang w:eastAsia="en-GB"/>
        </w:rPr>
        <w:t xml:space="preserve">Beyond kidney and bone effects, cadmium damages the liver, causing hepatocellular injury, elevated liver enzymes, and potentially fibrosis with prolonged exposure. The metal generates oxidative stress by depleting cellular antioxidant </w:t>
      </w:r>
      <w:r w:rsidR="00934355" w:rsidRPr="000420D9">
        <w:rPr>
          <w:rFonts w:ascii="Times New Roman" w:eastAsia="Times New Roman" w:hAnsi="Times New Roman" w:cs="Times New Roman"/>
          <w:sz w:val="24"/>
          <w:szCs w:val="24"/>
          <w:lang w:eastAsia="en-GB"/>
        </w:rPr>
        <w:t>defences</w:t>
      </w:r>
      <w:r w:rsidRPr="000420D9">
        <w:rPr>
          <w:rFonts w:ascii="Times New Roman" w:eastAsia="Times New Roman" w:hAnsi="Times New Roman" w:cs="Times New Roman"/>
          <w:sz w:val="24"/>
          <w:szCs w:val="24"/>
          <w:lang w:eastAsia="en-GB"/>
        </w:rPr>
        <w:t xml:space="preserve">, particularly glutathione, and promoting formation of reactive oxygen species. This oxidative damage affects multiple cellular components including lipids, proteins, and DNA. Cadmium's neurotoxic properties affect both central and peripheral nervous systems, causing olfactory dysfunction, learning disabilities, </w:t>
      </w:r>
      <w:r w:rsidR="00934355" w:rsidRPr="000420D9">
        <w:rPr>
          <w:rFonts w:ascii="Times New Roman" w:eastAsia="Times New Roman" w:hAnsi="Times New Roman" w:cs="Times New Roman"/>
          <w:sz w:val="24"/>
          <w:szCs w:val="24"/>
          <w:lang w:eastAsia="en-GB"/>
        </w:rPr>
        <w:t>behavioural</w:t>
      </w:r>
      <w:r w:rsidRPr="000420D9">
        <w:rPr>
          <w:rFonts w:ascii="Times New Roman" w:eastAsia="Times New Roman" w:hAnsi="Times New Roman" w:cs="Times New Roman"/>
          <w:sz w:val="24"/>
          <w:szCs w:val="24"/>
          <w:lang w:eastAsia="en-GB"/>
        </w:rPr>
        <w:t xml:space="preserve"> changes, and motor impairment</w:t>
      </w:r>
      <w:r w:rsidR="00482FE3">
        <w:rPr>
          <w:rFonts w:ascii="Times New Roman" w:eastAsia="Times New Roman" w:hAnsi="Times New Roman" w:cs="Times New Roman"/>
          <w:sz w:val="24"/>
          <w:szCs w:val="24"/>
          <w:lang w:eastAsia="en-GB"/>
        </w:rPr>
        <w:t xml:space="preserve"> </w:t>
      </w:r>
      <w:r w:rsidR="00482FE3" w:rsidRPr="00482FE3">
        <w:rPr>
          <w:rFonts w:ascii="Times New Roman" w:eastAsia="Times New Roman" w:hAnsi="Times New Roman" w:cs="Times New Roman"/>
          <w:color w:val="FF0000"/>
          <w:sz w:val="24"/>
          <w:szCs w:val="24"/>
          <w:lang w:eastAsia="en-GB"/>
        </w:rPr>
        <w:t>[14].</w:t>
      </w:r>
    </w:p>
    <w:p w14:paraId="356B47CA" w14:textId="21A4F651"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high cadmium levels found in these maize varieties are particularly concerning given that maize serves as a staple food consumed daily in large quantities by households in Masii </w:t>
      </w:r>
      <w:r w:rsidR="00DA3530" w:rsidRPr="00DA3530">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xml:space="preserve"> and throughout Machakos County. With typical maize consumption rates in Kenya averaging 200-400 grams per person per day, individuals consuming this contaminated maize would be exposed to cadmium doses far exceeding safe intake levels. The provisional tolerable weekly intake for cadmium, as established by WHO and FAO, is 2.5 micrograms per kilogram body weight. For a 60-kilogram adult, this translates to 150 micrograms per week or approximately </w:t>
      </w:r>
      <w:r w:rsidRPr="000420D9">
        <w:rPr>
          <w:rFonts w:ascii="Times New Roman" w:eastAsia="Times New Roman" w:hAnsi="Times New Roman" w:cs="Times New Roman"/>
          <w:sz w:val="24"/>
          <w:szCs w:val="24"/>
          <w:lang w:eastAsia="en-GB"/>
        </w:rPr>
        <w:lastRenderedPageBreak/>
        <w:t>21 micrograms per day. Consumption of just 100 grams of maize containing 1.8 mg/g cadmium would deliver 180 milligrams of cadmium, more than 8,500 times the acceptable daily intake. Even accounting for the fact that bioavailability from food is typically lower than 100%, the exposure levels remain grossly excessive and pose serious health risks.</w:t>
      </w:r>
    </w:p>
    <w:p w14:paraId="6FADD14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sources of cadmium contamination in these maize samples require investigation. Possible pathways include use of phosphate fertilizers contaminated with cadmium, irrigation with contaminated water, atmospheric deposition from industrial sources or waste burning, and natural geological sources if the area has cadmium-rich parent rock. The observation that all three varieties, including both modern hybrids and the traditional indigenous type, show elevated cadmium suggests that the contamination source is environmental rather than variety-specific, though the differences in uptake efficiency between varieties indicate that genetic factors also play a role.</w:t>
      </w:r>
    </w:p>
    <w:p w14:paraId="7A422971" w14:textId="1EFC7281" w:rsidR="000420D9" w:rsidRPr="000420D9" w:rsidRDefault="00BB15F1"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15F1">
        <w:rPr>
          <w:rFonts w:ascii="Times New Roman" w:eastAsia="Times New Roman" w:hAnsi="Times New Roman" w:cs="Times New Roman"/>
          <w:b/>
          <w:bCs/>
          <w:color w:val="FF0000"/>
          <w:sz w:val="24"/>
          <w:szCs w:val="24"/>
          <w:lang w:eastAsia="en-GB"/>
        </w:rPr>
        <w:t>3</w:t>
      </w:r>
      <w:r w:rsidR="000420D9" w:rsidRPr="00BB15F1">
        <w:rPr>
          <w:rFonts w:ascii="Times New Roman" w:eastAsia="Times New Roman" w:hAnsi="Times New Roman" w:cs="Times New Roman"/>
          <w:b/>
          <w:bCs/>
          <w:color w:val="FF0000"/>
          <w:sz w:val="24"/>
          <w:szCs w:val="24"/>
          <w:lang w:eastAsia="en-GB"/>
        </w:rPr>
        <w:t xml:space="preserve">.2.3 </w:t>
      </w:r>
      <w:r w:rsidR="000420D9" w:rsidRPr="000420D9">
        <w:rPr>
          <w:rFonts w:ascii="Times New Roman" w:eastAsia="Times New Roman" w:hAnsi="Times New Roman" w:cs="Times New Roman"/>
          <w:b/>
          <w:bCs/>
          <w:sz w:val="24"/>
          <w:szCs w:val="24"/>
          <w:lang w:eastAsia="en-GB"/>
        </w:rPr>
        <w:t>Copper Levels in Maize Varieties</w:t>
      </w:r>
    </w:p>
    <w:p w14:paraId="573CCB1C" w14:textId="77777777" w:rsidR="000E0C6D" w:rsidRDefault="000E0C6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3D78BBF6" wp14:editId="5BCF8EAD">
            <wp:extent cx="2590800" cy="2819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420D9">
        <w:rPr>
          <w:rFonts w:ascii="Times New Roman" w:eastAsia="Times New Roman" w:hAnsi="Times New Roman" w:cs="Times New Roman"/>
          <w:b/>
          <w:bCs/>
          <w:sz w:val="24"/>
          <w:szCs w:val="24"/>
          <w:lang w:eastAsia="en-GB"/>
        </w:rPr>
        <w:t xml:space="preserve"> </w:t>
      </w:r>
    </w:p>
    <w:p w14:paraId="5248E323" w14:textId="74076997" w:rsidR="000420D9" w:rsidRPr="000420D9" w:rsidRDefault="000E0C6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679E7">
        <w:rPr>
          <w:rFonts w:ascii="Times New Roman" w:eastAsia="Times New Roman" w:hAnsi="Times New Roman" w:cs="Times New Roman"/>
          <w:bCs/>
          <w:color w:val="FF0000"/>
          <w:sz w:val="24"/>
          <w:szCs w:val="24"/>
          <w:lang w:eastAsia="en-GB"/>
        </w:rPr>
        <w:t xml:space="preserve">Figure </w:t>
      </w:r>
      <w:r w:rsidR="00B679E7" w:rsidRPr="00B679E7">
        <w:rPr>
          <w:rFonts w:ascii="Times New Roman" w:eastAsia="Times New Roman" w:hAnsi="Times New Roman" w:cs="Times New Roman"/>
          <w:bCs/>
          <w:color w:val="FF0000"/>
          <w:sz w:val="24"/>
          <w:szCs w:val="24"/>
          <w:lang w:eastAsia="en-GB"/>
        </w:rPr>
        <w:t>6</w:t>
      </w:r>
      <w:r>
        <w:rPr>
          <w:rFonts w:ascii="Times New Roman" w:eastAsia="Times New Roman" w:hAnsi="Times New Roman" w:cs="Times New Roman"/>
          <w:b/>
          <w:bCs/>
          <w:sz w:val="24"/>
          <w:szCs w:val="24"/>
          <w:lang w:eastAsia="en-GB"/>
        </w:rPr>
        <w:t xml:space="preserve"> </w:t>
      </w:r>
      <w:r w:rsidR="000420D9" w:rsidRPr="00CD25A2">
        <w:rPr>
          <w:rFonts w:ascii="Times New Roman" w:eastAsia="Times New Roman" w:hAnsi="Times New Roman" w:cs="Times New Roman"/>
          <w:bCs/>
          <w:sz w:val="24"/>
          <w:szCs w:val="24"/>
          <w:lang w:eastAsia="en-GB"/>
        </w:rPr>
        <w:t>Copper levels in SC Sungura 301, SC Duma 43 and the Indigenous Kamba maize</w:t>
      </w:r>
    </w:p>
    <w:p w14:paraId="513E9A1E" w14:textId="09388A6A"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Copper concentrations in the maize varieties were relatively uniform and low, with SC Sungura 301 containing 0.756 ± 0.101 mg/g, SC Duma 43 showing 0.741 ± 0.0741 mg/g, and the indigenous Kamba maize having 0.700 ± 0.0380 mg/g</w:t>
      </w:r>
      <w:r w:rsidR="00B679E7">
        <w:rPr>
          <w:rFonts w:ascii="Times New Roman" w:eastAsia="Times New Roman" w:hAnsi="Times New Roman" w:cs="Times New Roman"/>
          <w:sz w:val="24"/>
          <w:szCs w:val="24"/>
          <w:lang w:eastAsia="en-GB"/>
        </w:rPr>
        <w:t xml:space="preserve"> </w:t>
      </w:r>
      <w:r w:rsidR="00B679E7" w:rsidRPr="00B679E7">
        <w:rPr>
          <w:rFonts w:ascii="Times New Roman" w:eastAsia="Times New Roman" w:hAnsi="Times New Roman" w:cs="Times New Roman"/>
          <w:color w:val="FF0000"/>
          <w:sz w:val="24"/>
          <w:szCs w:val="24"/>
          <w:lang w:eastAsia="en-GB"/>
        </w:rPr>
        <w:t>(Table 3)</w:t>
      </w:r>
      <w:r w:rsidRPr="00B679E7">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These values were substantially below the recommended range of 10-50 mg/g established by regulatory authorities for adequate nutritional content in cereal grains. The indigenous Kamba variety had the lowest copper content, while SC Sungura 301 exhibited slightly higher levels, though the differences among varieties were small</w:t>
      </w:r>
      <w:r w:rsidR="00687A3A">
        <w:rPr>
          <w:rFonts w:ascii="Times New Roman" w:eastAsia="Times New Roman" w:hAnsi="Times New Roman" w:cs="Times New Roman"/>
          <w:sz w:val="24"/>
          <w:szCs w:val="24"/>
          <w:lang w:eastAsia="en-GB"/>
        </w:rPr>
        <w:t xml:space="preserve"> </w:t>
      </w:r>
      <w:r w:rsidR="00687A3A" w:rsidRPr="00687A3A">
        <w:rPr>
          <w:rFonts w:ascii="Times New Roman" w:eastAsia="Times New Roman" w:hAnsi="Times New Roman" w:cs="Times New Roman"/>
          <w:color w:val="FF0000"/>
          <w:sz w:val="24"/>
          <w:szCs w:val="24"/>
          <w:lang w:eastAsia="en-GB"/>
        </w:rPr>
        <w:t xml:space="preserve">(Figure </w:t>
      </w:r>
      <w:r w:rsidR="003E5C10">
        <w:rPr>
          <w:rFonts w:ascii="Times New Roman" w:eastAsia="Times New Roman" w:hAnsi="Times New Roman" w:cs="Times New Roman"/>
          <w:color w:val="FF0000"/>
          <w:sz w:val="24"/>
          <w:szCs w:val="24"/>
          <w:lang w:eastAsia="en-GB"/>
        </w:rPr>
        <w:t>6</w:t>
      </w:r>
      <w:r w:rsidR="00687A3A">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w:t>
      </w:r>
    </w:p>
    <w:p w14:paraId="69AB5A0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From a food safety perspective regarding copper toxicity, these levels pose no concern. Copper toxicity in humans typically requires intake of amounts far exceeding what these maize samples contain. The absence of copper contamination is encouraging, as excessive copper can cause serious health problems including liver damage, gastrointestinal distress, and neurological effects. The levels detected are consistent with normal background copper content in cereals and suggest that agricultural practices in the study area are not introducing problematic copper contamination.</w:t>
      </w:r>
    </w:p>
    <w:p w14:paraId="6DA96BF2" w14:textId="789420FE"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However, similar to the situation with zinc, the low copper levels raise nutritional concerns. Copper is an essential trace element required for numerous physiological functions including iron metabolism and hemoglobin formation, connective tissue formation through lysyl oxidase activity, energy production in mitochondria, neurotransmitter synthesis, immune function, and antioxidant </w:t>
      </w:r>
      <w:r w:rsidR="00687A3A" w:rsidRPr="000420D9">
        <w:rPr>
          <w:rFonts w:ascii="Times New Roman" w:eastAsia="Times New Roman" w:hAnsi="Times New Roman" w:cs="Times New Roman"/>
          <w:sz w:val="24"/>
          <w:szCs w:val="24"/>
          <w:lang w:eastAsia="en-GB"/>
        </w:rPr>
        <w:t>defences</w:t>
      </w:r>
      <w:r w:rsidRPr="000420D9">
        <w:rPr>
          <w:rFonts w:ascii="Times New Roman" w:eastAsia="Times New Roman" w:hAnsi="Times New Roman" w:cs="Times New Roman"/>
          <w:sz w:val="24"/>
          <w:szCs w:val="24"/>
          <w:lang w:eastAsia="en-GB"/>
        </w:rPr>
        <w:t xml:space="preserve"> through copper-zinc superoxide dismutase. Copper deficiency, while less common than iron or zinc deficiency, can cause </w:t>
      </w:r>
      <w:r w:rsidR="00687A3A" w:rsidRPr="000420D9">
        <w:rPr>
          <w:rFonts w:ascii="Times New Roman" w:eastAsia="Times New Roman" w:hAnsi="Times New Roman" w:cs="Times New Roman"/>
          <w:sz w:val="24"/>
          <w:szCs w:val="24"/>
          <w:lang w:eastAsia="en-GB"/>
        </w:rPr>
        <w:t>anaemia</w:t>
      </w:r>
      <w:r w:rsidRPr="000420D9">
        <w:rPr>
          <w:rFonts w:ascii="Times New Roman" w:eastAsia="Times New Roman" w:hAnsi="Times New Roman" w:cs="Times New Roman"/>
          <w:sz w:val="24"/>
          <w:szCs w:val="24"/>
          <w:lang w:eastAsia="en-GB"/>
        </w:rPr>
        <w:t xml:space="preserve"> that does not respond to iron supplementation, neutropenia leading to increased infection susceptibility, bone abnormalities including osteoporosis, neurological problems, and cardiovascular issues.</w:t>
      </w:r>
    </w:p>
    <w:p w14:paraId="45354390" w14:textId="7B194703" w:rsidR="0067619C" w:rsidRDefault="000420D9" w:rsidP="0067619C">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sz w:val="24"/>
          <w:szCs w:val="24"/>
          <w:lang w:eastAsia="en-GB"/>
        </w:rPr>
        <w:t>The deficiency in copper, combined with the already noted zinc deficiency, suggests that maize from this region may not provide adequate levels of essential trace minerals. This micronutrient deficiency pattern likely reflects soil nutrient depletion, inadequate fertilization practices focusing primarily on macronutrients like nitrogen and phosphorus while neglecting micronutrients, and possibly selection of high-yielding varieties that have lower mineral density due to dilution effects as more biomass is produced from the same soil mineral supply</w:t>
      </w:r>
      <w:r w:rsidR="00EE70C6">
        <w:rPr>
          <w:rFonts w:ascii="Times New Roman" w:eastAsia="Times New Roman" w:hAnsi="Times New Roman" w:cs="Times New Roman"/>
          <w:sz w:val="24"/>
          <w:szCs w:val="24"/>
          <w:lang w:eastAsia="en-GB"/>
        </w:rPr>
        <w:t xml:space="preserve"> </w:t>
      </w:r>
      <w:r w:rsidR="00EE70C6" w:rsidRPr="00EE70C6">
        <w:rPr>
          <w:rFonts w:ascii="Times New Roman" w:eastAsia="Times New Roman" w:hAnsi="Times New Roman" w:cs="Times New Roman"/>
          <w:color w:val="FF0000"/>
          <w:sz w:val="24"/>
          <w:szCs w:val="24"/>
          <w:lang w:eastAsia="en-GB"/>
        </w:rPr>
        <w:t>[14].</w:t>
      </w:r>
      <w:r w:rsidR="0067619C" w:rsidRPr="00EE70C6">
        <w:rPr>
          <w:rFonts w:ascii="Times New Roman" w:eastAsia="Times New Roman" w:hAnsi="Times New Roman" w:cs="Times New Roman"/>
          <w:color w:val="FF0000"/>
          <w:sz w:val="24"/>
          <w:szCs w:val="24"/>
          <w:lang w:eastAsia="en-GB"/>
        </w:rPr>
        <w:t xml:space="preserve"> </w:t>
      </w:r>
    </w:p>
    <w:p w14:paraId="4F8042BB" w14:textId="5185A496" w:rsidR="000420D9" w:rsidRPr="000420D9" w:rsidRDefault="00AE1D0B" w:rsidP="0067619C">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AE1D0B">
        <w:rPr>
          <w:rFonts w:ascii="Times New Roman" w:eastAsia="Times New Roman" w:hAnsi="Times New Roman" w:cs="Times New Roman"/>
          <w:b/>
          <w:bCs/>
          <w:color w:val="FF0000"/>
          <w:sz w:val="24"/>
          <w:szCs w:val="24"/>
          <w:lang w:eastAsia="en-GB"/>
        </w:rPr>
        <w:t>3</w:t>
      </w:r>
      <w:r w:rsidR="000420D9" w:rsidRPr="000420D9">
        <w:rPr>
          <w:rFonts w:ascii="Times New Roman" w:eastAsia="Times New Roman" w:hAnsi="Times New Roman" w:cs="Times New Roman"/>
          <w:b/>
          <w:bCs/>
          <w:sz w:val="24"/>
          <w:szCs w:val="24"/>
          <w:lang w:eastAsia="en-GB"/>
        </w:rPr>
        <w:t>.2.4 Manganese Levels in Maize Varieties</w:t>
      </w:r>
    </w:p>
    <w:p w14:paraId="068CDD26" w14:textId="77777777" w:rsidR="0038231D" w:rsidRDefault="0038231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4A17989" wp14:editId="01C04BD3">
            <wp:extent cx="2676525" cy="28479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0CACC8" w14:textId="07037B03" w:rsidR="000420D9" w:rsidRPr="000420D9" w:rsidRDefault="0038231D"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926F6">
        <w:rPr>
          <w:rFonts w:ascii="Times New Roman" w:eastAsia="Times New Roman" w:hAnsi="Times New Roman" w:cs="Times New Roman"/>
          <w:bCs/>
          <w:color w:val="FF0000"/>
          <w:sz w:val="24"/>
          <w:szCs w:val="24"/>
          <w:lang w:eastAsia="en-GB"/>
        </w:rPr>
        <w:t xml:space="preserve">Figure </w:t>
      </w:r>
      <w:r w:rsidR="0067619C" w:rsidRPr="009926F6">
        <w:rPr>
          <w:rFonts w:ascii="Times New Roman" w:eastAsia="Times New Roman" w:hAnsi="Times New Roman" w:cs="Times New Roman"/>
          <w:bCs/>
          <w:color w:val="FF0000"/>
          <w:sz w:val="24"/>
          <w:szCs w:val="24"/>
          <w:lang w:eastAsia="en-GB"/>
        </w:rPr>
        <w:t>7</w:t>
      </w:r>
      <w:r w:rsidR="0067619C" w:rsidRPr="009926F6">
        <w:rPr>
          <w:rFonts w:ascii="Times New Roman" w:eastAsia="Times New Roman" w:hAnsi="Times New Roman" w:cs="Times New Roman"/>
          <w:b/>
          <w:bCs/>
          <w:color w:val="FF0000"/>
          <w:sz w:val="24"/>
          <w:szCs w:val="24"/>
          <w:lang w:eastAsia="en-GB"/>
        </w:rPr>
        <w:t>:</w:t>
      </w:r>
      <w:r w:rsidRPr="009926F6">
        <w:rPr>
          <w:rFonts w:ascii="Times New Roman" w:eastAsia="Times New Roman" w:hAnsi="Times New Roman" w:cs="Times New Roman"/>
          <w:b/>
          <w:bCs/>
          <w:color w:val="FF0000"/>
          <w:sz w:val="24"/>
          <w:szCs w:val="24"/>
          <w:lang w:eastAsia="en-GB"/>
        </w:rPr>
        <w:t xml:space="preserve"> </w:t>
      </w:r>
      <w:r w:rsidR="000420D9" w:rsidRPr="00CD25A2">
        <w:rPr>
          <w:rFonts w:ascii="Times New Roman" w:eastAsia="Times New Roman" w:hAnsi="Times New Roman" w:cs="Times New Roman"/>
          <w:bCs/>
          <w:sz w:val="24"/>
          <w:szCs w:val="24"/>
          <w:lang w:eastAsia="en-GB"/>
        </w:rPr>
        <w:t>Manganese levels in SC Sungura 301, SC Duma 43 and the Indigenous Kamba maize</w:t>
      </w:r>
    </w:p>
    <w:p w14:paraId="324D546A" w14:textId="22F61C4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Manganese concentrations showed considerable variation among the three maize varieties. SC Sungura 301 contained 2.745 ± 0.851 mg/g, SC Duma 43 had 1.748 ± 0.110 mg/g, and the indigenous Kamba maize showed only 0.270 ± 0.0586 mg/g</w:t>
      </w:r>
      <w:r w:rsidR="0067619C">
        <w:rPr>
          <w:rFonts w:ascii="Times New Roman" w:eastAsia="Times New Roman" w:hAnsi="Times New Roman" w:cs="Times New Roman"/>
          <w:sz w:val="24"/>
          <w:szCs w:val="24"/>
          <w:lang w:eastAsia="en-GB"/>
        </w:rPr>
        <w:t xml:space="preserve"> </w:t>
      </w:r>
      <w:r w:rsidR="0067619C" w:rsidRPr="0067619C">
        <w:rPr>
          <w:rFonts w:ascii="Times New Roman" w:eastAsia="Times New Roman" w:hAnsi="Times New Roman" w:cs="Times New Roman"/>
          <w:color w:val="FF0000"/>
          <w:sz w:val="24"/>
          <w:szCs w:val="24"/>
          <w:lang w:eastAsia="en-GB"/>
        </w:rPr>
        <w:t>(Table 3)</w:t>
      </w:r>
      <w:r w:rsidRPr="000420D9">
        <w:rPr>
          <w:rFonts w:ascii="Times New Roman" w:eastAsia="Times New Roman" w:hAnsi="Times New Roman" w:cs="Times New Roman"/>
          <w:sz w:val="24"/>
          <w:szCs w:val="24"/>
          <w:lang w:eastAsia="en-GB"/>
        </w:rPr>
        <w:t>. This represents more than a ten-fold difference between the highest and lowest values, indicating substantial varietal differences in manganese accumulation. The indigenous Kamba variety had dramatically lower manganese content compared to both hybrid varieties, while SC Sungura 301 exhibited the highest levels</w:t>
      </w:r>
      <w:r w:rsidR="0067619C">
        <w:rPr>
          <w:rFonts w:ascii="Times New Roman" w:eastAsia="Times New Roman" w:hAnsi="Times New Roman" w:cs="Times New Roman"/>
          <w:sz w:val="24"/>
          <w:szCs w:val="24"/>
          <w:lang w:eastAsia="en-GB"/>
        </w:rPr>
        <w:t xml:space="preserve"> </w:t>
      </w:r>
      <w:r w:rsidR="0067619C" w:rsidRPr="0067619C">
        <w:rPr>
          <w:rFonts w:ascii="Times New Roman" w:eastAsia="Times New Roman" w:hAnsi="Times New Roman" w:cs="Times New Roman"/>
          <w:color w:val="FF0000"/>
          <w:sz w:val="24"/>
          <w:szCs w:val="24"/>
          <w:lang w:eastAsia="en-GB"/>
        </w:rPr>
        <w:t>(Figure 7)</w:t>
      </w:r>
      <w:r w:rsidRPr="0067619C">
        <w:rPr>
          <w:rFonts w:ascii="Times New Roman" w:eastAsia="Times New Roman" w:hAnsi="Times New Roman" w:cs="Times New Roman"/>
          <w:color w:val="FF0000"/>
          <w:sz w:val="24"/>
          <w:szCs w:val="24"/>
          <w:lang w:eastAsia="en-GB"/>
        </w:rPr>
        <w:t>.</w:t>
      </w:r>
    </w:p>
    <w:p w14:paraId="5BAC4597" w14:textId="33E465B3"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Despite this variability, all three values fell below the recommended range of 5-20 mg/g established by </w:t>
      </w:r>
      <w:r w:rsidR="00E8446B">
        <w:rPr>
          <w:rFonts w:ascii="Times New Roman" w:eastAsia="Times New Roman" w:hAnsi="Times New Roman" w:cs="Times New Roman"/>
          <w:sz w:val="24"/>
          <w:szCs w:val="24"/>
          <w:lang w:eastAsia="en-GB"/>
        </w:rPr>
        <w:t>[</w:t>
      </w:r>
      <w:r w:rsidR="002D4C6F" w:rsidRPr="005D729C">
        <w:rPr>
          <w:rFonts w:ascii="Times New Roman" w:eastAsia="Times New Roman" w:hAnsi="Times New Roman" w:cs="Times New Roman"/>
          <w:color w:val="FF0000"/>
          <w:sz w:val="24"/>
          <w:szCs w:val="24"/>
          <w:lang w:eastAsia="en-GB"/>
        </w:rPr>
        <w:t>11, 12</w:t>
      </w:r>
      <w:r w:rsidR="00611260" w:rsidRPr="005D729C">
        <w:rPr>
          <w:rFonts w:ascii="Times New Roman" w:eastAsia="Times New Roman" w:hAnsi="Times New Roman" w:cs="Times New Roman"/>
          <w:color w:val="FF0000"/>
          <w:sz w:val="24"/>
          <w:szCs w:val="24"/>
          <w:lang w:eastAsia="en-GB"/>
        </w:rPr>
        <w:t xml:space="preserve">] </w:t>
      </w:r>
      <w:r w:rsidR="00611260" w:rsidRPr="0067619C">
        <w:rPr>
          <w:rFonts w:ascii="Times New Roman" w:eastAsia="Times New Roman" w:hAnsi="Times New Roman" w:cs="Times New Roman"/>
          <w:color w:val="FF0000"/>
          <w:sz w:val="24"/>
          <w:szCs w:val="24"/>
          <w:lang w:eastAsia="en-GB"/>
        </w:rPr>
        <w:t>for</w:t>
      </w:r>
      <w:r w:rsidRPr="000420D9">
        <w:rPr>
          <w:rFonts w:ascii="Times New Roman" w:eastAsia="Times New Roman" w:hAnsi="Times New Roman" w:cs="Times New Roman"/>
          <w:sz w:val="24"/>
          <w:szCs w:val="24"/>
          <w:lang w:eastAsia="en-GB"/>
        </w:rPr>
        <w:t xml:space="preserve"> adequate manganese content in food grains</w:t>
      </w:r>
      <w:r w:rsidR="0067619C">
        <w:rPr>
          <w:rFonts w:ascii="Times New Roman" w:eastAsia="Times New Roman" w:hAnsi="Times New Roman" w:cs="Times New Roman"/>
          <w:sz w:val="24"/>
          <w:szCs w:val="24"/>
          <w:lang w:eastAsia="en-GB"/>
        </w:rPr>
        <w:t xml:space="preserve"> </w:t>
      </w:r>
      <w:r w:rsidR="0067619C" w:rsidRPr="0067619C">
        <w:rPr>
          <w:rFonts w:ascii="Times New Roman" w:eastAsia="Times New Roman" w:hAnsi="Times New Roman" w:cs="Times New Roman"/>
          <w:color w:val="FF0000"/>
          <w:sz w:val="24"/>
          <w:szCs w:val="24"/>
          <w:lang w:eastAsia="en-GB"/>
        </w:rPr>
        <w:t>(Table 3)</w:t>
      </w:r>
      <w:r w:rsidRPr="0067619C">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From a toxicity standpoint, none of the samples approached the threshold of concern, as manganese toxicity typically becomes problematic only at levels exceeding 20 mg/g. The absence of </w:t>
      </w:r>
      <w:r w:rsidRPr="000420D9">
        <w:rPr>
          <w:rFonts w:ascii="Times New Roman" w:eastAsia="Times New Roman" w:hAnsi="Times New Roman" w:cs="Times New Roman"/>
          <w:sz w:val="24"/>
          <w:szCs w:val="24"/>
          <w:lang w:eastAsia="en-GB"/>
        </w:rPr>
        <w:lastRenderedPageBreak/>
        <w:t>manganese contamination is positive from a safety perspective, as excessive manganese intake can cause serious neurological problems including a Parkinson's-like syndrome known as manganism.</w:t>
      </w:r>
    </w:p>
    <w:p w14:paraId="7AF69EF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relatively high standard deviation observed for SC Sungura 301 manganese measurements (±0.851) compared to the mean value (2.745) indicates considerable variability among replicate samples. This variability could reflect heterogeneity in the original sample, variations in the growing conditions or soil manganese availability across different parts of the farm, or analytical measurement uncertainty. The coefficient of variation for this measurement is approximately 31%, which is higher than desirable for quantitative analysis and suggests that the manganese results should be interpreted with appropriate caution.</w:t>
      </w:r>
    </w:p>
    <w:p w14:paraId="623CBC19" w14:textId="7ABA8C5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From a nutritional perspective, the low manganese levels, particularly in the indigenous variety, may contribute to dietary inadequacy. Manganese is an essential trace element required for bone formation, amino acid metabolism, cholesterol and carbohydrate metabolism, and functioning as a cofactor for several important enzymes including manganese superoxide dismutase, an antioxidant enzyme</w:t>
      </w:r>
      <w:r w:rsidR="002D4C6F">
        <w:rPr>
          <w:rFonts w:ascii="Times New Roman" w:eastAsia="Times New Roman" w:hAnsi="Times New Roman" w:cs="Times New Roman"/>
          <w:sz w:val="24"/>
          <w:szCs w:val="24"/>
          <w:lang w:eastAsia="en-GB"/>
        </w:rPr>
        <w:t xml:space="preserve"> </w:t>
      </w:r>
      <w:r w:rsidR="002D4C6F" w:rsidRPr="00326710">
        <w:rPr>
          <w:rFonts w:ascii="Times New Roman" w:eastAsia="Times New Roman" w:hAnsi="Times New Roman" w:cs="Times New Roman"/>
          <w:color w:val="FF0000"/>
          <w:sz w:val="24"/>
          <w:szCs w:val="24"/>
          <w:lang w:eastAsia="en-GB"/>
        </w:rPr>
        <w:t>[</w:t>
      </w:r>
      <w:r w:rsidR="00326710" w:rsidRPr="00326710">
        <w:rPr>
          <w:rFonts w:ascii="Times New Roman" w:eastAsia="Times New Roman" w:hAnsi="Times New Roman" w:cs="Times New Roman"/>
          <w:color w:val="FF0000"/>
          <w:sz w:val="24"/>
          <w:szCs w:val="24"/>
          <w:lang w:eastAsia="en-GB"/>
        </w:rPr>
        <w:t>7].</w:t>
      </w:r>
      <w:r w:rsidR="007F6537" w:rsidRPr="00326710">
        <w:rPr>
          <w:rFonts w:ascii="Times New Roman" w:eastAsia="Times New Roman" w:hAnsi="Times New Roman" w:cs="Times New Roman"/>
          <w:color w:val="FF0000"/>
          <w:sz w:val="24"/>
          <w:szCs w:val="24"/>
          <w:lang w:eastAsia="en-GB"/>
        </w:rPr>
        <w:t xml:space="preserve"> </w:t>
      </w:r>
      <w:r w:rsidR="00326710">
        <w:rPr>
          <w:rFonts w:ascii="Times New Roman" w:hAnsi="Times New Roman" w:cs="Times New Roman"/>
          <w:color w:val="FF0000"/>
        </w:rPr>
        <w:t xml:space="preserve"> </w:t>
      </w:r>
      <w:r w:rsidRPr="000420D9">
        <w:rPr>
          <w:rFonts w:ascii="Times New Roman" w:eastAsia="Times New Roman" w:hAnsi="Times New Roman" w:cs="Times New Roman"/>
          <w:sz w:val="24"/>
          <w:szCs w:val="24"/>
          <w:lang w:eastAsia="en-GB"/>
        </w:rPr>
        <w:t>While manganese deficiency in humans is rare due to the widespread occurrence of this element in plant foods, very low dietary intake could theoretically contribute to impaired growth, skeletal abnormalities, altered glucose and lipid metabolism, and increased oxidative stress</w:t>
      </w:r>
      <w:r w:rsidR="00326710">
        <w:rPr>
          <w:rFonts w:ascii="Times New Roman" w:eastAsia="Times New Roman" w:hAnsi="Times New Roman" w:cs="Times New Roman"/>
          <w:sz w:val="24"/>
          <w:szCs w:val="24"/>
          <w:lang w:eastAsia="en-GB"/>
        </w:rPr>
        <w:t xml:space="preserve"> </w:t>
      </w:r>
      <w:r w:rsidR="00326710" w:rsidRPr="00040C93">
        <w:rPr>
          <w:rFonts w:ascii="Times New Roman" w:eastAsia="Times New Roman" w:hAnsi="Times New Roman" w:cs="Times New Roman"/>
          <w:color w:val="FF0000"/>
          <w:sz w:val="24"/>
          <w:szCs w:val="24"/>
          <w:lang w:eastAsia="en-GB"/>
        </w:rPr>
        <w:t>[15].</w:t>
      </w:r>
      <w:r w:rsidR="007F6537" w:rsidRPr="00040C93">
        <w:rPr>
          <w:rFonts w:ascii="Times New Roman" w:eastAsia="Times New Roman" w:hAnsi="Times New Roman" w:cs="Times New Roman"/>
          <w:color w:val="FF0000"/>
          <w:sz w:val="24"/>
          <w:szCs w:val="24"/>
          <w:lang w:eastAsia="en-GB"/>
        </w:rPr>
        <w:t xml:space="preserve"> </w:t>
      </w:r>
    </w:p>
    <w:p w14:paraId="4F08F39B"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varietal differences in manganese accumulation are noteworthy and suggest that genetic factors influence uptake and translocation of this metal to grains. Modern breeding programs could potentially select for or develop varieties with improved manganese accumulation to enhance nutritional quality, though care must be taken not to select for varieties that also accumulate toxic metals like cadmium or lead more efficiently.</w:t>
      </w:r>
    </w:p>
    <w:p w14:paraId="25766A0F" w14:textId="3E7FAA02" w:rsidR="000420D9" w:rsidRPr="000420D9" w:rsidRDefault="00AE1D0B" w:rsidP="0038231D">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AE1D0B">
        <w:rPr>
          <w:rFonts w:ascii="Times New Roman" w:eastAsia="Times New Roman" w:hAnsi="Times New Roman" w:cs="Times New Roman"/>
          <w:b/>
          <w:bCs/>
          <w:color w:val="FF0000"/>
          <w:sz w:val="24"/>
          <w:szCs w:val="24"/>
          <w:lang w:eastAsia="en-GB"/>
        </w:rPr>
        <w:t>3</w:t>
      </w:r>
      <w:r w:rsidR="000420D9" w:rsidRPr="00AE1D0B">
        <w:rPr>
          <w:rFonts w:ascii="Times New Roman" w:eastAsia="Times New Roman" w:hAnsi="Times New Roman" w:cs="Times New Roman"/>
          <w:b/>
          <w:bCs/>
          <w:color w:val="FF0000"/>
          <w:sz w:val="24"/>
          <w:szCs w:val="24"/>
          <w:lang w:eastAsia="en-GB"/>
        </w:rPr>
        <w:t xml:space="preserve">.2.5 </w:t>
      </w:r>
      <w:r w:rsidR="000420D9" w:rsidRPr="000420D9">
        <w:rPr>
          <w:rFonts w:ascii="Times New Roman" w:eastAsia="Times New Roman" w:hAnsi="Times New Roman" w:cs="Times New Roman"/>
          <w:b/>
          <w:bCs/>
          <w:sz w:val="24"/>
          <w:szCs w:val="24"/>
          <w:lang w:eastAsia="en-GB"/>
        </w:rPr>
        <w:t>Lead Levels in Maize Varieties</w:t>
      </w:r>
    </w:p>
    <w:p w14:paraId="4ACF98BE" w14:textId="77777777" w:rsidR="0038231D" w:rsidRDefault="0038231D" w:rsidP="0038231D">
      <w:pPr>
        <w:spacing w:before="100" w:beforeAutospacing="1" w:after="100" w:afterAutospacing="1" w:line="24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lang w:eastAsia="en-GB"/>
        </w:rPr>
        <w:drawing>
          <wp:inline distT="0" distB="0" distL="0" distR="0" wp14:anchorId="492982F7" wp14:editId="5892291B">
            <wp:extent cx="2495550" cy="3295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237BF4" w14:textId="4E96348C"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D35EC">
        <w:rPr>
          <w:rFonts w:ascii="Times New Roman" w:eastAsia="Times New Roman" w:hAnsi="Times New Roman" w:cs="Times New Roman"/>
          <w:bCs/>
          <w:color w:val="FF0000"/>
          <w:sz w:val="24"/>
          <w:szCs w:val="24"/>
          <w:lang w:eastAsia="en-GB"/>
        </w:rPr>
        <w:t>F</w:t>
      </w:r>
      <w:r w:rsidR="00CD35EC" w:rsidRPr="00CD35EC">
        <w:rPr>
          <w:rFonts w:ascii="Times New Roman" w:eastAsia="Times New Roman" w:hAnsi="Times New Roman" w:cs="Times New Roman"/>
          <w:bCs/>
          <w:color w:val="FF0000"/>
          <w:sz w:val="24"/>
          <w:szCs w:val="24"/>
          <w:lang w:eastAsia="en-GB"/>
        </w:rPr>
        <w:t>igure 8:</w:t>
      </w:r>
      <w:r w:rsidRPr="00CD35EC">
        <w:rPr>
          <w:rFonts w:ascii="Times New Roman" w:eastAsia="Times New Roman" w:hAnsi="Times New Roman" w:cs="Times New Roman"/>
          <w:b/>
          <w:bCs/>
          <w:color w:val="FF0000"/>
          <w:sz w:val="24"/>
          <w:szCs w:val="24"/>
          <w:lang w:eastAsia="en-GB"/>
        </w:rPr>
        <w:t xml:space="preserve"> </w:t>
      </w:r>
      <w:r w:rsidRPr="00CD25A2">
        <w:rPr>
          <w:rFonts w:ascii="Times New Roman" w:eastAsia="Times New Roman" w:hAnsi="Times New Roman" w:cs="Times New Roman"/>
          <w:bCs/>
          <w:sz w:val="24"/>
          <w:szCs w:val="24"/>
          <w:lang w:eastAsia="en-GB"/>
        </w:rPr>
        <w:t>Lead levels in SC Sungura 301, SC Duma 43 and the Indigenous Kamba maize</w:t>
      </w:r>
    </w:p>
    <w:p w14:paraId="01570BB2" w14:textId="241DD769" w:rsidR="000420D9" w:rsidRPr="004316B0" w:rsidRDefault="000420D9" w:rsidP="0038231D">
      <w:pPr>
        <w:spacing w:before="100" w:beforeAutospacing="1" w:after="100" w:afterAutospacing="1" w:line="240" w:lineRule="auto"/>
        <w:jc w:val="both"/>
        <w:rPr>
          <w:rFonts w:ascii="Times New Roman" w:eastAsia="Times New Roman" w:hAnsi="Times New Roman" w:cs="Times New Roman"/>
          <w:color w:val="FF0000"/>
          <w:sz w:val="24"/>
          <w:szCs w:val="24"/>
          <w:lang w:eastAsia="en-GB"/>
        </w:rPr>
      </w:pPr>
      <w:r w:rsidRPr="000420D9">
        <w:rPr>
          <w:rFonts w:ascii="Times New Roman" w:eastAsia="Times New Roman" w:hAnsi="Times New Roman" w:cs="Times New Roman"/>
          <w:sz w:val="24"/>
          <w:szCs w:val="24"/>
          <w:lang w:eastAsia="en-GB"/>
        </w:rPr>
        <w:lastRenderedPageBreak/>
        <w:t xml:space="preserve">Lead </w:t>
      </w:r>
      <w:r w:rsidR="00CD35EC">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in the maize varieties represented the most severe food safety concern identified in this study. The levels measured were alarmingly high across all three varieties: SC Sungura 301 contained 8.990 ± 0.752 mg/g, SC Duma 43 showed 10.449 ± 0.398 mg/g, and the indigenous Kamba maize had 8.247 ± 0.798 mg/</w:t>
      </w:r>
      <w:r w:rsidR="00CD35EC" w:rsidRPr="000420D9">
        <w:rPr>
          <w:rFonts w:ascii="Times New Roman" w:eastAsia="Times New Roman" w:hAnsi="Times New Roman" w:cs="Times New Roman"/>
          <w:sz w:val="24"/>
          <w:szCs w:val="24"/>
          <w:lang w:eastAsia="en-GB"/>
        </w:rPr>
        <w:t>g</w:t>
      </w:r>
      <w:r w:rsidR="00CD35EC">
        <w:rPr>
          <w:rFonts w:ascii="Times New Roman" w:eastAsia="Times New Roman" w:hAnsi="Times New Roman" w:cs="Times New Roman"/>
          <w:sz w:val="24"/>
          <w:szCs w:val="24"/>
          <w:lang w:eastAsia="en-GB"/>
        </w:rPr>
        <w:t xml:space="preserve"> </w:t>
      </w:r>
      <w:r w:rsidR="00CD35EC" w:rsidRPr="009926F6">
        <w:rPr>
          <w:rFonts w:ascii="Times New Roman" w:eastAsia="Times New Roman" w:hAnsi="Times New Roman" w:cs="Times New Roman"/>
          <w:color w:val="FF0000"/>
          <w:sz w:val="24"/>
          <w:szCs w:val="24"/>
          <w:lang w:eastAsia="en-GB"/>
        </w:rPr>
        <w:t>(</w:t>
      </w:r>
      <w:r w:rsidR="00CD35EC" w:rsidRPr="00CD35EC">
        <w:rPr>
          <w:rFonts w:ascii="Times New Roman" w:eastAsia="Times New Roman" w:hAnsi="Times New Roman" w:cs="Times New Roman"/>
          <w:color w:val="FF0000"/>
          <w:sz w:val="24"/>
          <w:szCs w:val="24"/>
          <w:lang w:eastAsia="en-GB"/>
        </w:rPr>
        <w:t>Table 3)</w:t>
      </w:r>
      <w:r w:rsidRPr="00CD35EC">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These </w:t>
      </w:r>
      <w:r w:rsidR="00CD35EC">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exceeded the maximum permissible limit of 0.2-0.5 mg/g established by WHO, FAO, and KEBS by factors ranging from approximately 16 to 52 times, depending on which regulatory threshold is applied. SC Duma 43 hybrid exhibited the highest lead contamination, followed closely by SC Sungura 301, while the indigenous variety showed slightly lower but still extremely elevated levels</w:t>
      </w:r>
      <w:r w:rsidR="00CD35EC">
        <w:rPr>
          <w:rFonts w:ascii="Times New Roman" w:eastAsia="Times New Roman" w:hAnsi="Times New Roman" w:cs="Times New Roman"/>
          <w:sz w:val="24"/>
          <w:szCs w:val="24"/>
          <w:lang w:eastAsia="en-GB"/>
        </w:rPr>
        <w:t xml:space="preserve"> </w:t>
      </w:r>
      <w:r w:rsidR="00CD35EC" w:rsidRPr="004316B0">
        <w:rPr>
          <w:rFonts w:ascii="Times New Roman" w:eastAsia="Times New Roman" w:hAnsi="Times New Roman" w:cs="Times New Roman"/>
          <w:color w:val="FF0000"/>
          <w:sz w:val="24"/>
          <w:szCs w:val="24"/>
          <w:lang w:eastAsia="en-GB"/>
        </w:rPr>
        <w:t>(Figure 8</w:t>
      </w:r>
      <w:r w:rsidR="004316B0" w:rsidRPr="004316B0">
        <w:rPr>
          <w:rFonts w:ascii="Times New Roman" w:eastAsia="Times New Roman" w:hAnsi="Times New Roman" w:cs="Times New Roman"/>
          <w:color w:val="FF0000"/>
          <w:sz w:val="24"/>
          <w:szCs w:val="24"/>
          <w:lang w:eastAsia="en-GB"/>
        </w:rPr>
        <w:t>)</w:t>
      </w:r>
      <w:r w:rsidRPr="004316B0">
        <w:rPr>
          <w:rFonts w:ascii="Times New Roman" w:eastAsia="Times New Roman" w:hAnsi="Times New Roman" w:cs="Times New Roman"/>
          <w:color w:val="FF0000"/>
          <w:sz w:val="24"/>
          <w:szCs w:val="24"/>
          <w:lang w:eastAsia="en-GB"/>
        </w:rPr>
        <w:t>.</w:t>
      </w:r>
    </w:p>
    <w:p w14:paraId="03686D28" w14:textId="0C9F75F9"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presence of lead at these extraordinarily high concentrations renders all three maize varieties completely unsafe for human or animal consumption. Lead is one of the most thoroughly studied environmental toxicants, with no known safe level of exposure. Even very low blood lead levels, once considered acceptable, are now recognized to cause adverse health effects, particularly in children</w:t>
      </w:r>
      <w:r w:rsidR="00227901" w:rsidRPr="00593B4F">
        <w:rPr>
          <w:rFonts w:ascii="Times New Roman" w:eastAsia="Times New Roman" w:hAnsi="Times New Roman" w:cs="Times New Roman"/>
          <w:color w:val="FF0000"/>
          <w:sz w:val="24"/>
          <w:szCs w:val="24"/>
          <w:lang w:eastAsia="en-GB"/>
        </w:rPr>
        <w:t xml:space="preserve"> </w:t>
      </w:r>
      <w:r w:rsidR="00593B4F" w:rsidRPr="00593B4F">
        <w:rPr>
          <w:rFonts w:ascii="Times New Roman" w:eastAsia="Times New Roman" w:hAnsi="Times New Roman" w:cs="Times New Roman"/>
          <w:color w:val="FF0000"/>
          <w:sz w:val="24"/>
          <w:szCs w:val="24"/>
          <w:lang w:eastAsia="en-GB"/>
        </w:rPr>
        <w:t xml:space="preserve">[7]. </w:t>
      </w:r>
      <w:r w:rsidRPr="000420D9">
        <w:rPr>
          <w:rFonts w:ascii="Times New Roman" w:eastAsia="Times New Roman" w:hAnsi="Times New Roman" w:cs="Times New Roman"/>
          <w:sz w:val="24"/>
          <w:szCs w:val="24"/>
          <w:lang w:eastAsia="en-GB"/>
        </w:rPr>
        <w:t>The levels found in these maize samples would deliver lead doses far exceeding any conceivable safety limit.</w:t>
      </w:r>
    </w:p>
    <w:p w14:paraId="58304191" w14:textId="2C6257C8"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exerts toxic effects across virtually every organ system in the body, with the nervous system, kidneys, blood-forming system, and cardiovascular system being particularly vulnerable. In children, lead neurotoxicity causes reduced intelligence quotient, learning disabilities, attention deficit disorders, </w:t>
      </w:r>
      <w:r w:rsidR="007F6537" w:rsidRPr="000420D9">
        <w:rPr>
          <w:rFonts w:ascii="Times New Roman" w:eastAsia="Times New Roman" w:hAnsi="Times New Roman" w:cs="Times New Roman"/>
          <w:sz w:val="24"/>
          <w:szCs w:val="24"/>
          <w:lang w:eastAsia="en-GB"/>
        </w:rPr>
        <w:t>behavioural</w:t>
      </w:r>
      <w:r w:rsidRPr="000420D9">
        <w:rPr>
          <w:rFonts w:ascii="Times New Roman" w:eastAsia="Times New Roman" w:hAnsi="Times New Roman" w:cs="Times New Roman"/>
          <w:sz w:val="24"/>
          <w:szCs w:val="24"/>
          <w:lang w:eastAsia="en-GB"/>
        </w:rPr>
        <w:t xml:space="preserve"> problems, and impaired academic performance</w:t>
      </w:r>
      <w:r w:rsidR="00593B4F">
        <w:rPr>
          <w:rFonts w:ascii="Times New Roman" w:eastAsia="Times New Roman" w:hAnsi="Times New Roman" w:cs="Times New Roman"/>
          <w:sz w:val="24"/>
          <w:szCs w:val="24"/>
          <w:lang w:eastAsia="en-GB"/>
        </w:rPr>
        <w:t xml:space="preserve"> </w:t>
      </w:r>
      <w:r w:rsidR="00593B4F" w:rsidRPr="00593B4F">
        <w:rPr>
          <w:rFonts w:ascii="Times New Roman" w:eastAsia="Times New Roman" w:hAnsi="Times New Roman" w:cs="Times New Roman"/>
          <w:color w:val="FF0000"/>
          <w:sz w:val="24"/>
          <w:szCs w:val="24"/>
          <w:lang w:eastAsia="en-GB"/>
        </w:rPr>
        <w:t xml:space="preserve">[15]. </w:t>
      </w:r>
      <w:r w:rsidR="00227901" w:rsidRPr="00593B4F">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These neurodevelopmental effects can occur at blood lead levels once thought to be safe and are largely irreversible even after exposure cessation. Longitudinal studies have demonstrated that childhood lead exposure is associated with reduced educational attainment, lower income in adulthood, and increased risk of criminal behavior.</w:t>
      </w:r>
    </w:p>
    <w:p w14:paraId="4E503931" w14:textId="249A67D6"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adults, lead exposure contributes to hypertension and cardiovascular disease through multiple mechanisms including direct effects on vascular smooth muscle, interference with nitric oxide production, promotion of oxidative stress, and effects on the renin-angiotensin system. Chronic lead exposure is associated with increased risk of heart attack, stroke, and cardiovascular mortality. Lead nephrotoxicity initially presents as proximal tubular dysfunction but with continued exposure progresses to chronic interstitial nephritis, tubular atrophy, and chronic kidney disease that may eventually require dialysis</w:t>
      </w:r>
      <w:r w:rsidR="0000509B">
        <w:rPr>
          <w:rFonts w:ascii="Times New Roman" w:eastAsia="Times New Roman" w:hAnsi="Times New Roman" w:cs="Times New Roman"/>
          <w:sz w:val="24"/>
          <w:szCs w:val="24"/>
          <w:lang w:eastAsia="en-GB"/>
        </w:rPr>
        <w:t xml:space="preserve"> </w:t>
      </w:r>
      <w:r w:rsidR="0000509B" w:rsidRPr="0000509B">
        <w:rPr>
          <w:rFonts w:ascii="Times New Roman" w:eastAsia="Times New Roman" w:hAnsi="Times New Roman" w:cs="Times New Roman"/>
          <w:color w:val="FF0000"/>
          <w:sz w:val="24"/>
          <w:szCs w:val="24"/>
          <w:lang w:eastAsia="en-GB"/>
        </w:rPr>
        <w:t>[13]</w:t>
      </w:r>
      <w:r w:rsidRPr="0000509B">
        <w:rPr>
          <w:rFonts w:ascii="Times New Roman" w:eastAsia="Times New Roman" w:hAnsi="Times New Roman" w:cs="Times New Roman"/>
          <w:color w:val="FF0000"/>
          <w:sz w:val="24"/>
          <w:szCs w:val="24"/>
          <w:lang w:eastAsia="en-GB"/>
        </w:rPr>
        <w:t>.</w:t>
      </w:r>
    </w:p>
    <w:p w14:paraId="76AEDB66" w14:textId="4B54979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interferes with heme synthesis, causing </w:t>
      </w:r>
      <w:r w:rsidR="00E13747" w:rsidRPr="000420D9">
        <w:rPr>
          <w:rFonts w:ascii="Times New Roman" w:eastAsia="Times New Roman" w:hAnsi="Times New Roman" w:cs="Times New Roman"/>
          <w:sz w:val="24"/>
          <w:szCs w:val="24"/>
          <w:lang w:eastAsia="en-GB"/>
        </w:rPr>
        <w:t>anaemia</w:t>
      </w:r>
      <w:r w:rsidRPr="000420D9">
        <w:rPr>
          <w:rFonts w:ascii="Times New Roman" w:eastAsia="Times New Roman" w:hAnsi="Times New Roman" w:cs="Times New Roman"/>
          <w:sz w:val="24"/>
          <w:szCs w:val="24"/>
          <w:lang w:eastAsia="en-GB"/>
        </w:rPr>
        <w:t xml:space="preserve"> even at relatively low exposure levels. The metal inhibits several enzymes in the heme biosynthetic pathway, particularly </w:t>
      </w:r>
      <w:r w:rsidR="00E13747" w:rsidRPr="000420D9">
        <w:rPr>
          <w:rFonts w:ascii="Times New Roman" w:eastAsia="Times New Roman" w:hAnsi="Times New Roman" w:cs="Times New Roman"/>
          <w:sz w:val="24"/>
          <w:szCs w:val="24"/>
          <w:lang w:eastAsia="en-GB"/>
        </w:rPr>
        <w:t>aminolaevulinic</w:t>
      </w:r>
      <w:r w:rsidRPr="000420D9">
        <w:rPr>
          <w:rFonts w:ascii="Times New Roman" w:eastAsia="Times New Roman" w:hAnsi="Times New Roman" w:cs="Times New Roman"/>
          <w:sz w:val="24"/>
          <w:szCs w:val="24"/>
          <w:lang w:eastAsia="en-GB"/>
        </w:rPr>
        <w:t xml:space="preserve"> acid dehydratase and </w:t>
      </w:r>
      <w:r w:rsidR="00E13747" w:rsidRPr="000420D9">
        <w:rPr>
          <w:rFonts w:ascii="Times New Roman" w:eastAsia="Times New Roman" w:hAnsi="Times New Roman" w:cs="Times New Roman"/>
          <w:sz w:val="24"/>
          <w:szCs w:val="24"/>
          <w:lang w:eastAsia="en-GB"/>
        </w:rPr>
        <w:t>ferro chelatase</w:t>
      </w:r>
      <w:r w:rsidRPr="000420D9">
        <w:rPr>
          <w:rFonts w:ascii="Times New Roman" w:eastAsia="Times New Roman" w:hAnsi="Times New Roman" w:cs="Times New Roman"/>
          <w:sz w:val="24"/>
          <w:szCs w:val="24"/>
          <w:lang w:eastAsia="en-GB"/>
        </w:rPr>
        <w:t xml:space="preserve">. This results in accumulation of intermediate compounds and reduced hemoglobin production. Lead also shortens red blood cell lifespan, contributing further to </w:t>
      </w:r>
      <w:r w:rsidR="00E13747" w:rsidRPr="000420D9">
        <w:rPr>
          <w:rFonts w:ascii="Times New Roman" w:eastAsia="Times New Roman" w:hAnsi="Times New Roman" w:cs="Times New Roman"/>
          <w:sz w:val="24"/>
          <w:szCs w:val="24"/>
          <w:lang w:eastAsia="en-GB"/>
        </w:rPr>
        <w:t>anaemia</w:t>
      </w:r>
      <w:r w:rsidR="0000509B">
        <w:rPr>
          <w:rFonts w:ascii="Times New Roman" w:eastAsia="Times New Roman" w:hAnsi="Times New Roman" w:cs="Times New Roman"/>
          <w:sz w:val="24"/>
          <w:szCs w:val="24"/>
          <w:lang w:eastAsia="en-GB"/>
        </w:rPr>
        <w:t xml:space="preserve"> </w:t>
      </w:r>
      <w:r w:rsidR="0000509B" w:rsidRPr="0000509B">
        <w:rPr>
          <w:rFonts w:ascii="Times New Roman" w:eastAsia="Times New Roman" w:hAnsi="Times New Roman" w:cs="Times New Roman"/>
          <w:color w:val="FF0000"/>
          <w:sz w:val="24"/>
          <w:szCs w:val="24"/>
          <w:lang w:eastAsia="en-GB"/>
        </w:rPr>
        <w:t>[14].</w:t>
      </w:r>
      <w:r w:rsidR="00E13747" w:rsidRPr="0000509B">
        <w:rPr>
          <w:rFonts w:ascii="Times New Roman" w:eastAsia="Times New Roman" w:hAnsi="Times New Roman" w:cs="Times New Roman"/>
          <w:color w:val="FF0000"/>
          <w:sz w:val="24"/>
          <w:szCs w:val="24"/>
          <w:lang w:eastAsia="en-GB"/>
        </w:rPr>
        <w:t xml:space="preserve"> </w:t>
      </w:r>
    </w:p>
    <w:p w14:paraId="2D23C6A6" w14:textId="1EE20791"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reproductive toxicity of lead affects both males and females. In men, lead exposure reduces sperm count, impairs sperm motility, and alters sperm morphology. In women, lead interferes with normal reproductive function, increases risk of spontaneous abortion and stillbirth, and can cause premature delivery and low birth weight. Lead readily crosses the placenta, exposing the developing </w:t>
      </w:r>
      <w:r w:rsidR="00E13747" w:rsidRPr="000420D9">
        <w:rPr>
          <w:rFonts w:ascii="Times New Roman" w:eastAsia="Times New Roman" w:hAnsi="Times New Roman" w:cs="Times New Roman"/>
          <w:sz w:val="24"/>
          <w:szCs w:val="24"/>
          <w:lang w:eastAsia="en-GB"/>
        </w:rPr>
        <w:t>foetus</w:t>
      </w:r>
      <w:r w:rsidRPr="000420D9">
        <w:rPr>
          <w:rFonts w:ascii="Times New Roman" w:eastAsia="Times New Roman" w:hAnsi="Times New Roman" w:cs="Times New Roman"/>
          <w:sz w:val="24"/>
          <w:szCs w:val="24"/>
          <w:lang w:eastAsia="en-GB"/>
        </w:rPr>
        <w:t xml:space="preserve"> to its neurotoxic effects during the critical periods of brain development.</w:t>
      </w:r>
    </w:p>
    <w:p w14:paraId="5088AC0A" w14:textId="212F2C1C"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Lead is classified as a probable human carcinogen based on sufficient evidence in animal studies and limited evidence in humans. The metal damages DNA through generation of reactive oxygen species, interferes with DNA repair mechanisms, and disrupts normal cell </w:t>
      </w:r>
      <w:r w:rsidRPr="000420D9">
        <w:rPr>
          <w:rFonts w:ascii="Times New Roman" w:eastAsia="Times New Roman" w:hAnsi="Times New Roman" w:cs="Times New Roman"/>
          <w:sz w:val="24"/>
          <w:szCs w:val="24"/>
          <w:lang w:eastAsia="en-GB"/>
        </w:rPr>
        <w:lastRenderedPageBreak/>
        <w:t>cycle regulation. These carcinogenic mechanisms contribute to increased cancer risk with chronic exposure</w:t>
      </w:r>
      <w:r w:rsidR="0000509B">
        <w:rPr>
          <w:rFonts w:ascii="Times New Roman" w:eastAsia="Times New Roman" w:hAnsi="Times New Roman" w:cs="Times New Roman"/>
          <w:sz w:val="24"/>
          <w:szCs w:val="24"/>
          <w:lang w:eastAsia="en-GB"/>
        </w:rPr>
        <w:t xml:space="preserve"> </w:t>
      </w:r>
      <w:r w:rsidR="0000509B" w:rsidRPr="0000509B">
        <w:rPr>
          <w:rFonts w:ascii="Times New Roman" w:eastAsia="Times New Roman" w:hAnsi="Times New Roman" w:cs="Times New Roman"/>
          <w:color w:val="FF0000"/>
          <w:sz w:val="24"/>
          <w:szCs w:val="24"/>
          <w:lang w:eastAsia="en-GB"/>
        </w:rPr>
        <w:t>[13]</w:t>
      </w:r>
      <w:r w:rsidRPr="0000509B">
        <w:rPr>
          <w:rFonts w:ascii="Times New Roman" w:eastAsia="Times New Roman" w:hAnsi="Times New Roman" w:cs="Times New Roman"/>
          <w:color w:val="FF0000"/>
          <w:sz w:val="24"/>
          <w:szCs w:val="24"/>
          <w:lang w:eastAsia="en-GB"/>
        </w:rPr>
        <w:t>.</w:t>
      </w:r>
    </w:p>
    <w:p w14:paraId="263CDE64"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Given typical maize consumption patterns in Kenya, individuals consuming this contaminated maize would be exposed to lead doses posing severe health risks. For a person consuming 300 grams of maize daily with a lead content of 9 mg/g, the daily lead intake would be 2,700 milligrams, an astronomical amount compared to safe intake levels. The provisional tolerable weekly intake for lead, according to WHO, is 25 micrograms per kilogram body weight. For a 60-kilogram adult, this translates to 1,500 micrograms per week or about 214 micrograms per day. The exposure from contaminated maize would exceed this by more than 12,000-fold. Even children consuming smaller portions would receive lead doses causing serious health consequences.</w:t>
      </w:r>
    </w:p>
    <w:p w14:paraId="082C653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sources of such extreme lead contamination require urgent investigation. Possible pathways include use of contaminated irrigation water, atmospheric deposition from lead-emitting sources such as battery recycling facilities, lead smelting operations, or combustion of leaded fuel if still in use, contamination from lead-containing dust or residues in the agricultural environment, use of lead-contaminated fertilizers or soil amendments, and natural geological sources if the bedrock contains significant lead mineralization. The observation that lead levels are uniformly high across all three varieties and all sampling sites suggests a widespread environmental contamination issue affecting the entire study area rather than isolated contamination events.</w:t>
      </w:r>
    </w:p>
    <w:p w14:paraId="2A34B6DE" w14:textId="26C7141F" w:rsidR="000420D9" w:rsidRPr="00FC3EE3" w:rsidRDefault="00AE1D0B"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C3EE3">
        <w:rPr>
          <w:rFonts w:ascii="Times New Roman" w:eastAsia="Times New Roman" w:hAnsi="Times New Roman" w:cs="Times New Roman"/>
          <w:b/>
          <w:bCs/>
          <w:color w:val="FF0000"/>
          <w:sz w:val="24"/>
          <w:szCs w:val="24"/>
          <w:lang w:eastAsia="en-GB"/>
        </w:rPr>
        <w:t>3</w:t>
      </w:r>
      <w:r w:rsidR="0060177A" w:rsidRPr="00FC3EE3">
        <w:rPr>
          <w:rFonts w:ascii="Times New Roman" w:eastAsia="Times New Roman" w:hAnsi="Times New Roman" w:cs="Times New Roman"/>
          <w:b/>
          <w:bCs/>
          <w:color w:val="FF0000"/>
          <w:sz w:val="24"/>
          <w:szCs w:val="24"/>
          <w:lang w:eastAsia="en-GB"/>
        </w:rPr>
        <w:t xml:space="preserve">.3 </w:t>
      </w:r>
      <w:r w:rsidR="0060177A" w:rsidRPr="00FC3EE3">
        <w:rPr>
          <w:rFonts w:ascii="Times New Roman" w:eastAsia="Times New Roman" w:hAnsi="Times New Roman" w:cs="Times New Roman"/>
          <w:b/>
          <w:bCs/>
          <w:sz w:val="24"/>
          <w:szCs w:val="24"/>
          <w:lang w:eastAsia="en-GB"/>
        </w:rPr>
        <w:t xml:space="preserve">Comparison </w:t>
      </w:r>
      <w:r w:rsidR="00E04AFC" w:rsidRPr="00FC3EE3">
        <w:rPr>
          <w:rFonts w:ascii="Times New Roman" w:eastAsia="Times New Roman" w:hAnsi="Times New Roman" w:cs="Times New Roman"/>
          <w:b/>
          <w:bCs/>
          <w:color w:val="FF0000"/>
          <w:sz w:val="24"/>
          <w:szCs w:val="24"/>
          <w:lang w:eastAsia="en-GB"/>
        </w:rPr>
        <w:t xml:space="preserve">of heavy metals levels </w:t>
      </w:r>
      <w:r w:rsidR="0060177A" w:rsidRPr="00FC3EE3">
        <w:rPr>
          <w:rFonts w:ascii="Times New Roman" w:eastAsia="Times New Roman" w:hAnsi="Times New Roman" w:cs="Times New Roman"/>
          <w:b/>
          <w:bCs/>
          <w:color w:val="FF0000"/>
          <w:sz w:val="24"/>
          <w:szCs w:val="24"/>
          <w:lang w:eastAsia="en-GB"/>
        </w:rPr>
        <w:t>a</w:t>
      </w:r>
      <w:r w:rsidR="00ED3160" w:rsidRPr="00FC3EE3">
        <w:rPr>
          <w:rFonts w:ascii="Times New Roman" w:eastAsia="Times New Roman" w:hAnsi="Times New Roman" w:cs="Times New Roman"/>
          <w:b/>
          <w:bCs/>
          <w:color w:val="FF0000"/>
          <w:sz w:val="24"/>
          <w:szCs w:val="24"/>
          <w:lang w:eastAsia="en-GB"/>
        </w:rPr>
        <w:t>cross</w:t>
      </w:r>
      <w:r w:rsidR="000420D9" w:rsidRPr="00FC3EE3">
        <w:rPr>
          <w:rFonts w:ascii="Times New Roman" w:eastAsia="Times New Roman" w:hAnsi="Times New Roman" w:cs="Times New Roman"/>
          <w:b/>
          <w:bCs/>
          <w:color w:val="FF0000"/>
          <w:sz w:val="24"/>
          <w:szCs w:val="24"/>
          <w:lang w:eastAsia="en-GB"/>
        </w:rPr>
        <w:t xml:space="preserve"> </w:t>
      </w:r>
      <w:r w:rsidR="000420D9" w:rsidRPr="00FC3EE3">
        <w:rPr>
          <w:rFonts w:ascii="Times New Roman" w:eastAsia="Times New Roman" w:hAnsi="Times New Roman" w:cs="Times New Roman"/>
          <w:b/>
          <w:bCs/>
          <w:sz w:val="24"/>
          <w:szCs w:val="24"/>
          <w:lang w:eastAsia="en-GB"/>
        </w:rPr>
        <w:t>Maize Varieties</w:t>
      </w:r>
    </w:p>
    <w:p w14:paraId="43583718"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When comparing heavy metal accumulation patterns across the three maize varieties, several important observations emerge. SC Duma 43 hybrid showed the highest levels for lead, zinc, and copper, suggesting this variety may be somewhat more efficient at metal uptake and translocation to grains. SC Sungura 301 exhibited the highest levels of cadmium and manganese. The indigenous Kamba variety generally fell in the middle range for most metals except manganese, where it showed much lower accumulation than the two hybrid varieties.</w:t>
      </w:r>
    </w:p>
    <w:p w14:paraId="2A466265"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These varietal differences, while statistically significant in some cases, should not be overemphasized given that all three varieties showed unacceptable levels of lead and cadmium. The differences in uptake efficiency between varieties likely reflect genetic variations in root architecture, metal transporter expression, translocation mechanisms, and grain loading processes. Understanding these genetic factors could inform future breeding efforts aimed at developing maize varieties with reduced accumulation of toxic metals while maintaining or enhancing accumulation of essential micronutrients.</w:t>
      </w:r>
    </w:p>
    <w:p w14:paraId="69398BE3"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It is noteworthy that the modern hybrid varieties did not consistently show lower heavy metal accumulation compared to the traditional indigenous variety. This suggests that breeding programs that developed these hybrids focused primarily on yield and agronomic performance rather than mineral quality or food safety considerations. Future breeding efforts should incorporate screening for reduced toxic metal accumulation and enhanced essential mineral content to improve both safety and nutritional quality.</w:t>
      </w:r>
    </w:p>
    <w:p w14:paraId="5FB88371" w14:textId="739BED57" w:rsidR="000420D9" w:rsidRPr="00FC3EE3" w:rsidRDefault="00E04AFC"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C3EE3">
        <w:rPr>
          <w:rFonts w:ascii="Times New Roman" w:eastAsia="Times New Roman" w:hAnsi="Times New Roman" w:cs="Times New Roman"/>
          <w:b/>
          <w:bCs/>
          <w:color w:val="FF0000"/>
          <w:sz w:val="24"/>
          <w:szCs w:val="24"/>
          <w:lang w:eastAsia="en-GB"/>
        </w:rPr>
        <w:t>3</w:t>
      </w:r>
      <w:r w:rsidR="000420D9" w:rsidRPr="00FC3EE3">
        <w:rPr>
          <w:rFonts w:ascii="Times New Roman" w:eastAsia="Times New Roman" w:hAnsi="Times New Roman" w:cs="Times New Roman"/>
          <w:b/>
          <w:bCs/>
          <w:color w:val="FF0000"/>
          <w:sz w:val="24"/>
          <w:szCs w:val="24"/>
          <w:lang w:eastAsia="en-GB"/>
        </w:rPr>
        <w:t>.4</w:t>
      </w:r>
      <w:r w:rsidR="000564BA" w:rsidRPr="00FC3EE3">
        <w:rPr>
          <w:rFonts w:ascii="Times New Roman" w:eastAsia="Times New Roman" w:hAnsi="Times New Roman" w:cs="Times New Roman"/>
          <w:b/>
          <w:bCs/>
          <w:color w:val="FF0000"/>
          <w:sz w:val="24"/>
          <w:szCs w:val="24"/>
          <w:lang w:eastAsia="en-GB"/>
        </w:rPr>
        <w:t xml:space="preserve"> </w:t>
      </w:r>
      <w:r w:rsidR="000420D9" w:rsidRPr="00FC3EE3">
        <w:rPr>
          <w:rFonts w:ascii="Times New Roman" w:eastAsia="Times New Roman" w:hAnsi="Times New Roman" w:cs="Times New Roman"/>
          <w:b/>
          <w:bCs/>
          <w:sz w:val="24"/>
          <w:szCs w:val="24"/>
          <w:lang w:eastAsia="en-GB"/>
        </w:rPr>
        <w:t>Implications</w:t>
      </w:r>
      <w:r w:rsidR="00C06E5A" w:rsidRPr="00FC3EE3">
        <w:rPr>
          <w:rFonts w:ascii="Times New Roman" w:eastAsia="Times New Roman" w:hAnsi="Times New Roman" w:cs="Times New Roman"/>
          <w:b/>
          <w:bCs/>
          <w:sz w:val="24"/>
          <w:szCs w:val="24"/>
          <w:lang w:eastAsia="en-GB"/>
        </w:rPr>
        <w:t xml:space="preserve"> of </w:t>
      </w:r>
      <w:r w:rsidR="00C06E5A" w:rsidRPr="00FC3EE3">
        <w:rPr>
          <w:rFonts w:ascii="Times New Roman" w:eastAsia="Times New Roman" w:hAnsi="Times New Roman" w:cs="Times New Roman"/>
          <w:b/>
          <w:bCs/>
          <w:color w:val="FF0000"/>
          <w:sz w:val="24"/>
          <w:szCs w:val="24"/>
          <w:lang w:eastAsia="en-GB"/>
        </w:rPr>
        <w:t>heavy metal levels</w:t>
      </w:r>
      <w:r w:rsidR="000420D9" w:rsidRPr="00FC3EE3">
        <w:rPr>
          <w:rFonts w:ascii="Times New Roman" w:eastAsia="Times New Roman" w:hAnsi="Times New Roman" w:cs="Times New Roman"/>
          <w:b/>
          <w:bCs/>
          <w:sz w:val="24"/>
          <w:szCs w:val="24"/>
          <w:lang w:eastAsia="en-GB"/>
        </w:rPr>
        <w:t xml:space="preserve"> </w:t>
      </w:r>
      <w:r w:rsidR="000564BA" w:rsidRPr="00FC3EE3">
        <w:rPr>
          <w:rFonts w:ascii="Times New Roman" w:eastAsia="Times New Roman" w:hAnsi="Times New Roman" w:cs="Times New Roman"/>
          <w:b/>
          <w:bCs/>
          <w:color w:val="FF0000"/>
          <w:sz w:val="24"/>
          <w:szCs w:val="24"/>
          <w:lang w:eastAsia="en-GB"/>
        </w:rPr>
        <w:t>for</w:t>
      </w:r>
      <w:r w:rsidR="000420D9" w:rsidRPr="00FC3EE3">
        <w:rPr>
          <w:rFonts w:ascii="Times New Roman" w:eastAsia="Times New Roman" w:hAnsi="Times New Roman" w:cs="Times New Roman"/>
          <w:b/>
          <w:bCs/>
          <w:color w:val="FF0000"/>
          <w:sz w:val="24"/>
          <w:szCs w:val="24"/>
          <w:lang w:eastAsia="en-GB"/>
        </w:rPr>
        <w:t xml:space="preserve"> </w:t>
      </w:r>
      <w:r w:rsidR="000420D9" w:rsidRPr="00FC3EE3">
        <w:rPr>
          <w:rFonts w:ascii="Times New Roman" w:eastAsia="Times New Roman" w:hAnsi="Times New Roman" w:cs="Times New Roman"/>
          <w:b/>
          <w:bCs/>
          <w:sz w:val="24"/>
          <w:szCs w:val="24"/>
          <w:lang w:eastAsia="en-GB"/>
        </w:rPr>
        <w:t>Food Safety and Public Health</w:t>
      </w:r>
    </w:p>
    <w:p w14:paraId="4497692E" w14:textId="168AB56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The findings of this study reveal a serious food safety crisis in Masii </w:t>
      </w:r>
      <w:r w:rsidR="00E04AFC" w:rsidRPr="00E04AFC">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xml:space="preserve"> and potentially across broader areas of Machakos County. The maize varieties </w:t>
      </w:r>
      <w:r w:rsidR="007C13F1" w:rsidRPr="000420D9">
        <w:rPr>
          <w:rFonts w:ascii="Times New Roman" w:eastAsia="Times New Roman" w:hAnsi="Times New Roman" w:cs="Times New Roman"/>
          <w:sz w:val="24"/>
          <w:szCs w:val="24"/>
          <w:lang w:eastAsia="en-GB"/>
        </w:rPr>
        <w:t>analysed</w:t>
      </w:r>
      <w:r w:rsidRPr="000420D9">
        <w:rPr>
          <w:rFonts w:ascii="Times New Roman" w:eastAsia="Times New Roman" w:hAnsi="Times New Roman" w:cs="Times New Roman"/>
          <w:sz w:val="24"/>
          <w:szCs w:val="24"/>
          <w:lang w:eastAsia="en-GB"/>
        </w:rPr>
        <w:t>, which represent common types cultivated and consumed in the region, contain lead and cadmium at levels far exceeding international safety standards. Consumption of this contaminated maize poses immediate and long-term health risks to the population, particularly vulnerable groups including children, pregnant women, and individuals with pre-existing health conditions.</w:t>
      </w:r>
    </w:p>
    <w:p w14:paraId="7FAAEF76" w14:textId="26FC587B"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health implications are especially concerning given that maize serves as the primary staple food for most households in the study area. Unlike foods consumed occasionally or in small quantities, maize is eaten daily and forms the basis of multiple meals. This means that exposure to the heavy metal contamination is chronic, continuous, and at high doses. Over time, this chronic exposure will lead to progressive accumulation of cadmium and lead in body tissues, particularly kidneys, liver, and bones, eventually manifesting as clinical toxicity</w:t>
      </w:r>
      <w:r w:rsidR="00BD6EBA">
        <w:rPr>
          <w:rFonts w:ascii="Times New Roman" w:eastAsia="Times New Roman" w:hAnsi="Times New Roman" w:cs="Times New Roman"/>
          <w:sz w:val="24"/>
          <w:szCs w:val="24"/>
          <w:lang w:eastAsia="en-GB"/>
        </w:rPr>
        <w:t xml:space="preserve"> </w:t>
      </w:r>
      <w:r w:rsidR="00BD6EBA" w:rsidRPr="00BD6EBA">
        <w:rPr>
          <w:rFonts w:ascii="Times New Roman" w:eastAsia="Times New Roman" w:hAnsi="Times New Roman" w:cs="Times New Roman"/>
          <w:color w:val="FF0000"/>
          <w:sz w:val="24"/>
          <w:szCs w:val="24"/>
          <w:lang w:eastAsia="en-GB"/>
        </w:rPr>
        <w:t>[7]</w:t>
      </w:r>
      <w:r w:rsidRPr="00BD6EBA">
        <w:rPr>
          <w:rFonts w:ascii="Times New Roman" w:eastAsia="Times New Roman" w:hAnsi="Times New Roman" w:cs="Times New Roman"/>
          <w:color w:val="FF0000"/>
          <w:sz w:val="24"/>
          <w:szCs w:val="24"/>
          <w:lang w:eastAsia="en-GB"/>
        </w:rPr>
        <w:t>.</w:t>
      </w:r>
    </w:p>
    <w:p w14:paraId="5BB17555" w14:textId="14A7BFBB"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Children are especially vulnerable to heavy metal toxicity for several reasons. They absorb ingested metals more efficiently than adults, their developing nervous systems are more susceptible to neurotoxic effects, they have longer remaining lifespans for accumulated metals to cause damage, and they typically have higher food intake relative to body weight compared to adults. The neurodevelopmental effects of lead exposure in children can have lifelong consequences affecting educational achievement, economic productivity, and quality of life</w:t>
      </w:r>
      <w:r w:rsidR="00BD6EBA">
        <w:rPr>
          <w:rFonts w:ascii="Times New Roman" w:eastAsia="Times New Roman" w:hAnsi="Times New Roman" w:cs="Times New Roman"/>
          <w:sz w:val="24"/>
          <w:szCs w:val="24"/>
          <w:lang w:eastAsia="en-GB"/>
        </w:rPr>
        <w:t xml:space="preserve"> </w:t>
      </w:r>
      <w:r w:rsidR="00BD6EBA" w:rsidRPr="00BD6EBA">
        <w:rPr>
          <w:rFonts w:ascii="Times New Roman" w:eastAsia="Times New Roman" w:hAnsi="Times New Roman" w:cs="Times New Roman"/>
          <w:color w:val="FF0000"/>
          <w:sz w:val="24"/>
          <w:szCs w:val="24"/>
          <w:lang w:eastAsia="en-GB"/>
        </w:rPr>
        <w:t>[14]</w:t>
      </w:r>
      <w:r w:rsidRPr="00BD6EBA">
        <w:rPr>
          <w:rFonts w:ascii="Times New Roman" w:eastAsia="Times New Roman" w:hAnsi="Times New Roman" w:cs="Times New Roman"/>
          <w:color w:val="FF0000"/>
          <w:sz w:val="24"/>
          <w:szCs w:val="24"/>
          <w:lang w:eastAsia="en-GB"/>
        </w:rPr>
        <w:t>.</w:t>
      </w:r>
    </w:p>
    <w:p w14:paraId="41EF1445" w14:textId="55194030"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concurrent deficiency in essential micronutrients like zinc, copper, and manganese compounds the public health problem. Populations consuming this maize face a double burden of toxic metal exposure combined with micronutrient malnutrition. Zinc and copper deficiencies impair immune function, potentially increasing susceptibility to infectious diseases. Iron deficiency, if also present due to low iron content in the maize or lead-induced </w:t>
      </w:r>
      <w:r w:rsidR="007C13F1" w:rsidRPr="000420D9">
        <w:rPr>
          <w:rFonts w:ascii="Times New Roman" w:eastAsia="Times New Roman" w:hAnsi="Times New Roman" w:cs="Times New Roman"/>
          <w:sz w:val="24"/>
          <w:szCs w:val="24"/>
          <w:lang w:eastAsia="en-GB"/>
        </w:rPr>
        <w:t>anaemia</w:t>
      </w:r>
      <w:r w:rsidRPr="000420D9">
        <w:rPr>
          <w:rFonts w:ascii="Times New Roman" w:eastAsia="Times New Roman" w:hAnsi="Times New Roman" w:cs="Times New Roman"/>
          <w:sz w:val="24"/>
          <w:szCs w:val="24"/>
          <w:lang w:eastAsia="en-GB"/>
        </w:rPr>
        <w:t>, would further compromise health outcomes</w:t>
      </w:r>
      <w:r w:rsidR="00BD6EBA">
        <w:rPr>
          <w:rFonts w:ascii="Times New Roman" w:eastAsia="Times New Roman" w:hAnsi="Times New Roman" w:cs="Times New Roman"/>
          <w:sz w:val="24"/>
          <w:szCs w:val="24"/>
          <w:lang w:eastAsia="en-GB"/>
        </w:rPr>
        <w:t xml:space="preserve"> </w:t>
      </w:r>
      <w:r w:rsidR="00BD6EBA" w:rsidRPr="00BD6EBA">
        <w:rPr>
          <w:rFonts w:ascii="Times New Roman" w:eastAsia="Times New Roman" w:hAnsi="Times New Roman" w:cs="Times New Roman"/>
          <w:color w:val="FF0000"/>
          <w:sz w:val="24"/>
          <w:szCs w:val="24"/>
          <w:lang w:eastAsia="en-GB"/>
        </w:rPr>
        <w:t>[15]</w:t>
      </w:r>
      <w:r w:rsidRPr="00BD6EBA">
        <w:rPr>
          <w:rFonts w:ascii="Times New Roman" w:eastAsia="Times New Roman" w:hAnsi="Times New Roman" w:cs="Times New Roman"/>
          <w:color w:val="FF0000"/>
          <w:sz w:val="24"/>
          <w:szCs w:val="24"/>
          <w:lang w:eastAsia="en-GB"/>
        </w:rPr>
        <w:t>.</w:t>
      </w:r>
    </w:p>
    <w:p w14:paraId="0BE98578" w14:textId="61341CE0" w:rsidR="000420D9" w:rsidRPr="000420D9" w:rsidRDefault="00467858" w:rsidP="0038231D">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467858">
        <w:rPr>
          <w:rFonts w:ascii="Times New Roman" w:eastAsia="Times New Roman" w:hAnsi="Times New Roman" w:cs="Times New Roman"/>
          <w:b/>
          <w:bCs/>
          <w:color w:val="FF0000"/>
          <w:sz w:val="24"/>
          <w:szCs w:val="24"/>
          <w:lang w:eastAsia="en-GB"/>
        </w:rPr>
        <w:t>3.</w:t>
      </w:r>
      <w:r w:rsidR="000420D9" w:rsidRPr="00467858">
        <w:rPr>
          <w:rFonts w:ascii="Times New Roman" w:eastAsia="Times New Roman" w:hAnsi="Times New Roman" w:cs="Times New Roman"/>
          <w:b/>
          <w:bCs/>
          <w:color w:val="FF0000"/>
          <w:sz w:val="24"/>
          <w:szCs w:val="24"/>
          <w:lang w:eastAsia="en-GB"/>
        </w:rPr>
        <w:t xml:space="preserve">5 </w:t>
      </w:r>
      <w:r w:rsidR="000420D9" w:rsidRPr="000420D9">
        <w:rPr>
          <w:rFonts w:ascii="Times New Roman" w:eastAsia="Times New Roman" w:hAnsi="Times New Roman" w:cs="Times New Roman"/>
          <w:b/>
          <w:bCs/>
          <w:sz w:val="24"/>
          <w:szCs w:val="24"/>
          <w:lang w:eastAsia="en-GB"/>
        </w:rPr>
        <w:t>Potential Sources of Contamination</w:t>
      </w:r>
    </w:p>
    <w:p w14:paraId="18B1FD60" w14:textId="6385E0B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Identifying the sources of heavy metal contamination is essential for developing effective remediation strategies</w:t>
      </w:r>
      <w:r w:rsidR="00897A2A">
        <w:rPr>
          <w:rFonts w:ascii="Times New Roman" w:eastAsia="Times New Roman" w:hAnsi="Times New Roman" w:cs="Times New Roman"/>
          <w:sz w:val="24"/>
          <w:szCs w:val="24"/>
          <w:lang w:eastAsia="en-GB"/>
        </w:rPr>
        <w:t xml:space="preserve"> </w:t>
      </w:r>
      <w:r w:rsidR="00103A83" w:rsidRPr="00103A83">
        <w:rPr>
          <w:rFonts w:ascii="Times New Roman" w:eastAsia="Times New Roman" w:hAnsi="Times New Roman" w:cs="Times New Roman"/>
          <w:color w:val="FF0000"/>
          <w:sz w:val="24"/>
          <w:szCs w:val="24"/>
          <w:lang w:eastAsia="en-GB"/>
        </w:rPr>
        <w:t>[16</w:t>
      </w:r>
      <w:proofErr w:type="gramStart"/>
      <w:r w:rsidR="00103A83" w:rsidRPr="00103A83">
        <w:rPr>
          <w:rFonts w:ascii="Times New Roman" w:eastAsia="Times New Roman" w:hAnsi="Times New Roman" w:cs="Times New Roman"/>
          <w:color w:val="FF0000"/>
          <w:sz w:val="24"/>
          <w:szCs w:val="24"/>
          <w:lang w:eastAsia="en-GB"/>
        </w:rPr>
        <w:t>].</w:t>
      </w:r>
      <w:r w:rsidRPr="00103A83">
        <w:rPr>
          <w:rFonts w:ascii="Times New Roman" w:eastAsia="Times New Roman" w:hAnsi="Times New Roman" w:cs="Times New Roman"/>
          <w:color w:val="FF0000"/>
          <w:sz w:val="24"/>
          <w:szCs w:val="24"/>
          <w:lang w:eastAsia="en-GB"/>
        </w:rPr>
        <w:t>.</w:t>
      </w:r>
      <w:proofErr w:type="gramEnd"/>
      <w:r w:rsidRPr="00103A83">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The uniformly high levels of lead and cadmium across all three varieties and all sampling locations suggest widespread environmental contamination rather than variety-specific or site-specific issues.</w:t>
      </w:r>
    </w:p>
    <w:p w14:paraId="7F5208DD" w14:textId="2F8534B1"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Potential agricultural sources include long-term use of phosphate fertilizers that may contain cadmium as a natural contaminant derived from phosphate rock deposits, application of contaminated organic amendments such as manure from animals exposed to contaminated feed, use of pesticides containing metallic compounds, and irrigation with water contaminated by upstream industrial discharges or urban runoff</w:t>
      </w:r>
      <w:r w:rsidR="00103A83">
        <w:rPr>
          <w:rFonts w:ascii="Times New Roman" w:eastAsia="Times New Roman" w:hAnsi="Times New Roman" w:cs="Times New Roman"/>
          <w:sz w:val="24"/>
          <w:szCs w:val="24"/>
          <w:lang w:eastAsia="en-GB"/>
        </w:rPr>
        <w:t xml:space="preserve"> </w:t>
      </w:r>
      <w:r w:rsidR="00103A83" w:rsidRPr="00103A83">
        <w:rPr>
          <w:rFonts w:ascii="Times New Roman" w:eastAsia="Times New Roman" w:hAnsi="Times New Roman" w:cs="Times New Roman"/>
          <w:color w:val="FF0000"/>
          <w:sz w:val="24"/>
          <w:szCs w:val="24"/>
          <w:lang w:eastAsia="en-GB"/>
        </w:rPr>
        <w:t>[17]</w:t>
      </w:r>
      <w:r w:rsidRPr="00103A83">
        <w:rPr>
          <w:rFonts w:ascii="Times New Roman" w:eastAsia="Times New Roman" w:hAnsi="Times New Roman" w:cs="Times New Roman"/>
          <w:color w:val="FF0000"/>
          <w:sz w:val="24"/>
          <w:szCs w:val="24"/>
          <w:lang w:eastAsia="en-GB"/>
        </w:rPr>
        <w:t xml:space="preserve">. </w:t>
      </w:r>
      <w:r w:rsidRPr="000420D9">
        <w:rPr>
          <w:rFonts w:ascii="Times New Roman" w:eastAsia="Times New Roman" w:hAnsi="Times New Roman" w:cs="Times New Roman"/>
          <w:sz w:val="24"/>
          <w:szCs w:val="24"/>
          <w:lang w:eastAsia="en-GB"/>
        </w:rPr>
        <w:t xml:space="preserve">The study area's proximity to urban </w:t>
      </w:r>
      <w:r w:rsidR="00897A2A" w:rsidRPr="000420D9">
        <w:rPr>
          <w:rFonts w:ascii="Times New Roman" w:eastAsia="Times New Roman" w:hAnsi="Times New Roman" w:cs="Times New Roman"/>
          <w:sz w:val="24"/>
          <w:szCs w:val="24"/>
          <w:lang w:eastAsia="en-GB"/>
        </w:rPr>
        <w:t>centres</w:t>
      </w:r>
      <w:r w:rsidRPr="000420D9">
        <w:rPr>
          <w:rFonts w:ascii="Times New Roman" w:eastAsia="Times New Roman" w:hAnsi="Times New Roman" w:cs="Times New Roman"/>
          <w:sz w:val="24"/>
          <w:szCs w:val="24"/>
          <w:lang w:eastAsia="en-GB"/>
        </w:rPr>
        <w:t xml:space="preserve"> and potential industrial activities could contribute atmospheric deposition of lead and other metals.</w:t>
      </w:r>
    </w:p>
    <w:p w14:paraId="092B00F2" w14:textId="01FE3C8A"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Soil contamination could also arise from historical use of leaded gasoline, if the area is near major roads where decades of vehicle emissions deposited lead, improper disposal or burning of lead-containing materials such as batteries, electronic waste, or painted materials, mining or quarrying activities that disturb lead-bearing geological formations, and natural geological sources if bedrock or parent soil materials contain elevated lead concentrations</w:t>
      </w:r>
      <w:r w:rsidR="00103A83">
        <w:rPr>
          <w:rFonts w:ascii="Times New Roman" w:eastAsia="Times New Roman" w:hAnsi="Times New Roman" w:cs="Times New Roman"/>
          <w:sz w:val="24"/>
          <w:szCs w:val="24"/>
          <w:lang w:eastAsia="en-GB"/>
        </w:rPr>
        <w:t xml:space="preserve"> </w:t>
      </w:r>
      <w:r w:rsidR="00103A83" w:rsidRPr="00103A83">
        <w:rPr>
          <w:rFonts w:ascii="Times New Roman" w:eastAsia="Times New Roman" w:hAnsi="Times New Roman" w:cs="Times New Roman"/>
          <w:color w:val="FF0000"/>
          <w:sz w:val="24"/>
          <w:szCs w:val="24"/>
          <w:lang w:eastAsia="en-GB"/>
        </w:rPr>
        <w:t>[1</w:t>
      </w:r>
      <w:r w:rsidR="00AC0931">
        <w:rPr>
          <w:rFonts w:ascii="Times New Roman" w:eastAsia="Times New Roman" w:hAnsi="Times New Roman" w:cs="Times New Roman"/>
          <w:color w:val="FF0000"/>
          <w:sz w:val="24"/>
          <w:szCs w:val="24"/>
          <w:lang w:eastAsia="en-GB"/>
        </w:rPr>
        <w:t>8</w:t>
      </w:r>
      <w:r w:rsidR="00103A83" w:rsidRPr="00103A83">
        <w:rPr>
          <w:rFonts w:ascii="Times New Roman" w:eastAsia="Times New Roman" w:hAnsi="Times New Roman" w:cs="Times New Roman"/>
          <w:color w:val="FF0000"/>
          <w:sz w:val="24"/>
          <w:szCs w:val="24"/>
          <w:lang w:eastAsia="en-GB"/>
        </w:rPr>
        <w:t>].</w:t>
      </w:r>
    </w:p>
    <w:p w14:paraId="51D004BA" w14:textId="7621EB53" w:rsid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Distinguishing among these potential sources requires additional investigation including analysis of agricultural inputs used by farmers to test for metal contamination, testing of irrigation water sources for heavy metal content, analysis of soil samples from the farms to determine total metal content and bioavailable fractions, investigation of potential industrial or mining activities in the region that could release metals, and consultation with farmers about historical land use practices and inputs applied over time.</w:t>
      </w:r>
    </w:p>
    <w:p w14:paraId="0E4DD8E0" w14:textId="637C7F94" w:rsidR="00E41A51" w:rsidRPr="00467858" w:rsidRDefault="00467858" w:rsidP="0038231D">
      <w:pPr>
        <w:spacing w:before="100" w:beforeAutospacing="1" w:after="100" w:afterAutospacing="1" w:line="240" w:lineRule="auto"/>
        <w:jc w:val="both"/>
        <w:rPr>
          <w:rFonts w:ascii="Times New Roman" w:eastAsia="Times New Roman" w:hAnsi="Times New Roman" w:cs="Times New Roman"/>
          <w:b/>
          <w:color w:val="FF0000"/>
          <w:sz w:val="24"/>
          <w:szCs w:val="24"/>
          <w:lang w:eastAsia="en-GB"/>
        </w:rPr>
      </w:pPr>
      <w:r w:rsidRPr="00467858">
        <w:rPr>
          <w:rFonts w:ascii="Times New Roman" w:eastAsia="Times New Roman" w:hAnsi="Times New Roman" w:cs="Times New Roman"/>
          <w:b/>
          <w:color w:val="FF0000"/>
          <w:sz w:val="24"/>
          <w:szCs w:val="24"/>
          <w:lang w:eastAsia="en-GB"/>
        </w:rPr>
        <w:t>3.6</w:t>
      </w:r>
      <w:r w:rsidR="00E41A51" w:rsidRPr="00467858">
        <w:rPr>
          <w:rFonts w:ascii="Times New Roman" w:eastAsia="Times New Roman" w:hAnsi="Times New Roman" w:cs="Times New Roman"/>
          <w:b/>
          <w:color w:val="FF0000"/>
          <w:sz w:val="24"/>
          <w:szCs w:val="24"/>
          <w:lang w:eastAsia="en-GB"/>
        </w:rPr>
        <w:t xml:space="preserve"> Studies </w:t>
      </w:r>
      <w:r w:rsidRPr="00467858">
        <w:rPr>
          <w:rFonts w:ascii="Times New Roman" w:eastAsia="Times New Roman" w:hAnsi="Times New Roman" w:cs="Times New Roman"/>
          <w:b/>
          <w:color w:val="FF0000"/>
          <w:sz w:val="24"/>
          <w:szCs w:val="24"/>
          <w:lang w:eastAsia="en-GB"/>
        </w:rPr>
        <w:t>Conducted in</w:t>
      </w:r>
      <w:r w:rsidR="00E41A51" w:rsidRPr="00467858">
        <w:rPr>
          <w:rFonts w:ascii="Times New Roman" w:eastAsia="Times New Roman" w:hAnsi="Times New Roman" w:cs="Times New Roman"/>
          <w:b/>
          <w:color w:val="FF0000"/>
          <w:sz w:val="24"/>
          <w:szCs w:val="24"/>
          <w:lang w:eastAsia="en-GB"/>
        </w:rPr>
        <w:t xml:space="preserve"> Kenya and other Countries</w:t>
      </w:r>
    </w:p>
    <w:p w14:paraId="6F462C03" w14:textId="306E5FE4" w:rsidR="00E41A51" w:rsidRPr="00467858" w:rsidRDefault="00E41A51" w:rsidP="00E41A51">
      <w:pPr>
        <w:jc w:val="both"/>
        <w:rPr>
          <w:rFonts w:ascii="Times New Roman" w:hAnsi="Times New Roman" w:cs="Times New Roman"/>
          <w:sz w:val="24"/>
          <w:szCs w:val="24"/>
          <w:lang w:val="en-US"/>
        </w:rPr>
      </w:pPr>
      <w:r w:rsidRPr="00467858">
        <w:rPr>
          <w:rFonts w:ascii="Times New Roman" w:hAnsi="Times New Roman" w:cs="Times New Roman"/>
          <w:sz w:val="24"/>
          <w:szCs w:val="24"/>
          <w:lang w:val="en-US"/>
        </w:rPr>
        <w:t xml:space="preserve">Studies in Kenya, Nigeria and Ghana reveal levels of heavy metal in maize grain is a worry to the consumer </w:t>
      </w:r>
      <w:r w:rsidR="00F718DE">
        <w:rPr>
          <w:rFonts w:ascii="Times New Roman" w:hAnsi="Times New Roman" w:cs="Times New Roman"/>
          <w:sz w:val="24"/>
          <w:szCs w:val="24"/>
          <w:lang w:val="en-US"/>
        </w:rPr>
        <w:t>[</w:t>
      </w:r>
      <w:r w:rsidR="00F718DE" w:rsidRPr="00BD6F93">
        <w:rPr>
          <w:rFonts w:ascii="Times New Roman" w:hAnsi="Times New Roman" w:cs="Times New Roman"/>
          <w:color w:val="FF0000"/>
          <w:sz w:val="24"/>
          <w:szCs w:val="24"/>
          <w:lang w:val="en-US"/>
        </w:rPr>
        <w:t>19</w:t>
      </w:r>
      <w:r w:rsidRPr="00BD6F93">
        <w:rPr>
          <w:rFonts w:ascii="Times New Roman" w:hAnsi="Times New Roman" w:cs="Times New Roman"/>
          <w:color w:val="FF0000"/>
          <w:sz w:val="24"/>
          <w:szCs w:val="24"/>
          <w:lang w:val="en-US"/>
        </w:rPr>
        <w:t xml:space="preserve">, </w:t>
      </w:r>
      <w:r w:rsidR="00F718DE" w:rsidRPr="00BD6F93">
        <w:rPr>
          <w:rFonts w:ascii="Times New Roman" w:hAnsi="Times New Roman" w:cs="Times New Roman"/>
          <w:color w:val="FF0000"/>
          <w:sz w:val="24"/>
          <w:szCs w:val="24"/>
          <w:lang w:val="en-US"/>
        </w:rPr>
        <w:t>20,</w:t>
      </w:r>
      <w:r w:rsidRPr="00BD6F93">
        <w:rPr>
          <w:rFonts w:ascii="Times New Roman" w:hAnsi="Times New Roman" w:cs="Times New Roman"/>
          <w:color w:val="FF0000"/>
          <w:sz w:val="24"/>
          <w:szCs w:val="24"/>
          <w:lang w:val="en-US"/>
        </w:rPr>
        <w:t xml:space="preserve"> </w:t>
      </w:r>
      <w:r w:rsidR="00F718DE" w:rsidRPr="00BD6F93">
        <w:rPr>
          <w:rFonts w:ascii="Times New Roman" w:hAnsi="Times New Roman" w:cs="Times New Roman"/>
          <w:color w:val="FF0000"/>
          <w:sz w:val="24"/>
          <w:szCs w:val="24"/>
          <w:lang w:val="en-US"/>
        </w:rPr>
        <w:t>21</w:t>
      </w:r>
      <w:r w:rsidR="00F718DE">
        <w:rPr>
          <w:rFonts w:ascii="Times New Roman" w:hAnsi="Times New Roman" w:cs="Times New Roman"/>
          <w:sz w:val="24"/>
          <w:szCs w:val="24"/>
          <w:lang w:val="en-US"/>
        </w:rPr>
        <w:t>]</w:t>
      </w:r>
      <w:r w:rsidRPr="00467858">
        <w:rPr>
          <w:rFonts w:ascii="Times New Roman" w:hAnsi="Times New Roman" w:cs="Times New Roman"/>
          <w:sz w:val="24"/>
          <w:szCs w:val="24"/>
          <w:lang w:val="en-US"/>
        </w:rPr>
        <w:t xml:space="preserve">. Levels of heavy metals in maize grains from different ecological zones in Uasin Gishu County, Kenya had mean concentration of Zn 0.122, Cd 0.03, Cu 0.111, Co 0.04 and Pb 0.33 mg/kg. These results were below WHO standards except for cadmium, cobalt and lead which were slightly higher than recommended standard. The study also found that maize leaves had mean concentration of Zn 0.115, Cd 0.04, Cu 0.117, Co 0.041 and Pb 0.323 mg/kg. These results were below WHO standards. The analytical results from this study provided important baseline statistics on the concentration of selected heavy metals in maize grains and leaves besides being an important assessment of environmental pollution in rural areas where maize farming is predominant </w:t>
      </w:r>
      <w:r w:rsidRPr="00BD6F93">
        <w:rPr>
          <w:rFonts w:ascii="Times New Roman" w:hAnsi="Times New Roman" w:cs="Times New Roman"/>
          <w:color w:val="FF0000"/>
          <w:sz w:val="24"/>
          <w:szCs w:val="24"/>
          <w:lang w:val="en-US"/>
        </w:rPr>
        <w:t>[</w:t>
      </w:r>
      <w:r w:rsidR="00F718DE" w:rsidRPr="00BD6F93">
        <w:rPr>
          <w:rFonts w:ascii="Times New Roman" w:hAnsi="Times New Roman" w:cs="Times New Roman"/>
          <w:color w:val="FF0000"/>
          <w:sz w:val="24"/>
          <w:szCs w:val="24"/>
          <w:lang w:val="en-US"/>
        </w:rPr>
        <w:t>19</w:t>
      </w:r>
      <w:r w:rsidRPr="00BD6F93">
        <w:rPr>
          <w:rFonts w:ascii="Times New Roman" w:hAnsi="Times New Roman" w:cs="Times New Roman"/>
          <w:color w:val="FF0000"/>
          <w:sz w:val="24"/>
          <w:szCs w:val="24"/>
          <w:lang w:val="en-US"/>
        </w:rPr>
        <w:t>].</w:t>
      </w:r>
    </w:p>
    <w:p w14:paraId="721373A3" w14:textId="7F33FF31" w:rsidR="00E41A51" w:rsidRPr="00467858" w:rsidRDefault="00E41A51" w:rsidP="00E41A51">
      <w:pPr>
        <w:jc w:val="both"/>
        <w:rPr>
          <w:rFonts w:ascii="Times New Roman" w:hAnsi="Times New Roman" w:cs="Times New Roman"/>
          <w:sz w:val="24"/>
          <w:szCs w:val="24"/>
          <w:lang w:val="en-US"/>
        </w:rPr>
      </w:pPr>
      <w:r w:rsidRPr="00467858">
        <w:rPr>
          <w:rFonts w:ascii="Times New Roman" w:hAnsi="Times New Roman" w:cs="Times New Roman"/>
          <w:sz w:val="24"/>
          <w:szCs w:val="24"/>
          <w:lang w:val="en-US"/>
        </w:rPr>
        <w:t xml:space="preserve">A study was carried out to investigate the effect of industrial pollution </w:t>
      </w:r>
      <w:r w:rsidR="00760458">
        <w:rPr>
          <w:rFonts w:ascii="Times New Roman" w:hAnsi="Times New Roman" w:cs="Times New Roman"/>
          <w:sz w:val="24"/>
          <w:szCs w:val="24"/>
          <w:lang w:val="en-US"/>
        </w:rPr>
        <w:t>that</w:t>
      </w:r>
      <w:r w:rsidR="00760458" w:rsidRPr="00467858">
        <w:rPr>
          <w:rFonts w:ascii="Times New Roman" w:hAnsi="Times New Roman" w:cs="Times New Roman"/>
          <w:sz w:val="24"/>
          <w:szCs w:val="24"/>
          <w:lang w:val="en-US"/>
        </w:rPr>
        <w:t xml:space="preserve"> affected</w:t>
      </w:r>
      <w:r w:rsidRPr="00467858">
        <w:rPr>
          <w:rFonts w:ascii="Times New Roman" w:hAnsi="Times New Roman" w:cs="Times New Roman"/>
          <w:sz w:val="24"/>
          <w:szCs w:val="24"/>
          <w:lang w:val="en-US"/>
        </w:rPr>
        <w:t xml:space="preserve"> the metal concentration flared into the atmosphere, washed down by rain and absorbed by maize cultivated in industrial areas of Ogun State in Nigeria. Th</w:t>
      </w:r>
      <w:r w:rsidR="00760458">
        <w:rPr>
          <w:rFonts w:ascii="Times New Roman" w:hAnsi="Times New Roman" w:cs="Times New Roman"/>
          <w:sz w:val="24"/>
          <w:szCs w:val="24"/>
          <w:lang w:val="en-US"/>
        </w:rPr>
        <w:t>e metal levels</w:t>
      </w:r>
      <w:r w:rsidRPr="00467858">
        <w:rPr>
          <w:rFonts w:ascii="Times New Roman" w:hAnsi="Times New Roman" w:cs="Times New Roman"/>
          <w:sz w:val="24"/>
          <w:szCs w:val="24"/>
          <w:lang w:val="en-US"/>
        </w:rPr>
        <w:t xml:space="preserve"> w</w:t>
      </w:r>
      <w:r w:rsidR="00760458">
        <w:rPr>
          <w:rFonts w:ascii="Times New Roman" w:hAnsi="Times New Roman" w:cs="Times New Roman"/>
          <w:sz w:val="24"/>
          <w:szCs w:val="24"/>
          <w:lang w:val="en-US"/>
        </w:rPr>
        <w:t>ere</w:t>
      </w:r>
      <w:r w:rsidRPr="00467858">
        <w:rPr>
          <w:rFonts w:ascii="Times New Roman" w:hAnsi="Times New Roman" w:cs="Times New Roman"/>
          <w:sz w:val="24"/>
          <w:szCs w:val="24"/>
          <w:lang w:val="en-US"/>
        </w:rPr>
        <w:t xml:space="preserve"> suspected to have</w:t>
      </w:r>
      <w:r w:rsidR="00760458">
        <w:rPr>
          <w:rFonts w:ascii="Times New Roman" w:hAnsi="Times New Roman" w:cs="Times New Roman"/>
          <w:sz w:val="24"/>
          <w:szCs w:val="24"/>
          <w:lang w:val="en-US"/>
        </w:rPr>
        <w:t xml:space="preserve"> </w:t>
      </w:r>
      <w:r w:rsidRPr="00467858">
        <w:rPr>
          <w:rFonts w:ascii="Times New Roman" w:hAnsi="Times New Roman" w:cs="Times New Roman"/>
          <w:sz w:val="24"/>
          <w:szCs w:val="24"/>
          <w:lang w:val="en-US"/>
        </w:rPr>
        <w:t xml:space="preserve">effects on food safety. The </w:t>
      </w:r>
      <w:r w:rsidR="00760458">
        <w:rPr>
          <w:rFonts w:ascii="Times New Roman" w:hAnsi="Times New Roman" w:cs="Times New Roman"/>
          <w:sz w:val="24"/>
          <w:szCs w:val="24"/>
          <w:lang w:val="en-US"/>
        </w:rPr>
        <w:t xml:space="preserve">metal levels of </w:t>
      </w:r>
      <w:r w:rsidRPr="00467858">
        <w:rPr>
          <w:rFonts w:ascii="Times New Roman" w:hAnsi="Times New Roman" w:cs="Times New Roman"/>
          <w:sz w:val="24"/>
          <w:szCs w:val="24"/>
          <w:lang w:val="en-US"/>
        </w:rPr>
        <w:t xml:space="preserve">Fe, Cu, Mg, Ni, Pb, and Co in maize ranged </w:t>
      </w:r>
      <w:r w:rsidR="00760458">
        <w:rPr>
          <w:rFonts w:ascii="Times New Roman" w:hAnsi="Times New Roman" w:cs="Times New Roman"/>
          <w:sz w:val="24"/>
          <w:szCs w:val="24"/>
          <w:lang w:val="en-US"/>
        </w:rPr>
        <w:t>for</w:t>
      </w:r>
      <w:r w:rsidRPr="00467858">
        <w:rPr>
          <w:rFonts w:ascii="Times New Roman" w:hAnsi="Times New Roman" w:cs="Times New Roman"/>
          <w:sz w:val="24"/>
          <w:szCs w:val="24"/>
          <w:lang w:val="en-US"/>
        </w:rPr>
        <w:t xml:space="preserve"> Fe 28.5-59.5 mg/kg, Cu 2-10.7 mg/kg, Mg 248.3-321 mg/kg, Ni 1.8-4.775 mg/kg, Pb 62.5-150 mg/kg, and Co 1.2-10.2 mg/kg. Some of the metals including Ni in Ewekoro, Pb in Sango</w:t>
      </w:r>
      <w:r w:rsidR="00760458">
        <w:rPr>
          <w:rFonts w:ascii="Times New Roman" w:hAnsi="Times New Roman" w:cs="Times New Roman"/>
          <w:sz w:val="24"/>
          <w:szCs w:val="24"/>
          <w:lang w:val="en-US"/>
        </w:rPr>
        <w:t xml:space="preserve"> </w:t>
      </w:r>
      <w:r w:rsidR="00270090">
        <w:rPr>
          <w:rFonts w:ascii="Times New Roman" w:hAnsi="Times New Roman" w:cs="Times New Roman"/>
          <w:sz w:val="24"/>
          <w:szCs w:val="24"/>
          <w:lang w:val="en-US"/>
        </w:rPr>
        <w:t>regions</w:t>
      </w:r>
      <w:r w:rsidRPr="00467858">
        <w:rPr>
          <w:rFonts w:ascii="Times New Roman" w:hAnsi="Times New Roman" w:cs="Times New Roman"/>
          <w:sz w:val="24"/>
          <w:szCs w:val="24"/>
          <w:lang w:val="en-US"/>
        </w:rPr>
        <w:t xml:space="preserve">, exceeded the recommended limits set by WHO/FAO. The results showed that the high concentration of certain heavy metals in maize revealed the levels of food insecurity and this called for public concern </w:t>
      </w:r>
      <w:r w:rsidRPr="00BD6F93">
        <w:rPr>
          <w:rFonts w:ascii="Times New Roman" w:hAnsi="Times New Roman" w:cs="Times New Roman"/>
          <w:color w:val="FF0000"/>
          <w:sz w:val="24"/>
          <w:szCs w:val="24"/>
          <w:lang w:val="en-US"/>
        </w:rPr>
        <w:t>[</w:t>
      </w:r>
      <w:r w:rsidR="00270090" w:rsidRPr="00BD6F93">
        <w:rPr>
          <w:rFonts w:ascii="Times New Roman" w:hAnsi="Times New Roman" w:cs="Times New Roman"/>
          <w:color w:val="FF0000"/>
          <w:sz w:val="24"/>
          <w:szCs w:val="24"/>
          <w:lang w:val="en-US"/>
        </w:rPr>
        <w:t>20</w:t>
      </w:r>
      <w:r w:rsidRPr="00BD6F93">
        <w:rPr>
          <w:rFonts w:ascii="Times New Roman" w:hAnsi="Times New Roman" w:cs="Times New Roman"/>
          <w:color w:val="FF0000"/>
          <w:sz w:val="24"/>
          <w:szCs w:val="24"/>
          <w:lang w:val="en-US"/>
        </w:rPr>
        <w:t>].</w:t>
      </w:r>
    </w:p>
    <w:p w14:paraId="6F481A7D" w14:textId="31A16D89" w:rsidR="00E41A51" w:rsidRPr="00467858" w:rsidRDefault="00E41A51" w:rsidP="00E41A51">
      <w:pPr>
        <w:jc w:val="both"/>
        <w:rPr>
          <w:rFonts w:ascii="Times New Roman" w:hAnsi="Times New Roman" w:cs="Times New Roman"/>
          <w:color w:val="1B1B1B"/>
          <w:sz w:val="24"/>
          <w:szCs w:val="24"/>
          <w:shd w:val="clear" w:color="auto" w:fill="FFFFFF"/>
          <w:lang w:val="en-US"/>
        </w:rPr>
      </w:pPr>
      <w:r w:rsidRPr="00467858">
        <w:rPr>
          <w:rFonts w:ascii="Times New Roman" w:hAnsi="Times New Roman" w:cs="Times New Roman"/>
          <w:color w:val="1B1B1B"/>
          <w:sz w:val="24"/>
          <w:szCs w:val="24"/>
          <w:shd w:val="clear" w:color="auto" w:fill="FFFFFF"/>
          <w:lang w:val="en-US"/>
        </w:rPr>
        <w:t xml:space="preserve">Another study conducted from 10 communities in the Tolon District, northern region of Ghana, quantified the levels and measured the health risks of selected heavy metals in children and adults for Fe, Zn, Pb, Mn, Cr, Ni in milled maize and millet samples. In milled maize samples </w:t>
      </w:r>
      <w:r w:rsidR="00270090" w:rsidRPr="00467858">
        <w:rPr>
          <w:rFonts w:ascii="Times New Roman" w:hAnsi="Times New Roman" w:cs="Times New Roman"/>
          <w:color w:val="1B1B1B"/>
          <w:sz w:val="24"/>
          <w:szCs w:val="24"/>
          <w:shd w:val="clear" w:color="auto" w:fill="FFFFFF"/>
          <w:lang w:val="en-US"/>
        </w:rPr>
        <w:t xml:space="preserve">Fe </w:t>
      </w:r>
      <w:r w:rsidR="00270090">
        <w:rPr>
          <w:rFonts w:ascii="Times New Roman" w:hAnsi="Times New Roman" w:cs="Times New Roman"/>
          <w:color w:val="1B1B1B"/>
          <w:sz w:val="24"/>
          <w:szCs w:val="24"/>
          <w:shd w:val="clear" w:color="auto" w:fill="FFFFFF"/>
          <w:lang w:val="en-US"/>
        </w:rPr>
        <w:t xml:space="preserve">levels were </w:t>
      </w:r>
      <w:r w:rsidRPr="00467858">
        <w:rPr>
          <w:rFonts w:ascii="Times New Roman" w:hAnsi="Times New Roman" w:cs="Times New Roman"/>
          <w:color w:val="1B1B1B"/>
          <w:sz w:val="24"/>
          <w:szCs w:val="24"/>
          <w:shd w:val="clear" w:color="auto" w:fill="FFFFFF"/>
          <w:lang w:val="en-US"/>
        </w:rPr>
        <w:t>1.3392 ± 0.4341 mg/kg, Ni 0.9502 ± 0.2696 mg/kg, Pb 2.2177 ± 0.0534mg/kg, Cr 0.4359 ± 0.3574 mg/kg, Zn 0.6809 ± 0.0534 mg/kg, and Mn 0.3550 ± 0.1042 mg/kg. Milled millet samples recorded mean concentration of metals as Fe 1.9467 ± 1.0597 mg/kg, Ni 0.9520 ± 0.1218 mg/kg, Pb 2.2780 ± 0.0221 mg/kg, Cr 0.3421 ± 0.1498 mg/kg, Zn 0.8540 ± 0.1139 mg/kg, and Mn 0.4241± 0.0859 mg/kg. All selected heavy metals concentrations were below standard in food except Pb. Locally made mill plates were found to leach heavy metals in the milled flours due to the direct contact of grains with the mill plates. However, the comparison of milled to pounded flour (control samples) indicated other potential sources of heavy metals</w:t>
      </w:r>
      <w:r w:rsidR="00270090">
        <w:rPr>
          <w:rFonts w:ascii="Times New Roman" w:hAnsi="Times New Roman" w:cs="Times New Roman"/>
          <w:color w:val="1B1B1B"/>
          <w:sz w:val="24"/>
          <w:szCs w:val="24"/>
          <w:shd w:val="clear" w:color="auto" w:fill="FFFFFF"/>
          <w:lang w:val="en-US"/>
        </w:rPr>
        <w:t xml:space="preserve"> contamination</w:t>
      </w:r>
      <w:r w:rsidRPr="00467858">
        <w:rPr>
          <w:rFonts w:ascii="Times New Roman" w:hAnsi="Times New Roman" w:cs="Times New Roman"/>
          <w:color w:val="1B1B1B"/>
          <w:sz w:val="24"/>
          <w:szCs w:val="24"/>
          <w:shd w:val="clear" w:color="auto" w:fill="FFFFFF"/>
          <w:lang w:val="en-US"/>
        </w:rPr>
        <w:t xml:space="preserve"> aside from the disk attrition mill. The health assessment revealed no potential hazards nor cancer risk in both children and adults </w:t>
      </w:r>
      <w:r w:rsidRPr="00BD6F93">
        <w:rPr>
          <w:rFonts w:ascii="Times New Roman" w:hAnsi="Times New Roman" w:cs="Times New Roman"/>
          <w:color w:val="FF0000"/>
          <w:sz w:val="24"/>
          <w:szCs w:val="24"/>
          <w:shd w:val="clear" w:color="auto" w:fill="FFFFFF"/>
          <w:lang w:val="en-US"/>
        </w:rPr>
        <w:t>[</w:t>
      </w:r>
      <w:r w:rsidR="00270090" w:rsidRPr="00BD6F93">
        <w:rPr>
          <w:rFonts w:ascii="Times New Roman" w:hAnsi="Times New Roman" w:cs="Times New Roman"/>
          <w:color w:val="FF0000"/>
          <w:sz w:val="24"/>
          <w:szCs w:val="24"/>
          <w:shd w:val="clear" w:color="auto" w:fill="FFFFFF"/>
          <w:lang w:val="en-US"/>
        </w:rPr>
        <w:t>21</w:t>
      </w:r>
      <w:r w:rsidRPr="00BD6F93">
        <w:rPr>
          <w:rFonts w:ascii="Times New Roman" w:hAnsi="Times New Roman" w:cs="Times New Roman"/>
          <w:color w:val="FF0000"/>
          <w:sz w:val="24"/>
          <w:szCs w:val="24"/>
          <w:shd w:val="clear" w:color="auto" w:fill="FFFFFF"/>
          <w:lang w:val="en-US"/>
        </w:rPr>
        <w:t>].</w:t>
      </w:r>
    </w:p>
    <w:p w14:paraId="345231FB"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50543EED" w14:textId="059885B9" w:rsidR="000420D9" w:rsidRPr="000420D9" w:rsidRDefault="000420D9"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0420D9">
        <w:rPr>
          <w:rFonts w:ascii="Times New Roman" w:eastAsia="Times New Roman" w:hAnsi="Times New Roman" w:cs="Times New Roman"/>
          <w:b/>
          <w:bCs/>
          <w:sz w:val="24"/>
          <w:szCs w:val="24"/>
          <w:lang w:eastAsia="en-GB"/>
        </w:rPr>
        <w:t xml:space="preserve"> CONCLUSIONS AND RECOMMENDATIONS</w:t>
      </w:r>
    </w:p>
    <w:p w14:paraId="4AFEF4A5" w14:textId="2A9ACEB0" w:rsidR="000420D9" w:rsidRPr="000420D9" w:rsidRDefault="00467858"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0C03C7">
        <w:rPr>
          <w:rFonts w:ascii="Times New Roman" w:eastAsia="Times New Roman" w:hAnsi="Times New Roman" w:cs="Times New Roman"/>
          <w:b/>
          <w:bCs/>
          <w:color w:val="FF0000"/>
          <w:sz w:val="27"/>
          <w:szCs w:val="27"/>
          <w:lang w:eastAsia="en-GB"/>
        </w:rPr>
        <w:t>4</w:t>
      </w:r>
      <w:r w:rsidR="000420D9" w:rsidRPr="000C03C7">
        <w:rPr>
          <w:rFonts w:ascii="Times New Roman" w:eastAsia="Times New Roman" w:hAnsi="Times New Roman" w:cs="Times New Roman"/>
          <w:b/>
          <w:bCs/>
          <w:color w:val="FF0000"/>
          <w:sz w:val="27"/>
          <w:szCs w:val="27"/>
          <w:lang w:eastAsia="en-GB"/>
        </w:rPr>
        <w:t xml:space="preserve">.1 </w:t>
      </w:r>
      <w:r w:rsidR="000420D9" w:rsidRPr="000420D9">
        <w:rPr>
          <w:rFonts w:ascii="Times New Roman" w:eastAsia="Times New Roman" w:hAnsi="Times New Roman" w:cs="Times New Roman"/>
          <w:b/>
          <w:bCs/>
          <w:sz w:val="27"/>
          <w:szCs w:val="27"/>
          <w:lang w:eastAsia="en-GB"/>
        </w:rPr>
        <w:t>Conclusions</w:t>
      </w:r>
    </w:p>
    <w:p w14:paraId="31FC4305" w14:textId="3CD98A5B"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lastRenderedPageBreak/>
        <w:t xml:space="preserve">This study successfully determined the levels of five heavy metals in three varieties of maize grown in Masii </w:t>
      </w:r>
      <w:r w:rsidR="007C13F1" w:rsidRPr="007C13F1">
        <w:rPr>
          <w:rFonts w:ascii="Times New Roman" w:eastAsia="Times New Roman" w:hAnsi="Times New Roman" w:cs="Times New Roman"/>
          <w:color w:val="FF0000"/>
          <w:sz w:val="24"/>
          <w:szCs w:val="24"/>
          <w:lang w:eastAsia="en-GB"/>
        </w:rPr>
        <w:t>Ward</w:t>
      </w:r>
      <w:r w:rsidRPr="000420D9">
        <w:rPr>
          <w:rFonts w:ascii="Times New Roman" w:eastAsia="Times New Roman" w:hAnsi="Times New Roman" w:cs="Times New Roman"/>
          <w:sz w:val="24"/>
          <w:szCs w:val="24"/>
          <w:lang w:eastAsia="en-GB"/>
        </w:rPr>
        <w:t>, Machakos County, using Atomic Absorption Spectroscopy following optimized acid digestion. The findings reveal a critical food safety crisis that demands urgent attention from health authorities, agricultural extension services, and policymakers.</w:t>
      </w:r>
    </w:p>
    <w:p w14:paraId="35A3F1EE" w14:textId="5433FC9F"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Among the five heavy metals </w:t>
      </w:r>
      <w:r w:rsidR="007C13F1" w:rsidRPr="000420D9">
        <w:rPr>
          <w:rFonts w:ascii="Times New Roman" w:eastAsia="Times New Roman" w:hAnsi="Times New Roman" w:cs="Times New Roman"/>
          <w:sz w:val="24"/>
          <w:szCs w:val="24"/>
          <w:lang w:eastAsia="en-GB"/>
        </w:rPr>
        <w:t>analysed</w:t>
      </w:r>
      <w:r w:rsidRPr="000420D9">
        <w:rPr>
          <w:rFonts w:ascii="Times New Roman" w:eastAsia="Times New Roman" w:hAnsi="Times New Roman" w:cs="Times New Roman"/>
          <w:sz w:val="24"/>
          <w:szCs w:val="24"/>
          <w:lang w:eastAsia="en-GB"/>
        </w:rPr>
        <w:t xml:space="preserve">, lead exhibited the highest </w:t>
      </w:r>
      <w:r w:rsidR="007C13F1">
        <w:rPr>
          <w:rFonts w:ascii="Times New Roman" w:eastAsia="Times New Roman" w:hAnsi="Times New Roman" w:cs="Times New Roman"/>
          <w:sz w:val="24"/>
          <w:szCs w:val="24"/>
          <w:lang w:eastAsia="en-GB"/>
        </w:rPr>
        <w:t>levels</w:t>
      </w:r>
      <w:r w:rsidRPr="000420D9">
        <w:rPr>
          <w:rFonts w:ascii="Times New Roman" w:eastAsia="Times New Roman" w:hAnsi="Times New Roman" w:cs="Times New Roman"/>
          <w:sz w:val="24"/>
          <w:szCs w:val="24"/>
          <w:lang w:eastAsia="en-GB"/>
        </w:rPr>
        <w:t xml:space="preserve"> across all three maize varieties, ranging from 8.247 to 10.449 mg/g, levels that exceed regulatory limits by factors of 16 to 52. Cadmium was the second most abundant contaminant, with concentrations ranging from 0.562 to 1.998 mg/g, exceeding permissible limits by factors of 1 to 20. These findings indicate severe contamination with toxic metals that pose serious health risks to consumers.</w:t>
      </w:r>
    </w:p>
    <w:p w14:paraId="6D850C81"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In contrast, zinc, copper, and manganese were present at low levels, well below the recommended nutritional ranges of 30-95 mg/g for zinc, 10-50 mg/g for copper, and 5-20 mg/g for manganese. While these low levels do not pose toxicity risks, they indicate that the maize varieties provide inadequate amounts of essential micronutrients, potentially contributing to deficiency disorders in populations relying heavily on maize as their staple food.</w:t>
      </w:r>
    </w:p>
    <w:p w14:paraId="243D90EC" w14:textId="3097693E"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SC Duma 43 hybrid generally showed the highest heavy metal levels, particularly for lead, followed by SC Sungura 301 and the indigenous Kamba variety. However, all three varieties exhibited unacceptable contamination levels that render them unsafe for human consumption according to international food safety standards established by WHO</w:t>
      </w:r>
      <w:r w:rsidR="000C03C7">
        <w:rPr>
          <w:rFonts w:ascii="Times New Roman" w:eastAsia="Times New Roman" w:hAnsi="Times New Roman" w:cs="Times New Roman"/>
          <w:sz w:val="24"/>
          <w:szCs w:val="24"/>
          <w:lang w:eastAsia="en-GB"/>
        </w:rPr>
        <w:t>/</w:t>
      </w:r>
      <w:r w:rsidRPr="000420D9">
        <w:rPr>
          <w:rFonts w:ascii="Times New Roman" w:eastAsia="Times New Roman" w:hAnsi="Times New Roman" w:cs="Times New Roman"/>
          <w:sz w:val="24"/>
          <w:szCs w:val="24"/>
          <w:lang w:eastAsia="en-GB"/>
        </w:rPr>
        <w:t>FAO, and KEBS.</w:t>
      </w:r>
    </w:p>
    <w:p w14:paraId="68ED827A" w14:textId="1277CC04"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 xml:space="preserve">The health implications of consuming this contaminated maize are severe and multisystemic. Lead exposure at the levels detected would cause neurodevelopmental damage in children, cardiovascular disease and hypertension in adults, kidney damage, </w:t>
      </w:r>
      <w:r w:rsidR="00A30180" w:rsidRPr="000420D9">
        <w:rPr>
          <w:rFonts w:ascii="Times New Roman" w:eastAsia="Times New Roman" w:hAnsi="Times New Roman" w:cs="Times New Roman"/>
          <w:sz w:val="24"/>
          <w:szCs w:val="24"/>
          <w:lang w:eastAsia="en-GB"/>
        </w:rPr>
        <w:t>anaemia</w:t>
      </w:r>
      <w:r w:rsidRPr="000420D9">
        <w:rPr>
          <w:rFonts w:ascii="Times New Roman" w:eastAsia="Times New Roman" w:hAnsi="Times New Roman" w:cs="Times New Roman"/>
          <w:sz w:val="24"/>
          <w:szCs w:val="24"/>
          <w:lang w:eastAsia="en-GB"/>
        </w:rPr>
        <w:t>, and reproductive problems, with long-term carcinogenic risks. Cadmium contamination would lead to kidney disease, bone disease, liver damage, and increased cancer risk. The combination of toxic metal exposure with essential micronutrient deficiency creates a double burden of malnutrition affecting both immediate and long-term health outcomes.</w:t>
      </w:r>
    </w:p>
    <w:p w14:paraId="7AB36CDD"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The widespread nature of contamination across all varieties and sampling sites suggests that environmental contamination of soil, water, or both is the primary source rather than variety-specific characteristics. Urgent investigation is needed to identify specific contamination sources and pathways to enable targeted remediation efforts.</w:t>
      </w:r>
    </w:p>
    <w:p w14:paraId="506465BA"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This research contributes valuable baseline data on heavy metal contamination in Kenyan maize that has been largely lacking in scientific literature. The findings demonstrate the critical need for regular monitoring of heavy metals in food crops, particularly staple foods consumed in large quantities. The study also highlights the importance of considering both food safety and nutritional quality when assessing crop suitability for human consumption.</w:t>
      </w:r>
    </w:p>
    <w:p w14:paraId="369F6BC2" w14:textId="377CF0C2" w:rsidR="000420D9" w:rsidRPr="000420D9" w:rsidRDefault="00467858" w:rsidP="0038231D">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0420D9" w:rsidRPr="000420D9">
        <w:rPr>
          <w:rFonts w:ascii="Times New Roman" w:eastAsia="Times New Roman" w:hAnsi="Times New Roman" w:cs="Times New Roman"/>
          <w:b/>
          <w:bCs/>
          <w:sz w:val="27"/>
          <w:szCs w:val="27"/>
          <w:lang w:eastAsia="en-GB"/>
        </w:rPr>
        <w:t>.2 Recommendations</w:t>
      </w:r>
    </w:p>
    <w:p w14:paraId="1CF5CD7E" w14:textId="77777777" w:rsidR="000420D9" w:rsidRPr="000420D9" w:rsidRDefault="000420D9" w:rsidP="0038231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Based on the findings of this study, the following recommendations are proposed:</w:t>
      </w:r>
    </w:p>
    <w:p w14:paraId="1CD9105A" w14:textId="128CA68E"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Immediate action is needed to protect public health. Authorities should issue public health advisories warning residents of Masii </w:t>
      </w:r>
      <w:r w:rsidR="006405FA" w:rsidRPr="006405FA">
        <w:rPr>
          <w:rFonts w:ascii="Times New Roman" w:eastAsia="Times New Roman" w:hAnsi="Times New Roman" w:cs="Times New Roman"/>
          <w:color w:val="FF0000"/>
          <w:sz w:val="24"/>
          <w:szCs w:val="24"/>
          <w:lang w:eastAsia="en-GB"/>
        </w:rPr>
        <w:t>Ward</w:t>
      </w:r>
      <w:r w:rsidRPr="0038231D">
        <w:rPr>
          <w:rFonts w:ascii="Times New Roman" w:eastAsia="Times New Roman" w:hAnsi="Times New Roman" w:cs="Times New Roman"/>
          <w:sz w:val="24"/>
          <w:szCs w:val="24"/>
          <w:lang w:eastAsia="en-GB"/>
        </w:rPr>
        <w:t xml:space="preserve"> and potentially broader areas of Machakos County about the contamination risks associated with locally grown maize. Distribution and consumption of maize from contaminated areas should be restricted until safety can be assured. Alternative safe food sources should be made available to </w:t>
      </w:r>
      <w:r w:rsidRPr="0038231D">
        <w:rPr>
          <w:rFonts w:ascii="Times New Roman" w:eastAsia="Times New Roman" w:hAnsi="Times New Roman" w:cs="Times New Roman"/>
          <w:sz w:val="24"/>
          <w:szCs w:val="24"/>
          <w:lang w:eastAsia="en-GB"/>
        </w:rPr>
        <w:lastRenderedPageBreak/>
        <w:t>affected communities to prevent food insecurity while contamination issues are addressed.</w:t>
      </w:r>
    </w:p>
    <w:p w14:paraId="4E54FB4D" w14:textId="038A9788"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Comprehensive soil testing should be conducted across farms in Masii </w:t>
      </w:r>
      <w:r w:rsidR="006405FA" w:rsidRPr="006405FA">
        <w:rPr>
          <w:rFonts w:ascii="Times New Roman" w:eastAsia="Times New Roman" w:hAnsi="Times New Roman" w:cs="Times New Roman"/>
          <w:color w:val="FF0000"/>
          <w:sz w:val="24"/>
          <w:szCs w:val="24"/>
          <w:lang w:eastAsia="en-GB"/>
        </w:rPr>
        <w:t>Ward</w:t>
      </w:r>
      <w:r w:rsidRPr="0038231D">
        <w:rPr>
          <w:rFonts w:ascii="Times New Roman" w:eastAsia="Times New Roman" w:hAnsi="Times New Roman" w:cs="Times New Roman"/>
          <w:sz w:val="24"/>
          <w:szCs w:val="24"/>
          <w:lang w:eastAsia="en-GB"/>
        </w:rPr>
        <w:t xml:space="preserve"> and surrounding areas to determine the extent and severity of heavy metal contamination in agricultural soils. This testing should include analysis of total metal content, bioavailable fractions, pH, organic matter, and other soil properties affecting metal mobility. Based on soil testing results, appropriate soil remediation strategies should be implemented, which may include phytoremediation using metal-accumulating plants that are not consumed by humans or animals, soil amendments to reduce metal bioavailability such as lime to raise pH or organic matter to bind metals, removal and safe disposal of heavily contaminated topsoil in extreme cases, and crop rotation or land use changes to reduce human exposure pathways.</w:t>
      </w:r>
    </w:p>
    <w:p w14:paraId="2D399210"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Water sources used for irrigation should be tested for heavy metal content to determine whether contaminated water is contributing to the problem. If irrigation water is found to be contaminated, alternative water sources should be identified or water treatment systems implemented to remove metals before agricultural use.</w:t>
      </w:r>
    </w:p>
    <w:p w14:paraId="14A54888"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Agricultural practices should be modified to reduce metal accumulation in crops. Farmers should be advised to use low-cadmium phosphate fertilizers and to minimize unnecessary fertilizer applications. Organic soil amendments should be tested for metal content before application. Agricultural extension services should provide training on safe farming practices and integrated soil fertility management that enhances beneficial nutrients while minimizing contaminant inputs.</w:t>
      </w:r>
    </w:p>
    <w:p w14:paraId="23DC3F48"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Research should be conducted on the specific sources of lead and cadmium contamination in the study area. This investigation should include surveys of potential industrial or mining activities, analysis of atmospheric deposition patterns, assessment of historical land use that might have introduced contaminants, and evaluation of all agricultural inputs including fertilizers, pesticides, manure, and irrigation water for metal content.</w:t>
      </w:r>
    </w:p>
    <w:p w14:paraId="537477A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Plant breeding programs should incorporate screening for reduced toxic metal accumulation and enhanced essential mineral content. Varieties showing low uptake of lead and cadmium but efficient accumulation of zinc, copper, and other beneficial minerals should be identified and promoted. Genetic studies could elucidate the mechanisms underlying varietal differences in metal accumulation, informing marker-assisted selection for improved food safety and nutritional quality.</w:t>
      </w:r>
    </w:p>
    <w:p w14:paraId="361E70D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 comprehensive monitoring program should be established to regularly assess heavy metal levels in maize and other food crops from various regions of Machakos County and Kenya more broadly. This monitoring would provide early warning of contamination problems, track the effectiveness of remediation efforts, and generate data to support evidence-based food safety policies.</w:t>
      </w:r>
    </w:p>
    <w:p w14:paraId="48DB0281"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Health screening programs should be implemented for populations in affected areas to assess the extent of heavy metal exposure and health impacts. Blood lead and cadmium testing, along with assessment of kidney function and other health indicators, would identify individuals requiring medical intervention and provide data on the public health burden of contamination.</w:t>
      </w:r>
    </w:p>
    <w:p w14:paraId="14FBDD04"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Public awareness campaigns should educate farming communities and consumers about heavy metal contamination risks, safe food handling and preparation practices that might reduce exposure, symptoms of heavy metal poisoning that should prompt medical attention, and the importance of dietary diversity to reduce dependence on potentially contaminated staple crops.</w:t>
      </w:r>
    </w:p>
    <w:p w14:paraId="1D5AA73D"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lastRenderedPageBreak/>
        <w:t>Policy interventions are needed at national and county levels to address food safety in agricultural systems. These should include establishment and enforcement of maximum permissible limits for heavy metals in agricultural soils and irrigation water, regulations requiring testing of agricultural inputs for contaminant content, mandatory food safety testing for crops from areas with known or suspected contamination, and development of compensation or support programs for farmers affected by contamination through no fault of their own.</w:t>
      </w:r>
    </w:p>
    <w:p w14:paraId="39CE9F42" w14:textId="77777777" w:rsidR="000420D9" w:rsidRPr="0038231D" w:rsidRDefault="000420D9" w:rsidP="0038231D">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Further research should be conducted to investigate the bioavailability and health effects of the specific metal forms present in these maize samples, assess the effectiveness of different cooking methods in reducing metal content or bioavailability, examine heavy metal levels in other food crops grown in the region, and evaluate the potential for using contaminated maize for non-food purposes such as animal feed with appropriate safety protocols or industrial uses that do not enter the food chain.</w:t>
      </w:r>
    </w:p>
    <w:p w14:paraId="46C0877C" w14:textId="77777777" w:rsidR="000420D9" w:rsidRPr="000420D9" w:rsidRDefault="000420D9" w:rsidP="0038231D">
      <w:pPr>
        <w:spacing w:after="0" w:line="240" w:lineRule="auto"/>
        <w:jc w:val="both"/>
        <w:rPr>
          <w:rFonts w:ascii="Times New Roman" w:eastAsia="Times New Roman" w:hAnsi="Times New Roman" w:cs="Times New Roman"/>
          <w:sz w:val="24"/>
          <w:szCs w:val="24"/>
          <w:lang w:eastAsia="en-GB"/>
        </w:rPr>
      </w:pPr>
    </w:p>
    <w:p w14:paraId="631A7816" w14:textId="474EAB40" w:rsidR="000420D9" w:rsidRPr="000420D9" w:rsidRDefault="00CC232B" w:rsidP="0038231D">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Pr="000420D9">
        <w:rPr>
          <w:rFonts w:ascii="Times New Roman" w:eastAsia="Times New Roman" w:hAnsi="Times New Roman" w:cs="Times New Roman"/>
          <w:b/>
          <w:bCs/>
          <w:sz w:val="24"/>
          <w:szCs w:val="24"/>
          <w:lang w:eastAsia="en-GB"/>
        </w:rPr>
        <w:t>REFERENCES</w:t>
      </w:r>
    </w:p>
    <w:p w14:paraId="3A5DE9BB" w14:textId="77777777" w:rsidR="000420D9" w:rsidRPr="0038231D"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Aladesanmi, O. T., Oroboade, J. G., Osisiogu, C. P., &amp; Osewole, A. O. (2019). Bioaccumulation factor of selected heavy metals in </w:t>
      </w:r>
      <w:r w:rsidRPr="0038231D">
        <w:rPr>
          <w:rFonts w:ascii="Times New Roman" w:eastAsia="Times New Roman" w:hAnsi="Times New Roman" w:cs="Times New Roman"/>
          <w:i/>
          <w:iCs/>
          <w:sz w:val="24"/>
          <w:szCs w:val="24"/>
          <w:lang w:eastAsia="en-GB"/>
        </w:rPr>
        <w:t>Zea mays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Journal of Health and Pollution</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9</w:t>
      </w:r>
      <w:r w:rsidRPr="0038231D">
        <w:rPr>
          <w:rFonts w:ascii="Times New Roman" w:eastAsia="Times New Roman" w:hAnsi="Times New Roman" w:cs="Times New Roman"/>
          <w:sz w:val="24"/>
          <w:szCs w:val="24"/>
          <w:lang w:eastAsia="en-GB"/>
        </w:rPr>
        <w:t>(24), 191207.</w:t>
      </w:r>
    </w:p>
    <w:p w14:paraId="3FDC702B" w14:textId="261DE228" w:rsidR="000420D9"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Atta, M. I., Zehra, S. S., Ali, H., Ali, B., Abbas, S. N., Aimen, S., Sarwar, S., Ahmad, I., Hussain, M., Al-Ashkar, I., Elango, D., &amp; El Sabagh, A. (2023). Assessing the effect of heavy metals on maize (</w:t>
      </w:r>
      <w:r w:rsidRPr="0038231D">
        <w:rPr>
          <w:rFonts w:ascii="Times New Roman" w:eastAsia="Times New Roman" w:hAnsi="Times New Roman" w:cs="Times New Roman"/>
          <w:i/>
          <w:iCs/>
          <w:sz w:val="24"/>
          <w:szCs w:val="24"/>
          <w:lang w:eastAsia="en-GB"/>
        </w:rPr>
        <w:t>Zea mays</w:t>
      </w:r>
      <w:r w:rsidRPr="0038231D">
        <w:rPr>
          <w:rFonts w:ascii="Times New Roman" w:eastAsia="Times New Roman" w:hAnsi="Times New Roman" w:cs="Times New Roman"/>
          <w:sz w:val="24"/>
          <w:szCs w:val="24"/>
          <w:lang w:eastAsia="en-GB"/>
        </w:rPr>
        <w:t xml:space="preserve"> L.) growth and soil characteristics: Implications for phytoremediation. </w:t>
      </w:r>
      <w:r w:rsidRPr="0038231D">
        <w:rPr>
          <w:rFonts w:ascii="Times New Roman" w:eastAsia="Times New Roman" w:hAnsi="Times New Roman" w:cs="Times New Roman"/>
          <w:i/>
          <w:iCs/>
          <w:sz w:val="24"/>
          <w:szCs w:val="24"/>
          <w:lang w:eastAsia="en-GB"/>
        </w:rPr>
        <w:t>PeerJ</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11</w:t>
      </w:r>
      <w:r w:rsidRPr="0038231D">
        <w:rPr>
          <w:rFonts w:ascii="Times New Roman" w:eastAsia="Times New Roman" w:hAnsi="Times New Roman" w:cs="Times New Roman"/>
          <w:sz w:val="24"/>
          <w:szCs w:val="24"/>
          <w:lang w:eastAsia="en-GB"/>
        </w:rPr>
        <w:t>, e16067.</w:t>
      </w:r>
    </w:p>
    <w:p w14:paraId="556899CF" w14:textId="77777777" w:rsidR="00DB22BD" w:rsidRPr="0038231D" w:rsidRDefault="00DB22BD" w:rsidP="00DB22B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Liu, J., Si, W., Xiao, Z., Tang, R., Niu, P., Fu, Y., &amp; Shen, W. (2023). Risks to human health of exposure to heavy metals through wheat consumption near a tailings dam in North China. </w:t>
      </w:r>
      <w:r w:rsidRPr="0038231D">
        <w:rPr>
          <w:rFonts w:ascii="Times New Roman" w:eastAsia="Times New Roman" w:hAnsi="Times New Roman" w:cs="Times New Roman"/>
          <w:i/>
          <w:iCs/>
          <w:sz w:val="24"/>
          <w:szCs w:val="24"/>
          <w:lang w:eastAsia="en-GB"/>
        </w:rPr>
        <w:t>Polish Journal of Environmental Studies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32</w:t>
      </w:r>
      <w:r w:rsidRPr="0038231D">
        <w:rPr>
          <w:rFonts w:ascii="Times New Roman" w:eastAsia="Times New Roman" w:hAnsi="Times New Roman" w:cs="Times New Roman"/>
          <w:sz w:val="24"/>
          <w:szCs w:val="24"/>
          <w:lang w:eastAsia="en-GB"/>
        </w:rPr>
        <w:t>(4), 3195-3207.</w:t>
      </w:r>
    </w:p>
    <w:p w14:paraId="6379DEE3" w14:textId="0F6CAB52" w:rsidR="00DB22BD" w:rsidRDefault="00DB22BD"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Jaishankar, M., Tseten, T., Anbalagan, N., Mathew, B. B., &amp; Beeregowda, K. N. (2014). Toxicity, mechanism and health effects of some heavy metals. </w:t>
      </w:r>
      <w:r w:rsidRPr="0038231D">
        <w:rPr>
          <w:rFonts w:ascii="Times New Roman" w:eastAsia="Times New Roman" w:hAnsi="Times New Roman" w:cs="Times New Roman"/>
          <w:i/>
          <w:iCs/>
          <w:sz w:val="24"/>
          <w:szCs w:val="24"/>
          <w:lang w:eastAsia="en-GB"/>
        </w:rPr>
        <w:t>Interdisciplinary Toxicology</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7</w:t>
      </w:r>
      <w:r w:rsidRPr="0038231D">
        <w:rPr>
          <w:rFonts w:ascii="Times New Roman" w:eastAsia="Times New Roman" w:hAnsi="Times New Roman" w:cs="Times New Roman"/>
          <w:sz w:val="24"/>
          <w:szCs w:val="24"/>
          <w:lang w:eastAsia="en-GB"/>
        </w:rPr>
        <w:t>(2), 60-72</w:t>
      </w:r>
    </w:p>
    <w:p w14:paraId="2DC2A989" w14:textId="77777777" w:rsidR="00DB22BD" w:rsidRPr="0038231D" w:rsidRDefault="00DB22BD" w:rsidP="00DB22B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Abdullahi, N., Dandago, M. A., Gambo, M. S., Abubakar, S. S., Tsoho, A. U., &amp; Idah, P. G. (2024). Seasonal variation and uptake pattern of heavy metals in maize. </w:t>
      </w:r>
      <w:r w:rsidRPr="0038231D">
        <w:rPr>
          <w:rFonts w:ascii="Times New Roman" w:eastAsia="Times New Roman" w:hAnsi="Times New Roman" w:cs="Times New Roman"/>
          <w:i/>
          <w:iCs/>
          <w:sz w:val="24"/>
          <w:szCs w:val="24"/>
          <w:lang w:eastAsia="en-GB"/>
        </w:rPr>
        <w:t>Dutse Journal of Pure and Applied Sciences</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10</w:t>
      </w:r>
      <w:r w:rsidRPr="0038231D">
        <w:rPr>
          <w:rFonts w:ascii="Times New Roman" w:eastAsia="Times New Roman" w:hAnsi="Times New Roman" w:cs="Times New Roman"/>
          <w:sz w:val="24"/>
          <w:szCs w:val="24"/>
          <w:lang w:eastAsia="en-GB"/>
        </w:rPr>
        <w:t>(1a), 78-87.</w:t>
      </w:r>
    </w:p>
    <w:p w14:paraId="5810019E" w14:textId="77777777" w:rsidR="00DB22BD" w:rsidRPr="0038231D" w:rsidRDefault="00DB22BD" w:rsidP="00DB22B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Khan, M., Nazar Ibrahim Al Azzawi, T., Imran, M., Hussain, A., Mun, B.-G., Pande, A., &amp; Yun, B.-W. (2021). Effects of lead (Pb)-induced oxidative stress on morphological and physio-biochemical properties of rice. </w:t>
      </w:r>
      <w:r w:rsidRPr="0038231D">
        <w:rPr>
          <w:rFonts w:ascii="Times New Roman" w:eastAsia="Times New Roman" w:hAnsi="Times New Roman" w:cs="Times New Roman"/>
          <w:i/>
          <w:iCs/>
          <w:sz w:val="24"/>
          <w:szCs w:val="24"/>
          <w:lang w:eastAsia="en-GB"/>
        </w:rPr>
        <w:t>BIOCELL</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45</w:t>
      </w:r>
      <w:r w:rsidRPr="0038231D">
        <w:rPr>
          <w:rFonts w:ascii="Times New Roman" w:eastAsia="Times New Roman" w:hAnsi="Times New Roman" w:cs="Times New Roman"/>
          <w:sz w:val="24"/>
          <w:szCs w:val="24"/>
          <w:lang w:eastAsia="en-GB"/>
        </w:rPr>
        <w:t>(5), 1413-1423.</w:t>
      </w:r>
    </w:p>
    <w:p w14:paraId="16B01579" w14:textId="77777777" w:rsidR="00DB22BD" w:rsidRPr="0038231D" w:rsidRDefault="00DB22BD" w:rsidP="00DB22B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Mitra, S., Chakraborty, A. J., Tareq, A. M., Emran, T. B., Nainu, F., Khusro, A., Idris, A. M., Khandaker, M. U., Osman, H., Alhumaydhi, F. A., &amp; Simal-Gandara, J. (2022). Impact of heavy metals on the environment and human health: Novel therapeutic insights to counter the toxicity. </w:t>
      </w:r>
      <w:r w:rsidRPr="0038231D">
        <w:rPr>
          <w:rFonts w:ascii="Times New Roman" w:eastAsia="Times New Roman" w:hAnsi="Times New Roman" w:cs="Times New Roman"/>
          <w:i/>
          <w:iCs/>
          <w:sz w:val="24"/>
          <w:szCs w:val="24"/>
          <w:lang w:eastAsia="en-GB"/>
        </w:rPr>
        <w:t>Journal of King Saud University - Science</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34</w:t>
      </w:r>
      <w:r w:rsidRPr="0038231D">
        <w:rPr>
          <w:rFonts w:ascii="Times New Roman" w:eastAsia="Times New Roman" w:hAnsi="Times New Roman" w:cs="Times New Roman"/>
          <w:sz w:val="24"/>
          <w:szCs w:val="24"/>
          <w:lang w:eastAsia="en-GB"/>
        </w:rPr>
        <w:t>(3), 101865.</w:t>
      </w:r>
    </w:p>
    <w:p w14:paraId="2A4ED809" w14:textId="191182D2" w:rsidR="00DB22BD" w:rsidRPr="00AF45F2" w:rsidRDefault="00DB22BD" w:rsidP="0038231D">
      <w:pPr>
        <w:pStyle w:val="ListParagraph"/>
        <w:numPr>
          <w:ilvl w:val="0"/>
          <w:numId w:val="2"/>
        </w:numPr>
        <w:spacing w:before="100" w:beforeAutospacing="1" w:after="100" w:afterAutospacing="1" w:line="240" w:lineRule="auto"/>
        <w:jc w:val="both"/>
        <w:rPr>
          <w:rStyle w:val="Hyperlink"/>
          <w:rFonts w:ascii="Times New Roman" w:eastAsia="Times New Roman" w:hAnsi="Times New Roman" w:cs="Times New Roman"/>
          <w:color w:val="auto"/>
          <w:sz w:val="24"/>
          <w:szCs w:val="24"/>
          <w:u w:val="none"/>
          <w:lang w:eastAsia="en-GB"/>
        </w:rPr>
      </w:pPr>
      <w:r w:rsidRPr="00BD72AE">
        <w:rPr>
          <w:rFonts w:ascii="Times New Roman" w:hAnsi="Times New Roman" w:cs="Times New Roman"/>
          <w:sz w:val="24"/>
          <w:szCs w:val="24"/>
        </w:rPr>
        <w:t xml:space="preserve">Agriculture and Food Authority. (2024). </w:t>
      </w:r>
      <w:r w:rsidRPr="00BD72AE">
        <w:rPr>
          <w:rFonts w:ascii="Times New Roman" w:hAnsi="Times New Roman" w:cs="Times New Roman"/>
          <w:i/>
          <w:iCs/>
          <w:sz w:val="24"/>
          <w:szCs w:val="24"/>
        </w:rPr>
        <w:t>Food crops yearbook 2024</w:t>
      </w:r>
      <w:r w:rsidRPr="00BD72AE">
        <w:rPr>
          <w:rFonts w:ascii="Times New Roman" w:hAnsi="Times New Roman" w:cs="Times New Roman"/>
          <w:sz w:val="24"/>
          <w:szCs w:val="24"/>
        </w:rPr>
        <w:t xml:space="preserve">. Ministry of Agriculture, Kenya. </w:t>
      </w:r>
      <w:hyperlink r:id="rId20" w:tgtFrame="_new" w:history="1">
        <w:r w:rsidRPr="00BD72AE">
          <w:rPr>
            <w:rStyle w:val="Hyperlink"/>
            <w:sz w:val="24"/>
            <w:szCs w:val="24"/>
          </w:rPr>
          <w:t>https://www.afa.go.ke/</w:t>
        </w:r>
      </w:hyperlink>
      <w:r>
        <w:rPr>
          <w:rStyle w:val="Hyperlink"/>
          <w:rFonts w:ascii="Times New Roman" w:hAnsi="Times New Roman" w:cs="Times New Roman"/>
          <w:color w:val="auto"/>
          <w:sz w:val="24"/>
          <w:szCs w:val="24"/>
        </w:rPr>
        <w:t>.</w:t>
      </w:r>
    </w:p>
    <w:p w14:paraId="4FD465EA" w14:textId="1F46125F" w:rsidR="00AF45F2" w:rsidRDefault="00B74D64"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Machakos County Integrated Development Plane, 2023-2027 (MCIDP)</w:t>
      </w:r>
    </w:p>
    <w:p w14:paraId="0D72460C" w14:textId="17E2BA42" w:rsidR="00B74D64" w:rsidRDefault="00DA305C"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Deon Visser (2021): Atomic Absorption Spectroscopy principles and Applications.</w:t>
      </w:r>
    </w:p>
    <w:p w14:paraId="67180A09" w14:textId="778143E6" w:rsidR="00D47F7F" w:rsidRPr="00E80B41" w:rsidRDefault="00BB50EF" w:rsidP="007C6F92">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E80B41">
        <w:rPr>
          <w:rFonts w:ascii="Times New Roman" w:eastAsia="Times New Roman" w:hAnsi="Times New Roman" w:cs="Times New Roman"/>
          <w:sz w:val="24"/>
          <w:szCs w:val="24"/>
          <w:lang w:eastAsia="en-GB"/>
        </w:rPr>
        <w:t>World Health Organization</w:t>
      </w:r>
      <w:r w:rsidR="007E7839" w:rsidRPr="00E80B41">
        <w:rPr>
          <w:rFonts w:ascii="Times New Roman" w:eastAsia="Times New Roman" w:hAnsi="Times New Roman" w:cs="Times New Roman"/>
          <w:sz w:val="24"/>
          <w:szCs w:val="24"/>
          <w:lang w:eastAsia="en-GB"/>
        </w:rPr>
        <w:t>/ F</w:t>
      </w:r>
      <w:r w:rsidR="00E80B41" w:rsidRPr="00E80B41">
        <w:rPr>
          <w:rFonts w:ascii="Times New Roman" w:eastAsia="Times New Roman" w:hAnsi="Times New Roman" w:cs="Times New Roman"/>
          <w:sz w:val="24"/>
          <w:szCs w:val="24"/>
          <w:lang w:eastAsia="en-GB"/>
        </w:rPr>
        <w:t xml:space="preserve">ood Agricultural Organization </w:t>
      </w:r>
      <w:r w:rsidRPr="00E80B41">
        <w:rPr>
          <w:rFonts w:ascii="Times New Roman" w:eastAsia="Times New Roman" w:hAnsi="Times New Roman" w:cs="Times New Roman"/>
          <w:sz w:val="24"/>
          <w:szCs w:val="24"/>
          <w:lang w:eastAsia="en-GB"/>
        </w:rPr>
        <w:t>(20</w:t>
      </w:r>
      <w:r w:rsidR="00E80B41" w:rsidRPr="00E80B41">
        <w:rPr>
          <w:rFonts w:ascii="Times New Roman" w:eastAsia="Times New Roman" w:hAnsi="Times New Roman" w:cs="Times New Roman"/>
          <w:sz w:val="24"/>
          <w:szCs w:val="24"/>
          <w:lang w:eastAsia="en-GB"/>
        </w:rPr>
        <w:t>24-2026</w:t>
      </w:r>
      <w:r w:rsidRPr="00E80B41">
        <w:rPr>
          <w:rFonts w:ascii="Times New Roman" w:eastAsia="Times New Roman" w:hAnsi="Times New Roman" w:cs="Times New Roman"/>
          <w:sz w:val="24"/>
          <w:szCs w:val="24"/>
          <w:lang w:eastAsia="en-GB"/>
        </w:rPr>
        <w:t xml:space="preserve">): </w:t>
      </w:r>
      <w:r w:rsidR="00E80B41" w:rsidRPr="00E80B41">
        <w:rPr>
          <w:rFonts w:ascii="Times New Roman" w:eastAsia="Times New Roman" w:hAnsi="Times New Roman" w:cs="Times New Roman"/>
          <w:sz w:val="24"/>
          <w:szCs w:val="24"/>
          <w:lang w:eastAsia="en-GB"/>
        </w:rPr>
        <w:t>Codex Alimentary Recommended levels for heavy metals in Cere</w:t>
      </w:r>
      <w:r w:rsidR="00BF01C6">
        <w:rPr>
          <w:rFonts w:ascii="Times New Roman" w:eastAsia="Times New Roman" w:hAnsi="Times New Roman" w:cs="Times New Roman"/>
          <w:sz w:val="24"/>
          <w:szCs w:val="24"/>
          <w:lang w:eastAsia="en-GB"/>
        </w:rPr>
        <w:t>a</w:t>
      </w:r>
      <w:r w:rsidR="00E80B41" w:rsidRPr="00E80B41">
        <w:rPr>
          <w:rFonts w:ascii="Times New Roman" w:eastAsia="Times New Roman" w:hAnsi="Times New Roman" w:cs="Times New Roman"/>
          <w:sz w:val="24"/>
          <w:szCs w:val="24"/>
          <w:lang w:eastAsia="en-GB"/>
        </w:rPr>
        <w:t>l grain.</w:t>
      </w:r>
    </w:p>
    <w:p w14:paraId="35187925" w14:textId="7FD75DC0" w:rsidR="00BF01C6" w:rsidRDefault="00BF01C6"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0420D9">
        <w:rPr>
          <w:rFonts w:ascii="Times New Roman" w:eastAsia="Times New Roman" w:hAnsi="Times New Roman" w:cs="Times New Roman"/>
          <w:sz w:val="24"/>
          <w:szCs w:val="24"/>
          <w:lang w:eastAsia="en-GB"/>
        </w:rPr>
        <w:t>Kenya Bureau of Standards</w:t>
      </w:r>
      <w:r>
        <w:rPr>
          <w:rFonts w:ascii="Times New Roman" w:eastAsia="Times New Roman" w:hAnsi="Times New Roman" w:cs="Times New Roman"/>
          <w:sz w:val="24"/>
          <w:szCs w:val="24"/>
          <w:lang w:eastAsia="en-GB"/>
        </w:rPr>
        <w:t xml:space="preserve"> (KEBS DKS 3010</w:t>
      </w:r>
      <w:r w:rsidR="00CC232B">
        <w:rPr>
          <w:rFonts w:ascii="Times New Roman" w:eastAsia="Times New Roman" w:hAnsi="Times New Roman" w:cs="Times New Roman"/>
          <w:sz w:val="24"/>
          <w:szCs w:val="24"/>
          <w:lang w:eastAsia="en-GB"/>
        </w:rPr>
        <w:t>, 2024) Milled maize Products-Specification</w:t>
      </w:r>
    </w:p>
    <w:p w14:paraId="164CE07F" w14:textId="460125EB" w:rsidR="00D47F7F" w:rsidRDefault="00D47F7F"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lastRenderedPageBreak/>
        <w:t xml:space="preserve">Khan, B. N., Ullah, H., Ashfaq, Y., Hussain, N., Atique, U., Aziz, T., Alharbi, M., Albekairi, T. H., &amp; Alasmari, A. F. (2023). Elucidating the effects of heavy metals contamination on vital organs of fish and migratory birds found at fresh water ecosystem. </w:t>
      </w:r>
      <w:r w:rsidRPr="0038231D">
        <w:rPr>
          <w:rFonts w:ascii="Times New Roman" w:eastAsia="Times New Roman" w:hAnsi="Times New Roman" w:cs="Times New Roman"/>
          <w:i/>
          <w:iCs/>
          <w:sz w:val="24"/>
          <w:szCs w:val="24"/>
          <w:lang w:eastAsia="en-GB"/>
        </w:rPr>
        <w:t>Heliyon</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9</w:t>
      </w:r>
      <w:r w:rsidRPr="0038231D">
        <w:rPr>
          <w:rFonts w:ascii="Times New Roman" w:eastAsia="Times New Roman" w:hAnsi="Times New Roman" w:cs="Times New Roman"/>
          <w:sz w:val="24"/>
          <w:szCs w:val="24"/>
          <w:lang w:eastAsia="en-GB"/>
        </w:rPr>
        <w:t>(11), e20968</w:t>
      </w:r>
    </w:p>
    <w:p w14:paraId="06C7F52C" w14:textId="4435E4C1" w:rsidR="000420D9" w:rsidRDefault="000420D9" w:rsidP="003823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Briffa, J., Sinagra, E., &amp; Blundell, R. (2020). Heavy metal pollution in the environment and their toxicological effects on humans. </w:t>
      </w:r>
      <w:r w:rsidRPr="0038231D">
        <w:rPr>
          <w:rFonts w:ascii="Times New Roman" w:eastAsia="Times New Roman" w:hAnsi="Times New Roman" w:cs="Times New Roman"/>
          <w:i/>
          <w:iCs/>
          <w:sz w:val="24"/>
          <w:szCs w:val="24"/>
          <w:lang w:eastAsia="en-GB"/>
        </w:rPr>
        <w:t>Heliyon</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6</w:t>
      </w:r>
      <w:r w:rsidRPr="0038231D">
        <w:rPr>
          <w:rFonts w:ascii="Times New Roman" w:eastAsia="Times New Roman" w:hAnsi="Times New Roman" w:cs="Times New Roman"/>
          <w:sz w:val="24"/>
          <w:szCs w:val="24"/>
          <w:lang w:eastAsia="en-GB"/>
        </w:rPr>
        <w:t>(9), e04691.</w:t>
      </w:r>
    </w:p>
    <w:p w14:paraId="2E4CC100" w14:textId="77777777" w:rsidR="006D6039" w:rsidRPr="0038231D" w:rsidRDefault="006D6039" w:rsidP="006D6039">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Morais, S., E Costa, F. G., &amp; Lourdes Pereira, M. D. (2012). Heavy metals and human health. In J. Oosthuizen (Ed.), </w:t>
      </w:r>
      <w:r w:rsidRPr="0038231D">
        <w:rPr>
          <w:rFonts w:ascii="Times New Roman" w:eastAsia="Times New Roman" w:hAnsi="Times New Roman" w:cs="Times New Roman"/>
          <w:i/>
          <w:iCs/>
          <w:sz w:val="24"/>
          <w:szCs w:val="24"/>
          <w:lang w:eastAsia="en-GB"/>
        </w:rPr>
        <w:t>Environmental Health—Emerging Issues and Practice</w:t>
      </w:r>
      <w:r w:rsidRPr="0038231D">
        <w:rPr>
          <w:rFonts w:ascii="Times New Roman" w:eastAsia="Times New Roman" w:hAnsi="Times New Roman" w:cs="Times New Roman"/>
          <w:sz w:val="24"/>
          <w:szCs w:val="24"/>
          <w:lang w:eastAsia="en-GB"/>
        </w:rPr>
        <w:t>. InTech.</w:t>
      </w:r>
    </w:p>
    <w:p w14:paraId="357B0B12" w14:textId="77777777" w:rsidR="009F5032" w:rsidRPr="00FF7923" w:rsidRDefault="009F5032" w:rsidP="009F5032">
      <w:pPr>
        <w:pStyle w:val="ListParagraph"/>
        <w:numPr>
          <w:ilvl w:val="0"/>
          <w:numId w:val="2"/>
        </w:numPr>
        <w:jc w:val="both"/>
        <w:rPr>
          <w:rFonts w:ascii="Times New Roman" w:hAnsi="Times New Roman" w:cs="Times New Roman"/>
          <w:color w:val="232323"/>
          <w:sz w:val="24"/>
          <w:szCs w:val="24"/>
          <w:shd w:val="clear" w:color="auto" w:fill="FFFFFF"/>
          <w:lang w:val="en-US"/>
        </w:rPr>
      </w:pPr>
      <w:r w:rsidRPr="00FF7923">
        <w:rPr>
          <w:rFonts w:ascii="Times New Roman" w:hAnsi="Times New Roman" w:cs="Times New Roman"/>
          <w:sz w:val="24"/>
          <w:szCs w:val="24"/>
          <w:lang w:val="en-US"/>
        </w:rPr>
        <w:t xml:space="preserve">Nicholson F.A, Smith S.R, Alloway B.J, Carlton-Smith C, and Chambers B.J (2013). An Inventory of </w:t>
      </w:r>
      <w:r w:rsidRPr="00FF7923">
        <w:rPr>
          <w:rFonts w:ascii="Times New Roman" w:hAnsi="Times New Roman" w:cs="Times New Roman"/>
          <w:color w:val="232323"/>
          <w:sz w:val="24"/>
          <w:szCs w:val="24"/>
          <w:shd w:val="clear" w:color="auto" w:fill="FFFFFF"/>
          <w:lang w:val="en-US"/>
        </w:rPr>
        <w:t>Heavy Metal Input to Agricultural Soils in England and Wales; Science of the Total Environment, 311, 205-219</w:t>
      </w:r>
    </w:p>
    <w:p w14:paraId="458F1914" w14:textId="11B163CB" w:rsidR="009F5032" w:rsidRPr="00FF7923" w:rsidRDefault="009F5032" w:rsidP="009F5032">
      <w:pPr>
        <w:pStyle w:val="ListParagraph"/>
        <w:numPr>
          <w:ilvl w:val="0"/>
          <w:numId w:val="2"/>
        </w:numPr>
        <w:jc w:val="both"/>
        <w:rPr>
          <w:rFonts w:ascii="Times New Roman" w:hAnsi="Times New Roman" w:cs="Times New Roman"/>
          <w:color w:val="232323"/>
          <w:sz w:val="24"/>
          <w:szCs w:val="24"/>
          <w:shd w:val="clear" w:color="auto" w:fill="FFFFFF"/>
        </w:rPr>
      </w:pPr>
      <w:r w:rsidRPr="00FF7923">
        <w:rPr>
          <w:rFonts w:ascii="Times New Roman" w:hAnsi="Times New Roman" w:cs="Times New Roman"/>
          <w:color w:val="232323"/>
          <w:sz w:val="24"/>
          <w:szCs w:val="24"/>
          <w:shd w:val="clear" w:color="auto" w:fill="FFFFFF"/>
        </w:rPr>
        <w:t xml:space="preserve"> </w:t>
      </w:r>
      <w:r w:rsidRPr="00FF7923">
        <w:rPr>
          <w:rFonts w:ascii="Times New Roman" w:hAnsi="Times New Roman" w:cs="Times New Roman"/>
          <w:sz w:val="24"/>
          <w:szCs w:val="24"/>
          <w:lang w:val="en-US"/>
        </w:rPr>
        <w:t>Singh A., Sharma R.K, Agrawal M and Marshall F.M (2010): Health Risk Assessment of Heavy Metals via Dietary Intake of Foodstuffs from the wastewater Irrigated Sites of a Dry Tropical Area of India. Food and Chemical Toxicology, 48, 611-619</w:t>
      </w:r>
    </w:p>
    <w:p w14:paraId="46647E39" w14:textId="77777777" w:rsidR="00BE351D" w:rsidRPr="0038231D" w:rsidRDefault="00BE351D" w:rsidP="00BE351D">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38231D">
        <w:rPr>
          <w:rFonts w:ascii="Times New Roman" w:eastAsia="Times New Roman" w:hAnsi="Times New Roman" w:cs="Times New Roman"/>
          <w:sz w:val="24"/>
          <w:szCs w:val="24"/>
          <w:lang w:eastAsia="en-GB"/>
        </w:rPr>
        <w:t xml:space="preserve">Yan, A., Wang, Y., Tan, S. N., Mohd Yusof, M. L., Ghosh, S., &amp; Chen, Z. (2020). Phytoremediation: A promising approach for revegetation of heavy metal-polluted land. </w:t>
      </w:r>
      <w:r w:rsidRPr="0038231D">
        <w:rPr>
          <w:rFonts w:ascii="Times New Roman" w:eastAsia="Times New Roman" w:hAnsi="Times New Roman" w:cs="Times New Roman"/>
          <w:i/>
          <w:iCs/>
          <w:sz w:val="24"/>
          <w:szCs w:val="24"/>
          <w:lang w:eastAsia="en-GB"/>
        </w:rPr>
        <w:t>Frontiers in Plant Science</w:t>
      </w:r>
      <w:r w:rsidRPr="0038231D">
        <w:rPr>
          <w:rFonts w:ascii="Times New Roman" w:eastAsia="Times New Roman" w:hAnsi="Times New Roman" w:cs="Times New Roman"/>
          <w:sz w:val="24"/>
          <w:szCs w:val="24"/>
          <w:lang w:eastAsia="en-GB"/>
        </w:rPr>
        <w:t xml:space="preserve">, </w:t>
      </w:r>
      <w:r w:rsidRPr="0038231D">
        <w:rPr>
          <w:rFonts w:ascii="Times New Roman" w:eastAsia="Times New Roman" w:hAnsi="Times New Roman" w:cs="Times New Roman"/>
          <w:i/>
          <w:iCs/>
          <w:sz w:val="24"/>
          <w:szCs w:val="24"/>
          <w:lang w:eastAsia="en-GB"/>
        </w:rPr>
        <w:t>11</w:t>
      </w:r>
      <w:r w:rsidRPr="0038231D">
        <w:rPr>
          <w:rFonts w:ascii="Times New Roman" w:eastAsia="Times New Roman" w:hAnsi="Times New Roman" w:cs="Times New Roman"/>
          <w:sz w:val="24"/>
          <w:szCs w:val="24"/>
          <w:lang w:eastAsia="en-GB"/>
        </w:rPr>
        <w:t>, 359.</w:t>
      </w:r>
    </w:p>
    <w:p w14:paraId="0BA2AD51" w14:textId="02053588" w:rsidR="006D6039" w:rsidRDefault="006D6039" w:rsidP="00BE351D">
      <w:pPr>
        <w:pStyle w:val="ListParagraph"/>
        <w:spacing w:before="100" w:beforeAutospacing="1" w:after="100" w:afterAutospacing="1" w:line="240" w:lineRule="auto"/>
        <w:jc w:val="both"/>
        <w:rPr>
          <w:rFonts w:ascii="Times New Roman" w:eastAsia="Times New Roman" w:hAnsi="Times New Roman" w:cs="Times New Roman"/>
          <w:sz w:val="24"/>
          <w:szCs w:val="24"/>
          <w:lang w:eastAsia="en-GB"/>
        </w:rPr>
      </w:pPr>
    </w:p>
    <w:p w14:paraId="5B3B041C" w14:textId="77777777" w:rsidR="006D6039" w:rsidRPr="006D6039" w:rsidRDefault="006D6039" w:rsidP="006D6039">
      <w:pPr>
        <w:pStyle w:val="ListParagraph"/>
        <w:numPr>
          <w:ilvl w:val="0"/>
          <w:numId w:val="2"/>
        </w:numPr>
        <w:jc w:val="both"/>
        <w:rPr>
          <w:rFonts w:ascii="Times New Roman" w:hAnsi="Times New Roman" w:cs="Times New Roman"/>
          <w:sz w:val="24"/>
          <w:szCs w:val="24"/>
          <w:lang w:val="en-US"/>
        </w:rPr>
      </w:pPr>
      <w:r w:rsidRPr="006D6039">
        <w:rPr>
          <w:rFonts w:ascii="Times New Roman" w:hAnsi="Times New Roman" w:cs="Times New Roman"/>
          <w:sz w:val="24"/>
          <w:szCs w:val="24"/>
          <w:lang w:val="en-US"/>
        </w:rPr>
        <w:t>Teresa Akenga, Vincent Sudoi, Walter Machuka, Emmy Kerich, Elkana Ronoh (2017): Heavy Metal Uptake in Maize Grains and Leaves in Different Agro Ecological Zones in Uasin Gishu County; Journal of Environmental Protection, 8 (12), 135-1444.</w:t>
      </w:r>
    </w:p>
    <w:p w14:paraId="02199A77" w14:textId="77777777" w:rsidR="006D6039" w:rsidRPr="006D6039" w:rsidRDefault="006D6039" w:rsidP="006D6039">
      <w:pPr>
        <w:pStyle w:val="ListParagraph"/>
        <w:numPr>
          <w:ilvl w:val="0"/>
          <w:numId w:val="2"/>
        </w:numPr>
        <w:jc w:val="both"/>
        <w:rPr>
          <w:rFonts w:ascii="Times New Roman" w:hAnsi="Times New Roman" w:cs="Times New Roman"/>
          <w:sz w:val="24"/>
          <w:szCs w:val="24"/>
          <w:lang w:val="en-US"/>
        </w:rPr>
      </w:pPr>
      <w:r w:rsidRPr="006D6039">
        <w:rPr>
          <w:rFonts w:ascii="Times New Roman" w:hAnsi="Times New Roman" w:cs="Times New Roman"/>
          <w:sz w:val="24"/>
          <w:szCs w:val="24"/>
        </w:rPr>
        <w:t>Malomo. Olu., Olufade O.I and Jimoh M.O. (2013)</w:t>
      </w:r>
      <w:r w:rsidRPr="006D6039">
        <w:rPr>
          <w:rFonts w:ascii="Times New Roman" w:hAnsi="Times New Roman" w:cs="Times New Roman"/>
          <w:sz w:val="24"/>
          <w:szCs w:val="24"/>
          <w:lang w:val="en-US"/>
        </w:rPr>
        <w:t>:</w:t>
      </w:r>
      <w:r w:rsidRPr="006D6039">
        <w:rPr>
          <w:rFonts w:ascii="Times New Roman" w:hAnsi="Times New Roman" w:cs="Times New Roman"/>
          <w:sz w:val="24"/>
          <w:szCs w:val="24"/>
        </w:rPr>
        <w:t xml:space="preserve"> Evaluation of Heavy Metal Concentration in Maize Grown in Selected Industrial Areas of Ogun State and its Effects on Urban Food Security </w:t>
      </w:r>
      <w:r w:rsidRPr="006D6039">
        <w:rPr>
          <w:rFonts w:ascii="Times New Roman" w:hAnsi="Times New Roman" w:cs="Times New Roman"/>
          <w:sz w:val="24"/>
          <w:szCs w:val="24"/>
          <w:lang w:val="en-US"/>
        </w:rPr>
        <w:t xml:space="preserve">International Journal of Science, Technology and Society, </w:t>
      </w:r>
      <w:r w:rsidRPr="006D6039">
        <w:rPr>
          <w:rFonts w:ascii="Times New Roman" w:hAnsi="Times New Roman" w:cs="Times New Roman"/>
          <w:sz w:val="24"/>
          <w:szCs w:val="24"/>
        </w:rPr>
        <w:t>1(</w:t>
      </w:r>
      <w:r w:rsidRPr="006D6039">
        <w:rPr>
          <w:rFonts w:ascii="Times New Roman" w:hAnsi="Times New Roman" w:cs="Times New Roman"/>
          <w:sz w:val="24"/>
          <w:szCs w:val="24"/>
          <w:lang w:val="en-US"/>
        </w:rPr>
        <w:t>2</w:t>
      </w:r>
      <w:r w:rsidRPr="006D6039">
        <w:rPr>
          <w:rFonts w:ascii="Times New Roman" w:hAnsi="Times New Roman" w:cs="Times New Roman"/>
          <w:sz w:val="24"/>
          <w:szCs w:val="24"/>
        </w:rPr>
        <w:t>):</w:t>
      </w:r>
      <w:r w:rsidRPr="006D6039">
        <w:rPr>
          <w:rFonts w:ascii="Times New Roman" w:hAnsi="Times New Roman" w:cs="Times New Roman"/>
          <w:sz w:val="24"/>
          <w:szCs w:val="24"/>
          <w:lang w:val="en-US"/>
        </w:rPr>
        <w:t>48-56</w:t>
      </w:r>
    </w:p>
    <w:p w14:paraId="096E5BB6" w14:textId="43ED4FAF" w:rsidR="000420D9" w:rsidRPr="00BE351D" w:rsidRDefault="006D6039" w:rsidP="00BE351D">
      <w:pPr>
        <w:pStyle w:val="ListParagraph"/>
        <w:numPr>
          <w:ilvl w:val="0"/>
          <w:numId w:val="2"/>
        </w:numPr>
        <w:spacing w:after="120" w:line="240" w:lineRule="auto"/>
        <w:jc w:val="both"/>
        <w:rPr>
          <w:rFonts w:ascii="Times New Roman" w:hAnsi="Times New Roman" w:cs="Times New Roman"/>
          <w:sz w:val="24"/>
          <w:szCs w:val="24"/>
        </w:rPr>
      </w:pPr>
      <w:r w:rsidRPr="006D6039">
        <w:rPr>
          <w:rFonts w:ascii="Times New Roman" w:hAnsi="Times New Roman" w:cs="Times New Roman"/>
          <w:sz w:val="24"/>
          <w:szCs w:val="24"/>
        </w:rPr>
        <w:t>Kate-Vera Larsen, Samuel J. Cobbina, Samuel A. Ofori and Divine Addo (2020): Quantification and health risk assessment of heavy metals in Milled maize and Millet in the Tolon District, Northern Ghana: Journal of Food Science and Nutrition 8 (8) 4205-4213</w:t>
      </w:r>
    </w:p>
    <w:p w14:paraId="69C103DF" w14:textId="0216CAD7" w:rsidR="000420D9" w:rsidRPr="00BE351D" w:rsidRDefault="000420D9" w:rsidP="00BE351D">
      <w:pPr>
        <w:spacing w:before="100" w:beforeAutospacing="1" w:after="100" w:afterAutospacing="1" w:line="240" w:lineRule="auto"/>
        <w:ind w:left="360"/>
        <w:jc w:val="both"/>
        <w:rPr>
          <w:rFonts w:ascii="Times New Roman" w:eastAsia="Times New Roman" w:hAnsi="Times New Roman" w:cs="Times New Roman"/>
          <w:sz w:val="24"/>
          <w:szCs w:val="24"/>
          <w:lang w:eastAsia="en-GB"/>
        </w:rPr>
      </w:pPr>
    </w:p>
    <w:sectPr w:rsidR="000420D9" w:rsidRPr="00BE351D" w:rsidSect="00A215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81077" w14:textId="77777777" w:rsidR="00A222BD" w:rsidRDefault="00A222BD" w:rsidP="004C4297">
      <w:pPr>
        <w:spacing w:after="0" w:line="240" w:lineRule="auto"/>
      </w:pPr>
      <w:r>
        <w:separator/>
      </w:r>
    </w:p>
  </w:endnote>
  <w:endnote w:type="continuationSeparator" w:id="0">
    <w:p w14:paraId="4707351F" w14:textId="77777777" w:rsidR="00A222BD" w:rsidRDefault="00A222BD" w:rsidP="004C4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766055"/>
      <w:docPartObj>
        <w:docPartGallery w:val="Page Numbers (Bottom of Page)"/>
        <w:docPartUnique/>
      </w:docPartObj>
    </w:sdtPr>
    <w:sdtEndPr>
      <w:rPr>
        <w:noProof/>
      </w:rPr>
    </w:sdtEndPr>
    <w:sdtContent>
      <w:p w14:paraId="6904B7D9" w14:textId="59C3085D" w:rsidR="00E23AA2" w:rsidRDefault="00E23A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D79A2" w14:textId="77777777" w:rsidR="00E23AA2" w:rsidRDefault="00E23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D008E" w14:textId="77777777" w:rsidR="00A222BD" w:rsidRDefault="00A222BD" w:rsidP="004C4297">
      <w:pPr>
        <w:spacing w:after="0" w:line="240" w:lineRule="auto"/>
      </w:pPr>
      <w:r>
        <w:separator/>
      </w:r>
    </w:p>
  </w:footnote>
  <w:footnote w:type="continuationSeparator" w:id="0">
    <w:p w14:paraId="3EE7E200" w14:textId="77777777" w:rsidR="00A222BD" w:rsidRDefault="00A222BD" w:rsidP="004C4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8371C" w14:textId="77777777" w:rsidR="00E23AA2" w:rsidRDefault="00E23AA2" w:rsidP="0080143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93378D"/>
    <w:multiLevelType w:val="hybridMultilevel"/>
    <w:tmpl w:val="CEA65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FA1D86"/>
    <w:multiLevelType w:val="hybridMultilevel"/>
    <w:tmpl w:val="A372C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7D2D2C"/>
    <w:multiLevelType w:val="hybridMultilevel"/>
    <w:tmpl w:val="7722E9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2737872">
    <w:abstractNumId w:val="1"/>
  </w:num>
  <w:num w:numId="2" w16cid:durableId="1315333074">
    <w:abstractNumId w:val="0"/>
  </w:num>
  <w:num w:numId="3" w16cid:durableId="4560672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D9"/>
    <w:rsid w:val="0000509B"/>
    <w:rsid w:val="0001055A"/>
    <w:rsid w:val="00011E3D"/>
    <w:rsid w:val="00037629"/>
    <w:rsid w:val="00040C93"/>
    <w:rsid w:val="000420D9"/>
    <w:rsid w:val="00046D38"/>
    <w:rsid w:val="00047D12"/>
    <w:rsid w:val="000564BA"/>
    <w:rsid w:val="00064FFE"/>
    <w:rsid w:val="00083275"/>
    <w:rsid w:val="000A5827"/>
    <w:rsid w:val="000B54C2"/>
    <w:rsid w:val="000C03C7"/>
    <w:rsid w:val="000C2CAC"/>
    <w:rsid w:val="000C7C92"/>
    <w:rsid w:val="000E0C6D"/>
    <w:rsid w:val="000F0C56"/>
    <w:rsid w:val="00103A83"/>
    <w:rsid w:val="00136B55"/>
    <w:rsid w:val="001433AE"/>
    <w:rsid w:val="001615A9"/>
    <w:rsid w:val="00164565"/>
    <w:rsid w:val="0016724C"/>
    <w:rsid w:val="00174BFB"/>
    <w:rsid w:val="00176289"/>
    <w:rsid w:val="001A0E29"/>
    <w:rsid w:val="001A214C"/>
    <w:rsid w:val="001B3E64"/>
    <w:rsid w:val="001C2958"/>
    <w:rsid w:val="001E6FE9"/>
    <w:rsid w:val="001F0E99"/>
    <w:rsid w:val="002001C5"/>
    <w:rsid w:val="00217BD5"/>
    <w:rsid w:val="002219DE"/>
    <w:rsid w:val="00227901"/>
    <w:rsid w:val="002407DB"/>
    <w:rsid w:val="002410D1"/>
    <w:rsid w:val="00245EE8"/>
    <w:rsid w:val="00270090"/>
    <w:rsid w:val="00272804"/>
    <w:rsid w:val="00276B6C"/>
    <w:rsid w:val="00280202"/>
    <w:rsid w:val="00285697"/>
    <w:rsid w:val="00290237"/>
    <w:rsid w:val="002B046D"/>
    <w:rsid w:val="002B2453"/>
    <w:rsid w:val="002D4C6F"/>
    <w:rsid w:val="002F5352"/>
    <w:rsid w:val="003015AE"/>
    <w:rsid w:val="003021E5"/>
    <w:rsid w:val="003117CD"/>
    <w:rsid w:val="00326685"/>
    <w:rsid w:val="00326710"/>
    <w:rsid w:val="00350799"/>
    <w:rsid w:val="00352203"/>
    <w:rsid w:val="00381230"/>
    <w:rsid w:val="0038231D"/>
    <w:rsid w:val="00384DAD"/>
    <w:rsid w:val="00384E95"/>
    <w:rsid w:val="00390625"/>
    <w:rsid w:val="003A56EC"/>
    <w:rsid w:val="003B2E93"/>
    <w:rsid w:val="003C0A5E"/>
    <w:rsid w:val="003C49B8"/>
    <w:rsid w:val="003D684B"/>
    <w:rsid w:val="003E5C10"/>
    <w:rsid w:val="003F0CAC"/>
    <w:rsid w:val="003F21D7"/>
    <w:rsid w:val="003F7AD4"/>
    <w:rsid w:val="004043FE"/>
    <w:rsid w:val="00413878"/>
    <w:rsid w:val="00420269"/>
    <w:rsid w:val="004316B0"/>
    <w:rsid w:val="004335DB"/>
    <w:rsid w:val="00436BEC"/>
    <w:rsid w:val="00452A18"/>
    <w:rsid w:val="004538D6"/>
    <w:rsid w:val="00467858"/>
    <w:rsid w:val="004710F2"/>
    <w:rsid w:val="004807E1"/>
    <w:rsid w:val="00482FE3"/>
    <w:rsid w:val="004863A9"/>
    <w:rsid w:val="00487CB2"/>
    <w:rsid w:val="004A0F6A"/>
    <w:rsid w:val="004A112A"/>
    <w:rsid w:val="004C32A7"/>
    <w:rsid w:val="004C4297"/>
    <w:rsid w:val="004F345F"/>
    <w:rsid w:val="004F6A56"/>
    <w:rsid w:val="00501B91"/>
    <w:rsid w:val="005230CE"/>
    <w:rsid w:val="0053024D"/>
    <w:rsid w:val="00530E87"/>
    <w:rsid w:val="00535131"/>
    <w:rsid w:val="00540985"/>
    <w:rsid w:val="00542BC8"/>
    <w:rsid w:val="00546375"/>
    <w:rsid w:val="00560A0B"/>
    <w:rsid w:val="00583234"/>
    <w:rsid w:val="00593B4F"/>
    <w:rsid w:val="005B5370"/>
    <w:rsid w:val="005D3BB2"/>
    <w:rsid w:val="005D729C"/>
    <w:rsid w:val="005F1541"/>
    <w:rsid w:val="0060177A"/>
    <w:rsid w:val="00611260"/>
    <w:rsid w:val="0061281E"/>
    <w:rsid w:val="00614E08"/>
    <w:rsid w:val="00626432"/>
    <w:rsid w:val="006327F5"/>
    <w:rsid w:val="0063771F"/>
    <w:rsid w:val="006405FA"/>
    <w:rsid w:val="006512BD"/>
    <w:rsid w:val="00653F81"/>
    <w:rsid w:val="00665BAD"/>
    <w:rsid w:val="00667900"/>
    <w:rsid w:val="00673EE6"/>
    <w:rsid w:val="0067619C"/>
    <w:rsid w:val="00687A3A"/>
    <w:rsid w:val="006A423D"/>
    <w:rsid w:val="006A6150"/>
    <w:rsid w:val="006A6DBC"/>
    <w:rsid w:val="006B0DCE"/>
    <w:rsid w:val="006B7F49"/>
    <w:rsid w:val="006C5382"/>
    <w:rsid w:val="006D6039"/>
    <w:rsid w:val="00715C5B"/>
    <w:rsid w:val="00722B88"/>
    <w:rsid w:val="0072581D"/>
    <w:rsid w:val="0074608E"/>
    <w:rsid w:val="00753E94"/>
    <w:rsid w:val="007571A3"/>
    <w:rsid w:val="00760458"/>
    <w:rsid w:val="00763061"/>
    <w:rsid w:val="00791575"/>
    <w:rsid w:val="007A2E2D"/>
    <w:rsid w:val="007A46A7"/>
    <w:rsid w:val="007B2A64"/>
    <w:rsid w:val="007C13F1"/>
    <w:rsid w:val="007C5034"/>
    <w:rsid w:val="007E7839"/>
    <w:rsid w:val="007F04ED"/>
    <w:rsid w:val="007F6537"/>
    <w:rsid w:val="00801435"/>
    <w:rsid w:val="0080533B"/>
    <w:rsid w:val="00811C5F"/>
    <w:rsid w:val="00813BAE"/>
    <w:rsid w:val="008169E7"/>
    <w:rsid w:val="008216E7"/>
    <w:rsid w:val="0082371A"/>
    <w:rsid w:val="00843F5E"/>
    <w:rsid w:val="00866B9D"/>
    <w:rsid w:val="008751EA"/>
    <w:rsid w:val="00883446"/>
    <w:rsid w:val="00894109"/>
    <w:rsid w:val="008959DE"/>
    <w:rsid w:val="00895C7E"/>
    <w:rsid w:val="00897A2A"/>
    <w:rsid w:val="008C06D9"/>
    <w:rsid w:val="008C1916"/>
    <w:rsid w:val="008D31A3"/>
    <w:rsid w:val="008E4C1F"/>
    <w:rsid w:val="00913832"/>
    <w:rsid w:val="00913A23"/>
    <w:rsid w:val="00923E18"/>
    <w:rsid w:val="00925034"/>
    <w:rsid w:val="00934355"/>
    <w:rsid w:val="00940004"/>
    <w:rsid w:val="00953AD3"/>
    <w:rsid w:val="0097689C"/>
    <w:rsid w:val="00983520"/>
    <w:rsid w:val="0098664C"/>
    <w:rsid w:val="009873D2"/>
    <w:rsid w:val="009926F6"/>
    <w:rsid w:val="009A36A2"/>
    <w:rsid w:val="009D27E5"/>
    <w:rsid w:val="009D29DA"/>
    <w:rsid w:val="009E1B9C"/>
    <w:rsid w:val="009E53C3"/>
    <w:rsid w:val="009E773A"/>
    <w:rsid w:val="009F0EC2"/>
    <w:rsid w:val="009F5032"/>
    <w:rsid w:val="00A06DA9"/>
    <w:rsid w:val="00A20871"/>
    <w:rsid w:val="00A215B2"/>
    <w:rsid w:val="00A222BD"/>
    <w:rsid w:val="00A30180"/>
    <w:rsid w:val="00A36030"/>
    <w:rsid w:val="00A43881"/>
    <w:rsid w:val="00A501C4"/>
    <w:rsid w:val="00A6509C"/>
    <w:rsid w:val="00A81254"/>
    <w:rsid w:val="00A872E7"/>
    <w:rsid w:val="00AC0931"/>
    <w:rsid w:val="00AE1D0B"/>
    <w:rsid w:val="00AE5B1C"/>
    <w:rsid w:val="00AF156F"/>
    <w:rsid w:val="00AF21B9"/>
    <w:rsid w:val="00AF45F2"/>
    <w:rsid w:val="00AF7EB7"/>
    <w:rsid w:val="00B21829"/>
    <w:rsid w:val="00B269A1"/>
    <w:rsid w:val="00B33D09"/>
    <w:rsid w:val="00B41A90"/>
    <w:rsid w:val="00B46EAE"/>
    <w:rsid w:val="00B47397"/>
    <w:rsid w:val="00B679E7"/>
    <w:rsid w:val="00B74D64"/>
    <w:rsid w:val="00B84C5A"/>
    <w:rsid w:val="00B86069"/>
    <w:rsid w:val="00B95872"/>
    <w:rsid w:val="00BB15F1"/>
    <w:rsid w:val="00BB50EF"/>
    <w:rsid w:val="00BD6C5F"/>
    <w:rsid w:val="00BD6EBA"/>
    <w:rsid w:val="00BD6F93"/>
    <w:rsid w:val="00BE351D"/>
    <w:rsid w:val="00BF01C6"/>
    <w:rsid w:val="00C06136"/>
    <w:rsid w:val="00C06E5A"/>
    <w:rsid w:val="00C10C24"/>
    <w:rsid w:val="00C1545B"/>
    <w:rsid w:val="00C1773A"/>
    <w:rsid w:val="00C30839"/>
    <w:rsid w:val="00C37699"/>
    <w:rsid w:val="00C4162C"/>
    <w:rsid w:val="00C6302C"/>
    <w:rsid w:val="00C65BDF"/>
    <w:rsid w:val="00C858EE"/>
    <w:rsid w:val="00C87D2E"/>
    <w:rsid w:val="00CA7055"/>
    <w:rsid w:val="00CB1A8C"/>
    <w:rsid w:val="00CB438A"/>
    <w:rsid w:val="00CC232B"/>
    <w:rsid w:val="00CD25A2"/>
    <w:rsid w:val="00CD35EC"/>
    <w:rsid w:val="00CE2171"/>
    <w:rsid w:val="00CF04E5"/>
    <w:rsid w:val="00D222D2"/>
    <w:rsid w:val="00D22730"/>
    <w:rsid w:val="00D25D78"/>
    <w:rsid w:val="00D26F50"/>
    <w:rsid w:val="00D3795E"/>
    <w:rsid w:val="00D43062"/>
    <w:rsid w:val="00D47EC6"/>
    <w:rsid w:val="00D47F7F"/>
    <w:rsid w:val="00D62DF1"/>
    <w:rsid w:val="00D72A89"/>
    <w:rsid w:val="00D7653B"/>
    <w:rsid w:val="00D76852"/>
    <w:rsid w:val="00D87A06"/>
    <w:rsid w:val="00DA1728"/>
    <w:rsid w:val="00DA305C"/>
    <w:rsid w:val="00DA3530"/>
    <w:rsid w:val="00DA6CDE"/>
    <w:rsid w:val="00DB0097"/>
    <w:rsid w:val="00DB22BD"/>
    <w:rsid w:val="00DB5866"/>
    <w:rsid w:val="00DD7813"/>
    <w:rsid w:val="00DD7D17"/>
    <w:rsid w:val="00DE0D3B"/>
    <w:rsid w:val="00DE25CF"/>
    <w:rsid w:val="00DF2A58"/>
    <w:rsid w:val="00E04AFC"/>
    <w:rsid w:val="00E07613"/>
    <w:rsid w:val="00E11152"/>
    <w:rsid w:val="00E1298F"/>
    <w:rsid w:val="00E13743"/>
    <w:rsid w:val="00E13747"/>
    <w:rsid w:val="00E13EE6"/>
    <w:rsid w:val="00E23AA2"/>
    <w:rsid w:val="00E23EC1"/>
    <w:rsid w:val="00E246E7"/>
    <w:rsid w:val="00E25F92"/>
    <w:rsid w:val="00E27BDE"/>
    <w:rsid w:val="00E41A51"/>
    <w:rsid w:val="00E469E8"/>
    <w:rsid w:val="00E80B41"/>
    <w:rsid w:val="00E82F52"/>
    <w:rsid w:val="00E8446B"/>
    <w:rsid w:val="00E906A5"/>
    <w:rsid w:val="00E92E62"/>
    <w:rsid w:val="00E9700D"/>
    <w:rsid w:val="00EB2B84"/>
    <w:rsid w:val="00EC0ACD"/>
    <w:rsid w:val="00EC3EC0"/>
    <w:rsid w:val="00ED3160"/>
    <w:rsid w:val="00ED6789"/>
    <w:rsid w:val="00EE3D7C"/>
    <w:rsid w:val="00EE70C6"/>
    <w:rsid w:val="00EF4C45"/>
    <w:rsid w:val="00F057F5"/>
    <w:rsid w:val="00F15610"/>
    <w:rsid w:val="00F2041E"/>
    <w:rsid w:val="00F22E6F"/>
    <w:rsid w:val="00F23962"/>
    <w:rsid w:val="00F40A6B"/>
    <w:rsid w:val="00F47771"/>
    <w:rsid w:val="00F47A1C"/>
    <w:rsid w:val="00F54B80"/>
    <w:rsid w:val="00F718DE"/>
    <w:rsid w:val="00F7749F"/>
    <w:rsid w:val="00F81929"/>
    <w:rsid w:val="00F857BB"/>
    <w:rsid w:val="00F87E3E"/>
    <w:rsid w:val="00FA464D"/>
    <w:rsid w:val="00FA4874"/>
    <w:rsid w:val="00FB0CB8"/>
    <w:rsid w:val="00FB3864"/>
    <w:rsid w:val="00FC16C5"/>
    <w:rsid w:val="00FC3EE3"/>
    <w:rsid w:val="00FC3F71"/>
    <w:rsid w:val="00FC4E0E"/>
    <w:rsid w:val="00FD20A6"/>
    <w:rsid w:val="00FD49C1"/>
    <w:rsid w:val="00FE1398"/>
    <w:rsid w:val="00FF179E"/>
    <w:rsid w:val="00FF5F73"/>
    <w:rsid w:val="00FF7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7AA18"/>
  <w15:chartTrackingRefBased/>
  <w15:docId w15:val="{6234860D-5A4B-47B1-9324-402D3BB0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420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420D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420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0420D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420D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420D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420D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qFormat/>
    <w:rsid w:val="000420D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42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420D9"/>
    <w:rPr>
      <w:i/>
      <w:iCs/>
    </w:rPr>
  </w:style>
  <w:style w:type="character" w:styleId="Strong">
    <w:name w:val="Strong"/>
    <w:basedOn w:val="DefaultParagraphFont"/>
    <w:uiPriority w:val="22"/>
    <w:qFormat/>
    <w:rsid w:val="000420D9"/>
    <w:rPr>
      <w:b/>
      <w:bCs/>
    </w:rPr>
  </w:style>
  <w:style w:type="character" w:styleId="Hyperlink">
    <w:name w:val="Hyperlink"/>
    <w:basedOn w:val="DefaultParagraphFont"/>
    <w:uiPriority w:val="99"/>
    <w:unhideWhenUsed/>
    <w:rsid w:val="00C1545B"/>
    <w:rPr>
      <w:color w:val="0563C1" w:themeColor="hyperlink"/>
      <w:u w:val="single"/>
    </w:rPr>
  </w:style>
  <w:style w:type="paragraph" w:styleId="Header">
    <w:name w:val="header"/>
    <w:basedOn w:val="Normal"/>
    <w:link w:val="HeaderChar"/>
    <w:uiPriority w:val="99"/>
    <w:unhideWhenUsed/>
    <w:rsid w:val="004C4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297"/>
  </w:style>
  <w:style w:type="paragraph" w:styleId="Footer">
    <w:name w:val="footer"/>
    <w:basedOn w:val="Normal"/>
    <w:link w:val="FooterChar"/>
    <w:uiPriority w:val="99"/>
    <w:unhideWhenUsed/>
    <w:rsid w:val="004C4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297"/>
  </w:style>
  <w:style w:type="table" w:customStyle="1" w:styleId="GridTable4-Accent51">
    <w:name w:val="Grid Table 4 - Accent 51"/>
    <w:basedOn w:val="TableNormal"/>
    <w:uiPriority w:val="49"/>
    <w:rsid w:val="00285697"/>
    <w:pPr>
      <w:spacing w:after="0" w:line="240" w:lineRule="auto"/>
    </w:pPr>
    <w:rPr>
      <w:kern w:val="2"/>
      <w:sz w:val="24"/>
      <w:szCs w:val="24"/>
      <w14:ligatures w14:val="standardContextual"/>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1">
    <w:name w:val="Grid Table 4 - Accent 511"/>
    <w:basedOn w:val="TableNormal"/>
    <w:uiPriority w:val="49"/>
    <w:rsid w:val="00801435"/>
    <w:pPr>
      <w:spacing w:after="0" w:line="240" w:lineRule="auto"/>
    </w:pPr>
    <w:rPr>
      <w:kern w:val="2"/>
      <w:sz w:val="24"/>
      <w:szCs w:val="24"/>
      <w14:ligatures w14:val="standardContextual"/>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aption">
    <w:name w:val="caption"/>
    <w:basedOn w:val="Normal"/>
    <w:next w:val="Normal"/>
    <w:uiPriority w:val="35"/>
    <w:unhideWhenUsed/>
    <w:qFormat/>
    <w:rsid w:val="00801435"/>
    <w:pPr>
      <w:spacing w:after="200" w:line="240" w:lineRule="auto"/>
    </w:pPr>
    <w:rPr>
      <w:rFonts w:eastAsiaTheme="minorEastAsia"/>
      <w:i/>
      <w:iCs/>
      <w:color w:val="44546A" w:themeColor="text2"/>
      <w:kern w:val="2"/>
      <w:sz w:val="18"/>
      <w:szCs w:val="18"/>
      <w:lang w:val="en-US"/>
      <w14:ligatures w14:val="standardContextual"/>
    </w:rPr>
  </w:style>
  <w:style w:type="table" w:customStyle="1" w:styleId="TableGrid1">
    <w:name w:val="Table Grid1"/>
    <w:basedOn w:val="TableNormal"/>
    <w:next w:val="TableGrid"/>
    <w:uiPriority w:val="59"/>
    <w:qFormat/>
    <w:rsid w:val="00352203"/>
    <w:pPr>
      <w:spacing w:after="0" w:line="240" w:lineRule="auto"/>
    </w:pPr>
    <w:rPr>
      <w:rFonts w:eastAsia="DengXi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35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31D"/>
    <w:pPr>
      <w:ind w:left="720"/>
      <w:contextualSpacing/>
    </w:pPr>
  </w:style>
  <w:style w:type="paragraph" w:styleId="NoSpacing">
    <w:name w:val="No Spacing"/>
    <w:link w:val="NoSpacingChar"/>
    <w:uiPriority w:val="1"/>
    <w:qFormat/>
    <w:rsid w:val="007571A3"/>
    <w:pPr>
      <w:spacing w:after="0" w:line="240" w:lineRule="auto"/>
    </w:pPr>
    <w:rPr>
      <w:rFonts w:ascii="Calibri" w:eastAsia="Calibri" w:hAnsi="Calibri" w:cs="Times New Roman"/>
      <w:kern w:val="36"/>
      <w:sz w:val="24"/>
      <w:szCs w:val="28"/>
      <w:lang w:val="en-US" w:eastAsia="en-GB"/>
    </w:rPr>
  </w:style>
  <w:style w:type="character" w:customStyle="1" w:styleId="NoSpacingChar">
    <w:name w:val="No Spacing Char"/>
    <w:basedOn w:val="Heading1Char"/>
    <w:link w:val="NoSpacing"/>
    <w:uiPriority w:val="1"/>
    <w:qFormat/>
    <w:rsid w:val="007571A3"/>
    <w:rPr>
      <w:rFonts w:ascii="Calibri" w:eastAsia="Calibri" w:hAnsi="Calibri" w:cs="Times New Roman"/>
      <w:b w:val="0"/>
      <w:bCs w:val="0"/>
      <w:kern w:val="36"/>
      <w:sz w:val="24"/>
      <w:szCs w:val="2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50247">
      <w:bodyDiv w:val="1"/>
      <w:marLeft w:val="0"/>
      <w:marRight w:val="0"/>
      <w:marTop w:val="0"/>
      <w:marBottom w:val="0"/>
      <w:divBdr>
        <w:top w:val="none" w:sz="0" w:space="0" w:color="auto"/>
        <w:left w:val="none" w:sz="0" w:space="0" w:color="auto"/>
        <w:bottom w:val="none" w:sz="0" w:space="0" w:color="auto"/>
        <w:right w:val="none" w:sz="0" w:space="0" w:color="auto"/>
      </w:divBdr>
      <w:divsChild>
        <w:div w:id="1277256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577441">
              <w:marLeft w:val="0"/>
              <w:marRight w:val="0"/>
              <w:marTop w:val="0"/>
              <w:marBottom w:val="0"/>
              <w:divBdr>
                <w:top w:val="none" w:sz="0" w:space="0" w:color="auto"/>
                <w:left w:val="none" w:sz="0" w:space="0" w:color="auto"/>
                <w:bottom w:val="none" w:sz="0" w:space="0" w:color="auto"/>
                <w:right w:val="none" w:sz="0" w:space="0" w:color="auto"/>
              </w:divBdr>
            </w:div>
          </w:divsChild>
        </w:div>
        <w:div w:id="806164197">
          <w:marLeft w:val="0"/>
          <w:marRight w:val="0"/>
          <w:marTop w:val="0"/>
          <w:marBottom w:val="0"/>
          <w:divBdr>
            <w:top w:val="none" w:sz="0" w:space="0" w:color="auto"/>
            <w:left w:val="none" w:sz="0" w:space="0" w:color="auto"/>
            <w:bottom w:val="none" w:sz="0" w:space="0" w:color="auto"/>
            <w:right w:val="none" w:sz="0" w:space="0" w:color="auto"/>
          </w:divBdr>
        </w:div>
        <w:div w:id="1633558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8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5536">
      <w:bodyDiv w:val="1"/>
      <w:marLeft w:val="0"/>
      <w:marRight w:val="0"/>
      <w:marTop w:val="0"/>
      <w:marBottom w:val="0"/>
      <w:divBdr>
        <w:top w:val="none" w:sz="0" w:space="0" w:color="auto"/>
        <w:left w:val="none" w:sz="0" w:space="0" w:color="auto"/>
        <w:bottom w:val="none" w:sz="0" w:space="0" w:color="auto"/>
        <w:right w:val="none" w:sz="0" w:space="0" w:color="auto"/>
      </w:divBdr>
    </w:div>
    <w:div w:id="235825837">
      <w:bodyDiv w:val="1"/>
      <w:marLeft w:val="0"/>
      <w:marRight w:val="0"/>
      <w:marTop w:val="0"/>
      <w:marBottom w:val="0"/>
      <w:divBdr>
        <w:top w:val="none" w:sz="0" w:space="0" w:color="auto"/>
        <w:left w:val="none" w:sz="0" w:space="0" w:color="auto"/>
        <w:bottom w:val="none" w:sz="0" w:space="0" w:color="auto"/>
        <w:right w:val="none" w:sz="0" w:space="0" w:color="auto"/>
      </w:divBdr>
    </w:div>
    <w:div w:id="404642177">
      <w:bodyDiv w:val="1"/>
      <w:marLeft w:val="0"/>
      <w:marRight w:val="0"/>
      <w:marTop w:val="0"/>
      <w:marBottom w:val="0"/>
      <w:divBdr>
        <w:top w:val="none" w:sz="0" w:space="0" w:color="auto"/>
        <w:left w:val="none" w:sz="0" w:space="0" w:color="auto"/>
        <w:bottom w:val="none" w:sz="0" w:space="0" w:color="auto"/>
        <w:right w:val="none" w:sz="0" w:space="0" w:color="auto"/>
      </w:divBdr>
    </w:div>
    <w:div w:id="417598095">
      <w:bodyDiv w:val="1"/>
      <w:marLeft w:val="0"/>
      <w:marRight w:val="0"/>
      <w:marTop w:val="0"/>
      <w:marBottom w:val="0"/>
      <w:divBdr>
        <w:top w:val="none" w:sz="0" w:space="0" w:color="auto"/>
        <w:left w:val="none" w:sz="0" w:space="0" w:color="auto"/>
        <w:bottom w:val="none" w:sz="0" w:space="0" w:color="auto"/>
        <w:right w:val="none" w:sz="0" w:space="0" w:color="auto"/>
      </w:divBdr>
    </w:div>
    <w:div w:id="1418215110">
      <w:bodyDiv w:val="1"/>
      <w:marLeft w:val="0"/>
      <w:marRight w:val="0"/>
      <w:marTop w:val="0"/>
      <w:marBottom w:val="0"/>
      <w:divBdr>
        <w:top w:val="none" w:sz="0" w:space="0" w:color="auto"/>
        <w:left w:val="none" w:sz="0" w:space="0" w:color="auto"/>
        <w:bottom w:val="none" w:sz="0" w:space="0" w:color="auto"/>
        <w:right w:val="none" w:sz="0" w:space="0" w:color="auto"/>
      </w:divBdr>
    </w:div>
    <w:div w:id="168743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ithure@uonbi.ac.ke" TargetMode="External"/><Relationship Id="rId13" Type="http://schemas.openxmlformats.org/officeDocument/2006/relationships/image" Target="media/image2.jp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afa.go.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borah\Desktop\zinc%20lev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8"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borah\Desktop\copper%20leve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9"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borah\Desktop\Lead%20level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Zinc</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0.34300000000000003</c:v>
                </c:pt>
                <c:pt idx="1">
                  <c:v>0.38900000000000001</c:v>
                </c:pt>
                <c:pt idx="2">
                  <c:v>0.372</c:v>
                </c:pt>
              </c:numCache>
            </c:numRef>
          </c:val>
          <c:extLst>
            <c:ext xmlns:c16="http://schemas.microsoft.com/office/drawing/2014/chart" uri="{C3380CC4-5D6E-409C-BE32-E72D297353CC}">
              <c16:uniqueId val="{00000000-2C60-49BC-B7FF-12BB320CEE60}"/>
            </c:ext>
          </c:extLst>
        </c:ser>
        <c:dLbls>
          <c:showLegendKey val="0"/>
          <c:showVal val="0"/>
          <c:showCatName val="0"/>
          <c:showSerName val="0"/>
          <c:showPercent val="0"/>
          <c:showBubbleSize val="0"/>
        </c:dLbls>
        <c:gapWidth val="150"/>
        <c:overlap val="100"/>
        <c:axId val="1669356415"/>
        <c:axId val="1607604191"/>
      </c:barChart>
      <c:catAx>
        <c:axId val="166935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604191"/>
        <c:crosses val="autoZero"/>
        <c:auto val="1"/>
        <c:lblAlgn val="ctr"/>
        <c:lblOffset val="100"/>
        <c:noMultiLvlLbl val="0"/>
      </c:catAx>
      <c:valAx>
        <c:axId val="1607604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356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Cadmium</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1.998</c:v>
                </c:pt>
                <c:pt idx="1">
                  <c:v>0.56200000000000006</c:v>
                </c:pt>
                <c:pt idx="2">
                  <c:v>1.843</c:v>
                </c:pt>
              </c:numCache>
            </c:numRef>
          </c:val>
          <c:extLst>
            <c:ext xmlns:c16="http://schemas.microsoft.com/office/drawing/2014/chart" uri="{C3380CC4-5D6E-409C-BE32-E72D297353CC}">
              <c16:uniqueId val="{00000000-3DD1-4B4E-BE98-20E939E7AEE0}"/>
            </c:ext>
          </c:extLst>
        </c:ser>
        <c:dLbls>
          <c:showLegendKey val="0"/>
          <c:showVal val="0"/>
          <c:showCatName val="0"/>
          <c:showSerName val="0"/>
          <c:showPercent val="0"/>
          <c:showBubbleSize val="0"/>
        </c:dLbls>
        <c:gapWidth val="150"/>
        <c:overlap val="100"/>
        <c:axId val="1676759551"/>
        <c:axId val="1866931519"/>
      </c:barChart>
      <c:catAx>
        <c:axId val="167675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6931519"/>
        <c:crosses val="autoZero"/>
        <c:auto val="1"/>
        <c:lblAlgn val="ctr"/>
        <c:lblOffset val="100"/>
        <c:noMultiLvlLbl val="0"/>
      </c:catAx>
      <c:valAx>
        <c:axId val="1866931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759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Copper</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Sheet1!$C$3</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Sheet1!$B$4:$B$6</c:f>
              <c:strCache>
                <c:ptCount val="3"/>
                <c:pt idx="0">
                  <c:v>SC Sungura 301</c:v>
                </c:pt>
                <c:pt idx="1">
                  <c:v>SC Duma 43</c:v>
                </c:pt>
                <c:pt idx="2">
                  <c:v>Indigenious Kamba Maize</c:v>
                </c:pt>
              </c:strCache>
            </c:strRef>
          </c:cat>
          <c:val>
            <c:numRef>
              <c:f>Sheet1!$C$4:$C$6</c:f>
              <c:numCache>
                <c:formatCode>General</c:formatCode>
                <c:ptCount val="3"/>
                <c:pt idx="0">
                  <c:v>0.75600000000000001</c:v>
                </c:pt>
                <c:pt idx="1">
                  <c:v>0.74099999999999999</c:v>
                </c:pt>
                <c:pt idx="2">
                  <c:v>0.7</c:v>
                </c:pt>
              </c:numCache>
            </c:numRef>
          </c:val>
          <c:extLst>
            <c:ext xmlns:c16="http://schemas.microsoft.com/office/drawing/2014/chart" uri="{C3380CC4-5D6E-409C-BE32-E72D297353CC}">
              <c16:uniqueId val="{00000000-F8D3-41FC-ACD1-19EAE2F1D9E5}"/>
            </c:ext>
          </c:extLst>
        </c:ser>
        <c:dLbls>
          <c:showLegendKey val="0"/>
          <c:showVal val="0"/>
          <c:showCatName val="0"/>
          <c:showSerName val="0"/>
          <c:showPercent val="0"/>
          <c:showBubbleSize val="0"/>
        </c:dLbls>
        <c:gapWidth val="150"/>
        <c:overlap val="100"/>
        <c:axId val="752585424"/>
        <c:axId val="752583072"/>
      </c:barChart>
      <c:catAx>
        <c:axId val="75258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3072"/>
        <c:crosses val="autoZero"/>
        <c:auto val="1"/>
        <c:lblAlgn val="ctr"/>
        <c:lblOffset val="100"/>
        <c:noMultiLvlLbl val="0"/>
      </c:catAx>
      <c:valAx>
        <c:axId val="75258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5424"/>
        <c:crosses val="autoZero"/>
        <c:crossBetween val="between"/>
      </c:valAx>
      <c:spPr>
        <a:noFill/>
        <a:ln>
          <a:noFill/>
        </a:ln>
        <a:effectLst/>
      </c:spPr>
    </c:plotArea>
    <c:plotVisOnly val="1"/>
    <c:dispBlanksAs val="gap"/>
    <c:showDLblsOverMax val="0"/>
    <c:extLst>
      <c:ext uri="{0b15fc19-7d7d-44ad-8c2d-2c3a37ce22c3}">
        <chartProps xmlns="https://web.wps.cn/et/2018/main" chartId="{abc31e96-7289-4ff7-b2c1-37f15d17bc4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Manganese</a:t>
            </a:r>
            <a:r>
              <a:rPr lang="en-US" baseline="0"/>
              <a:t> levels in maize seeds</a:t>
            </a:r>
            <a:endParaRPr lang="en-US"/>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Sheet1!$C$4</c:f>
              <c:strCache>
                <c:ptCount val="1"/>
                <c:pt idx="0">
                  <c:v>Concentration (mg/g)</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Sheet1!$B$5:$B$7</c:f>
              <c:strCache>
                <c:ptCount val="3"/>
                <c:pt idx="0">
                  <c:v>SC Sungura 301</c:v>
                </c:pt>
                <c:pt idx="1">
                  <c:v>SC Duma 43</c:v>
                </c:pt>
                <c:pt idx="2">
                  <c:v>Indigenious Kamba Maize</c:v>
                </c:pt>
              </c:strCache>
            </c:strRef>
          </c:cat>
          <c:val>
            <c:numRef>
              <c:f>Sheet1!$C$5:$C$7</c:f>
              <c:numCache>
                <c:formatCode>General</c:formatCode>
                <c:ptCount val="3"/>
                <c:pt idx="0">
                  <c:v>2.7450000000000001</c:v>
                </c:pt>
                <c:pt idx="1">
                  <c:v>1.748</c:v>
                </c:pt>
                <c:pt idx="2">
                  <c:v>0.27</c:v>
                </c:pt>
              </c:numCache>
            </c:numRef>
          </c:val>
          <c:extLst>
            <c:ext xmlns:c16="http://schemas.microsoft.com/office/drawing/2014/chart" uri="{C3380CC4-5D6E-409C-BE32-E72D297353CC}">
              <c16:uniqueId val="{00000000-A37C-464B-8FD1-C509E363E611}"/>
            </c:ext>
          </c:extLst>
        </c:ser>
        <c:dLbls>
          <c:showLegendKey val="0"/>
          <c:showVal val="0"/>
          <c:showCatName val="0"/>
          <c:showSerName val="0"/>
          <c:showPercent val="0"/>
          <c:showBubbleSize val="0"/>
        </c:dLbls>
        <c:gapWidth val="150"/>
        <c:overlap val="100"/>
        <c:axId val="752587384"/>
        <c:axId val="752580720"/>
      </c:barChart>
      <c:catAx>
        <c:axId val="75258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0720"/>
        <c:crosses val="autoZero"/>
        <c:auto val="1"/>
        <c:lblAlgn val="ctr"/>
        <c:lblOffset val="100"/>
        <c:noMultiLvlLbl val="0"/>
      </c:catAx>
      <c:valAx>
        <c:axId val="75258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solidFill>
                      <a:schemeClr val="tx1"/>
                    </a:solidFill>
                  </a:rPr>
                  <a:t>Concentration</a:t>
                </a:r>
                <a:r>
                  <a:rPr lang="en-US" b="1" baseline="0">
                    <a:solidFill>
                      <a:schemeClr val="tx1"/>
                    </a:solidFill>
                  </a:rPr>
                  <a:t> (mg/g)</a:t>
                </a:r>
                <a:endParaRPr lang="en-US" b="1">
                  <a:solidFill>
                    <a:schemeClr val="tx1"/>
                  </a:solidFill>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7384"/>
        <c:crosses val="autoZero"/>
        <c:crossBetween val="between"/>
      </c:valAx>
      <c:spPr>
        <a:noFill/>
        <a:ln>
          <a:noFill/>
        </a:ln>
        <a:effectLst/>
      </c:spPr>
    </c:plotArea>
    <c:plotVisOnly val="1"/>
    <c:dispBlanksAs val="gap"/>
    <c:showDLblsOverMax val="0"/>
    <c:extLst>
      <c:ext uri="{0b15fc19-7d7d-44ad-8c2d-2c3a37ce22c3}">
        <chartProps xmlns="https://web.wps.cn/et/2018/main" chartId="{5dfc6996-28b2-460c-bf9a-06be746c6d0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Lead concentration in maize seeds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219816272966"/>
          <c:y val="0.17171296296296301"/>
          <c:w val="0.88389129483814499"/>
          <c:h val="0.720887649460484"/>
        </c:manualLayout>
      </c:layout>
      <c:barChart>
        <c:barDir val="col"/>
        <c:grouping val="stacked"/>
        <c:varyColors val="0"/>
        <c:ser>
          <c:idx val="0"/>
          <c:order val="0"/>
          <c:tx>
            <c:strRef>
              <c:f>Sheet1!$C$6</c:f>
              <c:strCache>
                <c:ptCount val="1"/>
                <c:pt idx="0">
                  <c:v>Concentration (mg/g)</c:v>
                </c:pt>
              </c:strCache>
            </c:strRef>
          </c:tx>
          <c:spPr>
            <a:solidFill>
              <a:schemeClr val="accent1"/>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Sheet1!$B$7:$B$9</c:f>
              <c:strCache>
                <c:ptCount val="3"/>
                <c:pt idx="0">
                  <c:v>Sc Sungura</c:v>
                </c:pt>
                <c:pt idx="1">
                  <c:v>SC Duma</c:v>
                </c:pt>
                <c:pt idx="2">
                  <c:v>Indigeneous Kamba</c:v>
                </c:pt>
              </c:strCache>
            </c:strRef>
          </c:cat>
          <c:val>
            <c:numRef>
              <c:f>Sheet1!$C$7:$C$9</c:f>
              <c:numCache>
                <c:formatCode>General</c:formatCode>
                <c:ptCount val="3"/>
                <c:pt idx="0">
                  <c:v>8.99</c:v>
                </c:pt>
                <c:pt idx="1">
                  <c:v>10.449</c:v>
                </c:pt>
                <c:pt idx="2">
                  <c:v>8.2469999999999999</c:v>
                </c:pt>
              </c:numCache>
            </c:numRef>
          </c:val>
          <c:extLst>
            <c:ext xmlns:c16="http://schemas.microsoft.com/office/drawing/2014/chart" uri="{C3380CC4-5D6E-409C-BE32-E72D297353CC}">
              <c16:uniqueId val="{00000000-D3A6-4BFE-AF89-0E1924A3C7D8}"/>
            </c:ext>
          </c:extLst>
        </c:ser>
        <c:dLbls>
          <c:showLegendKey val="0"/>
          <c:showVal val="1"/>
          <c:showCatName val="0"/>
          <c:showSerName val="0"/>
          <c:showPercent val="0"/>
          <c:showBubbleSize val="0"/>
        </c:dLbls>
        <c:gapWidth val="150"/>
        <c:overlap val="100"/>
        <c:axId val="752582680"/>
        <c:axId val="882462664"/>
      </c:barChart>
      <c:catAx>
        <c:axId val="75258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82462664"/>
        <c:crosses val="autoZero"/>
        <c:auto val="1"/>
        <c:lblAlgn val="ctr"/>
        <c:lblOffset val="100"/>
        <c:noMultiLvlLbl val="0"/>
      </c:catAx>
      <c:valAx>
        <c:axId val="88246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solidFill>
                      <a:schemeClr val="tx1"/>
                    </a:solidFill>
                  </a:rPr>
                  <a:t>concentration(mg/g)</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2582680"/>
        <c:crosses val="autoZero"/>
        <c:crossBetween val="between"/>
      </c:valAx>
      <c:spPr>
        <a:noFill/>
        <a:ln>
          <a:noFill/>
        </a:ln>
        <a:effectLst/>
      </c:spPr>
    </c:plotArea>
    <c:plotVisOnly val="1"/>
    <c:dispBlanksAs val="gap"/>
    <c:showDLblsOverMax val="0"/>
    <c:extLst>
      <c:ext uri="{0b15fc19-7d7d-44ad-8c2d-2c3a37ce22c3}">
        <chartProps xmlns="https://web.wps.cn/et/2018/main" chartId="{b2c11c61-87b9-4b3c-9943-26a5a0d515e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07907-7B1C-4D6E-A180-9B321DF2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12744</Words>
  <Characters>72641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BLESSING PC</dc:creator>
  <cp:keywords/>
  <dc:description/>
  <cp:lastModifiedBy>Joyce Kithure</cp:lastModifiedBy>
  <cp:revision>2</cp:revision>
  <dcterms:created xsi:type="dcterms:W3CDTF">2026-04-07T11:02:00Z</dcterms:created>
  <dcterms:modified xsi:type="dcterms:W3CDTF">2026-04-07T11:02:00Z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642718799</vt:i4>
  </property>
</Properties>
</file>