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DE3876" w14:textId="751C4279" w:rsidR="00FC5DB7" w:rsidRPr="00FC5DB7" w:rsidRDefault="00FC5DB7" w:rsidP="00FC5DB7">
      <w:pPr>
        <w:pStyle w:val="Title"/>
        <w:jc w:val="center"/>
        <w:rPr>
          <w:rFonts w:ascii="Times New Roman" w:hAnsi="Times New Roman" w:cs="Times New Roman"/>
          <w:sz w:val="36"/>
          <w:szCs w:val="36"/>
        </w:rPr>
      </w:pPr>
      <w:r w:rsidRPr="00FC5DB7">
        <w:rPr>
          <w:rFonts w:ascii="Times New Roman" w:hAnsi="Times New Roman" w:cs="Times New Roman"/>
          <w:b/>
          <w:sz w:val="36"/>
          <w:szCs w:val="36"/>
        </w:rPr>
        <w:t xml:space="preserve">Between Home and Restaurant: Living Conditions, Work Patterns, and Family Health among </w:t>
      </w:r>
      <w:proofErr w:type="spellStart"/>
      <w:r w:rsidRPr="00FC5DB7">
        <w:rPr>
          <w:rFonts w:ascii="Times New Roman" w:hAnsi="Times New Roman" w:cs="Times New Roman"/>
          <w:b/>
          <w:sz w:val="36"/>
          <w:szCs w:val="36"/>
        </w:rPr>
        <w:t>Minang</w:t>
      </w:r>
      <w:proofErr w:type="spellEnd"/>
      <w:r w:rsidRPr="00FC5DB7">
        <w:rPr>
          <w:rFonts w:ascii="Times New Roman" w:hAnsi="Times New Roman" w:cs="Times New Roman"/>
          <w:b/>
          <w:sz w:val="36"/>
          <w:szCs w:val="36"/>
        </w:rPr>
        <w:t xml:space="preserve"> Migrant Entrepreneurs in Kuala Lumpur</w:t>
      </w:r>
    </w:p>
    <w:p w14:paraId="1128DC4A" w14:textId="77777777" w:rsidR="00FC5DB7" w:rsidRPr="005A73C2" w:rsidRDefault="00FC5DB7" w:rsidP="00FC5DB7">
      <w:pPr>
        <w:pStyle w:val="Authors"/>
        <w:framePr w:w="0" w:hSpace="0" w:vSpace="0" w:wrap="auto" w:vAnchor="margin" w:hAnchor="text" w:xAlign="left" w:yAlign="inline"/>
        <w:spacing w:after="0"/>
        <w:rPr>
          <w:bCs/>
          <w:sz w:val="20"/>
          <w:szCs w:val="20"/>
        </w:rPr>
      </w:pPr>
    </w:p>
    <w:p w14:paraId="7FF69814" w14:textId="1D62D793" w:rsidR="00FC5DB7" w:rsidRPr="00FC5DB7" w:rsidRDefault="00FC5DB7" w:rsidP="00FC5DB7">
      <w:pPr>
        <w:pStyle w:val="Authors"/>
        <w:framePr w:w="0" w:hSpace="0" w:vSpace="0" w:wrap="auto" w:vAnchor="margin" w:hAnchor="text" w:xAlign="left" w:yAlign="inline"/>
        <w:spacing w:after="0"/>
        <w:rPr>
          <w:iCs/>
          <w:color w:val="FF0000"/>
          <w:sz w:val="20"/>
          <w:szCs w:val="20"/>
        </w:rPr>
      </w:pPr>
    </w:p>
    <w:p w14:paraId="323531B3" w14:textId="77777777" w:rsidR="00FC5DB7" w:rsidRPr="00FC5DB7" w:rsidRDefault="00FC5DB7" w:rsidP="00FC5DB7">
      <w:pPr>
        <w:rPr>
          <w:iCs/>
        </w:rPr>
      </w:pPr>
    </w:p>
    <w:p w14:paraId="36640FA3" w14:textId="77777777" w:rsidR="00467AE7" w:rsidRDefault="00467AE7" w:rsidP="00FC5DB7">
      <w:pPr>
        <w:jc w:val="center"/>
        <w:rPr>
          <w:iCs/>
          <w:sz w:val="20"/>
          <w:szCs w:val="20"/>
        </w:rPr>
      </w:pPr>
    </w:p>
    <w:p w14:paraId="5187800E" w14:textId="77777777" w:rsidR="008F4C40" w:rsidRPr="008F4C40" w:rsidRDefault="00467AE7" w:rsidP="008F4C40">
      <w:pPr>
        <w:jc w:val="both"/>
        <w:rPr>
          <w:color w:val="0F9ED5" w:themeColor="accent4"/>
        </w:rPr>
      </w:pPr>
      <w:r w:rsidRPr="00467AE7">
        <w:rPr>
          <w:b/>
          <w:bCs/>
          <w:sz w:val="28"/>
          <w:szCs w:val="28"/>
        </w:rPr>
        <w:t>ABSTRACT :</w:t>
      </w:r>
      <w:r w:rsidRPr="00467AE7">
        <w:t xml:space="preserve"> </w:t>
      </w:r>
      <w:r w:rsidR="008F4C40" w:rsidRPr="008F4C40">
        <w:rPr>
          <w:color w:val="0F9ED5" w:themeColor="accent4"/>
        </w:rPr>
        <w:t xml:space="preserve">This community service paper presents a field-based engagement program conducted with the </w:t>
      </w:r>
      <w:proofErr w:type="spellStart"/>
      <w:r w:rsidR="008F4C40" w:rsidRPr="008F4C40">
        <w:rPr>
          <w:color w:val="0F9ED5" w:themeColor="accent4"/>
        </w:rPr>
        <w:t>Minang</w:t>
      </w:r>
      <w:proofErr w:type="spellEnd"/>
      <w:r w:rsidR="008F4C40" w:rsidRPr="008F4C40">
        <w:rPr>
          <w:color w:val="0F9ED5" w:themeColor="accent4"/>
        </w:rPr>
        <w:t xml:space="preserve"> </w:t>
      </w:r>
      <w:proofErr w:type="spellStart"/>
      <w:r w:rsidR="008F4C40" w:rsidRPr="008F4C40">
        <w:rPr>
          <w:color w:val="0F9ED5" w:themeColor="accent4"/>
        </w:rPr>
        <w:t>Saiyo</w:t>
      </w:r>
      <w:proofErr w:type="spellEnd"/>
      <w:r w:rsidR="008F4C40" w:rsidRPr="008F4C40">
        <w:rPr>
          <w:color w:val="0F9ED5" w:themeColor="accent4"/>
        </w:rPr>
        <w:t xml:space="preserve"> Community in Kuala Lumpur, a group of Indonesian </w:t>
      </w:r>
      <w:proofErr w:type="spellStart"/>
      <w:r w:rsidR="008F4C40" w:rsidRPr="008F4C40">
        <w:rPr>
          <w:color w:val="0F9ED5" w:themeColor="accent4"/>
        </w:rPr>
        <w:t>Minang</w:t>
      </w:r>
      <w:proofErr w:type="spellEnd"/>
      <w:r w:rsidR="008F4C40" w:rsidRPr="008F4C40">
        <w:rPr>
          <w:color w:val="0F9ED5" w:themeColor="accent4"/>
        </w:rPr>
        <w:t xml:space="preserve"> migrant families whose livelihoods are closely tied to restaurant entrepreneurship. The program addressed the relationship between domestic living conditions, restaurant-based work patterns, and family health in migrant working households. Many participants lived in environments where residence, business support, storage, rest, and childcare overlapped, creating challenges related to ventilation, sanitation, spatial comfort, safety, and healthy daily routines.</w:t>
      </w:r>
    </w:p>
    <w:p w14:paraId="56487FE3" w14:textId="77777777" w:rsidR="008F4C40" w:rsidRPr="008F4C40" w:rsidRDefault="008F4C40" w:rsidP="008F4C40">
      <w:pPr>
        <w:jc w:val="both"/>
        <w:rPr>
          <w:color w:val="0F9ED5" w:themeColor="accent4"/>
        </w:rPr>
      </w:pPr>
      <w:r w:rsidRPr="008F4C40">
        <w:rPr>
          <w:color w:val="0F9ED5" w:themeColor="accent4"/>
        </w:rPr>
        <w:t>The program was carried out by experts in architecture and building engineering through field observation, participatory discussion, environmental health education, and technical guidance on simple spatial improvements. The intervention focused on practical aspects of healthy living environments, including natural ventilation, lighting, sanitation, circulation safety, waste handling, moisture control, and clearer separation between clean and service areas. Recommendations were designed to be low-cost, gradual, and feasible within rented or spatially constrained settings.</w:t>
      </w:r>
    </w:p>
    <w:p w14:paraId="365F0966" w14:textId="77777777" w:rsidR="008F4C40" w:rsidRPr="008F4C40" w:rsidRDefault="008F4C40" w:rsidP="008F4C40">
      <w:pPr>
        <w:jc w:val="both"/>
        <w:rPr>
          <w:color w:val="0F9ED5" w:themeColor="accent4"/>
        </w:rPr>
      </w:pPr>
      <w:r w:rsidRPr="008F4C40">
        <w:rPr>
          <w:color w:val="0F9ED5" w:themeColor="accent4"/>
        </w:rPr>
        <w:t>The activity found that participants responded positively to practical and context-sensitive guidance that connected health, family well-being, and spatial arrangement. The program also showed that architecture-based community service can contribute meaningfully to strengthening healthy living practices among migrant entrepreneur families. More broadly, the study highlights the importance of spatial literacy as part of community empowerment in urban migrant settings.</w:t>
      </w:r>
    </w:p>
    <w:p w14:paraId="0799E524" w14:textId="76F8510A" w:rsidR="00467AE7" w:rsidRDefault="00467AE7" w:rsidP="00467AE7">
      <w:pPr>
        <w:jc w:val="both"/>
      </w:pPr>
    </w:p>
    <w:p w14:paraId="3F70DFB8" w14:textId="77777777" w:rsidR="00835870" w:rsidRDefault="00835870" w:rsidP="00467AE7">
      <w:pPr>
        <w:jc w:val="both"/>
      </w:pPr>
    </w:p>
    <w:p w14:paraId="7D938494" w14:textId="1F7E77F4" w:rsidR="00835870" w:rsidRDefault="00835870" w:rsidP="00467AE7">
      <w:pPr>
        <w:jc w:val="both"/>
      </w:pPr>
      <w:r w:rsidRPr="00835870">
        <w:rPr>
          <w:b/>
          <w:bCs/>
        </w:rPr>
        <w:t>Keywords</w:t>
      </w:r>
      <w:r w:rsidRPr="00835870">
        <w:t xml:space="preserve"> - healthy living environment, migrant working families, community service, </w:t>
      </w:r>
      <w:proofErr w:type="spellStart"/>
      <w:r w:rsidRPr="00835870">
        <w:t>Minang</w:t>
      </w:r>
      <w:proofErr w:type="spellEnd"/>
      <w:r w:rsidRPr="00835870">
        <w:t xml:space="preserve"> entrepreneurs; spatial health education</w:t>
      </w:r>
    </w:p>
    <w:p w14:paraId="3F41D6DB" w14:textId="77777777" w:rsidR="00D61DF5" w:rsidRDefault="00D61DF5" w:rsidP="00467AE7">
      <w:pPr>
        <w:jc w:val="both"/>
      </w:pPr>
    </w:p>
    <w:p w14:paraId="4D020281" w14:textId="77777777" w:rsidR="00D61DF5" w:rsidRPr="00D61DF5" w:rsidRDefault="00D61DF5" w:rsidP="00D61DF5">
      <w:pPr>
        <w:jc w:val="both"/>
        <w:rPr>
          <w:b/>
          <w:bCs/>
        </w:rPr>
      </w:pPr>
      <w:r w:rsidRPr="00D61DF5">
        <w:rPr>
          <w:b/>
          <w:bCs/>
          <w:sz w:val="28"/>
          <w:szCs w:val="28"/>
        </w:rPr>
        <w:t>INTRODUCTION</w:t>
      </w:r>
    </w:p>
    <w:p w14:paraId="740902AE" w14:textId="6CA9B2E3" w:rsidR="00D61DF5" w:rsidRDefault="00D61DF5" w:rsidP="00D61DF5">
      <w:pPr>
        <w:jc w:val="both"/>
      </w:pPr>
    </w:p>
    <w:p w14:paraId="041E8270" w14:textId="4C1764D7" w:rsidR="00D61DF5" w:rsidRDefault="00D61DF5" w:rsidP="00D61DF5">
      <w:pPr>
        <w:jc w:val="both"/>
      </w:pPr>
      <w:r w:rsidRPr="00D61DF5">
        <w:t>Migration is not only a movement of people across borders, but also a reconfiguration of everyday life, work, family routines, and domestic space. In many urban migrant settings, housing functions far beyond shelter alone. It becomes a place of economic survival, family care, storage, rest, and social reproduction. For migrant families who run small food businesses, the boundary between home and workplace is often blurred, creating a spatial condition in which domestic and productive functions overlap on a daily basis. This overlap is especially significant in dense urban environments, where limited space, rental arrangements, and economic pressure shape how families organize their living and working environments. Housing, therefore, must be understood as a central social determinant of health, well-being, and everyday resilience</w:t>
      </w:r>
      <w:r>
        <w:t xml:space="preserve"> </w:t>
      </w:r>
      <w:r>
        <w:fldChar w:fldCharType="begin"/>
      </w:r>
      <w:r w:rsidR="001B3A62">
        <w:instrText xml:space="preserve"> ADDIN ZOTERO_ITEM CSL_CITATION {"citationID":"l7Iyl256","properties":{"formattedCitation":"(Bentley et al., 2025)","plainCitation":"(Bentley et al., 2025)","noteIndex":0},"citationItems":[{"id":20293,"uris":["http://zotero.org/users/1011003/items/P8KIMATC"],"itemData":{"id":20293,"type":"article-journal","abstract":"Housing is a key social determinant of health. Healthy housing is affordable, suitable, and secure. It is characterised by warmth, dryness, and proper ventilation; free from hazards such as mould and toxins; accessible to occupants with functional limitations; and provides foundational security. Conversely, exposure to unhealthy home environments can negatively affect respiratory and cardiovascular health, mental wellbeing, infectious disease transmission, and injury risk. Housing-focused health interventions and programmes offer a unique opportunity to bridge the gap between housing and health, potentially leading to improved population health outcomes across various domains. This Series paper integrates contemporary understanding of housing and housing systems into a social and economic determinants framework. We illustrate how housing systems contribute to poor health outcomes and health inequalities, providing a foundation for exploring housing's potential to support health across jurisdictions globally. Although our framework can be used to examine the relationship between specific housing hazards (eg, mould, cold, or heat) and health, its primary focus is on understanding how these hazards are generated and distributed through characteristics of the housing system (eg, building codes or housing finance). By addressing these housing system determinants, we propose an alternative approach to achieving healthier housing. This framework aims to support the strategic use of housing to promote good health for all populations.","container-title":"The Lancet Public Health","DOI":"10.1016/S2468-2667(25)00142-2","ISSN":"2468-2667","issue":"10","journalAbbreviation":"The Lancet Public Health","page":"e855-e864","source":"ScienceDirect","title":"Housing as a social determinant of health: a contemporary framework","title-short":"Housing as a social determinant of health","URL":"https://www.sciencedirect.com/science/article/pii/S2468266725001422","volume":"10","author":[{"family":"Bentley","given":"Rebecca"},{"family":"Mason","given":"Kate"},{"family":"Jacobs","given":"David"},{"family":"Blakely","given":"Tony"},{"family":"Howden-Chapman","given":"Philippa"},{"family":"Li","given":"Ang"},{"family":"Adamkiewicz","given":"Gary"},{"family":"Reeves","given":"Aaron"}],"accessed":{"date-parts":[["2026",4,15]]},"issued":{"date-parts":[["2025",10,1]]}}}],"schema":"https://github.com/citation-style-language/schema/raw/master/csl-citation.json"} </w:instrText>
      </w:r>
      <w:r>
        <w:fldChar w:fldCharType="separate"/>
      </w:r>
      <w:r w:rsidR="001B3A62">
        <w:rPr>
          <w:noProof/>
        </w:rPr>
        <w:t>(Bentley et al., 2025;</w:t>
      </w:r>
      <w:r>
        <w:fldChar w:fldCharType="end"/>
      </w:r>
      <w:r w:rsidR="00D74FAF">
        <w:fldChar w:fldCharType="begin"/>
      </w:r>
      <w:r w:rsidR="001B3A62">
        <w:instrText xml:space="preserve"> ADDIN ZOTERO_ITEM CSL_CITATION {"citationID":"MDYJTSTG","properties":{"formattedCitation":"({\\i{}The Human Right to Adequate Housing}, n.d.)","plainCitation":"(The Human Right to Adequate Housing, n.d.)","noteIndex":0},"citationItems":[{"id":20302,"uris":["http://zotero.org/users/1011003/items/EXNGVWED"],"itemData":{"id":20302,"type":"webpage","abstract":"Housing is the basis of stability and security for an individual or family. The centre of our social, emotional and sometimes economic lives, a home should be a sanctuary—a place to live in peace, security and dignity. Housing is a right, not a commodity","container-title":"OHCHR","language":"en","title":"The human right to adequate housing","URL":"https://www.ohchr.org/en/special-procedures/sr-housing/human-right-adequate-housing","accessed":{"date-parts":[["2026",4,15]]}}}],"schema":"https://github.com/citation-style-language/schema/raw/master/csl-citation.json"} </w:instrText>
      </w:r>
      <w:r w:rsidR="00D74FAF">
        <w:fldChar w:fldCharType="separate"/>
      </w:r>
      <w:r w:rsidR="001B3A62">
        <w:rPr>
          <w:kern w:val="0"/>
          <w:lang w:val="en-US"/>
        </w:rPr>
        <w:t xml:space="preserve"> </w:t>
      </w:r>
      <w:r w:rsidR="001B3A62" w:rsidRPr="001B3A62">
        <w:rPr>
          <w:i/>
          <w:iCs/>
          <w:kern w:val="0"/>
          <w:lang w:val="en-US"/>
        </w:rPr>
        <w:t>The Human Right to Adequate Housing</w:t>
      </w:r>
      <w:r w:rsidR="001B3A62" w:rsidRPr="001B3A62">
        <w:rPr>
          <w:kern w:val="0"/>
          <w:lang w:val="en-US"/>
        </w:rPr>
        <w:t>, n.d.</w:t>
      </w:r>
      <w:r w:rsidR="001B3A62">
        <w:rPr>
          <w:kern w:val="0"/>
          <w:lang w:val="en-US"/>
        </w:rPr>
        <w:t>;</w:t>
      </w:r>
      <w:r w:rsidR="00D74FAF">
        <w:fldChar w:fldCharType="end"/>
      </w:r>
      <w:r w:rsidR="00D74FAF">
        <w:t xml:space="preserve"> </w:t>
      </w:r>
      <w:r w:rsidR="00D74FAF">
        <w:fldChar w:fldCharType="begin"/>
      </w:r>
      <w:r w:rsidR="001B3A62">
        <w:instrText xml:space="preserve"> ADDIN ZOTERO_ITEM CSL_CITATION {"citationID":"4Q9ASFRu","properties":{"formattedCitation":"({\\i{}WHO Housing and Health Guidelines}, n.d.)","plainCitation":"(WHO Housing and Health Guidelines, n.d.)","noteIndex":0},"citationItems":[{"id":20292,"uris":["http://zotero.org/users/1011003/items/8XKXH9DA"],"itemData":{"id":20292,"type":"webpage","abstract":"The guidelines emphasize the importance of collaboration between the health and other sectors and joint efforts across all government levels to promote healthy housing.","language":"en","title":"WHO Housing and health guidelines","URL":"https://www.who.int/publications/i/item/9789241550376?utm_source=chatgpt.com","accessed":{"date-parts":[["2026",4,15]]}}}],"schema":"https://github.com/citation-style-language/schema/raw/master/csl-citation.json"} </w:instrText>
      </w:r>
      <w:r w:rsidR="00D74FAF">
        <w:fldChar w:fldCharType="separate"/>
      </w:r>
      <w:r w:rsidR="001B3A62">
        <w:rPr>
          <w:kern w:val="0"/>
          <w:lang w:val="en-US"/>
        </w:rPr>
        <w:t xml:space="preserve"> </w:t>
      </w:r>
      <w:r w:rsidR="001B3A62" w:rsidRPr="001B3A62">
        <w:rPr>
          <w:i/>
          <w:iCs/>
          <w:kern w:val="0"/>
          <w:lang w:val="en-US"/>
        </w:rPr>
        <w:t>WHO Housing and Health Guidelines</w:t>
      </w:r>
      <w:r w:rsidR="001B3A62" w:rsidRPr="001B3A62">
        <w:rPr>
          <w:kern w:val="0"/>
          <w:lang w:val="en-US"/>
        </w:rPr>
        <w:t>, n.d.)</w:t>
      </w:r>
      <w:r w:rsidR="00D74FAF">
        <w:fldChar w:fldCharType="end"/>
      </w:r>
      <w:r w:rsidRPr="00D61DF5">
        <w:t xml:space="preserve">. </w:t>
      </w:r>
    </w:p>
    <w:p w14:paraId="3F835D04" w14:textId="77777777" w:rsidR="00D74FAF" w:rsidRPr="00D61DF5" w:rsidRDefault="00D74FAF" w:rsidP="00D61DF5">
      <w:pPr>
        <w:jc w:val="both"/>
      </w:pPr>
    </w:p>
    <w:p w14:paraId="217EC800" w14:textId="01E9C48A" w:rsidR="00D61DF5" w:rsidRDefault="00D61DF5" w:rsidP="00D61DF5">
      <w:pPr>
        <w:jc w:val="both"/>
      </w:pPr>
      <w:r w:rsidRPr="00D61DF5">
        <w:t>A growing body of literature shows that poor housing conditions are closely associated with adverse physical and mental health outcomes. Inadequate ventilation, crowding, moisture, poor sanitation, unsafe circulation, and low indoor environmental quality can increase health risks, reduce comfort, and weaken daily functioning, particularly in households where several activities occur within the same limited space. The World Health Organization emphasizes that unsafe and substandard housing contributes directly to health burdens and highlights crowding, indoor environmental hazards, and injury risks as core concerns in healthy housing policy. Reviews on housing and health similarly show that ventilation, dryness, thermal comfort, and freedom from hazards are fundamental characteristics of healthy housing</w:t>
      </w:r>
      <w:r w:rsidR="00D74FAF">
        <w:t xml:space="preserve"> </w:t>
      </w:r>
      <w:r w:rsidR="00D74FAF">
        <w:fldChar w:fldCharType="begin"/>
      </w:r>
      <w:r w:rsidR="001B3A62">
        <w:instrText xml:space="preserve"> ADDIN ZOTERO_ITEM CSL_CITATION {"citationID":"1vrWtrE4","properties":{"formattedCitation":"(Bentley et al., 2025)","plainCitation":"(Bentley et al., 2025)","noteIndex":0},"citationItems":[{"id":20293,"uris":["http://zotero.org/users/1011003/items/P8KIMATC"],"itemData":{"id":20293,"type":"article-journal","abstract":"Housing is a key social determinant of health. Healthy housing is affordable, suitable, and secure. It is characterised by warmth, dryness, and proper ventilation; free from hazards such as mould and toxins; accessible to occupants with functional limitations; and provides foundational security. Conversely, exposure to unhealthy home environments can negatively affect respiratory and cardiovascular health, mental wellbeing, infectious disease transmission, and injury risk. Housing-focused health interventions and programmes offer a unique opportunity to bridge the gap between housing and health, potentially leading to improved population health outcomes across various domains. This Series paper integrates contemporary understanding of housing and housing systems into a social and economic determinants framework. We illustrate how housing systems contribute to poor health outcomes and health inequalities, providing a foundation for exploring housing's potential to support health across jurisdictions globally. Although our framework can be used to examine the relationship between specific housing hazards (eg, mould, cold, or heat) and health, its primary focus is on understanding how these hazards are generated and distributed through characteristics of the housing system (eg, building codes or housing finance). By addressing these housing system determinants, we propose an alternative approach to achieving healthier housing. This framework aims to support the strategic use of housing to promote good health for all populations.","container-title":"The Lancet Public Health","DOI":"10.1016/S2468-2667(25)00142-2","ISSN":"2468-2667","issue":"10","journalAbbreviation":"The Lancet Public Health","page":"e855-e864","source":"ScienceDirect","title":"Housing as a social determinant of health: a contemporary framework","title-short":"Housing as a social determinant of health","URL":"https://www.sciencedirect.com/science/article/pii/S2468266725001422","volume":"10","author":[{"family":"Bentley","given":"Rebecca"},{"family":"Mason","given":"Kate"},{"family":"Jacobs","given":"David"},{"family":"Blakely","given":"Tony"},{"family":"Howden-Chapman","given":"Philippa"},{"family":"Li","given":"Ang"},{"family":"Adamkiewicz","given":"Gary"},{"family":"Reeves","given":"Aaron"}],"accessed":{"date-parts":[["2026",4,15]]},"issued":{"date-parts":[["2025",10,1]]}}}],"schema":"https://github.com/citation-style-language/schema/raw/master/csl-citation.json"} </w:instrText>
      </w:r>
      <w:r w:rsidR="00D74FAF">
        <w:fldChar w:fldCharType="separate"/>
      </w:r>
      <w:r w:rsidR="001B3A62">
        <w:rPr>
          <w:noProof/>
        </w:rPr>
        <w:t>(Bentley et al., 2025;</w:t>
      </w:r>
      <w:r w:rsidR="00D74FAF">
        <w:fldChar w:fldCharType="end"/>
      </w:r>
      <w:r w:rsidR="00D74FAF">
        <w:fldChar w:fldCharType="begin"/>
      </w:r>
      <w:r w:rsidR="001B3A62">
        <w:instrText xml:space="preserve"> ADDIN ZOTERO_ITEM CSL_CITATION {"citationID":"Q4Hz7sXH","properties":{"formattedCitation":"(Niza et al., 2024)","plainCitation":"(Niza et al., 2024)","noteIndex":0},"citationItems":[{"id":20298,"uris":["http://zotero.org/users/1011003/items/PFWC8GE2"],"itemData":{"id":20298,"type":"article-journal","abstract":"Ensuring sustainability and reducing energy consumption in the built environment is essential for achieving energy efficiency and comfort. To obtain a healthy and sustainable urban environment, indoor air quality and ventilation play a crucial role inside buildings since billions of people live in urban environments worldwide and spend significant time indoors. Considering the relevance of this theme, the Preferred Reporting Items for Systematic Reviews and Meta-Analysis (PRISMA) was adopted to conduct a review regarding air quality and ventilation and their impacts on urban environments. The search identified 7568 articles related to the topic, of which 103 were selected after applying the criteria defined to answer four research questions. The main findings of this research are: (I) Analysis of design strategies related to indoor air quality shows that ventilation plays a key role in promoting healthy and comfortable conditions; (II) Air distribution involves controlling temperature, velocity, humidity and pollutant concentration, thus creating an indoor environment with low energy consumption and high air quality; (III) The Covid-19 pandemic has emphasized the urgency of addressing Indoor Air Quality (IAQ) and ventilation as crucial strategies in reducing the spread of respiratory viruses; (IV) Climate change and the global energy crisis have imposed significant pressure on the construction industry to design buildings with low energy consumption, especially in developed countries with high levels of energy consumption.","container-title":"Results in Engineering","DOI":"10.1016/j.rineng.2024.103157","ISSN":"2590-1230","journalAbbreviation":"Results in Engineering","page":"103157","source":"ScienceDirect","title":"Air quality and ventilation: Exploring solutions for healthy and sustainable urban environments in times of climate change","title-short":"Air quality and ventilation","URL":"https://www.sciencedirect.com/science/article/pii/S2590123024014129","volume":"24","author":[{"family":"Niza","given":"Iasmin Lourenço"},{"family":"Bueno","given":"Ana Maria"},{"family":"Gameiro da Silva","given":"Manuel"},{"family":"Broday","given":"Evandro Eduardo"}],"accessed":{"date-parts":[["2026",4,15]]},"issued":{"date-parts":[["2024",12,1]]}}}],"schema":"https://github.com/citation-style-language/schema/raw/master/csl-citation.json"} </w:instrText>
      </w:r>
      <w:r w:rsidR="00D74FAF">
        <w:fldChar w:fldCharType="separate"/>
      </w:r>
      <w:r w:rsidR="001B3A62">
        <w:rPr>
          <w:noProof/>
        </w:rPr>
        <w:t xml:space="preserve"> Niza et al., 2024)</w:t>
      </w:r>
      <w:r w:rsidR="00D74FAF">
        <w:fldChar w:fldCharType="end"/>
      </w:r>
      <w:r w:rsidRPr="00D61DF5">
        <w:t xml:space="preserve">. </w:t>
      </w:r>
    </w:p>
    <w:p w14:paraId="6D1C2726" w14:textId="77777777" w:rsidR="00D74FAF" w:rsidRPr="00D61DF5" w:rsidRDefault="00D74FAF" w:rsidP="00D61DF5">
      <w:pPr>
        <w:jc w:val="both"/>
      </w:pPr>
    </w:p>
    <w:p w14:paraId="17CB5C27" w14:textId="3495B77B" w:rsidR="00D61DF5" w:rsidRDefault="00D61DF5" w:rsidP="00D61DF5">
      <w:pPr>
        <w:jc w:val="both"/>
      </w:pPr>
      <w:r w:rsidRPr="00D61DF5">
        <w:t xml:space="preserve">These concerns become more acute in migrant contexts. Recent reviews indicate that migrant and refugee populations are disproportionately affected by housing inequality, including overcrowding, insecure tenure, inadequate ventilation, and poor </w:t>
      </w:r>
      <w:proofErr w:type="spellStart"/>
      <w:r w:rsidRPr="00D61DF5">
        <w:t>neighborhood</w:t>
      </w:r>
      <w:proofErr w:type="spellEnd"/>
      <w:r w:rsidRPr="00D61DF5">
        <w:t xml:space="preserve"> conditions, all of which can influence respiratory health, psychosocial well-being, and family stability. Housing insecurity among migrant populations is not only a </w:t>
      </w:r>
      <w:r w:rsidRPr="00D61DF5">
        <w:lastRenderedPageBreak/>
        <w:t xml:space="preserve">technical or economic issue, but also a health equity issue. For low-wage and self-employed migrant households, healthy living cannot be separated from the quality of the spaces they inhabit and adapt. In urban migrant life, the dwelling frequently becomes a hybrid space where care, </w:t>
      </w:r>
      <w:proofErr w:type="spellStart"/>
      <w:r w:rsidRPr="00D61DF5">
        <w:t>labor</w:t>
      </w:r>
      <w:proofErr w:type="spellEnd"/>
      <w:r w:rsidRPr="00D61DF5">
        <w:t>, food preparation, and recovery from work occur simultaneously</w:t>
      </w:r>
      <w:r w:rsidR="00D52077">
        <w:t xml:space="preserve"> </w:t>
      </w:r>
      <w:r w:rsidR="00D52077">
        <w:fldChar w:fldCharType="begin"/>
      </w:r>
      <w:r w:rsidR="001B3A62">
        <w:instrText xml:space="preserve"> ADDIN ZOTERO_ITEM CSL_CITATION {"citationID":"H7svGKlx","properties":{"formattedCitation":"(Rana et al., 2025)","plainCitation":"(Rana et al., 2025)","noteIndex":0},"citationItems":[{"id":20304,"uris":["http://zotero.org/users/1011003/items/YSE5XM2V"],"itemData":{"id":20304,"type":"article-journal","abstract":"Background Migrant and refugee populations are disproportionately affected by the housing crises reportedly impacting high-income countries around the globe. However, the health implications of housing inequalities within these communities and contexts remain relatively understudied. This review aimed to synthesise the evidence on housing and health inequalities prevalent among migrant and refugee populations in high-income countries, and to identify the pathways linking housing inequalities and health outcomes. Methods This systematic review employed the Joanna Briggs Institute (JBI) methodology for mixed-methods systematic reviews using a convergent integrated approach to synthesis and integration. Electronic database searches were conducted using Medline (OVID), Web of Science (ISI), Embase (OVID), PsycInfo (OVID), Scopus, and CINAHL (EBSCO), supplemented by grey literature searches on Google Scholar, MedNar, and WHOLIS. Eligible studies included quantitative, qualitative, and mixed methods designs focused on understanding how housing inequalities are associated with physical and mental health outcomes. Results A total of 65 studies published between 1995 and 2024 were included in this review, comprising 38 quantitative and 27 qualitative studies. Substandard housing conditions, such as overcrowding and poor ventilation, were consistently associated with adverse physical and mental health outcomes, including respiratory illnesses and experiences of anxiety and depression. The type of housing tenure also impacted both physical and mental health, specifically living in inadequate rental housing as opposed to self-owned homes, was linked with poorer physical health and increased risk of mental health issues. Similarly, housing insecurity stemming from unstable housing situations and insecure tenancy, as well as neighbourhood conditions such as safety concerns and living in deprived neighbourhoods, led to the exacerbation of both physical and mental health issues. Furthermore, housing affordability challenges and decreased housing satisfaction were linked with poor mental health outcomes such as experiences of depression and psychological distress. Conclusions This review highlights the critical role of housing as a social determinant of health and wellbeing for migrant and refugee populations in high-income countries, along with highlighting the potential pathways through which housing inequalities impact physical and mental health outcomes. Ensuring access to adequate, affordable, and secure housing, while also improving neighbourhood conditions, is essential for improving the health and wellbeing of migrant and refugee populations.","container-title":"BMC Public Health","DOI":"10.1186/s12889-025-22186-5","ISSN":"1471-2458","issue":"1","language":"En","license":"2025 The Author(s)","page":"1098","publisher":"BioMed Central","source":"link.springer.com","title":"Housing inequalities and health outcomes among migrant and refugee populations in high-income countries: a mixed-methods systematic review","title-short":"Housing inequalities and health outcomes among migrant and refugee populations in high-income countries","URL":"https://link.springer.com/article/10.1186/s12889-025-22186-5","volume":"25","author":[{"family":"Rana","given":"Kritika"},{"family":"Kent","given":"Jennifer L."},{"family":"Page","given":"Andrew"}],"accessed":{"date-parts":[["2026",4,15]]},"issued":{"date-parts":[["2025",3,22]]}}}],"schema":"https://github.com/citation-style-language/schema/raw/master/csl-citation.json"} </w:instrText>
      </w:r>
      <w:r w:rsidR="00D52077">
        <w:fldChar w:fldCharType="separate"/>
      </w:r>
      <w:r w:rsidR="001B3A62">
        <w:rPr>
          <w:noProof/>
        </w:rPr>
        <w:t>(Rana et al., 2025;</w:t>
      </w:r>
      <w:r w:rsidR="00D52077">
        <w:fldChar w:fldCharType="end"/>
      </w:r>
      <w:r w:rsidR="00D52077">
        <w:fldChar w:fldCharType="begin"/>
      </w:r>
      <w:r w:rsidR="001B3A62">
        <w:instrText xml:space="preserve"> ADDIN ZOTERO_ITEM CSL_CITATION {"citationID":"YrFBiBFl","properties":{"formattedCitation":"(Eshetu et al., 2026)","plainCitation":"(Eshetu et al., 2026)","noteIndex":0},"citationItems":[{"id":20305,"uris":["http://zotero.org/users/1011003/items/PXGHXKBZ"],"itemData":{"id":20305,"type":"article-journal","abstract":"Stable and adequate housing is essential for mental and physical well-being. However, housing insecurity is a growing global issue, particularly affecting migrants. This review synthesizes the available evidence on the determinants and health outcomes associated with housing insecurity among culturally and linguistically diverse (CaLD) populations living in high-income countries. A scoping review was conducted of literature published in English, focusing on migrants from CaLD backgrounds living in high-income countries. The review followed the framework outlined by Arksey and O’Malley and PRISMA Extension for Scoping Reviews (PRISMA-ScR). Once data were extracted and categorized, a bibliometric analysis was performed to examine core research and author networks. The review included 57 studies; the highest proportions were from the USA (n = 13, 22.8%) and Canada (n = 9, 15.8%). The review found that housing insecurity among migrants of CaLD backgrounds was shaped by a range of micro-level, meso-level, and macro-level factors, increasing migrants’ vulnerability to adverse health outcomes. Four themes were identified: negative mental health outcomes, negative physical health outcomes, social and developmental challenges, and health-related barriers and increased health risks. The bibliometric analysis illustrated fragmented research networks, while the keyword analysis highlighted thematic clusters on housing, migration, and mental health. Addressing housing insecurity demands a multi-level approach that integrates mental and physical health support and reduces barriers to healthcare access. By addressing housing insecurity as a health issue, decision-makers can help reduce the significant health inequalities experienced by migrants from CaLD backgrounds and promote equitable, accessible, and health-enabling housing environments.","container-title":"Journal of Immigrant and Minority Health","DOI":"10.1007/s10903-026-01849-4","ISSN":"1557-1920","language":"En","license":"2026 The Author(s)","page":"1-19","publisher":"Springer","source":"link.springer.com","title":"Housing Insecurity and Health Outcomes Among Migrants from Culturally and Linguistically Diverse Backgrounds in High-Income Countries: A Scoping Review","title-short":"Housing Insecurity and Health Outcomes Among Migrants from Culturally and Linguistically Diverse Backgrounds in High-Income Countries","URL":"https://link.springer.com/article/10.1007/s10903-026-01849-4","author":[{"family":"Eshetu","given":"Habitu Birhan"},{"family":"Blackford","given":"Krysten"},{"family":"Lobo","given":"Roanna"},{"family":"Alemu","given":"Melaku Birhanu"},{"family":"Tessema","given":"Gizachew A."},{"family":"Crawford","given":"Gemma"}],"accessed":{"date-parts":[["2026",4,15]]},"issued":{"date-parts":[["2026",1,22]]}}}],"schema":"https://github.com/citation-style-language/schema/raw/master/csl-citation.json"} </w:instrText>
      </w:r>
      <w:r w:rsidR="00D52077">
        <w:fldChar w:fldCharType="separate"/>
      </w:r>
      <w:r w:rsidR="001B3A62">
        <w:rPr>
          <w:noProof/>
        </w:rPr>
        <w:t xml:space="preserve"> Eshetu et al., 2026)</w:t>
      </w:r>
      <w:r w:rsidR="00D52077">
        <w:fldChar w:fldCharType="end"/>
      </w:r>
      <w:r w:rsidRPr="00D61DF5">
        <w:t xml:space="preserve">. </w:t>
      </w:r>
    </w:p>
    <w:p w14:paraId="28CEB275" w14:textId="77777777" w:rsidR="00D74FAF" w:rsidRPr="00D61DF5" w:rsidRDefault="00D74FAF" w:rsidP="00D61DF5">
      <w:pPr>
        <w:jc w:val="both"/>
      </w:pPr>
    </w:p>
    <w:p w14:paraId="6F9B07D3" w14:textId="0B6F8689" w:rsidR="00D61DF5" w:rsidRDefault="008F4C40" w:rsidP="00D61DF5">
      <w:pPr>
        <w:jc w:val="both"/>
      </w:pPr>
      <w:r w:rsidRPr="008F4C40">
        <w:rPr>
          <w:color w:val="0F9ED5" w:themeColor="accent4"/>
        </w:rPr>
        <w:t xml:space="preserve">This condition is highly relevant to the </w:t>
      </w:r>
      <w:proofErr w:type="spellStart"/>
      <w:r w:rsidRPr="008F4C40">
        <w:rPr>
          <w:color w:val="0F9ED5" w:themeColor="accent4"/>
        </w:rPr>
        <w:t>Minang</w:t>
      </w:r>
      <w:proofErr w:type="spellEnd"/>
      <w:r w:rsidRPr="008F4C40">
        <w:rPr>
          <w:color w:val="0F9ED5" w:themeColor="accent4"/>
        </w:rPr>
        <w:t xml:space="preserve"> migrant community in Kuala Lumpur. Many members of the </w:t>
      </w:r>
      <w:proofErr w:type="spellStart"/>
      <w:r w:rsidRPr="008F4C40">
        <w:rPr>
          <w:color w:val="0F9ED5" w:themeColor="accent4"/>
        </w:rPr>
        <w:t>Minang</w:t>
      </w:r>
      <w:proofErr w:type="spellEnd"/>
      <w:r w:rsidRPr="008F4C40">
        <w:rPr>
          <w:color w:val="0F9ED5" w:themeColor="accent4"/>
        </w:rPr>
        <w:t xml:space="preserve"> </w:t>
      </w:r>
      <w:proofErr w:type="spellStart"/>
      <w:r w:rsidRPr="008F4C40">
        <w:rPr>
          <w:color w:val="0F9ED5" w:themeColor="accent4"/>
        </w:rPr>
        <w:t>Saiyo</w:t>
      </w:r>
      <w:proofErr w:type="spellEnd"/>
      <w:r w:rsidRPr="008F4C40">
        <w:rPr>
          <w:color w:val="0F9ED5" w:themeColor="accent4"/>
        </w:rPr>
        <w:t xml:space="preserve"> Community have established their livelihoods through restaurant entrepreneurship, often supported by long working hours and family-based </w:t>
      </w:r>
      <w:proofErr w:type="spellStart"/>
      <w:r w:rsidRPr="008F4C40">
        <w:rPr>
          <w:color w:val="0F9ED5" w:themeColor="accent4"/>
        </w:rPr>
        <w:t>labor</w:t>
      </w:r>
      <w:proofErr w:type="spellEnd"/>
      <w:r w:rsidRPr="008F4C40">
        <w:rPr>
          <w:color w:val="0F9ED5" w:themeColor="accent4"/>
        </w:rPr>
        <w:t xml:space="preserve"> arrangements. As a result, domestic living conditions are closely connected to restaurant-related activities, either directly or indirectly, through food preparation support, storage, rest, and childcare. In such spatial settings, the organization of the living environment affects not only comfort but also hygiene, circulation safety, family routines, and health-related </w:t>
      </w:r>
      <w:proofErr w:type="spellStart"/>
      <w:r w:rsidRPr="008F4C40">
        <w:rPr>
          <w:color w:val="0F9ED5" w:themeColor="accent4"/>
        </w:rPr>
        <w:t>behavior</w:t>
      </w:r>
      <w:proofErr w:type="spellEnd"/>
      <w:r w:rsidRPr="008F4C40">
        <w:rPr>
          <w:color w:val="0F9ED5" w:themeColor="accent4"/>
        </w:rPr>
        <w:t>. Research on home-based work has shown that domestic space often absorbs productive functions in response to livelihood demands, especially in households with limited resources and incremental spatial adaptation</w:t>
      </w:r>
      <w:r w:rsidR="00D52077">
        <w:t xml:space="preserve"> </w:t>
      </w:r>
      <w:r w:rsidR="00D52077">
        <w:fldChar w:fldCharType="begin"/>
      </w:r>
      <w:r w:rsidR="001B3A62">
        <w:instrText xml:space="preserve"> ADDIN ZOTERO_ITEM CSL_CITATION {"citationID":"M5EnsDyM","properties":{"formattedCitation":"(Wagemann et al., 2024)","plainCitation":"(Wagemann et al., 2024)","noteIndex":0},"citationItems":[{"id":20308,"uris":["http://zotero.org/users/1011003/items/YQTE5S29"],"itemData":{"id":20308,"type":"article-journal","abstract":"For many low-income households in the Global South a house is both a place to live and to generate income in the formal or informal economy. This can include activities in and around the home such as: running small shops selling daily necessities; producing food or crafts; repairing household items; providing services; or growing crops and raising animals. For many households home-based work (HBW) is their main source of income. It is particularly important for people who are more likely to be excluded from formal employment outside the home (such as women, elderly and/or disabled people). The aim of this article is to provide an overview of research on HBW through a scoping review to find research gaps and relevant aspects to study in the future. With a focus on Latin America and the Caribbean, 12 studies published since 2000 were selected for further study. We identified several characteristics of ‘supportive housing and settlements’ which make households more likely to engage in HBW and proposed a model of the symbiotic relationship between housing and HBW. We discuss the implications of our findings for development and humanitarian contexts, make recommendations for policy and practice, and suggest topics for further research.","container-title":"Cities","DOI":"10.1016/j.cities.2024.104833","ISSN":"0264-2751","journalAbbreviation":"Cities","page":"104833","source":"ScienceDirect","title":"Housing and home-based work: Considerations for development and humanitarian contexts","title-short":"Housing and home-based work","URL":"https://www.sciencedirect.com/science/article/pii/S0264275124000477","volume":"147","author":[{"family":"Wagemann","given":"Elizabeth"},{"family":"Maynard","given":"Victoria"},{"family":"Simons","given":"Beth"}],"accessed":{"date-parts":[["2026",4,15]]},"issued":{"date-parts":[["2024",4,1]]}}}],"schema":"https://github.com/citation-style-language/schema/raw/master/csl-citation.json"} </w:instrText>
      </w:r>
      <w:r w:rsidR="00D52077">
        <w:fldChar w:fldCharType="separate"/>
      </w:r>
      <w:r w:rsidR="001B3A62">
        <w:rPr>
          <w:noProof/>
        </w:rPr>
        <w:t>(Wagemann et al., 2024;</w:t>
      </w:r>
      <w:r w:rsidR="00D52077">
        <w:fldChar w:fldCharType="end"/>
      </w:r>
      <w:r w:rsidR="00D52077">
        <w:fldChar w:fldCharType="begin"/>
      </w:r>
      <w:r w:rsidR="001B3A62">
        <w:instrText xml:space="preserve"> ADDIN ZOTERO_ITEM CSL_CITATION {"citationID":"nLcgUKlj","properties":{"formattedCitation":"(Gough &amp; Kellett, 2001)","plainCitation":"(Gough &amp; Kellett, 2001)","noteIndex":0},"citationItems":[{"id":20309,"uris":["http://zotero.org/users/1011003/items/MR5KCGSI"],"itemData":{"id":20309,"type":"article-journal","abstract":"Consolidation of dwellings in self-help settlements is directly dependent on the generation of surplus resources beyond that required for subsistence. A significant proportion of households in such settlements are reliant on income generated within the home for household subsistence as well as to finance the construction of the dwelling itself. There is therefore a close interrelationship between income levels, dwelling consolidation rates and household profiles, all of which are in a state of continuous change. To examine these interrelationships this paper draws on longitudinal studies of settlements in two intermediate sized, regional capitals in Colombia: Pereira in the centre of the country and Santa Marta on the northern coast. The paper identifies the key factors which impact on the complex interlinkage between income generation and housing conditions, and concludes by offering some observations which are relevant to policy agendas in the field of low-income housing and poverty alleviation.","container-title":"Cities","DOI":"10.1016/S0264-2751(01)00016-6","ISSN":"0264-2751","issue":"4","journalAbbreviation":"Cities","page":"235-247","source":"ScienceDirect","title":"Housing Consolidation and Home-based Income Generation: Evidence from Self-help Settlements in Two Colombian Cities","title-short":"Housing Consolidation and Home-based Income Generation","URL":"https://www.sciencedirect.com/science/article/pii/S0264275101000166","volume":"18","author":[{"family":"Gough","given":"Katherine V"},{"family":"Kellett","given":"Peter"}],"accessed":{"date-parts":[["2026",4,15]]},"issued":{"date-parts":[["2001",8,1]]}}}],"schema":"https://github.com/citation-style-language/schema/raw/master/csl-citation.json"} </w:instrText>
      </w:r>
      <w:r w:rsidR="00D52077">
        <w:fldChar w:fldCharType="separate"/>
      </w:r>
      <w:r w:rsidR="001B3A62">
        <w:rPr>
          <w:noProof/>
        </w:rPr>
        <w:t xml:space="preserve"> Gough &amp; Kellett, 2001;</w:t>
      </w:r>
      <w:r w:rsidR="00D52077">
        <w:fldChar w:fldCharType="end"/>
      </w:r>
      <w:r w:rsidR="001B3A62">
        <w:fldChar w:fldCharType="begin"/>
      </w:r>
      <w:r w:rsidR="001B3A62">
        <w:instrText xml:space="preserve"> ADDIN ZOTERO_ITEM CSL_CITATION {"citationID":"Spqc60UU","properties":{"formattedCitation":"(Reuschke, 2016)","plainCitation":"(Reuschke, 2016)","noteIndex":0},"citationItems":[{"id":20310,"uris":["http://zotero.org/users/1011003/items/VHNDN3IU"],"itemData":{"id":20310,"type":"article-journal","abstract":"Economic research has rarely considered the significance of the home and neighbourhood context of where business owners live for their business. Conversely, urban and neighbourhood research has ove...","container-title":"Taylor &amp; Francis","language":"en","source":"www.tandfonline.com","title":"The importance of housing and neighbourhood resources for urban microbusinesses","URL":"https://www.tandfonline.com/doi/abs/10.1080/09654313.2016.1168364","author":[{"family":"Reuschke","given":"Darja"}],"accessed":{"date-parts":[["2026",4,15]]},"issued":{"date-parts":[["2016"]]}}}],"schema":"https://github.com/citation-style-language/schema/raw/master/csl-citation.json"} </w:instrText>
      </w:r>
      <w:r w:rsidR="001B3A62">
        <w:fldChar w:fldCharType="separate"/>
      </w:r>
      <w:r w:rsidR="001B3A62">
        <w:rPr>
          <w:noProof/>
        </w:rPr>
        <w:t xml:space="preserve"> Reuschke, 2016)</w:t>
      </w:r>
      <w:r w:rsidR="001B3A62">
        <w:fldChar w:fldCharType="end"/>
      </w:r>
      <w:r w:rsidR="00D61DF5" w:rsidRPr="00D61DF5">
        <w:t xml:space="preserve"> </w:t>
      </w:r>
    </w:p>
    <w:p w14:paraId="66BCFC29" w14:textId="77777777" w:rsidR="00D74FAF" w:rsidRPr="00D61DF5" w:rsidRDefault="00D74FAF" w:rsidP="00D61DF5">
      <w:pPr>
        <w:jc w:val="both"/>
      </w:pPr>
    </w:p>
    <w:p w14:paraId="29882AAE" w14:textId="314277DE" w:rsidR="00D61DF5" w:rsidRDefault="008F4C40" w:rsidP="00D61DF5">
      <w:pPr>
        <w:jc w:val="both"/>
      </w:pPr>
      <w:r w:rsidRPr="008F4C40">
        <w:rPr>
          <w:color w:val="0F9ED5" w:themeColor="accent4"/>
        </w:rPr>
        <w:t>Within this context, community service in architecture and building engineering can make a practical contribution by translating built-environment knowledge into simple and applicable guidance for healthier daily living. Rather than treating health only as a medical issue, this approach recognizes that family well-being is strongly shaped by environmental conditions such as airflow, lighting, sanitation, moisture control, circulation, and the separation of clean and service areas. Practical recommendations that are low-cost, gradual, and feasible within rented or constrained spaces are therefore especially relevant for migrant entrepreneur families</w:t>
      </w:r>
      <w:r w:rsidR="00D52077">
        <w:t xml:space="preserve"> </w:t>
      </w:r>
      <w:r w:rsidR="00D52077">
        <w:fldChar w:fldCharType="begin"/>
      </w:r>
      <w:r w:rsidR="001B3A62">
        <w:instrText xml:space="preserve"> ADDIN ZOTERO_ITEM CSL_CITATION {"citationID":"G6P5CMbv","properties":{"formattedCitation":"({\\i{}WHO Housing and Health Guidelines}, n.d.)","plainCitation":"(WHO Housing and Health Guidelines, n.d.)","noteIndex":0},"citationItems":[{"id":20292,"uris":["http://zotero.org/users/1011003/items/8XKXH9DA"],"itemData":{"id":20292,"type":"webpage","abstract":"The guidelines emphasize the importance of collaboration between the health and other sectors and joint efforts across all government levels to promote healthy housing.","language":"en","title":"WHO Housing and health guidelines","URL":"https://www.who.int/publications/i/item/9789241550376?utm_source=chatgpt.com","accessed":{"date-parts":[["2026",4,15]]}}}],"schema":"https://github.com/citation-style-language/schema/raw/master/csl-citation.json"} </w:instrText>
      </w:r>
      <w:r w:rsidR="00D52077">
        <w:fldChar w:fldCharType="separate"/>
      </w:r>
      <w:r w:rsidR="001B3A62" w:rsidRPr="001B3A62">
        <w:rPr>
          <w:kern w:val="0"/>
          <w:lang w:val="en-US"/>
        </w:rPr>
        <w:t>(</w:t>
      </w:r>
      <w:r w:rsidR="001B3A62" w:rsidRPr="001B3A62">
        <w:rPr>
          <w:i/>
          <w:iCs/>
          <w:kern w:val="0"/>
          <w:lang w:val="en-US"/>
        </w:rPr>
        <w:t>WHO Housing and Health Guidelines</w:t>
      </w:r>
      <w:r w:rsidR="001B3A62" w:rsidRPr="001B3A62">
        <w:rPr>
          <w:kern w:val="0"/>
          <w:lang w:val="en-US"/>
        </w:rPr>
        <w:t>, n.d.</w:t>
      </w:r>
      <w:r w:rsidR="001B3A62">
        <w:rPr>
          <w:kern w:val="0"/>
          <w:lang w:val="en-US"/>
        </w:rPr>
        <w:t>;</w:t>
      </w:r>
      <w:r w:rsidR="00D52077">
        <w:fldChar w:fldCharType="end"/>
      </w:r>
      <w:r w:rsidR="00D52077">
        <w:fldChar w:fldCharType="begin"/>
      </w:r>
      <w:r w:rsidR="001B3A62">
        <w:instrText xml:space="preserve"> ADDIN ZOTERO_ITEM CSL_CITATION {"citationID":"klXyTL2z","properties":{"formattedCitation":"(Niza et al., 2024)","plainCitation":"(Niza et al., 2024)","noteIndex":0},"citationItems":[{"id":20298,"uris":["http://zotero.org/users/1011003/items/PFWC8GE2"],"itemData":{"id":20298,"type":"article-journal","abstract":"Ensuring sustainability and reducing energy consumption in the built environment is essential for achieving energy efficiency and comfort. To obtain a healthy and sustainable urban environment, indoor air quality and ventilation play a crucial role inside buildings since billions of people live in urban environments worldwide and spend significant time indoors. Considering the relevance of this theme, the Preferred Reporting Items for Systematic Reviews and Meta-Analysis (PRISMA) was adopted to conduct a review regarding air quality and ventilation and their impacts on urban environments. The search identified 7568 articles related to the topic, of which 103 were selected after applying the criteria defined to answer four research questions. The main findings of this research are: (I) Analysis of design strategies related to indoor air quality shows that ventilation plays a key role in promoting healthy and comfortable conditions; (II) Air distribution involves controlling temperature, velocity, humidity and pollutant concentration, thus creating an indoor environment with low energy consumption and high air quality; (III) The Covid-19 pandemic has emphasized the urgency of addressing Indoor Air Quality (IAQ) and ventilation as crucial strategies in reducing the spread of respiratory viruses; (IV) Climate change and the global energy crisis have imposed significant pressure on the construction industry to design buildings with low energy consumption, especially in developed countries with high levels of energy consumption.","container-title":"Results in Engineering","DOI":"10.1016/j.rineng.2024.103157","ISSN":"2590-1230","journalAbbreviation":"Results in Engineering","page":"103157","source":"ScienceDirect","title":"Air quality and ventilation: Exploring solutions for healthy and sustainable urban environments in times of climate change","title-short":"Air quality and ventilation","URL":"https://www.sciencedirect.com/science/article/pii/S2590123024014129","volume":"24","author":[{"family":"Niza","given":"Iasmin Lourenço"},{"family":"Bueno","given":"Ana Maria"},{"family":"Gameiro da Silva","given":"Manuel"},{"family":"Broday","given":"Evandro Eduardo"}],"accessed":{"date-parts":[["2026",4,15]]},"issued":{"date-parts":[["2024",12,1]]}}}],"schema":"https://github.com/citation-style-language/schema/raw/master/csl-citation.json"} </w:instrText>
      </w:r>
      <w:r w:rsidR="00D52077">
        <w:fldChar w:fldCharType="separate"/>
      </w:r>
      <w:r w:rsidR="001B3A62">
        <w:rPr>
          <w:noProof/>
        </w:rPr>
        <w:t xml:space="preserve"> Niza et al., 2024;</w:t>
      </w:r>
      <w:r w:rsidR="00D52077">
        <w:fldChar w:fldCharType="end"/>
      </w:r>
      <w:r w:rsidR="00D52077">
        <w:fldChar w:fldCharType="begin"/>
      </w:r>
      <w:r w:rsidR="001B3A62">
        <w:instrText xml:space="preserve"> ADDIN ZOTERO_ITEM CSL_CITATION {"citationID":"WlDhgW4l","properties":{"formattedCitation":"(Osibona et al., 2021)","plainCitation":"(Osibona et al., 2021)","noteIndex":0},"citationItems":[{"id":20315,"uris":["http://zotero.org/users/1011003/items/SQQMGNYE"],"itemData":{"id":20315,"type":"article-journal","abstract":"Poor housing is an important determinant of poor health. One key aspect of housing quality is lighting. Light is important for visual performance and safety, and also plays a vital role in regulating human physiological functions. This review aims to synthesise existing evidence on the relationship between lighting in the home and health and recommends areas for future research. Three databases were searched for relevant literature using pre-defined inclusion criteria. Study quality was assessed using the Newcastle Ottawa Scale. Extracted data were qualitatively synthesised according to type of lighting (natural light, artificial light and light at night) and stratified by broad health domains (physical, mental and sleep health). Of the 4043 records retrieved, 28 studies met the inclusion criteria. There was considerable heterogeneity in light exposure metrics used and specific health outcome assessed by the studies. Lighting in the home can negatively affect health but the current evidence base is limited to a small number of studies in different domains of light and health. Further research surrounding specific health outcomes is required to better inform housing quality assessments and lighting practises in the home.","container-title":"International Journal of Environmental Research and Public Health","DOI":"10.3390/ijerph18020609","ISSN":"1660-4601","issue":"2","language":"en","license":"http://creativecommons.org/licenses/by/3.0/","page":"609","publisher":"Multidisciplinary Digital Publishing Institute","source":"www.mdpi.com","title":"Lighting in the Home and Health: A Systematic Review","title-short":"Lighting in the Home and Health","URL":"https://www.mdpi.com/1660-4601/18/2/609","volume":"18","author":[{"family":"Osibona","given":"Oluwapelumi"},{"family":"Solomon","given":"Bethlehem D."},{"family":"Fecht","given":"Daniela"}],"accessed":{"date-parts":[["2026",4,15]]},"issued":{"date-parts":[["2021",1,12]]}}}],"schema":"https://github.com/citation-style-language/schema/raw/master/csl-citation.json"} </w:instrText>
      </w:r>
      <w:r w:rsidR="00D52077">
        <w:fldChar w:fldCharType="separate"/>
      </w:r>
      <w:r w:rsidR="001B3A62">
        <w:rPr>
          <w:noProof/>
        </w:rPr>
        <w:t xml:space="preserve"> Osibona et al., 2021)</w:t>
      </w:r>
      <w:r w:rsidR="00D52077">
        <w:fldChar w:fldCharType="end"/>
      </w:r>
      <w:r w:rsidR="00D61DF5" w:rsidRPr="00D61DF5">
        <w:t xml:space="preserve">. </w:t>
      </w:r>
    </w:p>
    <w:p w14:paraId="79254976" w14:textId="77777777" w:rsidR="00D74FAF" w:rsidRPr="00D61DF5" w:rsidRDefault="00D74FAF" w:rsidP="00D61DF5">
      <w:pPr>
        <w:jc w:val="both"/>
      </w:pPr>
    </w:p>
    <w:p w14:paraId="67DA26CE" w14:textId="2CCA6F68" w:rsidR="00D61DF5" w:rsidRPr="00D61DF5" w:rsidRDefault="008F4C40" w:rsidP="00D61DF5">
      <w:pPr>
        <w:jc w:val="both"/>
      </w:pPr>
      <w:r w:rsidRPr="008F4C40">
        <w:rPr>
          <w:color w:val="0F9ED5" w:themeColor="accent4"/>
        </w:rPr>
        <w:t xml:space="preserve">This paper presents a community service program conducted with the </w:t>
      </w:r>
      <w:proofErr w:type="spellStart"/>
      <w:r w:rsidRPr="008F4C40">
        <w:rPr>
          <w:color w:val="0F9ED5" w:themeColor="accent4"/>
        </w:rPr>
        <w:t>Minang</w:t>
      </w:r>
      <w:proofErr w:type="spellEnd"/>
      <w:r w:rsidRPr="008F4C40">
        <w:rPr>
          <w:color w:val="0F9ED5" w:themeColor="accent4"/>
        </w:rPr>
        <w:t xml:space="preserve"> </w:t>
      </w:r>
      <w:proofErr w:type="spellStart"/>
      <w:r w:rsidRPr="008F4C40">
        <w:rPr>
          <w:color w:val="0F9ED5" w:themeColor="accent4"/>
        </w:rPr>
        <w:t>Saiyo</w:t>
      </w:r>
      <w:proofErr w:type="spellEnd"/>
      <w:r w:rsidRPr="008F4C40">
        <w:rPr>
          <w:color w:val="0F9ED5" w:themeColor="accent4"/>
        </w:rPr>
        <w:t xml:space="preserve"> Community in Kuala Lumpur, focusing on the relationship between living conditions, restaurant-based work patterns, and family health among </w:t>
      </w:r>
      <w:proofErr w:type="spellStart"/>
      <w:r w:rsidRPr="008F4C40">
        <w:rPr>
          <w:color w:val="0F9ED5" w:themeColor="accent4"/>
        </w:rPr>
        <w:t>Minang</w:t>
      </w:r>
      <w:proofErr w:type="spellEnd"/>
      <w:r w:rsidRPr="008F4C40">
        <w:rPr>
          <w:color w:val="0F9ED5" w:themeColor="accent4"/>
        </w:rPr>
        <w:t xml:space="preserve"> migrant entrepreneurs. The program combined field observation, participatory discussion, environmental health education, and technical guidance on simple spatial improvements. The paper aims to identify the main environmental challenges experienced by the community, describe the forms of intervention delivered through the program, and explain how architecture-based community service can support healthier living practices in migrant urban settings.</w:t>
      </w:r>
    </w:p>
    <w:p w14:paraId="5D71082E" w14:textId="77777777" w:rsidR="00D61DF5" w:rsidRDefault="00D61DF5" w:rsidP="00D61DF5">
      <w:pPr>
        <w:jc w:val="both"/>
      </w:pPr>
    </w:p>
    <w:p w14:paraId="363FA209" w14:textId="77777777" w:rsidR="00D61DF5" w:rsidRPr="00D61DF5" w:rsidRDefault="00D61DF5" w:rsidP="00D61DF5">
      <w:pPr>
        <w:jc w:val="both"/>
      </w:pPr>
    </w:p>
    <w:p w14:paraId="18B8C387" w14:textId="77777777" w:rsidR="00D61DF5" w:rsidRPr="00D61DF5" w:rsidRDefault="00D61DF5" w:rsidP="00D61DF5">
      <w:pPr>
        <w:jc w:val="both"/>
        <w:rPr>
          <w:b/>
          <w:bCs/>
          <w:sz w:val="28"/>
          <w:szCs w:val="28"/>
        </w:rPr>
      </w:pPr>
      <w:r w:rsidRPr="00D61DF5">
        <w:rPr>
          <w:b/>
          <w:bCs/>
          <w:sz w:val="28"/>
          <w:szCs w:val="28"/>
        </w:rPr>
        <w:t>METHODOLOGY</w:t>
      </w:r>
    </w:p>
    <w:p w14:paraId="22015F1D" w14:textId="77777777" w:rsidR="00D52077" w:rsidRDefault="00D52077" w:rsidP="00D52077">
      <w:pPr>
        <w:jc w:val="both"/>
        <w:rPr>
          <w:b/>
          <w:bCs/>
        </w:rPr>
      </w:pPr>
    </w:p>
    <w:p w14:paraId="774D2947" w14:textId="2A561861" w:rsidR="00D52077" w:rsidRPr="00D52077" w:rsidRDefault="008F4C40" w:rsidP="00D52077">
      <w:pPr>
        <w:jc w:val="both"/>
      </w:pPr>
      <w:r w:rsidRPr="008F4C40">
        <w:t xml:space="preserve">This community service program employed a participatory, field-based, and problem-oriented approach to address the relationship between living conditions, restaurant-based work patterns, and family health among </w:t>
      </w:r>
      <w:proofErr w:type="spellStart"/>
      <w:r w:rsidRPr="008F4C40">
        <w:t>Minang</w:t>
      </w:r>
      <w:proofErr w:type="spellEnd"/>
      <w:r w:rsidRPr="008F4C40">
        <w:t xml:space="preserve"> migrant entrepreneur families in Kuala Lumpur. The activity was designed as an applied community engagement program rather than an experimental intervention. It combined environmental observation, participatory discussion, health-oriented education, and technical guidance on feasible spatial improvements. This approach is consistent with community-based public health practice, which emphasizes contextual understanding, local relevance, and practical problem solving through collaboration with community members</w:t>
      </w:r>
      <w:r w:rsidR="00CF614A">
        <w:t xml:space="preserve"> </w:t>
      </w:r>
      <w:r w:rsidR="00CF614A">
        <w:fldChar w:fldCharType="begin"/>
      </w:r>
      <w:r w:rsidR="001B3A62">
        <w:instrText xml:space="preserve"> ADDIN ZOTERO_ITEM CSL_CITATION {"citationID":"GqxipdaS","properties":{"formattedCitation":"({\\i{}Indicators, Guidance and Tools}, n.d.)","plainCitation":"(Indicators, Guidance and Tools, n.d.)","noteIndex":0},"citationItems":[{"id":20319,"uris":["http://zotero.org/users/1011003/items/UVKUNL5A"],"itemData":{"id":20319,"type":"webpage","abstract":"To reduce the health burden due to unsafe and substandard housing, WHO has developed the WHO Housing and health guidelines, which bring together the most recent evidence to provide practical recommendations promoting healthy housing.","language":"en","title":"Indicators, guidance and tools","URL":"https://www.who.int/teams/environment-climate-change-and-health/healthy-urban-environments/housing/indicators-guidance-and-tools?utm_source=chatgpt.com","accessed":{"date-parts":[["2026",4,16]]}}}],"schema":"https://github.com/citation-style-language/schema/raw/master/csl-citation.json"} </w:instrText>
      </w:r>
      <w:r w:rsidR="00CF614A">
        <w:fldChar w:fldCharType="separate"/>
      </w:r>
      <w:r w:rsidR="001B3A62" w:rsidRPr="001B3A62">
        <w:rPr>
          <w:kern w:val="0"/>
          <w:lang w:val="en-US"/>
        </w:rPr>
        <w:t>(</w:t>
      </w:r>
      <w:r w:rsidR="001B3A62" w:rsidRPr="001B3A62">
        <w:rPr>
          <w:i/>
          <w:iCs/>
          <w:kern w:val="0"/>
          <w:lang w:val="en-US"/>
        </w:rPr>
        <w:t>Indicators, Guidance and Tools</w:t>
      </w:r>
      <w:r w:rsidR="001B3A62" w:rsidRPr="001B3A62">
        <w:rPr>
          <w:kern w:val="0"/>
          <w:lang w:val="en-US"/>
        </w:rPr>
        <w:t>, n.d.)</w:t>
      </w:r>
      <w:r w:rsidR="00CF614A">
        <w:fldChar w:fldCharType="end"/>
      </w:r>
      <w:r w:rsidR="00D52077" w:rsidRPr="00D52077">
        <w:t xml:space="preserve">. </w:t>
      </w:r>
    </w:p>
    <w:p w14:paraId="192B8FCF" w14:textId="77777777" w:rsidR="008F4C40" w:rsidRDefault="008F4C40" w:rsidP="00D52077">
      <w:pPr>
        <w:jc w:val="both"/>
        <w:rPr>
          <w:b/>
          <w:bCs/>
        </w:rPr>
      </w:pPr>
    </w:p>
    <w:p w14:paraId="66359342" w14:textId="44520235" w:rsidR="00D52077" w:rsidRPr="00D52077" w:rsidRDefault="00D52077" w:rsidP="00D52077">
      <w:pPr>
        <w:jc w:val="both"/>
        <w:rPr>
          <w:b/>
          <w:bCs/>
        </w:rPr>
      </w:pPr>
      <w:r w:rsidRPr="00D52077">
        <w:rPr>
          <w:b/>
          <w:bCs/>
        </w:rPr>
        <w:t>Study setting and community partner</w:t>
      </w:r>
    </w:p>
    <w:p w14:paraId="305F3E98" w14:textId="79CEA1E8" w:rsidR="00D52077" w:rsidRDefault="008F4C40" w:rsidP="00D52077">
      <w:pPr>
        <w:jc w:val="both"/>
      </w:pPr>
      <w:r w:rsidRPr="008F4C40">
        <w:t xml:space="preserve">The program was conducted in Kuala Lumpur, Malaysia, in collaboration with the </w:t>
      </w:r>
      <w:proofErr w:type="spellStart"/>
      <w:r w:rsidRPr="008F4C40">
        <w:t>Minang</w:t>
      </w:r>
      <w:proofErr w:type="spellEnd"/>
      <w:r w:rsidRPr="008F4C40">
        <w:t xml:space="preserve"> </w:t>
      </w:r>
      <w:proofErr w:type="spellStart"/>
      <w:r w:rsidRPr="008F4C40">
        <w:t>Saiyo</w:t>
      </w:r>
      <w:proofErr w:type="spellEnd"/>
      <w:r w:rsidRPr="008F4C40">
        <w:t xml:space="preserve"> Community, a migrant community consisting largely of Indonesian </w:t>
      </w:r>
      <w:proofErr w:type="spellStart"/>
      <w:r w:rsidRPr="008F4C40">
        <w:t>Minang</w:t>
      </w:r>
      <w:proofErr w:type="spellEnd"/>
      <w:r w:rsidRPr="008F4C40">
        <w:t xml:space="preserve"> families whose livelihoods are closely connected to restaurant entrepreneurship. In this setting, the dwelling and the workplace are functionally interrelated through food preparation support, storage, rest, childcare, and family </w:t>
      </w:r>
      <w:proofErr w:type="spellStart"/>
      <w:r w:rsidRPr="008F4C40">
        <w:t>labor</w:t>
      </w:r>
      <w:proofErr w:type="spellEnd"/>
      <w:r w:rsidRPr="008F4C40">
        <w:t xml:space="preserve"> arrangements. Because housing conditions are increasingly recognized as an important determinant of health, the study of these hybrid domestic-work environments is highly relevant for community service in architecture and building engineering </w:t>
      </w:r>
      <w:r w:rsidR="00CF614A">
        <w:t xml:space="preserve"> </w:t>
      </w:r>
      <w:r w:rsidR="00CF614A">
        <w:fldChar w:fldCharType="begin"/>
      </w:r>
      <w:r w:rsidR="001B3A62">
        <w:instrText xml:space="preserve"> ADDIN ZOTERO_ITEM CSL_CITATION {"citationID":"HW83tWzr","properties":{"formattedCitation":"({\\i{}Housing}, n.d.)","plainCitation":"(Housing, n.d.)","noteIndex":0},"citationItems":[{"id":20321,"uris":["http://zotero.org/users/1011003/items/96I28G6T"],"itemData":{"id":20321,"type":"webpage","abstract":"WHO provides evidence-based guidance to promote healthy housing for all and is working with countries to develop tools and strategies for translating normative standards into national, regional and local action.","language":"en","title":"Housing","URL":"https://www.who.int/teams/environment-climate-change-and-health/healthy-urban-environments/housing?utm_source=chatgpt.com","accessed":{"date-parts":[["2026",4,16]]}}}],"schema":"https://github.com/citation-style-language/schema/raw/master/csl-citation.json"} </w:instrText>
      </w:r>
      <w:r w:rsidR="00CF614A">
        <w:fldChar w:fldCharType="separate"/>
      </w:r>
      <w:r w:rsidR="001B3A62" w:rsidRPr="001B3A62">
        <w:rPr>
          <w:kern w:val="0"/>
          <w:lang w:val="en-US"/>
        </w:rPr>
        <w:t>(</w:t>
      </w:r>
      <w:r w:rsidR="001B3A62" w:rsidRPr="001B3A62">
        <w:rPr>
          <w:i/>
          <w:iCs/>
          <w:kern w:val="0"/>
          <w:lang w:val="en-US"/>
        </w:rPr>
        <w:t>Housing</w:t>
      </w:r>
      <w:r w:rsidR="001B3A62" w:rsidRPr="001B3A62">
        <w:rPr>
          <w:kern w:val="0"/>
          <w:lang w:val="en-US"/>
        </w:rPr>
        <w:t>, n.d.</w:t>
      </w:r>
      <w:r w:rsidR="00EE4B82">
        <w:rPr>
          <w:kern w:val="0"/>
          <w:lang w:val="en-US"/>
        </w:rPr>
        <w:t>;</w:t>
      </w:r>
      <w:r w:rsidR="00CF614A">
        <w:fldChar w:fldCharType="end"/>
      </w:r>
      <w:r w:rsidR="00CF614A">
        <w:fldChar w:fldCharType="begin"/>
      </w:r>
      <w:r w:rsidR="001B3A62">
        <w:instrText xml:space="preserve"> ADDIN ZOTERO_ITEM CSL_CITATION {"citationID":"jvQmJ5Rs","properties":{"formattedCitation":"({\\i{}Housing Impacts Health}, n.d.)","plainCitation":"(Housing Impacts Health, n.d.)","noteIndex":0},"citationItems":[{"id":20322,"uris":["http://zotero.org/users/1011003/items/9EV3Q3LM"],"itemData":{"id":20322,"type":"webpage","abstract":"Housing is becoming increasingly important to public health due to demographic and climate changes, according to the latest WHO Housing and health guidelines released today. The guidelines provide new evidence-based recommendations on how to reduce major health risks associated with poor housing conditions in 4 areas","language":"en","title":"Housing impacts health: new WHO guidelines on housing and health","title-short":"Housing impacts health","URL":"https://www.who.int/news/item/26-11-2018-housing-impacts-health-new-who-guidelines-on-housing-and-health?utm_source=chatgpt.com","accessed":{"date-parts":[["2026",4,16]]}}}],"schema":"https://github.com/citation-style-language/schema/raw/master/csl-citation.json"} </w:instrText>
      </w:r>
      <w:r w:rsidR="00CF614A">
        <w:fldChar w:fldCharType="separate"/>
      </w:r>
      <w:r w:rsidR="00EE4B82">
        <w:rPr>
          <w:kern w:val="0"/>
          <w:lang w:val="en-US"/>
        </w:rPr>
        <w:t xml:space="preserve"> </w:t>
      </w:r>
      <w:r w:rsidR="001B3A62" w:rsidRPr="001B3A62">
        <w:rPr>
          <w:i/>
          <w:iCs/>
          <w:kern w:val="0"/>
          <w:lang w:val="en-US"/>
        </w:rPr>
        <w:t>Housing Impacts Health</w:t>
      </w:r>
      <w:r w:rsidR="001B3A62" w:rsidRPr="001B3A62">
        <w:rPr>
          <w:kern w:val="0"/>
          <w:lang w:val="en-US"/>
        </w:rPr>
        <w:t>, n.d.)</w:t>
      </w:r>
      <w:r w:rsidR="00CF614A">
        <w:fldChar w:fldCharType="end"/>
      </w:r>
      <w:r w:rsidR="00D52077" w:rsidRPr="00D52077">
        <w:t xml:space="preserve">. </w:t>
      </w:r>
    </w:p>
    <w:p w14:paraId="2508831F" w14:textId="77777777" w:rsidR="00D52077" w:rsidRDefault="00D52077" w:rsidP="00D52077">
      <w:pPr>
        <w:jc w:val="both"/>
      </w:pPr>
    </w:p>
    <w:p w14:paraId="6A1007D5" w14:textId="77777777" w:rsidR="00087FFB" w:rsidRDefault="00D52077" w:rsidP="00087FFB">
      <w:pPr>
        <w:keepNext/>
        <w:jc w:val="both"/>
      </w:pPr>
      <w:r w:rsidRPr="00D52077">
        <w:rPr>
          <w:noProof/>
          <w:lang w:val="en-IN" w:eastAsia="en-IN"/>
        </w:rPr>
        <w:lastRenderedPageBreak/>
        <w:drawing>
          <wp:inline distT="0" distB="0" distL="0" distR="0" wp14:anchorId="06B18FD1" wp14:editId="49ABF6A2">
            <wp:extent cx="3461584" cy="1739874"/>
            <wp:effectExtent l="0" t="0" r="0" b="635"/>
            <wp:docPr id="12041607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160718" name=""/>
                    <pic:cNvPicPr/>
                  </pic:nvPicPr>
                  <pic:blipFill rotWithShape="1">
                    <a:blip r:embed="rId6"/>
                    <a:srcRect l="12124" t="23704" b="8291"/>
                    <a:stretch>
                      <a:fillRect/>
                    </a:stretch>
                  </pic:blipFill>
                  <pic:spPr bwMode="auto">
                    <a:xfrm>
                      <a:off x="0" y="0"/>
                      <a:ext cx="3544687" cy="1781644"/>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00087FFB" w:rsidRPr="00087FFB">
        <w:rPr>
          <w:noProof/>
          <w:lang w:val="en-IN" w:eastAsia="en-IN"/>
        </w:rPr>
        <w:drawing>
          <wp:inline distT="0" distB="0" distL="0" distR="0" wp14:anchorId="0FA25408" wp14:editId="162C2686">
            <wp:extent cx="3009033" cy="1736405"/>
            <wp:effectExtent l="0" t="0" r="1270" b="3810"/>
            <wp:docPr id="9927799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779900" name=""/>
                    <pic:cNvPicPr/>
                  </pic:nvPicPr>
                  <pic:blipFill rotWithShape="1">
                    <a:blip r:embed="rId7"/>
                    <a:srcRect l="23962" t="23112" b="9330"/>
                    <a:stretch>
                      <a:fillRect/>
                    </a:stretch>
                  </pic:blipFill>
                  <pic:spPr bwMode="auto">
                    <a:xfrm>
                      <a:off x="0" y="0"/>
                      <a:ext cx="3041448" cy="1755110"/>
                    </a:xfrm>
                    <a:prstGeom prst="rect">
                      <a:avLst/>
                    </a:prstGeom>
                    <a:ln>
                      <a:noFill/>
                    </a:ln>
                    <a:extLst>
                      <a:ext uri="{53640926-AAD7-44D8-BBD7-CCE9431645EC}">
                        <a14:shadowObscured xmlns:a14="http://schemas.microsoft.com/office/drawing/2010/main"/>
                      </a:ext>
                    </a:extLst>
                  </pic:spPr>
                </pic:pic>
              </a:graphicData>
            </a:graphic>
          </wp:inline>
        </w:drawing>
      </w:r>
    </w:p>
    <w:p w14:paraId="09F87DDA" w14:textId="418134E6" w:rsidR="00D52077" w:rsidRDefault="00087FFB" w:rsidP="00087FFB">
      <w:pPr>
        <w:pStyle w:val="Caption"/>
        <w:jc w:val="both"/>
        <w:rPr>
          <w:i w:val="0"/>
          <w:iCs w:val="0"/>
          <w:color w:val="auto"/>
        </w:rPr>
      </w:pPr>
      <w:r w:rsidRPr="00087FFB">
        <w:rPr>
          <w:i w:val="0"/>
          <w:iCs w:val="0"/>
          <w:color w:val="auto"/>
        </w:rPr>
        <w:t xml:space="preserve">Figure </w:t>
      </w:r>
      <w:r w:rsidRPr="00087FFB">
        <w:rPr>
          <w:i w:val="0"/>
          <w:iCs w:val="0"/>
          <w:color w:val="auto"/>
        </w:rPr>
        <w:fldChar w:fldCharType="begin"/>
      </w:r>
      <w:r w:rsidRPr="00087FFB">
        <w:rPr>
          <w:i w:val="0"/>
          <w:iCs w:val="0"/>
          <w:color w:val="auto"/>
        </w:rPr>
        <w:instrText xml:space="preserve"> SEQ Figure \* ARABIC </w:instrText>
      </w:r>
      <w:r w:rsidRPr="00087FFB">
        <w:rPr>
          <w:i w:val="0"/>
          <w:iCs w:val="0"/>
          <w:color w:val="auto"/>
        </w:rPr>
        <w:fldChar w:fldCharType="separate"/>
      </w:r>
      <w:r w:rsidR="005D4EDD">
        <w:rPr>
          <w:i w:val="0"/>
          <w:iCs w:val="0"/>
          <w:noProof/>
          <w:color w:val="auto"/>
        </w:rPr>
        <w:t>1</w:t>
      </w:r>
      <w:r w:rsidRPr="00087FFB">
        <w:rPr>
          <w:i w:val="0"/>
          <w:iCs w:val="0"/>
          <w:color w:val="auto"/>
        </w:rPr>
        <w:fldChar w:fldCharType="end"/>
      </w:r>
      <w:r w:rsidRPr="00087FFB">
        <w:rPr>
          <w:i w:val="0"/>
          <w:iCs w:val="0"/>
          <w:color w:val="auto"/>
        </w:rPr>
        <w:t xml:space="preserve">. Spatial location of the </w:t>
      </w:r>
      <w:proofErr w:type="spellStart"/>
      <w:r w:rsidRPr="00087FFB">
        <w:rPr>
          <w:i w:val="0"/>
          <w:iCs w:val="0"/>
          <w:color w:val="auto"/>
        </w:rPr>
        <w:t>Minang</w:t>
      </w:r>
      <w:proofErr w:type="spellEnd"/>
      <w:r w:rsidRPr="00087FFB">
        <w:rPr>
          <w:i w:val="0"/>
          <w:iCs w:val="0"/>
          <w:color w:val="auto"/>
        </w:rPr>
        <w:t xml:space="preserve"> </w:t>
      </w:r>
      <w:proofErr w:type="spellStart"/>
      <w:r w:rsidRPr="00087FFB">
        <w:rPr>
          <w:i w:val="0"/>
          <w:iCs w:val="0"/>
          <w:color w:val="auto"/>
        </w:rPr>
        <w:t>Saiyo</w:t>
      </w:r>
      <w:proofErr w:type="spellEnd"/>
      <w:r w:rsidRPr="00087FFB">
        <w:rPr>
          <w:i w:val="0"/>
          <w:iCs w:val="0"/>
          <w:color w:val="auto"/>
        </w:rPr>
        <w:t xml:space="preserve"> Community and the PKM activity site in Kuala Lumpur, Malaysia</w:t>
      </w:r>
    </w:p>
    <w:p w14:paraId="7E3671E9" w14:textId="0090DF16" w:rsidR="00087FFB" w:rsidRPr="00D52077" w:rsidRDefault="00087FFB" w:rsidP="00087FFB">
      <w:pPr>
        <w:jc w:val="both"/>
      </w:pPr>
      <w:r>
        <w:t>F</w:t>
      </w:r>
      <w:r w:rsidRPr="00087FFB">
        <w:t>igure</w:t>
      </w:r>
      <w:r>
        <w:t xml:space="preserve"> 1</w:t>
      </w:r>
      <w:r w:rsidRPr="00087FFB">
        <w:t xml:space="preserve"> presents the geographical context of the community service program. The left panel identifies the local site of the </w:t>
      </w:r>
      <w:proofErr w:type="spellStart"/>
      <w:r w:rsidRPr="00087FFB">
        <w:t>Minang</w:t>
      </w:r>
      <w:proofErr w:type="spellEnd"/>
      <w:r w:rsidRPr="00087FFB">
        <w:t xml:space="preserve"> </w:t>
      </w:r>
      <w:proofErr w:type="spellStart"/>
      <w:r w:rsidRPr="00087FFB">
        <w:t>Saiyo</w:t>
      </w:r>
      <w:proofErr w:type="spellEnd"/>
      <w:r w:rsidRPr="00087FFB">
        <w:t xml:space="preserve"> Community and its restaurant-based activity setting within Kuala Lumpur, while the right panel places the site within the wider regional geography of Malaysia. The figure provides spatial context for understanding the living and working environment of the migrant community.</w:t>
      </w:r>
    </w:p>
    <w:p w14:paraId="515BF5B8" w14:textId="77777777" w:rsidR="00D52077" w:rsidRDefault="00D52077" w:rsidP="00D52077">
      <w:pPr>
        <w:jc w:val="both"/>
        <w:rPr>
          <w:b/>
          <w:bCs/>
        </w:rPr>
      </w:pPr>
    </w:p>
    <w:p w14:paraId="50F10B1C" w14:textId="2D23CC28" w:rsidR="00D52077" w:rsidRPr="00D52077" w:rsidRDefault="00D52077" w:rsidP="00D52077">
      <w:pPr>
        <w:jc w:val="both"/>
        <w:rPr>
          <w:b/>
          <w:bCs/>
        </w:rPr>
      </w:pPr>
      <w:r w:rsidRPr="00D52077">
        <w:rPr>
          <w:b/>
          <w:bCs/>
        </w:rPr>
        <w:t>Service approach</w:t>
      </w:r>
    </w:p>
    <w:p w14:paraId="4A440C5C" w14:textId="62823446" w:rsidR="00D52077" w:rsidRPr="00D52077" w:rsidRDefault="008F4C40" w:rsidP="00D52077">
      <w:pPr>
        <w:jc w:val="both"/>
      </w:pPr>
      <w:r w:rsidRPr="008F4C40">
        <w:t xml:space="preserve">The program adopted a participatory environmental health approach in which community members were involved not only as recipients of information, but also as active participants in identifying environmental problems, discussing everyday routines, and reflecting on realistic solutions. This approach was selected because interventions related to healthy living environments are more meaningful when they respond to actual spatial practices, economic limitations, and housing constraints. WHO guidance on healthy housing similarly emphasizes the importance of practical and context-sensitive actions grounded in real living conditions </w:t>
      </w:r>
      <w:r w:rsidR="00D028D5">
        <w:t xml:space="preserve"> </w:t>
      </w:r>
      <w:r w:rsidR="00D028D5">
        <w:fldChar w:fldCharType="begin"/>
      </w:r>
      <w:r w:rsidR="001B3A62">
        <w:instrText xml:space="preserve"> ADDIN ZOTERO_ITEM CSL_CITATION {"citationID":"K27sXchc","properties":{"formattedCitation":"({\\i{}WHO Housing and Health Guidelines}, n.d.)","plainCitation":"(WHO Housing and Health Guidelines, n.d.)","noteIndex":0},"citationItems":[{"id":20292,"uris":["http://zotero.org/users/1011003/items/8XKXH9DA"],"itemData":{"id":20292,"type":"webpage","abstract":"The guidelines emphasize the importance of collaboration between the health and other sectors and joint efforts across all government levels to promote healthy housing.","language":"en","title":"WHO Housing and health guidelines","URL":"https://www.who.int/publications/i/item/9789241550376?utm_source=chatgpt.com","accessed":{"date-parts":[["2026",4,15]]}}}],"schema":"https://github.com/citation-style-language/schema/raw/master/csl-citation.json"} </w:instrText>
      </w:r>
      <w:r w:rsidR="00D028D5">
        <w:fldChar w:fldCharType="separate"/>
      </w:r>
      <w:r w:rsidR="001B3A62" w:rsidRPr="001B3A62">
        <w:rPr>
          <w:kern w:val="0"/>
          <w:lang w:val="en-US"/>
        </w:rPr>
        <w:t>(</w:t>
      </w:r>
      <w:r w:rsidR="001B3A62" w:rsidRPr="001B3A62">
        <w:rPr>
          <w:i/>
          <w:iCs/>
          <w:kern w:val="0"/>
          <w:lang w:val="en-US"/>
        </w:rPr>
        <w:t>WHO Housing and Health Guidelines</w:t>
      </w:r>
      <w:r w:rsidR="001B3A62" w:rsidRPr="001B3A62">
        <w:rPr>
          <w:kern w:val="0"/>
          <w:lang w:val="en-US"/>
        </w:rPr>
        <w:t>, n.d.)</w:t>
      </w:r>
      <w:r w:rsidR="00D028D5">
        <w:fldChar w:fldCharType="end"/>
      </w:r>
      <w:r w:rsidR="00D52077" w:rsidRPr="00D52077">
        <w:t xml:space="preserve">. </w:t>
      </w:r>
    </w:p>
    <w:p w14:paraId="09460080" w14:textId="77777777" w:rsidR="00D52077" w:rsidRDefault="00D52077" w:rsidP="00D52077">
      <w:pPr>
        <w:jc w:val="both"/>
        <w:rPr>
          <w:b/>
          <w:bCs/>
        </w:rPr>
      </w:pPr>
    </w:p>
    <w:p w14:paraId="2F9B016F" w14:textId="4FEE6FDB" w:rsidR="00D52077" w:rsidRPr="00D52077" w:rsidRDefault="00D52077" w:rsidP="00D52077">
      <w:pPr>
        <w:jc w:val="both"/>
        <w:rPr>
          <w:b/>
          <w:bCs/>
        </w:rPr>
      </w:pPr>
      <w:r w:rsidRPr="00D52077">
        <w:rPr>
          <w:b/>
          <w:bCs/>
        </w:rPr>
        <w:t>Stages of implementation</w:t>
      </w:r>
    </w:p>
    <w:p w14:paraId="6892DB42" w14:textId="77777777" w:rsidR="00D52077" w:rsidRPr="00D52077" w:rsidRDefault="00D52077" w:rsidP="00D52077">
      <w:pPr>
        <w:jc w:val="both"/>
      </w:pPr>
      <w:r w:rsidRPr="00D52077">
        <w:t>The methodology was implemented in four main stages.</w:t>
      </w:r>
    </w:p>
    <w:p w14:paraId="26682DE6" w14:textId="77777777" w:rsidR="00D52077" w:rsidRDefault="00D52077" w:rsidP="00D52077">
      <w:pPr>
        <w:jc w:val="both"/>
        <w:rPr>
          <w:b/>
          <w:bCs/>
        </w:rPr>
      </w:pPr>
    </w:p>
    <w:p w14:paraId="64F26E4E" w14:textId="5D8DDD1B" w:rsidR="00D52077" w:rsidRPr="00D52077" w:rsidRDefault="00D52077" w:rsidP="00D52077">
      <w:pPr>
        <w:jc w:val="both"/>
        <w:rPr>
          <w:b/>
          <w:bCs/>
        </w:rPr>
      </w:pPr>
      <w:r w:rsidRPr="00D52077">
        <w:rPr>
          <w:b/>
          <w:bCs/>
        </w:rPr>
        <w:t>1. Preliminary identification</w:t>
      </w:r>
    </w:p>
    <w:p w14:paraId="437EA5CA" w14:textId="46E6C697" w:rsidR="00D52077" w:rsidRPr="00D52077" w:rsidRDefault="008F4C40" w:rsidP="00D52077">
      <w:pPr>
        <w:jc w:val="both"/>
      </w:pPr>
      <w:r w:rsidRPr="008F4C40">
        <w:rPr>
          <w:color w:val="0F9ED5" w:themeColor="accent4"/>
        </w:rPr>
        <w:t>The first stage focused on identifying the general profile of the community, the characteristics of their living and working environments, and the main environmental issues affecting daily family life. At this stage, the team noted recurrent concerns such as overlapping domestic and business functions, ventilation limitations, storage congestion, sanitation risks, circulation problems, and weak separation between clean and service areas. This step was important because housing-related health risks are often cumulative and shaped by multiple environmental factors rather than a single condition</w:t>
      </w:r>
      <w:r w:rsidR="00D028D5">
        <w:t xml:space="preserve"> </w:t>
      </w:r>
      <w:r w:rsidR="00D028D5">
        <w:fldChar w:fldCharType="begin"/>
      </w:r>
      <w:r w:rsidR="001B3A62">
        <w:instrText xml:space="preserve"> ADDIN ZOTERO_ITEM CSL_CITATION {"citationID":"jPeJjC2f","properties":{"formattedCitation":"(Anyanwu &amp; Beyer, 2024)","plainCitation":"(Anyanwu &amp; Beyer, 2024)","noteIndex":0},"citationItems":[{"id":20325,"uris":["http://zotero.org/users/1011003/items/UYJ3I2YP"],"itemData":{"id":20325,"type":"article-journal","abstract":"Housing and environment are important influences on health, wellbeing, and a strong sense of community. Housing and environmental features can have both health promoting and hazardous impacts on communities. Present day health inequities in housing and environmental conditions in the United States are linked with historic redlining, unfair zoning decisions, segregation, and restrictive housing covenants, with similar phenomena occurring in other global settings. Consequently, there are distinct spatial patterns of poor housing and environmental risks across geographic areas, including patterning of the presence/absence of health promoting features. Environmental harms and poor housing conditions are disproportionately concentrated in low-income and minoritized communities suggesting an environmental justice issue. Importantly, there are linkages between aspects of housing and the environment as they relate to health equity. However, past studies have largely studied housing, and environmental justice separately and given this intersection little attention. The objective of this review is to discuss the intersections between housing and environmental conditions in relation to health equity. This review also presents a new conceptual model to show how housing disparities is a key component in environmental justice. The intersection of aspects of housing instability such as eviction and environmental exposures suggest the need for future studies to examine their interconnectedness when assessing their health risk. In addition, some upstream public health investments are suggested for equitable housing and environmental conditions that would improve health and wellbeing. Those equity focused upstream investments include, equitable housing code enforcement, increase in housing supply and affordability, investment in greenspace, equitable land-use zoning, and continuous revision of air quality standard.","container-title":"Social Sciences &amp; Humanities Open","DOI":"10.1016/j.ssaho.2024.100845","ISSN":"2590-2911","journalAbbreviation":"Social Sciences &amp; Humanities Open","page":"100845","source":"ScienceDirect","title":"Intersections among housing, environmental conditions, and health equity: A conceptual model for environmental justice policy","title-short":"Intersections among housing, environmental conditions, and health equity","URL":"https://www.sciencedirect.com/science/article/pii/S2590291124000421","volume":"9","author":[{"family":"Anyanwu","given":"Chima"},{"family":"Beyer","given":"Kirsten M. M."}],"accessed":{"date-parts":[["2026",4,16]]},"issued":{"date-parts":[["2024",1,1]]}}}],"schema":"https://github.com/citation-style-language/schema/raw/master/csl-citation.json"} </w:instrText>
      </w:r>
      <w:r w:rsidR="00D028D5">
        <w:fldChar w:fldCharType="separate"/>
      </w:r>
      <w:r w:rsidR="001B3A62">
        <w:rPr>
          <w:noProof/>
        </w:rPr>
        <w:t>(Anyanwu &amp; Beyer, 2024)</w:t>
      </w:r>
      <w:r w:rsidR="00D028D5">
        <w:fldChar w:fldCharType="end"/>
      </w:r>
      <w:r w:rsidR="00D52077" w:rsidRPr="00D52077">
        <w:t xml:space="preserve">. </w:t>
      </w:r>
    </w:p>
    <w:p w14:paraId="252B984E" w14:textId="77777777" w:rsidR="00D52077" w:rsidRDefault="00D52077" w:rsidP="00D52077">
      <w:pPr>
        <w:jc w:val="both"/>
        <w:rPr>
          <w:b/>
          <w:bCs/>
        </w:rPr>
      </w:pPr>
    </w:p>
    <w:p w14:paraId="6CAB0F18" w14:textId="05B5A946" w:rsidR="00D52077" w:rsidRPr="00D52077" w:rsidRDefault="00D52077" w:rsidP="00D52077">
      <w:pPr>
        <w:jc w:val="both"/>
        <w:rPr>
          <w:b/>
          <w:bCs/>
        </w:rPr>
      </w:pPr>
      <w:r w:rsidRPr="00D52077">
        <w:rPr>
          <w:b/>
          <w:bCs/>
        </w:rPr>
        <w:t>2. Field observation</w:t>
      </w:r>
    </w:p>
    <w:p w14:paraId="35BBD2BC" w14:textId="4A925BB5" w:rsidR="00D52077" w:rsidRDefault="008F4C40" w:rsidP="00D52077">
      <w:pPr>
        <w:jc w:val="both"/>
      </w:pPr>
      <w:r w:rsidRPr="008F4C40">
        <w:rPr>
          <w:color w:val="0F9ED5" w:themeColor="accent4"/>
        </w:rPr>
        <w:t>The second stage involved direct field observation of selected living and working environments used by participating families. Observation focused on practical spatial and environmental indicators, including natural ventilation, daylight access, sanitation, moisture, waste handling, circulation safety, storage organization, and separation between domestic and service-related activities. These indicators were chosen because indoor environmental quality, ventilation, safety, and environmental performance are widely recognized as important components of healthy housing</w:t>
      </w:r>
      <w:r w:rsidR="00D028D5">
        <w:t xml:space="preserve"> </w:t>
      </w:r>
      <w:r w:rsidR="00D028D5">
        <w:fldChar w:fldCharType="begin"/>
      </w:r>
      <w:r w:rsidR="001B3A62">
        <w:instrText xml:space="preserve"> ADDIN ZOTERO_ITEM CSL_CITATION {"citationID":"wWWaJqyF","properties":{"formattedCitation":"(World Health Organization et al., 2018)","plainCitation":"(World Health Organization et al., 2018)","noteIndex":0},"citationItems":[{"id":20329,"uris":["http://zotero.org/users/1011003/items/8W4KGNUI"],"itemData":{"id":20329,"type":"book","abstract":"Improved housing conditions can save lives, prevent disease, increase quality of life, reduce poverty, and help mitigate climate change. Housing is becoming increasingly important to health in light of urban growth, ageing populations and climate change. The WHO Housing and health guidelines bring together the most recent evidence to provide practical recommendations to reduce the health burden due to unsafe and substandard housing. Based on newly commissioned systematic reviews, the guidelines provide recommendations relevant to inadequate living space (crowding), low and high indoor temperatures, injury hazards in the home, and accessibility of housing for people with functional impairments. In addition, the guidelines identify and summarize existing WHO guidelines and recommendations related to housing, with respect to water quality, air quality, neighbourhood noise, asbestos, lead, tobacco smoke and radon. The guidelines take a comprehensive, intersectoral perspective on the issue of housing and health and highlight co-benefits of interventions addressing several risk factors at the same time. The WHO Housing and health guidelines aim at informing housing policies and regulations at the national, regional and local level and are further relevant in the daily activities of implementing actors who are directly involved in the construction, maintenance and demolition of housing in ways that influence human health and safety. The guidelines therefore emphasize the importance of collaboration between the health and other sectors and joint efforts across all government levels to promote healthy housing. The guidelines' implementation at country-level will in particular contribute to the achievement of the Sustainable Development Goals on health (SDG 3) and sustainable cities (SDG 11). WHO will support Member States in adapting the guidelines to national contexts and priorities to ensure safe and healthy housing for all","ISBN":"978-92-4-155037-6","language":"en","number-of-pages":"1","publisher":"World Health Organization","publisher-place":"Geneva, Switzerland","source":"K10plus ISBN","title":"WHO housing and health guidelines","editor":[{"literal":"World Health Organization"},{"literal":"United States"},{"literal":"France"},{"literal":"United States"}],"issued":{"date-parts":[["2018"]]}}}],"schema":"https://github.com/citation-style-language/schema/raw/master/csl-citation.json"} </w:instrText>
      </w:r>
      <w:r w:rsidR="00D028D5">
        <w:fldChar w:fldCharType="separate"/>
      </w:r>
      <w:r w:rsidR="001B3A62">
        <w:rPr>
          <w:noProof/>
        </w:rPr>
        <w:t>(World Health Organization et al., 2018)</w:t>
      </w:r>
      <w:r w:rsidR="00D028D5">
        <w:fldChar w:fldCharType="end"/>
      </w:r>
      <w:r w:rsidR="00D52077" w:rsidRPr="00D52077">
        <w:t xml:space="preserve">. </w:t>
      </w:r>
    </w:p>
    <w:p w14:paraId="4754F4E9" w14:textId="77777777" w:rsidR="00D52077" w:rsidRDefault="00D52077" w:rsidP="00D52077">
      <w:pPr>
        <w:jc w:val="both"/>
        <w:rPr>
          <w:b/>
          <w:bCs/>
        </w:rPr>
      </w:pPr>
    </w:p>
    <w:p w14:paraId="0190554F" w14:textId="74E66F9E" w:rsidR="00D52077" w:rsidRPr="00D52077" w:rsidRDefault="00D52077" w:rsidP="00D52077">
      <w:pPr>
        <w:jc w:val="both"/>
        <w:rPr>
          <w:b/>
          <w:bCs/>
        </w:rPr>
      </w:pPr>
      <w:r w:rsidRPr="00D52077">
        <w:rPr>
          <w:b/>
          <w:bCs/>
        </w:rPr>
        <w:t>3. Participatory discussion and educational sessions</w:t>
      </w:r>
    </w:p>
    <w:p w14:paraId="00C05F7C" w14:textId="36B2EF9F" w:rsidR="005D4EDD" w:rsidRDefault="00116AA6" w:rsidP="00D52077">
      <w:pPr>
        <w:jc w:val="both"/>
      </w:pPr>
      <w:r w:rsidRPr="00116AA6">
        <w:t xml:space="preserve">The third stage consisted of participatory discussion sessions with community members to explore daily routines, identify points where family health and spatial conditions intersected, and discuss shared environmental challenges. The educational component introduced practical principles of healthy living environments, including ventilation, lighting, sanitation, moisture control, waste management, and safer movement within limited spaces. This stage encouraged participants to relate environmental conditions to family well-being, comfort, rest, and caregiving practices. Such educational translation is important when technical knowledge must be converted into understandable and </w:t>
      </w:r>
      <w:proofErr w:type="spellStart"/>
      <w:r w:rsidRPr="00116AA6">
        <w:t>behavior</w:t>
      </w:r>
      <w:proofErr w:type="spellEnd"/>
      <w:r w:rsidRPr="00116AA6">
        <w:t xml:space="preserve">-linked action </w:t>
      </w:r>
      <w:r w:rsidR="00D028D5">
        <w:t xml:space="preserve"> </w:t>
      </w:r>
      <w:r w:rsidR="00D028D5">
        <w:fldChar w:fldCharType="begin"/>
      </w:r>
      <w:r w:rsidR="001B3A62">
        <w:instrText xml:space="preserve"> ADDIN ZOTERO_ITEM CSL_CITATION {"citationID":"CMEgmLNd","properties":{"formattedCitation":"(World Health Organization et al., 2018)","plainCitation":"(World Health Organization et al., 2018)","noteIndex":0},"citationItems":[{"id":20329,"uris":["http://zotero.org/users/1011003/items/8W4KGNUI"],"itemData":{"id":20329,"type":"book","abstract":"Improved housing conditions can save lives, prevent disease, increase quality of life, reduce poverty, and help mitigate climate change. Housing is becoming increasingly important to health in light of urban growth, ageing populations and climate change. The WHO Housing and health guidelines bring together the most recent evidence to provide practical recommendations to reduce the health burden due to unsafe and substandard housing. Based on newly commissioned systematic reviews, the guidelines provide recommendations relevant to inadequate living space (crowding), low and high indoor temperatures, injury hazards in the home, and accessibility of housing for people with functional impairments. In addition, the guidelines identify and summarize existing WHO guidelines and recommendations related to housing, with respect to water quality, air quality, neighbourhood noise, asbestos, lead, tobacco smoke and radon. The guidelines take a comprehensive, intersectoral perspective on the issue of housing and health and highlight co-benefits of interventions addressing several risk factors at the same time. The WHO Housing and health guidelines aim at informing housing policies and regulations at the national, regional and local level and are further relevant in the daily activities of implementing actors who are directly involved in the construction, maintenance and demolition of housing in ways that influence human health and safety. The guidelines therefore emphasize the importance of collaboration between the health and other sectors and joint efforts across all government levels to promote healthy housing. The guidelines' implementation at country-level will in particular contribute to the achievement of the Sustainable Development Goals on health (SDG 3) and sustainable cities (SDG 11). WHO will support Member States in adapting the guidelines to national contexts and priorities to ensure safe and healthy housing for all","ISBN":"978-92-4-155037-6","language":"en","number-of-pages":"1","publisher":"World Health Organization","publisher-place":"Geneva, Switzerland","source":"K10plus ISBN","title":"WHO housing and health guidelines","editor":[{"literal":"World Health Organization"},{"literal":"United States"},{"literal":"France"},{"literal":"United States"}],"issued":{"date-parts":[["2018"]]}}}],"schema":"https://github.com/citation-style-language/schema/raw/master/csl-citation.json"} </w:instrText>
      </w:r>
      <w:r w:rsidR="00D028D5">
        <w:fldChar w:fldCharType="separate"/>
      </w:r>
      <w:r w:rsidR="001B3A62">
        <w:rPr>
          <w:noProof/>
        </w:rPr>
        <w:t>(World Health Organization et al., 2018)</w:t>
      </w:r>
      <w:r w:rsidR="00D028D5">
        <w:fldChar w:fldCharType="end"/>
      </w:r>
      <w:r w:rsidR="00D52077" w:rsidRPr="00D52077">
        <w:t xml:space="preserve">. </w:t>
      </w:r>
    </w:p>
    <w:p w14:paraId="511FD2A1" w14:textId="77777777" w:rsidR="005D4EDD" w:rsidRDefault="005D4EDD" w:rsidP="005D4EDD">
      <w:pPr>
        <w:jc w:val="both"/>
      </w:pPr>
    </w:p>
    <w:p w14:paraId="4CE0406E" w14:textId="77777777" w:rsidR="005D4EDD" w:rsidRDefault="005D4EDD" w:rsidP="005D4EDD">
      <w:pPr>
        <w:keepNext/>
        <w:jc w:val="both"/>
      </w:pPr>
      <w:r w:rsidRPr="000419F7">
        <w:rPr>
          <w:noProof/>
          <w:lang w:val="en-IN" w:eastAsia="en-IN"/>
        </w:rPr>
        <w:lastRenderedPageBreak/>
        <w:drawing>
          <wp:inline distT="0" distB="0" distL="0" distR="0" wp14:anchorId="7CBAB482" wp14:editId="21ABE6B3">
            <wp:extent cx="3161212" cy="2015605"/>
            <wp:effectExtent l="0" t="0" r="1270" b="3810"/>
            <wp:docPr id="1608078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078315" name=""/>
                    <pic:cNvPicPr/>
                  </pic:nvPicPr>
                  <pic:blipFill>
                    <a:blip r:embed="rId8"/>
                    <a:stretch>
                      <a:fillRect/>
                    </a:stretch>
                  </pic:blipFill>
                  <pic:spPr>
                    <a:xfrm>
                      <a:off x="0" y="0"/>
                      <a:ext cx="3197616" cy="2038816"/>
                    </a:xfrm>
                    <a:prstGeom prst="rect">
                      <a:avLst/>
                    </a:prstGeom>
                  </pic:spPr>
                </pic:pic>
              </a:graphicData>
            </a:graphic>
          </wp:inline>
        </w:drawing>
      </w:r>
      <w:r>
        <w:t xml:space="preserve"> </w:t>
      </w:r>
      <w:r w:rsidRPr="000419F7">
        <w:rPr>
          <w:noProof/>
          <w:lang w:val="en-IN" w:eastAsia="en-IN"/>
        </w:rPr>
        <w:drawing>
          <wp:inline distT="0" distB="0" distL="0" distR="0" wp14:anchorId="5ABE2416" wp14:editId="4B7B4FA3">
            <wp:extent cx="3264924" cy="2015762"/>
            <wp:effectExtent l="0" t="0" r="0" b="3810"/>
            <wp:docPr id="1017712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712524" name=""/>
                    <pic:cNvPicPr/>
                  </pic:nvPicPr>
                  <pic:blipFill>
                    <a:blip r:embed="rId9"/>
                    <a:stretch>
                      <a:fillRect/>
                    </a:stretch>
                  </pic:blipFill>
                  <pic:spPr>
                    <a:xfrm>
                      <a:off x="0" y="0"/>
                      <a:ext cx="3301756" cy="2038502"/>
                    </a:xfrm>
                    <a:prstGeom prst="rect">
                      <a:avLst/>
                    </a:prstGeom>
                  </pic:spPr>
                </pic:pic>
              </a:graphicData>
            </a:graphic>
          </wp:inline>
        </w:drawing>
      </w:r>
    </w:p>
    <w:p w14:paraId="5214A2E9" w14:textId="7302DF88" w:rsidR="005D4EDD" w:rsidRPr="00D52077" w:rsidRDefault="005D4EDD" w:rsidP="005D4EDD">
      <w:pPr>
        <w:pStyle w:val="Caption"/>
        <w:jc w:val="both"/>
        <w:rPr>
          <w:i w:val="0"/>
          <w:iCs w:val="0"/>
        </w:rPr>
      </w:pPr>
      <w:r w:rsidRPr="005D4EDD">
        <w:rPr>
          <w:i w:val="0"/>
          <w:iCs w:val="0"/>
        </w:rPr>
        <w:t xml:space="preserve">Figure </w:t>
      </w:r>
      <w:r w:rsidRPr="005D4EDD">
        <w:rPr>
          <w:i w:val="0"/>
          <w:iCs w:val="0"/>
        </w:rPr>
        <w:fldChar w:fldCharType="begin"/>
      </w:r>
      <w:r w:rsidRPr="005D4EDD">
        <w:rPr>
          <w:i w:val="0"/>
          <w:iCs w:val="0"/>
        </w:rPr>
        <w:instrText xml:space="preserve"> SEQ Figure \* ARABIC </w:instrText>
      </w:r>
      <w:r w:rsidRPr="005D4EDD">
        <w:rPr>
          <w:i w:val="0"/>
          <w:iCs w:val="0"/>
        </w:rPr>
        <w:fldChar w:fldCharType="separate"/>
      </w:r>
      <w:r w:rsidRPr="005D4EDD">
        <w:rPr>
          <w:i w:val="0"/>
          <w:iCs w:val="0"/>
          <w:noProof/>
        </w:rPr>
        <w:t>2</w:t>
      </w:r>
      <w:r w:rsidRPr="005D4EDD">
        <w:rPr>
          <w:i w:val="0"/>
          <w:iCs w:val="0"/>
        </w:rPr>
        <w:fldChar w:fldCharType="end"/>
      </w:r>
      <w:r w:rsidRPr="005D4EDD">
        <w:rPr>
          <w:i w:val="0"/>
          <w:iCs w:val="0"/>
        </w:rPr>
        <w:t xml:space="preserve">. Participatory discussion and educational session with the </w:t>
      </w:r>
      <w:proofErr w:type="spellStart"/>
      <w:r w:rsidRPr="005D4EDD">
        <w:rPr>
          <w:i w:val="0"/>
          <w:iCs w:val="0"/>
        </w:rPr>
        <w:t>Minang</w:t>
      </w:r>
      <w:proofErr w:type="spellEnd"/>
      <w:r w:rsidRPr="005D4EDD">
        <w:rPr>
          <w:i w:val="0"/>
          <w:iCs w:val="0"/>
        </w:rPr>
        <w:t xml:space="preserve"> </w:t>
      </w:r>
      <w:proofErr w:type="spellStart"/>
      <w:r w:rsidRPr="005D4EDD">
        <w:rPr>
          <w:i w:val="0"/>
          <w:iCs w:val="0"/>
        </w:rPr>
        <w:t>Saiyo</w:t>
      </w:r>
      <w:proofErr w:type="spellEnd"/>
      <w:r w:rsidRPr="005D4EDD">
        <w:rPr>
          <w:i w:val="0"/>
          <w:iCs w:val="0"/>
        </w:rPr>
        <w:t xml:space="preserve"> Community in Kuala Lumpur</w:t>
      </w:r>
    </w:p>
    <w:p w14:paraId="1789CECC" w14:textId="28A6B0A0" w:rsidR="005D4EDD" w:rsidRPr="00D52077" w:rsidRDefault="005D4EDD" w:rsidP="00D52077">
      <w:pPr>
        <w:jc w:val="both"/>
      </w:pPr>
      <w:r>
        <w:t>F</w:t>
      </w:r>
      <w:r w:rsidRPr="005D4EDD">
        <w:t>igure</w:t>
      </w:r>
      <w:r>
        <w:t xml:space="preserve"> 2,</w:t>
      </w:r>
      <w:r w:rsidRPr="005D4EDD">
        <w:t xml:space="preserve"> shows the participatory discussion and educational session conducted with members of the </w:t>
      </w:r>
      <w:proofErr w:type="spellStart"/>
      <w:r w:rsidRPr="005D4EDD">
        <w:t>Minang</w:t>
      </w:r>
      <w:proofErr w:type="spellEnd"/>
      <w:r w:rsidRPr="005D4EDD">
        <w:t xml:space="preserve"> </w:t>
      </w:r>
      <w:proofErr w:type="spellStart"/>
      <w:r w:rsidRPr="005D4EDD">
        <w:t>Saiyo</w:t>
      </w:r>
      <w:proofErr w:type="spellEnd"/>
      <w:r w:rsidRPr="005D4EDD">
        <w:t xml:space="preserve"> Community in Kuala Lumpur. The activity brought together the community and the service team in a shared forum to discuss everyday living conditions, health-related environmental challenges, and practical strategies for improving healthy living environments. The session reflects the collaborative and community-</w:t>
      </w:r>
      <w:proofErr w:type="spellStart"/>
      <w:r w:rsidRPr="005D4EDD">
        <w:t>centered</w:t>
      </w:r>
      <w:proofErr w:type="spellEnd"/>
      <w:r w:rsidRPr="005D4EDD">
        <w:t xml:space="preserve"> approach of the program.</w:t>
      </w:r>
    </w:p>
    <w:p w14:paraId="5B0410B7" w14:textId="77777777" w:rsidR="00D52077" w:rsidRDefault="00D52077" w:rsidP="00D52077">
      <w:pPr>
        <w:jc w:val="both"/>
        <w:rPr>
          <w:b/>
          <w:bCs/>
        </w:rPr>
      </w:pPr>
    </w:p>
    <w:p w14:paraId="4D64D9D0" w14:textId="214479DE" w:rsidR="00D52077" w:rsidRPr="00D52077" w:rsidRDefault="00D52077" w:rsidP="00D52077">
      <w:pPr>
        <w:jc w:val="both"/>
        <w:rPr>
          <w:b/>
          <w:bCs/>
        </w:rPr>
      </w:pPr>
      <w:r w:rsidRPr="00D52077">
        <w:rPr>
          <w:b/>
          <w:bCs/>
        </w:rPr>
        <w:t>4. Technical guidance and contextual recommendations</w:t>
      </w:r>
    </w:p>
    <w:p w14:paraId="44412C4F" w14:textId="3100AE74" w:rsidR="00D52077" w:rsidRPr="00D52077" w:rsidRDefault="00116AA6" w:rsidP="00D52077">
      <w:pPr>
        <w:jc w:val="both"/>
      </w:pPr>
      <w:r w:rsidRPr="00116AA6">
        <w:t>The final stage involved the delivery of simple technical guidance based on field observations and discussion results. Recommendations were designed to be low-cost, realistic for rented or limited spaces, gradual in implementation, and easy to maintain. Examples included improving cross-ventilation, reorganizing storage, separating clean and service zones, improving the use of natural light, reducing dampness, improving waste placement, and clarifying circulation paths. This reflects the practical contribution of architecture- and engineering-based community service, where environmental improvement may begin through small but meaningful spatial adjustments rather than large-scale redesign</w:t>
      </w:r>
      <w:r w:rsidR="00D028D5">
        <w:t xml:space="preserve"> </w:t>
      </w:r>
      <w:r w:rsidR="00D028D5">
        <w:fldChar w:fldCharType="begin"/>
      </w:r>
      <w:r w:rsidR="001B3A62">
        <w:instrText xml:space="preserve"> ADDIN ZOTERO_ITEM CSL_CITATION {"citationID":"Xs0lu3w8","properties":{"formattedCitation":"(World Health Organization et al., 2018)","plainCitation":"(World Health Organization et al., 2018)","noteIndex":0},"citationItems":[{"id":20329,"uris":["http://zotero.org/users/1011003/items/8W4KGNUI"],"itemData":{"id":20329,"type":"book","abstract":"Improved housing conditions can save lives, prevent disease, increase quality of life, reduce poverty, and help mitigate climate change. Housing is becoming increasingly important to health in light of urban growth, ageing populations and climate change. The WHO Housing and health guidelines bring together the most recent evidence to provide practical recommendations to reduce the health burden due to unsafe and substandard housing. Based on newly commissioned systematic reviews, the guidelines provide recommendations relevant to inadequate living space (crowding), low and high indoor temperatures, injury hazards in the home, and accessibility of housing for people with functional impairments. In addition, the guidelines identify and summarize existing WHO guidelines and recommendations related to housing, with respect to water quality, air quality, neighbourhood noise, asbestos, lead, tobacco smoke and radon. The guidelines take a comprehensive, intersectoral perspective on the issue of housing and health and highlight co-benefits of interventions addressing several risk factors at the same time. The WHO Housing and health guidelines aim at informing housing policies and regulations at the national, regional and local level and are further relevant in the daily activities of implementing actors who are directly involved in the construction, maintenance and demolition of housing in ways that influence human health and safety. The guidelines therefore emphasize the importance of collaboration between the health and other sectors and joint efforts across all government levels to promote healthy housing. The guidelines' implementation at country-level will in particular contribute to the achievement of the Sustainable Development Goals on health (SDG 3) and sustainable cities (SDG 11). WHO will support Member States in adapting the guidelines to national contexts and priorities to ensure safe and healthy housing for all","ISBN":"978-92-4-155037-6","language":"en","number-of-pages":"1","publisher":"World Health Organization","publisher-place":"Geneva, Switzerland","source":"K10plus ISBN","title":"WHO housing and health guidelines","editor":[{"literal":"World Health Organization"},{"literal":"United States"},{"literal":"France"},{"literal":"United States"}],"issued":{"date-parts":[["2018"]]}}}],"schema":"https://github.com/citation-style-language/schema/raw/master/csl-citation.json"} </w:instrText>
      </w:r>
      <w:r w:rsidR="00D028D5">
        <w:fldChar w:fldCharType="separate"/>
      </w:r>
      <w:r w:rsidR="001B3A62">
        <w:rPr>
          <w:noProof/>
        </w:rPr>
        <w:t>(World Health Organization et al., 2018)</w:t>
      </w:r>
      <w:r w:rsidR="00D028D5">
        <w:fldChar w:fldCharType="end"/>
      </w:r>
      <w:r w:rsidR="00D52077" w:rsidRPr="00D52077">
        <w:t xml:space="preserve">. </w:t>
      </w:r>
    </w:p>
    <w:p w14:paraId="5D506192" w14:textId="77777777" w:rsidR="00990958" w:rsidRDefault="00990958" w:rsidP="00D52077">
      <w:pPr>
        <w:jc w:val="both"/>
        <w:rPr>
          <w:b/>
          <w:bCs/>
        </w:rPr>
      </w:pPr>
    </w:p>
    <w:p w14:paraId="134DB3BC" w14:textId="2B1B9C85" w:rsidR="00D52077" w:rsidRPr="00D52077" w:rsidRDefault="00D52077" w:rsidP="00D52077">
      <w:pPr>
        <w:jc w:val="both"/>
        <w:rPr>
          <w:b/>
          <w:bCs/>
        </w:rPr>
      </w:pPr>
      <w:r w:rsidRPr="00D52077">
        <w:rPr>
          <w:b/>
          <w:bCs/>
        </w:rPr>
        <w:t>Data collection techniques</w:t>
      </w:r>
    </w:p>
    <w:p w14:paraId="6C6EC357" w14:textId="285088DE" w:rsidR="00D52077" w:rsidRPr="00D52077" w:rsidRDefault="00116AA6" w:rsidP="00D52077">
      <w:pPr>
        <w:jc w:val="both"/>
      </w:pPr>
      <w:r w:rsidRPr="00116AA6">
        <w:rPr>
          <w:color w:val="0F9ED5" w:themeColor="accent4"/>
        </w:rPr>
        <w:t>Although this paper is presented as a community service report rather than a full empirical research article, the documentation of the activity drew on several forms of field-based evidence, including direct observation notes, participatory discussion records, visual documentation, facilitator reflections, and participant responses during the sessions. These materials were used to identify recurring patterns and practical environmental issues rather than to produce statistical generalization. This approach is appropriate for community-engaged interventions, where contextual interpretation and practical relevance are central to the analysis</w:t>
      </w:r>
      <w:r w:rsidR="00D028D5">
        <w:t xml:space="preserve"> </w:t>
      </w:r>
      <w:r w:rsidR="00D028D5">
        <w:fldChar w:fldCharType="begin"/>
      </w:r>
      <w:r w:rsidR="001B3A62">
        <w:instrText xml:space="preserve"> ADDIN ZOTERO_ITEM CSL_CITATION {"citationID":"0AKMbzL2","properties":{"formattedCitation":"(World Health Organization et al., 2018)","plainCitation":"(World Health Organization et al., 2018)","noteIndex":0},"citationItems":[{"id":20329,"uris":["http://zotero.org/users/1011003/items/8W4KGNUI"],"itemData":{"id":20329,"type":"book","abstract":"Improved housing conditions can save lives, prevent disease, increase quality of life, reduce poverty, and help mitigate climate change. Housing is becoming increasingly important to health in light of urban growth, ageing populations and climate change. The WHO Housing and health guidelines bring together the most recent evidence to provide practical recommendations to reduce the health burden due to unsafe and substandard housing. Based on newly commissioned systematic reviews, the guidelines provide recommendations relevant to inadequate living space (crowding), low and high indoor temperatures, injury hazards in the home, and accessibility of housing for people with functional impairments. In addition, the guidelines identify and summarize existing WHO guidelines and recommendations related to housing, with respect to water quality, air quality, neighbourhood noise, asbestos, lead, tobacco smoke and radon. The guidelines take a comprehensive, intersectoral perspective on the issue of housing and health and highlight co-benefits of interventions addressing several risk factors at the same time. The WHO Housing and health guidelines aim at informing housing policies and regulations at the national, regional and local level and are further relevant in the daily activities of implementing actors who are directly involved in the construction, maintenance and demolition of housing in ways that influence human health and safety. The guidelines therefore emphasize the importance of collaboration between the health and other sectors and joint efforts across all government levels to promote healthy housing. The guidelines' implementation at country-level will in particular contribute to the achievement of the Sustainable Development Goals on health (SDG 3) and sustainable cities (SDG 11). WHO will support Member States in adapting the guidelines to national contexts and priorities to ensure safe and healthy housing for all","ISBN":"978-92-4-155037-6","language":"en","number-of-pages":"1","publisher":"World Health Organization","publisher-place":"Geneva, Switzerland","source":"K10plus ISBN","title":"WHO housing and health guidelines","editor":[{"literal":"World Health Organization"},{"literal":"United States"},{"literal":"France"},{"literal":"United States"}],"issued":{"date-parts":[["2018"]]}}}],"schema":"https://github.com/citation-style-language/schema/raw/master/csl-citation.json"} </w:instrText>
      </w:r>
      <w:r w:rsidR="00D028D5">
        <w:fldChar w:fldCharType="separate"/>
      </w:r>
      <w:r w:rsidR="001B3A62">
        <w:rPr>
          <w:noProof/>
        </w:rPr>
        <w:t>(World Health Organization et al., 2018</w:t>
      </w:r>
      <w:r w:rsidR="00EE4B82">
        <w:rPr>
          <w:noProof/>
        </w:rPr>
        <w:t>;</w:t>
      </w:r>
      <w:r w:rsidR="00D028D5">
        <w:fldChar w:fldCharType="end"/>
      </w:r>
      <w:r w:rsidR="00D028D5">
        <w:fldChar w:fldCharType="begin"/>
      </w:r>
      <w:r w:rsidR="001B3A62">
        <w:instrText xml:space="preserve"> ADDIN ZOTERO_ITEM CSL_CITATION {"citationID":"zAWwlUpl","properties":{"formattedCitation":"(Anyanwu &amp; Beyer, 2024)","plainCitation":"(Anyanwu &amp; Beyer, 2024)","noteIndex":0},"citationItems":[{"id":20325,"uris":["http://zotero.org/users/1011003/items/UYJ3I2YP"],"itemData":{"id":20325,"type":"article-journal","abstract":"Housing and environment are important influences on health, wellbeing, and a strong sense of community. Housing and environmental features can have both health promoting and hazardous impacts on communities. Present day health inequities in housing and environmental conditions in the United States are linked with historic redlining, unfair zoning decisions, segregation, and restrictive housing covenants, with similar phenomena occurring in other global settings. Consequently, there are distinct spatial patterns of poor housing and environmental risks across geographic areas, including patterning of the presence/absence of health promoting features. Environmental harms and poor housing conditions are disproportionately concentrated in low-income and minoritized communities suggesting an environmental justice issue. Importantly, there are linkages between aspects of housing and the environment as they relate to health equity. However, past studies have largely studied housing, and environmental justice separately and given this intersection little attention. The objective of this review is to discuss the intersections between housing and environmental conditions in relation to health equity. This review also presents a new conceptual model to show how housing disparities is a key component in environmental justice. The intersection of aspects of housing instability such as eviction and environmental exposures suggest the need for future studies to examine their interconnectedness when assessing their health risk. In addition, some upstream public health investments are suggested for equitable housing and environmental conditions that would improve health and wellbeing. Those equity focused upstream investments include, equitable housing code enforcement, increase in housing supply and affordability, investment in greenspace, equitable land-use zoning, and continuous revision of air quality standard.","container-title":"Social Sciences &amp; Humanities Open","DOI":"10.1016/j.ssaho.2024.100845","ISSN":"2590-2911","journalAbbreviation":"Social Sciences &amp; Humanities Open","page":"100845","source":"ScienceDirect","title":"Intersections among housing, environmental conditions, and health equity: A conceptual model for environmental justice policy","title-short":"Intersections among housing, environmental conditions, and health equity","URL":"https://www.sciencedirect.com/science/article/pii/S2590291124000421","volume":"9","author":[{"family":"Anyanwu","given":"Chima"},{"family":"Beyer","given":"Kirsten M. M."}],"accessed":{"date-parts":[["2026",4,16]]},"issued":{"date-parts":[["2024",1,1]]}}}],"schema":"https://github.com/citation-style-language/schema/raw/master/csl-citation.json"} </w:instrText>
      </w:r>
      <w:r w:rsidR="00D028D5">
        <w:fldChar w:fldCharType="separate"/>
      </w:r>
      <w:r w:rsidR="00EE4B82">
        <w:rPr>
          <w:noProof/>
        </w:rPr>
        <w:t xml:space="preserve"> </w:t>
      </w:r>
      <w:r w:rsidR="001B3A62">
        <w:rPr>
          <w:noProof/>
        </w:rPr>
        <w:t>Anyanwu &amp; Beyer, 2024)</w:t>
      </w:r>
      <w:r w:rsidR="00D028D5">
        <w:fldChar w:fldCharType="end"/>
      </w:r>
      <w:r w:rsidR="00D52077" w:rsidRPr="00D52077">
        <w:t xml:space="preserve">. </w:t>
      </w:r>
    </w:p>
    <w:p w14:paraId="0360621A" w14:textId="77777777" w:rsidR="00D52077" w:rsidRDefault="00D52077" w:rsidP="00D52077">
      <w:pPr>
        <w:jc w:val="both"/>
        <w:rPr>
          <w:b/>
          <w:bCs/>
        </w:rPr>
      </w:pPr>
    </w:p>
    <w:p w14:paraId="7048E3CD" w14:textId="3E7AAD8A" w:rsidR="00D52077" w:rsidRPr="00D52077" w:rsidRDefault="00D52077" w:rsidP="00D52077">
      <w:pPr>
        <w:jc w:val="both"/>
        <w:rPr>
          <w:b/>
          <w:bCs/>
        </w:rPr>
      </w:pPr>
      <w:r w:rsidRPr="00D52077">
        <w:rPr>
          <w:b/>
          <w:bCs/>
        </w:rPr>
        <w:t>Analytical approach</w:t>
      </w:r>
    </w:p>
    <w:p w14:paraId="375831C6" w14:textId="35F480D9" w:rsidR="00D52077" w:rsidRPr="00EE4B82" w:rsidRDefault="00116AA6" w:rsidP="00D52077">
      <w:pPr>
        <w:jc w:val="both"/>
      </w:pPr>
      <w:r w:rsidRPr="00116AA6">
        <w:t>The analysis used a descriptive and interpretive approach. Observational findings and participant responses were organized into thematic categories such as ventilation, sanitation, spatial overlap, circulation, waste handling, and comfort. These categories were then interpreted in relation to the community’s everyday living and working patterns. The aim was not to test a statistical hypothesis, but to explain how environmental conditions shaped daily family health practices and how the intervention responded to those conditions</w:t>
      </w:r>
      <w:r w:rsidR="00D028D5" w:rsidRPr="00EE4B82">
        <w:t xml:space="preserve"> </w:t>
      </w:r>
      <w:r w:rsidR="00D028D5" w:rsidRPr="00EE4B82">
        <w:fldChar w:fldCharType="begin"/>
      </w:r>
      <w:r w:rsidR="001B3A62" w:rsidRPr="00EE4B82">
        <w:instrText xml:space="preserve"> ADDIN ZOTERO_ITEM CSL_CITATION {"citationID":"AVUpD8WY","properties":{"formattedCitation":"(World Health Organization et al., 2018)","plainCitation":"(World Health Organization et al., 2018)","noteIndex":0},"citationItems":[{"id":20329,"uris":["http://zotero.org/users/1011003/items/8W4KGNUI"],"itemData":{"id":20329,"type":"book","abstract":"Improved housing conditions can save lives, prevent disease, increase quality of life, reduce poverty, and help mitigate climate change. Housing is becoming increasingly important to health in light of urban growth, ageing populations and climate change. The WHO Housing and health guidelines bring together the most recent evidence to provide practical recommendations to reduce the health burden due to unsafe and substandard housing. Based on newly commissioned systematic reviews, the guidelines provide recommendations relevant to inadequate living space (crowding), low and high indoor temperatures, injury hazards in the home, and accessibility of housing for people with functional impairments. In addition, the guidelines identify and summarize existing WHO guidelines and recommendations related to housing, with respect to water quality, air quality, neighbourhood noise, asbestos, lead, tobacco smoke and radon. The guidelines take a comprehensive, intersectoral perspective on the issue of housing and health and highlight co-benefits of interventions addressing several risk factors at the same time. The WHO Housing and health guidelines aim at informing housing policies and regulations at the national, regional and local level and are further relevant in the daily activities of implementing actors who are directly involved in the construction, maintenance and demolition of housing in ways that influence human health and safety. The guidelines therefore emphasize the importance of collaboration between the health and other sectors and joint efforts across all government levels to promote healthy housing. The guidelines' implementation at country-level will in particular contribute to the achievement of the Sustainable Development Goals on health (SDG 3) and sustainable cities (SDG 11). WHO will support Member States in adapting the guidelines to national contexts and priorities to ensure safe and healthy housing for all","ISBN":"978-92-4-155037-6","language":"en","number-of-pages":"1","publisher":"World Health Organization","publisher-place":"Geneva, Switzerland","source":"K10plus ISBN","title":"WHO housing and health guidelines","editor":[{"literal":"World Health Organization"},{"literal":"United States"},{"literal":"France"},{"literal":"United States"}],"issued":{"date-parts":[["2018"]]}}}],"schema":"https://github.com/citation-style-language/schema/raw/master/csl-citation.json"} </w:instrText>
      </w:r>
      <w:r w:rsidR="00D028D5" w:rsidRPr="00EE4B82">
        <w:fldChar w:fldCharType="separate"/>
      </w:r>
      <w:r w:rsidR="001B3A62" w:rsidRPr="00EE4B82">
        <w:rPr>
          <w:noProof/>
        </w:rPr>
        <w:t>(World Health Organization et al., 2018)</w:t>
      </w:r>
      <w:r w:rsidR="00D028D5" w:rsidRPr="00EE4B82">
        <w:fldChar w:fldCharType="end"/>
      </w:r>
      <w:r w:rsidR="00D52077" w:rsidRPr="00EE4B82">
        <w:t xml:space="preserve">. </w:t>
      </w:r>
    </w:p>
    <w:p w14:paraId="50FFB9BD" w14:textId="77777777" w:rsidR="00D52077" w:rsidRDefault="00D52077" w:rsidP="00D52077">
      <w:pPr>
        <w:jc w:val="both"/>
        <w:rPr>
          <w:b/>
          <w:bCs/>
        </w:rPr>
      </w:pPr>
    </w:p>
    <w:p w14:paraId="4D7A4DF9" w14:textId="23A02031" w:rsidR="00D52077" w:rsidRPr="00D52077" w:rsidRDefault="00D52077" w:rsidP="00D52077">
      <w:pPr>
        <w:jc w:val="both"/>
        <w:rPr>
          <w:b/>
          <w:bCs/>
        </w:rPr>
      </w:pPr>
      <w:r w:rsidRPr="00D52077">
        <w:rPr>
          <w:b/>
          <w:bCs/>
        </w:rPr>
        <w:t>Ethical and practical considerations</w:t>
      </w:r>
    </w:p>
    <w:p w14:paraId="680E2983" w14:textId="0CC2BE3A" w:rsidR="00D52077" w:rsidRPr="00D52077" w:rsidRDefault="00D52077" w:rsidP="00D52077">
      <w:pPr>
        <w:jc w:val="both"/>
      </w:pPr>
      <w:r w:rsidRPr="00D52077">
        <w:t>The activity was conducted with respect for participant comfort, voluntary involvement, and contextual sensitivity. Because the target community included migrant families managing both livelihood and household responsibilities, the team prioritized respectful communication and practical recommendations rather than intrusive assessment. The intervention was educational and supportive in nature, focusing on empowerment through applicable knowledge. This is important in community-based settings, especially where participants face spatial constraints, economic limitations, and housing insecurity</w:t>
      </w:r>
      <w:r w:rsidR="00D028D5">
        <w:t xml:space="preserve"> </w:t>
      </w:r>
      <w:r w:rsidR="00D028D5">
        <w:fldChar w:fldCharType="begin"/>
      </w:r>
      <w:r w:rsidR="001B3A62">
        <w:instrText xml:space="preserve"> ADDIN ZOTERO_ITEM CSL_CITATION {"citationID":"6ShXZ9Z1","properties":{"formattedCitation":"(Li &amp; Liu, 2018)","plainCitation":"(Li &amp; Liu, 2018)","noteIndex":0},"citationItems":[{"id":20334,"uris":["http://zotero.org/users/1011003/items/CCR46WAS"],"itemData":{"id":20334,"type":"article-journal","abstract":"Social epidemiological studies have long understood housing as a social determinant of mental health. However, most studies have focused on the formal housing sector and the conceptualisation of housing is limited to the housing per se. This study aims to bridge the gap by investigating the mental health impact of housing disadvantages concerning the migrant population in China, who are largely excluded from the formal housing sector. Drawing from recent writings on stress as the intermediary agent between modern city life and mental illness, the study examines the relationship between housing and neighbourhood conditions, perceived stress and mental health status. Using a large-scale survey conducted in twelve Chinese cities in 2009, this research found that informal housing tenants have the highest level of perceived stress and worst mental health status compared to dormitory tenants and formal housing residents. Poor housing conditions are significantly associated with perceived stress but not with mental health, while the neighbourhood social environment significantly predicts both perceived stress and mental health. The paper concludes by calling for more ethnographic research on migrants' resilience and stress-coping strategies and more attention in urban planning and housing policy to address the vulnerability and adversity of migrant settlements.","container-title":"Cities","DOI":"10.1016/j.cities.2018.04.006","ISSN":"0264-2751","journalAbbreviation":"Cities","page":"172-179","source":"ScienceDirect","title":"Housing stress and mental health of migrant populations in urban China","URL":"https://www.sciencedirect.com/science/article/pii/S0264275117313355","volume":"81","author":[{"family":"Li","given":"Jie"},{"family":"Liu","given":"Zhilin"}],"accessed":{"date-parts":[["2026",4,16]]},"issued":{"date-parts":[["2018",11,1]]}}}],"schema":"https://github.com/citation-style-language/schema/raw/master/csl-citation.json"} </w:instrText>
      </w:r>
      <w:r w:rsidR="00D028D5">
        <w:fldChar w:fldCharType="separate"/>
      </w:r>
      <w:r w:rsidR="001B3A62">
        <w:rPr>
          <w:noProof/>
        </w:rPr>
        <w:t>(Li &amp; Liu, 2018</w:t>
      </w:r>
      <w:r w:rsidR="00EE4B82">
        <w:rPr>
          <w:noProof/>
        </w:rPr>
        <w:t>;</w:t>
      </w:r>
      <w:r w:rsidR="00D028D5">
        <w:fldChar w:fldCharType="end"/>
      </w:r>
      <w:r w:rsidR="00D028D5">
        <w:fldChar w:fldCharType="begin"/>
      </w:r>
      <w:r w:rsidR="001B3A62">
        <w:instrText xml:space="preserve"> ADDIN ZOTERO_ITEM CSL_CITATION {"citationID":"MrwuYjvj","properties":{"formattedCitation":"(World Health Organization et al., 2018)","plainCitation":"(World Health Organization et al., 2018)","noteIndex":0},"citationItems":[{"id":20329,"uris":["http://zotero.org/users/1011003/items/8W4KGNUI"],"itemData":{"id":20329,"type":"book","abstract":"Improved housing conditions can save lives, prevent disease, increase quality of life, reduce poverty, and help mitigate climate change. Housing is becoming increasingly important to health in light of urban growth, ageing populations and climate change. The WHO Housing and health guidelines bring together the most recent evidence to provide practical recommendations to reduce the health burden due to unsafe and substandard housing. Based on newly commissioned systematic reviews, the guidelines provide recommendations relevant to inadequate living space (crowding), low and high indoor temperatures, injury hazards in the home, and accessibility of housing for people with functional impairments. In addition, the guidelines identify and summarize existing WHO guidelines and recommendations related to housing, with respect to water quality, air quality, neighbourhood noise, asbestos, lead, tobacco smoke and radon. The guidelines take a comprehensive, intersectoral perspective on the issue of housing and health and highlight co-benefits of interventions addressing several risk factors at the same time. The WHO Housing and health guidelines aim at informing housing policies and regulations at the national, regional and local level and are further relevant in the daily activities of implementing actors who are directly involved in the construction, maintenance and demolition of housing in ways that influence human health and safety. The guidelines therefore emphasize the importance of collaboration between the health and other sectors and joint efforts across all government levels to promote healthy housing. The guidelines' implementation at country-level will in particular contribute to the achievement of the Sustainable Development Goals on health (SDG 3) and sustainable cities (SDG 11). WHO will support Member States in adapting the guidelines to national contexts and priorities to ensure safe and healthy housing for all","ISBN":"978-92-4-155037-6","language":"en","number-of-pages":"1","publisher":"World Health Organization","publisher-place":"Geneva, Switzerland","source":"K10plus ISBN","title":"WHO housing and health guidelines","editor":[{"literal":"World Health Organization"},{"literal":"United States"},{"literal":"France"},{"literal":"United States"}],"issued":{"date-parts":[["2018"]]}}}],"schema":"https://github.com/citation-style-language/schema/raw/master/csl-citation.json"} </w:instrText>
      </w:r>
      <w:r w:rsidR="00D028D5">
        <w:fldChar w:fldCharType="separate"/>
      </w:r>
      <w:r w:rsidR="00EE4B82">
        <w:rPr>
          <w:noProof/>
        </w:rPr>
        <w:t xml:space="preserve"> </w:t>
      </w:r>
      <w:r w:rsidR="001B3A62">
        <w:rPr>
          <w:noProof/>
        </w:rPr>
        <w:t>World Health Organization et al., 2018)</w:t>
      </w:r>
      <w:r w:rsidR="00D028D5">
        <w:fldChar w:fldCharType="end"/>
      </w:r>
      <w:r w:rsidRPr="00D52077">
        <w:t xml:space="preserve">. </w:t>
      </w:r>
    </w:p>
    <w:p w14:paraId="01C936E6" w14:textId="071DEC5D" w:rsidR="00D61DF5" w:rsidRPr="00D61DF5" w:rsidRDefault="00D61DF5" w:rsidP="00D52077">
      <w:pPr>
        <w:jc w:val="both"/>
      </w:pPr>
      <w:r w:rsidRPr="00D61DF5">
        <w:t xml:space="preserve"> </w:t>
      </w:r>
    </w:p>
    <w:p w14:paraId="1F4BBFE4" w14:textId="7D855B80" w:rsidR="00D61DF5" w:rsidRPr="00D61DF5" w:rsidRDefault="00D61DF5" w:rsidP="00D61DF5">
      <w:pPr>
        <w:jc w:val="both"/>
      </w:pPr>
    </w:p>
    <w:p w14:paraId="380D595C" w14:textId="77777777" w:rsidR="00D61DF5" w:rsidRPr="00D61DF5" w:rsidRDefault="00D61DF5" w:rsidP="00D61DF5">
      <w:pPr>
        <w:jc w:val="both"/>
        <w:rPr>
          <w:b/>
          <w:bCs/>
          <w:sz w:val="28"/>
          <w:szCs w:val="28"/>
        </w:rPr>
      </w:pPr>
      <w:r w:rsidRPr="00D61DF5">
        <w:rPr>
          <w:b/>
          <w:bCs/>
          <w:sz w:val="28"/>
          <w:szCs w:val="28"/>
        </w:rPr>
        <w:t>RESULTS</w:t>
      </w:r>
    </w:p>
    <w:p w14:paraId="145FD578" w14:textId="20EE36DD" w:rsidR="00D61DF5" w:rsidRDefault="00D61DF5" w:rsidP="008B71BA">
      <w:pPr>
        <w:jc w:val="both"/>
      </w:pPr>
    </w:p>
    <w:p w14:paraId="4179DA92" w14:textId="672EBC7A" w:rsidR="008B71BA" w:rsidRDefault="00116AA6" w:rsidP="008B71BA">
      <w:pPr>
        <w:jc w:val="both"/>
      </w:pPr>
      <w:r w:rsidRPr="00116AA6">
        <w:t xml:space="preserve">The community service activity showed that the daily lives of </w:t>
      </w:r>
      <w:proofErr w:type="spellStart"/>
      <w:r w:rsidRPr="00116AA6">
        <w:t>Minang</w:t>
      </w:r>
      <w:proofErr w:type="spellEnd"/>
      <w:r w:rsidRPr="00116AA6">
        <w:t xml:space="preserve"> migrant entrepreneur families in Kuala Lumpur were strongly shaped by the overlap between domestic space and restaurant-related work. Field observation and participatory discussion identified recurring environmental challenges in living environments that simultaneously supported residence, rest, storage, childcare, and business-related functions. The most visible issues were limited ventilation, weak separation between clean and service areas, storage congestion, sanitation concerns, and constrained circulation. These conditions indicate that the quality of the domestic environment plays an important role in shaping comfort, hygiene, and everyday family well-being. This finding is consistent with previous studies showing that indoor environmental quality, including airflow, sanitation, and environmental safety, is closely linked to healthy living conditions </w:t>
      </w:r>
      <w:r w:rsidR="008B71BA">
        <w:t xml:space="preserve"> </w:t>
      </w:r>
      <w:r w:rsidR="008B71BA">
        <w:fldChar w:fldCharType="begin"/>
      </w:r>
      <w:r w:rsidR="001B3A62">
        <w:instrText xml:space="preserve"> ADDIN ZOTERO_ITEM CSL_CITATION {"citationID":"mvVmclEw","properties":{"formattedCitation":"(Wagemann et al., 2024)","plainCitation":"(Wagemann et al., 2024)","noteIndex":0},"citationItems":[{"id":20308,"uris":["http://zotero.org/users/1011003/items/YQTE5S29"],"itemData":{"id":20308,"type":"article-journal","abstract":"For many low-income households in the Global South a house is both a place to live and to generate income in the formal or informal economy. This can include activities in and around the home such as: running small shops selling daily necessities; producing food or crafts; repairing household items; providing services; or growing crops and raising animals. For many households home-based work (HBW) is their main source of income. It is particularly important for people who are more likely to be excluded from formal employment outside the home (such as women, elderly and/or disabled people). The aim of this article is to provide an overview of research on HBW through a scoping review to find research gaps and relevant aspects to study in the future. With a focus on Latin America and the Caribbean, 12 studies published since 2000 were selected for further study. We identified several characteristics of ‘supportive housing and settlements’ which make households more likely to engage in HBW and proposed a model of the symbiotic relationship between housing and HBW. We discuss the implications of our findings for development and humanitarian contexts, make recommendations for policy and practice, and suggest topics for further research.","container-title":"Cities","DOI":"10.1016/j.cities.2024.104833","ISSN":"0264-2751","journalAbbreviation":"Cities","page":"104833","source":"ScienceDirect","title":"Housing and home-based work: Considerations for development and humanitarian contexts","title-short":"Housing and home-based work","URL":"https://www.sciencedirect.com/science/article/pii/S0264275124000477","volume":"147","author":[{"family":"Wagemann","given":"Elizabeth"},{"family":"Maynard","given":"Victoria"},{"family":"Simons","given":"Beth"}],"accessed":{"date-parts":[["2026",4,15]]},"issued":{"date-parts":[["2024",4,1]]}}}],"schema":"https://github.com/citation-style-language/schema/raw/master/csl-citation.json"} </w:instrText>
      </w:r>
      <w:r w:rsidR="008B71BA">
        <w:fldChar w:fldCharType="separate"/>
      </w:r>
      <w:r w:rsidR="001B3A62">
        <w:rPr>
          <w:noProof/>
        </w:rPr>
        <w:t>(Wagemann et al., 2024)</w:t>
      </w:r>
      <w:r w:rsidR="008B71BA">
        <w:fldChar w:fldCharType="end"/>
      </w:r>
      <w:r w:rsidR="008B71BA" w:rsidRPr="008B71BA">
        <w:t xml:space="preserve">. </w:t>
      </w:r>
    </w:p>
    <w:p w14:paraId="49553C6E" w14:textId="77777777" w:rsidR="008B71BA" w:rsidRPr="008B71BA" w:rsidRDefault="008B71BA" w:rsidP="008B71BA">
      <w:pPr>
        <w:jc w:val="both"/>
      </w:pPr>
    </w:p>
    <w:p w14:paraId="7AC2FC89" w14:textId="77777777" w:rsidR="008B71BA" w:rsidRPr="008B71BA" w:rsidRDefault="008B71BA" w:rsidP="008B71BA">
      <w:pPr>
        <w:jc w:val="both"/>
        <w:rPr>
          <w:b/>
          <w:bCs/>
        </w:rPr>
      </w:pPr>
      <w:r w:rsidRPr="008B71BA">
        <w:rPr>
          <w:b/>
          <w:bCs/>
        </w:rPr>
        <w:t>Environmental conditions identified in the field</w:t>
      </w:r>
    </w:p>
    <w:p w14:paraId="303EE7F7" w14:textId="77777777" w:rsidR="00116AA6" w:rsidRDefault="00116AA6" w:rsidP="008B71BA">
      <w:pPr>
        <w:jc w:val="both"/>
      </w:pPr>
    </w:p>
    <w:p w14:paraId="0D868004" w14:textId="08C528F7" w:rsidR="00116AA6" w:rsidRPr="00116AA6" w:rsidRDefault="00116AA6" w:rsidP="008B71BA">
      <w:pPr>
        <w:jc w:val="both"/>
        <w:rPr>
          <w:color w:val="0F9ED5" w:themeColor="accent4"/>
        </w:rPr>
      </w:pPr>
      <w:r w:rsidRPr="00116AA6">
        <w:rPr>
          <w:color w:val="0F9ED5" w:themeColor="accent4"/>
        </w:rPr>
        <w:t>Ventilation emerged as one of the most relevant practical issues. In spatially constrained environments where cooking support, resting, and family interaction occur in close proximity, insufficient air movement may intensify discomfort, humidity, and perceived uncleanliness. In addition, weak zoning between clean and service areas increased the risk of disorder in daily household management. Storage congestion and limited circulation also affected the ease and safety of movement within the living environment</w:t>
      </w:r>
      <w:r>
        <w:rPr>
          <w:color w:val="0F9ED5" w:themeColor="accent4"/>
        </w:rPr>
        <w:t xml:space="preserve"> </w:t>
      </w:r>
      <w:r>
        <w:fldChar w:fldCharType="begin"/>
      </w:r>
      <w:r>
        <w:instrText xml:space="preserve"> ADDIN ZOTERO_ITEM CSL_CITATION {"citationID":"qnLTGNFm","properties":{"formattedCitation":"(World Health Organization et al., 2018)","plainCitation":"(World Health Organization et al., 2018)","noteIndex":0},"citationItems":[{"id":20329,"uris":["http://zotero.org/users/1011003/items/8W4KGNUI"],"itemData":{"id":20329,"type":"book","abstract":"Improved housing conditions can save lives, prevent disease, increase quality of life, reduce poverty, and help mitigate climate change. Housing is becoming increasingly important to health in light of urban growth, ageing populations and climate change. The WHO Housing and health guidelines bring together the most recent evidence to provide practical recommendations to reduce the health burden due to unsafe and substandard housing. Based on newly commissioned systematic reviews, the guidelines provide recommendations relevant to inadequate living space (crowding), low and high indoor temperatures, injury hazards in the home, and accessibility of housing for people with functional impairments. In addition, the guidelines identify and summarize existing WHO guidelines and recommendations related to housing, with respect to water quality, air quality, neighbourhood noise, asbestos, lead, tobacco smoke and radon. The guidelines take a comprehensive, intersectoral perspective on the issue of housing and health and highlight co-benefits of interventions addressing several risk factors at the same time. The WHO Housing and health guidelines aim at informing housing policies and regulations at the national, regional and local level and are further relevant in the daily activities of implementing actors who are directly involved in the construction, maintenance and demolition of housing in ways that influence human health and safety. The guidelines therefore emphasize the importance of collaboration between the health and other sectors and joint efforts across all government levels to promote healthy housing. The guidelines' implementation at country-level will in particular contribute to the achievement of the Sustainable Development Goals on health (SDG 3) and sustainable cities (SDG 11). WHO will support Member States in adapting the guidelines to national contexts and priorities to ensure safe and healthy housing for all","ISBN":"978-92-4-155037-6","language":"en","number-of-pages":"1","publisher":"World Health Organization","publisher-place":"Geneva, Switzerland","source":"K10plus ISBN","title":"WHO housing and health guidelines","editor":[{"literal":"World Health Organization"},{"literal":"United States"},{"literal":"France"},{"literal":"United States"}],"issued":{"date-parts":[["2018"]]}}}],"schema":"https://github.com/citation-style-language/schema/raw/master/csl-citation.json"} </w:instrText>
      </w:r>
      <w:r>
        <w:fldChar w:fldCharType="separate"/>
      </w:r>
      <w:r>
        <w:rPr>
          <w:noProof/>
        </w:rPr>
        <w:t>(World Health Organization et al., 2018)</w:t>
      </w:r>
      <w:r>
        <w:fldChar w:fldCharType="end"/>
      </w:r>
      <w:r w:rsidRPr="008B71BA">
        <w:t>.</w:t>
      </w:r>
      <w:r w:rsidRPr="00116AA6">
        <w:rPr>
          <w:color w:val="0F9ED5" w:themeColor="accent4"/>
        </w:rPr>
        <w:t>. These findings support the view that healthy housing depends not only on the availability of shelter but also on the environmental performance of the dwelling and the way space is organized in everyday use</w:t>
      </w:r>
      <w:r>
        <w:rPr>
          <w:color w:val="0F9ED5" w:themeColor="accent4"/>
        </w:rPr>
        <w:t xml:space="preserve"> </w:t>
      </w:r>
      <w:r>
        <w:fldChar w:fldCharType="begin"/>
      </w:r>
      <w:r>
        <w:instrText xml:space="preserve"> ADDIN ZOTERO_ITEM CSL_CITATION {"citationID":"VyvA9CzG","properties":{"formattedCitation":"(Al horr et al., 2016)","plainCitation":"(Al horr et al., 2016)","noteIndex":0},"citationItems":[{"id":20339,"uris":["http://zotero.org/users/1011003/items/MCXR8DJS"],"itemData":{"id":20339,"type":"article-journal","abstract":"Indoor environmental quality (IEQ) and its effect on occupant well-being and comfort is an important area of study. This paper presents a state of the art study through extensive review of the literature, by establishing links between IEQs and occupant well-being and comfort. A range of issues such as sick building syndrome, indoor air quality thermal comfort, visual comfort and acoustic comfort are considered in this paper. The complexity of the relationship between occupant comfort and well-being parameters with IEQ are further exacerbated due to relationships that these parameters have with each other as well. Based on the review of literature in these areas it is established that design of buildings needs to consider occupant well-being parameters right at the beginning. Some good practices in all these different areas have also been highlighted and documented in this paper. The knowledge established as part of this paper would be helpful for researchers, designer, engineers and facilities maintenance engineers. This paper will also be of great benefit to researchers who endeavour to undertake research in this area and could act as a good starting point for them.","container-title":"International Journal of Sustainable Built Environment","DOI":"10.1016/j.ijsbe.2016.03.006","ISSN":"2212-6090","issue":"1","journalAbbreviation":"International Journal of Sustainable Built Environment","page":"1-11","source":"ScienceDirect","title":"Impact of indoor environmental quality on occupant well-being and comfort: A review of the literature","title-short":"Impact of indoor environmental quality on occupant well-being and comfort","URL":"https://www.sciencedirect.com/science/article/pii/S2212609016300140","volume":"5","author":[{"family":"Al horr","given":"Yousef"},{"family":"Arif","given":"Mohammed"},{"family":"Katafygiotou","given":"Martha"},{"family":"Mazroei","given":"Ahmed"},{"family":"Kaushik","given":"Amit"},{"family":"Elsarrag","given":"Esam"}],"accessed":{"date-parts":[["2026",4,16]]},"issued":{"date-parts":[["2016",6,1]]}}}],"schema":"https://github.com/citation-style-language/schema/raw/master/csl-citation.json"} </w:instrText>
      </w:r>
      <w:r>
        <w:fldChar w:fldCharType="separate"/>
      </w:r>
      <w:r>
        <w:rPr>
          <w:noProof/>
        </w:rPr>
        <w:t>(Al horr et al., 2016)</w:t>
      </w:r>
      <w:r>
        <w:fldChar w:fldCharType="end"/>
      </w:r>
      <w:r w:rsidRPr="008B71BA">
        <w:t>.</w:t>
      </w:r>
    </w:p>
    <w:p w14:paraId="6D4D7263" w14:textId="77777777" w:rsidR="000419F7" w:rsidRDefault="000419F7" w:rsidP="008B71BA">
      <w:pPr>
        <w:jc w:val="both"/>
      </w:pPr>
    </w:p>
    <w:p w14:paraId="3253785A" w14:textId="77777777" w:rsidR="000419F7" w:rsidRDefault="000419F7" w:rsidP="000419F7">
      <w:pPr>
        <w:keepNext/>
        <w:jc w:val="both"/>
      </w:pPr>
      <w:r w:rsidRPr="000419F7">
        <w:rPr>
          <w:noProof/>
          <w:lang w:val="en-IN" w:eastAsia="en-IN"/>
        </w:rPr>
        <w:drawing>
          <wp:inline distT="0" distB="0" distL="0" distR="0" wp14:anchorId="01B5ACD4" wp14:editId="5A1F2E0A">
            <wp:extent cx="3252652" cy="2008186"/>
            <wp:effectExtent l="0" t="0" r="0" b="0"/>
            <wp:docPr id="1915515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515167" name=""/>
                    <pic:cNvPicPr/>
                  </pic:nvPicPr>
                  <pic:blipFill>
                    <a:blip r:embed="rId10"/>
                    <a:stretch>
                      <a:fillRect/>
                    </a:stretch>
                  </pic:blipFill>
                  <pic:spPr>
                    <a:xfrm>
                      <a:off x="0" y="0"/>
                      <a:ext cx="3288806" cy="2030508"/>
                    </a:xfrm>
                    <a:prstGeom prst="rect">
                      <a:avLst/>
                    </a:prstGeom>
                  </pic:spPr>
                </pic:pic>
              </a:graphicData>
            </a:graphic>
          </wp:inline>
        </w:drawing>
      </w:r>
      <w:r>
        <w:t xml:space="preserve"> </w:t>
      </w:r>
      <w:r w:rsidRPr="000419F7">
        <w:rPr>
          <w:noProof/>
          <w:lang w:val="en-IN" w:eastAsia="en-IN"/>
        </w:rPr>
        <w:drawing>
          <wp:inline distT="0" distB="0" distL="0" distR="0" wp14:anchorId="2420C193" wp14:editId="37154624">
            <wp:extent cx="3249348" cy="2006145"/>
            <wp:effectExtent l="0" t="0" r="1905" b="635"/>
            <wp:docPr id="2019745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745611" name=""/>
                    <pic:cNvPicPr/>
                  </pic:nvPicPr>
                  <pic:blipFill>
                    <a:blip r:embed="rId11"/>
                    <a:stretch>
                      <a:fillRect/>
                    </a:stretch>
                  </pic:blipFill>
                  <pic:spPr>
                    <a:xfrm>
                      <a:off x="0" y="0"/>
                      <a:ext cx="3284742" cy="2027997"/>
                    </a:xfrm>
                    <a:prstGeom prst="rect">
                      <a:avLst/>
                    </a:prstGeom>
                  </pic:spPr>
                </pic:pic>
              </a:graphicData>
            </a:graphic>
          </wp:inline>
        </w:drawing>
      </w:r>
    </w:p>
    <w:p w14:paraId="1EB973BD" w14:textId="25146B1D" w:rsidR="000419F7" w:rsidRPr="005D4EDD" w:rsidRDefault="000419F7" w:rsidP="000419F7">
      <w:pPr>
        <w:pStyle w:val="Caption"/>
        <w:jc w:val="both"/>
        <w:rPr>
          <w:i w:val="0"/>
          <w:iCs w:val="0"/>
        </w:rPr>
      </w:pPr>
      <w:r w:rsidRPr="005D4EDD">
        <w:rPr>
          <w:i w:val="0"/>
          <w:iCs w:val="0"/>
        </w:rPr>
        <w:t xml:space="preserve">Figure </w:t>
      </w:r>
      <w:r w:rsidRPr="005D4EDD">
        <w:rPr>
          <w:i w:val="0"/>
          <w:iCs w:val="0"/>
        </w:rPr>
        <w:fldChar w:fldCharType="begin"/>
      </w:r>
      <w:r w:rsidRPr="005D4EDD">
        <w:rPr>
          <w:i w:val="0"/>
          <w:iCs w:val="0"/>
        </w:rPr>
        <w:instrText xml:space="preserve"> SEQ Figure \* ARABIC </w:instrText>
      </w:r>
      <w:r w:rsidRPr="005D4EDD">
        <w:rPr>
          <w:i w:val="0"/>
          <w:iCs w:val="0"/>
        </w:rPr>
        <w:fldChar w:fldCharType="separate"/>
      </w:r>
      <w:r w:rsidR="005D4EDD" w:rsidRPr="005D4EDD">
        <w:rPr>
          <w:i w:val="0"/>
          <w:iCs w:val="0"/>
          <w:noProof/>
        </w:rPr>
        <w:t>3</w:t>
      </w:r>
      <w:r w:rsidRPr="005D4EDD">
        <w:rPr>
          <w:i w:val="0"/>
          <w:iCs w:val="0"/>
        </w:rPr>
        <w:fldChar w:fldCharType="end"/>
      </w:r>
      <w:r w:rsidR="005D4EDD" w:rsidRPr="005D4EDD">
        <w:rPr>
          <w:i w:val="0"/>
          <w:iCs w:val="0"/>
        </w:rPr>
        <w:t xml:space="preserve"> Restaurant-based activity setting of the </w:t>
      </w:r>
      <w:proofErr w:type="spellStart"/>
      <w:r w:rsidR="005D4EDD" w:rsidRPr="005D4EDD">
        <w:rPr>
          <w:i w:val="0"/>
          <w:iCs w:val="0"/>
        </w:rPr>
        <w:t>Minang</w:t>
      </w:r>
      <w:proofErr w:type="spellEnd"/>
      <w:r w:rsidR="005D4EDD" w:rsidRPr="005D4EDD">
        <w:rPr>
          <w:i w:val="0"/>
          <w:iCs w:val="0"/>
        </w:rPr>
        <w:t xml:space="preserve"> </w:t>
      </w:r>
      <w:proofErr w:type="spellStart"/>
      <w:r w:rsidR="005D4EDD" w:rsidRPr="005D4EDD">
        <w:rPr>
          <w:i w:val="0"/>
          <w:iCs w:val="0"/>
        </w:rPr>
        <w:t>Saiyo</w:t>
      </w:r>
      <w:proofErr w:type="spellEnd"/>
      <w:r w:rsidR="005D4EDD" w:rsidRPr="005D4EDD">
        <w:rPr>
          <w:i w:val="0"/>
          <w:iCs w:val="0"/>
        </w:rPr>
        <w:t xml:space="preserve"> Community in Kuala Lumpur</w:t>
      </w:r>
    </w:p>
    <w:p w14:paraId="43931F0F" w14:textId="78D6DEB8" w:rsidR="005D4EDD" w:rsidRPr="005D4EDD" w:rsidRDefault="005D4EDD" w:rsidP="005D4EDD">
      <w:pPr>
        <w:jc w:val="both"/>
      </w:pPr>
      <w:r>
        <w:t>F</w:t>
      </w:r>
      <w:r w:rsidRPr="005D4EDD">
        <w:t>igure</w:t>
      </w:r>
      <w:r>
        <w:t xml:space="preserve"> 3,</w:t>
      </w:r>
      <w:r w:rsidRPr="005D4EDD">
        <w:t xml:space="preserve"> shows the physical setting of the </w:t>
      </w:r>
      <w:proofErr w:type="spellStart"/>
      <w:r w:rsidRPr="005D4EDD">
        <w:t>Minang</w:t>
      </w:r>
      <w:proofErr w:type="spellEnd"/>
      <w:r w:rsidRPr="005D4EDD">
        <w:t xml:space="preserve"> </w:t>
      </w:r>
      <w:proofErr w:type="spellStart"/>
      <w:r w:rsidRPr="005D4EDD">
        <w:t>Saiyo</w:t>
      </w:r>
      <w:proofErr w:type="spellEnd"/>
      <w:r w:rsidRPr="005D4EDD">
        <w:t xml:space="preserve"> Community’s restaurant-based environment in Kuala Lumpur. The images illustrate the open dining area, the main building structure, and the adjoining stair access, highlighting how commercial, social, and support functions are closely integrated within a limited space. This setting reflects the spatial overlap between livelihood activities and everyday family-based use in the migrant community.</w:t>
      </w:r>
    </w:p>
    <w:p w14:paraId="03CB7637" w14:textId="77777777" w:rsidR="005D4EDD" w:rsidRDefault="005D4EDD" w:rsidP="008B71BA">
      <w:pPr>
        <w:jc w:val="both"/>
      </w:pPr>
    </w:p>
    <w:p w14:paraId="7FCEFE3D" w14:textId="3895A008" w:rsidR="008B71BA" w:rsidRDefault="008B71BA" w:rsidP="008B71BA">
      <w:pPr>
        <w:jc w:val="both"/>
      </w:pPr>
      <w:r w:rsidRPr="008B71BA">
        <w:t>Another recurring result concerned the lack of clear functional separation between household life and restaurant-related support activities. In several cases, storage, food-related preparation support, circulation, and family routines appeared closely interwoven. This does not necessarily indicate disorder in a moral sense, but rather spatial adaptation under conditions of limitation. The literature on home-based work is useful here because it explains that households often reorganize space incrementally in response to livelihood demands, especially when work and family survival are deeply connected</w:t>
      </w:r>
      <w:r>
        <w:t xml:space="preserve"> </w:t>
      </w:r>
      <w:r>
        <w:fldChar w:fldCharType="begin"/>
      </w:r>
      <w:r w:rsidR="001B3A62">
        <w:instrText xml:space="preserve"> ADDIN ZOTERO_ITEM CSL_CITATION {"citationID":"J6if0hDK","properties":{"formattedCitation":"(Wagemann et al., 2024)","plainCitation":"(Wagemann et al., 2024)","noteIndex":0},"citationItems":[{"id":20308,"uris":["http://zotero.org/users/1011003/items/YQTE5S29"],"itemData":{"id":20308,"type":"article-journal","abstract":"For many low-income households in the Global South a house is both a place to live and to generate income in the formal or informal economy. This can include activities in and around the home such as: running small shops selling daily necessities; producing food or crafts; repairing household items; providing services; or growing crops and raising animals. For many households home-based work (HBW) is their main source of income. It is particularly important for people who are more likely to be excluded from formal employment outside the home (such as women, elderly and/or disabled people). The aim of this article is to provide an overview of research on HBW through a scoping review to find research gaps and relevant aspects to study in the future. With a focus on Latin America and the Caribbean, 12 studies published since 2000 were selected for further study. We identified several characteristics of ‘supportive housing and settlements’ which make households more likely to engage in HBW and proposed a model of the symbiotic relationship between housing and HBW. We discuss the implications of our findings for development and humanitarian contexts, make recommendations for policy and practice, and suggest topics for further research.","container-title":"Cities","DOI":"10.1016/j.cities.2024.104833","ISSN":"0264-2751","journalAbbreviation":"Cities","page":"104833","source":"ScienceDirect","title":"Housing and home-based work: Considerations for development and humanitarian contexts","title-short":"Housing and home-based work","URL":"https://www.sciencedirect.com/science/article/pii/S0264275124000477","volume":"147","author":[{"family":"Wagemann","given":"Elizabeth"},{"family":"Maynard","given":"Victoria"},{"family":"Simons","given":"Beth"}],"accessed":{"date-parts":[["2026",4,15]]},"issued":{"date-parts":[["2024",4,1]]}}}],"schema":"https://github.com/citation-style-language/schema/raw/master/csl-citation.json"} </w:instrText>
      </w:r>
      <w:r>
        <w:fldChar w:fldCharType="separate"/>
      </w:r>
      <w:r w:rsidR="001B3A62">
        <w:rPr>
          <w:noProof/>
        </w:rPr>
        <w:t>(Wagemann et al., 2024)</w:t>
      </w:r>
      <w:r>
        <w:fldChar w:fldCharType="end"/>
      </w:r>
      <w:r w:rsidRPr="008B71BA">
        <w:t xml:space="preserve">. The </w:t>
      </w:r>
      <w:proofErr w:type="spellStart"/>
      <w:r w:rsidRPr="008B71BA">
        <w:t>Minang</w:t>
      </w:r>
      <w:proofErr w:type="spellEnd"/>
      <w:r w:rsidRPr="008B71BA">
        <w:t xml:space="preserve"> migrant setting reflects this logic of adaptation. Space is not simply occupied, but continuously adjusted to serve multiple needs at once.</w:t>
      </w:r>
    </w:p>
    <w:p w14:paraId="13CC78A4" w14:textId="77777777" w:rsidR="00693784" w:rsidRDefault="00693784" w:rsidP="008B71BA">
      <w:pPr>
        <w:jc w:val="both"/>
      </w:pPr>
    </w:p>
    <w:p w14:paraId="07AD22A5" w14:textId="77777777" w:rsidR="00693784" w:rsidRDefault="00693784" w:rsidP="00693784">
      <w:pPr>
        <w:jc w:val="both"/>
        <w:rPr>
          <w:b/>
          <w:bCs/>
        </w:rPr>
      </w:pPr>
    </w:p>
    <w:p w14:paraId="3BDEF1B3" w14:textId="77777777" w:rsidR="00693784" w:rsidRDefault="00693784" w:rsidP="00693784">
      <w:pPr>
        <w:jc w:val="both"/>
        <w:rPr>
          <w:b/>
          <w:bCs/>
        </w:rPr>
      </w:pPr>
    </w:p>
    <w:p w14:paraId="4FEF9894" w14:textId="1816C060" w:rsidR="00693784" w:rsidRPr="008B71BA" w:rsidRDefault="00693784" w:rsidP="00693784">
      <w:pPr>
        <w:jc w:val="both"/>
        <w:rPr>
          <w:b/>
          <w:bCs/>
        </w:rPr>
      </w:pPr>
      <w:r w:rsidRPr="008B71BA">
        <w:rPr>
          <w:b/>
          <w:bCs/>
        </w:rPr>
        <w:lastRenderedPageBreak/>
        <w:t>Health and family well-being as spatially mediated issues</w:t>
      </w:r>
    </w:p>
    <w:p w14:paraId="35BD4F0A" w14:textId="77777777" w:rsidR="00693784" w:rsidRDefault="00693784" w:rsidP="00693784">
      <w:pPr>
        <w:jc w:val="both"/>
      </w:pPr>
      <w:r w:rsidRPr="008B71BA">
        <w:t xml:space="preserve">A second important result was the recognition, among participants, that environmental conditions influence family well-being more directly than they had previously articulated. During the educational and discussion sessions, participants responded positively to explanations linking layout, ventilation, sanitation, moisture control, and circulation safety with daily health and comfort. This matches the draft paper’s initial finding that context-sensitive and applied guidance was well received by the community. </w:t>
      </w:r>
    </w:p>
    <w:p w14:paraId="3A8E1457" w14:textId="77777777" w:rsidR="00693784" w:rsidRDefault="00693784" w:rsidP="00693784">
      <w:pPr>
        <w:jc w:val="both"/>
      </w:pPr>
    </w:p>
    <w:p w14:paraId="77AF220C" w14:textId="77777777" w:rsidR="00693784" w:rsidRDefault="00693784" w:rsidP="00693784">
      <w:pPr>
        <w:jc w:val="both"/>
      </w:pPr>
      <w:r w:rsidRPr="008B71BA">
        <w:t xml:space="preserve">This outcome is significant because it shows the value of spatial literacy in community empowerment. Many household health problems are often discussed only in </w:t>
      </w:r>
      <w:proofErr w:type="spellStart"/>
      <w:r w:rsidRPr="008B71BA">
        <w:t>behavioral</w:t>
      </w:r>
      <w:proofErr w:type="spellEnd"/>
      <w:r w:rsidRPr="008B71BA">
        <w:t xml:space="preserve"> terms, while the spatial environment that structures daily </w:t>
      </w:r>
      <w:proofErr w:type="spellStart"/>
      <w:r w:rsidRPr="008B71BA">
        <w:t>behavior</w:t>
      </w:r>
      <w:proofErr w:type="spellEnd"/>
      <w:r w:rsidRPr="008B71BA">
        <w:t xml:space="preserve"> receives less attention. Yet housing research consistently shows that poor living conditions shape both immediate and cumulative health risks. The WHO’s housing guidance treats inadequate living conditions as a public health concern, not merely as a matter of household preference</w:t>
      </w:r>
      <w:r>
        <w:t xml:space="preserve"> </w:t>
      </w:r>
      <w:r>
        <w:fldChar w:fldCharType="begin"/>
      </w:r>
      <w:r>
        <w:instrText xml:space="preserve"> ADDIN ZOTERO_ITEM CSL_CITATION {"citationID":"fWVNdn8L","properties":{"formattedCitation":"(World Health Organization et al., 2018)","plainCitation":"(World Health Organization et al., 2018)","noteIndex":0},"citationItems":[{"id":20329,"uris":["http://zotero.org/users/1011003/items/8W4KGNUI"],"itemData":{"id":20329,"type":"book","abstract":"Improved housing conditions can save lives, prevent disease, increase quality of life, reduce poverty, and help mitigate climate change. Housing is becoming increasingly important to health in light of urban growth, ageing populations and climate change. The WHO Housing and health guidelines bring together the most recent evidence to provide practical recommendations to reduce the health burden due to unsafe and substandard housing. Based on newly commissioned systematic reviews, the guidelines provide recommendations relevant to inadequate living space (crowding), low and high indoor temperatures, injury hazards in the home, and accessibility of housing for people with functional impairments. In addition, the guidelines identify and summarize existing WHO guidelines and recommendations related to housing, with respect to water quality, air quality, neighbourhood noise, asbestos, lead, tobacco smoke and radon. The guidelines take a comprehensive, intersectoral perspective on the issue of housing and health and highlight co-benefits of interventions addressing several risk factors at the same time. The WHO Housing and health guidelines aim at informing housing policies and regulations at the national, regional and local level and are further relevant in the daily activities of implementing actors who are directly involved in the construction, maintenance and demolition of housing in ways that influence human health and safety. The guidelines therefore emphasize the importance of collaboration between the health and other sectors and joint efforts across all government levels to promote healthy housing. The guidelines' implementation at country-level will in particular contribute to the achievement of the Sustainable Development Goals on health (SDG 3) and sustainable cities (SDG 11). WHO will support Member States in adapting the guidelines to national contexts and priorities to ensure safe and healthy housing for all","ISBN":"978-92-4-155037-6","language":"en","number-of-pages":"1","publisher":"World Health Organization","publisher-place":"Geneva, Switzerland","source":"K10plus ISBN","title":"WHO housing and health guidelines","editor":[{"literal":"World Health Organization"},{"literal":"United States"},{"literal":"France"},{"literal":"United States"}],"issued":{"date-parts":[["2018"]]}}}],"schema":"https://github.com/citation-style-language/schema/raw/master/csl-citation.json"} </w:instrText>
      </w:r>
      <w:r>
        <w:fldChar w:fldCharType="separate"/>
      </w:r>
      <w:r>
        <w:rPr>
          <w:noProof/>
        </w:rPr>
        <w:t>(World Health Organization et al., 2018)</w:t>
      </w:r>
      <w:r>
        <w:fldChar w:fldCharType="end"/>
      </w:r>
      <w:r w:rsidRPr="008B71BA">
        <w:t>. Likewise, more recent evidence on migrant and refugee populations shows that housing inequalities, including overcrowding, inadequate conditions, and poor environmental quality, are associated with adverse physical and psychosocial outcomes</w:t>
      </w:r>
      <w:r>
        <w:t xml:space="preserve"> </w:t>
      </w:r>
      <w:r>
        <w:fldChar w:fldCharType="begin"/>
      </w:r>
      <w:r>
        <w:instrText xml:space="preserve"> ADDIN ZOTERO_ITEM CSL_CITATION {"citationID":"f1ACiXSn","properties":{"formattedCitation":"(Rana et al., 2025)","plainCitation":"(Rana et al., 2025)","noteIndex":0},"citationItems":[{"id":20342,"uris":["http://zotero.org/users/1011003/items/QBFXHPUT"],"itemData":{"id":20342,"type":"article-journal","abstract":"This review highlights the critical role of housing as a social determinant of health and wellbeing for migrant and refugee populations in high-income countries, along with highlighting the potential pathways through which housing inequalities impact physical and mental health outcomes. Ensuring acc …","container-title":"PubMed","language":"en","source":"pubmed.ncbi.nlm.nih.gov","title":"Housing inequalities and health outcomes among migrant and refugee populations in high-income countries: a mixed-methods systematic review","title-short":"Housing inequalities and health outcomes among migrant and refugee populations in high-income countries","URL":"https://pubmed.ncbi.nlm.nih.gov/40121396/?utm_source=chatgpt.com","author":[{"family":"Rana","given":"Kritika"},{"family":"Kent","given":"Jennifer"},{"family":"Andrew","given":"Page"}],"accessed":{"date-parts":[["2026",4,16]]},"issued":{"date-parts":[["2025"]]}}}],"schema":"https://github.com/citation-style-language/schema/raw/master/csl-citation.json"} </w:instrText>
      </w:r>
      <w:r>
        <w:fldChar w:fldCharType="separate"/>
      </w:r>
      <w:r>
        <w:rPr>
          <w:noProof/>
        </w:rPr>
        <w:t>(Rana et al., 2025)</w:t>
      </w:r>
      <w:r>
        <w:fldChar w:fldCharType="end"/>
      </w:r>
      <w:r w:rsidRPr="008B71BA">
        <w:t xml:space="preserve">. </w:t>
      </w:r>
    </w:p>
    <w:p w14:paraId="14BA1B66" w14:textId="77777777" w:rsidR="00693784" w:rsidRDefault="00693784" w:rsidP="00693784">
      <w:pPr>
        <w:jc w:val="both"/>
      </w:pPr>
    </w:p>
    <w:p w14:paraId="42B9E741" w14:textId="77777777" w:rsidR="00693784" w:rsidRDefault="00693784" w:rsidP="00693784">
      <w:pPr>
        <w:keepNext/>
        <w:jc w:val="both"/>
      </w:pPr>
      <w:r w:rsidRPr="000419F7">
        <w:rPr>
          <w:noProof/>
          <w:lang w:val="en-IN" w:eastAsia="en-IN"/>
        </w:rPr>
        <w:drawing>
          <wp:inline distT="0" distB="0" distL="0" distR="0" wp14:anchorId="05585F30" wp14:editId="2A4871E1">
            <wp:extent cx="2221653" cy="3427694"/>
            <wp:effectExtent l="0" t="0" r="1270" b="1905"/>
            <wp:docPr id="286795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95328" name=""/>
                    <pic:cNvPicPr/>
                  </pic:nvPicPr>
                  <pic:blipFill>
                    <a:blip r:embed="rId12"/>
                    <a:stretch>
                      <a:fillRect/>
                    </a:stretch>
                  </pic:blipFill>
                  <pic:spPr>
                    <a:xfrm>
                      <a:off x="0" y="0"/>
                      <a:ext cx="2239843" cy="3455759"/>
                    </a:xfrm>
                    <a:prstGeom prst="rect">
                      <a:avLst/>
                    </a:prstGeom>
                  </pic:spPr>
                </pic:pic>
              </a:graphicData>
            </a:graphic>
          </wp:inline>
        </w:drawing>
      </w:r>
      <w:r>
        <w:t xml:space="preserve"> </w:t>
      </w:r>
      <w:r w:rsidRPr="000419F7">
        <w:rPr>
          <w:noProof/>
          <w:lang w:val="en-IN" w:eastAsia="en-IN"/>
        </w:rPr>
        <w:drawing>
          <wp:inline distT="0" distB="0" distL="0" distR="0" wp14:anchorId="38459C7B" wp14:editId="6190E90F">
            <wp:extent cx="2213186" cy="3414630"/>
            <wp:effectExtent l="0" t="0" r="0" b="1905"/>
            <wp:docPr id="164735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35318" name=""/>
                    <pic:cNvPicPr/>
                  </pic:nvPicPr>
                  <pic:blipFill>
                    <a:blip r:embed="rId13"/>
                    <a:stretch>
                      <a:fillRect/>
                    </a:stretch>
                  </pic:blipFill>
                  <pic:spPr>
                    <a:xfrm>
                      <a:off x="0" y="0"/>
                      <a:ext cx="2239073" cy="3454571"/>
                    </a:xfrm>
                    <a:prstGeom prst="rect">
                      <a:avLst/>
                    </a:prstGeom>
                  </pic:spPr>
                </pic:pic>
              </a:graphicData>
            </a:graphic>
          </wp:inline>
        </w:drawing>
      </w:r>
      <w:r>
        <w:t xml:space="preserve"> </w:t>
      </w:r>
      <w:r w:rsidRPr="000419F7">
        <w:rPr>
          <w:noProof/>
          <w:lang w:val="en-IN" w:eastAsia="en-IN"/>
        </w:rPr>
        <w:drawing>
          <wp:inline distT="0" distB="0" distL="0" distR="0" wp14:anchorId="0F49BE24" wp14:editId="1B102ED1">
            <wp:extent cx="2213798" cy="3415574"/>
            <wp:effectExtent l="0" t="0" r="0" b="1270"/>
            <wp:docPr id="6240493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049336" name=""/>
                    <pic:cNvPicPr/>
                  </pic:nvPicPr>
                  <pic:blipFill>
                    <a:blip r:embed="rId14"/>
                    <a:stretch>
                      <a:fillRect/>
                    </a:stretch>
                  </pic:blipFill>
                  <pic:spPr>
                    <a:xfrm>
                      <a:off x="0" y="0"/>
                      <a:ext cx="2228450" cy="3438181"/>
                    </a:xfrm>
                    <a:prstGeom prst="rect">
                      <a:avLst/>
                    </a:prstGeom>
                  </pic:spPr>
                </pic:pic>
              </a:graphicData>
            </a:graphic>
          </wp:inline>
        </w:drawing>
      </w:r>
    </w:p>
    <w:p w14:paraId="70E9823A" w14:textId="77777777" w:rsidR="00693784" w:rsidRPr="005D4EDD" w:rsidRDefault="00693784" w:rsidP="00693784">
      <w:pPr>
        <w:pStyle w:val="Caption"/>
        <w:jc w:val="both"/>
        <w:rPr>
          <w:i w:val="0"/>
          <w:iCs w:val="0"/>
        </w:rPr>
      </w:pPr>
      <w:r w:rsidRPr="005D4EDD">
        <w:rPr>
          <w:i w:val="0"/>
          <w:iCs w:val="0"/>
        </w:rPr>
        <w:t xml:space="preserve">Figure </w:t>
      </w:r>
      <w:r w:rsidRPr="005D4EDD">
        <w:rPr>
          <w:i w:val="0"/>
          <w:iCs w:val="0"/>
        </w:rPr>
        <w:fldChar w:fldCharType="begin"/>
      </w:r>
      <w:r w:rsidRPr="005D4EDD">
        <w:rPr>
          <w:i w:val="0"/>
          <w:iCs w:val="0"/>
        </w:rPr>
        <w:instrText xml:space="preserve"> SEQ Figure \* ARABIC </w:instrText>
      </w:r>
      <w:r w:rsidRPr="005D4EDD">
        <w:rPr>
          <w:i w:val="0"/>
          <w:iCs w:val="0"/>
        </w:rPr>
        <w:fldChar w:fldCharType="separate"/>
      </w:r>
      <w:r w:rsidRPr="005D4EDD">
        <w:rPr>
          <w:i w:val="0"/>
          <w:iCs w:val="0"/>
          <w:noProof/>
        </w:rPr>
        <w:t>4</w:t>
      </w:r>
      <w:r w:rsidRPr="005D4EDD">
        <w:rPr>
          <w:i w:val="0"/>
          <w:iCs w:val="0"/>
        </w:rPr>
        <w:fldChar w:fldCharType="end"/>
      </w:r>
      <w:r w:rsidRPr="005D4EDD">
        <w:rPr>
          <w:i w:val="0"/>
          <w:iCs w:val="0"/>
        </w:rPr>
        <w:t>. Sanitation and service-area conditions in the observed migrant living environment</w:t>
      </w:r>
    </w:p>
    <w:p w14:paraId="4935CE33" w14:textId="77777777" w:rsidR="00693784" w:rsidRPr="008B71BA" w:rsidRDefault="00693784" w:rsidP="00693784">
      <w:pPr>
        <w:jc w:val="both"/>
      </w:pPr>
      <w:r>
        <w:t>F</w:t>
      </w:r>
      <w:r w:rsidRPr="005D4EDD">
        <w:t>igure</w:t>
      </w:r>
      <w:r>
        <w:t xml:space="preserve"> 4,</w:t>
      </w:r>
      <w:r w:rsidRPr="005D4EDD">
        <w:t xml:space="preserve"> shows the sanitation and service-area conditions observed in the migrant living environment, including a narrow circulation passage and toilet facilities. The images highlight basic environmental issues related to hygiene, spatial limitation, surface condition, and the organization of service spaces. These conditions are relevant to the discussion of healthy living environments and family well-being in constrained domestic-work settings.</w:t>
      </w:r>
    </w:p>
    <w:p w14:paraId="3034605B" w14:textId="77777777" w:rsidR="00693784" w:rsidRPr="008B71BA" w:rsidRDefault="00693784" w:rsidP="00693784">
      <w:pPr>
        <w:jc w:val="both"/>
      </w:pPr>
    </w:p>
    <w:p w14:paraId="0B6229F0" w14:textId="64615720" w:rsidR="00693784" w:rsidRDefault="00693784" w:rsidP="00693784">
      <w:pPr>
        <w:jc w:val="both"/>
      </w:pPr>
      <w:r w:rsidRPr="008B71BA">
        <w:t>In the present activity, this broader argument became visible at the micro scale of everyday family life. Participants were not dealing with abstract environmental concepts, but with practical matters such as where air could flow, where waste could be placed, how circulation could be made safer, and how clean and service areas could be better distinguished. These are modest interventions in appearance, but they are meaningful because they translate health into manageable spatial actions. This is especially important for migrant households living in rented or constrained environments, where major physical renovation may not be feasible.</w:t>
      </w:r>
    </w:p>
    <w:p w14:paraId="1413258D" w14:textId="77777777" w:rsidR="00693784" w:rsidRDefault="00693784" w:rsidP="008B71BA">
      <w:pPr>
        <w:jc w:val="both"/>
      </w:pPr>
    </w:p>
    <w:p w14:paraId="42514593" w14:textId="77777777" w:rsidR="00693784" w:rsidRDefault="00693784">
      <w:pPr>
        <w:rPr>
          <w:b/>
          <w:bCs/>
          <w:color w:val="0F9ED5" w:themeColor="accent4"/>
        </w:rPr>
      </w:pPr>
      <w:r>
        <w:rPr>
          <w:b/>
          <w:bCs/>
          <w:color w:val="0F9ED5" w:themeColor="accent4"/>
        </w:rPr>
        <w:br w:type="page"/>
      </w:r>
    </w:p>
    <w:p w14:paraId="325515C6" w14:textId="430D20B1" w:rsidR="00693784" w:rsidRPr="00693784" w:rsidRDefault="00693784" w:rsidP="00693784">
      <w:pPr>
        <w:jc w:val="both"/>
        <w:rPr>
          <w:b/>
          <w:bCs/>
        </w:rPr>
      </w:pPr>
      <w:r w:rsidRPr="00693784">
        <w:rPr>
          <w:b/>
          <w:bCs/>
        </w:rPr>
        <w:lastRenderedPageBreak/>
        <w:t>Participant response to the intervention</w:t>
      </w:r>
    </w:p>
    <w:p w14:paraId="3EA67C86" w14:textId="59D81ED3" w:rsidR="00693784" w:rsidRPr="00693784" w:rsidRDefault="00693784" w:rsidP="00693784">
      <w:pPr>
        <w:jc w:val="both"/>
      </w:pPr>
      <w:r w:rsidRPr="00693784">
        <w:t>The educational and technical guidance sessions were positively received by community members. Participants responded well to practical explanations linking spatial arrangement with health, family comfort, and daily routine. Rather than requiring complex design solutions, the community showed greater interest in simple and feasible actions such as improving airflow, managing waste more carefully, reorganizing storage, and clarifying the separation between domestic and service-related activities</w:t>
      </w:r>
      <w:r w:rsidRPr="00693784">
        <w:t xml:space="preserve"> </w:t>
      </w:r>
      <w:r w:rsidRPr="00693784">
        <w:fldChar w:fldCharType="begin"/>
      </w:r>
      <w:r w:rsidRPr="00693784">
        <w:instrText xml:space="preserve"> ADDIN ZOTERO_ITEM CSL_CITATION {"citationID":"f1ACiXSn","properties":{"formattedCitation":"(Rana et al., 2025)","plainCitation":"(Rana et al., 2025)","noteIndex":0},"citationItems":[{"id":20342,"uris":["http://zotero.org/users/1011003/items/QBFXHPUT"],"itemData":{"id":20342,"type":"article-journal","abstract":"This review highlights the critical role of housing as a social determinant of health and wellbeing for migrant and refugee populations in high-income countries, along with highlighting the potential pathways through which housing inequalities impact physical and mental health outcomes. Ensuring acc …","container-title":"PubMed","language":"en","source":"pubmed.ncbi.nlm.nih.gov","title":"Housing inequalities and health outcomes among migrant and refugee populations in high-income countries: a mixed-methods systematic review","title-short":"Housing inequalities and health outcomes among migrant and refugee populations in high-income countries","URL":"https://pubmed.ncbi.nlm.nih.gov/40121396/?utm_source=chatgpt.com","author":[{"family":"Rana","given":"Kritika"},{"family":"Kent","given":"Jennifer"},{"family":"Andrew","given":"Page"}],"accessed":{"date-parts":[["2026",4,16]]},"issued":{"date-parts":[["2025"]]}}}],"schema":"https://github.com/citation-style-language/schema/raw/master/csl-citation.json"} </w:instrText>
      </w:r>
      <w:r w:rsidRPr="00693784">
        <w:fldChar w:fldCharType="separate"/>
      </w:r>
      <w:r w:rsidRPr="00693784">
        <w:rPr>
          <w:noProof/>
        </w:rPr>
        <w:t>(Rana et al., 2025)</w:t>
      </w:r>
      <w:r w:rsidRPr="00693784">
        <w:fldChar w:fldCharType="end"/>
      </w:r>
      <w:r w:rsidRPr="00693784">
        <w:t xml:space="preserve">. This indicates that architecture- and engineering-based guidance becomes more meaningful when it is delivered in non-technical language and adapted to the realities of rented or limited spaces. Such a response also confirms the value of context-sensitive environmental education in community empowerment (World Health Organization et al., 2018). </w:t>
      </w:r>
    </w:p>
    <w:p w14:paraId="45E63090" w14:textId="77777777" w:rsidR="00693784" w:rsidRDefault="00693784" w:rsidP="00693784">
      <w:pPr>
        <w:jc w:val="both"/>
        <w:rPr>
          <w:b/>
          <w:bCs/>
          <w:color w:val="0F9ED5" w:themeColor="accent4"/>
        </w:rPr>
      </w:pPr>
    </w:p>
    <w:p w14:paraId="140403D0" w14:textId="05310DAC" w:rsidR="00693784" w:rsidRPr="00693784" w:rsidRDefault="00693784" w:rsidP="00693784">
      <w:pPr>
        <w:jc w:val="both"/>
        <w:rPr>
          <w:b/>
          <w:bCs/>
        </w:rPr>
      </w:pPr>
      <w:r w:rsidRPr="00693784">
        <w:rPr>
          <w:b/>
          <w:bCs/>
        </w:rPr>
        <w:t>Interpreting the household as a hybrid living-work environment</w:t>
      </w:r>
    </w:p>
    <w:p w14:paraId="791301F3" w14:textId="77777777" w:rsidR="00693784" w:rsidRPr="00693784" w:rsidRDefault="00693784" w:rsidP="00693784">
      <w:pPr>
        <w:jc w:val="both"/>
      </w:pPr>
      <w:r w:rsidRPr="00693784">
        <w:t xml:space="preserve">The findings also show that the </w:t>
      </w:r>
      <w:proofErr w:type="spellStart"/>
      <w:r w:rsidRPr="00693784">
        <w:t>Minang</w:t>
      </w:r>
      <w:proofErr w:type="spellEnd"/>
      <w:r w:rsidRPr="00693784">
        <w:t xml:space="preserve"> migrant household in this context functions as a hybrid living-work environment. The overlap between family life and restaurant-related support activities should not be seen simply as a spatial deficiency, but as a form of adaptation to livelihood demands, limited floor area, and incremental use of domestic space. This interpretation is consistent with studies on home-based work, which argue that domestic environments often absorb productive functions when households rely on family-based and flexible economic strategies (Gough &amp; Kellett, 2001; </w:t>
      </w:r>
      <w:proofErr w:type="spellStart"/>
      <w:r w:rsidRPr="00693784">
        <w:t>Reuschke</w:t>
      </w:r>
      <w:proofErr w:type="spellEnd"/>
      <w:r w:rsidRPr="00693784">
        <w:t xml:space="preserve">, 2016; Wagemann et al., 2024). In this case, the intervention was effective because it did not impose an idealized housing model, but instead offered realistic adjustments that could support healthier and safer living practices within the household’s existing rhythm. </w:t>
      </w:r>
    </w:p>
    <w:p w14:paraId="35EEF186" w14:textId="77777777" w:rsidR="00693784" w:rsidRDefault="00693784" w:rsidP="00693784">
      <w:pPr>
        <w:jc w:val="both"/>
        <w:rPr>
          <w:b/>
          <w:bCs/>
          <w:color w:val="0F9ED5" w:themeColor="accent4"/>
        </w:rPr>
      </w:pPr>
    </w:p>
    <w:p w14:paraId="693EBABD" w14:textId="2AE1DD2E" w:rsidR="00693784" w:rsidRPr="00693784" w:rsidRDefault="00693784" w:rsidP="00693784">
      <w:pPr>
        <w:jc w:val="both"/>
        <w:rPr>
          <w:b/>
          <w:bCs/>
        </w:rPr>
      </w:pPr>
      <w:r w:rsidRPr="00693784">
        <w:rPr>
          <w:b/>
          <w:bCs/>
        </w:rPr>
        <w:t>Summary of intervention outcomes</w:t>
      </w:r>
    </w:p>
    <w:p w14:paraId="268EE16B" w14:textId="77777777" w:rsidR="00693784" w:rsidRPr="00693784" w:rsidRDefault="00693784" w:rsidP="00693784">
      <w:pPr>
        <w:jc w:val="both"/>
      </w:pPr>
      <w:r w:rsidRPr="00693784">
        <w:t xml:space="preserve">Overall, the activity produced four main results. First, domestic and restaurant-related functions were closely intertwined in the daily lives of participants. Second, the most recurrent environmental concerns were ventilation, sanitation, storage congestion, circulation safety, and weak separation between clean and service areas. Third, participants responded positively to practical and low-cost guidance. Fourth, the activity strengthened awareness that spatial arrangement is directly related to family well-being. These results support the argument that community service in architecture and building engineering can contribute meaningfully to healthier living practices in migrant urban settings. </w:t>
      </w:r>
    </w:p>
    <w:p w14:paraId="2D516DBE" w14:textId="77777777" w:rsidR="00693784" w:rsidRDefault="00693784" w:rsidP="00693784">
      <w:pPr>
        <w:jc w:val="both"/>
        <w:rPr>
          <w:b/>
          <w:bCs/>
          <w:color w:val="0F9ED5" w:themeColor="accent4"/>
        </w:rPr>
      </w:pPr>
    </w:p>
    <w:p w14:paraId="2A4B5F27" w14:textId="0C996887" w:rsidR="00693784" w:rsidRPr="00693784" w:rsidRDefault="00693784" w:rsidP="00693784">
      <w:pPr>
        <w:jc w:val="both"/>
        <w:rPr>
          <w:b/>
          <w:bCs/>
          <w:color w:val="0F9ED5" w:themeColor="accent4"/>
        </w:rPr>
      </w:pPr>
      <w:r w:rsidRPr="00693784">
        <w:rPr>
          <w:b/>
          <w:bCs/>
          <w:color w:val="0F9ED5" w:themeColor="accent4"/>
        </w:rPr>
        <w:t xml:space="preserve">Table </w:t>
      </w:r>
      <w:r>
        <w:rPr>
          <w:b/>
          <w:bCs/>
          <w:color w:val="0F9ED5" w:themeColor="accent4"/>
        </w:rPr>
        <w:t>1</w:t>
      </w:r>
      <w:r w:rsidRPr="00693784">
        <w:rPr>
          <w:b/>
          <w:bCs/>
          <w:color w:val="0F9ED5" w:themeColor="accent4"/>
        </w:rPr>
        <w:t>. Simple Summary of Observed Environmental Issues and Intervention Responses</w:t>
      </w:r>
    </w:p>
    <w:tbl>
      <w:tblPr>
        <w:tblStyle w:val="PlainTable2"/>
        <w:tblW w:w="0" w:type="auto"/>
        <w:tblLook w:val="04A0" w:firstRow="1" w:lastRow="0" w:firstColumn="1" w:lastColumn="0" w:noHBand="0" w:noVBand="1"/>
      </w:tblPr>
      <w:tblGrid>
        <w:gridCol w:w="1751"/>
        <w:gridCol w:w="2046"/>
        <w:gridCol w:w="2170"/>
        <w:gridCol w:w="2087"/>
        <w:gridCol w:w="2636"/>
      </w:tblGrid>
      <w:tr w:rsidR="00693784" w:rsidRPr="00693784" w14:paraId="237DD212" w14:textId="77777777" w:rsidTr="006937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88E1BE8" w14:textId="77777777" w:rsidR="00693784" w:rsidRPr="00693784" w:rsidRDefault="00693784" w:rsidP="00693784">
            <w:pPr>
              <w:jc w:val="center"/>
              <w:rPr>
                <w:color w:val="0F9ED5" w:themeColor="accent4"/>
              </w:rPr>
            </w:pPr>
            <w:r w:rsidRPr="00693784">
              <w:rPr>
                <w:color w:val="0F9ED5" w:themeColor="accent4"/>
              </w:rPr>
              <w:t>Aspect observed</w:t>
            </w:r>
          </w:p>
        </w:tc>
        <w:tc>
          <w:tcPr>
            <w:tcW w:w="0" w:type="auto"/>
            <w:hideMark/>
          </w:tcPr>
          <w:p w14:paraId="6ED16AB8" w14:textId="77777777" w:rsidR="00693784" w:rsidRPr="00693784" w:rsidRDefault="00693784" w:rsidP="00693784">
            <w:pPr>
              <w:jc w:val="center"/>
              <w:cnfStyle w:val="100000000000" w:firstRow="1" w:lastRow="0" w:firstColumn="0" w:lastColumn="0" w:oddVBand="0" w:evenVBand="0" w:oddHBand="0" w:evenHBand="0" w:firstRowFirstColumn="0" w:firstRowLastColumn="0" w:lastRowFirstColumn="0" w:lastRowLastColumn="0"/>
              <w:rPr>
                <w:color w:val="0F9ED5" w:themeColor="accent4"/>
              </w:rPr>
            </w:pPr>
            <w:r w:rsidRPr="00693784">
              <w:rPr>
                <w:color w:val="0F9ED5" w:themeColor="accent4"/>
              </w:rPr>
              <w:t>Main issue identified</w:t>
            </w:r>
          </w:p>
        </w:tc>
        <w:tc>
          <w:tcPr>
            <w:tcW w:w="0" w:type="auto"/>
            <w:hideMark/>
          </w:tcPr>
          <w:p w14:paraId="72F81412" w14:textId="77777777" w:rsidR="00693784" w:rsidRPr="00693784" w:rsidRDefault="00693784" w:rsidP="00693784">
            <w:pPr>
              <w:jc w:val="center"/>
              <w:cnfStyle w:val="100000000000" w:firstRow="1" w:lastRow="0" w:firstColumn="0" w:lastColumn="0" w:oddVBand="0" w:evenVBand="0" w:oddHBand="0" w:evenHBand="0" w:firstRowFirstColumn="0" w:firstRowLastColumn="0" w:lastRowFirstColumn="0" w:lastRowLastColumn="0"/>
              <w:rPr>
                <w:color w:val="0F9ED5" w:themeColor="accent4"/>
              </w:rPr>
            </w:pPr>
            <w:r w:rsidRPr="00693784">
              <w:rPr>
                <w:color w:val="0F9ED5" w:themeColor="accent4"/>
              </w:rPr>
              <w:t>Practical implication for family life</w:t>
            </w:r>
          </w:p>
        </w:tc>
        <w:tc>
          <w:tcPr>
            <w:tcW w:w="0" w:type="auto"/>
            <w:hideMark/>
          </w:tcPr>
          <w:p w14:paraId="3226E0B7" w14:textId="77777777" w:rsidR="00693784" w:rsidRPr="00693784" w:rsidRDefault="00693784" w:rsidP="00693784">
            <w:pPr>
              <w:jc w:val="center"/>
              <w:cnfStyle w:val="100000000000" w:firstRow="1" w:lastRow="0" w:firstColumn="0" w:lastColumn="0" w:oddVBand="0" w:evenVBand="0" w:oddHBand="0" w:evenHBand="0" w:firstRowFirstColumn="0" w:firstRowLastColumn="0" w:lastRowFirstColumn="0" w:lastRowLastColumn="0"/>
              <w:rPr>
                <w:color w:val="0F9ED5" w:themeColor="accent4"/>
              </w:rPr>
            </w:pPr>
            <w:r w:rsidRPr="00693784">
              <w:rPr>
                <w:color w:val="0F9ED5" w:themeColor="accent4"/>
              </w:rPr>
              <w:t>Intervention guidance delivered</w:t>
            </w:r>
          </w:p>
        </w:tc>
        <w:tc>
          <w:tcPr>
            <w:tcW w:w="0" w:type="auto"/>
            <w:hideMark/>
          </w:tcPr>
          <w:p w14:paraId="18878ECB" w14:textId="77777777" w:rsidR="00693784" w:rsidRPr="00693784" w:rsidRDefault="00693784" w:rsidP="00693784">
            <w:pPr>
              <w:jc w:val="center"/>
              <w:cnfStyle w:val="100000000000" w:firstRow="1" w:lastRow="0" w:firstColumn="0" w:lastColumn="0" w:oddVBand="0" w:evenVBand="0" w:oddHBand="0" w:evenHBand="0" w:firstRowFirstColumn="0" w:firstRowLastColumn="0" w:lastRowFirstColumn="0" w:lastRowLastColumn="0"/>
              <w:rPr>
                <w:color w:val="0F9ED5" w:themeColor="accent4"/>
              </w:rPr>
            </w:pPr>
            <w:r w:rsidRPr="00693784">
              <w:rPr>
                <w:color w:val="0F9ED5" w:themeColor="accent4"/>
              </w:rPr>
              <w:t>Immediate response observed</w:t>
            </w:r>
          </w:p>
        </w:tc>
      </w:tr>
      <w:tr w:rsidR="00693784" w:rsidRPr="00693784" w14:paraId="732A0646" w14:textId="77777777" w:rsidTr="006937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CF0CB97" w14:textId="77777777" w:rsidR="00693784" w:rsidRPr="00693784" w:rsidRDefault="00693784" w:rsidP="00693784">
            <w:pPr>
              <w:rPr>
                <w:color w:val="0F9ED5" w:themeColor="accent4"/>
              </w:rPr>
            </w:pPr>
            <w:r w:rsidRPr="00693784">
              <w:rPr>
                <w:color w:val="0F9ED5" w:themeColor="accent4"/>
              </w:rPr>
              <w:t>Ventilation</w:t>
            </w:r>
          </w:p>
        </w:tc>
        <w:tc>
          <w:tcPr>
            <w:tcW w:w="0" w:type="auto"/>
            <w:hideMark/>
          </w:tcPr>
          <w:p w14:paraId="2CBF2B89" w14:textId="77777777" w:rsidR="00693784" w:rsidRPr="00693784" w:rsidRDefault="00693784" w:rsidP="00693784">
            <w:pPr>
              <w:cnfStyle w:val="000000100000" w:firstRow="0" w:lastRow="0" w:firstColumn="0" w:lastColumn="0" w:oddVBand="0" w:evenVBand="0" w:oddHBand="1" w:evenHBand="0" w:firstRowFirstColumn="0" w:firstRowLastColumn="0" w:lastRowFirstColumn="0" w:lastRowLastColumn="0"/>
              <w:rPr>
                <w:color w:val="0F9ED5" w:themeColor="accent4"/>
              </w:rPr>
            </w:pPr>
            <w:r w:rsidRPr="00693784">
              <w:rPr>
                <w:color w:val="0F9ED5" w:themeColor="accent4"/>
              </w:rPr>
              <w:t>Limited air movement in multi-use living spaces</w:t>
            </w:r>
          </w:p>
        </w:tc>
        <w:tc>
          <w:tcPr>
            <w:tcW w:w="0" w:type="auto"/>
            <w:hideMark/>
          </w:tcPr>
          <w:p w14:paraId="3CF5EBC7" w14:textId="77777777" w:rsidR="00693784" w:rsidRPr="00693784" w:rsidRDefault="00693784" w:rsidP="00693784">
            <w:pPr>
              <w:cnfStyle w:val="000000100000" w:firstRow="0" w:lastRow="0" w:firstColumn="0" w:lastColumn="0" w:oddVBand="0" w:evenVBand="0" w:oddHBand="1" w:evenHBand="0" w:firstRowFirstColumn="0" w:firstRowLastColumn="0" w:lastRowFirstColumn="0" w:lastRowLastColumn="0"/>
              <w:rPr>
                <w:color w:val="0F9ED5" w:themeColor="accent4"/>
              </w:rPr>
            </w:pPr>
            <w:r w:rsidRPr="00693784">
              <w:rPr>
                <w:color w:val="0F9ED5" w:themeColor="accent4"/>
              </w:rPr>
              <w:t xml:space="preserve">Reduced comfort, humidity, and </w:t>
            </w:r>
            <w:proofErr w:type="spellStart"/>
            <w:r w:rsidRPr="00693784">
              <w:rPr>
                <w:color w:val="0F9ED5" w:themeColor="accent4"/>
              </w:rPr>
              <w:t>odor</w:t>
            </w:r>
            <w:proofErr w:type="spellEnd"/>
            <w:r w:rsidRPr="00693784">
              <w:rPr>
                <w:color w:val="0F9ED5" w:themeColor="accent4"/>
              </w:rPr>
              <w:t xml:space="preserve"> accumulation</w:t>
            </w:r>
          </w:p>
        </w:tc>
        <w:tc>
          <w:tcPr>
            <w:tcW w:w="0" w:type="auto"/>
            <w:hideMark/>
          </w:tcPr>
          <w:p w14:paraId="4163164C" w14:textId="77777777" w:rsidR="00693784" w:rsidRPr="00693784" w:rsidRDefault="00693784" w:rsidP="00693784">
            <w:pPr>
              <w:cnfStyle w:val="000000100000" w:firstRow="0" w:lastRow="0" w:firstColumn="0" w:lastColumn="0" w:oddVBand="0" w:evenVBand="0" w:oddHBand="1" w:evenHBand="0" w:firstRowFirstColumn="0" w:firstRowLastColumn="0" w:lastRowFirstColumn="0" w:lastRowLastColumn="0"/>
              <w:rPr>
                <w:color w:val="0F9ED5" w:themeColor="accent4"/>
              </w:rPr>
            </w:pPr>
            <w:r w:rsidRPr="00693784">
              <w:rPr>
                <w:color w:val="0F9ED5" w:themeColor="accent4"/>
              </w:rPr>
              <w:t>Advice on improving cross-ventilation and airflow</w:t>
            </w:r>
          </w:p>
        </w:tc>
        <w:tc>
          <w:tcPr>
            <w:tcW w:w="0" w:type="auto"/>
            <w:hideMark/>
          </w:tcPr>
          <w:p w14:paraId="115B35C2" w14:textId="77777777" w:rsidR="00693784" w:rsidRPr="00693784" w:rsidRDefault="00693784" w:rsidP="00693784">
            <w:pPr>
              <w:cnfStyle w:val="000000100000" w:firstRow="0" w:lastRow="0" w:firstColumn="0" w:lastColumn="0" w:oddVBand="0" w:evenVBand="0" w:oddHBand="1" w:evenHBand="0" w:firstRowFirstColumn="0" w:firstRowLastColumn="0" w:lastRowFirstColumn="0" w:lastRowLastColumn="0"/>
              <w:rPr>
                <w:color w:val="0F9ED5" w:themeColor="accent4"/>
              </w:rPr>
            </w:pPr>
            <w:r w:rsidRPr="00693784">
              <w:rPr>
                <w:color w:val="0F9ED5" w:themeColor="accent4"/>
              </w:rPr>
              <w:t>Participants recognized the importance of airflow for comfort and health</w:t>
            </w:r>
          </w:p>
        </w:tc>
      </w:tr>
      <w:tr w:rsidR="00693784" w:rsidRPr="00693784" w14:paraId="5040EBFF" w14:textId="77777777" w:rsidTr="00693784">
        <w:tc>
          <w:tcPr>
            <w:cnfStyle w:val="001000000000" w:firstRow="0" w:lastRow="0" w:firstColumn="1" w:lastColumn="0" w:oddVBand="0" w:evenVBand="0" w:oddHBand="0" w:evenHBand="0" w:firstRowFirstColumn="0" w:firstRowLastColumn="0" w:lastRowFirstColumn="0" w:lastRowLastColumn="0"/>
            <w:tcW w:w="0" w:type="auto"/>
            <w:hideMark/>
          </w:tcPr>
          <w:p w14:paraId="2E3FB17A" w14:textId="77777777" w:rsidR="00693784" w:rsidRPr="00693784" w:rsidRDefault="00693784" w:rsidP="00693784">
            <w:pPr>
              <w:rPr>
                <w:color w:val="0F9ED5" w:themeColor="accent4"/>
              </w:rPr>
            </w:pPr>
            <w:r w:rsidRPr="00693784">
              <w:rPr>
                <w:color w:val="0F9ED5" w:themeColor="accent4"/>
              </w:rPr>
              <w:t>Spatial zoning</w:t>
            </w:r>
          </w:p>
        </w:tc>
        <w:tc>
          <w:tcPr>
            <w:tcW w:w="0" w:type="auto"/>
            <w:hideMark/>
          </w:tcPr>
          <w:p w14:paraId="5C886D82" w14:textId="77777777" w:rsidR="00693784" w:rsidRPr="00693784" w:rsidRDefault="00693784" w:rsidP="00693784">
            <w:pPr>
              <w:cnfStyle w:val="000000000000" w:firstRow="0" w:lastRow="0" w:firstColumn="0" w:lastColumn="0" w:oddVBand="0" w:evenVBand="0" w:oddHBand="0" w:evenHBand="0" w:firstRowFirstColumn="0" w:firstRowLastColumn="0" w:lastRowFirstColumn="0" w:lastRowLastColumn="0"/>
              <w:rPr>
                <w:color w:val="0F9ED5" w:themeColor="accent4"/>
              </w:rPr>
            </w:pPr>
            <w:r w:rsidRPr="00693784">
              <w:rPr>
                <w:color w:val="0F9ED5" w:themeColor="accent4"/>
              </w:rPr>
              <w:t>Weak separation between clean and service areas</w:t>
            </w:r>
          </w:p>
        </w:tc>
        <w:tc>
          <w:tcPr>
            <w:tcW w:w="0" w:type="auto"/>
            <w:hideMark/>
          </w:tcPr>
          <w:p w14:paraId="78DE0C69" w14:textId="77777777" w:rsidR="00693784" w:rsidRPr="00693784" w:rsidRDefault="00693784" w:rsidP="00693784">
            <w:pPr>
              <w:cnfStyle w:val="000000000000" w:firstRow="0" w:lastRow="0" w:firstColumn="0" w:lastColumn="0" w:oddVBand="0" w:evenVBand="0" w:oddHBand="0" w:evenHBand="0" w:firstRowFirstColumn="0" w:firstRowLastColumn="0" w:lastRowFirstColumn="0" w:lastRowLastColumn="0"/>
              <w:rPr>
                <w:color w:val="0F9ED5" w:themeColor="accent4"/>
              </w:rPr>
            </w:pPr>
            <w:r w:rsidRPr="00693784">
              <w:rPr>
                <w:color w:val="0F9ED5" w:themeColor="accent4"/>
              </w:rPr>
              <w:t>Hygiene risk and overlap of domestic and work-related activities</w:t>
            </w:r>
          </w:p>
        </w:tc>
        <w:tc>
          <w:tcPr>
            <w:tcW w:w="0" w:type="auto"/>
            <w:hideMark/>
          </w:tcPr>
          <w:p w14:paraId="798EFF78" w14:textId="77777777" w:rsidR="00693784" w:rsidRPr="00693784" w:rsidRDefault="00693784" w:rsidP="00693784">
            <w:pPr>
              <w:cnfStyle w:val="000000000000" w:firstRow="0" w:lastRow="0" w:firstColumn="0" w:lastColumn="0" w:oddVBand="0" w:evenVBand="0" w:oddHBand="0" w:evenHBand="0" w:firstRowFirstColumn="0" w:firstRowLastColumn="0" w:lastRowFirstColumn="0" w:lastRowLastColumn="0"/>
              <w:rPr>
                <w:color w:val="0F9ED5" w:themeColor="accent4"/>
              </w:rPr>
            </w:pPr>
            <w:r w:rsidRPr="00693784">
              <w:rPr>
                <w:color w:val="0F9ED5" w:themeColor="accent4"/>
              </w:rPr>
              <w:t>Guidance on clearer functional separation</w:t>
            </w:r>
          </w:p>
        </w:tc>
        <w:tc>
          <w:tcPr>
            <w:tcW w:w="0" w:type="auto"/>
            <w:hideMark/>
          </w:tcPr>
          <w:p w14:paraId="7DEB8B03" w14:textId="77777777" w:rsidR="00693784" w:rsidRPr="00693784" w:rsidRDefault="00693784" w:rsidP="00693784">
            <w:pPr>
              <w:cnfStyle w:val="000000000000" w:firstRow="0" w:lastRow="0" w:firstColumn="0" w:lastColumn="0" w:oddVBand="0" w:evenVBand="0" w:oddHBand="0" w:evenHBand="0" w:firstRowFirstColumn="0" w:firstRowLastColumn="0" w:lastRowFirstColumn="0" w:lastRowLastColumn="0"/>
              <w:rPr>
                <w:color w:val="0F9ED5" w:themeColor="accent4"/>
              </w:rPr>
            </w:pPr>
            <w:r w:rsidRPr="00693784">
              <w:rPr>
                <w:color w:val="0F9ED5" w:themeColor="accent4"/>
              </w:rPr>
              <w:t>Participants showed better understanding of cleaner spatial arrangement</w:t>
            </w:r>
          </w:p>
        </w:tc>
      </w:tr>
      <w:tr w:rsidR="00693784" w:rsidRPr="00693784" w14:paraId="5195D780" w14:textId="77777777" w:rsidTr="006937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5AA83DB" w14:textId="77777777" w:rsidR="00693784" w:rsidRPr="00693784" w:rsidRDefault="00693784" w:rsidP="00693784">
            <w:pPr>
              <w:rPr>
                <w:color w:val="0F9ED5" w:themeColor="accent4"/>
              </w:rPr>
            </w:pPr>
            <w:r w:rsidRPr="00693784">
              <w:rPr>
                <w:color w:val="0F9ED5" w:themeColor="accent4"/>
              </w:rPr>
              <w:t>Storage organization</w:t>
            </w:r>
          </w:p>
        </w:tc>
        <w:tc>
          <w:tcPr>
            <w:tcW w:w="0" w:type="auto"/>
            <w:hideMark/>
          </w:tcPr>
          <w:p w14:paraId="599149D0" w14:textId="77777777" w:rsidR="00693784" w:rsidRPr="00693784" w:rsidRDefault="00693784" w:rsidP="00693784">
            <w:pPr>
              <w:cnfStyle w:val="000000100000" w:firstRow="0" w:lastRow="0" w:firstColumn="0" w:lastColumn="0" w:oddVBand="0" w:evenVBand="0" w:oddHBand="1" w:evenHBand="0" w:firstRowFirstColumn="0" w:firstRowLastColumn="0" w:lastRowFirstColumn="0" w:lastRowLastColumn="0"/>
              <w:rPr>
                <w:color w:val="0F9ED5" w:themeColor="accent4"/>
              </w:rPr>
            </w:pPr>
            <w:r w:rsidRPr="00693784">
              <w:rPr>
                <w:color w:val="0F9ED5" w:themeColor="accent4"/>
              </w:rPr>
              <w:t>Congested storage in limited spaces</w:t>
            </w:r>
          </w:p>
        </w:tc>
        <w:tc>
          <w:tcPr>
            <w:tcW w:w="0" w:type="auto"/>
            <w:hideMark/>
          </w:tcPr>
          <w:p w14:paraId="35C9A7ED" w14:textId="77777777" w:rsidR="00693784" w:rsidRPr="00693784" w:rsidRDefault="00693784" w:rsidP="00693784">
            <w:pPr>
              <w:cnfStyle w:val="000000100000" w:firstRow="0" w:lastRow="0" w:firstColumn="0" w:lastColumn="0" w:oddVBand="0" w:evenVBand="0" w:oddHBand="1" w:evenHBand="0" w:firstRowFirstColumn="0" w:firstRowLastColumn="0" w:lastRowFirstColumn="0" w:lastRowLastColumn="0"/>
              <w:rPr>
                <w:color w:val="0F9ED5" w:themeColor="accent4"/>
              </w:rPr>
            </w:pPr>
            <w:r w:rsidRPr="00693784">
              <w:rPr>
                <w:color w:val="0F9ED5" w:themeColor="accent4"/>
              </w:rPr>
              <w:t>Cluttered environment and reduced usability</w:t>
            </w:r>
          </w:p>
        </w:tc>
        <w:tc>
          <w:tcPr>
            <w:tcW w:w="0" w:type="auto"/>
            <w:hideMark/>
          </w:tcPr>
          <w:p w14:paraId="143BF023" w14:textId="77777777" w:rsidR="00693784" w:rsidRPr="00693784" w:rsidRDefault="00693784" w:rsidP="00693784">
            <w:pPr>
              <w:cnfStyle w:val="000000100000" w:firstRow="0" w:lastRow="0" w:firstColumn="0" w:lastColumn="0" w:oddVBand="0" w:evenVBand="0" w:oddHBand="1" w:evenHBand="0" w:firstRowFirstColumn="0" w:firstRowLastColumn="0" w:lastRowFirstColumn="0" w:lastRowLastColumn="0"/>
              <w:rPr>
                <w:color w:val="0F9ED5" w:themeColor="accent4"/>
              </w:rPr>
            </w:pPr>
            <w:r w:rsidRPr="00693784">
              <w:rPr>
                <w:color w:val="0F9ED5" w:themeColor="accent4"/>
              </w:rPr>
              <w:t>Suggestions for reorganizing storage more efficiently</w:t>
            </w:r>
          </w:p>
        </w:tc>
        <w:tc>
          <w:tcPr>
            <w:tcW w:w="0" w:type="auto"/>
            <w:hideMark/>
          </w:tcPr>
          <w:p w14:paraId="5A783BAA" w14:textId="77777777" w:rsidR="00693784" w:rsidRPr="00693784" w:rsidRDefault="00693784" w:rsidP="00693784">
            <w:pPr>
              <w:cnfStyle w:val="000000100000" w:firstRow="0" w:lastRow="0" w:firstColumn="0" w:lastColumn="0" w:oddVBand="0" w:evenVBand="0" w:oddHBand="1" w:evenHBand="0" w:firstRowFirstColumn="0" w:firstRowLastColumn="0" w:lastRowFirstColumn="0" w:lastRowLastColumn="0"/>
              <w:rPr>
                <w:color w:val="0F9ED5" w:themeColor="accent4"/>
              </w:rPr>
            </w:pPr>
            <w:r w:rsidRPr="00693784">
              <w:rPr>
                <w:color w:val="0F9ED5" w:themeColor="accent4"/>
              </w:rPr>
              <w:t>Participants considered the recommendations practical and feasible</w:t>
            </w:r>
          </w:p>
        </w:tc>
      </w:tr>
      <w:tr w:rsidR="00693784" w:rsidRPr="00693784" w14:paraId="7AA9C447" w14:textId="77777777" w:rsidTr="00693784">
        <w:tc>
          <w:tcPr>
            <w:cnfStyle w:val="001000000000" w:firstRow="0" w:lastRow="0" w:firstColumn="1" w:lastColumn="0" w:oddVBand="0" w:evenVBand="0" w:oddHBand="0" w:evenHBand="0" w:firstRowFirstColumn="0" w:firstRowLastColumn="0" w:lastRowFirstColumn="0" w:lastRowLastColumn="0"/>
            <w:tcW w:w="0" w:type="auto"/>
            <w:hideMark/>
          </w:tcPr>
          <w:p w14:paraId="7C79352B" w14:textId="77777777" w:rsidR="00693784" w:rsidRPr="00693784" w:rsidRDefault="00693784" w:rsidP="00693784">
            <w:pPr>
              <w:rPr>
                <w:color w:val="0F9ED5" w:themeColor="accent4"/>
              </w:rPr>
            </w:pPr>
            <w:r w:rsidRPr="00693784">
              <w:rPr>
                <w:color w:val="0F9ED5" w:themeColor="accent4"/>
              </w:rPr>
              <w:t>Circulation safety</w:t>
            </w:r>
          </w:p>
        </w:tc>
        <w:tc>
          <w:tcPr>
            <w:tcW w:w="0" w:type="auto"/>
            <w:hideMark/>
          </w:tcPr>
          <w:p w14:paraId="50F9B37F" w14:textId="77777777" w:rsidR="00693784" w:rsidRPr="00693784" w:rsidRDefault="00693784" w:rsidP="00693784">
            <w:pPr>
              <w:cnfStyle w:val="000000000000" w:firstRow="0" w:lastRow="0" w:firstColumn="0" w:lastColumn="0" w:oddVBand="0" w:evenVBand="0" w:oddHBand="0" w:evenHBand="0" w:firstRowFirstColumn="0" w:firstRowLastColumn="0" w:lastRowFirstColumn="0" w:lastRowLastColumn="0"/>
              <w:rPr>
                <w:color w:val="0F9ED5" w:themeColor="accent4"/>
              </w:rPr>
            </w:pPr>
            <w:r w:rsidRPr="00693784">
              <w:rPr>
                <w:color w:val="0F9ED5" w:themeColor="accent4"/>
              </w:rPr>
              <w:t>Narrow or obstructed movement paths</w:t>
            </w:r>
          </w:p>
        </w:tc>
        <w:tc>
          <w:tcPr>
            <w:tcW w:w="0" w:type="auto"/>
            <w:hideMark/>
          </w:tcPr>
          <w:p w14:paraId="1667F92A" w14:textId="77777777" w:rsidR="00693784" w:rsidRPr="00693784" w:rsidRDefault="00693784" w:rsidP="00693784">
            <w:pPr>
              <w:cnfStyle w:val="000000000000" w:firstRow="0" w:lastRow="0" w:firstColumn="0" w:lastColumn="0" w:oddVBand="0" w:evenVBand="0" w:oddHBand="0" w:evenHBand="0" w:firstRowFirstColumn="0" w:firstRowLastColumn="0" w:lastRowFirstColumn="0" w:lastRowLastColumn="0"/>
              <w:rPr>
                <w:color w:val="0F9ED5" w:themeColor="accent4"/>
              </w:rPr>
            </w:pPr>
            <w:r w:rsidRPr="00693784">
              <w:rPr>
                <w:color w:val="0F9ED5" w:themeColor="accent4"/>
              </w:rPr>
              <w:t>Less safe movement for adults and children</w:t>
            </w:r>
          </w:p>
        </w:tc>
        <w:tc>
          <w:tcPr>
            <w:tcW w:w="0" w:type="auto"/>
            <w:hideMark/>
          </w:tcPr>
          <w:p w14:paraId="2DCE748F" w14:textId="77777777" w:rsidR="00693784" w:rsidRPr="00693784" w:rsidRDefault="00693784" w:rsidP="00693784">
            <w:pPr>
              <w:cnfStyle w:val="000000000000" w:firstRow="0" w:lastRow="0" w:firstColumn="0" w:lastColumn="0" w:oddVBand="0" w:evenVBand="0" w:oddHBand="0" w:evenHBand="0" w:firstRowFirstColumn="0" w:firstRowLastColumn="0" w:lastRowFirstColumn="0" w:lastRowLastColumn="0"/>
              <w:rPr>
                <w:color w:val="0F9ED5" w:themeColor="accent4"/>
              </w:rPr>
            </w:pPr>
            <w:r w:rsidRPr="00693784">
              <w:rPr>
                <w:color w:val="0F9ED5" w:themeColor="accent4"/>
              </w:rPr>
              <w:t>Advice on clarifying circulation routes</w:t>
            </w:r>
          </w:p>
        </w:tc>
        <w:tc>
          <w:tcPr>
            <w:tcW w:w="0" w:type="auto"/>
            <w:hideMark/>
          </w:tcPr>
          <w:p w14:paraId="645A638B" w14:textId="77777777" w:rsidR="00693784" w:rsidRPr="00693784" w:rsidRDefault="00693784" w:rsidP="00693784">
            <w:pPr>
              <w:cnfStyle w:val="000000000000" w:firstRow="0" w:lastRow="0" w:firstColumn="0" w:lastColumn="0" w:oddVBand="0" w:evenVBand="0" w:oddHBand="0" w:evenHBand="0" w:firstRowFirstColumn="0" w:firstRowLastColumn="0" w:lastRowFirstColumn="0" w:lastRowLastColumn="0"/>
              <w:rPr>
                <w:color w:val="0F9ED5" w:themeColor="accent4"/>
              </w:rPr>
            </w:pPr>
            <w:r w:rsidRPr="00693784">
              <w:rPr>
                <w:color w:val="0F9ED5" w:themeColor="accent4"/>
              </w:rPr>
              <w:t>Participants acknowledged the need for safer internal movement</w:t>
            </w:r>
          </w:p>
        </w:tc>
      </w:tr>
      <w:tr w:rsidR="00693784" w:rsidRPr="00693784" w14:paraId="0182E4CF" w14:textId="77777777" w:rsidTr="006937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DDBD080" w14:textId="77777777" w:rsidR="00693784" w:rsidRPr="00693784" w:rsidRDefault="00693784" w:rsidP="00693784">
            <w:pPr>
              <w:rPr>
                <w:color w:val="0F9ED5" w:themeColor="accent4"/>
              </w:rPr>
            </w:pPr>
            <w:r w:rsidRPr="00693784">
              <w:rPr>
                <w:color w:val="0F9ED5" w:themeColor="accent4"/>
              </w:rPr>
              <w:t>Sanitation and waste handling</w:t>
            </w:r>
          </w:p>
        </w:tc>
        <w:tc>
          <w:tcPr>
            <w:tcW w:w="0" w:type="auto"/>
            <w:hideMark/>
          </w:tcPr>
          <w:p w14:paraId="54DAB051" w14:textId="77777777" w:rsidR="00693784" w:rsidRPr="00693784" w:rsidRDefault="00693784" w:rsidP="00693784">
            <w:pPr>
              <w:cnfStyle w:val="000000100000" w:firstRow="0" w:lastRow="0" w:firstColumn="0" w:lastColumn="0" w:oddVBand="0" w:evenVBand="0" w:oddHBand="1" w:evenHBand="0" w:firstRowFirstColumn="0" w:firstRowLastColumn="0" w:lastRowFirstColumn="0" w:lastRowLastColumn="0"/>
              <w:rPr>
                <w:color w:val="0F9ED5" w:themeColor="accent4"/>
              </w:rPr>
            </w:pPr>
            <w:r w:rsidRPr="00693784">
              <w:rPr>
                <w:color w:val="0F9ED5" w:themeColor="accent4"/>
              </w:rPr>
              <w:t>Inconsistent waste placement and service-area management</w:t>
            </w:r>
          </w:p>
        </w:tc>
        <w:tc>
          <w:tcPr>
            <w:tcW w:w="0" w:type="auto"/>
            <w:hideMark/>
          </w:tcPr>
          <w:p w14:paraId="64AAE9E4" w14:textId="77777777" w:rsidR="00693784" w:rsidRPr="00693784" w:rsidRDefault="00693784" w:rsidP="00693784">
            <w:pPr>
              <w:cnfStyle w:val="000000100000" w:firstRow="0" w:lastRow="0" w:firstColumn="0" w:lastColumn="0" w:oddVBand="0" w:evenVBand="0" w:oddHBand="1" w:evenHBand="0" w:firstRowFirstColumn="0" w:firstRowLastColumn="0" w:lastRowFirstColumn="0" w:lastRowLastColumn="0"/>
              <w:rPr>
                <w:color w:val="0F9ED5" w:themeColor="accent4"/>
              </w:rPr>
            </w:pPr>
            <w:r w:rsidRPr="00693784">
              <w:rPr>
                <w:color w:val="0F9ED5" w:themeColor="accent4"/>
              </w:rPr>
              <w:t>Lower hygiene quality in everyday living</w:t>
            </w:r>
          </w:p>
        </w:tc>
        <w:tc>
          <w:tcPr>
            <w:tcW w:w="0" w:type="auto"/>
            <w:hideMark/>
          </w:tcPr>
          <w:p w14:paraId="0BDBC133" w14:textId="77777777" w:rsidR="00693784" w:rsidRPr="00693784" w:rsidRDefault="00693784" w:rsidP="00693784">
            <w:pPr>
              <w:cnfStyle w:val="000000100000" w:firstRow="0" w:lastRow="0" w:firstColumn="0" w:lastColumn="0" w:oddVBand="0" w:evenVBand="0" w:oddHBand="1" w:evenHBand="0" w:firstRowFirstColumn="0" w:firstRowLastColumn="0" w:lastRowFirstColumn="0" w:lastRowLastColumn="0"/>
              <w:rPr>
                <w:color w:val="0F9ED5" w:themeColor="accent4"/>
              </w:rPr>
            </w:pPr>
            <w:r w:rsidRPr="00693784">
              <w:rPr>
                <w:color w:val="0F9ED5" w:themeColor="accent4"/>
              </w:rPr>
              <w:t>Guidance on waste handling and service-area improvement</w:t>
            </w:r>
          </w:p>
        </w:tc>
        <w:tc>
          <w:tcPr>
            <w:tcW w:w="0" w:type="auto"/>
            <w:hideMark/>
          </w:tcPr>
          <w:p w14:paraId="088F6E30" w14:textId="77777777" w:rsidR="00693784" w:rsidRPr="00693784" w:rsidRDefault="00693784" w:rsidP="00693784">
            <w:pPr>
              <w:cnfStyle w:val="000000100000" w:firstRow="0" w:lastRow="0" w:firstColumn="0" w:lastColumn="0" w:oddVBand="0" w:evenVBand="0" w:oddHBand="1" w:evenHBand="0" w:firstRowFirstColumn="0" w:firstRowLastColumn="0" w:lastRowFirstColumn="0" w:lastRowLastColumn="0"/>
              <w:rPr>
                <w:color w:val="0F9ED5" w:themeColor="accent4"/>
              </w:rPr>
            </w:pPr>
            <w:r w:rsidRPr="00693784">
              <w:rPr>
                <w:color w:val="0F9ED5" w:themeColor="accent4"/>
              </w:rPr>
              <w:t>Participants responded positively to simple hygiene-oriented adjustments</w:t>
            </w:r>
          </w:p>
        </w:tc>
      </w:tr>
    </w:tbl>
    <w:p w14:paraId="4C91B1E4" w14:textId="21D795F3" w:rsidR="001949B7" w:rsidRDefault="001949B7" w:rsidP="00693784">
      <w:pPr>
        <w:jc w:val="both"/>
      </w:pPr>
      <w:r w:rsidRPr="001949B7">
        <w:rPr>
          <w:color w:val="45B0E1" w:themeColor="accent1" w:themeTint="99"/>
        </w:rPr>
        <w:lastRenderedPageBreak/>
        <w:t xml:space="preserve">Table 1 summarizes the main environmental issues identified during field observation and links them with their practical implications for family life, the guidance delivered through the program, and the immediate responses from participants. The table shows that the living environments of </w:t>
      </w:r>
      <w:proofErr w:type="spellStart"/>
      <w:r w:rsidRPr="001949B7">
        <w:rPr>
          <w:color w:val="45B0E1" w:themeColor="accent1" w:themeTint="99"/>
        </w:rPr>
        <w:t>Minang</w:t>
      </w:r>
      <w:proofErr w:type="spellEnd"/>
      <w:r w:rsidRPr="001949B7">
        <w:rPr>
          <w:color w:val="45B0E1" w:themeColor="accent1" w:themeTint="99"/>
        </w:rPr>
        <w:t xml:space="preserve"> migrant entrepreneur families were shaped by overlapping domestic and work-related functions, which affected ventilation, hygiene, storage, circulation, and spatial order. It also demonstrates that participants responded positively to simple and feasible recommendations, particularly those related to airflow, cleaner zoning, storage reorganization, safer circulation, and waste management. These results suggest that even modest, low-cost spatial adjustments can support healthier daily practices when they are adapted to the realities of migrant household conditions.</w:t>
      </w:r>
    </w:p>
    <w:p w14:paraId="24607706" w14:textId="77777777" w:rsidR="00693784" w:rsidRDefault="00693784" w:rsidP="00D61DF5">
      <w:pPr>
        <w:jc w:val="both"/>
        <w:rPr>
          <w:b/>
          <w:bCs/>
          <w:sz w:val="28"/>
          <w:szCs w:val="28"/>
        </w:rPr>
      </w:pPr>
    </w:p>
    <w:p w14:paraId="2E7D4AE7" w14:textId="60499866" w:rsidR="00D61DF5" w:rsidRPr="00D61DF5" w:rsidRDefault="00D61DF5" w:rsidP="00D61DF5">
      <w:pPr>
        <w:jc w:val="both"/>
        <w:rPr>
          <w:b/>
          <w:bCs/>
          <w:sz w:val="28"/>
          <w:szCs w:val="28"/>
        </w:rPr>
      </w:pPr>
      <w:r w:rsidRPr="00D61DF5">
        <w:rPr>
          <w:b/>
          <w:bCs/>
          <w:sz w:val="28"/>
          <w:szCs w:val="28"/>
        </w:rPr>
        <w:t>DISCUSSION</w:t>
      </w:r>
    </w:p>
    <w:p w14:paraId="082B73F0" w14:textId="77777777" w:rsidR="00B81706" w:rsidRDefault="00B81706" w:rsidP="00B81706">
      <w:pPr>
        <w:jc w:val="both"/>
        <w:rPr>
          <w:b/>
          <w:bCs/>
        </w:rPr>
      </w:pPr>
    </w:p>
    <w:p w14:paraId="33573672" w14:textId="03648044" w:rsidR="00B81706" w:rsidRDefault="00136845" w:rsidP="00B81706">
      <w:pPr>
        <w:jc w:val="both"/>
      </w:pPr>
      <w:r w:rsidRPr="00136845">
        <w:rPr>
          <w:color w:val="45B0E1" w:themeColor="accent1" w:themeTint="99"/>
        </w:rPr>
        <w:t xml:space="preserve">The findings of this community service activity indicate that the living environments of </w:t>
      </w:r>
      <w:proofErr w:type="spellStart"/>
      <w:r w:rsidRPr="00136845">
        <w:rPr>
          <w:color w:val="45B0E1" w:themeColor="accent1" w:themeTint="99"/>
        </w:rPr>
        <w:t>Minang</w:t>
      </w:r>
      <w:proofErr w:type="spellEnd"/>
      <w:r w:rsidRPr="00136845">
        <w:rPr>
          <w:color w:val="45B0E1" w:themeColor="accent1" w:themeTint="99"/>
        </w:rPr>
        <w:t xml:space="preserve"> migrant entrepreneur families in Kuala Lumpur should be understood as hybrid domestic-work settings rather than as conventional residential spaces. As summarized in Table 1, the main issues identified during the field activity were limited ventilation, weak separation between clean and service areas, storage congestion, constrained circulation, and sanitation-related concerns. These conditions were closely linked to the overlap between household life and restaurant-related support functions, showing that the quality of everyday living cannot be separated from the spatial pressures created by livelihood activities. This interpretation is consistent with studies on home-based work, which show that domestic environments often absorb productive functions when families rely on flexible and family-based economic strategies</w:t>
      </w:r>
      <w:r w:rsidR="000B05FF">
        <w:t xml:space="preserve"> </w:t>
      </w:r>
      <w:r w:rsidR="000B05FF">
        <w:fldChar w:fldCharType="begin"/>
      </w:r>
      <w:r w:rsidR="001B3A62">
        <w:instrText xml:space="preserve"> ADDIN ZOTERO_ITEM CSL_CITATION {"citationID":"boK43tHg","properties":{"formattedCitation":"(Wagemann et al., 2024)","plainCitation":"(Wagemann et al., 2024)","noteIndex":0},"citationItems":[{"id":20308,"uris":["http://zotero.org/users/1011003/items/YQTE5S29"],"itemData":{"id":20308,"type":"article-journal","abstract":"For many low-income households in the Global South a house is both a place to live and to generate income in the formal or informal economy. This can include activities in and around the home such as: running small shops selling daily necessities; producing food or crafts; repairing household items; providing services; or growing crops and raising animals. For many households home-based work (HBW) is their main source of income. It is particularly important for people who are more likely to be excluded from formal employment outside the home (such as women, elderly and/or disabled people). The aim of this article is to provide an overview of research on HBW through a scoping review to find research gaps and relevant aspects to study in the future. With a focus on Latin America and the Caribbean, 12 studies published since 2000 were selected for further study. We identified several characteristics of ‘supportive housing and settlements’ which make households more likely to engage in HBW and proposed a model of the symbiotic relationship between housing and HBW. We discuss the implications of our findings for development and humanitarian contexts, make recommendations for policy and practice, and suggest topics for further research.","container-title":"Cities","DOI":"10.1016/j.cities.2024.104833","ISSN":"0264-2751","journalAbbreviation":"Cities","page":"104833","source":"ScienceDirect","title":"Housing and home-based work: Considerations for development and humanitarian contexts","title-short":"Housing and home-based work","URL":"https://www.sciencedirect.com/science/article/pii/S0264275124000477","volume":"147","author":[{"family":"Wagemann","given":"Elizabeth"},{"family":"Maynard","given":"Victoria"},{"family":"Simons","given":"Beth"}],"accessed":{"date-parts":[["2026",4,15]]},"issued":{"date-parts":[["2024",4,1]]}}}],"schema":"https://github.com/citation-style-language/schema/raw/master/csl-citation.json"} </w:instrText>
      </w:r>
      <w:r w:rsidR="000B05FF">
        <w:fldChar w:fldCharType="separate"/>
      </w:r>
      <w:r w:rsidR="001B3A62">
        <w:rPr>
          <w:noProof/>
        </w:rPr>
        <w:t>(Wagemann et al., 2024)</w:t>
      </w:r>
      <w:r w:rsidR="000B05FF">
        <w:fldChar w:fldCharType="end"/>
      </w:r>
      <w:r w:rsidR="00B81706" w:rsidRPr="00B81706">
        <w:t xml:space="preserve">. </w:t>
      </w:r>
    </w:p>
    <w:p w14:paraId="0BDFEF7E" w14:textId="77777777" w:rsidR="00B81706" w:rsidRPr="00B81706" w:rsidRDefault="00B81706" w:rsidP="00B81706">
      <w:pPr>
        <w:jc w:val="both"/>
      </w:pPr>
    </w:p>
    <w:p w14:paraId="33D07CBC" w14:textId="7161EB84" w:rsidR="00B81706" w:rsidRPr="00B81706" w:rsidRDefault="00136845" w:rsidP="00B81706">
      <w:pPr>
        <w:jc w:val="both"/>
      </w:pPr>
      <w:r w:rsidRPr="00136845">
        <w:t xml:space="preserve">The results also reinforce the argument that family health in migrant communities is spatially mediated. The issues identified in Table 1 were not merely technical deficiencies in the built environment, but environmental conditions that shaped comfort, hygiene, safety, and the manageability of daily routines. Limited airflow affected thermal comfort and freshness of indoor space, while poor zoning between clean and service areas increased the risk of disorder in domestic management. Congested storage and unclear circulation reduced the usability and safety of the home, particularly in settings where several functions were carried out simultaneously. These observations support broader literature on healthy housing, which emphasizes that ventilation, sanitation, indoor environmental quality, and spatial safety are fundamental to well-being and health </w:t>
      </w:r>
      <w:r w:rsidR="000B05FF">
        <w:t xml:space="preserve"> </w:t>
      </w:r>
      <w:r w:rsidR="000B05FF">
        <w:fldChar w:fldCharType="begin"/>
      </w:r>
      <w:r w:rsidR="001B3A62">
        <w:instrText xml:space="preserve"> ADDIN ZOTERO_ITEM CSL_CITATION {"citationID":"2Z6syi9n","properties":{"formattedCitation":"(World Health Organization et al., 2018)","plainCitation":"(World Health Organization et al., 2018)","noteIndex":0},"citationItems":[{"id":20329,"uris":["http://zotero.org/users/1011003/items/8W4KGNUI"],"itemData":{"id":20329,"type":"book","abstract":"Improved housing conditions can save lives, prevent disease, increase quality of life, reduce poverty, and help mitigate climate change. Housing is becoming increasingly important to health in light of urban growth, ageing populations and climate change. The WHO Housing and health guidelines bring together the most recent evidence to provide practical recommendations to reduce the health burden due to unsafe and substandard housing. Based on newly commissioned systematic reviews, the guidelines provide recommendations relevant to inadequate living space (crowding), low and high indoor temperatures, injury hazards in the home, and accessibility of housing for people with functional impairments. In addition, the guidelines identify and summarize existing WHO guidelines and recommendations related to housing, with respect to water quality, air quality, neighbourhood noise, asbestos, lead, tobacco smoke and radon. The guidelines take a comprehensive, intersectoral perspective on the issue of housing and health and highlight co-benefits of interventions addressing several risk factors at the same time. The WHO Housing and health guidelines aim at informing housing policies and regulations at the national, regional and local level and are further relevant in the daily activities of implementing actors who are directly involved in the construction, maintenance and demolition of housing in ways that influence human health and safety. The guidelines therefore emphasize the importance of collaboration between the health and other sectors and joint efforts across all government levels to promote healthy housing. The guidelines' implementation at country-level will in particular contribute to the achievement of the Sustainable Development Goals on health (SDG 3) and sustainable cities (SDG 11). WHO will support Member States in adapting the guidelines to national contexts and priorities to ensure safe and healthy housing for all","ISBN":"978-92-4-155037-6","language":"en","number-of-pages":"1","publisher":"World Health Organization","publisher-place":"Geneva, Switzerland","source":"K10plus ISBN","title":"WHO housing and health guidelines","editor":[{"literal":"World Health Organization"},{"literal":"United States"},{"literal":"France"},{"literal":"United States"}],"issued":{"date-parts":[["2018"]]}}}],"schema":"https://github.com/citation-style-language/schema/raw/master/csl-citation.json"} </w:instrText>
      </w:r>
      <w:r w:rsidR="000B05FF">
        <w:fldChar w:fldCharType="separate"/>
      </w:r>
      <w:r w:rsidR="001B3A62">
        <w:rPr>
          <w:noProof/>
        </w:rPr>
        <w:t>(World Health Organization et al., 2018)</w:t>
      </w:r>
      <w:r w:rsidR="000B05FF">
        <w:fldChar w:fldCharType="end"/>
      </w:r>
      <w:r w:rsidR="00B81706" w:rsidRPr="00B81706">
        <w:t xml:space="preserve">. </w:t>
      </w:r>
    </w:p>
    <w:p w14:paraId="1DDC0673" w14:textId="77777777" w:rsidR="00B81706" w:rsidRPr="00B81706" w:rsidRDefault="00B81706" w:rsidP="00B81706">
      <w:pPr>
        <w:jc w:val="both"/>
      </w:pPr>
    </w:p>
    <w:p w14:paraId="604DF4CD" w14:textId="32CE317C" w:rsidR="00B81706" w:rsidRPr="00B81706" w:rsidRDefault="00136845" w:rsidP="00B81706">
      <w:pPr>
        <w:jc w:val="both"/>
      </w:pPr>
      <w:r w:rsidRPr="00136845">
        <w:t xml:space="preserve">At the same time, the spatial conditions observed in this community should not be interpreted only as signs of inadequacy. They also reflect forms of adaptation under constrained circumstances. For migrant families living in rented or limited spaces, domestic environments must accommodate both livelihood and family care, often through incremental and improvised arrangements. From this perspective, the overlap between residence and work is not simply a design problem, but a practical response to economic necessity, limited control over space, and the demands of everyday survival. This reading is important because it shifts the discussion away from idealized housing standards and toward a more grounded understanding of how migrant households negotiate spatial limitations in real life </w:t>
      </w:r>
      <w:r w:rsidR="000B05FF">
        <w:t xml:space="preserve"> </w:t>
      </w:r>
      <w:r w:rsidR="000B05FF">
        <w:fldChar w:fldCharType="begin"/>
      </w:r>
      <w:r w:rsidR="001B3A62">
        <w:instrText xml:space="preserve"> ADDIN ZOTERO_ITEM CSL_CITATION {"citationID":"AhEovvsl","properties":{"formattedCitation":"(Al horr et al., 2016)","plainCitation":"(Al horr et al., 2016)","noteIndex":0},"citationItems":[{"id":20339,"uris":["http://zotero.org/users/1011003/items/MCXR8DJS"],"itemData":{"id":20339,"type":"article-journal","abstract":"Indoor environmental quality (IEQ) and its effect on occupant well-being and comfort is an important area of study. This paper presents a state of the art study through extensive review of the literature, by establishing links between IEQs and occupant well-being and comfort. A range of issues such as sick building syndrome, indoor air quality thermal comfort, visual comfort and acoustic comfort are considered in this paper. The complexity of the relationship between occupant comfort and well-being parameters with IEQ are further exacerbated due to relationships that these parameters have with each other as well. Based on the review of literature in these areas it is established that design of buildings needs to consider occupant well-being parameters right at the beginning. Some good practices in all these different areas have also been highlighted and documented in this paper. The knowledge established as part of this paper would be helpful for researchers, designer, engineers and facilities maintenance engineers. This paper will also be of great benefit to researchers who endeavour to undertake research in this area and could act as a good starting point for them.","container-title":"International Journal of Sustainable Built Environment","DOI":"10.1016/j.ijsbe.2016.03.006","ISSN":"2212-6090","issue":"1","journalAbbreviation":"International Journal of Sustainable Built Environment","page":"1-11","source":"ScienceDirect","title":"Impact of indoor environmental quality on occupant well-being and comfort: A review of the literature","title-short":"Impact of indoor environmental quality on occupant well-being and comfort","URL":"https://www.sciencedirect.com/science/article/pii/S2212609016300140","volume":"5","author":[{"family":"Al horr","given":"Yousef"},{"family":"Arif","given":"Mohammed"},{"family":"Katafygiotou","given":"Martha"},{"family":"Mazroei","given":"Ahmed"},{"family":"Kaushik","given":"Amit"},{"family":"Elsarrag","given":"Esam"}],"accessed":{"date-parts":[["2026",4,16]]},"issued":{"date-parts":[["2016",6,1]]}}}],"schema":"https://github.com/citation-style-language/schema/raw/master/csl-citation.json"} </w:instrText>
      </w:r>
      <w:r w:rsidR="000B05FF">
        <w:fldChar w:fldCharType="separate"/>
      </w:r>
      <w:r w:rsidR="001B3A62">
        <w:rPr>
          <w:noProof/>
        </w:rPr>
        <w:t>(Al horr et al., 2016)</w:t>
      </w:r>
      <w:r w:rsidR="000B05FF">
        <w:fldChar w:fldCharType="end"/>
      </w:r>
      <w:r w:rsidR="00B81706" w:rsidRPr="00B81706">
        <w:t xml:space="preserve">. </w:t>
      </w:r>
    </w:p>
    <w:p w14:paraId="4445A546" w14:textId="77777777" w:rsidR="00B81706" w:rsidRPr="00B81706" w:rsidRDefault="00B81706" w:rsidP="00B81706">
      <w:pPr>
        <w:jc w:val="both"/>
      </w:pPr>
    </w:p>
    <w:p w14:paraId="29B53D05" w14:textId="039BE312" w:rsidR="00B81706" w:rsidRPr="00B81706" w:rsidRDefault="00136845" w:rsidP="00B81706">
      <w:pPr>
        <w:jc w:val="both"/>
      </w:pPr>
      <w:r w:rsidRPr="00136845">
        <w:t>In this context, the positive responses recorded in Table 1 are particularly significant. Participants were most responsive to recommendations that were simple, realistic, and immediately applicable, such as improving airflow, reorganizing storage, clarifying circulation paths, and separating cleaner household functions from service-related activities. This suggests that the value of the intervention lay not in proposing major physical redesign, but in translating environmental knowledge into practical strategies that families could understand and adapt within their existing conditions. The findings therefore highlight the importance of context-sensitive guidance in architecture- and engineering-based community service. In migrant settings, usefulness often depends less on technical complexity than on whether recommendations are compatible with the household’s actual rhythm, resources, and constraints</w:t>
      </w:r>
      <w:r w:rsidR="000B05FF">
        <w:t xml:space="preserve"> </w:t>
      </w:r>
      <w:r w:rsidR="000B05FF">
        <w:fldChar w:fldCharType="begin"/>
      </w:r>
      <w:r w:rsidR="001B3A62">
        <w:instrText xml:space="preserve"> ADDIN ZOTERO_ITEM CSL_CITATION {"citationID":"sUGx024T","properties":{"formattedCitation":"(Wagemann et al., 2024)","plainCitation":"(Wagemann et al., 2024)","noteIndex":0},"citationItems":[{"id":20308,"uris":["http://zotero.org/users/1011003/items/YQTE5S29"],"itemData":{"id":20308,"type":"article-journal","abstract":"For many low-income households in the Global South a house is both a place to live and to generate income in the formal or informal economy. This can include activities in and around the home such as: running small shops selling daily necessities; producing food or crafts; repairing household items; providing services; or growing crops and raising animals. For many households home-based work (HBW) is their main source of income. It is particularly important for people who are more likely to be excluded from formal employment outside the home (such as women, elderly and/or disabled people). The aim of this article is to provide an overview of research on HBW through a scoping review to find research gaps and relevant aspects to study in the future. With a focus on Latin America and the Caribbean, 12 studies published since 2000 were selected for further study. We identified several characteristics of ‘supportive housing and settlements’ which make households more likely to engage in HBW and proposed a model of the symbiotic relationship between housing and HBW. We discuss the implications of our findings for development and humanitarian contexts, make recommendations for policy and practice, and suggest topics for further research.","container-title":"Cities","DOI":"10.1016/j.cities.2024.104833","ISSN":"0264-2751","journalAbbreviation":"Cities","page":"104833","source":"ScienceDirect","title":"Housing and home-based work: Considerations for development and humanitarian contexts","title-short":"Housing and home-based work","URL":"https://www.sciencedirect.com/science/article/pii/S0264275124000477","volume":"147","author":[{"family":"Wagemann","given":"Elizabeth"},{"family":"Maynard","given":"Victoria"},{"family":"Simons","given":"Beth"}],"accessed":{"date-parts":[["2026",4,15]]},"issued":{"date-parts":[["2024",4,1]]}}}],"schema":"https://github.com/citation-style-language/schema/raw/master/csl-citation.json"} </w:instrText>
      </w:r>
      <w:r w:rsidR="000B05FF">
        <w:fldChar w:fldCharType="separate"/>
      </w:r>
      <w:r w:rsidR="001B3A62">
        <w:rPr>
          <w:noProof/>
        </w:rPr>
        <w:t>(Wagemann et al., 2024)</w:t>
      </w:r>
      <w:r w:rsidR="000B05FF">
        <w:fldChar w:fldCharType="end"/>
      </w:r>
      <w:r w:rsidR="00B81706" w:rsidRPr="00B81706">
        <w:t xml:space="preserve">. </w:t>
      </w:r>
    </w:p>
    <w:p w14:paraId="0B1DA3AE" w14:textId="77777777" w:rsidR="00B81706" w:rsidRPr="00B81706" w:rsidRDefault="00B81706" w:rsidP="00B81706">
      <w:pPr>
        <w:jc w:val="both"/>
      </w:pPr>
    </w:p>
    <w:p w14:paraId="553BD19A" w14:textId="77777777" w:rsidR="00136845" w:rsidRDefault="00136845" w:rsidP="00136845">
      <w:pPr>
        <w:jc w:val="both"/>
      </w:pPr>
      <w:r w:rsidRPr="00136845">
        <w:t xml:space="preserve">The discussion also points to the importance of spatial literacy as a form of community empowerment. Table 1 shows that participants responded not only to information about health, but to explanations that helped them see the relationship between space, </w:t>
      </w:r>
      <w:proofErr w:type="spellStart"/>
      <w:r w:rsidRPr="00136845">
        <w:t>behavior</w:t>
      </w:r>
      <w:proofErr w:type="spellEnd"/>
      <w:r w:rsidRPr="00136845">
        <w:t xml:space="preserve">, and family well-being more clearly. This is a meaningful contribution because many household health issues are often discussed only in </w:t>
      </w:r>
      <w:proofErr w:type="spellStart"/>
      <w:r w:rsidRPr="00136845">
        <w:t>behavioral</w:t>
      </w:r>
      <w:proofErr w:type="spellEnd"/>
      <w:r w:rsidRPr="00136845">
        <w:t xml:space="preserve"> terms, while the environmental </w:t>
      </w:r>
      <w:r w:rsidRPr="00136845">
        <w:lastRenderedPageBreak/>
        <w:t xml:space="preserve">setting that shapes those </w:t>
      </w:r>
      <w:proofErr w:type="spellStart"/>
      <w:r w:rsidRPr="00136845">
        <w:t>behaviors</w:t>
      </w:r>
      <w:proofErr w:type="spellEnd"/>
      <w:r w:rsidRPr="00136845">
        <w:t xml:space="preserve"> receives less attention. By making ventilation, zoning, circulation, storage, and sanitation more visible as spatial issues, the program enabled participants to reinterpret their homes as environments that could be improved gradually through manageable action. In this sense, the intervention contributed not only to awareness, but also to the practical capacity to make healthier spatial decisions in everyday life.</w:t>
      </w:r>
    </w:p>
    <w:p w14:paraId="6409938C" w14:textId="77777777" w:rsidR="00136845" w:rsidRPr="00136845" w:rsidRDefault="00136845" w:rsidP="00136845">
      <w:pPr>
        <w:jc w:val="both"/>
      </w:pPr>
    </w:p>
    <w:p w14:paraId="72E4F515" w14:textId="77777777" w:rsidR="00136845" w:rsidRDefault="00136845" w:rsidP="00136845">
      <w:pPr>
        <w:jc w:val="both"/>
      </w:pPr>
      <w:r w:rsidRPr="00136845">
        <w:t>For the field of architecture and building engineering, these findings carry a broader implication. Community service does not always need to result in construction outputs or formal design proposals in order to be meaningful. In this case, the main contribution was the provision of applied environmental knowledge that connected housing conditions with family health and daily routine. This confirms that architecture can contribute through education, interpretation, and small-scale environmental strategy, especially in settings where large interventions are not feasible. The role of the architect or building expert in community service can therefore extend beyond design production to include facilitation, translation of technical knowledge, and empowerment-oriented guidance.</w:t>
      </w:r>
    </w:p>
    <w:p w14:paraId="48B833E3" w14:textId="77777777" w:rsidR="00136845" w:rsidRPr="00136845" w:rsidRDefault="00136845" w:rsidP="00136845">
      <w:pPr>
        <w:jc w:val="both"/>
      </w:pPr>
    </w:p>
    <w:p w14:paraId="1B0149A4" w14:textId="5DAB5485" w:rsidR="00B81706" w:rsidRPr="00B81706" w:rsidRDefault="00136845" w:rsidP="00B81706">
      <w:pPr>
        <w:jc w:val="both"/>
      </w:pPr>
      <w:r w:rsidRPr="00136845">
        <w:t xml:space="preserve">Overall, the discussion confirms that the </w:t>
      </w:r>
      <w:proofErr w:type="spellStart"/>
      <w:r w:rsidRPr="00136845">
        <w:t>Minang</w:t>
      </w:r>
      <w:proofErr w:type="spellEnd"/>
      <w:r w:rsidRPr="00136845">
        <w:t xml:space="preserve"> migrant household in Kuala Lumpur operates as a hybrid living-work environment in which spatial quality directly affects family well-being. The evidence summarized in Table 1 strengthens the argument that practical environmental problems such as ventilation, zoning, sanitation, storage, and circulation are central to healthy daily living in migrant urban settings. It also shows that low-cost, context-sensitive guidance can be effective in strengthening healthier living practices. These findings support the broader claim that architecture-based community service can play a meaningful role in improving quality of life among migrant working families.</w:t>
      </w:r>
    </w:p>
    <w:p w14:paraId="26948C45" w14:textId="1B72D858" w:rsidR="00D61DF5" w:rsidRPr="00D61DF5" w:rsidRDefault="00D61DF5" w:rsidP="00B81706">
      <w:pPr>
        <w:jc w:val="both"/>
      </w:pPr>
    </w:p>
    <w:p w14:paraId="2BD60018" w14:textId="060B6621" w:rsidR="00D61DF5" w:rsidRPr="00D61DF5" w:rsidRDefault="00D61DF5" w:rsidP="00D61DF5">
      <w:pPr>
        <w:jc w:val="both"/>
      </w:pPr>
    </w:p>
    <w:p w14:paraId="4BCE6811" w14:textId="77777777" w:rsidR="00D61DF5" w:rsidRPr="00D61DF5" w:rsidRDefault="00D61DF5" w:rsidP="00D61DF5">
      <w:pPr>
        <w:jc w:val="both"/>
        <w:rPr>
          <w:b/>
          <w:bCs/>
          <w:sz w:val="28"/>
          <w:szCs w:val="28"/>
        </w:rPr>
      </w:pPr>
      <w:r w:rsidRPr="00D61DF5">
        <w:rPr>
          <w:b/>
          <w:bCs/>
          <w:sz w:val="28"/>
          <w:szCs w:val="28"/>
        </w:rPr>
        <w:t>CONCLUSION</w:t>
      </w:r>
    </w:p>
    <w:p w14:paraId="0F0586C2" w14:textId="17094011" w:rsidR="00D61DF5" w:rsidRDefault="00D61DF5" w:rsidP="00B81706">
      <w:pPr>
        <w:jc w:val="both"/>
      </w:pPr>
    </w:p>
    <w:p w14:paraId="07DB0CAC" w14:textId="77777777" w:rsidR="00B81706" w:rsidRDefault="00B81706" w:rsidP="00B81706">
      <w:pPr>
        <w:jc w:val="both"/>
      </w:pPr>
      <w:r w:rsidRPr="00B81706">
        <w:t xml:space="preserve">This community service activity demonstrated that healthy living among </w:t>
      </w:r>
      <w:proofErr w:type="spellStart"/>
      <w:r w:rsidRPr="00B81706">
        <w:t>Minang</w:t>
      </w:r>
      <w:proofErr w:type="spellEnd"/>
      <w:r w:rsidRPr="00B81706">
        <w:t xml:space="preserve"> migrant entrepreneur families in Kuala Lumpur is closely connected to the spatial quality of their domestic-work environments. The findings showed that daily life in the </w:t>
      </w:r>
      <w:proofErr w:type="spellStart"/>
      <w:r w:rsidRPr="00B81706">
        <w:t>Minang</w:t>
      </w:r>
      <w:proofErr w:type="spellEnd"/>
      <w:r w:rsidRPr="00B81706">
        <w:t xml:space="preserve"> </w:t>
      </w:r>
      <w:proofErr w:type="spellStart"/>
      <w:r w:rsidRPr="00B81706">
        <w:t>Saiyo</w:t>
      </w:r>
      <w:proofErr w:type="spellEnd"/>
      <w:r w:rsidRPr="00B81706">
        <w:t xml:space="preserve"> Community is shaped by the close overlap between residence, restaurant-related support activities, storage, rest, and childcare. Within these hybrid living arrangements, environmental issues such as limited ventilation, insufficient separation between clean and service areas, storage congestion, sanitation concerns, and circulation constraints affect not only physical comfort but also family well-being and everyday health practices.</w:t>
      </w:r>
    </w:p>
    <w:p w14:paraId="53EECE8F" w14:textId="77777777" w:rsidR="00B81706" w:rsidRPr="00B81706" w:rsidRDefault="00B81706" w:rsidP="00B81706">
      <w:pPr>
        <w:jc w:val="both"/>
      </w:pPr>
    </w:p>
    <w:p w14:paraId="7981E850" w14:textId="77777777" w:rsidR="00B81706" w:rsidRDefault="00B81706" w:rsidP="00B81706">
      <w:pPr>
        <w:jc w:val="both"/>
      </w:pPr>
      <w:r w:rsidRPr="00B81706">
        <w:t>The program also showed that architecture- and building engineering-based community service can provide a meaningful and practical contribution to migrant family welfare. Through field observation, participatory discussion, environmental health education, and simple technical guidance, the activity helped participants recognize the relationship between space, health, and daily routine more clearly. The positive response from participants indicates that low-cost, context-sensitive, and applicable recommendations are highly relevant for migrant households living in rented or spatially constrained conditions.</w:t>
      </w:r>
    </w:p>
    <w:p w14:paraId="75738C65" w14:textId="77777777" w:rsidR="00B81706" w:rsidRPr="00B81706" w:rsidRDefault="00B81706" w:rsidP="00B81706">
      <w:pPr>
        <w:jc w:val="both"/>
      </w:pPr>
    </w:p>
    <w:p w14:paraId="07BA505C" w14:textId="77777777" w:rsidR="00B81706" w:rsidRPr="00B81706" w:rsidRDefault="00B81706" w:rsidP="00B81706">
      <w:pPr>
        <w:jc w:val="both"/>
      </w:pPr>
      <w:r w:rsidRPr="00B81706">
        <w:t xml:space="preserve">An important contribution of this activity lies in strengthening spatial literacy as part of community empowerment. The program confirmed that improving family health does not depend only on </w:t>
      </w:r>
      <w:proofErr w:type="spellStart"/>
      <w:r w:rsidRPr="00B81706">
        <w:t>behavioral</w:t>
      </w:r>
      <w:proofErr w:type="spellEnd"/>
      <w:r w:rsidRPr="00B81706">
        <w:t xml:space="preserve"> awareness, but also on the ability to understand and manage environmental conditions such as airflow, lighting, moisture, waste placement, and functional zoning within limited spaces. In this sense, the PKM activity did not merely transfer information, but encouraged participants to reinterpret their living environments as spaces that can be improved gradually through realistic adjustments.</w:t>
      </w:r>
    </w:p>
    <w:p w14:paraId="19943F72" w14:textId="77777777" w:rsidR="00B81706" w:rsidRPr="00B81706" w:rsidRDefault="00B81706" w:rsidP="00B81706">
      <w:pPr>
        <w:jc w:val="both"/>
      </w:pPr>
    </w:p>
    <w:p w14:paraId="11A98050" w14:textId="77777777" w:rsidR="00B81706" w:rsidRPr="00B81706" w:rsidRDefault="00B81706" w:rsidP="00B81706">
      <w:pPr>
        <w:jc w:val="both"/>
      </w:pPr>
      <w:r w:rsidRPr="00B81706">
        <w:t>Overall, this paper affirms that community service in architecture and building engineering can play a strategic role in supporting healthier living practices among migrant working families. Future programs may expand this model through follow-up assistance, comparative work with other migrant communities, and closer integration between environmental health education and practical spatial intervention. Such efforts would further strengthen the role of applied spatial knowledge in improving quality of life in urban migrant settings.</w:t>
      </w:r>
    </w:p>
    <w:p w14:paraId="600B1EA1" w14:textId="77777777" w:rsidR="00B81706" w:rsidRPr="00D61DF5" w:rsidRDefault="00B81706" w:rsidP="00B81706">
      <w:pPr>
        <w:jc w:val="both"/>
      </w:pPr>
    </w:p>
    <w:p w14:paraId="620F8183" w14:textId="57208E8B" w:rsidR="00D61DF5" w:rsidRPr="00D61DF5" w:rsidRDefault="00D61DF5" w:rsidP="00D61DF5">
      <w:pPr>
        <w:jc w:val="both"/>
      </w:pPr>
    </w:p>
    <w:p w14:paraId="07E871E9" w14:textId="77777777" w:rsidR="00D61DF5" w:rsidRPr="00D61DF5" w:rsidRDefault="00D61DF5" w:rsidP="00D61DF5">
      <w:pPr>
        <w:jc w:val="both"/>
        <w:rPr>
          <w:b/>
          <w:bCs/>
        </w:rPr>
      </w:pPr>
      <w:r w:rsidRPr="00D61DF5">
        <w:rPr>
          <w:b/>
          <w:bCs/>
        </w:rPr>
        <w:t>ACKNOWLEDGEMENTS</w:t>
      </w:r>
    </w:p>
    <w:p w14:paraId="13BCB8D3" w14:textId="77777777" w:rsidR="00B81706" w:rsidRDefault="00B81706" w:rsidP="00B81706">
      <w:pPr>
        <w:jc w:val="both"/>
      </w:pPr>
    </w:p>
    <w:p w14:paraId="6865E432" w14:textId="77777777" w:rsidR="00B81706" w:rsidRPr="00B81706" w:rsidRDefault="00B81706" w:rsidP="00B81706">
      <w:pPr>
        <w:jc w:val="both"/>
      </w:pPr>
      <w:r w:rsidRPr="00B81706">
        <w:t xml:space="preserve">The authors would like to sincerely thank the </w:t>
      </w:r>
      <w:proofErr w:type="spellStart"/>
      <w:r w:rsidRPr="00B81706">
        <w:rPr>
          <w:b/>
          <w:bCs/>
        </w:rPr>
        <w:t>Minang</w:t>
      </w:r>
      <w:proofErr w:type="spellEnd"/>
      <w:r w:rsidRPr="00B81706">
        <w:rPr>
          <w:b/>
          <w:bCs/>
        </w:rPr>
        <w:t xml:space="preserve"> </w:t>
      </w:r>
      <w:proofErr w:type="spellStart"/>
      <w:r w:rsidRPr="00B81706">
        <w:rPr>
          <w:b/>
          <w:bCs/>
        </w:rPr>
        <w:t>Saiyo</w:t>
      </w:r>
      <w:proofErr w:type="spellEnd"/>
      <w:r w:rsidRPr="00B81706">
        <w:rPr>
          <w:b/>
          <w:bCs/>
        </w:rPr>
        <w:t xml:space="preserve"> Community in Kuala Lumpur, Malaysia</w:t>
      </w:r>
      <w:r w:rsidRPr="00B81706">
        <w:t>, for their generous cooperation, warm hospitality, and active involvement in this community service program. The openness of the participants in sharing their daily realities, challenges, and experiences greatly enriched this activity and made the program both meaningful and contextually grounded.</w:t>
      </w:r>
    </w:p>
    <w:p w14:paraId="27F0464E" w14:textId="77777777" w:rsidR="00B81706" w:rsidRPr="00B81706" w:rsidRDefault="00B81706" w:rsidP="00B81706">
      <w:pPr>
        <w:jc w:val="both"/>
      </w:pPr>
      <w:r w:rsidRPr="00B81706">
        <w:t>The authors also express their deep appreciation to all members of the service team and partner institutions for their valuable collaboration, interdisciplinary contributions, and shared commitment to improving healthy living environments for migrant families.</w:t>
      </w:r>
    </w:p>
    <w:p w14:paraId="47C5E6A4" w14:textId="77777777" w:rsidR="00B81706" w:rsidRPr="00B81706" w:rsidRDefault="00B81706" w:rsidP="00B81706">
      <w:pPr>
        <w:jc w:val="both"/>
      </w:pPr>
      <w:r w:rsidRPr="00B81706">
        <w:t>Finally, the authors gratefully acknowledge all institutional and local support that contributed to the successful implementation of this program.</w:t>
      </w:r>
    </w:p>
    <w:p w14:paraId="72F9ABD4" w14:textId="60395D4A" w:rsidR="00D61DF5" w:rsidRPr="00D61DF5" w:rsidRDefault="00D61DF5" w:rsidP="00B81706">
      <w:pPr>
        <w:jc w:val="both"/>
      </w:pPr>
      <w:r w:rsidRPr="00D61DF5">
        <w:t xml:space="preserve"> </w:t>
      </w:r>
    </w:p>
    <w:p w14:paraId="6F41E0EB" w14:textId="6752A6A5" w:rsidR="00D61DF5" w:rsidRPr="00D61DF5" w:rsidRDefault="00D61DF5" w:rsidP="00D61DF5">
      <w:pPr>
        <w:jc w:val="both"/>
      </w:pPr>
    </w:p>
    <w:p w14:paraId="04390868" w14:textId="77777777" w:rsidR="001B3A62" w:rsidRDefault="001B3A62" w:rsidP="00D61DF5">
      <w:pPr>
        <w:jc w:val="both"/>
        <w:rPr>
          <w:b/>
          <w:bCs/>
          <w:sz w:val="28"/>
          <w:szCs w:val="28"/>
        </w:rPr>
      </w:pPr>
    </w:p>
    <w:p w14:paraId="3FA88BDA" w14:textId="77777777" w:rsidR="00EE4B82" w:rsidRDefault="00EE4B82" w:rsidP="00D61DF5">
      <w:pPr>
        <w:jc w:val="both"/>
        <w:rPr>
          <w:b/>
          <w:bCs/>
          <w:sz w:val="28"/>
          <w:szCs w:val="28"/>
        </w:rPr>
      </w:pPr>
    </w:p>
    <w:p w14:paraId="4D5E8FC8" w14:textId="78A07B56" w:rsidR="00D61DF5" w:rsidRPr="00D61DF5" w:rsidRDefault="00D61DF5" w:rsidP="00D61DF5">
      <w:pPr>
        <w:jc w:val="both"/>
        <w:rPr>
          <w:b/>
          <w:bCs/>
          <w:sz w:val="28"/>
          <w:szCs w:val="28"/>
        </w:rPr>
      </w:pPr>
      <w:r w:rsidRPr="00D61DF5">
        <w:rPr>
          <w:b/>
          <w:bCs/>
          <w:sz w:val="28"/>
          <w:szCs w:val="28"/>
        </w:rPr>
        <w:t>REFERENCES</w:t>
      </w:r>
    </w:p>
    <w:p w14:paraId="79C6579B" w14:textId="77777777" w:rsidR="00D74FAF" w:rsidRDefault="00D74FAF" w:rsidP="00D74FAF">
      <w:pPr>
        <w:jc w:val="both"/>
      </w:pPr>
    </w:p>
    <w:p w14:paraId="7ABCAC81" w14:textId="77777777" w:rsidR="00EE4B82" w:rsidRPr="00EE4B82" w:rsidRDefault="00D74FAF" w:rsidP="00EE4B82">
      <w:pPr>
        <w:pStyle w:val="Bibliography"/>
        <w:numPr>
          <w:ilvl w:val="0"/>
          <w:numId w:val="29"/>
        </w:numPr>
        <w:jc w:val="both"/>
        <w:rPr>
          <w:lang w:val="en-US"/>
        </w:rPr>
      </w:pPr>
      <w:r>
        <w:fldChar w:fldCharType="begin"/>
      </w:r>
      <w:r w:rsidR="001B3A62">
        <w:instrText xml:space="preserve"> ADDIN ZOTERO_BIBL {"uncited":[],"omitted":[],"custom":[]} CSL_BIBLIOGRAPHY </w:instrText>
      </w:r>
      <w:r>
        <w:fldChar w:fldCharType="separate"/>
      </w:r>
      <w:r w:rsidR="00EE4B82" w:rsidRPr="00EE4B82">
        <w:rPr>
          <w:lang w:val="en-US"/>
        </w:rPr>
        <w:t xml:space="preserve">Al horr, Y., Arif, M., Katafygiotou, M., Mazroei, A., Kaushik, A., &amp; Elsarrag, E. (2016). Impact of indoor environmental quality on occupant well-being and comfort: A review of the literature. </w:t>
      </w:r>
      <w:r w:rsidR="00EE4B82" w:rsidRPr="00EE4B82">
        <w:rPr>
          <w:i/>
          <w:iCs/>
          <w:lang w:val="en-US"/>
        </w:rPr>
        <w:t>International Journal of Sustainable Built Environment</w:t>
      </w:r>
      <w:r w:rsidR="00EE4B82" w:rsidRPr="00EE4B82">
        <w:rPr>
          <w:lang w:val="en-US"/>
        </w:rPr>
        <w:t xml:space="preserve">, </w:t>
      </w:r>
      <w:r w:rsidR="00EE4B82" w:rsidRPr="00EE4B82">
        <w:rPr>
          <w:i/>
          <w:iCs/>
          <w:lang w:val="en-US"/>
        </w:rPr>
        <w:t>5</w:t>
      </w:r>
      <w:r w:rsidR="00EE4B82" w:rsidRPr="00EE4B82">
        <w:rPr>
          <w:lang w:val="en-US"/>
        </w:rPr>
        <w:t>(1), 1–11. https://doi.org/10.1016/j.ijsbe.2016.03.006</w:t>
      </w:r>
    </w:p>
    <w:p w14:paraId="3332CBC9" w14:textId="77777777" w:rsidR="00EE4B82" w:rsidRPr="00EE4B82" w:rsidRDefault="00EE4B82" w:rsidP="00EE4B82">
      <w:pPr>
        <w:pStyle w:val="Bibliography"/>
        <w:numPr>
          <w:ilvl w:val="0"/>
          <w:numId w:val="29"/>
        </w:numPr>
        <w:jc w:val="both"/>
        <w:rPr>
          <w:lang w:val="en-US"/>
        </w:rPr>
      </w:pPr>
      <w:r w:rsidRPr="00EE4B82">
        <w:rPr>
          <w:lang w:val="en-US"/>
        </w:rPr>
        <w:t xml:space="preserve">Anyanwu, C., &amp; Beyer, K. M. M. (2024). Intersections among housing, environmental conditions, and health equity: A conceptual model for environmental justice policy. </w:t>
      </w:r>
      <w:r w:rsidRPr="00EE4B82">
        <w:rPr>
          <w:i/>
          <w:iCs/>
          <w:lang w:val="en-US"/>
        </w:rPr>
        <w:t>Social Sciences &amp; Humanities Open</w:t>
      </w:r>
      <w:r w:rsidRPr="00EE4B82">
        <w:rPr>
          <w:lang w:val="en-US"/>
        </w:rPr>
        <w:t xml:space="preserve">, </w:t>
      </w:r>
      <w:r w:rsidRPr="00EE4B82">
        <w:rPr>
          <w:i/>
          <w:iCs/>
          <w:lang w:val="en-US"/>
        </w:rPr>
        <w:t>9</w:t>
      </w:r>
      <w:r w:rsidRPr="00EE4B82">
        <w:rPr>
          <w:lang w:val="en-US"/>
        </w:rPr>
        <w:t>, 100845. https://doi.org/10.1016/j.ssaho.2024.100845</w:t>
      </w:r>
    </w:p>
    <w:p w14:paraId="3EC0A3EE" w14:textId="77777777" w:rsidR="00EE4B82" w:rsidRPr="00EE4B82" w:rsidRDefault="00EE4B82" w:rsidP="00EE4B82">
      <w:pPr>
        <w:pStyle w:val="Bibliography"/>
        <w:numPr>
          <w:ilvl w:val="0"/>
          <w:numId w:val="29"/>
        </w:numPr>
        <w:jc w:val="both"/>
        <w:rPr>
          <w:lang w:val="en-US"/>
        </w:rPr>
      </w:pPr>
      <w:r w:rsidRPr="00EE4B82">
        <w:rPr>
          <w:lang w:val="en-US"/>
        </w:rPr>
        <w:t xml:space="preserve">Bentley, R., Mason, K., Jacobs, D., Blakely, T., Howden-Chapman, P., Li, A., Adamkiewicz, G., &amp; Reeves, A. (2025). Housing as a social determinant of health: A contemporary framework. </w:t>
      </w:r>
      <w:r w:rsidRPr="00EE4B82">
        <w:rPr>
          <w:i/>
          <w:iCs/>
          <w:lang w:val="en-US"/>
        </w:rPr>
        <w:t>The Lancet Public Health</w:t>
      </w:r>
      <w:r w:rsidRPr="00EE4B82">
        <w:rPr>
          <w:lang w:val="en-US"/>
        </w:rPr>
        <w:t xml:space="preserve">, </w:t>
      </w:r>
      <w:r w:rsidRPr="00EE4B82">
        <w:rPr>
          <w:i/>
          <w:iCs/>
          <w:lang w:val="en-US"/>
        </w:rPr>
        <w:t>10</w:t>
      </w:r>
      <w:r w:rsidRPr="00EE4B82">
        <w:rPr>
          <w:lang w:val="en-US"/>
        </w:rPr>
        <w:t>(10), e855–e864. https://doi.org/10.1016/S2468-2667(25)00142-2</w:t>
      </w:r>
    </w:p>
    <w:p w14:paraId="7F5DA6FE" w14:textId="77777777" w:rsidR="00EE4B82" w:rsidRPr="00EE4B82" w:rsidRDefault="00EE4B82" w:rsidP="00EE4B82">
      <w:pPr>
        <w:pStyle w:val="Bibliography"/>
        <w:numPr>
          <w:ilvl w:val="0"/>
          <w:numId w:val="29"/>
        </w:numPr>
        <w:jc w:val="both"/>
        <w:rPr>
          <w:lang w:val="en-US"/>
        </w:rPr>
      </w:pPr>
      <w:r w:rsidRPr="00EE4B82">
        <w:rPr>
          <w:lang w:val="en-US"/>
        </w:rPr>
        <w:t xml:space="preserve">Eshetu, H. B., Blackford, K., Lobo, R., Alemu, M. B., Tessema, G. A., &amp; Crawford, G. (2026). Housing Insecurity and Health Outcomes Among Migrants from Culturally and Linguistically Diverse Backgrounds in High-Income Countries: A Scoping Review. </w:t>
      </w:r>
      <w:r w:rsidRPr="00EE4B82">
        <w:rPr>
          <w:i/>
          <w:iCs/>
          <w:lang w:val="en-US"/>
        </w:rPr>
        <w:t>Journal of Immigrant and Minority Health</w:t>
      </w:r>
      <w:r w:rsidRPr="00EE4B82">
        <w:rPr>
          <w:lang w:val="en-US"/>
        </w:rPr>
        <w:t>, 1–19. https://doi.org/10.1007/s10903-026-01849-4</w:t>
      </w:r>
    </w:p>
    <w:p w14:paraId="46DC4DB1" w14:textId="77777777" w:rsidR="00EE4B82" w:rsidRPr="00EE4B82" w:rsidRDefault="00EE4B82" w:rsidP="00EE4B82">
      <w:pPr>
        <w:pStyle w:val="Bibliography"/>
        <w:numPr>
          <w:ilvl w:val="0"/>
          <w:numId w:val="29"/>
        </w:numPr>
        <w:jc w:val="both"/>
        <w:rPr>
          <w:lang w:val="en-US"/>
        </w:rPr>
      </w:pPr>
      <w:r w:rsidRPr="00EE4B82">
        <w:rPr>
          <w:lang w:val="en-US"/>
        </w:rPr>
        <w:t xml:space="preserve">Gough, K. V., &amp; Kellett, P. (2001). Housing Consolidation and Home-based Income Generation: Evidence from Self-help Settlements in Two Colombian Cities. </w:t>
      </w:r>
      <w:r w:rsidRPr="00EE4B82">
        <w:rPr>
          <w:i/>
          <w:iCs/>
          <w:lang w:val="en-US"/>
        </w:rPr>
        <w:t>Cities</w:t>
      </w:r>
      <w:r w:rsidRPr="00EE4B82">
        <w:rPr>
          <w:lang w:val="en-US"/>
        </w:rPr>
        <w:t xml:space="preserve">, </w:t>
      </w:r>
      <w:r w:rsidRPr="00EE4B82">
        <w:rPr>
          <w:i/>
          <w:iCs/>
          <w:lang w:val="en-US"/>
        </w:rPr>
        <w:t>18</w:t>
      </w:r>
      <w:r w:rsidRPr="00EE4B82">
        <w:rPr>
          <w:lang w:val="en-US"/>
        </w:rPr>
        <w:t>(4), 235–247. https://doi.org/10.1016/S0264-2751(01)00016-6</w:t>
      </w:r>
    </w:p>
    <w:p w14:paraId="0C9D5D0A" w14:textId="77777777" w:rsidR="00EE4B82" w:rsidRPr="00EE4B82" w:rsidRDefault="00EE4B82" w:rsidP="00EE4B82">
      <w:pPr>
        <w:pStyle w:val="Bibliography"/>
        <w:numPr>
          <w:ilvl w:val="0"/>
          <w:numId w:val="29"/>
        </w:numPr>
        <w:jc w:val="both"/>
        <w:rPr>
          <w:lang w:val="en-US"/>
        </w:rPr>
      </w:pPr>
      <w:r w:rsidRPr="00EE4B82">
        <w:rPr>
          <w:i/>
          <w:iCs/>
          <w:lang w:val="en-US"/>
        </w:rPr>
        <w:t>Housing</w:t>
      </w:r>
      <w:r w:rsidRPr="00EE4B82">
        <w:rPr>
          <w:lang w:val="en-US"/>
        </w:rPr>
        <w:t>. (n.d.). Retrieved April 16, 2026, from https://www.who.int/teams/environment-climate-change-and-health/healthy-urban-environments/housing?utm_source=chatgpt.com</w:t>
      </w:r>
    </w:p>
    <w:p w14:paraId="0C070507" w14:textId="77777777" w:rsidR="00EE4B82" w:rsidRPr="00EE4B82" w:rsidRDefault="00EE4B82" w:rsidP="00EE4B82">
      <w:pPr>
        <w:pStyle w:val="Bibliography"/>
        <w:numPr>
          <w:ilvl w:val="0"/>
          <w:numId w:val="29"/>
        </w:numPr>
        <w:jc w:val="both"/>
        <w:rPr>
          <w:lang w:val="en-US"/>
        </w:rPr>
      </w:pPr>
      <w:r w:rsidRPr="00EE4B82">
        <w:rPr>
          <w:i/>
          <w:iCs/>
          <w:lang w:val="en-US"/>
        </w:rPr>
        <w:t>Housing impacts health: New WHO guidelines on housing and health</w:t>
      </w:r>
      <w:r w:rsidRPr="00EE4B82">
        <w:rPr>
          <w:lang w:val="en-US"/>
        </w:rPr>
        <w:t>. (n.d.). Retrieved April 16, 2026, from https://www.who.int/news/item/26-11-2018-housing-impacts-health-new-who-guidelines-on-housing-and-health?utm_source=chatgpt.com</w:t>
      </w:r>
    </w:p>
    <w:p w14:paraId="0458A075" w14:textId="77777777" w:rsidR="00EE4B82" w:rsidRPr="00EE4B82" w:rsidRDefault="00EE4B82" w:rsidP="00EE4B82">
      <w:pPr>
        <w:pStyle w:val="Bibliography"/>
        <w:numPr>
          <w:ilvl w:val="0"/>
          <w:numId w:val="29"/>
        </w:numPr>
        <w:jc w:val="both"/>
        <w:rPr>
          <w:lang w:val="en-US"/>
        </w:rPr>
      </w:pPr>
      <w:r w:rsidRPr="00EE4B82">
        <w:rPr>
          <w:i/>
          <w:iCs/>
          <w:lang w:val="en-US"/>
        </w:rPr>
        <w:t>Indicators, guidance and tools</w:t>
      </w:r>
      <w:r w:rsidRPr="00EE4B82">
        <w:rPr>
          <w:lang w:val="en-US"/>
        </w:rPr>
        <w:t>. (n.d.). Retrieved April 16, 2026, from https://www.who.int/teams/environment-climate-change-and-health/healthy-urban-environments/housing/indicators-guidance-and-tools?utm_source=chatgpt.com</w:t>
      </w:r>
    </w:p>
    <w:p w14:paraId="571063D9" w14:textId="77777777" w:rsidR="00EE4B82" w:rsidRPr="00EE4B82" w:rsidRDefault="00EE4B82" w:rsidP="00EE4B82">
      <w:pPr>
        <w:pStyle w:val="Bibliography"/>
        <w:numPr>
          <w:ilvl w:val="0"/>
          <w:numId w:val="29"/>
        </w:numPr>
        <w:jc w:val="both"/>
        <w:rPr>
          <w:lang w:val="en-US"/>
        </w:rPr>
      </w:pPr>
      <w:r w:rsidRPr="00EE4B82">
        <w:rPr>
          <w:lang w:val="en-US"/>
        </w:rPr>
        <w:t xml:space="preserve">Li, J., &amp; Liu, Z. (2018). Housing stress and mental health of migrant populations in urban China. </w:t>
      </w:r>
      <w:r w:rsidRPr="00EE4B82">
        <w:rPr>
          <w:i/>
          <w:iCs/>
          <w:lang w:val="en-US"/>
        </w:rPr>
        <w:t>Cities</w:t>
      </w:r>
      <w:r w:rsidRPr="00EE4B82">
        <w:rPr>
          <w:lang w:val="en-US"/>
        </w:rPr>
        <w:t xml:space="preserve">, </w:t>
      </w:r>
      <w:r w:rsidRPr="00EE4B82">
        <w:rPr>
          <w:i/>
          <w:iCs/>
          <w:lang w:val="en-US"/>
        </w:rPr>
        <w:t>81</w:t>
      </w:r>
      <w:r w:rsidRPr="00EE4B82">
        <w:rPr>
          <w:lang w:val="en-US"/>
        </w:rPr>
        <w:t>, 172–179. https://doi.org/10.1016/j.cities.2018.04.006</w:t>
      </w:r>
    </w:p>
    <w:p w14:paraId="2AD35047" w14:textId="77777777" w:rsidR="00EE4B82" w:rsidRPr="00EE4B82" w:rsidRDefault="00EE4B82" w:rsidP="00EE4B82">
      <w:pPr>
        <w:pStyle w:val="Bibliography"/>
        <w:numPr>
          <w:ilvl w:val="0"/>
          <w:numId w:val="29"/>
        </w:numPr>
        <w:jc w:val="both"/>
        <w:rPr>
          <w:lang w:val="en-US"/>
        </w:rPr>
      </w:pPr>
      <w:r w:rsidRPr="00EE4B82">
        <w:rPr>
          <w:lang w:val="en-US"/>
        </w:rPr>
        <w:t xml:space="preserve">Niza, I. L., Bueno, A. M., Gameiro da Silva, M., &amp; Broday, E. E. (2024). Air quality and ventilation: Exploring solutions for healthy and sustainable urban environments in times of climate change. </w:t>
      </w:r>
      <w:r w:rsidRPr="00EE4B82">
        <w:rPr>
          <w:i/>
          <w:iCs/>
          <w:lang w:val="en-US"/>
        </w:rPr>
        <w:t>Results in Engineering</w:t>
      </w:r>
      <w:r w:rsidRPr="00EE4B82">
        <w:rPr>
          <w:lang w:val="en-US"/>
        </w:rPr>
        <w:t xml:space="preserve">, </w:t>
      </w:r>
      <w:r w:rsidRPr="00EE4B82">
        <w:rPr>
          <w:i/>
          <w:iCs/>
          <w:lang w:val="en-US"/>
        </w:rPr>
        <w:t>24</w:t>
      </w:r>
      <w:r w:rsidRPr="00EE4B82">
        <w:rPr>
          <w:lang w:val="en-US"/>
        </w:rPr>
        <w:t>, 103157. https://doi.org/10.1016/j.rineng.2024.103157</w:t>
      </w:r>
    </w:p>
    <w:p w14:paraId="07BB8279" w14:textId="77777777" w:rsidR="00EE4B82" w:rsidRPr="00EE4B82" w:rsidRDefault="00EE4B82" w:rsidP="00EE4B82">
      <w:pPr>
        <w:pStyle w:val="Bibliography"/>
        <w:numPr>
          <w:ilvl w:val="0"/>
          <w:numId w:val="29"/>
        </w:numPr>
        <w:jc w:val="both"/>
        <w:rPr>
          <w:lang w:val="en-US"/>
        </w:rPr>
      </w:pPr>
      <w:r w:rsidRPr="00EE4B82">
        <w:rPr>
          <w:lang w:val="en-US"/>
        </w:rPr>
        <w:t xml:space="preserve">Osibona, O., Solomon, B. D., &amp; Fecht, D. (2021). Lighting in the Home and Health: A Systematic Review. </w:t>
      </w:r>
      <w:r w:rsidRPr="00EE4B82">
        <w:rPr>
          <w:i/>
          <w:iCs/>
          <w:lang w:val="en-US"/>
        </w:rPr>
        <w:t>International Journal of Environmental Research and Public Health</w:t>
      </w:r>
      <w:r w:rsidRPr="00EE4B82">
        <w:rPr>
          <w:lang w:val="en-US"/>
        </w:rPr>
        <w:t xml:space="preserve">, </w:t>
      </w:r>
      <w:r w:rsidRPr="00EE4B82">
        <w:rPr>
          <w:i/>
          <w:iCs/>
          <w:lang w:val="en-US"/>
        </w:rPr>
        <w:t>18</w:t>
      </w:r>
      <w:r w:rsidRPr="00EE4B82">
        <w:rPr>
          <w:lang w:val="en-US"/>
        </w:rPr>
        <w:t>(2), 609. https://doi.org/10.3390/ijerph18020609</w:t>
      </w:r>
    </w:p>
    <w:p w14:paraId="3F8904CB" w14:textId="77777777" w:rsidR="00EE4B82" w:rsidRPr="00EE4B82" w:rsidRDefault="00EE4B82" w:rsidP="00EE4B82">
      <w:pPr>
        <w:pStyle w:val="Bibliography"/>
        <w:numPr>
          <w:ilvl w:val="0"/>
          <w:numId w:val="29"/>
        </w:numPr>
        <w:jc w:val="both"/>
        <w:rPr>
          <w:lang w:val="en-US"/>
        </w:rPr>
      </w:pPr>
      <w:r w:rsidRPr="00EE4B82">
        <w:rPr>
          <w:lang w:val="en-US"/>
        </w:rPr>
        <w:t xml:space="preserve">Rana, K., Kent, J., &amp; Andrew, P. (2025). Housing inequalities and health outcomes among migrant and refugee populations in high-income countries: A mixed-methods systematic review. </w:t>
      </w:r>
      <w:r w:rsidRPr="00EE4B82">
        <w:rPr>
          <w:i/>
          <w:iCs/>
          <w:lang w:val="en-US"/>
        </w:rPr>
        <w:t>PubMed</w:t>
      </w:r>
      <w:r w:rsidRPr="00EE4B82">
        <w:rPr>
          <w:lang w:val="en-US"/>
        </w:rPr>
        <w:t>. https://pubmed.ncbi.nlm.nih.gov/40121396/?utm_source=chatgpt.com</w:t>
      </w:r>
    </w:p>
    <w:p w14:paraId="0689B95D" w14:textId="77777777" w:rsidR="00EE4B82" w:rsidRPr="00EE4B82" w:rsidRDefault="00EE4B82" w:rsidP="00EE4B82">
      <w:pPr>
        <w:pStyle w:val="Bibliography"/>
        <w:numPr>
          <w:ilvl w:val="0"/>
          <w:numId w:val="29"/>
        </w:numPr>
        <w:jc w:val="both"/>
        <w:rPr>
          <w:lang w:val="en-US"/>
        </w:rPr>
      </w:pPr>
      <w:r w:rsidRPr="00EE4B82">
        <w:rPr>
          <w:lang w:val="en-US"/>
        </w:rPr>
        <w:lastRenderedPageBreak/>
        <w:t xml:space="preserve">Rana, K., Kent, J. L., &amp; Page, A. (2025). Housing inequalities and health outcomes among migrant and refugee populations in high-income countries: A mixed-methods systematic review. </w:t>
      </w:r>
      <w:r w:rsidRPr="00EE4B82">
        <w:rPr>
          <w:i/>
          <w:iCs/>
          <w:lang w:val="en-US"/>
        </w:rPr>
        <w:t>BMC Public Health</w:t>
      </w:r>
      <w:r w:rsidRPr="00EE4B82">
        <w:rPr>
          <w:lang w:val="en-US"/>
        </w:rPr>
        <w:t xml:space="preserve">, </w:t>
      </w:r>
      <w:r w:rsidRPr="00EE4B82">
        <w:rPr>
          <w:i/>
          <w:iCs/>
          <w:lang w:val="en-US"/>
        </w:rPr>
        <w:t>25</w:t>
      </w:r>
      <w:r w:rsidRPr="00EE4B82">
        <w:rPr>
          <w:lang w:val="en-US"/>
        </w:rPr>
        <w:t>(1), 1098. https://doi.org/10.1186/s12889-025-22186-5</w:t>
      </w:r>
    </w:p>
    <w:p w14:paraId="6C98E18D" w14:textId="77777777" w:rsidR="00EE4B82" w:rsidRPr="00EE4B82" w:rsidRDefault="00EE4B82" w:rsidP="00EE4B82">
      <w:pPr>
        <w:pStyle w:val="Bibliography"/>
        <w:numPr>
          <w:ilvl w:val="0"/>
          <w:numId w:val="29"/>
        </w:numPr>
        <w:jc w:val="both"/>
        <w:rPr>
          <w:lang w:val="en-US"/>
        </w:rPr>
      </w:pPr>
      <w:r w:rsidRPr="00EE4B82">
        <w:rPr>
          <w:lang w:val="en-US"/>
        </w:rPr>
        <w:t xml:space="preserve">Reuschke, D. (2016). The importance of housing and neighbourhood resources for urban microbusinesses. </w:t>
      </w:r>
      <w:r w:rsidRPr="00EE4B82">
        <w:rPr>
          <w:i/>
          <w:iCs/>
          <w:lang w:val="en-US"/>
        </w:rPr>
        <w:t>Taylor &amp; Francis</w:t>
      </w:r>
      <w:r w:rsidRPr="00EE4B82">
        <w:rPr>
          <w:lang w:val="en-US"/>
        </w:rPr>
        <w:t>. https://www.tandfonline.com/doi/abs/10.1080/09654313.2016.1168364</w:t>
      </w:r>
    </w:p>
    <w:p w14:paraId="4011C3FA" w14:textId="77777777" w:rsidR="00EE4B82" w:rsidRPr="00EE4B82" w:rsidRDefault="00EE4B82" w:rsidP="00EE4B82">
      <w:pPr>
        <w:pStyle w:val="Bibliography"/>
        <w:numPr>
          <w:ilvl w:val="0"/>
          <w:numId w:val="29"/>
        </w:numPr>
        <w:jc w:val="both"/>
        <w:rPr>
          <w:lang w:val="en-US"/>
        </w:rPr>
      </w:pPr>
      <w:r w:rsidRPr="00EE4B82">
        <w:rPr>
          <w:i/>
          <w:iCs/>
          <w:lang w:val="en-US"/>
        </w:rPr>
        <w:t>The human right to adequate housing</w:t>
      </w:r>
      <w:r w:rsidRPr="00EE4B82">
        <w:rPr>
          <w:lang w:val="en-US"/>
        </w:rPr>
        <w:t>. (n.d.). OHCHR. Retrieved April 15, 2026, from https://www.ohchr.org/en/special-procedures/sr-housing/human-right-adequate-housing</w:t>
      </w:r>
    </w:p>
    <w:p w14:paraId="04981AED" w14:textId="77777777" w:rsidR="00EE4B82" w:rsidRPr="00EE4B82" w:rsidRDefault="00EE4B82" w:rsidP="00EE4B82">
      <w:pPr>
        <w:pStyle w:val="Bibliography"/>
        <w:numPr>
          <w:ilvl w:val="0"/>
          <w:numId w:val="29"/>
        </w:numPr>
        <w:jc w:val="both"/>
        <w:rPr>
          <w:lang w:val="en-US"/>
        </w:rPr>
      </w:pPr>
      <w:r w:rsidRPr="00EE4B82">
        <w:rPr>
          <w:lang w:val="en-US"/>
        </w:rPr>
        <w:t xml:space="preserve">Wagemann, E., Maynard, V., &amp; Simons, B. (2024). Housing and home-based work: Considerations for development and humanitarian contexts. </w:t>
      </w:r>
      <w:r w:rsidRPr="00EE4B82">
        <w:rPr>
          <w:i/>
          <w:iCs/>
          <w:lang w:val="en-US"/>
        </w:rPr>
        <w:t>Cities</w:t>
      </w:r>
      <w:r w:rsidRPr="00EE4B82">
        <w:rPr>
          <w:lang w:val="en-US"/>
        </w:rPr>
        <w:t xml:space="preserve">, </w:t>
      </w:r>
      <w:r w:rsidRPr="00EE4B82">
        <w:rPr>
          <w:i/>
          <w:iCs/>
          <w:lang w:val="en-US"/>
        </w:rPr>
        <w:t>147</w:t>
      </w:r>
      <w:r w:rsidRPr="00EE4B82">
        <w:rPr>
          <w:lang w:val="en-US"/>
        </w:rPr>
        <w:t>, 104833. https://doi.org/10.1016/j.cities.2024.104833</w:t>
      </w:r>
    </w:p>
    <w:p w14:paraId="5A4DA60D" w14:textId="77777777" w:rsidR="00EE4B82" w:rsidRPr="00EE4B82" w:rsidRDefault="00EE4B82" w:rsidP="00EE4B82">
      <w:pPr>
        <w:pStyle w:val="Bibliography"/>
        <w:numPr>
          <w:ilvl w:val="0"/>
          <w:numId w:val="29"/>
        </w:numPr>
        <w:jc w:val="both"/>
        <w:rPr>
          <w:lang w:val="en-US"/>
        </w:rPr>
      </w:pPr>
      <w:r w:rsidRPr="00EE4B82">
        <w:rPr>
          <w:i/>
          <w:iCs/>
          <w:lang w:val="en-US"/>
        </w:rPr>
        <w:t>WHO Housing and health guidelines</w:t>
      </w:r>
      <w:r w:rsidRPr="00EE4B82">
        <w:rPr>
          <w:lang w:val="en-US"/>
        </w:rPr>
        <w:t>. (n.d.). Retrieved April 15, 2026, from https://www.who.int/publications/i/item/9789241550376?utm_source=chatgpt.com</w:t>
      </w:r>
    </w:p>
    <w:p w14:paraId="6FE82426" w14:textId="77777777" w:rsidR="00EE4B82" w:rsidRPr="00EE4B82" w:rsidRDefault="00EE4B82" w:rsidP="00EE4B82">
      <w:pPr>
        <w:pStyle w:val="Bibliography"/>
        <w:numPr>
          <w:ilvl w:val="0"/>
          <w:numId w:val="29"/>
        </w:numPr>
        <w:jc w:val="both"/>
        <w:rPr>
          <w:lang w:val="en-US"/>
        </w:rPr>
      </w:pPr>
      <w:r w:rsidRPr="00EE4B82">
        <w:rPr>
          <w:lang w:val="en-US"/>
        </w:rPr>
        <w:t xml:space="preserve">World Health Organization, United States, France, &amp; United States (Eds.). (2018). </w:t>
      </w:r>
      <w:r w:rsidRPr="00EE4B82">
        <w:rPr>
          <w:i/>
          <w:iCs/>
          <w:lang w:val="en-US"/>
        </w:rPr>
        <w:t>WHO housing and health guidelines</w:t>
      </w:r>
      <w:r w:rsidRPr="00EE4B82">
        <w:rPr>
          <w:lang w:val="en-US"/>
        </w:rPr>
        <w:t>. World Health Organization.</w:t>
      </w:r>
    </w:p>
    <w:p w14:paraId="2D53C49C" w14:textId="37BFC76E" w:rsidR="00D61DF5" w:rsidRPr="00D61DF5" w:rsidRDefault="00D74FAF" w:rsidP="00EE4B82">
      <w:pPr>
        <w:pStyle w:val="Bibliography"/>
        <w:jc w:val="both"/>
      </w:pPr>
      <w:r>
        <w:fldChar w:fldCharType="end"/>
      </w:r>
      <w:r w:rsidR="00D61DF5" w:rsidRPr="00D61DF5">
        <w:t xml:space="preserve"> </w:t>
      </w:r>
    </w:p>
    <w:sectPr w:rsidR="00D61DF5" w:rsidRPr="00D61DF5" w:rsidSect="00FC5DB7">
      <w:pgSz w:w="11900" w:h="16840"/>
      <w:pgMar w:top="1080" w:right="605" w:bottom="605" w:left="605"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2A3133"/>
    <w:multiLevelType w:val="multilevel"/>
    <w:tmpl w:val="70EC6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F4388B"/>
    <w:multiLevelType w:val="multilevel"/>
    <w:tmpl w:val="EFD20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E076D9"/>
    <w:multiLevelType w:val="multilevel"/>
    <w:tmpl w:val="4AB8F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CE155A"/>
    <w:multiLevelType w:val="multilevel"/>
    <w:tmpl w:val="90021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551532"/>
    <w:multiLevelType w:val="hybridMultilevel"/>
    <w:tmpl w:val="C1CE9262"/>
    <w:lvl w:ilvl="0" w:tplc="7C52BAF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BA0D59"/>
    <w:multiLevelType w:val="multilevel"/>
    <w:tmpl w:val="7F36C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B904D2"/>
    <w:multiLevelType w:val="multilevel"/>
    <w:tmpl w:val="1780D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0849F7"/>
    <w:multiLevelType w:val="hybridMultilevel"/>
    <w:tmpl w:val="974A638A"/>
    <w:lvl w:ilvl="0" w:tplc="7C52BAF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3872CE"/>
    <w:multiLevelType w:val="multilevel"/>
    <w:tmpl w:val="51A80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0D3231"/>
    <w:multiLevelType w:val="multilevel"/>
    <w:tmpl w:val="76BCA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2F6069"/>
    <w:multiLevelType w:val="multilevel"/>
    <w:tmpl w:val="B4F48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D604C1A"/>
    <w:multiLevelType w:val="multilevel"/>
    <w:tmpl w:val="6C2A29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0C16C75"/>
    <w:multiLevelType w:val="multilevel"/>
    <w:tmpl w:val="35D6C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736D73"/>
    <w:multiLevelType w:val="multilevel"/>
    <w:tmpl w:val="47BA4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BB346F"/>
    <w:multiLevelType w:val="multilevel"/>
    <w:tmpl w:val="87CAC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A8187B"/>
    <w:multiLevelType w:val="multilevel"/>
    <w:tmpl w:val="A9105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12D7325"/>
    <w:multiLevelType w:val="multilevel"/>
    <w:tmpl w:val="59AC9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3A56DD1"/>
    <w:multiLevelType w:val="multilevel"/>
    <w:tmpl w:val="5672A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52A441B"/>
    <w:multiLevelType w:val="multilevel"/>
    <w:tmpl w:val="23C0E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747637F"/>
    <w:multiLevelType w:val="multilevel"/>
    <w:tmpl w:val="7700B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7A45823"/>
    <w:multiLevelType w:val="multilevel"/>
    <w:tmpl w:val="1ADA6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8FD0BD2"/>
    <w:multiLevelType w:val="multilevel"/>
    <w:tmpl w:val="6C66F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F4870BE"/>
    <w:multiLevelType w:val="multilevel"/>
    <w:tmpl w:val="D7B48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2090327"/>
    <w:multiLevelType w:val="multilevel"/>
    <w:tmpl w:val="58066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2C66D0E"/>
    <w:multiLevelType w:val="multilevel"/>
    <w:tmpl w:val="FA542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14601A"/>
    <w:multiLevelType w:val="multilevel"/>
    <w:tmpl w:val="33F22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617A50"/>
    <w:multiLevelType w:val="multilevel"/>
    <w:tmpl w:val="2348C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9464094"/>
    <w:multiLevelType w:val="multilevel"/>
    <w:tmpl w:val="55422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AF00C3D"/>
    <w:multiLevelType w:val="multilevel"/>
    <w:tmpl w:val="862E3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83861551">
    <w:abstractNumId w:val="27"/>
  </w:num>
  <w:num w:numId="2" w16cid:durableId="354959673">
    <w:abstractNumId w:val="28"/>
  </w:num>
  <w:num w:numId="3" w16cid:durableId="1134711344">
    <w:abstractNumId w:val="10"/>
  </w:num>
  <w:num w:numId="4" w16cid:durableId="1665741294">
    <w:abstractNumId w:val="22"/>
  </w:num>
  <w:num w:numId="5" w16cid:durableId="1111125904">
    <w:abstractNumId w:val="17"/>
  </w:num>
  <w:num w:numId="6" w16cid:durableId="525949677">
    <w:abstractNumId w:val="12"/>
  </w:num>
  <w:num w:numId="7" w16cid:durableId="1777750095">
    <w:abstractNumId w:val="11"/>
  </w:num>
  <w:num w:numId="8" w16cid:durableId="2125880372">
    <w:abstractNumId w:val="20"/>
  </w:num>
  <w:num w:numId="9" w16cid:durableId="469253462">
    <w:abstractNumId w:val="0"/>
  </w:num>
  <w:num w:numId="10" w16cid:durableId="1668513775">
    <w:abstractNumId w:val="25"/>
  </w:num>
  <w:num w:numId="11" w16cid:durableId="833452659">
    <w:abstractNumId w:val="8"/>
  </w:num>
  <w:num w:numId="12" w16cid:durableId="1489174665">
    <w:abstractNumId w:val="6"/>
  </w:num>
  <w:num w:numId="13" w16cid:durableId="1478187453">
    <w:abstractNumId w:val="16"/>
  </w:num>
  <w:num w:numId="14" w16cid:durableId="884946832">
    <w:abstractNumId w:val="26"/>
  </w:num>
  <w:num w:numId="15" w16cid:durableId="56782987">
    <w:abstractNumId w:val="9"/>
  </w:num>
  <w:num w:numId="16" w16cid:durableId="1364289486">
    <w:abstractNumId w:val="19"/>
  </w:num>
  <w:num w:numId="17" w16cid:durableId="1125150517">
    <w:abstractNumId w:val="2"/>
  </w:num>
  <w:num w:numId="18" w16cid:durableId="1967001327">
    <w:abstractNumId w:val="3"/>
  </w:num>
  <w:num w:numId="19" w16cid:durableId="991103608">
    <w:abstractNumId w:val="21"/>
  </w:num>
  <w:num w:numId="20" w16cid:durableId="819154947">
    <w:abstractNumId w:val="1"/>
  </w:num>
  <w:num w:numId="21" w16cid:durableId="1899509373">
    <w:abstractNumId w:val="18"/>
  </w:num>
  <w:num w:numId="22" w16cid:durableId="1101334544">
    <w:abstractNumId w:val="23"/>
  </w:num>
  <w:num w:numId="23" w16cid:durableId="658466752">
    <w:abstractNumId w:val="15"/>
  </w:num>
  <w:num w:numId="24" w16cid:durableId="1018704114">
    <w:abstractNumId w:val="14"/>
  </w:num>
  <w:num w:numId="25" w16cid:durableId="1742173508">
    <w:abstractNumId w:val="24"/>
  </w:num>
  <w:num w:numId="26" w16cid:durableId="1609042618">
    <w:abstractNumId w:val="5"/>
  </w:num>
  <w:num w:numId="27" w16cid:durableId="176389985">
    <w:abstractNumId w:val="13"/>
  </w:num>
  <w:num w:numId="28" w16cid:durableId="940258170">
    <w:abstractNumId w:val="4"/>
  </w:num>
  <w:num w:numId="29" w16cid:durableId="51493034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DB7"/>
    <w:rsid w:val="000419F7"/>
    <w:rsid w:val="00083397"/>
    <w:rsid w:val="00087FFB"/>
    <w:rsid w:val="000B05FF"/>
    <w:rsid w:val="000B19E1"/>
    <w:rsid w:val="000C2370"/>
    <w:rsid w:val="00116AA6"/>
    <w:rsid w:val="00136845"/>
    <w:rsid w:val="00170163"/>
    <w:rsid w:val="001949B7"/>
    <w:rsid w:val="001B3A62"/>
    <w:rsid w:val="001B40CF"/>
    <w:rsid w:val="00212C71"/>
    <w:rsid w:val="00241146"/>
    <w:rsid w:val="00285824"/>
    <w:rsid w:val="003B57AE"/>
    <w:rsid w:val="003D53C0"/>
    <w:rsid w:val="00413DA9"/>
    <w:rsid w:val="004405E7"/>
    <w:rsid w:val="00467AE7"/>
    <w:rsid w:val="004C2EA9"/>
    <w:rsid w:val="004E5A14"/>
    <w:rsid w:val="004F03DD"/>
    <w:rsid w:val="00511212"/>
    <w:rsid w:val="005141E0"/>
    <w:rsid w:val="00562703"/>
    <w:rsid w:val="005B7CB6"/>
    <w:rsid w:val="005D4EDD"/>
    <w:rsid w:val="005D5CEF"/>
    <w:rsid w:val="00693784"/>
    <w:rsid w:val="006F4321"/>
    <w:rsid w:val="00835870"/>
    <w:rsid w:val="00855347"/>
    <w:rsid w:val="00880BFD"/>
    <w:rsid w:val="008B6041"/>
    <w:rsid w:val="008B71BA"/>
    <w:rsid w:val="008C0781"/>
    <w:rsid w:val="008C6C48"/>
    <w:rsid w:val="008E5F49"/>
    <w:rsid w:val="008F4C40"/>
    <w:rsid w:val="00990958"/>
    <w:rsid w:val="00A1458B"/>
    <w:rsid w:val="00AA4BF7"/>
    <w:rsid w:val="00B04958"/>
    <w:rsid w:val="00B14807"/>
    <w:rsid w:val="00B372FE"/>
    <w:rsid w:val="00B60086"/>
    <w:rsid w:val="00B707CA"/>
    <w:rsid w:val="00B81706"/>
    <w:rsid w:val="00B9735F"/>
    <w:rsid w:val="00BB19E7"/>
    <w:rsid w:val="00C938AB"/>
    <w:rsid w:val="00CF614A"/>
    <w:rsid w:val="00D00BCC"/>
    <w:rsid w:val="00D028D5"/>
    <w:rsid w:val="00D52077"/>
    <w:rsid w:val="00D61DF5"/>
    <w:rsid w:val="00D63A54"/>
    <w:rsid w:val="00D74FAF"/>
    <w:rsid w:val="00DD470D"/>
    <w:rsid w:val="00DF6C3D"/>
    <w:rsid w:val="00EE4B82"/>
    <w:rsid w:val="00EE61CA"/>
    <w:rsid w:val="00F456BE"/>
    <w:rsid w:val="00F81441"/>
    <w:rsid w:val="00F82A9B"/>
    <w:rsid w:val="00FC5DB7"/>
    <w:rsid w:val="00FE28D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8D32B0"/>
  <w15:docId w15:val="{676EB3E8-BC61-FB4D-AF29-B15924714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D"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5DB7"/>
    <w:rPr>
      <w:rFonts w:ascii="Times New Roman" w:hAnsi="Times New Roman" w:cs="Times New Roman"/>
    </w:rPr>
  </w:style>
  <w:style w:type="paragraph" w:styleId="Heading1">
    <w:name w:val="heading 1"/>
    <w:basedOn w:val="Normal"/>
    <w:next w:val="Normal"/>
    <w:link w:val="Heading1Char"/>
    <w:uiPriority w:val="9"/>
    <w:qFormat/>
    <w:rsid w:val="00FC5DB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autoRedefine/>
    <w:semiHidden/>
    <w:unhideWhenUsed/>
    <w:qFormat/>
    <w:rsid w:val="008B6041"/>
    <w:pPr>
      <w:keepNext/>
      <w:keepLines/>
      <w:spacing w:before="40"/>
      <w:outlineLvl w:val="1"/>
    </w:pPr>
    <w:rPr>
      <w:rFonts w:asciiTheme="majorHAnsi" w:eastAsiaTheme="majorEastAsia" w:hAnsiTheme="majorHAnsi" w:cstheme="majorBidi"/>
      <w:color w:val="0F4761" w:themeColor="accent1" w:themeShade="BF"/>
      <w:sz w:val="26"/>
      <w:szCs w:val="26"/>
    </w:rPr>
  </w:style>
  <w:style w:type="paragraph" w:styleId="Heading3">
    <w:name w:val="heading 3"/>
    <w:basedOn w:val="Normal"/>
    <w:next w:val="Normal"/>
    <w:link w:val="Heading3Char"/>
    <w:uiPriority w:val="9"/>
    <w:semiHidden/>
    <w:unhideWhenUsed/>
    <w:qFormat/>
    <w:rsid w:val="00FC5DB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C5DB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C5DB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C5DB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C5DB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C5DB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C5DB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Bibliography"/>
    <w:qFormat/>
    <w:rsid w:val="00A1458B"/>
    <w:pPr>
      <w:spacing w:line="480" w:lineRule="atLeast"/>
    </w:pPr>
    <w:rPr>
      <w:rFonts w:eastAsia="Cambria" w:cs="Cambria"/>
      <w:b/>
    </w:rPr>
  </w:style>
  <w:style w:type="paragraph" w:styleId="Bibliography">
    <w:name w:val="Bibliography"/>
    <w:basedOn w:val="Normal"/>
    <w:next w:val="Normal"/>
    <w:uiPriority w:val="37"/>
    <w:unhideWhenUsed/>
    <w:rsid w:val="00EE4B82"/>
    <w:pPr>
      <w:tabs>
        <w:tab w:val="left" w:pos="380"/>
      </w:tabs>
      <w:ind w:left="720" w:hanging="720"/>
    </w:pPr>
    <w:rPr>
      <w:rFonts w:eastAsia="Times New Roman"/>
      <w:kern w:val="0"/>
      <w14:ligatures w14:val="none"/>
    </w:rPr>
  </w:style>
  <w:style w:type="paragraph" w:customStyle="1" w:styleId="Style2">
    <w:name w:val="Style2"/>
    <w:basedOn w:val="Bibliography"/>
    <w:autoRedefine/>
    <w:qFormat/>
    <w:rsid w:val="00A1458B"/>
    <w:rPr>
      <w:rFonts w:eastAsia="Cambria" w:cs="Cambria"/>
    </w:rPr>
  </w:style>
  <w:style w:type="character" w:styleId="Strong">
    <w:name w:val="Strong"/>
    <w:basedOn w:val="DefaultParagraphFont"/>
    <w:uiPriority w:val="22"/>
    <w:qFormat/>
    <w:rsid w:val="00AA4BF7"/>
    <w:rPr>
      <w:b/>
      <w:bCs/>
    </w:rPr>
  </w:style>
  <w:style w:type="character" w:customStyle="1" w:styleId="Heading2Char">
    <w:name w:val="Heading 2 Char"/>
    <w:basedOn w:val="DefaultParagraphFont"/>
    <w:link w:val="Heading2"/>
    <w:semiHidden/>
    <w:rsid w:val="008B6041"/>
    <w:rPr>
      <w:rFonts w:asciiTheme="majorHAnsi" w:eastAsiaTheme="majorEastAsia" w:hAnsiTheme="majorHAnsi" w:cstheme="majorBidi"/>
      <w:color w:val="0F4761" w:themeColor="accent1" w:themeShade="BF"/>
      <w:sz w:val="26"/>
      <w:szCs w:val="26"/>
    </w:rPr>
  </w:style>
  <w:style w:type="character" w:customStyle="1" w:styleId="Heading1Char">
    <w:name w:val="Heading 1 Char"/>
    <w:basedOn w:val="DefaultParagraphFont"/>
    <w:link w:val="Heading1"/>
    <w:uiPriority w:val="9"/>
    <w:rsid w:val="00FC5DB7"/>
    <w:rPr>
      <w:rFonts w:asciiTheme="majorHAnsi" w:eastAsiaTheme="majorEastAsia" w:hAnsiTheme="majorHAnsi" w:cstheme="majorBidi"/>
      <w:color w:val="0F4761" w:themeColor="accent1" w:themeShade="BF"/>
      <w:sz w:val="40"/>
      <w:szCs w:val="40"/>
    </w:rPr>
  </w:style>
  <w:style w:type="character" w:customStyle="1" w:styleId="Heading3Char">
    <w:name w:val="Heading 3 Char"/>
    <w:basedOn w:val="DefaultParagraphFont"/>
    <w:link w:val="Heading3"/>
    <w:uiPriority w:val="9"/>
    <w:semiHidden/>
    <w:rsid w:val="00FC5DB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C5DB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C5DB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C5DB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C5DB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C5DB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C5DB7"/>
    <w:rPr>
      <w:rFonts w:eastAsiaTheme="majorEastAsia" w:cstheme="majorBidi"/>
      <w:color w:val="272727" w:themeColor="text1" w:themeTint="D8"/>
    </w:rPr>
  </w:style>
  <w:style w:type="paragraph" w:styleId="Title">
    <w:name w:val="Title"/>
    <w:basedOn w:val="Normal"/>
    <w:next w:val="Normal"/>
    <w:link w:val="TitleChar"/>
    <w:qFormat/>
    <w:rsid w:val="00FC5DB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C5DB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C5DB7"/>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C5DB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C5DB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C5DB7"/>
    <w:rPr>
      <w:i/>
      <w:iCs/>
      <w:color w:val="404040" w:themeColor="text1" w:themeTint="BF"/>
    </w:rPr>
  </w:style>
  <w:style w:type="paragraph" w:styleId="ListParagraph">
    <w:name w:val="List Paragraph"/>
    <w:basedOn w:val="Normal"/>
    <w:uiPriority w:val="34"/>
    <w:qFormat/>
    <w:rsid w:val="00FC5DB7"/>
    <w:pPr>
      <w:ind w:left="720"/>
      <w:contextualSpacing/>
    </w:pPr>
  </w:style>
  <w:style w:type="character" w:styleId="IntenseEmphasis">
    <w:name w:val="Intense Emphasis"/>
    <w:basedOn w:val="DefaultParagraphFont"/>
    <w:uiPriority w:val="21"/>
    <w:qFormat/>
    <w:rsid w:val="00FC5DB7"/>
    <w:rPr>
      <w:i/>
      <w:iCs/>
      <w:color w:val="0F4761" w:themeColor="accent1" w:themeShade="BF"/>
    </w:rPr>
  </w:style>
  <w:style w:type="paragraph" w:styleId="IntenseQuote">
    <w:name w:val="Intense Quote"/>
    <w:basedOn w:val="Normal"/>
    <w:next w:val="Normal"/>
    <w:link w:val="IntenseQuoteChar"/>
    <w:uiPriority w:val="30"/>
    <w:qFormat/>
    <w:rsid w:val="00FC5DB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C5DB7"/>
    <w:rPr>
      <w:i/>
      <w:iCs/>
      <w:color w:val="0F4761" w:themeColor="accent1" w:themeShade="BF"/>
    </w:rPr>
  </w:style>
  <w:style w:type="character" w:styleId="IntenseReference">
    <w:name w:val="Intense Reference"/>
    <w:basedOn w:val="DefaultParagraphFont"/>
    <w:uiPriority w:val="32"/>
    <w:qFormat/>
    <w:rsid w:val="00FC5DB7"/>
    <w:rPr>
      <w:b/>
      <w:bCs/>
      <w:smallCaps/>
      <w:color w:val="0F4761" w:themeColor="accent1" w:themeShade="BF"/>
      <w:spacing w:val="5"/>
    </w:rPr>
  </w:style>
  <w:style w:type="paragraph" w:customStyle="1" w:styleId="Authors">
    <w:name w:val="Authors"/>
    <w:basedOn w:val="Normal"/>
    <w:next w:val="Normal"/>
    <w:rsid w:val="00FC5DB7"/>
    <w:pPr>
      <w:framePr w:w="9072" w:hSpace="187" w:vSpace="187" w:wrap="notBeside" w:vAnchor="text" w:hAnchor="page" w:xAlign="center" w:y="1"/>
      <w:autoSpaceDE w:val="0"/>
      <w:autoSpaceDN w:val="0"/>
      <w:spacing w:after="320"/>
      <w:jc w:val="center"/>
    </w:pPr>
    <w:rPr>
      <w:rFonts w:eastAsia="Times New Roman"/>
      <w:kern w:val="0"/>
      <w:sz w:val="22"/>
      <w:szCs w:val="22"/>
      <w:lang w:val="en-US"/>
      <w14:ligatures w14:val="none"/>
    </w:rPr>
  </w:style>
  <w:style w:type="character" w:styleId="Hyperlink">
    <w:name w:val="Hyperlink"/>
    <w:basedOn w:val="DefaultParagraphFont"/>
    <w:uiPriority w:val="99"/>
    <w:unhideWhenUsed/>
    <w:rsid w:val="00467AE7"/>
    <w:rPr>
      <w:color w:val="467886" w:themeColor="hyperlink"/>
      <w:u w:val="single"/>
    </w:rPr>
  </w:style>
  <w:style w:type="character" w:customStyle="1" w:styleId="UnresolvedMention1">
    <w:name w:val="Unresolved Mention1"/>
    <w:basedOn w:val="DefaultParagraphFont"/>
    <w:uiPriority w:val="99"/>
    <w:semiHidden/>
    <w:unhideWhenUsed/>
    <w:rsid w:val="00467AE7"/>
    <w:rPr>
      <w:color w:val="605E5C"/>
      <w:shd w:val="clear" w:color="auto" w:fill="E1DFDD"/>
    </w:rPr>
  </w:style>
  <w:style w:type="paragraph" w:styleId="Caption">
    <w:name w:val="caption"/>
    <w:basedOn w:val="Normal"/>
    <w:next w:val="Normal"/>
    <w:uiPriority w:val="35"/>
    <w:unhideWhenUsed/>
    <w:qFormat/>
    <w:rsid w:val="00087FFB"/>
    <w:pPr>
      <w:spacing w:after="200"/>
    </w:pPr>
    <w:rPr>
      <w:i/>
      <w:iCs/>
      <w:color w:val="0E2841" w:themeColor="text2"/>
      <w:sz w:val="18"/>
      <w:szCs w:val="18"/>
    </w:rPr>
  </w:style>
  <w:style w:type="paragraph" w:styleId="NormalWeb">
    <w:name w:val="Normal (Web)"/>
    <w:basedOn w:val="Normal"/>
    <w:uiPriority w:val="99"/>
    <w:semiHidden/>
    <w:unhideWhenUsed/>
    <w:rsid w:val="00B81706"/>
  </w:style>
  <w:style w:type="table" w:styleId="PlainTable2">
    <w:name w:val="Plain Table 2"/>
    <w:basedOn w:val="TableNormal"/>
    <w:uiPriority w:val="42"/>
    <w:rsid w:val="00B0495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43BB4D-B712-49A3-85E2-5CF4736B4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16035</Words>
  <Characters>105195</Characters>
  <Application>Microsoft Office Word</Application>
  <DocSecurity>0</DocSecurity>
  <Lines>1546</Lines>
  <Paragraphs>387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EKO NURSANTY</dc:creator>
  <cp:keywords/>
  <dc:description/>
  <cp:lastModifiedBy>EKO NURSANTY</cp:lastModifiedBy>
  <cp:revision>2</cp:revision>
  <dcterms:created xsi:type="dcterms:W3CDTF">2026-04-18T18:29:00Z</dcterms:created>
  <dcterms:modified xsi:type="dcterms:W3CDTF">2026-04-18T18:29:00Z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zotero-version="7.0.32"&gt;&lt;session id="owZssxfv"/&gt;&lt;style id="http://www.zotero.org/styles/apa" locale="en-US" hasBibliography="1" bibliographyStyleHasBeenSet="1"/&gt;&lt;prefs&gt;&lt;pref name="fieldType" value="Field"/&gt;&lt;/prefs&gt;&lt;/data&gt;</vt:lpwstr>
  </property>
</Properties>
</file>