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9E4B" w14:textId="77777777" w:rsidR="006235D2" w:rsidRPr="00E03577" w:rsidRDefault="006235D2" w:rsidP="006235D2">
      <w:pPr>
        <w:jc w:val="center"/>
        <w:rPr>
          <w:color w:val="2F5496" w:themeColor="accent1" w:themeShade="BF"/>
        </w:rPr>
      </w:pPr>
      <w:r w:rsidRPr="00E03577">
        <w:rPr>
          <w:color w:val="2F5496" w:themeColor="accent1" w:themeShade="BF"/>
        </w:rPr>
        <w:t>AI-DRIVEN COMPENSATION TRANSPARENCY AND HUMAN CAPITAL ACCOUNTING DISCLOSURE:</w:t>
      </w:r>
      <w:r>
        <w:rPr>
          <w:color w:val="2F5496" w:themeColor="accent1" w:themeShade="BF"/>
        </w:rPr>
        <w:t xml:space="preserve"> </w:t>
      </w:r>
      <w:r w:rsidRPr="00E03577">
        <w:rPr>
          <w:color w:val="2F5496" w:themeColor="accent1" w:themeShade="BF"/>
        </w:rPr>
        <w:t>A Framework for Manufacturing Organizations in Emerging Economies</w:t>
      </w:r>
    </w:p>
    <w:p w14:paraId="3B268089" w14:textId="77777777" w:rsidR="006235D2" w:rsidRDefault="006235D2" w:rsidP="006235D2">
      <w:pPr>
        <w:spacing w:line="240" w:lineRule="auto"/>
        <w:jc w:val="both"/>
      </w:pPr>
      <w:r w:rsidRPr="00A97903">
        <w:rPr>
          <w:b/>
          <w:bCs/>
        </w:rPr>
        <w:t>Author:</w:t>
      </w:r>
      <w:r>
        <w:t xml:space="preserve"> Dr. Thanakit Ouanhlee</w:t>
      </w:r>
    </w:p>
    <w:p w14:paraId="4F1DCE5A" w14:textId="77777777" w:rsidR="006235D2" w:rsidRDefault="006235D2" w:rsidP="006235D2">
      <w:pPr>
        <w:spacing w:line="240" w:lineRule="auto"/>
        <w:jc w:val="both"/>
      </w:pPr>
      <w:r>
        <w:t xml:space="preserve">California Intercontinental University, Irvine, USA., </w:t>
      </w:r>
      <w:proofErr w:type="spellStart"/>
      <w:r>
        <w:t>Thipsamai</w:t>
      </w:r>
      <w:proofErr w:type="spellEnd"/>
      <w:r>
        <w:t xml:space="preserve"> Research Institute, Bangkok, Thailand</w:t>
      </w:r>
    </w:p>
    <w:p w14:paraId="45823095" w14:textId="77777777" w:rsidR="006235D2" w:rsidRDefault="006235D2" w:rsidP="006235D2">
      <w:pPr>
        <w:spacing w:line="240" w:lineRule="auto"/>
        <w:jc w:val="both"/>
      </w:pPr>
      <w:r w:rsidRPr="00A97903">
        <w:rPr>
          <w:b/>
          <w:bCs/>
        </w:rPr>
        <w:t xml:space="preserve">Email: </w:t>
      </w:r>
      <w:r>
        <w:t xml:space="preserve">eric.ouanhlee@gmail.com; </w:t>
      </w:r>
      <w:r w:rsidRPr="00B11C9A">
        <w:t>thanakit@thipsamairesearch.org</w:t>
      </w:r>
      <w:r>
        <w:t xml:space="preserve"> </w:t>
      </w:r>
    </w:p>
    <w:p w14:paraId="2E8E8E76" w14:textId="77777777" w:rsidR="006235D2" w:rsidRPr="00B11C9A" w:rsidRDefault="006235D2" w:rsidP="006235D2">
      <w:pPr>
        <w:jc w:val="both"/>
      </w:pPr>
      <w:r>
        <w:t>………………………………………………………………………………………………….</w:t>
      </w:r>
    </w:p>
    <w:p w14:paraId="2DFBFF8A" w14:textId="77777777" w:rsidR="006235D2" w:rsidRPr="00C74F59" w:rsidRDefault="006235D2" w:rsidP="006235D2">
      <w:pPr>
        <w:jc w:val="both"/>
        <w:rPr>
          <w:b/>
          <w:bCs/>
        </w:rPr>
      </w:pPr>
      <w:r w:rsidRPr="00C74F59">
        <w:rPr>
          <w:b/>
          <w:bCs/>
        </w:rPr>
        <w:t>ABSTRACT</w:t>
      </w:r>
    </w:p>
    <w:p w14:paraId="0D36404C" w14:textId="77777777" w:rsidR="00724C44" w:rsidRPr="00724C44" w:rsidRDefault="00724C44" w:rsidP="00724C44">
      <w:pPr>
        <w:jc w:val="both"/>
      </w:pPr>
      <w:r w:rsidRPr="00724C44">
        <w:rPr>
          <w:b/>
          <w:bCs/>
        </w:rPr>
        <w:t>Purpose:</w:t>
      </w:r>
      <w:r w:rsidRPr="00724C44">
        <w:t xml:space="preserve"> This study investigated the relationship between AI integration in compensation systems and the quality of human capital accounting disclosure (HCAD) among manufacturing organizations in Thailand's Eastern Economic Corridor (EEC</w:t>
      </w:r>
      <w:proofErr w:type="gramStart"/>
      <w:r w:rsidRPr="00724C44">
        <w:t>), and</w:t>
      </w:r>
      <w:proofErr w:type="gramEnd"/>
      <w:r w:rsidRPr="00724C44">
        <w:t xml:space="preserve"> developed and validated an integrated framework that links AI-driven compensation analytics to human capital disclosure practices.</w:t>
      </w:r>
    </w:p>
    <w:p w14:paraId="754D66AB" w14:textId="5C37C8A0" w:rsidR="00724C44" w:rsidRPr="00724C44" w:rsidRDefault="00724C44" w:rsidP="00724C44">
      <w:pPr>
        <w:jc w:val="both"/>
      </w:pPr>
      <w:r w:rsidRPr="00724C44">
        <w:rPr>
          <w:b/>
          <w:bCs/>
        </w:rPr>
        <w:t>Design/Methodology/Approach:</w:t>
      </w:r>
      <w:r w:rsidRPr="00724C44">
        <w:t xml:space="preserve"> A cross-sectional, exploratory sequential explanatory mixed-methods design was employed, combining quantitative survey data from 400 manufacturing organizations across Chonburi, Rayong, and Chachoengsao with qualitative thematic analysis of three open-ended questions embedded in the same survey instrument. Quantitative analysis used correlation analysis, Cronbach's alpha reliability testing, and subgroup moderation testing through Fisher's z-test. Qualitative analysis followed Braun and Clarke's (2021) six-phase thematic method, with quantitative and qualitative findings integrated through a joint display (Fetters et al., 2013). Confirmatory factor analysis, bootstrapped mediation testing, and inferential moderated regression are committed to the next research phase.</w:t>
      </w:r>
    </w:p>
    <w:p w14:paraId="35689DC4" w14:textId="77777777" w:rsidR="00724C44" w:rsidRPr="00724C44" w:rsidRDefault="00724C44" w:rsidP="00724C44">
      <w:pPr>
        <w:jc w:val="both"/>
      </w:pPr>
      <w:r w:rsidRPr="00724C44">
        <w:rPr>
          <w:b/>
          <w:bCs/>
        </w:rPr>
        <w:t>Findings:</w:t>
      </w:r>
      <w:r w:rsidRPr="00724C44">
        <w:t xml:space="preserve"> AI integration in compensation systems demonstrated moderate-to-high levels (M = 4.73), while human capital disclosure quality remained persistently low (M = 2.98), producing a data-to-disclosure gap of 1.75 points. The direct relationship between AI integration and HCAD quality was not supported (H1: r = −0.075, p = .132), nor was mediation by integration protocols (H2) or moderation by organizational size (H4). Pay transparency was confirmed as a significant positive moderator (H3: z = 2.25, p = .024), demonstrating that organizational transparency culture — rather than technological capability alone — conditions disclosure outcomes. Qualitative themes (organizational readiness, governance, ethical legitimacy) provided convergent evidence from an independent methodological lens. A tiered AI–Human Capital Accounting Disclosure (AI-HCAD) implementation framework was developed and validated across organizational segments. Barrier–enabler analysis revealed that technical constraints (M = 3.67) and weak external support structures (M = 2.45) sustain the gap between AI capability and disclosure practice.</w:t>
      </w:r>
    </w:p>
    <w:p w14:paraId="0979348F" w14:textId="77777777" w:rsidR="00724C44" w:rsidRPr="00724C44" w:rsidRDefault="00724C44" w:rsidP="00724C44">
      <w:pPr>
        <w:jc w:val="both"/>
      </w:pPr>
      <w:r w:rsidRPr="00724C44">
        <w:rPr>
          <w:b/>
          <w:bCs/>
        </w:rPr>
        <w:t>Practical Implications:</w:t>
      </w:r>
      <w:r w:rsidRPr="00724C44">
        <w:t xml:space="preserve"> Manufacturing organizations must invest simultaneously in AI infrastructure and in an internal transparency culture to translate data capabilities into stakeholder-accessible disclosures. Policymakers and industry bodies should strengthen external enablers through regulatory guidance and technical assistance frameworks.</w:t>
      </w:r>
    </w:p>
    <w:p w14:paraId="09E208F3" w14:textId="77777777" w:rsidR="00724C44" w:rsidRPr="00724C44" w:rsidRDefault="00724C44" w:rsidP="00724C44">
      <w:pPr>
        <w:jc w:val="both"/>
      </w:pPr>
      <w:r w:rsidRPr="00724C44">
        <w:rPr>
          <w:b/>
          <w:bCs/>
        </w:rPr>
        <w:lastRenderedPageBreak/>
        <w:t>Originality/Value:</w:t>
      </w:r>
      <w:r w:rsidRPr="00724C44">
        <w:t xml:space="preserve"> This study provides the first empirically grounded framework that integrates AI-driven compensation systems with human capital accounting disclosure in emerging-economy manufacturing. The findings reframe AI integration as a necessary but not sufficient condition for disclosure quality — institutional readiness, embodied in pay transparency, is the enabling mechanism that translates technological capability into stakeholder-accessible reporting. By demonstrating that institutional readiness, not technological capacity, conditions disclosure outcomes, the study advances theory across AI transparency, human capital accounting, and organizational disclosure behavior.</w:t>
      </w:r>
    </w:p>
    <w:p w14:paraId="3F7E1231" w14:textId="77777777" w:rsidR="00724C44" w:rsidRPr="00724C44" w:rsidRDefault="00724C44" w:rsidP="00724C44">
      <w:pPr>
        <w:jc w:val="both"/>
      </w:pPr>
      <w:r w:rsidRPr="00724C44">
        <w:rPr>
          <w:b/>
          <w:bCs/>
        </w:rPr>
        <w:t>Keywords:</w:t>
      </w:r>
      <w:r w:rsidRPr="00724C44">
        <w:t xml:space="preserve"> Human capital accounting, AI compensation systems, pay transparency, financial disclosure, manufacturing organizations, emerging economies, Thailand EEC, workforce analytics</w:t>
      </w:r>
    </w:p>
    <w:p w14:paraId="27FDF3BD" w14:textId="77777777" w:rsidR="00DE76D7" w:rsidRDefault="00DE76D7" w:rsidP="00DE76D7">
      <w:pPr>
        <w:spacing w:line="240" w:lineRule="auto"/>
        <w:jc w:val="both"/>
        <w:rPr>
          <w:b/>
        </w:rPr>
      </w:pPr>
    </w:p>
    <w:p w14:paraId="1D29A752" w14:textId="1283F875" w:rsidR="00DE76D7" w:rsidRPr="00DE76D7" w:rsidRDefault="00DE76D7" w:rsidP="00DE76D7">
      <w:pPr>
        <w:spacing w:line="240" w:lineRule="auto"/>
        <w:jc w:val="both"/>
      </w:pPr>
      <w:r w:rsidRPr="00DE76D7">
        <w:rPr>
          <w:b/>
        </w:rPr>
        <w:t>1. INTRODUCTION</w:t>
      </w:r>
    </w:p>
    <w:p w14:paraId="6204BE24" w14:textId="77777777" w:rsidR="00DE76D7" w:rsidRPr="00DE76D7" w:rsidRDefault="00DE76D7" w:rsidP="00DE76D7">
      <w:pPr>
        <w:spacing w:line="240" w:lineRule="auto"/>
        <w:jc w:val="both"/>
      </w:pPr>
      <w:r w:rsidRPr="00DE76D7">
        <w:rPr>
          <w:b/>
        </w:rPr>
        <w:t>1.1 Background and Rationale</w:t>
      </w:r>
    </w:p>
    <w:p w14:paraId="6AFF649C" w14:textId="77777777" w:rsidR="00DE76D7" w:rsidRPr="00DE76D7" w:rsidRDefault="00DE76D7" w:rsidP="00DE76D7">
      <w:pPr>
        <w:spacing w:line="240" w:lineRule="auto"/>
        <w:jc w:val="both"/>
      </w:pPr>
      <w:r w:rsidRPr="00DE76D7">
        <w:t>Three developments are transforming how organizations manage, value, and report human capital, yet have evolved along separate trajectories: the rapid integration of artificial intelligence (AI) into compensation and payroll systems, the global expansion of pay-transparency legislation, and heightened expectations for human capital disclosure.</w:t>
      </w:r>
    </w:p>
    <w:p w14:paraId="62C3A656" w14:textId="77777777" w:rsidR="00DE76D7" w:rsidRPr="00DE76D7" w:rsidRDefault="00DE76D7" w:rsidP="00DE76D7">
      <w:pPr>
        <w:spacing w:line="240" w:lineRule="auto"/>
        <w:jc w:val="both"/>
      </w:pPr>
      <w:r w:rsidRPr="00DE76D7">
        <w:t>AI and machine learning are fundamentally transforming payroll management, enabling automated processing, compliance monitoring, anomaly detection, workforce analytics, and predictive decision-making (</w:t>
      </w:r>
      <w:proofErr w:type="spellStart"/>
      <w:r w:rsidRPr="00DE76D7">
        <w:t>Meenugu</w:t>
      </w:r>
      <w:proofErr w:type="spellEnd"/>
      <w:r w:rsidRPr="00DE76D7">
        <w:t>, 2025c), allowing HR professionals to shift from routine administrative processing to strategic workforce planning (Patel, 2025). Predictive analytics now enables pay equity monitoring and forward-looking workforce planning beyond traditional payroll systems (Arulappan, 2025).</w:t>
      </w:r>
    </w:p>
    <w:p w14:paraId="06D12037" w14:textId="77777777" w:rsidR="00DE76D7" w:rsidRPr="00DE76D7" w:rsidRDefault="00DE76D7" w:rsidP="00DE76D7">
      <w:pPr>
        <w:spacing w:line="240" w:lineRule="auto"/>
        <w:jc w:val="both"/>
      </w:pPr>
      <w:proofErr w:type="gramStart"/>
      <w:r w:rsidRPr="00DE76D7">
        <w:t>Concurrent</w:t>
      </w:r>
      <w:proofErr w:type="gramEnd"/>
      <w:r w:rsidRPr="00DE76D7">
        <w:t xml:space="preserve"> with these technological advances, pay transparency regulations are rapidly expanding across jurisdictions, driven by a growing commitment to addressing workplace compensation inequities. Both the United States and European Union are implementing comprehensive pay transparency measures (</w:t>
      </w:r>
      <w:proofErr w:type="spellStart"/>
      <w:r w:rsidRPr="00DE76D7">
        <w:t>Avdul</w:t>
      </w:r>
      <w:proofErr w:type="spellEnd"/>
      <w:r w:rsidRPr="00DE76D7">
        <w:t xml:space="preserve"> et al., 2023; </w:t>
      </w:r>
      <w:proofErr w:type="spellStart"/>
      <w:r w:rsidRPr="00DE76D7">
        <w:t>Lahuerta</w:t>
      </w:r>
      <w:proofErr w:type="spellEnd"/>
      <w:r w:rsidRPr="00DE76D7">
        <w:t xml:space="preserve"> et al., 2024). The European Union’s Pay Transparency Directive (Directive 2023/970), requiring full implementation by June 2026, establishes harmonized disclosure requirements across member states, aiming to strengthen the principle of equal pay through transparency and enforcement mechanisms (Križan, 2025). In the United States, states such as California, Colorado, Washington, and New York have enacted legislation requiring salary-range disclosure in job postings, reflecting a broader national movement toward pay openness (Cullen, 2023). These developments reflect a strategic approach to reducing compensation disparities, with researchers noting that pay transparency can help close pay gaps, reduce employee turnover, and elevate trust in organizations (</w:t>
      </w:r>
      <w:proofErr w:type="spellStart"/>
      <w:r w:rsidRPr="00DE76D7">
        <w:t>Avdul</w:t>
      </w:r>
      <w:proofErr w:type="spellEnd"/>
      <w:r w:rsidRPr="00DE76D7">
        <w:t xml:space="preserve"> et al., 2023).</w:t>
      </w:r>
    </w:p>
    <w:p w14:paraId="1FCD91D5" w14:textId="77777777" w:rsidR="00DE76D7" w:rsidRPr="00DE76D7" w:rsidRDefault="00DE76D7" w:rsidP="00DE76D7">
      <w:pPr>
        <w:spacing w:line="240" w:lineRule="auto"/>
        <w:jc w:val="both"/>
      </w:pPr>
      <w:r w:rsidRPr="00DE76D7">
        <w:t>Despite regulatory momentum, the SEC’s 2020 principles-based mandate for human capital reporting has produced inconsistent results. Corporate disclosures have varied widely in length, tone, and numerical content, with language becoming increasingly generic over time (Demers et al., 2022). Quantitative metrics increased following the regulation but were primarily limited to diversity and turnover information (</w:t>
      </w:r>
      <w:proofErr w:type="spellStart"/>
      <w:r w:rsidRPr="00DE76D7">
        <w:t>Bourveau</w:t>
      </w:r>
      <w:proofErr w:type="spellEnd"/>
      <w:r w:rsidRPr="00DE76D7">
        <w:t xml:space="preserve"> et al., 2025), and disparities in disclosure attributes persist across companies (Pandit, 2023). While disclosure length increased, informativeness </w:t>
      </w:r>
      <w:r w:rsidRPr="00DE76D7">
        <w:lastRenderedPageBreak/>
        <w:t>remained limited, suggesting the regulatory approach has not yet achieved its intended transparency goals (Batish et al., 2021).</w:t>
      </w:r>
    </w:p>
    <w:p w14:paraId="2C606688" w14:textId="63188C39" w:rsidR="00DE76D7" w:rsidRPr="00DE76D7" w:rsidRDefault="00DE76D7" w:rsidP="00DE76D7">
      <w:pPr>
        <w:spacing w:line="240" w:lineRule="auto"/>
        <w:jc w:val="both"/>
      </w:pPr>
      <w:r w:rsidRPr="00DE76D7">
        <w:t>These challenges are particularly acute in emerging economies. Manufacturing organizations in Thailand and similar economies face significant challenges in human capital reporting and transparency within global value chains. While technology adoption is widespread, persistent limitations exist in logistics automation</w:t>
      </w:r>
      <w:r w:rsidR="00C313FF">
        <w:t>,</w:t>
      </w:r>
      <w:r w:rsidRPr="00DE76D7">
        <w:t xml:space="preserve"> and funding for advanced equipment (</w:t>
      </w:r>
      <w:proofErr w:type="spellStart"/>
      <w:r w:rsidRPr="00DE76D7">
        <w:t>Voraseyanont</w:t>
      </w:r>
      <w:proofErr w:type="spellEnd"/>
      <w:r w:rsidRPr="00DE76D7">
        <w:t xml:space="preserve"> &amp; Amali, 2020), and business pressures alone do not enhance technological readiness without intermediary support (Vong et al., 2025). These technological gaps compound reporting difficulties: human capital disclosure remains underdeveloped in emerging market firms, with few companies reporting comprehensive workforce metrics (Natsagdorj et al., 2025). Although sustainable HR practice frameworks have been identified as potential paths to improved transparency (</w:t>
      </w:r>
      <w:proofErr w:type="spellStart"/>
      <w:r w:rsidRPr="00DE76D7">
        <w:t>Napathorn</w:t>
      </w:r>
      <w:proofErr w:type="spellEnd"/>
      <w:r w:rsidRPr="00DE76D7">
        <w:t>, 2025), the evidence collectively points to a critical need for standardized reporting mechanisms and regulatory support.</w:t>
      </w:r>
    </w:p>
    <w:p w14:paraId="094A3432" w14:textId="77777777" w:rsidR="00DE76D7" w:rsidRPr="00DE76D7" w:rsidRDefault="00DE76D7" w:rsidP="00DE76D7">
      <w:pPr>
        <w:spacing w:line="240" w:lineRule="auto"/>
        <w:jc w:val="both"/>
      </w:pPr>
      <w:r w:rsidRPr="00DE76D7">
        <w:t>Despite their interdependence, technological innovation, pay transparency regulation, and human capital disclosure have mainly evolved in isolation. Technology vendors emphasize automation and compliance; regulators focus on transparency and equity; accounting standard-setters prioritize investor information needs. This fragmentation carries significant consequences: technological and regulatory divergence in accounting information systems leads to inefficiencies in allocation, operations, and error detection (</w:t>
      </w:r>
      <w:proofErr w:type="spellStart"/>
      <w:r w:rsidRPr="00DE76D7">
        <w:t>Vasarhelyi</w:t>
      </w:r>
      <w:proofErr w:type="spellEnd"/>
      <w:r w:rsidRPr="00DE76D7">
        <w:t>, 2012). The absence of an integrated framework not only perpetuates inconsistent reporting but also represents missed opportunities to examine the conditions under which AI-generated data may contribute to enhanced transparency and disclosure. Addressing this gap requires cross-domain collaboration; developing a comprehensive mapping of human capital components could provide the foundation for such an integrated framework (Saba et al., 2024).</w:t>
      </w:r>
    </w:p>
    <w:p w14:paraId="7EC10BE5" w14:textId="77777777" w:rsidR="00DE76D7" w:rsidRPr="00DE76D7" w:rsidRDefault="00DE76D7" w:rsidP="00DE76D7">
      <w:pPr>
        <w:spacing w:line="240" w:lineRule="auto"/>
        <w:jc w:val="both"/>
      </w:pPr>
      <w:r w:rsidRPr="00DE76D7">
        <w:rPr>
          <w:b/>
        </w:rPr>
        <w:t>1.2 Statement of the Problem</w:t>
      </w:r>
    </w:p>
    <w:p w14:paraId="4EF25710" w14:textId="77777777" w:rsidR="00DE76D7" w:rsidRPr="00DE76D7" w:rsidRDefault="00DE76D7" w:rsidP="00DE76D7">
      <w:pPr>
        <w:spacing w:line="240" w:lineRule="auto"/>
        <w:jc w:val="both"/>
      </w:pPr>
      <w:r w:rsidRPr="00DE76D7">
        <w:t>This study addresses the lack of an integrated framework connecting AI-driven compensation systems with human capital accounting disclosure requirements. Four interrelated problems emerge within this gap.</w:t>
      </w:r>
    </w:p>
    <w:p w14:paraId="4202D8DA" w14:textId="77777777" w:rsidR="00DE76D7" w:rsidRPr="00DE76D7" w:rsidRDefault="00DE76D7" w:rsidP="00DE76D7">
      <w:pPr>
        <w:spacing w:line="240" w:lineRule="auto"/>
        <w:jc w:val="both"/>
      </w:pPr>
      <w:r w:rsidRPr="00DE76D7">
        <w:rPr>
          <w:b/>
        </w:rPr>
        <w:t xml:space="preserve">1. A data-to-disclosure disconnect. </w:t>
      </w:r>
      <w:r w:rsidRPr="00DE76D7">
        <w:t xml:space="preserve">AI payroll systems generate detailed workforce data — such as pay structures, compensation trends, compliance indicators, and anomaly detections — yet firms lack guidance on translating these analytics into standardized external disclosures. Current accounting standards do not specify how AI-enabled insights can be incorporated into financial reporting (Demers et al., 2022). Importantly, this disconnect may persist even when AI capability is fully present, because translation from data to disclosure also depends on organizational conditions — particularly internal transparency culture — that </w:t>
      </w:r>
      <w:proofErr w:type="gramStart"/>
      <w:r w:rsidRPr="00DE76D7">
        <w:t>determine</w:t>
      </w:r>
      <w:proofErr w:type="gramEnd"/>
      <w:r w:rsidRPr="00DE76D7">
        <w:t xml:space="preserve"> whether technological outputs are converted into stakeholder-accessible information. The data-to-disclosure relationship is therefore likely conditional rather than direct, motivating the study’s examination of moderating factors alongside the direct technological effect.</w:t>
      </w:r>
    </w:p>
    <w:p w14:paraId="02460D73" w14:textId="4732EEDB" w:rsidR="00DE76D7" w:rsidRPr="00DE76D7" w:rsidRDefault="00DE76D7" w:rsidP="00DE76D7">
      <w:pPr>
        <w:spacing w:line="240" w:lineRule="auto"/>
        <w:jc w:val="both"/>
      </w:pPr>
      <w:r w:rsidRPr="00DE76D7">
        <w:rPr>
          <w:b/>
        </w:rPr>
        <w:t xml:space="preserve">2. Fragmented and inconsistent compliance. </w:t>
      </w:r>
      <w:r w:rsidRPr="00DE76D7">
        <w:t xml:space="preserve">Pay transparency regulations create significant compliance challenges due to substantial cross-jurisdictional variations and industry-specific complexities. Approximately 71% of OECD countries have enacted pay transparency policies, each with distinct requirements and enforcement mechanisms (Cullen, 2023). Transparency requirements differ dramatically between industries (Kirby, 2023), and multi-jurisdictional </w:t>
      </w:r>
      <w:r w:rsidRPr="00DE76D7">
        <w:lastRenderedPageBreak/>
        <w:t>environments compound compliance difficulties for organizations operating across borders (Olajide et al., 2024). The lack of regulatory harmonization leads to duplicated effort and inconsistencies in reporting across jurisdictions (</w:t>
      </w:r>
      <w:proofErr w:type="spellStart"/>
      <w:r w:rsidRPr="00DE76D7">
        <w:t>Challapalli</w:t>
      </w:r>
      <w:proofErr w:type="spellEnd"/>
      <w:r w:rsidRPr="00DE76D7">
        <w:t xml:space="preserve">, 2023), undermining </w:t>
      </w:r>
      <w:r w:rsidR="00D961F9">
        <w:t>the core objectives of pay transparency</w:t>
      </w:r>
      <w:r w:rsidRPr="00DE76D7">
        <w:t xml:space="preserve"> and exposing organizations to compliance risk.</w:t>
      </w:r>
    </w:p>
    <w:p w14:paraId="547E979E" w14:textId="77777777" w:rsidR="00DE76D7" w:rsidRPr="00DE76D7" w:rsidRDefault="00DE76D7" w:rsidP="00DE76D7">
      <w:pPr>
        <w:spacing w:line="240" w:lineRule="auto"/>
        <w:jc w:val="both"/>
      </w:pPr>
      <w:r w:rsidRPr="00DE76D7">
        <w:rPr>
          <w:b/>
        </w:rPr>
        <w:t xml:space="preserve">3. Outdated theoretical frameworks. </w:t>
      </w:r>
      <w:r w:rsidRPr="00DE76D7">
        <w:t>Traditional human resource accounting models are increasingly inadequate for capturing the potential of contemporary AI-enabled analytics and real-time workforce data. Predictive analytics has become crucial for understanding human capital investments, with businesses leveraging business intelligence to transform workforce management (Fitz‑</w:t>
      </w:r>
      <w:proofErr w:type="spellStart"/>
      <w:r w:rsidRPr="00DE76D7">
        <w:t>enz</w:t>
      </w:r>
      <w:proofErr w:type="spellEnd"/>
      <w:r w:rsidRPr="00DE76D7">
        <w:t>, 2010). This shift extends beyond traditional metrics like headcount; companies now use analytics to predict future talent needs and optimize workforce planning (Worth, 2011), supported by analytic infrastructures that enable improved workforce insight (</w:t>
      </w:r>
      <w:proofErr w:type="spellStart"/>
      <w:r w:rsidRPr="00DE76D7">
        <w:t>Sumtotal</w:t>
      </w:r>
      <w:proofErr w:type="spellEnd"/>
      <w:r w:rsidRPr="00DE76D7">
        <w:t xml:space="preserve"> Systems, 2009). The transformative potential of these data-driven methods underscores the limitations of pre-AI accounting frameworks.</w:t>
      </w:r>
    </w:p>
    <w:p w14:paraId="178B7400" w14:textId="77777777" w:rsidR="00DE76D7" w:rsidRPr="00DE76D7" w:rsidRDefault="00DE76D7" w:rsidP="00DE76D7">
      <w:pPr>
        <w:spacing w:line="240" w:lineRule="auto"/>
        <w:jc w:val="both"/>
      </w:pPr>
      <w:r w:rsidRPr="00DE76D7">
        <w:rPr>
          <w:b/>
        </w:rPr>
        <w:t xml:space="preserve">4. Contextual complexity in emerging economies. </w:t>
      </w:r>
      <w:r w:rsidRPr="00DE76D7">
        <w:t>Manufacturing firms in emerging economies face significant challenges integrating AI compensation systems while meeting multinational transparency expectations, with institutional complexity and uneven digital capabilities creating substantial barriers. AI adoption in these contexts is hindered by infrastructural deficiencies and skill shortages, limiting the foundation for advanced compensation systems (</w:t>
      </w:r>
      <w:proofErr w:type="spellStart"/>
      <w:r w:rsidRPr="00DE76D7">
        <w:t>Borines</w:t>
      </w:r>
      <w:proofErr w:type="spellEnd"/>
      <w:r w:rsidRPr="00DE76D7">
        <w:t xml:space="preserve"> et al., 2024). Even among multinational firms that have progressed further, a substantial compliance gap </w:t>
      </w:r>
      <w:proofErr w:type="gramStart"/>
      <w:r w:rsidRPr="00DE76D7">
        <w:t>persists:</w:t>
      </w:r>
      <w:proofErr w:type="gramEnd"/>
      <w:r w:rsidRPr="00DE76D7">
        <w:t xml:space="preserve"> while 65% have implemented AI governance frameworks, only 30% fully comply with international standards (Nakajima, 2024). Cultural factors add further complexity, as compensation practices in emerging markets are often relation-based rather than market-based, complicating efforts to implement transparent AI-driven systems (Luo, 2013). Addressing these challenges requires HR to play a critical role in fostering employee trust by protecting privacy and ensuring the ethical use of AI algorithms (Nyberg et al., 2023).</w:t>
      </w:r>
    </w:p>
    <w:p w14:paraId="5BEDE82F" w14:textId="77777777" w:rsidR="00DE76D7" w:rsidRPr="00DE76D7" w:rsidRDefault="00DE76D7" w:rsidP="00DE76D7">
      <w:pPr>
        <w:spacing w:line="240" w:lineRule="auto"/>
        <w:jc w:val="both"/>
      </w:pPr>
      <w:r w:rsidRPr="00DE76D7">
        <w:rPr>
          <w:b/>
        </w:rPr>
        <w:t>1.3 Research Objectives</w:t>
      </w:r>
    </w:p>
    <w:p w14:paraId="50F13827" w14:textId="77777777" w:rsidR="00DE76D7" w:rsidRPr="00DE76D7" w:rsidRDefault="00DE76D7" w:rsidP="00DE76D7">
      <w:pPr>
        <w:spacing w:line="240" w:lineRule="auto"/>
        <w:jc w:val="both"/>
      </w:pPr>
      <w:r w:rsidRPr="00DE76D7">
        <w:t>This research pursues five interrelated objectives, contributing theoretical understanding and practical guidance for organizations, regulators, and researchers.</w:t>
      </w:r>
    </w:p>
    <w:p w14:paraId="51040B48" w14:textId="77777777" w:rsidR="00DE76D7" w:rsidRPr="00DE76D7" w:rsidRDefault="00DE76D7" w:rsidP="00DE76D7">
      <w:pPr>
        <w:spacing w:line="240" w:lineRule="auto"/>
        <w:jc w:val="both"/>
      </w:pPr>
      <w:r w:rsidRPr="00DE76D7">
        <w:t>The first objective is to examine the current state of AI integration in compensation systems among manufacturing organizations in emerging economies, documenting the types of AI technologies deployed, the scope of their application across compensation functions, and the data outputs generated. Understanding the technological baseline is essential for assessing the feasibility of enhanced disclosure practices and identifying gaps between available capabilities and current utilization.</w:t>
      </w:r>
    </w:p>
    <w:p w14:paraId="23319E34" w14:textId="77777777" w:rsidR="00DE76D7" w:rsidRPr="00DE76D7" w:rsidRDefault="00DE76D7" w:rsidP="00DE76D7">
      <w:pPr>
        <w:spacing w:line="240" w:lineRule="auto"/>
        <w:jc w:val="both"/>
      </w:pPr>
      <w:r w:rsidRPr="00DE76D7">
        <w:t>The second objective is to identify gaps between AI-generated compensation data and existing human capital disclosure requirements, mapping the information produced by AI compensation systems against regulatory requirements, voluntary disclosure frameworks, and stakeholder information needs. The analysis will reveal where current systems generate potentially useful data that goes unreported, and where disclosure requirements exceed current data-generation capabilities.</w:t>
      </w:r>
    </w:p>
    <w:p w14:paraId="418EEA96" w14:textId="77777777" w:rsidR="00DE76D7" w:rsidRPr="00DE76D7" w:rsidRDefault="00DE76D7" w:rsidP="00DE76D7">
      <w:pPr>
        <w:spacing w:line="240" w:lineRule="auto"/>
        <w:jc w:val="both"/>
      </w:pPr>
      <w:r w:rsidRPr="00DE76D7">
        <w:t xml:space="preserve">The third objective is to develop an integrated framework specifying the conditions under which AI compensation analytics can contribute to human capital accounting disclosures. The framework </w:t>
      </w:r>
      <w:r w:rsidRPr="00DE76D7">
        <w:lastRenderedPageBreak/>
        <w:t>will specify the components necessary for effective integration — data generation protocols, validation processes, reporting formats, and governance mechanisms — grounded in established theoretical perspectives while remaining practically implementable across organizations with varying technological sophistication.</w:t>
      </w:r>
    </w:p>
    <w:p w14:paraId="22CA5117" w14:textId="77777777" w:rsidR="00DE76D7" w:rsidRPr="00DE76D7" w:rsidRDefault="00DE76D7" w:rsidP="00DE76D7">
      <w:pPr>
        <w:spacing w:line="240" w:lineRule="auto"/>
        <w:jc w:val="both"/>
      </w:pPr>
      <w:r w:rsidRPr="00DE76D7">
        <w:t>The fourth objective is to propose standardized disclosure practices suitable for manufacturing contexts with varying levels of technological maturity. Because organizations differ in their AI adoption and analytical capabilities, the research develops tiered recommendations enabling progressive improvement in disclosure quality as organizations advance their technological infrastructure.</w:t>
      </w:r>
    </w:p>
    <w:p w14:paraId="4695959A" w14:textId="77777777" w:rsidR="00DE76D7" w:rsidRPr="00DE76D7" w:rsidRDefault="00DE76D7" w:rsidP="00DE76D7">
      <w:pPr>
        <w:spacing w:line="240" w:lineRule="auto"/>
        <w:jc w:val="both"/>
      </w:pPr>
      <w:r w:rsidRPr="00DE76D7">
        <w:t>The fifth objective is to validate the framework through empirical testing in Thailand’s Eastern Economic Corridor manufacturing sector, assessing applicability across manufacturing subsectors, organization sizes, and ownership structures represented in the EEC, and identifying refinements needed for broader application.</w:t>
      </w:r>
    </w:p>
    <w:p w14:paraId="73992243" w14:textId="77777777" w:rsidR="00DE76D7" w:rsidRPr="00DE76D7" w:rsidRDefault="00DE76D7" w:rsidP="00DE76D7">
      <w:pPr>
        <w:spacing w:line="240" w:lineRule="auto"/>
        <w:jc w:val="both"/>
      </w:pPr>
      <w:r w:rsidRPr="00DE76D7">
        <w:rPr>
          <w:b/>
        </w:rPr>
        <w:t>1.4 Research Questions</w:t>
      </w:r>
    </w:p>
    <w:p w14:paraId="54C46511" w14:textId="77777777" w:rsidR="00DE76D7" w:rsidRPr="00DE76D7" w:rsidRDefault="00DE76D7" w:rsidP="00DE76D7">
      <w:pPr>
        <w:spacing w:line="240" w:lineRule="auto"/>
        <w:jc w:val="both"/>
      </w:pPr>
      <w:r w:rsidRPr="00DE76D7">
        <w:t>The study addresses four research questions:</w:t>
      </w:r>
    </w:p>
    <w:p w14:paraId="0D66196A" w14:textId="77777777" w:rsidR="00DE76D7" w:rsidRPr="00DE76D7" w:rsidRDefault="00DE76D7" w:rsidP="00DE76D7">
      <w:pPr>
        <w:spacing w:line="240" w:lineRule="auto"/>
        <w:jc w:val="both"/>
      </w:pPr>
      <w:r w:rsidRPr="00DE76D7">
        <w:rPr>
          <w:b/>
        </w:rPr>
        <w:t xml:space="preserve">RQ1: </w:t>
      </w:r>
      <w:r w:rsidRPr="00DE76D7">
        <w:t>How do manufacturing organizations in emerging economies utilize AI-driven compensation systems, and what data outputs do these systems generate?</w:t>
      </w:r>
    </w:p>
    <w:p w14:paraId="20E9C1FD" w14:textId="77777777" w:rsidR="00DE76D7" w:rsidRPr="00DE76D7" w:rsidRDefault="00DE76D7" w:rsidP="00DE76D7">
      <w:pPr>
        <w:spacing w:line="240" w:lineRule="auto"/>
        <w:jc w:val="both"/>
      </w:pPr>
      <w:r w:rsidRPr="00DE76D7">
        <w:t>This question establishes the technological foundation on which enhanced disclosure must be built — both adoption patterns and the analytics outputs produced.</w:t>
      </w:r>
    </w:p>
    <w:p w14:paraId="42C3CF84" w14:textId="77777777" w:rsidR="00DE76D7" w:rsidRPr="00DE76D7" w:rsidRDefault="00DE76D7" w:rsidP="00DE76D7">
      <w:pPr>
        <w:spacing w:line="240" w:lineRule="auto"/>
        <w:jc w:val="both"/>
      </w:pPr>
      <w:r w:rsidRPr="00DE76D7">
        <w:rPr>
          <w:b/>
        </w:rPr>
        <w:t xml:space="preserve">RQ2: </w:t>
      </w:r>
      <w:r w:rsidRPr="00DE76D7">
        <w:t>What gaps exist between AI-generated compensation data and current human capital disclosure practices?</w:t>
      </w:r>
    </w:p>
    <w:p w14:paraId="6CFCD52A" w14:textId="018BFF16" w:rsidR="00DE76D7" w:rsidRPr="00DE76D7" w:rsidRDefault="00DE76D7" w:rsidP="00DE76D7">
      <w:pPr>
        <w:spacing w:line="240" w:lineRule="auto"/>
        <w:jc w:val="both"/>
      </w:pPr>
      <w:r w:rsidRPr="00DE76D7">
        <w:t xml:space="preserve">This question examines the disconnect between data availability and reporting, identifying why valuable information remains undisclosed and </w:t>
      </w:r>
      <w:r w:rsidR="00C313FF">
        <w:t>the barriers that prevent organizations from leveraging AI capabilities to achieve</w:t>
      </w:r>
      <w:r w:rsidRPr="00DE76D7">
        <w:t xml:space="preserve"> transparency.</w:t>
      </w:r>
    </w:p>
    <w:p w14:paraId="3A8AA0C6" w14:textId="77777777" w:rsidR="00DE76D7" w:rsidRPr="00DE76D7" w:rsidRDefault="00DE76D7" w:rsidP="00DE76D7">
      <w:pPr>
        <w:spacing w:line="240" w:lineRule="auto"/>
        <w:jc w:val="both"/>
      </w:pPr>
      <w:r w:rsidRPr="00DE76D7">
        <w:rPr>
          <w:b/>
        </w:rPr>
        <w:t xml:space="preserve">RQ3: </w:t>
      </w:r>
      <w:r w:rsidRPr="00DE76D7">
        <w:t>What framework elements and organizational conditions are needed to integrate AI compensation analytics with human capital accounting disclosure?</w:t>
      </w:r>
    </w:p>
    <w:p w14:paraId="734690C9" w14:textId="72C59B6C" w:rsidR="00DE76D7" w:rsidRPr="00DE76D7" w:rsidRDefault="00DE76D7" w:rsidP="00DE76D7">
      <w:pPr>
        <w:spacing w:line="240" w:lineRule="auto"/>
        <w:jc w:val="both"/>
      </w:pPr>
      <w:r w:rsidRPr="00DE76D7">
        <w:t xml:space="preserve">This question drives the theoretical contribution by requiring </w:t>
      </w:r>
      <w:r w:rsidR="00C313FF">
        <w:t xml:space="preserve">the </w:t>
      </w:r>
      <w:r w:rsidRPr="00DE76D7">
        <w:t>synthesis of technological, regulatory, and accounting perspectives into a coherent integration model.</w:t>
      </w:r>
    </w:p>
    <w:p w14:paraId="752D6C72" w14:textId="77777777" w:rsidR="00DE76D7" w:rsidRPr="00DE76D7" w:rsidRDefault="00DE76D7" w:rsidP="00DE76D7">
      <w:pPr>
        <w:spacing w:line="240" w:lineRule="auto"/>
        <w:jc w:val="both"/>
      </w:pPr>
      <w:r w:rsidRPr="00DE76D7">
        <w:rPr>
          <w:b/>
        </w:rPr>
        <w:t xml:space="preserve">RQ4: </w:t>
      </w:r>
      <w:r w:rsidRPr="00DE76D7">
        <w:t>How can standardized disclosure practices be adapted for organizations with varying technological maturity?</w:t>
      </w:r>
    </w:p>
    <w:p w14:paraId="6AA65450" w14:textId="77777777" w:rsidR="00DE76D7" w:rsidRPr="00DE76D7" w:rsidRDefault="00DE76D7" w:rsidP="00DE76D7">
      <w:pPr>
        <w:spacing w:line="240" w:lineRule="auto"/>
        <w:jc w:val="both"/>
      </w:pPr>
      <w:r w:rsidRPr="00DE76D7">
        <w:t>This question addresses practical implementation; one-size-fits-all approaches are unlikely to succeed given the diversity of capabilities across emerging-economy manufacturing.</w:t>
      </w:r>
    </w:p>
    <w:p w14:paraId="09FD677E" w14:textId="77777777" w:rsidR="00DE76D7" w:rsidRPr="00DE76D7" w:rsidRDefault="00DE76D7" w:rsidP="00DE76D7">
      <w:pPr>
        <w:spacing w:line="240" w:lineRule="auto"/>
        <w:jc w:val="both"/>
      </w:pPr>
      <w:r w:rsidRPr="00DE76D7">
        <w:rPr>
          <w:b/>
        </w:rPr>
        <w:t>1.5 Scope and Delimitations</w:t>
      </w:r>
    </w:p>
    <w:p w14:paraId="59780BDD" w14:textId="77777777" w:rsidR="00DE76D7" w:rsidRPr="00DE76D7" w:rsidRDefault="00DE76D7" w:rsidP="00DE76D7">
      <w:pPr>
        <w:spacing w:line="240" w:lineRule="auto"/>
        <w:jc w:val="both"/>
      </w:pPr>
      <w:r w:rsidRPr="00DE76D7">
        <w:t xml:space="preserve">This research focuses specifically on manufacturing organizations operating within Thailand’s Eastern Economic Corridor, encompassing the provinces of Chonburi, Rayong, and Chachoengsao. The geographic focus provides a coherent regulatory and economic context while capturing diversity across manufacturing subsectors, including automotive, electronics, </w:t>
      </w:r>
      <w:r w:rsidRPr="00DE76D7">
        <w:lastRenderedPageBreak/>
        <w:t>petrochemicals, and food processing. Organizations with fifty or more employees are included to ensure sufficient scale for meaningful AI implementation and disclosure requirements.</w:t>
      </w:r>
    </w:p>
    <w:p w14:paraId="6D6BF4E0" w14:textId="77777777" w:rsidR="00DE76D7" w:rsidRPr="00DE76D7" w:rsidRDefault="00DE76D7" w:rsidP="00DE76D7">
      <w:pPr>
        <w:spacing w:line="240" w:lineRule="auto"/>
        <w:jc w:val="both"/>
      </w:pPr>
      <w:r w:rsidRPr="00DE76D7">
        <w:t>The research addresses compensation-related human capital disclosure rather than the full scope of human capital management. While human capital encompasses recruitment, training, development, engagement, and retention, the study concentrates on compensation transparency and its accounting implications. This focus aligns with regulatory momentum on pay transparency and enables deeper analysis within a defined domain.</w:t>
      </w:r>
    </w:p>
    <w:p w14:paraId="619E1C2D" w14:textId="605B1F16" w:rsidR="00DE76D7" w:rsidRPr="00DE76D7" w:rsidRDefault="00DE76D7" w:rsidP="00DE76D7">
      <w:pPr>
        <w:spacing w:line="240" w:lineRule="auto"/>
        <w:jc w:val="both"/>
      </w:pPr>
      <w:r w:rsidRPr="00DE76D7">
        <w:t xml:space="preserve">Several delimitations bound the research scope. First, the study examines disclosure to external stakeholders through financial reporting mechanisms rather than internal management accounting applications. Second, the research addresses formal employment relationships and does not extend to gig workers or informal labor arrangements. Third, </w:t>
      </w:r>
      <w:proofErr w:type="gramStart"/>
      <w:r w:rsidRPr="00DE76D7">
        <w:t>the framework</w:t>
      </w:r>
      <w:proofErr w:type="gramEnd"/>
      <w:r w:rsidRPr="00DE76D7">
        <w:t xml:space="preserve"> development prioritizes voluntary disclosure enhancement within existing accounting standards rather than proposing fundamental changes to standard-setting processes. Fourth, the study employs a cross-sectional, single-source survey design</w:t>
      </w:r>
      <w:r w:rsidR="00C313FF">
        <w:t>, in which data are collected from organizational respondents at a singl</w:t>
      </w:r>
      <w:r w:rsidRPr="00DE76D7">
        <w:t>e point in time. This</w:t>
      </w:r>
      <w:r w:rsidR="00C313FF">
        <w:t xml:space="preserve"> design</w:t>
      </w:r>
      <w:r w:rsidRPr="00DE76D7">
        <w:t xml:space="preserve"> is appropriate for examining associations among AI integration, pay transparency, and disclosure quality, but does not support causal inference. Longitudinal designs and content analysis of objective disclosure outputs are recommended for subsequent research (Sections 3.2, 5.10.1).</w:t>
      </w:r>
    </w:p>
    <w:p w14:paraId="09ABCC48" w14:textId="77777777" w:rsidR="00DE76D7" w:rsidRPr="00DE76D7" w:rsidRDefault="00DE76D7" w:rsidP="00DE76D7">
      <w:pPr>
        <w:spacing w:line="240" w:lineRule="auto"/>
        <w:jc w:val="both"/>
      </w:pPr>
      <w:r w:rsidRPr="00DE76D7">
        <w:rPr>
          <w:b/>
        </w:rPr>
        <w:t>1.6 Significance of the Study</w:t>
      </w:r>
    </w:p>
    <w:p w14:paraId="1EC8A925" w14:textId="77777777" w:rsidR="00DE76D7" w:rsidRPr="00DE76D7" w:rsidRDefault="00DE76D7" w:rsidP="00DE76D7">
      <w:pPr>
        <w:spacing w:line="240" w:lineRule="auto"/>
        <w:jc w:val="both"/>
      </w:pPr>
      <w:r w:rsidRPr="00DE76D7">
        <w:t>This research holds significance for academic understanding and professional practice across multiple stakeholder groups.</w:t>
      </w:r>
    </w:p>
    <w:p w14:paraId="130DB2C2" w14:textId="77777777" w:rsidR="00DE76D7" w:rsidRPr="00DE76D7" w:rsidRDefault="00DE76D7" w:rsidP="00DE76D7">
      <w:pPr>
        <w:spacing w:line="240" w:lineRule="auto"/>
        <w:jc w:val="both"/>
      </w:pPr>
      <w:r w:rsidRPr="00DE76D7">
        <w:t>From an academic research perspective, this study represents the first integrated treatment of AI-powered compensation systems, compensation transparency requirements, and human capital accounting disclosures. It contributes to AI-disclosure theory by demonstrating that AI integration is a necessary but not sufficient condition for high-quality human capital disclosure, with pay transparency as the enabling institutional mechanism. By linking previously fragmented literature streams, the research opens new opportunities for theoretical development and empirical validation, and the validated measurement instruments may serve as methodological tools for future research across contexts.</w:t>
      </w:r>
    </w:p>
    <w:p w14:paraId="0F8F6671" w14:textId="77777777" w:rsidR="00DE76D7" w:rsidRPr="00DE76D7" w:rsidRDefault="00DE76D7" w:rsidP="00DE76D7">
      <w:pPr>
        <w:spacing w:line="240" w:lineRule="auto"/>
        <w:jc w:val="both"/>
      </w:pPr>
      <w:r w:rsidRPr="00DE76D7">
        <w:t>For manufacturing organizations, this research provides practical guidance on leveraging AI capabilities to enhance disclosure quality while addressing regulatory compliance. A tiered implementation model accommodating varying levels of digital readiness facilitates continuous improvement rather than requiring immediate, comprehensive adoption. Grounded in the EEC manufacturing context, the framework is relevant to organizations facing similar challenges in other emerging economies.</w:t>
      </w:r>
    </w:p>
    <w:p w14:paraId="0B59A5BE" w14:textId="65AB7164" w:rsidR="00DE76D7" w:rsidRPr="00DE76D7" w:rsidRDefault="00DE76D7" w:rsidP="00DE76D7">
      <w:pPr>
        <w:spacing w:line="240" w:lineRule="auto"/>
        <w:jc w:val="both"/>
      </w:pPr>
      <w:r w:rsidRPr="00DE76D7">
        <w:t xml:space="preserve">For regulatory bodies and </w:t>
      </w:r>
      <w:proofErr w:type="gramStart"/>
      <w:r w:rsidRPr="00DE76D7">
        <w:t>standard-setters</w:t>
      </w:r>
      <w:proofErr w:type="gramEnd"/>
      <w:r w:rsidRPr="00DE76D7">
        <w:t>, the study provides evidence o</w:t>
      </w:r>
      <w:r w:rsidR="00C313FF">
        <w:t>n current organizational capabilities and practices to</w:t>
      </w:r>
      <w:r w:rsidRPr="00DE76D7">
        <w:t xml:space="preserve"> inform policy development. Understanding the data AI systems can generate — and the obstacles to disclosing it — supports the design of realistic and effective regulation. Findings on varying technological readiness may inform consideration of phased implementation or tiered compliance requirements.</w:t>
      </w:r>
    </w:p>
    <w:p w14:paraId="09380F57" w14:textId="77777777" w:rsidR="00DE76D7" w:rsidRPr="00DE76D7" w:rsidRDefault="00DE76D7" w:rsidP="00DE76D7">
      <w:pPr>
        <w:spacing w:line="240" w:lineRule="auto"/>
        <w:jc w:val="both"/>
      </w:pPr>
      <w:r w:rsidRPr="00DE76D7">
        <w:t xml:space="preserve">For investors and other stakeholders, improved human capital disclosure could enhance the decision-making information environment. Research consistently shows that turnover rates, </w:t>
      </w:r>
      <w:r w:rsidRPr="00DE76D7">
        <w:lastRenderedPageBreak/>
        <w:t>workforce stability measures, and compensation structures correlate with financial performance, and more accessible disclosure could support more efficient resource allocation and stakeholder engagement.</w:t>
      </w:r>
    </w:p>
    <w:p w14:paraId="46B1419D" w14:textId="77777777" w:rsidR="00DE76D7" w:rsidRPr="00DE76D7" w:rsidRDefault="00DE76D7" w:rsidP="00DE76D7">
      <w:pPr>
        <w:spacing w:line="240" w:lineRule="auto"/>
        <w:jc w:val="both"/>
      </w:pPr>
      <w:r w:rsidRPr="00DE76D7">
        <w:rPr>
          <w:b/>
        </w:rPr>
        <w:t>1.7 Hypotheses and Conceptual Framework</w:t>
      </w:r>
    </w:p>
    <w:p w14:paraId="192F090B" w14:textId="60A093FF" w:rsidR="00DE76D7" w:rsidRPr="00DE76D7" w:rsidRDefault="00DE76D7" w:rsidP="00DE76D7">
      <w:pPr>
        <w:spacing w:line="240" w:lineRule="auto"/>
        <w:jc w:val="both"/>
      </w:pPr>
      <w:r w:rsidRPr="00DE76D7">
        <w:t xml:space="preserve">Four hypotheses translate the research problem into empirically examinable relationships, grounded in the literature reviewed in </w:t>
      </w:r>
      <w:r w:rsidR="00E133F2">
        <w:t>Section</w:t>
      </w:r>
      <w:r w:rsidRPr="00DE76D7">
        <w:t xml:space="preserve"> 2 and operationalized in </w:t>
      </w:r>
      <w:r w:rsidR="00E133F2">
        <w:t>Section</w:t>
      </w:r>
      <w:r w:rsidRPr="00DE76D7">
        <w:t xml:space="preserve"> 3.</w:t>
      </w:r>
    </w:p>
    <w:p w14:paraId="3C7A98C7" w14:textId="77777777" w:rsidR="00DE76D7" w:rsidRPr="00DE76D7" w:rsidRDefault="00DE76D7" w:rsidP="00DE76D7">
      <w:pPr>
        <w:spacing w:line="240" w:lineRule="auto"/>
        <w:jc w:val="both"/>
      </w:pPr>
      <w:r w:rsidRPr="00DE76D7">
        <w:rPr>
          <w:b/>
        </w:rPr>
        <w:t>Figure 1. Conceptual Framework of the Study</w:t>
      </w:r>
    </w:p>
    <w:p w14:paraId="41FDEE7D" w14:textId="1B0C3271" w:rsidR="00DE76D7" w:rsidRDefault="00DE76D7" w:rsidP="00DE76D7">
      <w:pPr>
        <w:spacing w:line="240" w:lineRule="auto"/>
        <w:jc w:val="center"/>
      </w:pPr>
      <w:r>
        <w:rPr>
          <w:noProof/>
        </w:rPr>
        <w:drawing>
          <wp:inline distT="0" distB="0" distL="0" distR="0" wp14:anchorId="3DF7CE8D" wp14:editId="3488DA68">
            <wp:extent cx="5943600" cy="3266440"/>
            <wp:effectExtent l="0" t="0" r="0" b="0"/>
            <wp:docPr id="192233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34822" name="Picture 19223348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266440"/>
                    </a:xfrm>
                    <a:prstGeom prst="rect">
                      <a:avLst/>
                    </a:prstGeom>
                  </pic:spPr>
                </pic:pic>
              </a:graphicData>
            </a:graphic>
          </wp:inline>
        </w:drawing>
      </w:r>
    </w:p>
    <w:p w14:paraId="4643E375" w14:textId="547C5CB8" w:rsidR="00DE76D7" w:rsidRPr="00DE76D7" w:rsidRDefault="00DE76D7" w:rsidP="00DE76D7">
      <w:pPr>
        <w:spacing w:line="240" w:lineRule="auto"/>
        <w:jc w:val="both"/>
      </w:pPr>
      <w:r w:rsidRPr="00DE76D7">
        <w:t>The first hypothesis examines the direct relationship between AI integration and the quality of human capital accounting disclosures. Drawing on the technological-translation perspective, which posits that advanced AI capabilities should enable richer and more standardized disclosures, the study tests whether this direct effect holds in the emerging-economy manufacturing context.</w:t>
      </w:r>
    </w:p>
    <w:p w14:paraId="3579DF30" w14:textId="77777777" w:rsidR="00DE76D7" w:rsidRPr="00DE76D7" w:rsidRDefault="00DE76D7" w:rsidP="00DE76D7">
      <w:pPr>
        <w:spacing w:line="240" w:lineRule="auto"/>
        <w:jc w:val="both"/>
      </w:pPr>
      <w:r w:rsidRPr="00DE76D7">
        <w:rPr>
          <w:b/>
        </w:rPr>
        <w:t xml:space="preserve">H1: </w:t>
      </w:r>
      <w:r w:rsidRPr="00DE76D7">
        <w:t>AI integration in compensation systems is positively associated with human capital accounting disclosure quality.</w:t>
      </w:r>
    </w:p>
    <w:p w14:paraId="1F740C8E" w14:textId="4EC84E95" w:rsidR="00DE76D7" w:rsidRPr="00DE76D7" w:rsidRDefault="00DE76D7" w:rsidP="00DE76D7">
      <w:pPr>
        <w:spacing w:line="240" w:lineRule="auto"/>
        <w:jc w:val="both"/>
      </w:pPr>
      <w:r w:rsidRPr="00DE76D7">
        <w:t>The second hypothesis examines whether the relationship between AI integration and disclosure quality operates through integration protocols</w:t>
      </w:r>
      <w:r w:rsidR="00C313FF">
        <w:t>—</w:t>
      </w:r>
      <w:r w:rsidRPr="00DE76D7">
        <w:t>the formalized data-management and reporting procedures that link AI-generated outputs to external disclosure processes. This mediation pathway represents the operational mechanism through which technological capability is conventionally expected to translate into disclosure outcomes.</w:t>
      </w:r>
    </w:p>
    <w:p w14:paraId="42126E71" w14:textId="77777777" w:rsidR="00DE76D7" w:rsidRPr="00DE76D7" w:rsidRDefault="00DE76D7" w:rsidP="00DE76D7">
      <w:pPr>
        <w:spacing w:line="240" w:lineRule="auto"/>
        <w:jc w:val="both"/>
      </w:pPr>
      <w:r w:rsidRPr="00DE76D7">
        <w:rPr>
          <w:b/>
        </w:rPr>
        <w:t xml:space="preserve">H2: </w:t>
      </w:r>
      <w:r w:rsidRPr="00DE76D7">
        <w:t>Integration protocols mediate the relationship between AI integration and the quality of human capital accounting disclosures.</w:t>
      </w:r>
    </w:p>
    <w:p w14:paraId="5823AA22" w14:textId="77777777" w:rsidR="00DE76D7" w:rsidRPr="00DE76D7" w:rsidRDefault="00DE76D7" w:rsidP="00DE76D7">
      <w:pPr>
        <w:spacing w:line="240" w:lineRule="auto"/>
        <w:jc w:val="both"/>
      </w:pPr>
      <w:r w:rsidRPr="00DE76D7">
        <w:t xml:space="preserve">The third hypothesis introduces the central conditional argument of the study. Drawing on institutional theory and the pay transparency literature, the study tests whether the AI–disclosure relationship depends on the level of organizational pay transparency. This hypothesis reflects the </w:t>
      </w:r>
      <w:r w:rsidRPr="00DE76D7">
        <w:lastRenderedPageBreak/>
        <w:t>theoretical proposition that AI integration is a necessary but not sufficient condition for disclosure quality, requiring an enabling institutional environment to translate technological capability into disclosure outcomes.</w:t>
      </w:r>
    </w:p>
    <w:p w14:paraId="6B42C652" w14:textId="77777777" w:rsidR="00DE76D7" w:rsidRPr="00DE76D7" w:rsidRDefault="00DE76D7" w:rsidP="00DE76D7">
      <w:pPr>
        <w:spacing w:line="240" w:lineRule="auto"/>
        <w:jc w:val="both"/>
      </w:pPr>
      <w:r w:rsidRPr="00DE76D7">
        <w:rPr>
          <w:b/>
        </w:rPr>
        <w:t xml:space="preserve">H3: </w:t>
      </w:r>
      <w:r w:rsidRPr="00DE76D7">
        <w:t>Pay transparency moderates the relationship between AI integration and human capital accounting disclosure quality, such that the relationship is stronger in organizations with higher levels of pay transparency.</w:t>
      </w:r>
    </w:p>
    <w:p w14:paraId="7BBF2E2C" w14:textId="77777777" w:rsidR="00DE76D7" w:rsidRPr="00DE76D7" w:rsidRDefault="00DE76D7" w:rsidP="00DE76D7">
      <w:pPr>
        <w:spacing w:line="240" w:lineRule="auto"/>
        <w:jc w:val="both"/>
      </w:pPr>
      <w:r w:rsidRPr="00DE76D7">
        <w:t>The fourth hypothesis examines whether organizational size moderates the AI–disclosure relationship, recognizing that larger organizations may possess greater resources, formalization, and reporting infrastructure to translate AI capabilities into disclosure outcomes.</w:t>
      </w:r>
    </w:p>
    <w:p w14:paraId="705B4DE2" w14:textId="77777777" w:rsidR="00DE76D7" w:rsidRPr="00DE76D7" w:rsidRDefault="00DE76D7" w:rsidP="00DE76D7">
      <w:pPr>
        <w:spacing w:line="240" w:lineRule="auto"/>
        <w:jc w:val="both"/>
      </w:pPr>
      <w:r w:rsidRPr="00DE76D7">
        <w:rPr>
          <w:b/>
        </w:rPr>
        <w:t xml:space="preserve">H4: </w:t>
      </w:r>
      <w:r w:rsidRPr="00DE76D7">
        <w:t>Organizational size moderates the relationship between AI integration and human capital accounting disclosure quality, with the relationship stronger in larger organizations.</w:t>
      </w:r>
    </w:p>
    <w:p w14:paraId="79C7D9B3" w14:textId="77777777" w:rsidR="00DE76D7" w:rsidRPr="00DE76D7" w:rsidRDefault="00DE76D7" w:rsidP="00DE76D7">
      <w:pPr>
        <w:spacing w:line="240" w:lineRule="auto"/>
        <w:jc w:val="both"/>
      </w:pPr>
      <w:r w:rsidRPr="00DE76D7">
        <w:t>Together, these four hypotheses constitute the conceptual framework: AI integration as the central independent variable, human capital accounting disclosure quality as the dependent variable, integration protocols as a mediator, and pay transparency and organizational size as moderators. The framework deliberately tests both direct and conditional pathways, allowing the study to determine whether AI capability alone explains disclosure outcomes or whether organizational and institutional conditions are required to activate that capability.</w:t>
      </w:r>
    </w:p>
    <w:p w14:paraId="02F798F3" w14:textId="77777777" w:rsidR="00DE76D7" w:rsidRPr="00DE76D7" w:rsidRDefault="00DE76D7" w:rsidP="00DE76D7">
      <w:pPr>
        <w:spacing w:line="240" w:lineRule="auto"/>
        <w:jc w:val="both"/>
      </w:pPr>
      <w:r w:rsidRPr="00DE76D7">
        <w:rPr>
          <w:b/>
        </w:rPr>
        <w:t>1.8 Definition of Key Terms</w:t>
      </w:r>
    </w:p>
    <w:p w14:paraId="6FB34B8F" w14:textId="77777777" w:rsidR="00DE76D7" w:rsidRPr="00DE76D7" w:rsidRDefault="00DE76D7" w:rsidP="00DE76D7">
      <w:pPr>
        <w:spacing w:line="240" w:lineRule="auto"/>
        <w:jc w:val="both"/>
      </w:pPr>
      <w:r w:rsidRPr="00DE76D7">
        <w:rPr>
          <w:b/>
          <w:i/>
        </w:rPr>
        <w:t>AI-Driven Compensation Systems.</w:t>
      </w:r>
    </w:p>
    <w:p w14:paraId="4C66B060" w14:textId="77777777" w:rsidR="00DE76D7" w:rsidRPr="00DE76D7" w:rsidRDefault="00DE76D7" w:rsidP="00DE76D7">
      <w:pPr>
        <w:spacing w:line="240" w:lineRule="auto"/>
        <w:jc w:val="both"/>
      </w:pPr>
      <w:r w:rsidRPr="00DE76D7">
        <w:t>AI-driven compensation systems are advanced payroll technologies that apply artificial intelligence to compensation management through intelligent automation and strategic decision support. These systems utilize machine learning algorithms, natural language processing, and predictive analytics to automate complex compensation processes (</w:t>
      </w:r>
      <w:proofErr w:type="spellStart"/>
      <w:r w:rsidRPr="00DE76D7">
        <w:t>Meenugu</w:t>
      </w:r>
      <w:proofErr w:type="spellEnd"/>
      <w:r w:rsidRPr="00DE76D7">
        <w:t>, 2025c). They extend beyond basic calculation to provide sophisticated capabilities, including automated and augmented compensation tasks and strategic decision support (Marler, 2024).</w:t>
      </w:r>
    </w:p>
    <w:p w14:paraId="1A89345C" w14:textId="77777777" w:rsidR="00DE76D7" w:rsidRPr="00DE76D7" w:rsidRDefault="00DE76D7" w:rsidP="00DE76D7">
      <w:pPr>
        <w:spacing w:line="240" w:lineRule="auto"/>
        <w:jc w:val="both"/>
      </w:pPr>
      <w:r w:rsidRPr="00DE76D7">
        <w:rPr>
          <w:b/>
          <w:i/>
        </w:rPr>
        <w:t>Human Capital Accounting Disclosure.</w:t>
      </w:r>
    </w:p>
    <w:p w14:paraId="1CAA6CF7" w14:textId="77777777" w:rsidR="00DE76D7" w:rsidRPr="00DE76D7" w:rsidRDefault="00DE76D7" w:rsidP="00DE76D7">
      <w:pPr>
        <w:spacing w:line="240" w:lineRule="auto"/>
        <w:jc w:val="both"/>
      </w:pPr>
      <w:r w:rsidRPr="00DE76D7">
        <w:t>Human capital accounting disclosure is a comprehensive reporting practice that provides external stakeholders with detailed insights into an organization’s workforce through financial statements and annual reports. Disclosures include metrics on employee skills, training, development, workplace safety, and diversity. While such disclosure remains mainly voluntary, it provides valuable information about organizational human capital investments and potential value creation (</w:t>
      </w:r>
      <w:proofErr w:type="spellStart"/>
      <w:r w:rsidRPr="00DE76D7">
        <w:t>Bourveau</w:t>
      </w:r>
      <w:proofErr w:type="spellEnd"/>
      <w:r w:rsidRPr="00DE76D7">
        <w:t xml:space="preserve"> et al., 2025).</w:t>
      </w:r>
    </w:p>
    <w:p w14:paraId="5122F468" w14:textId="77777777" w:rsidR="00DE76D7" w:rsidRPr="00DE76D7" w:rsidRDefault="00DE76D7" w:rsidP="00DE76D7">
      <w:pPr>
        <w:spacing w:line="240" w:lineRule="auto"/>
        <w:jc w:val="both"/>
      </w:pPr>
      <w:r w:rsidRPr="00DE76D7">
        <w:rPr>
          <w:b/>
          <w:i/>
        </w:rPr>
        <w:t>Pay Transparency.</w:t>
      </w:r>
    </w:p>
    <w:p w14:paraId="450707DB" w14:textId="77777777" w:rsidR="00DE76D7" w:rsidRPr="00DE76D7" w:rsidRDefault="00DE76D7" w:rsidP="00DE76D7">
      <w:pPr>
        <w:spacing w:line="240" w:lineRule="auto"/>
        <w:jc w:val="both"/>
      </w:pPr>
      <w:r w:rsidRPr="00DE76D7">
        <w:t>Pay transparency is a multidimensional organizational practice involving the disclosure of compensation information across three key dimensions: pay-outcome transparency, pay-process transparency, and pay-communication transparency (Bamberger, 2021). This area is rapidly evolving, with governments and employees increasingly demanding greater compensation transparency, particularly among younger workforce generations (</w:t>
      </w:r>
      <w:proofErr w:type="spellStart"/>
      <w:r w:rsidRPr="00DE76D7">
        <w:t>Avdul</w:t>
      </w:r>
      <w:proofErr w:type="spellEnd"/>
      <w:r w:rsidRPr="00DE76D7">
        <w:t xml:space="preserve"> et al., 2023).</w:t>
      </w:r>
    </w:p>
    <w:p w14:paraId="39C540BD" w14:textId="77777777" w:rsidR="00DE76D7" w:rsidRPr="00DE76D7" w:rsidRDefault="00DE76D7" w:rsidP="00DE76D7">
      <w:pPr>
        <w:spacing w:line="240" w:lineRule="auto"/>
        <w:jc w:val="both"/>
      </w:pPr>
      <w:r w:rsidRPr="00DE76D7">
        <w:rPr>
          <w:b/>
          <w:i/>
        </w:rPr>
        <w:t>Manufacturing Organizations.</w:t>
      </w:r>
    </w:p>
    <w:p w14:paraId="5F5166E1" w14:textId="77777777" w:rsidR="00DE76D7" w:rsidRPr="00DE76D7" w:rsidRDefault="00DE76D7" w:rsidP="00DE76D7">
      <w:pPr>
        <w:spacing w:line="240" w:lineRule="auto"/>
        <w:jc w:val="both"/>
      </w:pPr>
      <w:r w:rsidRPr="00DE76D7">
        <w:lastRenderedPageBreak/>
        <w:t>Manufacturing organizations are enterprises engaged in the physical or chemical transformation of materials into new products, specifically classified under the manufacturing division and registered under Thailand’s Factory Act. This definition aligns with the core concept of manufacturing as the physical transformation of goods (Waldman et al., 2025). Within the Thai context, manufacturing organizations typically operate for 10–15 years, are predominantly Thai-owned, and rely on financial institutions for funding (</w:t>
      </w:r>
      <w:proofErr w:type="spellStart"/>
      <w:r w:rsidRPr="00DE76D7">
        <w:t>Sawangrat</w:t>
      </w:r>
      <w:proofErr w:type="spellEnd"/>
      <w:r w:rsidRPr="00DE76D7">
        <w:t>, 2024).</w:t>
      </w:r>
    </w:p>
    <w:p w14:paraId="50E4A5DF" w14:textId="77777777" w:rsidR="00DE76D7" w:rsidRPr="00DE76D7" w:rsidRDefault="00DE76D7" w:rsidP="00DE76D7">
      <w:pPr>
        <w:spacing w:line="240" w:lineRule="auto"/>
        <w:jc w:val="both"/>
      </w:pPr>
      <w:r w:rsidRPr="00DE76D7">
        <w:rPr>
          <w:b/>
          <w:i/>
        </w:rPr>
        <w:t>Emerging Economies.</w:t>
      </w:r>
    </w:p>
    <w:p w14:paraId="6EBC3792" w14:textId="77777777" w:rsidR="00DE76D7" w:rsidRPr="00DE76D7" w:rsidRDefault="00DE76D7" w:rsidP="00DE76D7">
      <w:pPr>
        <w:spacing w:line="240" w:lineRule="auto"/>
        <w:jc w:val="both"/>
      </w:pPr>
      <w:r w:rsidRPr="00DE76D7">
        <w:t>Emerging economies are developing market economies characterized by rapid economic transformation, ongoing institutional reforms, and increasing global economic integration. These markets are defined as economies with low- to middle-income per capita, representing approximately 80% of the global population but only 20% of the world’s economies (Athukorala et al., 2007). Key features include economic liberalization, market-oriented policy transformations, and aspirations to increase global economic contributions (Marinov, 2017). Thailand exemplifies this classification, having achieved emerging-market status through prudent fiscal and monetary policies (Karim &amp; Rahman, 2023).</w:t>
      </w:r>
    </w:p>
    <w:p w14:paraId="45ACDAE5" w14:textId="77777777" w:rsidR="00DE76D7" w:rsidRPr="00DE76D7" w:rsidRDefault="00DE76D7" w:rsidP="00DE76D7">
      <w:pPr>
        <w:spacing w:line="240" w:lineRule="auto"/>
        <w:jc w:val="both"/>
      </w:pPr>
      <w:r w:rsidRPr="00DE76D7">
        <w:rPr>
          <w:b/>
          <w:i/>
        </w:rPr>
        <w:t>Eastern Economic Corridor (EEC).</w:t>
      </w:r>
    </w:p>
    <w:p w14:paraId="13564A9A" w14:textId="77777777" w:rsidR="00DE76D7" w:rsidRPr="00DE76D7" w:rsidRDefault="00DE76D7" w:rsidP="00DE76D7">
      <w:pPr>
        <w:spacing w:line="240" w:lineRule="auto"/>
        <w:jc w:val="both"/>
      </w:pPr>
      <w:r w:rsidRPr="00DE76D7">
        <w:t>The Eastern Economic Corridor is Thailand’s strategically designed special economic zone spanning Chonburi, Rayong, and Chachoengsao provinces, designed to drive the country’s economic transformation. Announced in 2016, the initiative forms a central component of Thailand’s “Thailand 4.0” economic policy, targeting advanced manufacturing and innovation-driven industries (</w:t>
      </w:r>
      <w:proofErr w:type="spellStart"/>
      <w:r w:rsidRPr="00DE76D7">
        <w:t>Lewlomphaisarl</w:t>
      </w:r>
      <w:proofErr w:type="spellEnd"/>
      <w:r w:rsidRPr="00DE76D7">
        <w:t xml:space="preserve"> et al., 2023; </w:t>
      </w:r>
      <w:proofErr w:type="spellStart"/>
      <w:r w:rsidRPr="00DE76D7">
        <w:t>Tontisirin</w:t>
      </w:r>
      <w:proofErr w:type="spellEnd"/>
      <w:r w:rsidRPr="00DE76D7">
        <w:t xml:space="preserve"> &amp; </w:t>
      </w:r>
      <w:proofErr w:type="spellStart"/>
      <w:r w:rsidRPr="00DE76D7">
        <w:t>Anantsuksomsri</w:t>
      </w:r>
      <w:proofErr w:type="spellEnd"/>
      <w:r w:rsidRPr="00DE76D7">
        <w:t>, 2021). The EEC aims to help Thailand escape the “middle-income trap” by providing investment incentives and developing critical infrastructure (</w:t>
      </w:r>
      <w:proofErr w:type="spellStart"/>
      <w:r w:rsidRPr="00DE76D7">
        <w:t>Thongsawang</w:t>
      </w:r>
      <w:proofErr w:type="spellEnd"/>
      <w:r w:rsidRPr="00DE76D7">
        <w:t xml:space="preserve">, 2024; </w:t>
      </w:r>
      <w:proofErr w:type="spellStart"/>
      <w:r w:rsidRPr="00DE76D7">
        <w:t>Tontisirin</w:t>
      </w:r>
      <w:proofErr w:type="spellEnd"/>
      <w:r w:rsidRPr="00DE76D7">
        <w:t xml:space="preserve"> &amp; </w:t>
      </w:r>
      <w:proofErr w:type="spellStart"/>
      <w:r w:rsidRPr="00DE76D7">
        <w:t>Anantsuksomsri</w:t>
      </w:r>
      <w:proofErr w:type="spellEnd"/>
      <w:r w:rsidRPr="00DE76D7">
        <w:t>, 2021). As a centrally driven development strategy, the project focuses on transforming the eastern seaboard into a high-productivity economic zone, with emphasis on sectors such as automation, robotics, and digital technologies (</w:t>
      </w:r>
      <w:proofErr w:type="spellStart"/>
      <w:r w:rsidRPr="00DE76D7">
        <w:t>Kamnuansilpa</w:t>
      </w:r>
      <w:proofErr w:type="spellEnd"/>
      <w:r w:rsidRPr="00DE76D7">
        <w:t xml:space="preserve"> et al., 2023).</w:t>
      </w:r>
    </w:p>
    <w:p w14:paraId="22F94588" w14:textId="6BDF54BA" w:rsidR="00DE76D7" w:rsidRPr="00DE76D7" w:rsidRDefault="00DE76D7" w:rsidP="00DE76D7">
      <w:pPr>
        <w:spacing w:line="240" w:lineRule="auto"/>
        <w:jc w:val="both"/>
      </w:pPr>
      <w:r w:rsidRPr="00DE76D7">
        <w:rPr>
          <w:b/>
        </w:rPr>
        <w:t>2. REVIEW OF RELATED LITERATURE</w:t>
      </w:r>
    </w:p>
    <w:p w14:paraId="4FED4307" w14:textId="77777777" w:rsidR="00DE76D7" w:rsidRPr="00DE76D7" w:rsidRDefault="00DE76D7" w:rsidP="00DE76D7">
      <w:pPr>
        <w:spacing w:line="240" w:lineRule="auto"/>
        <w:jc w:val="both"/>
      </w:pPr>
      <w:r w:rsidRPr="00DE76D7">
        <w:rPr>
          <w:b/>
        </w:rPr>
        <w:t>2.1 Introduction</w:t>
      </w:r>
    </w:p>
    <w:p w14:paraId="5C314E77" w14:textId="7522E346" w:rsidR="00DE76D7" w:rsidRPr="00DE76D7" w:rsidRDefault="00BC65DD" w:rsidP="00DE76D7">
      <w:pPr>
        <w:spacing w:line="240" w:lineRule="auto"/>
        <w:jc w:val="both"/>
      </w:pPr>
      <w:r w:rsidRPr="00BC65DD">
        <w:t>The literature review covers three interconnected domains: the integration of artificial intelligence into compensation and payroll systems, pay transparency legislation and organizational practices, and human capital accounting and disclosure frameworks. The review establishes the current state of knowledge in each domain. It identifies the gaps at their intersection that this study addresses and concludes with the conceptual framework that guides the empirical investigation.</w:t>
      </w:r>
    </w:p>
    <w:p w14:paraId="6A9C0CC9" w14:textId="77777777" w:rsidR="00DE76D7" w:rsidRPr="00DE76D7" w:rsidRDefault="00DE76D7" w:rsidP="00DE76D7">
      <w:pPr>
        <w:spacing w:line="240" w:lineRule="auto"/>
        <w:jc w:val="both"/>
      </w:pPr>
      <w:r w:rsidRPr="00DE76D7">
        <w:rPr>
          <w:b/>
        </w:rPr>
        <w:t>2.2 Artificial Intelligence Integration in Compensation Systems</w:t>
      </w:r>
    </w:p>
    <w:p w14:paraId="7FA367E3" w14:textId="77777777" w:rsidR="00DE76D7" w:rsidRPr="00DE76D7" w:rsidRDefault="00DE76D7" w:rsidP="00DE76D7">
      <w:pPr>
        <w:spacing w:line="240" w:lineRule="auto"/>
        <w:jc w:val="both"/>
      </w:pPr>
      <w:r w:rsidRPr="00DE76D7">
        <w:rPr>
          <w:b/>
        </w:rPr>
        <w:t>2.2.1 Evolution of AI in Payroll and Compensation Management</w:t>
      </w:r>
    </w:p>
    <w:p w14:paraId="3AD56CBF" w14:textId="693AEDEE" w:rsidR="00DE76D7" w:rsidRPr="00DE76D7" w:rsidRDefault="00DE76D7" w:rsidP="00DE76D7">
      <w:pPr>
        <w:spacing w:line="240" w:lineRule="auto"/>
        <w:jc w:val="both"/>
      </w:pPr>
      <w:r w:rsidRPr="00DE76D7">
        <w:t>Payroll and compensation management ha</w:t>
      </w:r>
      <w:r w:rsidR="00C313FF">
        <w:t>ve</w:t>
      </w:r>
      <w:r w:rsidRPr="00DE76D7">
        <w:t xml:space="preserve"> evolved progressively from manual calculations to intelligent, integrated systems. The 1970s–1980s marked the initial phase of computerization, when electronic processing replaced manual calculation, reducing errors and processing time (</w:t>
      </w:r>
      <w:proofErr w:type="spellStart"/>
      <w:r w:rsidRPr="00DE76D7">
        <w:t>Meenugu</w:t>
      </w:r>
      <w:proofErr w:type="spellEnd"/>
      <w:r w:rsidRPr="00DE76D7">
        <w:t xml:space="preserve">, 2025a). The 1990s saw the emergence of Enterprise Resource Planning (ERP) systems, which integrated payroll with broader HR and financial modules and enabled centralized data </w:t>
      </w:r>
      <w:r w:rsidRPr="00DE76D7">
        <w:lastRenderedPageBreak/>
        <w:t>management (Pokala, 2025). This evolution reflects a systematic shift from transactional processing to strategic, technology-driven workforce management (</w:t>
      </w:r>
      <w:proofErr w:type="spellStart"/>
      <w:r w:rsidRPr="00DE76D7">
        <w:t>Meenugu</w:t>
      </w:r>
      <w:proofErr w:type="spellEnd"/>
      <w:r w:rsidRPr="00DE76D7">
        <w:t>, 2025b).</w:t>
      </w:r>
    </w:p>
    <w:p w14:paraId="28B9A9D7" w14:textId="77777777" w:rsidR="00DE76D7" w:rsidRPr="00DE76D7" w:rsidRDefault="00DE76D7" w:rsidP="00DE76D7">
      <w:pPr>
        <w:spacing w:line="240" w:lineRule="auto"/>
        <w:jc w:val="both"/>
      </w:pPr>
      <w:r w:rsidRPr="00DE76D7">
        <w:t>Contemporary developments represent a fundamental shift from automation to intelligence. Modern AI-enabled payroll systems apply machine-learning techniques to identify patterns in historical workforce data, generate forecasts, and support compensation decision-making (</w:t>
      </w:r>
      <w:proofErr w:type="spellStart"/>
      <w:r w:rsidRPr="00DE76D7">
        <w:t>Meenugu</w:t>
      </w:r>
      <w:proofErr w:type="spellEnd"/>
      <w:r w:rsidRPr="00DE76D7">
        <w:t>, 2025c). Advances in cloud computing and the digitization of big data have created competitive opportunities in compensation management (Marler, 2024), with AI now delivering strategic value through predictive workforce planning, pay equity monitoring, and compensation benchmarking at scale (Arulappan, 2025).</w:t>
      </w:r>
    </w:p>
    <w:p w14:paraId="75B55766" w14:textId="4E7072D7" w:rsidR="00DE76D7" w:rsidRPr="00DE76D7" w:rsidRDefault="00DE76D7" w:rsidP="00DE76D7">
      <w:pPr>
        <w:spacing w:line="240" w:lineRule="auto"/>
        <w:jc w:val="both"/>
      </w:pPr>
      <w:r w:rsidRPr="00DE76D7">
        <w:t xml:space="preserve">AI is rapidly transforming compensation management, with significant adoption already underway and academic </w:t>
      </w:r>
      <w:proofErr w:type="gramStart"/>
      <w:r w:rsidRPr="00DE76D7">
        <w:t>scholarship</w:t>
      </w:r>
      <w:proofErr w:type="gramEnd"/>
      <w:r w:rsidRPr="00DE76D7">
        <w:t xml:space="preserve"> still emerging. AI integration in compensation management is transitioning from a differentiating capability to an operational requirement (Chowdhury</w:t>
      </w:r>
      <w:r w:rsidR="0035507D">
        <w:t xml:space="preserve"> et al., </w:t>
      </w:r>
      <w:r w:rsidRPr="00DE76D7">
        <w:t xml:space="preserve">2024). However, academic literature remains limited, with most studies focusing on technical capabilities rather than organizational implementation (Parasa, 2024). Key challenges include determining how to automate compensation tasks, </w:t>
      </w:r>
      <w:proofErr w:type="gramStart"/>
      <w:r w:rsidRPr="00DE76D7">
        <w:t>improve</w:t>
      </w:r>
      <w:proofErr w:type="gramEnd"/>
      <w:r w:rsidRPr="00DE76D7">
        <w:t xml:space="preserve"> fairness, </w:t>
      </w:r>
      <w:proofErr w:type="gramStart"/>
      <w:r w:rsidRPr="00DE76D7">
        <w:t>explain</w:t>
      </w:r>
      <w:proofErr w:type="gramEnd"/>
      <w:r w:rsidRPr="00DE76D7">
        <w:t xml:space="preserve"> AI-recommended changes, and strategically leverage AI solutions (Marler, 2024). The adoption trajectory is promising, but </w:t>
      </w:r>
      <w:proofErr w:type="gramStart"/>
      <w:r w:rsidRPr="00DE76D7">
        <w:t>the literature</w:t>
      </w:r>
      <w:proofErr w:type="gramEnd"/>
      <w:r w:rsidRPr="00DE76D7">
        <w:t xml:space="preserve"> calls for more comprehensive studies of practical implementation and human-capital implications.</w:t>
      </w:r>
    </w:p>
    <w:p w14:paraId="48E6CA08" w14:textId="77777777" w:rsidR="00DE76D7" w:rsidRPr="00DE76D7" w:rsidRDefault="00DE76D7" w:rsidP="00DE76D7">
      <w:pPr>
        <w:spacing w:line="240" w:lineRule="auto"/>
        <w:jc w:val="both"/>
      </w:pPr>
      <w:r w:rsidRPr="00DE76D7">
        <w:rPr>
          <w:b/>
        </w:rPr>
        <w:t>2.2.2 Capabilities of Contemporary AI Compensation Systems</w:t>
      </w:r>
    </w:p>
    <w:p w14:paraId="58E176FC" w14:textId="254AC517" w:rsidR="00DE76D7" w:rsidRPr="00DE76D7" w:rsidRDefault="00DE76D7" w:rsidP="00DE76D7">
      <w:pPr>
        <w:spacing w:line="240" w:lineRule="auto"/>
        <w:jc w:val="both"/>
      </w:pPr>
      <w:r w:rsidRPr="00DE76D7">
        <w:t>Contemporary AI-enabled compensation systems apply machine</w:t>
      </w:r>
      <w:r w:rsidR="00C313FF">
        <w:t xml:space="preserve"> </w:t>
      </w:r>
      <w:r w:rsidRPr="00DE76D7">
        <w:t>learning algorithms to improve processing accuracy and efficiency, transforming how organizations manage payroll processes (</w:t>
      </w:r>
      <w:proofErr w:type="spellStart"/>
      <w:r w:rsidRPr="00DE76D7">
        <w:t>Meenugu</w:t>
      </w:r>
      <w:proofErr w:type="spellEnd"/>
      <w:r w:rsidRPr="00DE76D7">
        <w:t>, 2025c). Organizations leveraging these capabilities have experienced significant improvements in processing accuracy, with AI handling complex scenarios such as shift differentials and leave management (</w:t>
      </w:r>
      <w:proofErr w:type="spellStart"/>
      <w:r w:rsidRPr="00DE76D7">
        <w:t>Sirangula</w:t>
      </w:r>
      <w:proofErr w:type="spellEnd"/>
      <w:r w:rsidRPr="00DE76D7">
        <w:t>, 2025). AI-driven solutions can reduce processing times by 47.2% and increase budgetary allocation accuracy by 31.4% (Devaraju, 2024). The research consistently highlights AI’s potential to execute complex payroll calculations with high precision, integrating multiple variables including overtime rules, incentive payments, and tax withholdings.</w:t>
      </w:r>
    </w:p>
    <w:p w14:paraId="5C9E98D5" w14:textId="77777777" w:rsidR="00DE76D7" w:rsidRPr="00DE76D7" w:rsidRDefault="00DE76D7" w:rsidP="00DE76D7">
      <w:pPr>
        <w:spacing w:line="240" w:lineRule="auto"/>
        <w:jc w:val="both"/>
      </w:pPr>
      <w:r w:rsidRPr="00DE76D7">
        <w:t>A second core capability domain concerns regulatory compliance. AI-driven compliance engines transform regulatory monitoring from reactive to proactive, intelligent workflows. AI systems leverage machine learning and natural language processing to automate regulatory monitoring with real-time data streams and semantic analysis (Essien et al., 2025), and these capabilities extend across complex international financial ecosystems (</w:t>
      </w:r>
      <w:proofErr w:type="spellStart"/>
      <w:r w:rsidRPr="00DE76D7">
        <w:t>Eyinade</w:t>
      </w:r>
      <w:proofErr w:type="spellEnd"/>
      <w:r w:rsidRPr="00DE76D7">
        <w:t xml:space="preserve"> et al., 2025). One compliance framework reduced manual audit effort by 74% and detected 98% of policy violations preemptively (Sardana et al., 2024). Researchers caution about ongoing challenges in data integration, cybersecurity, and ethical AI governance.</w:t>
      </w:r>
    </w:p>
    <w:p w14:paraId="4B5A03D0" w14:textId="77777777" w:rsidR="00DE76D7" w:rsidRPr="00DE76D7" w:rsidRDefault="00DE76D7" w:rsidP="00DE76D7">
      <w:pPr>
        <w:spacing w:line="240" w:lineRule="auto"/>
        <w:jc w:val="both"/>
      </w:pPr>
      <w:r w:rsidRPr="00DE76D7">
        <w:t>Predictive analytics is transforming workforce management by enabling AI-powered forecasting of payroll expenditures, turnover, and compensation risks. Organizations leverage integrated data ecosystems and machine learning to anticipate workforce needs and optimize human capital investments (</w:t>
      </w:r>
      <w:proofErr w:type="spellStart"/>
      <w:r w:rsidRPr="00DE76D7">
        <w:t>Pathoori</w:t>
      </w:r>
      <w:proofErr w:type="spellEnd"/>
      <w:r w:rsidRPr="00DE76D7">
        <w:t>, 2025; Verma, 2025), enabling improved workforce planning, talent management, and data-driven decisions (John &amp; Hajam, 2024). The literature consistently highlights the potential of predictive analytics to revolutionize HR management through more precise forecasting and strategic insight (</w:t>
      </w:r>
      <w:proofErr w:type="spellStart"/>
      <w:r w:rsidRPr="00DE76D7">
        <w:t>Nwaimo</w:t>
      </w:r>
      <w:proofErr w:type="spellEnd"/>
      <w:r w:rsidRPr="00DE76D7">
        <w:t xml:space="preserve"> et al., 2024).</w:t>
      </w:r>
    </w:p>
    <w:p w14:paraId="575113A2" w14:textId="4077D4A7" w:rsidR="00DE76D7" w:rsidRPr="00DE76D7" w:rsidRDefault="00DE76D7" w:rsidP="00DE76D7">
      <w:pPr>
        <w:spacing w:line="240" w:lineRule="auto"/>
        <w:jc w:val="both"/>
      </w:pPr>
      <w:r w:rsidRPr="00DE76D7">
        <w:lastRenderedPageBreak/>
        <w:t xml:space="preserve">AI-powered machine learning algorithms are increasingly effective at detecting financial fraud through continuous monitoring of transaction streams and anomaly identification. These systems detect duplicate payments, unauthorized rate changes, and fictitious employee entries (Antwi et al., 2024; </w:t>
      </w:r>
      <w:proofErr w:type="spellStart"/>
      <w:r w:rsidRPr="00DE76D7">
        <w:t>Veldurthi</w:t>
      </w:r>
      <w:proofErr w:type="spellEnd"/>
      <w:r w:rsidRPr="00DE76D7">
        <w:t>, 2025), and by processing entire datasets</w:t>
      </w:r>
      <w:r w:rsidR="00C313FF">
        <w:t>,</w:t>
      </w:r>
      <w:r w:rsidRPr="00DE76D7">
        <w:t xml:space="preserve"> they identify subtle patterns that traditional methods miss (</w:t>
      </w:r>
      <w:proofErr w:type="spellStart"/>
      <w:r w:rsidRPr="00DE76D7">
        <w:t>Kantheti</w:t>
      </w:r>
      <w:proofErr w:type="spellEnd"/>
      <w:r w:rsidRPr="00DE76D7">
        <w:t xml:space="preserve"> &amp; </w:t>
      </w:r>
      <w:proofErr w:type="spellStart"/>
      <w:r w:rsidRPr="00DE76D7">
        <w:t>Bvuma</w:t>
      </w:r>
      <w:proofErr w:type="spellEnd"/>
      <w:r w:rsidRPr="00DE76D7">
        <w:t xml:space="preserve">, 2024). AI systems generate audit trails, exception logs, and risk-scoring reports that enhance </w:t>
      </w:r>
      <w:proofErr w:type="gramStart"/>
      <w:r w:rsidRPr="00DE76D7">
        <w:t>governance oversight</w:t>
      </w:r>
      <w:proofErr w:type="gramEnd"/>
      <w:r w:rsidRPr="00DE76D7">
        <w:t>. Despite these monitoring capabilities, such analytics rarely appear in external human-capital reporting, indicating a significant gap between technological capability and public disclosure.</w:t>
      </w:r>
    </w:p>
    <w:p w14:paraId="5C6B1C38" w14:textId="77777777" w:rsidR="00DE76D7" w:rsidRPr="00DE76D7" w:rsidRDefault="00DE76D7" w:rsidP="00DE76D7">
      <w:pPr>
        <w:spacing w:line="240" w:lineRule="auto"/>
        <w:jc w:val="both"/>
      </w:pPr>
      <w:r w:rsidRPr="00DE76D7">
        <w:rPr>
          <w:b/>
        </w:rPr>
        <w:t>2.2.3 Data Outputs and Analytical Potential</w:t>
      </w:r>
    </w:p>
    <w:p w14:paraId="14267F8A" w14:textId="77777777" w:rsidR="00DE76D7" w:rsidRPr="00DE76D7" w:rsidRDefault="00DE76D7" w:rsidP="00DE76D7">
      <w:pPr>
        <w:spacing w:line="240" w:lineRule="auto"/>
        <w:jc w:val="both"/>
      </w:pPr>
      <w:r w:rsidRPr="00DE76D7">
        <w:t xml:space="preserve">AI-enabled compensation platforms possess advanced analytical capabilities that significantly exceed traditional payroll systems, yet organizations are not fully leveraging these technological insights for external reporting. Cloud computing and digitized big data create substantial competitive opportunities in compensation management (Marler, 2024), and over 80% of corporate value now comprises intangibles, with machine learning enabling more sophisticated analysis of human capabilities (Zhu et al., 2024). Despite these advances, a significant reporting gap </w:t>
      </w:r>
      <w:proofErr w:type="gramStart"/>
      <w:r w:rsidRPr="00DE76D7">
        <w:t>persists:</w:t>
      </w:r>
      <w:proofErr w:type="gramEnd"/>
      <w:r w:rsidRPr="00DE76D7">
        <w:t xml:space="preserve"> most human capital disclosures lack meaningful quantitative metrics even with new SEC requirements in place (Batish et al., 2021), and quantitative measures are missing for 60–90% of social metrics across leading ESG rating providers (Atz &amp; Whelan, 2023).</w:t>
      </w:r>
    </w:p>
    <w:p w14:paraId="23F799E4" w14:textId="5931FB98" w:rsidR="00DE76D7" w:rsidRPr="00DE76D7" w:rsidRDefault="00DE76D7" w:rsidP="00DE76D7">
      <w:pPr>
        <w:spacing w:line="240" w:lineRule="auto"/>
        <w:jc w:val="both"/>
      </w:pPr>
      <w:r w:rsidRPr="00DE76D7">
        <w:t xml:space="preserve">Advanced AI compensation platforms integrate multidimensional data analytics into comprehensive human-capital dashboards, leveraging predictive analytics </w:t>
      </w:r>
      <w:r w:rsidR="00C313FF">
        <w:t>to provide real-time insights</w:t>
      </w:r>
      <w:r w:rsidRPr="00DE76D7">
        <w:t xml:space="preserve"> into labor costs, productivity, and workforce dynamics (Arulappan, 2025). Key capabilities include automated compliance, performance trend identification, and support for strategic decision-making (Marler, 2024). Critical challenges persist in standardizing these analytics into recognized financial reporting formats (</w:t>
      </w:r>
      <w:proofErr w:type="spellStart"/>
      <w:r w:rsidRPr="00DE76D7">
        <w:t>Pasigai</w:t>
      </w:r>
      <w:proofErr w:type="spellEnd"/>
      <w:r w:rsidRPr="00DE76D7">
        <w:t xml:space="preserve"> et al., 2025), alongside data integration complexity, ethical considerations, and the need for robust governance frameworks.</w:t>
      </w:r>
    </w:p>
    <w:p w14:paraId="6CD7819D" w14:textId="77777777" w:rsidR="00DE76D7" w:rsidRPr="00DE76D7" w:rsidRDefault="00DE76D7" w:rsidP="00DE76D7">
      <w:pPr>
        <w:spacing w:line="240" w:lineRule="auto"/>
        <w:jc w:val="both"/>
      </w:pPr>
      <w:r w:rsidRPr="00DE76D7">
        <w:rPr>
          <w:b/>
        </w:rPr>
        <w:t>2.2.4 Implementation Challenges and Limitations</w:t>
      </w:r>
    </w:p>
    <w:p w14:paraId="2294504F" w14:textId="6D8DE675" w:rsidR="00DE76D7" w:rsidRPr="00DE76D7" w:rsidRDefault="00DE76D7" w:rsidP="00DE76D7">
      <w:pPr>
        <w:spacing w:line="240" w:lineRule="auto"/>
        <w:jc w:val="both"/>
      </w:pPr>
      <w:r w:rsidRPr="00DE76D7">
        <w:t>AI offers significant potential to streamline payroll operations, but complete automation remains challenging because contextual human judgment is required for complex compensation scenarios. AI effectively automates standardized payroll activities, but critical tasks still require human oversight (Marler, 2024). Machine learning algorithms handle routine processes effectively, yet nuanced decision-making remains a challenge (Islam, 2024). Tasks involving atypical compliance scenarios, international tax treaty interpretation, and sensitive employee issues specifically require human expertise (</w:t>
      </w:r>
      <w:proofErr w:type="spellStart"/>
      <w:r w:rsidRPr="00DE76D7">
        <w:t>Meenugu</w:t>
      </w:r>
      <w:proofErr w:type="spellEnd"/>
      <w:r w:rsidRPr="00DE76D7">
        <w:t>, 2025c). Beyond these functional limitations, organizations face implementation challenges</w:t>
      </w:r>
      <w:r w:rsidR="00C313FF">
        <w:t>,</w:t>
      </w:r>
      <w:r w:rsidRPr="00DE76D7">
        <w:t xml:space="preserve"> including data quality concerns, security considerations, and the need for explainable AI systems. The future of payroll management lies in hybrid systems that combine AI efficiency with human strategic insight.</w:t>
      </w:r>
    </w:p>
    <w:p w14:paraId="2ED9AC4F" w14:textId="77CF1A73" w:rsidR="00DE76D7" w:rsidRPr="00DE76D7" w:rsidRDefault="00DE76D7" w:rsidP="00DE76D7">
      <w:pPr>
        <w:spacing w:line="240" w:lineRule="auto"/>
        <w:jc w:val="both"/>
      </w:pPr>
      <w:r w:rsidRPr="00DE76D7">
        <w:t xml:space="preserve">Data quality constraints significantly limit AI compensation capabilities; successful implementation requires </w:t>
      </w:r>
      <w:r w:rsidR="00C313FF">
        <w:t xml:space="preserve">a </w:t>
      </w:r>
      <w:r w:rsidRPr="00DE76D7">
        <w:t xml:space="preserve">robust, consistent data infrastructure and multi-year historical records. Data fragmentation drives up AI modeling costs and restricts comprehensive implementation (Wings &amp; Härkönen, 2023). Effective AI-driven HR systems demand consistent data-collection protocols and harmonized HR information systems (Nawaz et al., 2024), and structural barriers emerge when organizations have fragmented systems, inconsistent data-coding practices, or limited archival records (Wings &amp; Härkönen, 2023). These constraints explain why advanced AI </w:t>
      </w:r>
      <w:r w:rsidRPr="00DE76D7">
        <w:lastRenderedPageBreak/>
        <w:t>implementations are predominantly concentrated among larger enterprises with mature data environments (Tasleem et al., 2025).</w:t>
      </w:r>
    </w:p>
    <w:p w14:paraId="6FB422B8" w14:textId="77777777" w:rsidR="00DE76D7" w:rsidRPr="00DE76D7" w:rsidRDefault="00DE76D7" w:rsidP="00DE76D7">
      <w:pPr>
        <w:spacing w:line="240" w:lineRule="auto"/>
        <w:jc w:val="both"/>
      </w:pPr>
      <w:r w:rsidRPr="00DE76D7">
        <w:t>AI-driven compensation systems present complex ethical and governance challenges that demand multifaceted regulatory approaches. Four critical challenges have been identified: automating compensation tasks, improving equity, explaining algorithmic recommendations, and strategically implementing AI solutions (Marler, 2024). Of particular concern is how algorithmic biases can emerge from flawed training data, necessitating robust data ethics frameworks (</w:t>
      </w:r>
      <w:proofErr w:type="spellStart"/>
      <w:r w:rsidRPr="00DE76D7">
        <w:t>Bahangulu</w:t>
      </w:r>
      <w:proofErr w:type="spellEnd"/>
      <w:r w:rsidRPr="00DE76D7">
        <w:t xml:space="preserve"> &amp; Owusu-Berko, 2025). To mitigate discriminatory outcomes, organizations must implement bias detection, ensure transparency, and develop explainable AI models (Sridhar, 2025).</w:t>
      </w:r>
    </w:p>
    <w:p w14:paraId="6CA4ECBE" w14:textId="77777777" w:rsidR="00DE76D7" w:rsidRPr="00DE76D7" w:rsidRDefault="00DE76D7" w:rsidP="00DE76D7">
      <w:pPr>
        <w:spacing w:line="240" w:lineRule="auto"/>
        <w:jc w:val="both"/>
      </w:pPr>
      <w:r w:rsidRPr="00DE76D7">
        <w:rPr>
          <w:b/>
        </w:rPr>
        <w:t>2.3 Pay Transparency Legislation and Organizational Practices</w:t>
      </w:r>
    </w:p>
    <w:p w14:paraId="0E1B37A0" w14:textId="77777777" w:rsidR="00DE76D7" w:rsidRPr="00DE76D7" w:rsidRDefault="00DE76D7" w:rsidP="00DE76D7">
      <w:pPr>
        <w:spacing w:line="240" w:lineRule="auto"/>
        <w:jc w:val="both"/>
      </w:pPr>
      <w:r w:rsidRPr="00DE76D7">
        <w:rPr>
          <w:b/>
        </w:rPr>
        <w:t>2.3.1 Global Regulatory Landscape</w:t>
      </w:r>
    </w:p>
    <w:p w14:paraId="4531BFAE" w14:textId="4EFF9077" w:rsidR="00DE76D7" w:rsidRPr="00DE76D7" w:rsidRDefault="00DE76D7" w:rsidP="00DE76D7">
      <w:pPr>
        <w:spacing w:line="240" w:lineRule="auto"/>
        <w:jc w:val="both"/>
      </w:pPr>
      <w:r w:rsidRPr="00DE76D7">
        <w:t xml:space="preserve">Transparency has emerged as a critical regulatory strategy across advanced economies </w:t>
      </w:r>
      <w:r w:rsidR="00C313FF">
        <w:t>to address persistent gender pay inequities and enhance</w:t>
      </w:r>
      <w:r w:rsidRPr="00DE76D7">
        <w:t xml:space="preserve"> organizational accountability. Pay transparency legislation has been introduced in many OECD countries to reduce pay information asymmetries (</w:t>
      </w:r>
      <w:proofErr w:type="spellStart"/>
      <w:r w:rsidRPr="00DE76D7">
        <w:t>Lahuerta</w:t>
      </w:r>
      <w:proofErr w:type="spellEnd"/>
      <w:r w:rsidRPr="00DE76D7">
        <w:t xml:space="preserve"> et al., 2024), with significant potential: a study of approximately 100,000 US academics found that pay transparency led to substantial increases in pay equity and equality (</w:t>
      </w:r>
      <w:proofErr w:type="spellStart"/>
      <w:r w:rsidRPr="00DE76D7">
        <w:t>Obloj</w:t>
      </w:r>
      <w:proofErr w:type="spellEnd"/>
      <w:r w:rsidRPr="00DE76D7">
        <w:t xml:space="preserve"> &amp; Zenger, 2022). Core obligations typically include publishing salary ranges, providing employee access to pay-structure information, and submitting pay-data reports to regulators. Concerns persist about the disclosure of sensitive data and potential cost burdens, particularly for smaller enterprises (</w:t>
      </w:r>
      <w:proofErr w:type="spellStart"/>
      <w:r w:rsidRPr="00DE76D7">
        <w:t>Lahuerta</w:t>
      </w:r>
      <w:proofErr w:type="spellEnd"/>
      <w:r w:rsidRPr="00DE76D7">
        <w:t>, 2022).</w:t>
      </w:r>
    </w:p>
    <w:p w14:paraId="209345C9" w14:textId="6EAD1F76" w:rsidR="00DE76D7" w:rsidRPr="00DE76D7" w:rsidRDefault="00DE76D7" w:rsidP="00DE76D7">
      <w:pPr>
        <w:spacing w:line="240" w:lineRule="auto"/>
        <w:jc w:val="both"/>
      </w:pPr>
      <w:r w:rsidRPr="00DE76D7">
        <w:t>The United States has developed pay transparency regulation</w:t>
      </w:r>
      <w:r w:rsidR="00C313FF">
        <w:t>s</w:t>
      </w:r>
      <w:r w:rsidRPr="00DE76D7">
        <w:t xml:space="preserve"> primarily through state-level action, producing a fragmented legal landscape. By late 2025, approximately 16 states had enacted salary-range disclosure statutes, beginning with Colorado in 2021 and extending through California, New York, and Washington (2023) to Illinois and Minnesota (2025). State frameworks differ substantially in employer thresholds, </w:t>
      </w:r>
      <w:r w:rsidR="00C313FF">
        <w:t>definitions of advertisement</w:t>
      </w:r>
      <w:r w:rsidRPr="00DE76D7">
        <w:t>s, disclosure content, and enforcement mechanisms (</w:t>
      </w:r>
      <w:proofErr w:type="spellStart"/>
      <w:r w:rsidRPr="00DE76D7">
        <w:t>Lahuerta</w:t>
      </w:r>
      <w:proofErr w:type="spellEnd"/>
      <w:r w:rsidRPr="00DE76D7">
        <w:t xml:space="preserve"> et al., 2024). Separate state-level anti-pay-secrecy statutes show limited practical effectiveness; nearly half of workers in covered states still encounter workplace pay secrecy rules (Rosenfeld et al., 2023).</w:t>
      </w:r>
    </w:p>
    <w:p w14:paraId="4CE9061D" w14:textId="77777777" w:rsidR="00DE76D7" w:rsidRPr="00DE76D7" w:rsidRDefault="00DE76D7" w:rsidP="00DE76D7">
      <w:pPr>
        <w:spacing w:line="240" w:lineRule="auto"/>
        <w:jc w:val="both"/>
      </w:pPr>
      <w:r w:rsidRPr="00DE76D7">
        <w:t>By contrast, the EU Pay Transparency Directive (transposition deadline June 2026) imposes harmonized disclosure obligations across member states and empowers workers with enforcement mechanisms (</w:t>
      </w:r>
      <w:proofErr w:type="spellStart"/>
      <w:r w:rsidRPr="00DE76D7">
        <w:t>Lahuerta</w:t>
      </w:r>
      <w:proofErr w:type="spellEnd"/>
      <w:r w:rsidRPr="00DE76D7">
        <w:t xml:space="preserve"> et al., 2024; Križan, 2025; Tsvetkov, 2025). For multinational enterprises, this creates a unified compliance structure that supersedes fragmented national approaches, though implementation imposes substantial administrative and financial adjustments.</w:t>
      </w:r>
    </w:p>
    <w:p w14:paraId="229C5510" w14:textId="53F03CD9" w:rsidR="00DE76D7" w:rsidRPr="00DE76D7" w:rsidRDefault="00DE76D7" w:rsidP="00DE76D7">
      <w:pPr>
        <w:spacing w:line="240" w:lineRule="auto"/>
        <w:jc w:val="both"/>
      </w:pPr>
      <w:r w:rsidRPr="00DE76D7">
        <w:t xml:space="preserve">Thailand’s pay transparency framework remains limited, with only partial legal requirements that create both regulatory challenges and constraints on organizational flexibility. The legal landscape mandates core compensation disclosures in employment contracts and workplace minimum wage </w:t>
      </w:r>
      <w:proofErr w:type="gramStart"/>
      <w:r w:rsidRPr="00DE76D7">
        <w:t>displays, but</w:t>
      </w:r>
      <w:proofErr w:type="gramEnd"/>
      <w:r w:rsidRPr="00DE76D7">
        <w:t xml:space="preserve"> stops short of comprehensive transparency. Employers are not legally required to disclose salary ranges in job advertisements or to submit detailed pay data reports (Zaini et al., 2018). The framework reflects an incremental approach typical of emerging economies, </w:t>
      </w:r>
      <w:r w:rsidR="00C313FF">
        <w:t>in which pay transparency evolves gradually through selective mandates rather than through</w:t>
      </w:r>
      <w:r w:rsidRPr="00DE76D7">
        <w:t xml:space="preserve"> </w:t>
      </w:r>
      <w:r w:rsidR="00C313FF">
        <w:t xml:space="preserve">a </w:t>
      </w:r>
      <w:r w:rsidRPr="00DE76D7">
        <w:t>comprehensive overhaul.</w:t>
      </w:r>
    </w:p>
    <w:p w14:paraId="62780813" w14:textId="77777777" w:rsidR="00DE76D7" w:rsidRPr="00DE76D7" w:rsidRDefault="00DE76D7" w:rsidP="00DE76D7">
      <w:pPr>
        <w:spacing w:line="240" w:lineRule="auto"/>
        <w:jc w:val="both"/>
      </w:pPr>
      <w:r w:rsidRPr="00DE76D7">
        <w:rPr>
          <w:b/>
        </w:rPr>
        <w:t>2.3.2 Organizational Responses to Transparency Requirements</w:t>
      </w:r>
    </w:p>
    <w:p w14:paraId="31DAA2C3" w14:textId="77777777" w:rsidR="00DE76D7" w:rsidRPr="00DE76D7" w:rsidRDefault="00DE76D7" w:rsidP="00DE76D7">
      <w:pPr>
        <w:spacing w:line="240" w:lineRule="auto"/>
        <w:jc w:val="both"/>
      </w:pPr>
      <w:r w:rsidRPr="00DE76D7">
        <w:lastRenderedPageBreak/>
        <w:t>Organizational responses to pay transparency mandates are complex and strategically diverse, reflecting significant variations in implementation approaches. Pay transparency is not a one-size-fits-all approach but a strategic decision shaped by organizational context, culture, and objectives, with each transparency dimension carrying distinct implications (Bamberger, 2021). Implementation varies based on internal factors such as variable pay systems and external pressures from regulators and stakeholders (Arnold et al., 2023). Many organizations remain in the early stages of implementing pay transparency strategies, with current efforts focused on manager training and employee education (McMullen &amp; Dahle, 2024). While pay transparency can yield benefits such as closing pay gaps and reducing turnover, it can also create confusion and adverse outcomes if poorly implemented (</w:t>
      </w:r>
      <w:proofErr w:type="spellStart"/>
      <w:r w:rsidRPr="00DE76D7">
        <w:t>Avdul</w:t>
      </w:r>
      <w:proofErr w:type="spellEnd"/>
      <w:r w:rsidRPr="00DE76D7">
        <w:t xml:space="preserve"> et al., 2023).</w:t>
      </w:r>
    </w:p>
    <w:p w14:paraId="2BA2CEDC" w14:textId="5AA9F319" w:rsidR="00DE76D7" w:rsidRPr="00DE76D7" w:rsidRDefault="00DE76D7" w:rsidP="00DE76D7">
      <w:pPr>
        <w:spacing w:line="240" w:lineRule="auto"/>
        <w:jc w:val="both"/>
      </w:pPr>
      <w:r w:rsidRPr="00DE76D7">
        <w:t>Pay transparency has nuanced, multidimensional effects, with strong evidence of reducing gender pay disparities but mixed implications for broader workplace dynamics. Research in Denmark found a 7% reduction in the gender pay gap relative to the pre-legislation mean, achieved primarily by slowing male wage growth (Bennedsen et al., 2022), and Canadian universities anticipating scrutiny respond more aggressively to improve gender pay equality (Lyons &amp; Zhang, 2023). However, consequences extend beyond pay equity. Pay transparency produces beneficial outcomes</w:t>
      </w:r>
      <w:r w:rsidR="00C313FF">
        <w:t>, such as enhanced performance and reduced pay discrepancies, alongside problematic effects, such as increased envy and potential pay compression (Bamberger, 2021). W</w:t>
      </w:r>
      <w:r w:rsidRPr="00DE76D7">
        <w:t>hile transparency can narrow wage gaps, it may also lead to more aggressive employer bargaining and lower average wages (Cullen, 2023).</w:t>
      </w:r>
    </w:p>
    <w:p w14:paraId="1FE6945B" w14:textId="5C984727" w:rsidR="00DE76D7" w:rsidRPr="00DE76D7" w:rsidRDefault="00DE76D7" w:rsidP="00DE76D7">
      <w:pPr>
        <w:spacing w:line="240" w:lineRule="auto"/>
        <w:jc w:val="both"/>
      </w:pPr>
      <w:r w:rsidRPr="00DE76D7">
        <w:t xml:space="preserve">Younger generations, particularly Generation Z, are </w:t>
      </w:r>
      <w:proofErr w:type="gramStart"/>
      <w:r w:rsidRPr="00DE76D7">
        <w:t>driving</w:t>
      </w:r>
      <w:proofErr w:type="gramEnd"/>
      <w:r w:rsidRPr="00DE76D7">
        <w:t xml:space="preserve"> significant changes in </w:t>
      </w:r>
      <w:r w:rsidR="00C313FF">
        <w:t>expectations for pay transparency</w:t>
      </w:r>
      <w:r w:rsidRPr="00DE76D7">
        <w:t>. Generational differences are increasingly important in compensation management as younger cohorts challenge traditional approaches to salary discussions (</w:t>
      </w:r>
      <w:proofErr w:type="spellStart"/>
      <w:r w:rsidRPr="00DE76D7">
        <w:t>Avdul</w:t>
      </w:r>
      <w:proofErr w:type="spellEnd"/>
      <w:r w:rsidRPr="00DE76D7">
        <w:t xml:space="preserve"> et al., 2023). These employees are more comfortable discussing compensation and demand greater organizational disclosure (Stofberg et al., 2022), creating new pressures for transparency (Malik &amp; Musah, 2024) and prompting organizations to adapt their reward communication strategies (McMullen &amp; Dahle, 2024).</w:t>
      </w:r>
    </w:p>
    <w:p w14:paraId="6BD63701" w14:textId="77777777" w:rsidR="00DE76D7" w:rsidRPr="00DE76D7" w:rsidRDefault="00DE76D7" w:rsidP="00DE76D7">
      <w:pPr>
        <w:spacing w:line="240" w:lineRule="auto"/>
        <w:jc w:val="both"/>
      </w:pPr>
      <w:r w:rsidRPr="00DE76D7">
        <w:rPr>
          <w:b/>
        </w:rPr>
        <w:t>2.3.3 Integration with Financial Reporting</w:t>
      </w:r>
    </w:p>
    <w:p w14:paraId="14091A4D" w14:textId="77777777" w:rsidR="00DE76D7" w:rsidRPr="00DE76D7" w:rsidRDefault="00DE76D7" w:rsidP="00DE76D7">
      <w:pPr>
        <w:spacing w:line="240" w:lineRule="auto"/>
        <w:jc w:val="both"/>
      </w:pPr>
      <w:r w:rsidRPr="00DE76D7">
        <w:t>The integration of pay-transparency compliance mechanisms with external financial reporting remains fragmented. Most pay transparency regulations focus narrowly on HR and recruitment, leading organizations to maintain separate reporting mechanisms. Significant challenges persist in integrating alternative reporting approaches, including inconsistent standards and limited technological infrastructure (</w:t>
      </w:r>
      <w:proofErr w:type="spellStart"/>
      <w:r w:rsidRPr="00DE76D7">
        <w:t>Dasila</w:t>
      </w:r>
      <w:proofErr w:type="spellEnd"/>
      <w:r w:rsidRPr="00DE76D7">
        <w:t>, 2025), and the endogenous nature of governance mechanisms related to financial transparency further complicates integration (Armstrong et al., 2016). Current practice allows organizations to disclose salary ranges in job advertisements while providing minimal compensation information in financial statements, potentially confusing stakeholders and reducing reporting efficiency.</w:t>
      </w:r>
    </w:p>
    <w:p w14:paraId="3C42B60B" w14:textId="77777777" w:rsidR="00DE76D7" w:rsidRPr="00DE76D7" w:rsidRDefault="00DE76D7" w:rsidP="00DE76D7">
      <w:pPr>
        <w:spacing w:line="240" w:lineRule="auto"/>
        <w:jc w:val="both"/>
      </w:pPr>
      <w:r w:rsidRPr="00DE76D7">
        <w:t xml:space="preserve">Current human capital reporting systems lack a coordinated framework for leveraging compliance-oriented data infrastructure, thereby limiting the comprehensiveness of workforce reporting in financial statements. Research on SEC-mandated human capital disclosures reveals that such disclosures have been extremely limited relative to those of other asset classes, with reporting highly variable across firms and lacking numerical intensity (Demers et al., 2022). Rather </w:t>
      </w:r>
      <w:proofErr w:type="gramStart"/>
      <w:r w:rsidRPr="00DE76D7">
        <w:t>than merely</w:t>
      </w:r>
      <w:proofErr w:type="gramEnd"/>
      <w:r w:rsidRPr="00DE76D7">
        <w:t xml:space="preserve"> complying with reporting requirements, organizations should focus on measuring for the sake of managing to derive strategic value from workforce data (Zyl, 2022). Board size and </w:t>
      </w:r>
      <w:r w:rsidRPr="00DE76D7">
        <w:lastRenderedPageBreak/>
        <w:t>diversity positively influence human capital disclosure, suggesting potential pathways for more integrated reporting (Raimo et al., 2020). However, the current landscape remains fragmented, with no standardized framework for transforming compliance data into strategic human capital insight within financial reporting.</w:t>
      </w:r>
    </w:p>
    <w:p w14:paraId="664E9511" w14:textId="77777777" w:rsidR="00DE76D7" w:rsidRPr="00DE76D7" w:rsidRDefault="00DE76D7" w:rsidP="00DE76D7">
      <w:pPr>
        <w:spacing w:line="240" w:lineRule="auto"/>
        <w:jc w:val="both"/>
      </w:pPr>
      <w:r w:rsidRPr="00DE76D7">
        <w:rPr>
          <w:b/>
        </w:rPr>
        <w:t>2.4 Human Capital Accounting and Disclosure Frameworks</w:t>
      </w:r>
    </w:p>
    <w:p w14:paraId="6FB99B8B" w14:textId="77777777" w:rsidR="00DE76D7" w:rsidRPr="00DE76D7" w:rsidRDefault="00DE76D7" w:rsidP="00DE76D7">
      <w:pPr>
        <w:spacing w:line="240" w:lineRule="auto"/>
        <w:jc w:val="both"/>
      </w:pPr>
      <w:r w:rsidRPr="00DE76D7">
        <w:rPr>
          <w:b/>
        </w:rPr>
        <w:t>2.4.1 Historical Development of Human Resource Accounting</w:t>
      </w:r>
    </w:p>
    <w:p w14:paraId="3E9112B1" w14:textId="77777777" w:rsidR="00DE76D7" w:rsidRPr="00DE76D7" w:rsidRDefault="00DE76D7" w:rsidP="00DE76D7">
      <w:pPr>
        <w:spacing w:line="240" w:lineRule="auto"/>
        <w:jc w:val="both"/>
      </w:pPr>
      <w:r w:rsidRPr="00DE76D7">
        <w:t xml:space="preserve">Human Resource Accounting (HRA) emerged in the 1960s as an approach challenging traditional accounting’s treatment of human resources as period expenses. The concept traces its origins to </w:t>
      </w:r>
      <w:proofErr w:type="spellStart"/>
      <w:r w:rsidRPr="00DE76D7">
        <w:t>Rensis</w:t>
      </w:r>
      <w:proofErr w:type="spellEnd"/>
      <w:r w:rsidRPr="00DE76D7">
        <w:t xml:space="preserve"> Likert, who first used the term “human assets” in the late 1950s, arguing that human resources should be viewed as investments generating future economic value (Gogoi &amp; </w:t>
      </w:r>
      <w:proofErr w:type="spellStart"/>
      <w:r w:rsidRPr="00DE76D7">
        <w:t>Marwadikumbhar</w:t>
      </w:r>
      <w:proofErr w:type="spellEnd"/>
      <w:r w:rsidRPr="00DE76D7">
        <w:t>, 2024). HRA’s initial objective was to improve corporate financial reporting by accounting for human assets and increasing the representational validity of financial statements (</w:t>
      </w:r>
      <w:proofErr w:type="spellStart"/>
      <w:r w:rsidRPr="00DE76D7">
        <w:t>Flamholtz</w:t>
      </w:r>
      <w:proofErr w:type="spellEnd"/>
      <w:r w:rsidRPr="00DE76D7">
        <w:t xml:space="preserve"> &amp; Wollman, 1978). Traditional accounting methods fail to capture the economic value of human resources, resulting in significant book–market value discrepancy (Mohiuddin &amp; Banu, 2017). By capitalizing human resource investments, organizations can more accurately reflect the strategic importance of their workforce, transforming human capital from a cost center to a measurable economic asset.</w:t>
      </w:r>
    </w:p>
    <w:p w14:paraId="5E86D90E" w14:textId="77777777" w:rsidR="00DE76D7" w:rsidRPr="00DE76D7" w:rsidRDefault="00DE76D7" w:rsidP="00DE76D7">
      <w:pPr>
        <w:spacing w:line="240" w:lineRule="auto"/>
        <w:jc w:val="both"/>
      </w:pPr>
      <w:r w:rsidRPr="00DE76D7">
        <w:t xml:space="preserve">HRA has produced multiple valuation approaches — historical cost, replacement cost, present value, and opportunity cost (Abderraouf, </w:t>
      </w:r>
      <w:proofErr w:type="gramStart"/>
      <w:r w:rsidRPr="00DE76D7">
        <w:t>2020) —</w:t>
      </w:r>
      <w:proofErr w:type="gramEnd"/>
      <w:r w:rsidRPr="00DE76D7">
        <w:t xml:space="preserve"> but each faces theoretical immaturity, weak integration with corporate culture, and limited talent-construct development (Li, K., 2024). Replacement cost appears most defensible as a surrogate for personnel valuation, though no single method is fully adequate (Carper &amp; Posey, 1976).</w:t>
      </w:r>
    </w:p>
    <w:p w14:paraId="7641D63C" w14:textId="77777777" w:rsidR="00DE76D7" w:rsidRPr="00DE76D7" w:rsidRDefault="00DE76D7" w:rsidP="00DE76D7">
      <w:pPr>
        <w:spacing w:line="240" w:lineRule="auto"/>
        <w:jc w:val="both"/>
      </w:pPr>
      <w:r w:rsidRPr="00DE76D7">
        <w:t>Despite decades of development, HRA remains largely theoretical owing to significant implementation barriers. Difficulties arise from valuation uncertainty and the lack of specific accounting standards (Islam et al., 2013); while human resources are critical organizational assets, no legal regulations govern comprehensive human resource accounting (Cherian &amp; Farouq, 2013). Multiple independent studies identify similar barriers, yet research remains predominantly conceptual with limited empirical validation.</w:t>
      </w:r>
    </w:p>
    <w:p w14:paraId="56C4A811" w14:textId="77777777" w:rsidR="00DE76D7" w:rsidRPr="00DE76D7" w:rsidRDefault="00DE76D7" w:rsidP="00DE76D7">
      <w:pPr>
        <w:spacing w:line="240" w:lineRule="auto"/>
        <w:jc w:val="both"/>
      </w:pPr>
      <w:r w:rsidRPr="00DE76D7">
        <w:rPr>
          <w:b/>
        </w:rPr>
        <w:t>2.4.2 Current State of Human Capital Disclosure</w:t>
      </w:r>
    </w:p>
    <w:p w14:paraId="51708026" w14:textId="5863D042" w:rsidR="00DE76D7" w:rsidRPr="00DE76D7" w:rsidRDefault="00DE76D7" w:rsidP="00DE76D7">
      <w:pPr>
        <w:spacing w:line="240" w:lineRule="auto"/>
        <w:jc w:val="both"/>
      </w:pPr>
      <w:r w:rsidRPr="00DE76D7">
        <w:t xml:space="preserve">The SEC’s 2020 principles-based human capital disclosure rules have produced highly variable corporate reporting. In the first year of implementation, disclosures were extremely heterogeneous in length, numerical intensity, and tone (Demers et al., 2022). Disparities in disclosure attributes persist across companies, with </w:t>
      </w:r>
      <w:r w:rsidR="00C313FF">
        <w:t xml:space="preserve">a </w:t>
      </w:r>
      <w:r w:rsidRPr="00DE76D7">
        <w:t>notable lack of quantitative detail (Pandit, 2023). Quantitative metrics in 10-K filings increased from 40% to 73% post-regulation</w:t>
      </w:r>
      <w:r w:rsidR="00C313FF">
        <w:t>. However,</w:t>
      </w:r>
      <w:r w:rsidRPr="00DE76D7">
        <w:t xml:space="preserve"> the additions </w:t>
      </w:r>
      <w:r w:rsidR="00C313FF">
        <w:t>primarily focused on diversity and turnover metrics (</w:t>
      </w:r>
      <w:proofErr w:type="spellStart"/>
      <w:r w:rsidR="00C313FF">
        <w:t>Bourveau</w:t>
      </w:r>
      <w:proofErr w:type="spellEnd"/>
      <w:r w:rsidR="00C313FF">
        <w:t xml:space="preserve"> et al., 2025), and most disclosures remain generic and lack meaningful quantitative information, thereby</w:t>
      </w:r>
      <w:r w:rsidRPr="00DE76D7">
        <w:t xml:space="preserve"> compromising investor interpretability (Batish et al., 2021).</w:t>
      </w:r>
    </w:p>
    <w:p w14:paraId="63F101D4" w14:textId="77777777" w:rsidR="00DE76D7" w:rsidRPr="00DE76D7" w:rsidRDefault="00DE76D7" w:rsidP="00DE76D7">
      <w:pPr>
        <w:spacing w:line="240" w:lineRule="auto"/>
        <w:jc w:val="both"/>
      </w:pPr>
      <w:r w:rsidRPr="00DE76D7">
        <w:t xml:space="preserve">The SEC’s Investor Advisory Committee’s 2023 call for standardized human-capital disclosure is supported by empirical evidence linking workforce metrics to corporate performance. Employee turnover is negatively associated with future financial performance, with stronger effects in small and young firms (Li et al., 2021). Substantial reporting gaps persist, with only 20% of social metrics decision-useful and 60–90% of quantitative measures missing across rating providers (Atz </w:t>
      </w:r>
      <w:r w:rsidRPr="00DE76D7">
        <w:lastRenderedPageBreak/>
        <w:t>&amp; Whelan, 2023). These findings validate the Committee’s recommendation for mandatory, structured reporting of workforce composition and turnover metrics to provide investors with more reliable, consistent information about a company’s human capital.</w:t>
      </w:r>
    </w:p>
    <w:p w14:paraId="2FDFFB8E" w14:textId="77777777" w:rsidR="00DE76D7" w:rsidRPr="00DE76D7" w:rsidRDefault="00DE76D7" w:rsidP="00DE76D7">
      <w:pPr>
        <w:spacing w:line="240" w:lineRule="auto"/>
        <w:jc w:val="both"/>
      </w:pPr>
      <w:r w:rsidRPr="00DE76D7">
        <w:rPr>
          <w:b/>
        </w:rPr>
        <w:t>2.4.3 International Developments and Frameworks</w:t>
      </w:r>
    </w:p>
    <w:p w14:paraId="3EC252C0" w14:textId="77777777" w:rsidR="00DE76D7" w:rsidRPr="00DE76D7" w:rsidRDefault="00DE76D7" w:rsidP="00DE76D7">
      <w:pPr>
        <w:spacing w:line="240" w:lineRule="auto"/>
        <w:jc w:val="both"/>
      </w:pPr>
      <w:r w:rsidRPr="00DE76D7">
        <w:t>ISO 30414 represents a milestone in standardizing global human capital reporting, offering a comprehensive voluntary framework across eleven domains. The standard helps reduce information asymmetry between organizations and stakeholders (Choi et al., 2025</w:t>
      </w:r>
      <w:proofErr w:type="gramStart"/>
      <w:r w:rsidRPr="00DE76D7">
        <w:t>), and</w:t>
      </w:r>
      <w:proofErr w:type="gramEnd"/>
      <w:r w:rsidRPr="00DE76D7">
        <w:t xml:space="preserve"> reflects a broader shift toward integrating human capital disclosure with organizational transparency (</w:t>
      </w:r>
      <w:proofErr w:type="spellStart"/>
      <w:r w:rsidRPr="00DE76D7">
        <w:t>Luthia</w:t>
      </w:r>
      <w:proofErr w:type="spellEnd"/>
      <w:r w:rsidRPr="00DE76D7">
        <w:t xml:space="preserve"> et al., 2025). Its voluntary nature allows organizations flexibility while promoting consistency across reporting practices, with practical applications demonstrating use across corporate contexts (</w:t>
      </w:r>
      <w:proofErr w:type="spellStart"/>
      <w:r w:rsidRPr="00DE76D7">
        <w:t>Magau</w:t>
      </w:r>
      <w:proofErr w:type="spellEnd"/>
      <w:r w:rsidRPr="00DE76D7">
        <w:t>, 2024). ISO 30414 thus represents a significant step toward a globally recognized approach to human capital reporting.</w:t>
      </w:r>
    </w:p>
    <w:p w14:paraId="3FED5343" w14:textId="3F4AD9AE" w:rsidR="00DE76D7" w:rsidRPr="00DE76D7" w:rsidRDefault="00DE76D7" w:rsidP="00DE76D7">
      <w:pPr>
        <w:spacing w:line="240" w:lineRule="auto"/>
        <w:jc w:val="both"/>
      </w:pPr>
      <w:r w:rsidRPr="00DE76D7">
        <w:t xml:space="preserve">The European Union has shifted human capital disclosure from voluntary to mandatory practice. The Non-Financial Reporting Directive (NFRD) initiated mandatory sustainability disclosure (Hummel &amp; Jobst, 2021); the Corporate Sustainability Reporting Directive (CSRD) expanded both </w:t>
      </w:r>
      <w:r w:rsidR="00C313FF">
        <w:t xml:space="preserve">the </w:t>
      </w:r>
      <w:r w:rsidRPr="00DE76D7">
        <w:t>scope and depth (</w:t>
      </w:r>
      <w:proofErr w:type="spellStart"/>
      <w:r w:rsidRPr="00DE76D7">
        <w:t>Fornasari</w:t>
      </w:r>
      <w:proofErr w:type="spellEnd"/>
      <w:r w:rsidRPr="00DE76D7">
        <w:t xml:space="preserve"> &amp; Traversi, 2024). Reporting now covers working conditions, diversity, and workplace practices (Vaio et al., 2020), with measurable improvements in disclosure quality and depth across European companies.</w:t>
      </w:r>
    </w:p>
    <w:p w14:paraId="0E9FFE12" w14:textId="77777777" w:rsidR="00DE76D7" w:rsidRPr="00DE76D7" w:rsidRDefault="00DE76D7" w:rsidP="00DE76D7">
      <w:pPr>
        <w:spacing w:line="240" w:lineRule="auto"/>
        <w:jc w:val="both"/>
      </w:pPr>
      <w:r w:rsidRPr="00DE76D7">
        <w:t>Global policy organizations increasingly recognize human capital as a strategic asset, with frameworks emerging to quantify workforce investment, though significant adoption challenges persist. A strategic shift toward human capital disclosure is underway (</w:t>
      </w:r>
      <w:proofErr w:type="spellStart"/>
      <w:r w:rsidRPr="00DE76D7">
        <w:t>Luthia</w:t>
      </w:r>
      <w:proofErr w:type="spellEnd"/>
      <w:r w:rsidRPr="00DE76D7">
        <w:t xml:space="preserve"> et al., 2025), but widespread implementation remains limited by theoretical immaturity, integration issues, and cautious disclosure practice (Kang, 2024). Framework complexity and limited regulatory endorsement continue to impede comprehensive adoption.</w:t>
      </w:r>
    </w:p>
    <w:p w14:paraId="2AE2AC04" w14:textId="77777777" w:rsidR="00DE76D7" w:rsidRPr="00DE76D7" w:rsidRDefault="00DE76D7" w:rsidP="00DE76D7">
      <w:pPr>
        <w:spacing w:line="240" w:lineRule="auto"/>
        <w:jc w:val="both"/>
      </w:pPr>
      <w:r w:rsidRPr="00DE76D7">
        <w:rPr>
          <w:b/>
        </w:rPr>
        <w:t>2.5 Theoretical Foundations</w:t>
      </w:r>
    </w:p>
    <w:p w14:paraId="54EDE720" w14:textId="77777777" w:rsidR="00DE76D7" w:rsidRPr="00DE76D7" w:rsidRDefault="00DE76D7" w:rsidP="00DE76D7">
      <w:pPr>
        <w:spacing w:line="240" w:lineRule="auto"/>
        <w:jc w:val="both"/>
      </w:pPr>
      <w:r w:rsidRPr="00DE76D7">
        <w:rPr>
          <w:b/>
        </w:rPr>
        <w:t>2.5.1 Institutional Theory</w:t>
      </w:r>
    </w:p>
    <w:p w14:paraId="45C89004" w14:textId="77777777" w:rsidR="00DE76D7" w:rsidRPr="00DE76D7" w:rsidRDefault="00DE76D7" w:rsidP="00DE76D7">
      <w:pPr>
        <w:spacing w:line="240" w:lineRule="auto"/>
        <w:jc w:val="both"/>
      </w:pPr>
      <w:r w:rsidRPr="00DE76D7">
        <w:t>Institutional theory provides a framework for understanding organizational technology adoption through three interconnected pressures driving institutional isomorphism: coercive, mimetic, and normative. All three significantly predict adoption intentions, though their relative influence varies by context (Teo et al., 2003). Mimetic forces are most critical under uncertainty, coercive forces become significant with government incentives, and normative forces continuously shape adoption decisions (Sherer et al., 2016). The strength and impact of these pressures differ across settings: in Brazilian firms, normative pressures were the primary driver, contradicting some prior findings (Santos et al., 2020). Temporal dynamics also matter — mimetic pressures remain significant over time, while coercive pressures tend to be short-term and normative long-term in their effects (Jeyaraj &amp; Zadeh, 2020).</w:t>
      </w:r>
    </w:p>
    <w:p w14:paraId="3A49B7AE" w14:textId="77777777" w:rsidR="00DE76D7" w:rsidRPr="00DE76D7" w:rsidRDefault="00DE76D7" w:rsidP="00DE76D7">
      <w:pPr>
        <w:spacing w:line="240" w:lineRule="auto"/>
        <w:jc w:val="both"/>
      </w:pPr>
      <w:r w:rsidRPr="00DE76D7">
        <w:t>Institutional theory suggests organizational technology adoption, including AI compensation systems, is driven by legitimacy-seeking rather than pure technical optimization. Positive relationships exist between normative and coercive pressures and digital transformation outcomes (López-Morales et al., 2022), and mimetic and normative mechanisms are particularly influential in driving organizational disclosure practices (</w:t>
      </w:r>
      <w:proofErr w:type="spellStart"/>
      <w:r w:rsidRPr="00DE76D7">
        <w:t>Wukich</w:t>
      </w:r>
      <w:proofErr w:type="spellEnd"/>
      <w:r w:rsidRPr="00DE76D7">
        <w:t xml:space="preserve"> et al., 2023). Organizations are embedded in institutional networks where external expectations and peer behaviors play crucial roles.</w:t>
      </w:r>
    </w:p>
    <w:p w14:paraId="391859F7" w14:textId="358DAC06" w:rsidR="00DE76D7" w:rsidRPr="00DE76D7" w:rsidRDefault="00DE76D7" w:rsidP="00DE76D7">
      <w:pPr>
        <w:spacing w:line="240" w:lineRule="auto"/>
        <w:jc w:val="both"/>
      </w:pPr>
      <w:r w:rsidRPr="00DE76D7">
        <w:lastRenderedPageBreak/>
        <w:t xml:space="preserve">Institutional forces shape disclosure choices by creating complex pressures </w:t>
      </w:r>
      <w:r w:rsidR="00C313FF">
        <w:t xml:space="preserve">that </w:t>
      </w:r>
      <w:r w:rsidRPr="00DE76D7">
        <w:t xml:space="preserve">organizations interpret and respond to differently, despite facing comparable environmental conditions. Firms under similar institutional pressures can adopt heterogeneous management practices due to differences in organizational characteristics (Delmas &amp; Toffel, 2010), and national institutional environments create nuanced differences in sustainability disclosure across six Southeast Asian countries (Tran &amp; </w:t>
      </w:r>
      <w:proofErr w:type="spellStart"/>
      <w:r w:rsidRPr="00DE76D7">
        <w:t>Beddewela</w:t>
      </w:r>
      <w:proofErr w:type="spellEnd"/>
      <w:r w:rsidRPr="00DE76D7">
        <w:t>, 2020). Institutional theory thus serves as a nuanced lens for understanding selective interpretation and response, rather than as a deterministic framework.</w:t>
      </w:r>
    </w:p>
    <w:p w14:paraId="764024B4" w14:textId="77777777" w:rsidR="00DE76D7" w:rsidRPr="00DE76D7" w:rsidRDefault="00DE76D7" w:rsidP="00DE76D7">
      <w:pPr>
        <w:spacing w:line="240" w:lineRule="auto"/>
        <w:jc w:val="both"/>
      </w:pPr>
      <w:r w:rsidRPr="00DE76D7">
        <w:rPr>
          <w:b/>
        </w:rPr>
        <w:t>2.5.2 Stakeholder Theory</w:t>
      </w:r>
    </w:p>
    <w:p w14:paraId="15CD14A4" w14:textId="6E3AE639" w:rsidR="00DE76D7" w:rsidRPr="00DE76D7" w:rsidRDefault="00DE76D7" w:rsidP="00DE76D7">
      <w:pPr>
        <w:spacing w:line="240" w:lineRule="auto"/>
        <w:jc w:val="both"/>
      </w:pPr>
      <w:r w:rsidRPr="00DE76D7">
        <w:t xml:space="preserve">Stakeholder theory provides a framework for understanding organizational accountability by emphasizing the diverse information needs of multiple constituencies beyond traditional shareholder interests. The framework complements institutional theory by examining influences on sustainability reporting across organizational levels (Herold, 2018). Stakeholders have high expectations for human capital disclosures, though corporate reporting practices often fall short (Sahari et al., 2018). Human capital disclosure positively impacts organizational performance, indicating that responding to stakeholder </w:t>
      </w:r>
      <w:proofErr w:type="gramStart"/>
      <w:r w:rsidRPr="00DE76D7">
        <w:t>information needs</w:t>
      </w:r>
      <w:proofErr w:type="gramEnd"/>
      <w:r w:rsidRPr="00DE76D7">
        <w:t xml:space="preserve"> creates tangible benefits (Lin et al., 2012). The theory is particularly suitable for organizations in developing countries, </w:t>
      </w:r>
      <w:r w:rsidR="00C313FF">
        <w:t>as it offers</w:t>
      </w:r>
      <w:r w:rsidRPr="00DE76D7">
        <w:t xml:space="preserve"> a mechanism for managing diverse stakeholder pressures (Omran &amp; Ramdhony, 2015).</w:t>
      </w:r>
    </w:p>
    <w:p w14:paraId="779D85CE" w14:textId="458B9FFA" w:rsidR="00DE76D7" w:rsidRPr="00DE76D7" w:rsidRDefault="00DE76D7" w:rsidP="00DE76D7">
      <w:pPr>
        <w:spacing w:line="240" w:lineRule="auto"/>
        <w:jc w:val="both"/>
      </w:pPr>
      <w:r w:rsidRPr="00DE76D7">
        <w:t xml:space="preserve">Stakeholders have fundamentally different and potentially conflicting information needs regarding human capital, making comprehensive disclosure simultaneously critical and challenging. Human capital disclosure varies with market demand: firms in competitive environments disclose more information (Haslag et al., 2021). Marked differences exist between internally collected and externally disclosed human capital information, </w:t>
      </w:r>
      <w:r w:rsidR="00C313FF">
        <w:t>and organizations are concerned about compromising their</w:t>
      </w:r>
      <w:r w:rsidRPr="00DE76D7">
        <w:t xml:space="preserve"> competitive advantage (Beattie &amp; Smith, 2010). Stakeholders also interpret disclosures differently — equity investors respond positively to human capital information, while bond markets react negatively to specific disclosure categories (Arif et al., 2022). These findings underscore the challenge of developing approaches that satisfy diverse stakeholder needs without excessive reporting burden.</w:t>
      </w:r>
    </w:p>
    <w:p w14:paraId="712332CF" w14:textId="43CEB1E3" w:rsidR="00DE76D7" w:rsidRPr="00DE76D7" w:rsidRDefault="00DE76D7" w:rsidP="00DE76D7">
      <w:pPr>
        <w:spacing w:line="240" w:lineRule="auto"/>
        <w:jc w:val="both"/>
      </w:pPr>
      <w:r w:rsidRPr="00DE76D7">
        <w:t>Stakeholder salience theory provides a robust framework for understanding how organizations prioritize stakeholder groups in sustainability reporting and corporate social responsibility disclosure. The theory holds that stakeholders are prioritized according to three key attributes: power, legitimacy, and urgency (Mitchell et al., 1997). Employees, community, and media stakeholders most significantly influence sustainability disclosure decisions (Majdi et al., 2023), and stakeholder legitimacy primarily drives corporate social responsibility disclosure, with power and urgency playing indirect roles (</w:t>
      </w:r>
      <w:proofErr w:type="spellStart"/>
      <w:r w:rsidRPr="00DE76D7">
        <w:t>Thijssens</w:t>
      </w:r>
      <w:proofErr w:type="spellEnd"/>
      <w:r w:rsidRPr="00DE76D7">
        <w:t xml:space="preserve"> et al., 2015). In manufacturing contexts, stakeholder salience varies systematically with ownership structures, customer dependencies, and supply-chain dynamics, indicating that </w:t>
      </w:r>
      <w:r w:rsidR="00C313FF">
        <w:t>complex stakeholder interactions dynamically shape disclosure strategie</w:t>
      </w:r>
      <w:r w:rsidRPr="00DE76D7">
        <w:t>s.</w:t>
      </w:r>
    </w:p>
    <w:p w14:paraId="6E611C84" w14:textId="77777777" w:rsidR="00DE76D7" w:rsidRPr="00DE76D7" w:rsidRDefault="00DE76D7" w:rsidP="00DE76D7">
      <w:pPr>
        <w:spacing w:line="240" w:lineRule="auto"/>
        <w:jc w:val="both"/>
      </w:pPr>
      <w:r w:rsidRPr="00DE76D7">
        <w:rPr>
          <w:b/>
        </w:rPr>
        <w:t>2.5.3 Resource-Based View</w:t>
      </w:r>
    </w:p>
    <w:p w14:paraId="1E8FF4C2" w14:textId="273C7F24" w:rsidR="00DE76D7" w:rsidRPr="00DE76D7" w:rsidRDefault="00DE76D7" w:rsidP="00DE76D7">
      <w:pPr>
        <w:spacing w:line="240" w:lineRule="auto"/>
        <w:jc w:val="both"/>
      </w:pPr>
      <w:r w:rsidRPr="00DE76D7">
        <w:t>Human capital can be a source of sustained competitive advantage when it meets the strategic criteria of value, rarity, inimitability, and non-substitutability (Barney, 1991). Firm-specific investments in skills, knowledge, and organizational capabilities create unique human capital</w:t>
      </w:r>
      <w:r w:rsidR="00C313FF">
        <w:t>,</w:t>
      </w:r>
      <w:r w:rsidRPr="00DE76D7">
        <w:t xml:space="preserve"> generating this advantage (Wright et al., 1994)</w:t>
      </w:r>
      <w:r w:rsidR="00C313FF">
        <w:t>. However,</w:t>
      </w:r>
      <w:r w:rsidRPr="00DE76D7">
        <w:t xml:space="preserve"> human capital resources are valuable only when directly linked to performance behaviors specific to a firm’s strategy (</w:t>
      </w:r>
      <w:proofErr w:type="spellStart"/>
      <w:r w:rsidRPr="00DE76D7">
        <w:t>Ployhart</w:t>
      </w:r>
      <w:proofErr w:type="spellEnd"/>
      <w:r w:rsidRPr="00DE76D7">
        <w:t xml:space="preserve">, 2021). </w:t>
      </w:r>
      <w:r w:rsidRPr="00DE76D7">
        <w:lastRenderedPageBreak/>
        <w:t>Investments in firm-specific human capital significantly improve learning and performance, with time-compression diseconomies protecting these resources from imitation (Hatch &amp; Dyer, 2004). The strength of human capital lies not just in its existence but in its strategic deployment and alignment with firm-specific performance outcomes.</w:t>
      </w:r>
    </w:p>
    <w:p w14:paraId="13AD733F" w14:textId="5F38E6B0" w:rsidR="00DE76D7" w:rsidRPr="00DE76D7" w:rsidRDefault="00DE76D7" w:rsidP="00DE76D7">
      <w:pPr>
        <w:spacing w:line="240" w:lineRule="auto"/>
        <w:jc w:val="both"/>
      </w:pPr>
      <w:r w:rsidRPr="00DE76D7">
        <w:t xml:space="preserve">The Resource-Based View (RBV) provides theoretical and empirical support for human capital as a strategic asset that can generate competitive advantage through targeted HR practice. Strategic HR configurations enhance organizational performance by creating firm-level employee-based resources (Collins, 2020). HR practices are not simple levers, </w:t>
      </w:r>
      <w:r w:rsidR="00C313FF">
        <w:t>but complex mechanisms that shape</w:t>
      </w:r>
      <w:r w:rsidRPr="00DE76D7">
        <w:t xml:space="preserve"> employee mobility and organizational capability (Delery &amp; </w:t>
      </w:r>
      <w:proofErr w:type="spellStart"/>
      <w:r w:rsidRPr="00DE76D7">
        <w:t>Roumpi</w:t>
      </w:r>
      <w:proofErr w:type="spellEnd"/>
      <w:r w:rsidRPr="00DE76D7">
        <w:t>, 2017). Best practices can create value, but their implementation and strategic fit are critical to realizing competitive benefit (Gerhart &amp; Feng, 2021).</w:t>
      </w:r>
    </w:p>
    <w:p w14:paraId="002AF748" w14:textId="2D602C2D" w:rsidR="00DE76D7" w:rsidRPr="00DE76D7" w:rsidRDefault="00DE76D7" w:rsidP="00DE76D7">
      <w:pPr>
        <w:spacing w:line="240" w:lineRule="auto"/>
        <w:jc w:val="both"/>
      </w:pPr>
      <w:r w:rsidRPr="00DE76D7">
        <w:t xml:space="preserve">Organizations face a strategic tension between transparency demands and the </w:t>
      </w:r>
      <w:r w:rsidR="00C313FF">
        <w:t>need to protect</w:t>
      </w:r>
      <w:r w:rsidRPr="00DE76D7">
        <w:t xml:space="preserve"> competitive advantage (Callery, 2020). Detailed disclosure of workforce composition, compensation, and capability development can expose proprietary strategic assets (Grant, 1991), and the inimitability that makes human capital a competitive resource also raises the consequence of disclosure choices, requiring careful calibration of transparency against strategic protection.</w:t>
      </w:r>
    </w:p>
    <w:p w14:paraId="0B5D2BE6" w14:textId="77777777" w:rsidR="00DE76D7" w:rsidRPr="00DE76D7" w:rsidRDefault="00DE76D7" w:rsidP="00DE76D7">
      <w:pPr>
        <w:spacing w:line="240" w:lineRule="auto"/>
        <w:jc w:val="both"/>
      </w:pPr>
      <w:r w:rsidRPr="00DE76D7">
        <w:rPr>
          <w:b/>
        </w:rPr>
        <w:t>2.5.4 Organizational Conditions as Enabling Mechanisms</w:t>
      </w:r>
    </w:p>
    <w:p w14:paraId="1069C683" w14:textId="0EB6AFF1" w:rsidR="00DE76D7" w:rsidRPr="00DE76D7" w:rsidRDefault="00DE76D7" w:rsidP="00DE76D7">
      <w:pPr>
        <w:spacing w:line="240" w:lineRule="auto"/>
        <w:jc w:val="both"/>
      </w:pPr>
      <w:r w:rsidRPr="00DE76D7">
        <w:t>Beyond institutional, stakeholder, and resource-based perspectives, an emerging literature stream emphasizes that the effectiveness of advanced technologies in producing organizational outcomes depends on internal enabling conditions. Organizational culture, leadership commitment, and information-transparency norms are increasingly recognized as the conditions that translate technological capability into observable performance and reporting outcomes (</w:t>
      </w:r>
      <w:proofErr w:type="spellStart"/>
      <w:r w:rsidR="0035507D" w:rsidRPr="0035507D">
        <w:t>Pasigai</w:t>
      </w:r>
      <w:proofErr w:type="spellEnd"/>
      <w:r w:rsidR="0035507D" w:rsidRPr="0035507D">
        <w:t xml:space="preserve"> et al., 2025</w:t>
      </w:r>
      <w:r w:rsidR="0035507D">
        <w:t xml:space="preserve">; </w:t>
      </w:r>
      <w:r w:rsidRPr="00DE76D7">
        <w:t>Sohani et al., 2025). Research on AI adoption demonstrates that technological investment alone rarely produces strategic value; organizational readiness — leadership orientation, employee engagement, and transparency-supportive cultural norms — moderates the realized impact of AI capabilities (Uren &amp; Edwards, 2023). This conditional view aligns with broader theoretical developments that question direct technology-outcome relationships and emphasize the institutional and cultural conditions under which technology becomes effective.</w:t>
      </w:r>
    </w:p>
    <w:p w14:paraId="44F15B09" w14:textId="77777777" w:rsidR="00DE76D7" w:rsidRPr="00DE76D7" w:rsidRDefault="00DE76D7" w:rsidP="00DE76D7">
      <w:pPr>
        <w:spacing w:line="240" w:lineRule="auto"/>
        <w:jc w:val="both"/>
      </w:pPr>
      <w:r w:rsidRPr="00DE76D7">
        <w:t xml:space="preserve">Organizational culture is consistently identified as a critical enabling condition for transparency, ethical reporting, and disclosure-oriented behavior. Cultural orientations supportive of openness, accountability, and information-sharing positively influence disclosure quality across financial and non-financial reporting domains (Hofstede et al., 2010; Naranjo-Valencia et al., 2016). Cultures characterized by high power distance and information asymmetry tend to suppress voluntary disclosure, while those emphasizing transparency and stakeholder dialogue enhance it (Tran &amp; </w:t>
      </w:r>
      <w:proofErr w:type="spellStart"/>
      <w:r w:rsidRPr="00DE76D7">
        <w:t>Beddewela</w:t>
      </w:r>
      <w:proofErr w:type="spellEnd"/>
      <w:r w:rsidRPr="00DE76D7">
        <w:t>, 2020). For AI-driven systems, transparency-supportive cultures determine whether organizations treat AI-generated workforce data as legitimate input for external reporting or as internal management information that should not be disclosed. This cultural distinction carries substantial implications for whether technological investments are translated into stakeholder-accessible disclosures.</w:t>
      </w:r>
    </w:p>
    <w:p w14:paraId="7A3E2F7C" w14:textId="43E01100" w:rsidR="00DE76D7" w:rsidRPr="00DE76D7" w:rsidRDefault="00DE76D7" w:rsidP="00DE76D7">
      <w:pPr>
        <w:spacing w:line="240" w:lineRule="auto"/>
        <w:jc w:val="both"/>
      </w:pPr>
      <w:r w:rsidRPr="00DE76D7">
        <w:t xml:space="preserve">Leadership commitment functions as a second enabling mechanism by establishing the priorities, resources, and accountability structures necessary </w:t>
      </w:r>
      <w:r w:rsidR="00C313FF">
        <w:t>to</w:t>
      </w:r>
      <w:r w:rsidRPr="00DE76D7">
        <w:t xml:space="preserve"> translat</w:t>
      </w:r>
      <w:r w:rsidR="00C313FF">
        <w:t>e</w:t>
      </w:r>
      <w:r w:rsidRPr="00DE76D7">
        <w:t xml:space="preserve"> AI capability into disclosure outcomes. Leadership commitment to transparency, ethics, and digital transformation drives sustainable AI integration and strengthens reporting practices (</w:t>
      </w:r>
      <w:proofErr w:type="spellStart"/>
      <w:r w:rsidRPr="00DE76D7">
        <w:t>Bahangulu</w:t>
      </w:r>
      <w:proofErr w:type="spellEnd"/>
      <w:r w:rsidRPr="00DE76D7">
        <w:t xml:space="preserve"> &amp; Owusu-Berko, 2025; </w:t>
      </w:r>
      <w:r w:rsidRPr="00DE76D7">
        <w:lastRenderedPageBreak/>
        <w:t>Sira, 2025). Leaders who actively endorse transparency shape organizational priorities, allocate resources to disclosure infrastructure, and create the accountability structures necessary for AI-generated data to flow into external reporting (Singh et al., 2025). Without such commitment, AI systems may operate as isolated capabilities generating sophisticated analytics but contributing little to public disclosure. Together, organizational culture and leadership commitment represent the institutional and behavioral conditions determining whether technological investment translates into transparent reporting outcomes — conditions that operate alongside pay transparency and organizational size as moderating mechanisms in the AI–human capital disclosure relationship and warrant systematic empirical examination in this and future studies.</w:t>
      </w:r>
    </w:p>
    <w:p w14:paraId="3EB0AE05" w14:textId="77777777" w:rsidR="00DE76D7" w:rsidRPr="00DE76D7" w:rsidRDefault="00DE76D7" w:rsidP="00DE76D7">
      <w:pPr>
        <w:spacing w:line="240" w:lineRule="auto"/>
        <w:jc w:val="both"/>
      </w:pPr>
      <w:r w:rsidRPr="00DE76D7">
        <w:rPr>
          <w:b/>
        </w:rPr>
        <w:t>2.6 Research Gap Analysis</w:t>
      </w:r>
    </w:p>
    <w:p w14:paraId="1B10C6F7" w14:textId="5B881CAD" w:rsidR="00DE76D7" w:rsidRPr="00DE76D7" w:rsidRDefault="00DE76D7" w:rsidP="00DE76D7">
      <w:pPr>
        <w:spacing w:line="240" w:lineRule="auto"/>
        <w:jc w:val="both"/>
      </w:pPr>
      <w:r w:rsidRPr="00DE76D7">
        <w:t>The literature confirms substantial fragmentation across AI-enabled compensation, regulatory, and accounting domains, with limited cross-disciplinary integration. AI in human resource management suffers from insufficient cross-fertili</w:t>
      </w:r>
      <w:r w:rsidR="00C313FF">
        <w:t>zation across disciplines, leading to a fragmented body of knowledge (Pan &amp; Froese, 2023).</w:t>
      </w:r>
      <w:r w:rsidRPr="00DE76D7">
        <w:t xml:space="preserve"> AI-based technology research remains limited and fragmented, particularly in understanding how different organizational domains interact (</w:t>
      </w:r>
      <w:proofErr w:type="spellStart"/>
      <w:r w:rsidRPr="00DE76D7">
        <w:t>Budhwar</w:t>
      </w:r>
      <w:proofErr w:type="spellEnd"/>
      <w:r w:rsidRPr="00DE76D7">
        <w:t xml:space="preserve"> et al., 2022). Four key challenges have been identified in using AI for compensation management, while calls for strengthened regulatory frameworks and collaborative effort underscore the need for multidisciplinary integration (</w:t>
      </w:r>
      <w:proofErr w:type="spellStart"/>
      <w:r w:rsidRPr="00DE76D7">
        <w:t>Alboré</w:t>
      </w:r>
      <w:proofErr w:type="spellEnd"/>
      <w:r w:rsidRPr="00DE76D7">
        <w:t xml:space="preserve"> et al., 2025</w:t>
      </w:r>
      <w:r w:rsidR="0035507D">
        <w:t xml:space="preserve">; </w:t>
      </w:r>
      <w:r w:rsidR="0035507D" w:rsidRPr="0035507D">
        <w:t>Marler, 2024</w:t>
      </w:r>
      <w:r w:rsidRPr="00DE76D7">
        <w:t>). More integrated, multidisciplinary approaches are critically needed to understand technological, regulatory, and accounting developments together.</w:t>
      </w:r>
    </w:p>
    <w:p w14:paraId="6DADC0B4" w14:textId="395E5ABE" w:rsidR="00DE76D7" w:rsidRPr="00DE76D7" w:rsidRDefault="00DE76D7" w:rsidP="00DE76D7">
      <w:pPr>
        <w:spacing w:line="240" w:lineRule="auto"/>
        <w:jc w:val="both"/>
      </w:pPr>
      <w:r w:rsidRPr="00DE76D7">
        <w:rPr>
          <w:b/>
          <w:i/>
        </w:rPr>
        <w:t xml:space="preserve">The first gap: </w:t>
      </w:r>
      <w:r w:rsidRPr="00DE76D7">
        <w:t xml:space="preserve">A critical gap exists in linking AI-generated compensation analytics to human capital reporting requirements, underscoring the need for more comprehensive, integrative frameworks. Despite 78% of organizations adopting AI, only 1% achieve mature implementation, with substantial gaps across strategic alignment (80%), technology integration (70.75%), and human capital development (16.67%) (Sira, 2025). Integrated AI frameworks incorporating data forecasting, automation, and organizational performance are essential for addressing these challenges (Lalitha et al., 2025). These sources validate the existence of integration challenges but do not directly address the specific linkage between compensation analytics and human capital reporting, indicating an opportunity for targeted frameworks </w:t>
      </w:r>
      <w:r w:rsidR="00C313FF">
        <w:t xml:space="preserve">that </w:t>
      </w:r>
      <w:r w:rsidRPr="00DE76D7">
        <w:t>bridg</w:t>
      </w:r>
      <w:r w:rsidR="00C313FF">
        <w:t>e</w:t>
      </w:r>
      <w:r w:rsidRPr="00DE76D7">
        <w:t xml:space="preserve"> these domains.</w:t>
      </w:r>
    </w:p>
    <w:p w14:paraId="3DC6A477" w14:textId="77777777" w:rsidR="00DE76D7" w:rsidRPr="00DE76D7" w:rsidRDefault="00DE76D7" w:rsidP="00DE76D7">
      <w:pPr>
        <w:spacing w:line="240" w:lineRule="auto"/>
        <w:jc w:val="both"/>
      </w:pPr>
      <w:r w:rsidRPr="00DE76D7">
        <w:rPr>
          <w:b/>
          <w:i/>
        </w:rPr>
        <w:t xml:space="preserve">The second gap: </w:t>
      </w:r>
      <w:r w:rsidRPr="00DE76D7">
        <w:t>Human capital disclosure research is disproportionately concentrated in developed markets, with significant underrepresentation of perspectives from emerging economies. North American (30%) and European (43%) affiliations account for 73% of author appearances, while Asian affiliations represent only 7.9% (Jain, 2022), and research on voluntary disclosure in emerging countries remains limited (Zaini et al., 2018). This gap is particularly significant given the unique challenges of emerging markets, including skills gaps in advanced manufacturing (Melguizo &amp; Perea, 2016) and the need for context-specific human capital measurement frameworks (Mpofu &amp; Sebele-Mpofu, 2023).</w:t>
      </w:r>
    </w:p>
    <w:p w14:paraId="08A03270" w14:textId="73AFD1CB" w:rsidR="00DE76D7" w:rsidRPr="00DE76D7" w:rsidRDefault="00DE76D7" w:rsidP="00DE76D7">
      <w:pPr>
        <w:spacing w:line="240" w:lineRule="auto"/>
        <w:jc w:val="both"/>
      </w:pPr>
      <w:r w:rsidRPr="00DE76D7">
        <w:rPr>
          <w:b/>
          <w:i/>
        </w:rPr>
        <w:t xml:space="preserve">The third gap: </w:t>
      </w:r>
      <w:r w:rsidRPr="00DE76D7">
        <w:t xml:space="preserve">Existing AI reporting frameworks presume high organizational data maturity without providing staged guidance for firms at earlier </w:t>
      </w:r>
      <w:r w:rsidR="00C313FF">
        <w:t>stages of adoption</w:t>
      </w:r>
      <w:r w:rsidRPr="00DE76D7">
        <w:t xml:space="preserve">. A persistent disconnect exists between AI service providers’ capabilities and end-users’ actual needs (Dong et al., 2023), and successful AI adoption requires readiness across people, processes, data, and technology dimensions, not just technological capability (Uren &amp; Edwards, 2023). These findings underscore the need for </w:t>
      </w:r>
      <w:proofErr w:type="gramStart"/>
      <w:r w:rsidRPr="00DE76D7">
        <w:t>differentiated,</w:t>
      </w:r>
      <w:proofErr w:type="gramEnd"/>
      <w:r w:rsidRPr="00DE76D7">
        <w:t xml:space="preserve"> progressive disclosure models accommodating varying organizational AI maturity.</w:t>
      </w:r>
    </w:p>
    <w:p w14:paraId="04BBB7ED" w14:textId="748EA253" w:rsidR="00DE76D7" w:rsidRPr="00DE76D7" w:rsidRDefault="00DE76D7" w:rsidP="00DE76D7">
      <w:pPr>
        <w:spacing w:line="240" w:lineRule="auto"/>
        <w:jc w:val="both"/>
      </w:pPr>
      <w:r w:rsidRPr="00DE76D7">
        <w:rPr>
          <w:b/>
          <w:i/>
        </w:rPr>
        <w:lastRenderedPageBreak/>
        <w:t xml:space="preserve">The fourth gap: </w:t>
      </w:r>
      <w:r w:rsidRPr="00DE76D7">
        <w:t>A methodological gap exists in AI measurement, with existing studies suffering from inconsistent</w:t>
      </w:r>
      <w:r w:rsidR="00C313FF">
        <w:t>,</w:t>
      </w:r>
      <w:r w:rsidRPr="00DE76D7">
        <w:t xml:space="preserve"> unvalidated operationalizations that impede comparative research. Researchers are adapting, reusing, or developing measures in an ad hoc manner without systematic validation (Tolsdorf et al., 2025), and traditional measurement methods suffer from bias, subjectivity, and </w:t>
      </w:r>
      <w:r w:rsidR="00C313FF">
        <w:t>an excessive focus on disclosure quantity rather than</w:t>
      </w:r>
      <w:r w:rsidRPr="00DE76D7">
        <w:t xml:space="preserve"> quality (Mechta et al., 2025). Promising developments include the Artificial Intelligence Measurement of Disclosure (AIMD), a computerized technique for quantifying disclosure intensity (</w:t>
      </w:r>
      <w:proofErr w:type="spellStart"/>
      <w:r w:rsidRPr="00DE76D7">
        <w:t>Grüning</w:t>
      </w:r>
      <w:proofErr w:type="spellEnd"/>
      <w:r w:rsidRPr="00DE76D7">
        <w:t xml:space="preserve">, 2011), and a validated AI literacy measurement instrument with five dimensions and 13 items (Pinski &amp; </w:t>
      </w:r>
      <w:proofErr w:type="spellStart"/>
      <w:r w:rsidRPr="00DE76D7">
        <w:t>Benlian</w:t>
      </w:r>
      <w:proofErr w:type="spellEnd"/>
      <w:r w:rsidRPr="00DE76D7">
        <w:t>, 2023). Developing rigorous, standardized measurement frameworks is a crucial next step.</w:t>
      </w:r>
    </w:p>
    <w:p w14:paraId="308BAC48" w14:textId="68CBDF99" w:rsidR="00DE76D7" w:rsidRPr="00DE76D7" w:rsidRDefault="00DE76D7" w:rsidP="00DE76D7">
      <w:pPr>
        <w:spacing w:line="240" w:lineRule="auto"/>
        <w:jc w:val="both"/>
      </w:pPr>
      <w:r w:rsidRPr="00DE76D7">
        <w:rPr>
          <w:b/>
          <w:i/>
        </w:rPr>
        <w:t xml:space="preserve">The fifth gap: </w:t>
      </w:r>
      <w:r w:rsidRPr="00DE76D7">
        <w:t xml:space="preserve">Existing AI–human capital disclosure research treats the AI–disclosure relationship as a direct, technology-driven effect, with insufficient attention to the organizational and institutional conditions that may moderate it. Studies have predominantly examined whether AI adoption improves reporting quality while neglecting the conditional nature of </w:t>
      </w:r>
      <w:proofErr w:type="gramStart"/>
      <w:r w:rsidRPr="00DE76D7">
        <w:t>this effect</w:t>
      </w:r>
      <w:r w:rsidR="00C313FF">
        <w:t>—</w:t>
      </w:r>
      <w:proofErr w:type="gramEnd"/>
      <w:r w:rsidRPr="00DE76D7">
        <w:t xml:space="preserve">specifically, whether technology produces disclosure outcomes only when accompanied by enabling institutional and cultural mechanisms (Naveed et al., 2025; </w:t>
      </w:r>
      <w:proofErr w:type="spellStart"/>
      <w:r w:rsidRPr="00DE76D7">
        <w:t>Pasigai</w:t>
      </w:r>
      <w:proofErr w:type="spellEnd"/>
      <w:r w:rsidRPr="00DE76D7">
        <w:t xml:space="preserve"> et al., 2025). The few studies incorporating organizational moderators tend to focus narrowly on size and resource availability, leaving culture, leadership commitment, pay transparency, and regulatory readiness under-theorized as conditional factors (Raimo et al., 2020; Singh et al., 2025). This concentration on direct effects has produced a fragmented evidence base in which inconsistent findings cannot be reconciled because the conditions under which AI capabilities translate into disclosure outcomes remain unspecified. Bridging this gap requires research designs that explicitly test moderating mechanisms alongside direct effects, treating AI integration as a necessary but not sufficient condition for disclosure quality and identifying the organizational and institutional conditions that activate technological capability into stakeholder-accessible reporting.</w:t>
      </w:r>
    </w:p>
    <w:p w14:paraId="795D0DEF" w14:textId="77777777" w:rsidR="00DE76D7" w:rsidRPr="00DE76D7" w:rsidRDefault="00DE76D7" w:rsidP="00DE76D7">
      <w:pPr>
        <w:spacing w:line="240" w:lineRule="auto"/>
        <w:jc w:val="both"/>
      </w:pPr>
      <w:r w:rsidRPr="00DE76D7">
        <w:rPr>
          <w:b/>
        </w:rPr>
        <w:t>2.7 Conceptual Framework</w:t>
      </w:r>
    </w:p>
    <w:p w14:paraId="01EC8A7B" w14:textId="42BAB7B6" w:rsidR="00DE76D7" w:rsidRPr="00DE76D7" w:rsidRDefault="00DE76D7" w:rsidP="00DE76D7">
      <w:pPr>
        <w:spacing w:line="240" w:lineRule="auto"/>
        <w:jc w:val="both"/>
      </w:pPr>
      <w:r w:rsidRPr="00DE76D7">
        <w:t xml:space="preserve">The AI–Human Capital Accounting Disclosure (AI-HCAD) Framework integrates AI-generated compensation analytics with human capital disclosure through a multi-theoretical lens drawing on institutional theory, stakeholder theory, and the resource-based view (Singh et al., 2025). These complementary perspectives explain </w:t>
      </w:r>
      <w:r w:rsidR="00C313FF">
        <w:t>the drivers of adoption</w:t>
      </w:r>
      <w:r w:rsidRPr="00DE76D7">
        <w:t>, information needs, and strategic considerations in AI–human capital integration (Chowdhury</w:t>
      </w:r>
      <w:r w:rsidR="0035507D">
        <w:t xml:space="preserve"> et al., </w:t>
      </w:r>
      <w:r w:rsidRPr="00DE76D7">
        <w:t>2024; Sohani et al., 2025).</w:t>
      </w:r>
    </w:p>
    <w:p w14:paraId="6A893F83" w14:textId="77777777" w:rsidR="00DE76D7" w:rsidRPr="00DE76D7" w:rsidRDefault="00DE76D7" w:rsidP="00DE76D7">
      <w:pPr>
        <w:spacing w:line="240" w:lineRule="auto"/>
        <w:jc w:val="both"/>
      </w:pPr>
      <w:r w:rsidRPr="00DE76D7">
        <w:t>The Data Generation Layer represents a technological infrastructure that uses AI to transform human capital data into strategic insight. AI and digital tools are reshaping human capital management through advanced analytics (</w:t>
      </w:r>
      <w:proofErr w:type="spellStart"/>
      <w:r w:rsidRPr="00DE76D7">
        <w:t>Pasigai</w:t>
      </w:r>
      <w:proofErr w:type="spellEnd"/>
      <w:r w:rsidRPr="00DE76D7">
        <w:t xml:space="preserve"> et al., 2025), with AI-based models predicting employee performance and workforce contribution (Sawant et al., 2025). The layer’s sophistication depends on organizational investment in HRIS infrastructure, data quality, and AI maturity. AI can significantly improve core HR functions, particularly in performance management, recruitment, and workforce optimization (</w:t>
      </w:r>
      <w:proofErr w:type="spellStart"/>
      <w:r w:rsidRPr="00DE76D7">
        <w:t>Muridzi</w:t>
      </w:r>
      <w:proofErr w:type="spellEnd"/>
      <w:r w:rsidRPr="00DE76D7">
        <w:t xml:space="preserve"> et al., 2024). Key outputs include payroll analytics, workforce cost projections, pay equity metrics, compliance monitoring, and fraud-detection signals.</w:t>
      </w:r>
    </w:p>
    <w:p w14:paraId="2E567297" w14:textId="539D252D" w:rsidR="00DE76D7" w:rsidRPr="00DE76D7" w:rsidRDefault="00DE76D7" w:rsidP="00DE76D7">
      <w:pPr>
        <w:spacing w:line="240" w:lineRule="auto"/>
        <w:jc w:val="both"/>
      </w:pPr>
      <w:r w:rsidRPr="00DE76D7">
        <w:t xml:space="preserve">The Integration Layer transforms AI-generated data into structured human capital accounting information through a comprehensive </w:t>
      </w:r>
      <w:r w:rsidR="00C313FF">
        <w:t>data management approach</w:t>
      </w:r>
      <w:r w:rsidR="00D961F9">
        <w:t xml:space="preserve"> that includes</w:t>
      </w:r>
      <w:r w:rsidRPr="00DE76D7">
        <w:t xml:space="preserve"> rigorous validation procedures, standardization protocols, and quality-assurance processes (Zhu et al., 2024). These mechanisms ensure </w:t>
      </w:r>
      <w:proofErr w:type="gramStart"/>
      <w:r w:rsidRPr="00DE76D7">
        <w:t>data completeness</w:t>
      </w:r>
      <w:proofErr w:type="gramEnd"/>
      <w:r w:rsidRPr="00DE76D7">
        <w:t xml:space="preserve">, accuracy, and comparability across reporting units (Anantharaman et al., 2023). The Integration Layer bridges operational analytics with external </w:t>
      </w:r>
      <w:r w:rsidRPr="00DE76D7">
        <w:lastRenderedPageBreak/>
        <w:t>reporting requirements, addressing the growing need for transparent and reliable AI-driven financial information (</w:t>
      </w:r>
      <w:proofErr w:type="spellStart"/>
      <w:r w:rsidRPr="00DE76D7">
        <w:t>Almaqtari</w:t>
      </w:r>
      <w:proofErr w:type="spellEnd"/>
      <w:r w:rsidRPr="00DE76D7">
        <w:t>, 2024). By establishing robust translation mechanisms, the layer enables organizations to convert complex AI-generated insight into meaningful human capital accounting constructs.</w:t>
      </w:r>
    </w:p>
    <w:p w14:paraId="4576C7D9" w14:textId="2213E75A" w:rsidR="00DE76D7" w:rsidRPr="00DE76D7" w:rsidRDefault="00DE76D7" w:rsidP="00DE76D7">
      <w:pPr>
        <w:spacing w:line="240" w:lineRule="auto"/>
        <w:jc w:val="both"/>
      </w:pPr>
      <w:r w:rsidRPr="00DE76D7">
        <w:t xml:space="preserve">The Disclosure Layer standardizes human capital reporting across channels and regulatory requirements. It specifies reporting formats aligned with regulatory mandates, stakeholder expectations, and voluntary best-practice frameworks, integrating mandatory requirements with recognized standards to develop comprehensive reporting templates (Choi et al., 2025; </w:t>
      </w:r>
      <w:proofErr w:type="spellStart"/>
      <w:r w:rsidRPr="00DE76D7">
        <w:t>Magau</w:t>
      </w:r>
      <w:proofErr w:type="spellEnd"/>
      <w:r w:rsidRPr="00DE76D7">
        <w:t xml:space="preserve">, 2024). Reporting encompasses financial statements, annual reports, sustainability reports, and targeted stakeholder communications. Without detailed guidance, current disclosures vary significantly across organizations, indicating ongoing </w:t>
      </w:r>
      <w:r w:rsidR="00C313FF">
        <w:t>challenges with standardization</w:t>
      </w:r>
      <w:r w:rsidRPr="00DE76D7">
        <w:t>.</w:t>
      </w:r>
    </w:p>
    <w:p w14:paraId="78DDA420" w14:textId="77777777" w:rsidR="00DE76D7" w:rsidRPr="00DE76D7" w:rsidRDefault="00DE76D7" w:rsidP="00DE76D7">
      <w:pPr>
        <w:spacing w:line="240" w:lineRule="auto"/>
        <w:jc w:val="both"/>
      </w:pPr>
      <w:r w:rsidRPr="00DE76D7">
        <w:t>The Governance Layer establishes oversight structures for AI-related disclosure. Ethical oversight in AI decision-making is critical (Ganesh, 2025), and recommended practices include audit trails, bias testing, and a safety culture (</w:t>
      </w:r>
      <w:proofErr w:type="spellStart"/>
      <w:r w:rsidRPr="00DE76D7">
        <w:t>Shneiderman</w:t>
      </w:r>
      <w:proofErr w:type="spellEnd"/>
      <w:r w:rsidRPr="00DE76D7">
        <w:t>, 2020). A multi-layered framework connecting regulatory principles to practical implementation supports this approach (Agarwal &amp; Nene, 2025). Key elements include transparent audit mechanisms, ethical guidelines for AI-driven decisions, data privacy protections, and continuous improvement processes. While these sources provide strong theoretical support, additional empirical research would strengthen the practical implementation of such a comprehensive governance framework.</w:t>
      </w:r>
    </w:p>
    <w:p w14:paraId="69EE46B9" w14:textId="22B43ABA" w:rsidR="00DE76D7" w:rsidRPr="00DE76D7" w:rsidRDefault="00DE76D7" w:rsidP="00DE76D7">
      <w:pPr>
        <w:spacing w:line="240" w:lineRule="auto"/>
        <w:jc w:val="both"/>
      </w:pPr>
      <w:r w:rsidRPr="00DE76D7">
        <w:t>Together, these four layers form a comprehensive framework for integrating AI compensation analytics into human capital disclosure. Institutional theory explains the coercive, mimetic, and normative pressures driving adoption; stakeholder theory identifies the varying information needs the framework must address; and the resource-based view clarifies why strategic considerations may both motivate and constrain disclosure. The empirical research evaluates th</w:t>
      </w:r>
      <w:r w:rsidR="00C313FF">
        <w:t xml:space="preserve">e applicability of this framework </w:t>
      </w:r>
      <w:r w:rsidRPr="00DE76D7">
        <w:t>in emerging-economy manufacturing environments.</w:t>
      </w:r>
    </w:p>
    <w:p w14:paraId="751C2502" w14:textId="3A2288EF" w:rsidR="00DE76D7" w:rsidRPr="00DE76D7" w:rsidRDefault="00DE76D7" w:rsidP="00DE76D7">
      <w:pPr>
        <w:spacing w:line="240" w:lineRule="auto"/>
        <w:jc w:val="both"/>
      </w:pPr>
      <w:r w:rsidRPr="00DE76D7">
        <w:t xml:space="preserve">The four-layer framework specifies the internal architecture for translating AI-generated compensation analytics into human capital disclosure, but its effective operation depends on cross-cutting organizational and institutional conditions. The Data Generation Layer requires a culture </w:t>
      </w:r>
      <w:r w:rsidR="00C313FF">
        <w:t>that supports the use of</w:t>
      </w:r>
      <w:r w:rsidRPr="00DE76D7">
        <w:t xml:space="preserve"> workforce analytics for external reporting; the Integration Layer requires leadership commitment to validation, standardization, and quality-assurance protocols; the Disclosure Layer requires pay transparency norms and regulatory readiness; and the Governance Layer requires institutional accountability and ethical oversight. These conditions — pay transparency, organizational size, organizational culture, and leadership commitment — operate as moderators across the framework. Figure 1 (</w:t>
      </w:r>
      <w:r w:rsidR="00E133F2">
        <w:t>Section</w:t>
      </w:r>
      <w:r w:rsidRPr="00DE76D7">
        <w:t xml:space="preserve"> 1) formalizes this conditional logic; pay transparency and organizational size are empirically tested in this study, while organizational culture and leadership commitment are identified in Section 2.5.4 as future-research conditions.</w:t>
      </w:r>
    </w:p>
    <w:p w14:paraId="53C4BCF4" w14:textId="77777777" w:rsidR="00DE76D7" w:rsidRPr="00DE76D7" w:rsidRDefault="00DE76D7" w:rsidP="00DE76D7">
      <w:pPr>
        <w:spacing w:line="240" w:lineRule="auto"/>
        <w:jc w:val="both"/>
      </w:pPr>
      <w:r w:rsidRPr="00DE76D7">
        <w:rPr>
          <w:b/>
        </w:rPr>
        <w:t>2.8 Hypotheses Development</w:t>
      </w:r>
    </w:p>
    <w:p w14:paraId="3D91C6F7" w14:textId="1CBE9E63" w:rsidR="00DE76D7" w:rsidRPr="00DE76D7" w:rsidRDefault="00DE76D7" w:rsidP="00DE76D7">
      <w:pPr>
        <w:spacing w:line="240" w:lineRule="auto"/>
        <w:jc w:val="both"/>
      </w:pPr>
      <w:r w:rsidRPr="00DE76D7">
        <w:t xml:space="preserve">The hypotheses are grounded in institutional theory, stakeholder theory, the resource-based view, and emerging research on AI-enabled compensation and human capital disclosure. Advanced HR analytics and AI systems enhance data availability, standardization, and reporting capability (Menon et al., 2024; </w:t>
      </w:r>
      <w:proofErr w:type="spellStart"/>
      <w:r w:rsidRPr="00DE76D7">
        <w:t>Selvamohana</w:t>
      </w:r>
      <w:proofErr w:type="spellEnd"/>
      <w:r w:rsidRPr="00DE76D7">
        <w:t xml:space="preserve">, 2025), enabling more sophisticated HR practice and actionable insights beyond traditional reporting (Huang et al., 2023; </w:t>
      </w:r>
      <w:proofErr w:type="spellStart"/>
      <w:r w:rsidRPr="00DE76D7">
        <w:t>Pathoori</w:t>
      </w:r>
      <w:proofErr w:type="spellEnd"/>
      <w:r w:rsidRPr="00DE76D7">
        <w:t>, 2025), with 60% of surveyed companies planning predictive</w:t>
      </w:r>
      <w:r w:rsidR="00C313FF">
        <w:t xml:space="preserve"> </w:t>
      </w:r>
      <w:r w:rsidRPr="00DE76D7">
        <w:t>analytics investment (DiClaudio, 2019).</w:t>
      </w:r>
    </w:p>
    <w:p w14:paraId="1C8AC1E8" w14:textId="6E7A631A" w:rsidR="00DE76D7" w:rsidRPr="00DE76D7" w:rsidRDefault="00DE76D7" w:rsidP="00DE76D7">
      <w:pPr>
        <w:spacing w:line="240" w:lineRule="auto"/>
        <w:jc w:val="both"/>
      </w:pPr>
      <w:r w:rsidRPr="00DE76D7">
        <w:lastRenderedPageBreak/>
        <w:t>The hypothesized relationships are summarized in Figure 1 (</w:t>
      </w:r>
      <w:r w:rsidR="00E133F2">
        <w:t>Section</w:t>
      </w:r>
      <w:r w:rsidRPr="00DE76D7">
        <w:t xml:space="preserve"> 1).</w:t>
      </w:r>
    </w:p>
    <w:p w14:paraId="123DA266" w14:textId="77777777" w:rsidR="00DE76D7" w:rsidRPr="00DE76D7" w:rsidRDefault="00DE76D7" w:rsidP="00DE76D7">
      <w:pPr>
        <w:spacing w:line="240" w:lineRule="auto"/>
        <w:jc w:val="both"/>
      </w:pPr>
      <w:r w:rsidRPr="00DE76D7">
        <w:rPr>
          <w:b/>
        </w:rPr>
        <w:t>Hypothesis 1: AI Integration → Disclosure Quality</w:t>
      </w:r>
    </w:p>
    <w:p w14:paraId="618BD09C" w14:textId="77777777" w:rsidR="00DE76D7" w:rsidRPr="00DE76D7" w:rsidRDefault="00DE76D7" w:rsidP="00DE76D7">
      <w:pPr>
        <w:spacing w:line="240" w:lineRule="auto"/>
        <w:jc w:val="both"/>
      </w:pPr>
      <w:r w:rsidRPr="00DE76D7">
        <w:rPr>
          <w:b/>
          <w:i/>
        </w:rPr>
        <w:t xml:space="preserve">H1: </w:t>
      </w:r>
      <w:r w:rsidRPr="00DE76D7">
        <w:rPr>
          <w:i/>
        </w:rPr>
        <w:t>Higher levels of AI integration in compensation systems are positively associated with human capital disclosure quality.</w:t>
      </w:r>
    </w:p>
    <w:p w14:paraId="4BCEDB4B" w14:textId="77777777" w:rsidR="00DE76D7" w:rsidRPr="00DE76D7" w:rsidRDefault="00DE76D7" w:rsidP="00DE76D7">
      <w:pPr>
        <w:spacing w:line="240" w:lineRule="auto"/>
        <w:jc w:val="both"/>
      </w:pPr>
      <w:r w:rsidRPr="00DE76D7">
        <w:t>AI integration into compensation processes enhances workforce data quality and reporting accuracy through advanced analytics and automation capabilities. AI adoption in organizational processes leads to greater financial reporting quality, reflected in lower discretionary accruals and more accurate predictions (Anantharaman et al., 2023). Within compensation management specifically, AI enhances efficiency, accuracy, and strategic decision-making by automating complex calculations and identifying patterns in workforce data (Parasa, 2024</w:t>
      </w:r>
      <w:proofErr w:type="gramStart"/>
      <w:r w:rsidRPr="00DE76D7">
        <w:t>), and</w:t>
      </w:r>
      <w:proofErr w:type="gramEnd"/>
      <w:r w:rsidRPr="00DE76D7">
        <w:t xml:space="preserve"> can also transform pay information practices by supporting advanced methodologies and reducing information-sharing barriers (Nyberg et al., 2023). The underlying mechanism is that AI-driven tools generate more precise, timely, and reliable workforce data, providing higher-quality inputs for human capital disclosure. Organizations with more sophisticated AI compensation systems are therefore better positioned to produce comprehensive, accurate, and decision-useful disclosures.</w:t>
      </w:r>
    </w:p>
    <w:p w14:paraId="59BFB84B" w14:textId="38CA5377" w:rsidR="00DE76D7" w:rsidRPr="00DE76D7" w:rsidRDefault="00DE76D7" w:rsidP="00DE76D7">
      <w:pPr>
        <w:spacing w:line="240" w:lineRule="auto"/>
        <w:jc w:val="both"/>
      </w:pPr>
      <w:r w:rsidRPr="00DE76D7">
        <w:t>This hypothesis tests the conventional technological-translation argument, in which advanced AI capabilities are expected to generate richer, more reliable workforce data</w:t>
      </w:r>
      <w:r w:rsidR="00C313FF">
        <w:t>, thereby enhancing</w:t>
      </w:r>
      <w:r w:rsidRPr="00DE76D7">
        <w:t xml:space="preserve"> disclosure quality. Recent literature suggests this direct relationship may be conditional on organizational and institutional readiness rather than deterministic (Naveed et al., 2025; Uren &amp; Edwards, 2023). Organizations may possess sophisticated AI compensation systems yet fail to translate this capability into improved disclosure if enabling cultural, leadership, and transparency conditions are absent. Testing H1 therefore serves a dual purpose: to evaluate whether the direct technological effect holds in the emerging-economy manufacturing context and to establish the empirical baseline for H2–H4.</w:t>
      </w:r>
    </w:p>
    <w:p w14:paraId="2B0DEC3D" w14:textId="77777777" w:rsidR="00DE76D7" w:rsidRPr="00DE76D7" w:rsidRDefault="00DE76D7" w:rsidP="00DE76D7">
      <w:pPr>
        <w:spacing w:line="240" w:lineRule="auto"/>
        <w:jc w:val="both"/>
      </w:pPr>
      <w:r w:rsidRPr="00DE76D7">
        <w:rPr>
          <w:b/>
        </w:rPr>
        <w:t>Hypothesis 2: Integration Protocols → Disclosure Quality</w:t>
      </w:r>
    </w:p>
    <w:p w14:paraId="502CB594" w14:textId="77777777" w:rsidR="00DE76D7" w:rsidRPr="00DE76D7" w:rsidRDefault="00DE76D7" w:rsidP="00DE76D7">
      <w:pPr>
        <w:spacing w:line="240" w:lineRule="auto"/>
        <w:jc w:val="both"/>
      </w:pPr>
      <w:r w:rsidRPr="00DE76D7">
        <w:rPr>
          <w:b/>
          <w:i/>
        </w:rPr>
        <w:t xml:space="preserve">H2: </w:t>
      </w:r>
      <w:r w:rsidRPr="00DE76D7">
        <w:rPr>
          <w:i/>
        </w:rPr>
        <w:t>Organizations with formal integration protocols between AI compensation systems and disclosure processes demonstrate higher human capital disclosure quality than those without such protocols.</w:t>
      </w:r>
    </w:p>
    <w:p w14:paraId="5E3ECB4D" w14:textId="77777777" w:rsidR="00DE76D7" w:rsidRPr="00DE76D7" w:rsidRDefault="00DE76D7" w:rsidP="00DE76D7">
      <w:pPr>
        <w:spacing w:line="240" w:lineRule="auto"/>
        <w:jc w:val="both"/>
      </w:pPr>
      <w:r w:rsidRPr="00DE76D7">
        <w:t>Integration protocols are conceptually defined here as the formalized organizational mechanisms — encompassing data validation, standardization procedures, quality assurance, and governance structures — that translate AI-generated workforce analytics into reporting-ready outputs for external disclosure. This positions integration protocols as the operational mediator that converts technological capability into structured, comparable, and stakeholder-accessible information.</w:t>
      </w:r>
    </w:p>
    <w:p w14:paraId="2A0A2F54" w14:textId="44F0CD61" w:rsidR="00DE76D7" w:rsidRPr="00DE76D7" w:rsidRDefault="00DE76D7" w:rsidP="00DE76D7">
      <w:pPr>
        <w:spacing w:line="240" w:lineRule="auto"/>
        <w:jc w:val="both"/>
      </w:pPr>
      <w:r w:rsidRPr="00DE76D7">
        <w:t>Empirical evidence supports this mediating role: AI adoption enhances sustainability reporting quality</w:t>
      </w:r>
      <w:r w:rsidR="00C313FF">
        <w:t>,</w:t>
      </w:r>
      <w:r w:rsidRPr="00DE76D7">
        <w:t xml:space="preserve"> particularly when accompanied by specialized governance structures (Naveed et al., 2025); machine-learning systems can generate human-capital lexicons but require structured protocols to translate analytical outputs into disclosure formats (Zhu et al., 2024); and AI improves financial reporting quality through automated data capture and pattern extraction (Anantharaman et al., 2023). The construct is operationalized through respondent assessment of the existence, formalization, and consistency of these four mechanisms within the organization’s reporting infrastructure.</w:t>
      </w:r>
    </w:p>
    <w:p w14:paraId="63C661A3" w14:textId="77777777" w:rsidR="00DE76D7" w:rsidRPr="00DE76D7" w:rsidRDefault="00DE76D7" w:rsidP="00DE76D7">
      <w:pPr>
        <w:spacing w:line="240" w:lineRule="auto"/>
        <w:jc w:val="both"/>
      </w:pPr>
      <w:r w:rsidRPr="00DE76D7">
        <w:rPr>
          <w:b/>
        </w:rPr>
        <w:lastRenderedPageBreak/>
        <w:t>Hypothesis 3: Moderating Role of Pay Transparency Compliance</w:t>
      </w:r>
    </w:p>
    <w:p w14:paraId="4C9C85ED" w14:textId="77777777" w:rsidR="00DE76D7" w:rsidRPr="00DE76D7" w:rsidRDefault="00DE76D7" w:rsidP="00DE76D7">
      <w:pPr>
        <w:spacing w:line="240" w:lineRule="auto"/>
        <w:jc w:val="both"/>
      </w:pPr>
      <w:r w:rsidRPr="00DE76D7">
        <w:rPr>
          <w:b/>
          <w:i/>
        </w:rPr>
        <w:t xml:space="preserve">H3: </w:t>
      </w:r>
      <w:r w:rsidRPr="00DE76D7">
        <w:rPr>
          <w:i/>
        </w:rPr>
        <w:t>Pay transparency compliance positively moderates the relationship between AI integration and human capital disclosure quality.</w:t>
      </w:r>
    </w:p>
    <w:p w14:paraId="2BCABB87" w14:textId="2061226F" w:rsidR="00DE76D7" w:rsidRPr="00DE76D7" w:rsidRDefault="00DE76D7" w:rsidP="00DE76D7">
      <w:pPr>
        <w:spacing w:line="240" w:lineRule="auto"/>
        <w:jc w:val="both"/>
      </w:pPr>
      <w:r w:rsidRPr="00DE76D7">
        <w:t xml:space="preserve">Pay transparency compliance strengthens the relationship between AI integration and human capital disclosure quality by creating regulatory incentives that encourage translation of AI-generated data into external disclosure. Regulatory requirements increase quantitative human capital reporting following </w:t>
      </w:r>
      <w:r w:rsidR="00C313FF">
        <w:t xml:space="preserve">the </w:t>
      </w:r>
      <w:r w:rsidRPr="00DE76D7">
        <w:t>amendment (</w:t>
      </w:r>
      <w:proofErr w:type="spellStart"/>
      <w:r w:rsidRPr="00DE76D7">
        <w:t>Bourveau</w:t>
      </w:r>
      <w:proofErr w:type="spellEnd"/>
      <w:r w:rsidRPr="00DE76D7">
        <w:t xml:space="preserve"> et al., 2025); AI adoption enhances reporting quality, with the effect amplified under regulatory compliance pressure (Naveed et al., 2025); and governance factors significantly influence human capital disclosure practices (Raimo et al., 2020). The moderation operates through compliance requirements that establish data</w:t>
      </w:r>
      <w:r w:rsidR="00C313FF">
        <w:t>-collection systems and reporting structures, creating pathways for AI-generated compensation data to flow into external disclosures</w:t>
      </w:r>
      <w:r w:rsidRPr="00DE76D7">
        <w:t>. Without such pressure, organizations may generate sophisticated AI analytics but lack the motivation to translate them into public reporting.</w:t>
      </w:r>
    </w:p>
    <w:p w14:paraId="1B88E923" w14:textId="77777777" w:rsidR="00DE76D7" w:rsidRPr="00DE76D7" w:rsidRDefault="00DE76D7" w:rsidP="00DE76D7">
      <w:pPr>
        <w:spacing w:line="240" w:lineRule="auto"/>
        <w:jc w:val="both"/>
      </w:pPr>
      <w:r w:rsidRPr="00DE76D7">
        <w:rPr>
          <w:b/>
        </w:rPr>
        <w:t>Hypothesis 4: Moderating Role of Organizational Size</w:t>
      </w:r>
    </w:p>
    <w:p w14:paraId="6E6494F1" w14:textId="77777777" w:rsidR="00DE76D7" w:rsidRPr="00DE76D7" w:rsidRDefault="00DE76D7" w:rsidP="00DE76D7">
      <w:pPr>
        <w:spacing w:line="240" w:lineRule="auto"/>
        <w:jc w:val="both"/>
      </w:pPr>
      <w:r w:rsidRPr="00DE76D7">
        <w:rPr>
          <w:b/>
          <w:i/>
        </w:rPr>
        <w:t xml:space="preserve">H4: </w:t>
      </w:r>
      <w:r w:rsidRPr="00DE76D7">
        <w:rPr>
          <w:i/>
        </w:rPr>
        <w:t>Organizational size positively moderates the relationship between AI integration and the quality of human capital disclosure.</w:t>
      </w:r>
    </w:p>
    <w:p w14:paraId="23B2C85B" w14:textId="3BA6EFCE" w:rsidR="00DE76D7" w:rsidRPr="00DE76D7" w:rsidRDefault="00DE76D7" w:rsidP="00DE76D7">
      <w:pPr>
        <w:spacing w:line="240" w:lineRule="auto"/>
        <w:jc w:val="both"/>
      </w:pPr>
      <w:r w:rsidRPr="00DE76D7">
        <w:t xml:space="preserve">Organizational size strengthens the AI–disclosure relationship through greater resource availability and institutional capacity. Firm size positively impacts human capital disclosure levels, as larger organizations face greater stakeholder scrutiny and have more resources for comprehensive reporting (Raimo et al., 2020). Medium and large firms demonstrate stronger relationships with AI adoption than small firms, indicating that size </w:t>
      </w:r>
      <w:proofErr w:type="gramStart"/>
      <w:r w:rsidRPr="00DE76D7">
        <w:t>moderates</w:t>
      </w:r>
      <w:proofErr w:type="gramEnd"/>
      <w:r w:rsidRPr="00DE76D7">
        <w:t xml:space="preserve"> technology implementation (</w:t>
      </w:r>
      <w:proofErr w:type="spellStart"/>
      <w:r w:rsidRPr="00DE76D7">
        <w:t>Badghish</w:t>
      </w:r>
      <w:proofErr w:type="spellEnd"/>
      <w:r w:rsidRPr="00DE76D7">
        <w:t xml:space="preserve"> &amp; Soomro, 2024)</w:t>
      </w:r>
      <w:r w:rsidR="00C313FF">
        <w:t>. Size effects on technology adoption also</w:t>
      </w:r>
      <w:r w:rsidRPr="00DE76D7">
        <w:t xml:space="preserve"> vary by innovation type and adoption stage (Lee &amp; Xia, 2006). Larger organi</w:t>
      </w:r>
      <w:r w:rsidR="00C313FF">
        <w:t>zations possess greater financial resources, specialist personnel, and information-system sophistication that support the translation of</w:t>
      </w:r>
      <w:r w:rsidRPr="00DE76D7">
        <w:t xml:space="preserve"> AI-generated data into high-quality disclosure.</w:t>
      </w:r>
    </w:p>
    <w:p w14:paraId="4969A0B8" w14:textId="77777777" w:rsidR="00B73C1F" w:rsidRPr="00B73C1F" w:rsidRDefault="00B73C1F" w:rsidP="00B73C1F">
      <w:pPr>
        <w:spacing w:line="240" w:lineRule="auto"/>
        <w:jc w:val="both"/>
      </w:pPr>
      <w:r w:rsidRPr="00B73C1F">
        <w:rPr>
          <w:b/>
        </w:rPr>
        <w:t>3</w:t>
      </w:r>
      <w:proofErr w:type="gramStart"/>
      <w:r w:rsidRPr="00B73C1F">
        <w:rPr>
          <w:b/>
        </w:rPr>
        <w:t>.  RESEARCH</w:t>
      </w:r>
      <w:proofErr w:type="gramEnd"/>
      <w:r w:rsidRPr="00B73C1F">
        <w:rPr>
          <w:b/>
        </w:rPr>
        <w:t xml:space="preserve"> METHODOLOGY</w:t>
      </w:r>
    </w:p>
    <w:p w14:paraId="74478B08" w14:textId="77777777" w:rsidR="00B73C1F" w:rsidRPr="00B73C1F" w:rsidRDefault="00B73C1F" w:rsidP="00B73C1F">
      <w:pPr>
        <w:spacing w:line="240" w:lineRule="auto"/>
        <w:jc w:val="both"/>
      </w:pPr>
      <w:r w:rsidRPr="00B73C1F">
        <w:rPr>
          <w:b/>
        </w:rPr>
        <w:t>3.1 Introduction</w:t>
      </w:r>
    </w:p>
    <w:p w14:paraId="77ADAA17" w14:textId="0D3F8C2B" w:rsidR="00B73C1F" w:rsidRPr="00B73C1F" w:rsidRDefault="00BC65DD" w:rsidP="00B73C1F">
      <w:pPr>
        <w:spacing w:line="240" w:lineRule="auto"/>
        <w:jc w:val="both"/>
      </w:pPr>
      <w:r w:rsidRPr="00BC65DD">
        <w:t>The research methodology used in this study employs a sequential explanatory mixed-methods design, combining quantitative survey research with qualitative investigation to address the research questions and test the hypotheses.</w:t>
      </w:r>
      <w:r w:rsidR="00B73C1F" w:rsidRPr="00B73C1F">
        <w:t xml:space="preserve"> Th</w:t>
      </w:r>
      <w:r w:rsidR="00E133F2">
        <w:t>is section</w:t>
      </w:r>
      <w:r w:rsidR="00B73C1F" w:rsidRPr="00B73C1F">
        <w:t xml:space="preserve"> details the research philosophy and design, population and sampling procedures, instrumentation, data collection methods, analytical techniques, and ethical protocols. Consistent with the delimitation in Section 1.5, the study employs a cross-sectional, single-source design appropriate for examining associations among AI integration, pay transparency, and human capital accounting disclosure quality, but not for causal inference. The procedural and analytical safeguards addressing common method bias and measurement validity are described in Sections 3.6.1, 3.7.1, and 3.8.</w:t>
      </w:r>
    </w:p>
    <w:p w14:paraId="5C631BAE" w14:textId="77777777" w:rsidR="00B73C1F" w:rsidRPr="00B73C1F" w:rsidRDefault="00B73C1F" w:rsidP="00B73C1F">
      <w:pPr>
        <w:spacing w:line="240" w:lineRule="auto"/>
        <w:jc w:val="both"/>
      </w:pPr>
      <w:r w:rsidRPr="00B73C1F">
        <w:rPr>
          <w:b/>
        </w:rPr>
        <w:t>3.2 Research Philosophy and Approach</w:t>
      </w:r>
    </w:p>
    <w:p w14:paraId="6129CEA1" w14:textId="597EE451" w:rsidR="00B73C1F" w:rsidRPr="00B73C1F" w:rsidRDefault="00B73C1F" w:rsidP="00B73C1F">
      <w:pPr>
        <w:spacing w:line="240" w:lineRule="auto"/>
        <w:jc w:val="both"/>
      </w:pPr>
      <w:r w:rsidRPr="00B73C1F">
        <w:t xml:space="preserve">This research adopts a pragmatist philosophical position, prioritizing the complexity of the research problem over rigid methodological allegiance and advocating methodological choices that best address the specific research question. Holden and Lynch (2004) argue that methodology should not be predetermined but should emerge from the research phenomenon itself, allowing </w:t>
      </w:r>
      <w:r w:rsidRPr="00B73C1F">
        <w:lastRenderedPageBreak/>
        <w:t>researchers to match philosophy, methodology, and the research problem flexibly and effectively. This study’s research questions require both measuring relationships between constructs</w:t>
      </w:r>
      <w:r w:rsidR="00C313FF">
        <w:t>—an orientation aligned with positivist assumptions—and exploring contextual factors, implementation processes, and interpretive meanings— an orientation</w:t>
      </w:r>
      <w:r w:rsidRPr="00B73C1F">
        <w:t xml:space="preserve"> aligned with interpretivist traditions. Pragmatism provides an appropriate philosophical foundation for integrating these complementary perspectives within a mixed-methods design.</w:t>
      </w:r>
    </w:p>
    <w:p w14:paraId="1BE8F053" w14:textId="77777777" w:rsidR="00B73C1F" w:rsidRPr="00B73C1F" w:rsidRDefault="00B73C1F" w:rsidP="00B73C1F">
      <w:pPr>
        <w:spacing w:line="240" w:lineRule="auto"/>
        <w:jc w:val="both"/>
      </w:pPr>
      <w:r w:rsidRPr="00B73C1F">
        <w:t>The research employs an abductive reasoning approach, moving iteratively between theory and data. The conceptual framework developed from the literature review provides an initial theoretical structure but remains provisional pending empirical investigation. Findings from quantitative analysis inform qualitative inquiry, and qualitative insight contributes to framework refinement in an iterative process. This abductive approach is appropriate for research developing new frameworks in areas where existing theory provides guidance but does not definitively predict relationships.</w:t>
      </w:r>
    </w:p>
    <w:p w14:paraId="525860F7" w14:textId="77777777" w:rsidR="00B73C1F" w:rsidRPr="00B73C1F" w:rsidRDefault="00B73C1F" w:rsidP="00B73C1F">
      <w:pPr>
        <w:spacing w:line="240" w:lineRule="auto"/>
        <w:jc w:val="both"/>
      </w:pPr>
      <w:r w:rsidRPr="00B73C1F">
        <w:rPr>
          <w:b/>
        </w:rPr>
        <w:t>3.3 Research Design</w:t>
      </w:r>
    </w:p>
    <w:p w14:paraId="238CC224" w14:textId="77777777" w:rsidR="00B73C1F" w:rsidRPr="00B73C1F" w:rsidRDefault="00B73C1F" w:rsidP="00B73C1F">
      <w:pPr>
        <w:spacing w:line="240" w:lineRule="auto"/>
        <w:jc w:val="both"/>
      </w:pPr>
      <w:r w:rsidRPr="00B73C1F">
        <w:t xml:space="preserve">The sequential explanatory </w:t>
      </w:r>
      <w:proofErr w:type="gramStart"/>
      <w:r w:rsidRPr="00B73C1F">
        <w:t>mixed-methods</w:t>
      </w:r>
      <w:proofErr w:type="gramEnd"/>
      <w:r w:rsidRPr="00B73C1F">
        <w:t xml:space="preserve"> design systematically integrates quantitative and qualitative phases to provide comprehensive insight into complex research questions. Quantitative data are collected and analyzed first, followed by qualitative data in consecutive phases (</w:t>
      </w:r>
      <w:proofErr w:type="spellStart"/>
      <w:r w:rsidRPr="00B73C1F">
        <w:t>Ivankova</w:t>
      </w:r>
      <w:proofErr w:type="spellEnd"/>
      <w:r w:rsidRPr="00B73C1F">
        <w:t xml:space="preserve"> et al., 2006), with integration occurring at three levels: study design, methods, and interpretation/reporting (Fetters et al., 2013). The design’s strength lies in its ability first to test statistical relationships quantitatively and then use qualitative data to explore underlying mechanisms. This approach has been effectively applied across diverse research contexts, including investigations of supply chain collaboration where quantitative findings were complemented by qualitative insight (Acquah et al., 2021).</w:t>
      </w:r>
    </w:p>
    <w:p w14:paraId="6A00B3D2" w14:textId="5BB1E83B" w:rsidR="00B73C1F" w:rsidRPr="00B73C1F" w:rsidRDefault="00B73C1F" w:rsidP="00B73C1F">
      <w:pPr>
        <w:spacing w:line="240" w:lineRule="auto"/>
        <w:jc w:val="both"/>
      </w:pPr>
      <w:r w:rsidRPr="00B73C1F">
        <w:t>Cross-sectional designs are valuable for establishing baseline conditions in exploratory research where longitudinal tracking is impractical (Ray, 2020). They cannot capture within-individual change</w:t>
      </w:r>
      <w:r w:rsidR="00C313FF">
        <w:t>, but they provide a credible snapshot when methodology is transparently reported,</w:t>
      </w:r>
      <w:r w:rsidRPr="00B73C1F">
        <w:t xml:space="preserve"> and sampling is appropriate (Maier et al., 2023). The design is particularly suited to contexts where spatial variation outweighs temporal change (Markovitz et al., 2012).</w:t>
      </w:r>
    </w:p>
    <w:p w14:paraId="37FF69D7" w14:textId="77777777" w:rsidR="00B73C1F" w:rsidRPr="00B73C1F" w:rsidRDefault="00B73C1F" w:rsidP="00B73C1F">
      <w:pPr>
        <w:spacing w:line="240" w:lineRule="auto"/>
        <w:jc w:val="both"/>
      </w:pPr>
      <w:r w:rsidRPr="00B73C1F">
        <w:t>The sequential design aligns with the study’s research questions. Research Questions 1 and 2, which explore current AI utilization and gaps between AI-generated data and disclosure practices, are addressed primarily through quantitative survey data, supplemented by qualitative inquiry for contextual depth. Research Questions 3 and 4, which focus on framework components and adapting disclosure practices across maturity levels, rely more heavily on qualitative insight while remaining informed by quantitative patterns. This alignment ensures that each methodological phase contributes appropriately to the study’s objectives.</w:t>
      </w:r>
    </w:p>
    <w:p w14:paraId="5C8C1BD2" w14:textId="77777777" w:rsidR="00B73C1F" w:rsidRPr="00B73C1F" w:rsidRDefault="00B73C1F" w:rsidP="00B73C1F">
      <w:pPr>
        <w:spacing w:line="240" w:lineRule="auto"/>
        <w:jc w:val="both"/>
      </w:pPr>
      <w:r w:rsidRPr="00B73C1F">
        <w:rPr>
          <w:b/>
        </w:rPr>
        <w:t>Figure 2. Sequential Explanatory Mixed-Methods Research Design</w:t>
      </w:r>
    </w:p>
    <w:p w14:paraId="7D123033" w14:textId="55657484" w:rsidR="00B73C1F" w:rsidRPr="00B73C1F" w:rsidRDefault="00B73C1F" w:rsidP="00B73C1F">
      <w:pPr>
        <w:spacing w:line="240" w:lineRule="auto"/>
        <w:jc w:val="center"/>
        <w:rPr>
          <w:bCs/>
        </w:rPr>
      </w:pPr>
      <w:r>
        <w:rPr>
          <w:noProof/>
        </w:rPr>
        <w:lastRenderedPageBreak/>
        <w:drawing>
          <wp:inline distT="0" distB="0" distL="0" distR="0" wp14:anchorId="3033CC50" wp14:editId="36592092">
            <wp:extent cx="5943600" cy="3805555"/>
            <wp:effectExtent l="0" t="0" r="0" b="4445"/>
            <wp:docPr id="78840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08134" name="Picture 7884081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805555"/>
                    </a:xfrm>
                    <a:prstGeom prst="rect">
                      <a:avLst/>
                    </a:prstGeom>
                  </pic:spPr>
                </pic:pic>
              </a:graphicData>
            </a:graphic>
          </wp:inline>
        </w:drawing>
      </w:r>
    </w:p>
    <w:p w14:paraId="06142268" w14:textId="2ED35936" w:rsidR="00B73C1F" w:rsidRPr="00B73C1F" w:rsidRDefault="00B73C1F" w:rsidP="00B73C1F">
      <w:pPr>
        <w:spacing w:line="240" w:lineRule="auto"/>
        <w:jc w:val="both"/>
      </w:pPr>
      <w:r w:rsidRPr="00B73C1F">
        <w:rPr>
          <w:b/>
        </w:rPr>
        <w:t>3.4 Population and Sampling</w:t>
      </w:r>
    </w:p>
    <w:p w14:paraId="4D789E76" w14:textId="77777777" w:rsidR="00B73C1F" w:rsidRPr="00B73C1F" w:rsidRDefault="00B73C1F" w:rsidP="00B73C1F">
      <w:pPr>
        <w:spacing w:line="240" w:lineRule="auto"/>
        <w:jc w:val="both"/>
      </w:pPr>
      <w:r w:rsidRPr="00B73C1F">
        <w:rPr>
          <w:b/>
        </w:rPr>
        <w:t>3.4.1 Target Population</w:t>
      </w:r>
    </w:p>
    <w:p w14:paraId="2763F4ED" w14:textId="1C4960AB" w:rsidR="00B73C1F" w:rsidRPr="00B73C1F" w:rsidRDefault="00B73C1F" w:rsidP="00B73C1F">
      <w:pPr>
        <w:spacing w:line="240" w:lineRule="auto"/>
        <w:jc w:val="both"/>
      </w:pPr>
      <w:r w:rsidRPr="00B73C1F">
        <w:t xml:space="preserve">The target population comprises manufacturing organizations with 50 or more employees operating within Thailand’s Eastern Economic Corridor (Section 1.5). Major subsectors — automotive, electronics, petrochemicals, food processing, and advanced manufacturing — align with national priorities for digital transformation and high-value production (EEC, 2025). The 50-employee threshold serves as a practical benchmark for AI integration readiness, since smaller organizations typically lack </w:t>
      </w:r>
      <w:proofErr w:type="gramStart"/>
      <w:r w:rsidRPr="00B73C1F">
        <w:t>the organizational</w:t>
      </w:r>
      <w:proofErr w:type="gramEnd"/>
      <w:r w:rsidRPr="00B73C1F">
        <w:t xml:space="preserve"> complexity, HRIS infrastructure, and reporting obligations required for meaningful AI-driven compensation and disclosure systems. This threshold is consistent with common regulatory and research definitions of medium-</w:t>
      </w:r>
      <w:r w:rsidR="00C313FF">
        <w:t xml:space="preserve"> to large-sized</w:t>
      </w:r>
      <w:r w:rsidRPr="00B73C1F">
        <w:t xml:space="preserve"> enterprises in both Thai and international contexts. Approximately 1,200 EEC manufacturing organizations meet these criteria (EEC, 2025).</w:t>
      </w:r>
    </w:p>
    <w:p w14:paraId="40B7FCB1" w14:textId="77777777" w:rsidR="00B73C1F" w:rsidRPr="00B73C1F" w:rsidRDefault="00B73C1F" w:rsidP="00B73C1F">
      <w:pPr>
        <w:spacing w:line="240" w:lineRule="auto"/>
        <w:jc w:val="both"/>
      </w:pPr>
      <w:r w:rsidRPr="00B73C1F">
        <w:rPr>
          <w:b/>
        </w:rPr>
        <w:t>3.4.2 Quantitative Sampling</w:t>
      </w:r>
    </w:p>
    <w:p w14:paraId="6D65EEE9" w14:textId="60F91D40" w:rsidR="00B73C1F" w:rsidRPr="00B73C1F" w:rsidRDefault="00B73C1F" w:rsidP="00B73C1F">
      <w:pPr>
        <w:spacing w:line="240" w:lineRule="auto"/>
        <w:jc w:val="both"/>
      </w:pPr>
      <w:r w:rsidRPr="00B73C1F">
        <w:t>The quantitative phase utilizes stratified random sampling to ensure the sample reflects the diversity of EEC manufacturing organizations. Stratification is based on two key organizational characteristics: industry subsector and organizational size. Major subsectors include automotive and parts, electronics and electrical equipment, petrochemicals and chemicals, food and beverage processing, and other manufacturing activities. Organizational size is categorized into three ranges (50–199, 200–499, and 500+ employees) reflecting meaningful differences in technological readiness, reporting capacity, and HR system maturity. Stratified sampling enhances representativeness and reduces sampling bias by ensuring proportional inclusion across relevant strata (Diaz-Quijano, 2018</w:t>
      </w:r>
      <w:r w:rsidR="00BC65DD">
        <w:t xml:space="preserve">; </w:t>
      </w:r>
      <w:r w:rsidR="00BC65DD" w:rsidRPr="00BC65DD">
        <w:t>Dickson et al., 2019</w:t>
      </w:r>
      <w:r w:rsidRPr="00B73C1F">
        <w:t xml:space="preserve">). Sample allocation strategies can optimize both </w:t>
      </w:r>
      <w:r w:rsidRPr="00B73C1F">
        <w:lastRenderedPageBreak/>
        <w:t>overall representativeness and stratum-specific precision, though computational challenges may arise with highly stratified populations.</w:t>
      </w:r>
    </w:p>
    <w:p w14:paraId="7A8B4DF6" w14:textId="2887BF2D" w:rsidR="00B73C1F" w:rsidRPr="00B73C1F" w:rsidRDefault="00B73C1F" w:rsidP="00B73C1F">
      <w:pPr>
        <w:spacing w:line="240" w:lineRule="auto"/>
        <w:jc w:val="both"/>
      </w:pPr>
      <w:r w:rsidRPr="00B73C1F">
        <w:t>Structural Equation Modeling sample-size requirements vary widely (30–460 cases) depending on model characteristics</w:t>
      </w:r>
      <w:r w:rsidR="00C313FF">
        <w:t>,</w:t>
      </w:r>
      <w:r w:rsidRPr="00B73C1F">
        <w:t xml:space="preserve"> including factor count, indicator density, loading magnitude, and missing data (Wolf et al., 2013). Earlier heuristics suggesting a minimum of 200 cases or 10 observations per parameter are model-insensitive and may over- or understate requirements (Wolf et al., 2013)</w:t>
      </w:r>
      <w:r w:rsidR="00C313FF">
        <w:t>. A</w:t>
      </w:r>
      <w:r w:rsidRPr="00B73C1F">
        <w:t xml:space="preserve"> meta-study of SEM research found that 80% of articles drew conclusions from insufficient samples (Westland, 2010). A target of 400 organizations was therefore established for this study, providing adequate power to detect medium effect sizes, supporting multigroup and moderation analyses, and yielding a 95% confidence level with an estimated 4–5% margin of error.</w:t>
      </w:r>
    </w:p>
    <w:p w14:paraId="4D3AD72B" w14:textId="77777777" w:rsidR="00B73C1F" w:rsidRPr="00B73C1F" w:rsidRDefault="00B73C1F" w:rsidP="00B73C1F">
      <w:pPr>
        <w:spacing w:line="240" w:lineRule="auto"/>
        <w:jc w:val="both"/>
      </w:pPr>
      <w:r w:rsidRPr="00B73C1F">
        <w:rPr>
          <w:b/>
        </w:rPr>
        <w:t>3.4.3 Qualitative Sampling</w:t>
      </w:r>
    </w:p>
    <w:p w14:paraId="655D6FC0" w14:textId="62D64F14" w:rsidR="00B73C1F" w:rsidRPr="00B73C1F" w:rsidRDefault="00B73C1F" w:rsidP="00B73C1F">
      <w:pPr>
        <w:spacing w:line="240" w:lineRule="auto"/>
        <w:jc w:val="both"/>
      </w:pPr>
      <w:r w:rsidRPr="00B73C1F">
        <w:t xml:space="preserve">Consistent with the concurrent embedded mixed-methods design (Section 3.3), the qualitative sample comprises the same 400 manufacturing organizations that constitute the quantitative sample. Qualitative data were collected through three open-ended questions embedded at the end of the structured questionnaire, capturing respondents’ perceptions of (a) the most significant challenges in integrating AI compensation systems with human capital disclosure, (b) the improvements that would most help their organization enhance disclosure quality, and (c) any additional comments respondents wished to share. All 400 respondents </w:t>
      </w:r>
      <w:r w:rsidR="00C313FF">
        <w:t>answered</w:t>
      </w:r>
      <w:r w:rsidRPr="00B73C1F">
        <w:t xml:space="preserve"> each of the three questions, yielding a complete qualitative dataset of 1,200 individual responses.</w:t>
      </w:r>
    </w:p>
    <w:p w14:paraId="4C94FE81" w14:textId="4735595C" w:rsidR="00B73C1F" w:rsidRPr="00B73C1F" w:rsidRDefault="00B73C1F" w:rsidP="00B73C1F">
      <w:pPr>
        <w:spacing w:line="240" w:lineRule="auto"/>
        <w:jc w:val="both"/>
      </w:pPr>
      <w:r w:rsidRPr="00B73C1F">
        <w:t>Within-respondent integration of quantitative and qualitative data is a methodological strength of the concurrent embedded design: because the qualitative responses are drawn from the same respondents who provided the quantitative data, integration occurs at the level of the individual respondent rather than across separate samples, strengthening the analytical validity of the mixed-methods findings (Fetters &amp; Molina-</w:t>
      </w:r>
      <w:proofErr w:type="spellStart"/>
      <w:r w:rsidRPr="00B73C1F">
        <w:t>Azorin</w:t>
      </w:r>
      <w:proofErr w:type="spellEnd"/>
      <w:r w:rsidRPr="00B73C1F">
        <w:t>, 2017</w:t>
      </w:r>
      <w:r w:rsidR="008B1F43">
        <w:t xml:space="preserve">; </w:t>
      </w:r>
      <w:r w:rsidR="008B1F43" w:rsidRPr="008B1F43">
        <w:t>Fetters et al., 2013</w:t>
      </w:r>
      <w:r w:rsidRPr="00B73C1F">
        <w:t>). Respondents represent the four stakeholder roles most relevant to AI compensation systems and human capital disclosure within participating organizations: HR managers responsible for compensation and payroll administration</w:t>
      </w:r>
      <w:r w:rsidR="00C313FF">
        <w:t>; finance and accounting managers involved in external financial reporting; IT and HRIS specialists who manage compensation technologies;</w:t>
      </w:r>
      <w:r w:rsidRPr="00B73C1F">
        <w:t xml:space="preserve"> and senior executives or directors with oversight of disclosure practices.</w:t>
      </w:r>
    </w:p>
    <w:p w14:paraId="0AF467F8" w14:textId="77777777" w:rsidR="00B73C1F" w:rsidRPr="00B73C1F" w:rsidRDefault="00B73C1F" w:rsidP="00B73C1F">
      <w:pPr>
        <w:spacing w:line="240" w:lineRule="auto"/>
        <w:jc w:val="both"/>
      </w:pPr>
      <w:r w:rsidRPr="00B73C1F">
        <w:t>The thematic analysis procedure is described in Section 3.7.2, qualitative results in Section 4.11, and the joint display in Section 4.12, following Fetters et al. (2013).</w:t>
      </w:r>
    </w:p>
    <w:p w14:paraId="5D45450C" w14:textId="77777777" w:rsidR="00B73C1F" w:rsidRPr="00B73C1F" w:rsidRDefault="00B73C1F" w:rsidP="00B73C1F">
      <w:pPr>
        <w:spacing w:line="240" w:lineRule="auto"/>
        <w:jc w:val="both"/>
      </w:pPr>
      <w:r w:rsidRPr="00B73C1F">
        <w:rPr>
          <w:b/>
        </w:rPr>
        <w:t>3.5 Instrumentation</w:t>
      </w:r>
    </w:p>
    <w:p w14:paraId="4576C0CA" w14:textId="77777777" w:rsidR="00B73C1F" w:rsidRPr="00B73C1F" w:rsidRDefault="00B73C1F" w:rsidP="00B73C1F">
      <w:pPr>
        <w:spacing w:line="240" w:lineRule="auto"/>
        <w:jc w:val="both"/>
      </w:pPr>
      <w:r w:rsidRPr="00B73C1F">
        <w:rPr>
          <w:b/>
        </w:rPr>
        <w:t>3.5.1 Quantitative Instrument Development</w:t>
      </w:r>
    </w:p>
    <w:p w14:paraId="77CEE0A4" w14:textId="77777777" w:rsidR="00B73C1F" w:rsidRPr="00B73C1F" w:rsidRDefault="00B73C1F" w:rsidP="00B73C1F">
      <w:pPr>
        <w:spacing w:line="240" w:lineRule="auto"/>
        <w:jc w:val="both"/>
      </w:pPr>
      <w:r w:rsidRPr="00B73C1F">
        <w:t xml:space="preserve">The quantitative instrument is a structured questionnaire designed to operationalize the constructs identified in the conceptual framework. Because no existing validated instruments directly measure AI integration in compensation systems or human capital disclosure quality, new scales were developed following established procedures for instrument development (MacKenzie et al., 2011). The methodology involved systematic item generation drawing from literature and expert consultations, followed by expert review and iterative refinement (Ricci et al., 2018). Content validity was ensured through expert evaluation and pilot testing with the target population (Pinski &amp; </w:t>
      </w:r>
      <w:proofErr w:type="spellStart"/>
      <w:r w:rsidRPr="00B73C1F">
        <w:t>Benlian</w:t>
      </w:r>
      <w:proofErr w:type="spellEnd"/>
      <w:r w:rsidRPr="00B73C1F">
        <w:t>, 2023).</w:t>
      </w:r>
    </w:p>
    <w:p w14:paraId="568CFCEC" w14:textId="77777777" w:rsidR="00B73C1F" w:rsidRPr="00B73C1F" w:rsidRDefault="00B73C1F" w:rsidP="00B73C1F">
      <w:pPr>
        <w:spacing w:line="240" w:lineRule="auto"/>
        <w:jc w:val="both"/>
      </w:pPr>
      <w:r w:rsidRPr="00B73C1F">
        <w:lastRenderedPageBreak/>
        <w:t>The final questionnaire comprises six sections. Section A collects organizational profile information, including industry subsector, workforce size, ownership structure, years of operation, and export intensity. Section B assesses AI integration in compensation systems through items measuring AI functionality adoption, breadth of application across compensation processes, analytical sophistication, and integration with HRIS and financial systems. Section C captures organizational pay transparency practices, including salary-range disclosure in job postings, internal communication of compensation structures, pay equity analytics, and regulatory wage reporting. Section D measures human capital disclosure quality across completeness, accuracy, timeliness, comparability, and accessibility — dimensions reflecting established qualitative characteristics of useful financial and non-financial information.</w:t>
      </w:r>
    </w:p>
    <w:p w14:paraId="79CFC19F" w14:textId="77777777" w:rsidR="00B73C1F" w:rsidRPr="00B73C1F" w:rsidRDefault="00B73C1F" w:rsidP="00B73C1F">
      <w:pPr>
        <w:spacing w:line="240" w:lineRule="auto"/>
        <w:jc w:val="both"/>
      </w:pPr>
      <w:r w:rsidRPr="00B73C1F">
        <w:t>Section E measures integration protocols using the conceptual definition from Section 2.8 — formalized organizational mechanisms translating AI-generated workforce analytics into reporting-ready outputs. The construct is operationalized through four observable components: data validation routines, standardization procedures, quality-assurance processes, and governance structures. Multiple items per component assess the existence, formalization, and consistency of each mechanism’s application within the organization. Section F addresses perceived barriers and enablers of integration, including items related to data infrastructure, organizational capabilities, and regulatory expectations.</w:t>
      </w:r>
    </w:p>
    <w:p w14:paraId="3243F370" w14:textId="77777777" w:rsidR="00B73C1F" w:rsidRPr="00B73C1F" w:rsidRDefault="00B73C1F" w:rsidP="00B73C1F">
      <w:pPr>
        <w:spacing w:line="240" w:lineRule="auto"/>
        <w:jc w:val="both"/>
      </w:pPr>
      <w:r w:rsidRPr="00B73C1F">
        <w:t>All attitudinal items use a seven-point Likert scale ranging from “strongly disagree” (1) to “strongly agree” (7). Seven-point scales offer a broader range of response options, enhancing measurement variance and sensitivity while remaining cognitively manageable for respondents (Lindner &amp; Lindner, 2024). The four-component structure of the integration protocol measure is consistent with the conceptual specification in Section 2.8; formal confirmatory factor analysis with composite reliability and average variance extracted is reserved for the next research phase (Section 5.10.6). The instrument was developed in English and translated into Thai using back-translation procedures to ensure linguistic equivalence and conceptual consistency (Brislin, 1970).</w:t>
      </w:r>
    </w:p>
    <w:p w14:paraId="73DEE122" w14:textId="77777777" w:rsidR="00B73C1F" w:rsidRPr="00B73C1F" w:rsidRDefault="00B73C1F" w:rsidP="00B73C1F">
      <w:pPr>
        <w:spacing w:line="240" w:lineRule="auto"/>
        <w:jc w:val="both"/>
      </w:pPr>
      <w:r w:rsidRPr="00B73C1F">
        <w:rPr>
          <w:b/>
        </w:rPr>
        <w:t>3.5.2 Qualitative Instrument Development</w:t>
      </w:r>
    </w:p>
    <w:p w14:paraId="486FC033" w14:textId="77777777" w:rsidR="00B73C1F" w:rsidRPr="00B73C1F" w:rsidRDefault="00B73C1F" w:rsidP="00B73C1F">
      <w:pPr>
        <w:spacing w:line="240" w:lineRule="auto"/>
        <w:jc w:val="both"/>
      </w:pPr>
      <w:r w:rsidRPr="00B73C1F">
        <w:t>The qualitative instrument consists of three open-ended questions embedded at the conclusion of the structured questionnaire described in Section 3.5.1. Open-ended questions within a survey instrument constitute a recognized qualitative data collection method that captures context-rich insight from a larger sample than is feasible with separate semi-structured interviews, while preserving respondents’ ability to articulate views in their own words (Braun &amp; Clarke, 2021; Ricci et al., 2018). The three questions were designed to elicit qualitative data corresponding to the four thematic domains aligned with the proposed AI-HCAD framework: data generation, integration, disclosure, and governance.</w:t>
      </w:r>
    </w:p>
    <w:p w14:paraId="022D3F45" w14:textId="371ECF62" w:rsidR="00B73C1F" w:rsidRPr="00B73C1F" w:rsidRDefault="00B73C1F" w:rsidP="00B73C1F">
      <w:pPr>
        <w:spacing w:line="240" w:lineRule="auto"/>
        <w:jc w:val="both"/>
      </w:pPr>
      <w:r w:rsidRPr="00B73C1F">
        <w:t xml:space="preserve">The first question asked respondents to identify the most significant challenge their organization faces in integrating AI compensation systems with human capital disclosure, eliciting responses </w:t>
      </w:r>
      <w:r w:rsidR="00C313FF">
        <w:t xml:space="preserve">that </w:t>
      </w:r>
      <w:proofErr w:type="gramStart"/>
      <w:r w:rsidR="00C313FF">
        <w:t>spanned</w:t>
      </w:r>
      <w:proofErr w:type="gramEnd"/>
      <w:r w:rsidR="00C313FF">
        <w:t xml:space="preserve"> data infrastructure, organizational capability, ethical considerations, the</w:t>
      </w:r>
      <w:r w:rsidRPr="00B73C1F">
        <w:t xml:space="preserve"> regulatory environment, and resource availability. The second question asked respondents to identify improvements that would most help their organization enhance disclosure quality, eliciting responses </w:t>
      </w:r>
      <w:r w:rsidR="00C313FF">
        <w:t>on desired interventions such as</w:t>
      </w:r>
      <w:r w:rsidRPr="00B73C1F">
        <w:t xml:space="preserve"> standardization, governance mechanisms, training, and substantive reporting content. The third question invited respondents to share any additional comments about AI in compensation management or human capital disclosure, providing space for reflections that did not fit within the structured items or the first two open-ended questions.</w:t>
      </w:r>
    </w:p>
    <w:p w14:paraId="1CE0EC45" w14:textId="6249CBBE" w:rsidR="00B73C1F" w:rsidRPr="00B73C1F" w:rsidRDefault="00B73C1F" w:rsidP="00B73C1F">
      <w:pPr>
        <w:spacing w:line="240" w:lineRule="auto"/>
        <w:jc w:val="both"/>
      </w:pPr>
      <w:r w:rsidRPr="00B73C1F">
        <w:lastRenderedPageBreak/>
        <w:t>The instrument was developed following recognized practices for open-ended survey question design, including iterative refinement and pilot testing (Castillo-Montoya, 2016; Ricci et al., 2018). A pre-survey script provided to all respondents explained the research purpose, confidentiality protections, voluntary participation, and the option to withdraw at any time, consistent with best practices for ethical research (Tracy, 2025). Pilot questionnaires were administered to individuals who met participant criteria but were excluded from the final sample; feedback</w:t>
      </w:r>
      <w:r w:rsidR="00C313FF">
        <w:t>-</w:t>
      </w:r>
      <w:r w:rsidRPr="00B73C1F">
        <w:t>informed adjustments to question phrasing, sequencing, and the relative emphasis of the open-ended prompts</w:t>
      </w:r>
      <w:r w:rsidR="00C313FF">
        <w:t xml:space="preserve"> were made</w:t>
      </w:r>
      <w:r w:rsidRPr="00B73C1F">
        <w:t>.</w:t>
      </w:r>
    </w:p>
    <w:p w14:paraId="7BD4E15E" w14:textId="77777777" w:rsidR="00B73C1F" w:rsidRPr="00B73C1F" w:rsidRDefault="00B73C1F" w:rsidP="00B73C1F">
      <w:pPr>
        <w:spacing w:line="240" w:lineRule="auto"/>
        <w:jc w:val="both"/>
      </w:pPr>
      <w:r w:rsidRPr="00B73C1F">
        <w:rPr>
          <w:b/>
        </w:rPr>
        <w:t>3.6 Data Collection Procedures</w:t>
      </w:r>
    </w:p>
    <w:p w14:paraId="30D6BCE0" w14:textId="77777777" w:rsidR="00B73C1F" w:rsidRPr="00B73C1F" w:rsidRDefault="00B73C1F" w:rsidP="00B73C1F">
      <w:pPr>
        <w:spacing w:line="240" w:lineRule="auto"/>
        <w:jc w:val="both"/>
      </w:pPr>
      <w:r w:rsidRPr="00B73C1F">
        <w:rPr>
          <w:b/>
        </w:rPr>
        <w:t>3.6.1 Quantitative Data Collection</w:t>
      </w:r>
    </w:p>
    <w:p w14:paraId="39189C3E" w14:textId="77777777" w:rsidR="00B73C1F" w:rsidRPr="00B73C1F" w:rsidRDefault="00B73C1F" w:rsidP="00B73C1F">
      <w:pPr>
        <w:spacing w:line="240" w:lineRule="auto"/>
        <w:jc w:val="both"/>
      </w:pPr>
      <w:r w:rsidRPr="00B73C1F">
        <w:t xml:space="preserve">Quantitative data </w:t>
      </w:r>
      <w:proofErr w:type="gramStart"/>
      <w:r w:rsidRPr="00B73C1F">
        <w:t>were</w:t>
      </w:r>
      <w:proofErr w:type="gramEnd"/>
      <w:r w:rsidRPr="00B73C1F">
        <w:t xml:space="preserve"> collected through multiple distribution channels to maximize participation and reduce coverage bias. The primary mode was an electronic survey administered via a secure online platform, consistent with widely adopted practices for organizational research (Dillman et al., 2021). Initial contact with sampled organizations was made via email invitations sent to HR directors or equivalent senior personnel responsible for compensation or HR information systems. Organizational contact information was compiled from industrial estate directories, industry association membership lists, and the Department of Industrial Works’ public registration database.</w:t>
      </w:r>
    </w:p>
    <w:p w14:paraId="002EB937" w14:textId="77777777" w:rsidR="00B73C1F" w:rsidRPr="00B73C1F" w:rsidRDefault="00B73C1F" w:rsidP="00B73C1F">
      <w:pPr>
        <w:spacing w:line="240" w:lineRule="auto"/>
        <w:jc w:val="both"/>
      </w:pPr>
      <w:r w:rsidRPr="00B73C1F">
        <w:t>The invitation email provided an overview of the study’s purpose, institutional affiliation, confidentiality assurances, and estimated completion time of 15–20 minutes. Two reminder emails were sent at two-week intervals to non-respondents following standard survey administration protocols (Dillman et al., 2021). For organizations remaining unresponsive after email follow-ups, telephone calls confirmed receipt of the invitation and offered alternative participation modes, including paper-based questionnaires or structured telephone administration. Endorsements from relevant industry associations increased the study’s perceived legitimacy and motivated participation (Baruch &amp; Holtom, 2008).</w:t>
      </w:r>
    </w:p>
    <w:p w14:paraId="1B84196C" w14:textId="77777777" w:rsidR="00B73C1F" w:rsidRPr="00B73C1F" w:rsidRDefault="00B73C1F" w:rsidP="00B73C1F">
      <w:pPr>
        <w:spacing w:line="240" w:lineRule="auto"/>
        <w:jc w:val="both"/>
      </w:pPr>
      <w:r w:rsidRPr="00B73C1F">
        <w:t>To enhance engagement, participating organizations were offered a benchmarking report summarizing aggregated findings. The data collection period spanned four months, allowing adequate time for follow-up communication and accommodating varying organizational schedules. Non-response bias was assessed by comparing respondents and non-respondents on available characteristics such as geographic location, subsector, and organizational size. Early and late respondents were also compared, with late respondents serving as a proxy for non-respondents to identify possible systematic bias (Armstrong &amp; Overton, 1977).</w:t>
      </w:r>
    </w:p>
    <w:p w14:paraId="35CFFEAE" w14:textId="77777777" w:rsidR="00B73C1F" w:rsidRPr="00B73C1F" w:rsidRDefault="00B73C1F" w:rsidP="00B73C1F">
      <w:pPr>
        <w:spacing w:line="240" w:lineRule="auto"/>
        <w:jc w:val="both"/>
      </w:pPr>
      <w:r w:rsidRPr="00B73C1F">
        <w:t>Recognizing that the cross-sectional, single-source design introduces a potential risk of common method bias, several procedural remedies recommended by Podsakoff et al. (2003) and MacKenzie and Podsakoff (2012) were embedded into the data collection design. First, full respondent anonymity was guaranteed in both the invitation letter and the questionnaire instructions, and respondents were assured that no individual or organization would be identifiable in any reporting of the findings. Second, items measuring the independent variable (AI integration), the mediator (integration protocols), and the dependent variable (human capital accounting disclosure quality) were physically separated within the questionnaire by interleaving items measuring distinct constructs and inserting transition statements between sections, reducing the likelihood that respondents would consciously or unconsciously align their responses across constructs. Third, varied response anchors and a small number of reverse-coded items were used to disrupt response-</w:t>
      </w:r>
      <w:r w:rsidRPr="00B73C1F">
        <w:lastRenderedPageBreak/>
        <w:t>set bias and encourage attentive engagement with each item. Fourth, the survey instructions explicitly stated that there were no right or wrong answers and emphasized that the study sought honest organizational reflection rather than socially desirable responses. Formal post-hoc statistical testing of common method bias is reserved for the next research phase (Section 5.10.6).</w:t>
      </w:r>
    </w:p>
    <w:p w14:paraId="076A3527" w14:textId="77777777" w:rsidR="00B73C1F" w:rsidRPr="00B73C1F" w:rsidRDefault="00B73C1F" w:rsidP="00B73C1F">
      <w:pPr>
        <w:spacing w:line="240" w:lineRule="auto"/>
        <w:jc w:val="both"/>
      </w:pPr>
      <w:r w:rsidRPr="00B73C1F">
        <w:rPr>
          <w:b/>
        </w:rPr>
        <w:t>3.6.2 Qualitative Data Collection</w:t>
      </w:r>
    </w:p>
    <w:p w14:paraId="1085C7C7" w14:textId="77777777" w:rsidR="00B73C1F" w:rsidRPr="00B73C1F" w:rsidRDefault="00B73C1F" w:rsidP="00B73C1F">
      <w:pPr>
        <w:spacing w:line="240" w:lineRule="auto"/>
        <w:jc w:val="both"/>
      </w:pPr>
      <w:r w:rsidRPr="00B73C1F">
        <w:t xml:space="preserve">Qualitative data collection occurred concurrently with quantitative data collection through the same survey instrument administered to the same 400 manufacturing organizations described in Section 3.6.1. The concurrent embedded approach is consistent with mixed-methods best practices for studies in which qualitative data </w:t>
      </w:r>
      <w:proofErr w:type="gramStart"/>
      <w:r w:rsidRPr="00B73C1F">
        <w:t>provide</w:t>
      </w:r>
      <w:proofErr w:type="gramEnd"/>
      <w:r w:rsidRPr="00B73C1F">
        <w:t xml:space="preserve"> context and interpretive depth to quantitative results within a single integrated data collection effort (Creswell &amp; Creswell, 2022; Fetters et al., 2013).</w:t>
      </w:r>
    </w:p>
    <w:p w14:paraId="774DD004" w14:textId="77777777" w:rsidR="00B73C1F" w:rsidRPr="00B73C1F" w:rsidRDefault="00B73C1F" w:rsidP="00B73C1F">
      <w:pPr>
        <w:spacing w:line="240" w:lineRule="auto"/>
        <w:jc w:val="both"/>
      </w:pPr>
      <w:r w:rsidRPr="00B73C1F">
        <w:t>Respondents completed the three open-ended questions immediately following the structured items in the questionnaire, with no time limit imposed. Anonymity and confidentiality were preserved through the same procedural safeguards described in Section 3.6.1 — respondent anonymity, item separation, varied response anchors, and instructions emphasizing the absence of right or wrong answers — which apply equally to the qualitative responses. Open-ended responses were captured in either Thai or English, depending on the respondent’s preference. Thai-language responses were translated into English for analysis, with back-translation and independent review of key passages used to ensure accuracy and preserve meaning (Brislin, 1970; Esposito, 2001).</w:t>
      </w:r>
    </w:p>
    <w:p w14:paraId="7F322887" w14:textId="39C6FEF4" w:rsidR="00B73C1F" w:rsidRPr="00B73C1F" w:rsidRDefault="00B73C1F" w:rsidP="00B73C1F">
      <w:pPr>
        <w:spacing w:line="240" w:lineRule="auto"/>
        <w:jc w:val="both"/>
      </w:pPr>
      <w:r w:rsidRPr="00B73C1F">
        <w:t>Complete response</w:t>
      </w:r>
      <w:r w:rsidR="00C313FF">
        <w:t>s across all three open-ended items (Section 3.4.3) contrast favorably with typical attrition across separate qualitative interview phases and reflect</w:t>
      </w:r>
      <w:r w:rsidRPr="00B73C1F">
        <w:t xml:space="preserve"> the methodological advantage of embedding qualitative items within the survey instrument.</w:t>
      </w:r>
    </w:p>
    <w:p w14:paraId="4249C5A5" w14:textId="77777777" w:rsidR="00B73C1F" w:rsidRPr="00B73C1F" w:rsidRDefault="00B73C1F" w:rsidP="00B73C1F">
      <w:pPr>
        <w:spacing w:line="240" w:lineRule="auto"/>
        <w:jc w:val="both"/>
      </w:pPr>
      <w:r w:rsidRPr="00B73C1F">
        <w:rPr>
          <w:b/>
        </w:rPr>
        <w:t>3.7 Data Analysis</w:t>
      </w:r>
    </w:p>
    <w:p w14:paraId="2330157F" w14:textId="77777777" w:rsidR="00B73C1F" w:rsidRPr="00B73C1F" w:rsidRDefault="00B73C1F" w:rsidP="00B73C1F">
      <w:pPr>
        <w:spacing w:line="240" w:lineRule="auto"/>
        <w:jc w:val="both"/>
      </w:pPr>
      <w:r w:rsidRPr="00B73C1F">
        <w:rPr>
          <w:b/>
        </w:rPr>
        <w:t>3.7.1 Quantitative Analysis</w:t>
      </w:r>
    </w:p>
    <w:p w14:paraId="06B578B7" w14:textId="77777777" w:rsidR="00B73C1F" w:rsidRPr="00B73C1F" w:rsidRDefault="00B73C1F" w:rsidP="00B73C1F">
      <w:pPr>
        <w:spacing w:line="240" w:lineRule="auto"/>
        <w:jc w:val="both"/>
      </w:pPr>
      <w:r w:rsidRPr="00B73C1F">
        <w:t>Quantitative analysis is conducted through structured stages consistent with best practices in multivariate research. The initial stage involves data preparation, including assessing missing data patterns, identifying outliers, and evaluating normality. Missing data mechanisms are examined, and decisions regarding imputation or case removal are guided by established guidelines (Tabachnick &amp; Fidell, 2021). Descriptive statistics characterize the sample and assess distributional properties, and sample characteristics are compared to known population parameters to evaluate representativeness and potential sampling bias.</w:t>
      </w:r>
    </w:p>
    <w:p w14:paraId="7AE4B435" w14:textId="77777777" w:rsidR="00B73C1F" w:rsidRPr="00B73C1F" w:rsidRDefault="00B73C1F" w:rsidP="00B73C1F">
      <w:pPr>
        <w:spacing w:line="240" w:lineRule="auto"/>
        <w:jc w:val="both"/>
      </w:pPr>
      <w:r w:rsidRPr="00B73C1F">
        <w:t>Reliability of the multi-item scales is examined through Cronbach’s alpha, with a generally accepted threshold of 0.70 indicating acceptable internal consistency (</w:t>
      </w:r>
      <w:proofErr w:type="spellStart"/>
      <w:r w:rsidRPr="00B73C1F">
        <w:t>Tavakol</w:t>
      </w:r>
      <w:proofErr w:type="spellEnd"/>
      <w:r w:rsidRPr="00B73C1F">
        <w:t xml:space="preserve"> &amp; Dennick, 2011). Item-total correlations are inspected to identify items that may benefit from removal to improve scale reliability. These reliability analyses, combined with the content validity procedures described in Section 3.5.1, support the empirical adequacy of the measurement scales used in the present study.</w:t>
      </w:r>
    </w:p>
    <w:p w14:paraId="32E24A25" w14:textId="1AF3EBF6" w:rsidR="00B73C1F" w:rsidRPr="00B73C1F" w:rsidRDefault="00B73C1F" w:rsidP="00B73C1F">
      <w:pPr>
        <w:spacing w:line="240" w:lineRule="auto"/>
        <w:jc w:val="both"/>
      </w:pPr>
      <w:r w:rsidRPr="00B73C1F">
        <w:t xml:space="preserve">The hypothesis testing strategy is exploratory and correlation-based, consistent with the cross-sectional design and the empirical objective of mapping the conditional structure of the AI–human capital disclosure relationship in an emerging-economy manufacturing context. Direct relationships among the principal variables are examined through Pearson correlation coefficients, with statistical significance evaluated at p &lt; .05. Effect sizes are interpreted according to </w:t>
      </w:r>
      <w:r w:rsidRPr="00B73C1F">
        <w:lastRenderedPageBreak/>
        <w:t xml:space="preserve">conventional guidelines (Cohen, 2013). Mediation effects (H2) are examined through correlation-based pathway testing, in which the significance of both the antecedent-to-mediator and mediator-to-outcome paths is evaluated. Moderation effects (H3 and H4) are examined through </w:t>
      </w:r>
      <w:r w:rsidR="00C313FF">
        <w:t xml:space="preserve">a </w:t>
      </w:r>
      <w:r w:rsidRPr="00B73C1F">
        <w:t>median-split subgroup analysis, with Fisher’s z-test used to evaluate whether the AI–disclosure relationship differs significantly between subgroups (Cohen et al., 2003). The barrier-enabler analysis is presented descriptively, with composite means, dimensional comparisons, and aggregate gap metrics.</w:t>
      </w:r>
    </w:p>
    <w:p w14:paraId="2E432EB5" w14:textId="4A3EA263" w:rsidR="00B73C1F" w:rsidRPr="00B73C1F" w:rsidRDefault="00B73C1F" w:rsidP="00B73C1F">
      <w:pPr>
        <w:spacing w:line="240" w:lineRule="auto"/>
        <w:jc w:val="both"/>
      </w:pPr>
      <w:r w:rsidRPr="00B73C1F">
        <w:t xml:space="preserve">The analytical scope is deliberately exploratory and is positioned as a first-phase empirical foundation for the conditional theoretical model articulated in </w:t>
      </w:r>
      <w:r w:rsidR="00E133F2">
        <w:t>Sections</w:t>
      </w:r>
      <w:r w:rsidRPr="00B73C1F">
        <w:t xml:space="preserve"> 1 and 2. More sophisticated inferential analyses — confirmatory factor analysis with AVE and composite reliability, marker-variable common method bias testing, bootstrapped indirect-effect testing with bias-corrected confidence intervals, and inferential moderated regression — are reserved for the next research phase, with the rationale and specific commitments documented in Sections 5.9 and 5.10.6.</w:t>
      </w:r>
    </w:p>
    <w:p w14:paraId="6263913F" w14:textId="77777777" w:rsidR="00B73C1F" w:rsidRPr="00B73C1F" w:rsidRDefault="00B73C1F" w:rsidP="00B73C1F">
      <w:pPr>
        <w:spacing w:line="240" w:lineRule="auto"/>
        <w:jc w:val="both"/>
      </w:pPr>
      <w:r w:rsidRPr="00B73C1F">
        <w:rPr>
          <w:b/>
        </w:rPr>
        <w:t>3.7.2 Qualitative Analysis</w:t>
      </w:r>
    </w:p>
    <w:p w14:paraId="20C80045" w14:textId="77777777" w:rsidR="00B73C1F" w:rsidRPr="00B73C1F" w:rsidRDefault="00B73C1F" w:rsidP="00B73C1F">
      <w:pPr>
        <w:spacing w:line="240" w:lineRule="auto"/>
        <w:jc w:val="both"/>
      </w:pPr>
      <w:r w:rsidRPr="00B73C1F">
        <w:t>Qualitative analysis follows Braun and Clarke’s (2021) six-phase thematic analysis method, a widely adopted approach in organizational and social research that is appropriate for both interview transcripts and open-ended survey responses. The process begins with data familiarization through repeated reading of all 1,200 individual qualitative responses across the three open-ended questions. Initial codes are generated systematically across the dataset, capturing meaningful units of information. Codes are organized into potential higher-order themes, reviewed for coherence, and refined through iterative comparison with the original responses. Themes are defined and named to ensure conceptual clarity, and a final analytic narrative is constructed with illustrative response phrasings drawn from the dataset.</w:t>
      </w:r>
    </w:p>
    <w:p w14:paraId="33BF1D80" w14:textId="77777777" w:rsidR="00B73C1F" w:rsidRPr="00B73C1F" w:rsidRDefault="00B73C1F" w:rsidP="00B73C1F">
      <w:pPr>
        <w:spacing w:line="240" w:lineRule="auto"/>
        <w:jc w:val="both"/>
      </w:pPr>
      <w:r w:rsidRPr="00B73C1F">
        <w:t xml:space="preserve">Analytic </w:t>
      </w:r>
      <w:proofErr w:type="spellStart"/>
      <w:r w:rsidRPr="00B73C1F">
        <w:t>memoing</w:t>
      </w:r>
      <w:proofErr w:type="spellEnd"/>
      <w:r w:rsidRPr="00B73C1F">
        <w:t xml:space="preserve"> supports methodological decision-making, enhancing transparency and rigor throughout the analytical process (Saldaña, 2025). Frequency counts of code endorsements within each higher-order theme are reported alongside the narrative analysis, providing quantitative context for the qualitative findings and supporting within-respondent integration with the quantitative results presented in Section 4.12.</w:t>
      </w:r>
    </w:p>
    <w:p w14:paraId="45DB8773" w14:textId="6C7F6CE5" w:rsidR="00B73C1F" w:rsidRPr="00B73C1F" w:rsidRDefault="00B73C1F" w:rsidP="00B73C1F">
      <w:pPr>
        <w:spacing w:line="240" w:lineRule="auto"/>
        <w:jc w:val="both"/>
      </w:pPr>
      <w:r w:rsidRPr="00B73C1F">
        <w:t>The thematic analysis combines deductive and inductive approaches. Deductive codes derive from the conceptual framework (data generation, integration, disclosure, and governance), providing structure and alignment with research objectives. Inductive coding remains open to emergent themes reflecting respondent</w:t>
      </w:r>
      <w:r w:rsidR="00C313FF">
        <w:t>s' experiences that were</w:t>
      </w:r>
      <w:r w:rsidRPr="00B73C1F">
        <w:t xml:space="preserve"> not anticipated in the framework (Fereday &amp; Muir-Cochrane, 2006). This combination ensures theoretical grounding while allowing discovery of new insight, including the cross-question synthesis themes identified in Section 4.11.5.</w:t>
      </w:r>
    </w:p>
    <w:p w14:paraId="11E8195A" w14:textId="77777777" w:rsidR="00B73C1F" w:rsidRPr="00B73C1F" w:rsidRDefault="00B73C1F" w:rsidP="00B73C1F">
      <w:pPr>
        <w:spacing w:line="240" w:lineRule="auto"/>
        <w:jc w:val="both"/>
      </w:pPr>
      <w:r w:rsidRPr="00B73C1F">
        <w:rPr>
          <w:b/>
        </w:rPr>
        <w:t>3.7.3 Integration of Findings</w:t>
      </w:r>
    </w:p>
    <w:p w14:paraId="10214B9E" w14:textId="77777777" w:rsidR="00B73C1F" w:rsidRPr="00B73C1F" w:rsidRDefault="00B73C1F" w:rsidP="00B73C1F">
      <w:pPr>
        <w:spacing w:line="240" w:lineRule="auto"/>
        <w:jc w:val="both"/>
      </w:pPr>
      <w:r w:rsidRPr="00B73C1F">
        <w:t>Integration of quantitative and qualitative findings occurs during the interpretation stage, consistent with a sequential explanatory mixed-methods design (Creswell &amp; Creswell, 2022). Qualitative findings contextualize, clarify, and deepen understanding of quantitative results. Qualitative narratives may explain unexpected statistical relationships, illuminate mechanisms underlying observed effects, or identify contextual conditions influencing AI integration or disclosure practices.</w:t>
      </w:r>
    </w:p>
    <w:p w14:paraId="685EAF88" w14:textId="77777777" w:rsidR="00B73C1F" w:rsidRPr="00B73C1F" w:rsidRDefault="00B73C1F" w:rsidP="00B73C1F">
      <w:pPr>
        <w:spacing w:line="240" w:lineRule="auto"/>
        <w:jc w:val="both"/>
      </w:pPr>
      <w:r w:rsidRPr="00B73C1F">
        <w:lastRenderedPageBreak/>
        <w:t>Three types of integrated outcomes are examined: confirmation, in which qualitative findings converge with and corroborate quantitative patterns; expansion, in which qualitative insight extends quantitative findings into new dimensions or mechanisms; and discordance, in which divergent findings prompt deeper examination of contextual or methodological explanations (Fetters et al., 2013). The integration process systematically considers all dimensions of qualitative–quantitative linkage, from data collection through interpretation and reporting (Fetters &amp; Molina-</w:t>
      </w:r>
      <w:proofErr w:type="spellStart"/>
      <w:r w:rsidRPr="00B73C1F">
        <w:t>Azorin</w:t>
      </w:r>
      <w:proofErr w:type="spellEnd"/>
      <w:r w:rsidRPr="00B73C1F">
        <w:t>, 2017).</w:t>
      </w:r>
    </w:p>
    <w:p w14:paraId="1380EB05" w14:textId="77777777" w:rsidR="00B73C1F" w:rsidRPr="00B73C1F" w:rsidRDefault="00B73C1F" w:rsidP="00B73C1F">
      <w:pPr>
        <w:spacing w:line="240" w:lineRule="auto"/>
        <w:jc w:val="both"/>
      </w:pPr>
      <w:r w:rsidRPr="00B73C1F">
        <w:t>Integration informs refinement of the AI-HCAD framework: elements supported by both methods are retained and specified; components challenged or expanded by empirical findings are modified to incorporate newly identified contingencies. The final framework synthesizes theoretical constructs with empirical insight, consistent with abductive model-building approaches (Schweber &amp; Chow, 2023).</w:t>
      </w:r>
    </w:p>
    <w:p w14:paraId="53C4E6E6" w14:textId="77777777" w:rsidR="00B73C1F" w:rsidRPr="00B73C1F" w:rsidRDefault="00B73C1F" w:rsidP="00B73C1F">
      <w:pPr>
        <w:spacing w:line="240" w:lineRule="auto"/>
        <w:jc w:val="both"/>
      </w:pPr>
      <w:r w:rsidRPr="00B73C1F">
        <w:rPr>
          <w:b/>
        </w:rPr>
        <w:t>3.8 Validity and Reliability</w:t>
      </w:r>
    </w:p>
    <w:p w14:paraId="43DAD55A" w14:textId="19D2C9CE" w:rsidR="00B73C1F" w:rsidRPr="00B73C1F" w:rsidRDefault="00B73C1F" w:rsidP="00B73C1F">
      <w:pPr>
        <w:spacing w:line="240" w:lineRule="auto"/>
        <w:jc w:val="both"/>
      </w:pPr>
      <w:r w:rsidRPr="00B73C1F">
        <w:t xml:space="preserve">Validity and reliability are addressed through expert review and statistical analysis. Content validity was established through expert panel review, using techniques </w:t>
      </w:r>
      <w:r w:rsidR="00E90243">
        <w:t xml:space="preserve">(Section 3.5.1) </w:t>
      </w:r>
      <w:r w:rsidRPr="00B73C1F">
        <w:t>such as Lawshe’s content validity ratio to quantify expert agreement</w:t>
      </w:r>
      <w:r w:rsidR="00E90243">
        <w:t xml:space="preserve"> </w:t>
      </w:r>
      <w:r w:rsidRPr="00B73C1F">
        <w:t>(Ansari &amp; Khan, 2023). Criterion-related validity considerations follow established statistical methods (Heale &amp; Twycross, 2015). Confirmatory factor analysis to evaluate construct validity through standardized loadings, average variance extracted, and discriminant validity is committed to the next research phase (Section 5.10.6).</w:t>
      </w:r>
    </w:p>
    <w:p w14:paraId="3D37C8B2" w14:textId="77777777" w:rsidR="00B73C1F" w:rsidRPr="00B73C1F" w:rsidRDefault="00B73C1F" w:rsidP="00B73C1F">
      <w:pPr>
        <w:spacing w:line="240" w:lineRule="auto"/>
        <w:jc w:val="both"/>
      </w:pPr>
      <w:r w:rsidRPr="00B73C1F">
        <w:t>Common method bias is a particular validity threat in cross-sectional, single-source survey research. The four procedural remedies recommended by Podsakoff et al. (2003) and MacKenzie and Podsakoff (</w:t>
      </w:r>
      <w:proofErr w:type="gramStart"/>
      <w:r w:rsidRPr="00B73C1F">
        <w:t>2012) —</w:t>
      </w:r>
      <w:proofErr w:type="gramEnd"/>
      <w:r w:rsidRPr="00B73C1F">
        <w:t xml:space="preserve"> respondent anonymity, item separation, varied response anchors, and instructions emphasizing no right or wrong answers — were embedded in the data collection design (Section 3.6.1). Formal post-hoc statistical testing using Harman’s single-factor test and the marker-variable technique is reserved for the next research phase (Section 5.10.6).</w:t>
      </w:r>
    </w:p>
    <w:p w14:paraId="201B16D4" w14:textId="77777777" w:rsidR="00B73C1F" w:rsidRPr="00B73C1F" w:rsidRDefault="00B73C1F" w:rsidP="00B73C1F">
      <w:pPr>
        <w:spacing w:line="240" w:lineRule="auto"/>
        <w:jc w:val="both"/>
      </w:pPr>
      <w:r w:rsidRPr="00B73C1F">
        <w:t>Qualitative trustworthiness is ensured through Lincoln and Guba’s four-criteria framework: credibility, transferability, dependability, and confirmability (Cope, 2013). These criteria are crucial for establishing research rigor (Ahmed, 2024). Credibility is achieved through prolonged engagement, triangulation, and member checking (Houghton et al., 2013). Transferability is supported by providing thick, comprehensive descriptions (Shenton, 2004). Dependability is established through detailed documentation and audit trails (</w:t>
      </w:r>
      <w:proofErr w:type="spellStart"/>
      <w:r w:rsidRPr="00B73C1F">
        <w:t>Korstjens</w:t>
      </w:r>
      <w:proofErr w:type="spellEnd"/>
      <w:r w:rsidRPr="00B73C1F">
        <w:t xml:space="preserve"> &amp; Moser, 2017). Confirmability is addressed through reflexive journaling and the maintenance of an audit trail (Amin et al., 2020). This framework has been extensively cited across research disciplines, indicating its broad methodological significance.</w:t>
      </w:r>
    </w:p>
    <w:p w14:paraId="4A478567" w14:textId="77777777" w:rsidR="00B73C1F" w:rsidRPr="00B73C1F" w:rsidRDefault="00B73C1F" w:rsidP="00B73C1F">
      <w:pPr>
        <w:spacing w:line="240" w:lineRule="auto"/>
        <w:jc w:val="both"/>
      </w:pPr>
      <w:r w:rsidRPr="00B73C1F">
        <w:rPr>
          <w:b/>
        </w:rPr>
        <w:t>3.9 Ethical Considerations</w:t>
      </w:r>
    </w:p>
    <w:p w14:paraId="34D597B6" w14:textId="77777777" w:rsidR="00B73C1F" w:rsidRPr="00B73C1F" w:rsidRDefault="00B73C1F" w:rsidP="00B73C1F">
      <w:pPr>
        <w:spacing w:line="240" w:lineRule="auto"/>
        <w:jc w:val="both"/>
      </w:pPr>
      <w:r w:rsidRPr="00B73C1F">
        <w:t xml:space="preserve">This research adheres to ethical principles governing research involving human participants. Institutional review board approval is obtained prior to data collection. Informed consent is obtained from all participants, with consent forms explaining the </w:t>
      </w:r>
      <w:proofErr w:type="gramStart"/>
      <w:r w:rsidRPr="00B73C1F">
        <w:t>research purpose</w:t>
      </w:r>
      <w:proofErr w:type="gramEnd"/>
      <w:r w:rsidRPr="00B73C1F">
        <w:t>, procedures, risks and benefits, confidentiality protections, voluntary participation, and the right to withdraw without consequences.</w:t>
      </w:r>
    </w:p>
    <w:p w14:paraId="0129EC0D" w14:textId="77777777" w:rsidR="00B73C1F" w:rsidRPr="00B73C1F" w:rsidRDefault="00B73C1F" w:rsidP="00B73C1F">
      <w:pPr>
        <w:spacing w:line="240" w:lineRule="auto"/>
        <w:jc w:val="both"/>
      </w:pPr>
      <w:r w:rsidRPr="00B73C1F">
        <w:lastRenderedPageBreak/>
        <w:t xml:space="preserve">Confidentiality </w:t>
      </w:r>
      <w:proofErr w:type="gramStart"/>
      <w:r w:rsidRPr="00B73C1F">
        <w:t>protections include</w:t>
      </w:r>
      <w:proofErr w:type="gramEnd"/>
      <w:r w:rsidRPr="00B73C1F">
        <w:t xml:space="preserve"> removing identifying information from survey responses, using pseudonyms and disguised organizational descriptions in qualitative reporting, securely storing data with access limited to the research team, and following institutional guidelines for data retention and destruction. </w:t>
      </w:r>
      <w:proofErr w:type="gramStart"/>
      <w:r w:rsidRPr="00B73C1F">
        <w:t>Particular care</w:t>
      </w:r>
      <w:proofErr w:type="gramEnd"/>
      <w:r w:rsidRPr="00B73C1F">
        <w:t xml:space="preserve"> is taken with compensation-related data due to its sensitivity.</w:t>
      </w:r>
    </w:p>
    <w:p w14:paraId="2A1F86DD" w14:textId="77777777" w:rsidR="00724C44" w:rsidRPr="00724C44" w:rsidRDefault="00724C44" w:rsidP="00724C44">
      <w:pPr>
        <w:spacing w:line="240" w:lineRule="auto"/>
        <w:jc w:val="both"/>
      </w:pPr>
      <w:r w:rsidRPr="00724C44">
        <w:rPr>
          <w:b/>
        </w:rPr>
        <w:t>4</w:t>
      </w:r>
      <w:proofErr w:type="gramStart"/>
      <w:r w:rsidRPr="00724C44">
        <w:rPr>
          <w:b/>
        </w:rPr>
        <w:t>.  RESEARCH</w:t>
      </w:r>
      <w:proofErr w:type="gramEnd"/>
      <w:r w:rsidRPr="00724C44">
        <w:rPr>
          <w:b/>
        </w:rPr>
        <w:t xml:space="preserve"> RESULTS</w:t>
      </w:r>
    </w:p>
    <w:p w14:paraId="168585FC" w14:textId="77777777" w:rsidR="00724C44" w:rsidRPr="00724C44" w:rsidRDefault="00724C44" w:rsidP="00724C44">
      <w:pPr>
        <w:spacing w:line="240" w:lineRule="auto"/>
        <w:jc w:val="both"/>
      </w:pPr>
      <w:r w:rsidRPr="00724C44">
        <w:rPr>
          <w:b/>
        </w:rPr>
        <w:t>4.1 Introduction</w:t>
      </w:r>
    </w:p>
    <w:p w14:paraId="1B71C2C8" w14:textId="7F55FE53" w:rsidR="00724C44" w:rsidRPr="00724C44" w:rsidRDefault="00724C44" w:rsidP="00724C44">
      <w:pPr>
        <w:spacing w:line="240" w:lineRule="auto"/>
        <w:jc w:val="both"/>
      </w:pPr>
      <w:r w:rsidRPr="00724C44">
        <w:t>The findings derive from the cross-sectional EEC manufacturing survey (n = 400) and from thematic analysis of three embedded open-ended questions (Section 3.7.2). Th</w:t>
      </w:r>
      <w:r w:rsidR="00E133F2">
        <w:t>is section</w:t>
      </w:r>
      <w:r w:rsidRPr="00724C44">
        <w:t xml:space="preserve"> follows the five research objectives, with qualitative findings in Section 4.11 and the joint display integrating both strands in Section 4.12. Consistent with the cross-sectional design (Section 3.2) and the analytical scope set out in Section 3.7.1, the language of association is used throughout, and confirmatory factor analysis, bootstrapped mediation, and related inferential extensions are reserved for the next research phase (Section 5.10.6).</w:t>
      </w:r>
    </w:p>
    <w:p w14:paraId="764A28E7" w14:textId="77777777" w:rsidR="00724C44" w:rsidRPr="00724C44" w:rsidRDefault="00724C44" w:rsidP="00724C44">
      <w:pPr>
        <w:spacing w:line="240" w:lineRule="auto"/>
        <w:jc w:val="both"/>
      </w:pPr>
      <w:r w:rsidRPr="00724C44">
        <w:rPr>
          <w:b/>
        </w:rPr>
        <w:t>4.2 Response Rate and Data Screening</w:t>
      </w:r>
    </w:p>
    <w:p w14:paraId="1610133E" w14:textId="77777777" w:rsidR="00724C44" w:rsidRPr="00724C44" w:rsidRDefault="00724C44" w:rsidP="00724C44">
      <w:pPr>
        <w:spacing w:line="240" w:lineRule="auto"/>
        <w:jc w:val="both"/>
      </w:pPr>
      <w:r w:rsidRPr="00724C44">
        <w:t>Survey questionnaires were distributed to 850 manufacturing organizations across the three core EEC provinces (Chonburi, Rayong, and Chachoengsao) and adjacent industrial areas. Data collection occurred over a 12-week period, using both online and paper-based administration to maximize response rates.</w:t>
      </w:r>
    </w:p>
    <w:p w14:paraId="01BEE59A" w14:textId="62EAF618" w:rsidR="00724C44" w:rsidRPr="00724C44" w:rsidRDefault="00724C44" w:rsidP="00724C44">
      <w:pPr>
        <w:spacing w:line="240" w:lineRule="auto"/>
        <w:jc w:val="both"/>
      </w:pPr>
      <w:r w:rsidRPr="00724C44">
        <w:t>Table 4.1 summarizes the survey response outcomes. Of the 850 questionnaires distributed, 412 responses were received, yielding an initial response rate of 48.5%. Each response was screened for completeness, consistency, and validity. Twelve responses were excluded due to excessive missing data (more than 10% of items incomplete) or failed attention check items. The final 400 valid responses yielded a 47.1% effective response rate, exceeding the 35% threshold for organizational surveys (Livingston, 2012) and consistent with the 40–75% acceptable range and approximately 51% field average</w:t>
      </w:r>
      <w:r w:rsidR="00EB4FFA">
        <w:t xml:space="preserve"> (</w:t>
      </w:r>
      <w:proofErr w:type="spellStart"/>
      <w:r w:rsidR="00EB4FFA" w:rsidRPr="00EB4FFA">
        <w:t>Mellahi</w:t>
      </w:r>
      <w:proofErr w:type="spellEnd"/>
      <w:r w:rsidR="00EB4FFA" w:rsidRPr="00EB4FFA">
        <w:t xml:space="preserve"> &amp; Harris, 2015</w:t>
      </w:r>
      <w:r w:rsidR="00EB4FFA">
        <w:t>;</w:t>
      </w:r>
      <w:r w:rsidRPr="00724C44">
        <w:t xml:space="preserve"> </w:t>
      </w:r>
      <w:proofErr w:type="spellStart"/>
      <w:r w:rsidRPr="00724C44">
        <w:t>Sataloff</w:t>
      </w:r>
      <w:proofErr w:type="spellEnd"/>
      <w:r w:rsidRPr="00724C44">
        <w:t xml:space="preserve"> &amp; </w:t>
      </w:r>
      <w:proofErr w:type="spellStart"/>
      <w:r w:rsidRPr="00724C44">
        <w:t>Vontela</w:t>
      </w:r>
      <w:proofErr w:type="spellEnd"/>
      <w:r w:rsidRPr="00724C44">
        <w:t>, 2021).</w:t>
      </w:r>
    </w:p>
    <w:p w14:paraId="137B01A4" w14:textId="77777777" w:rsidR="00724C44" w:rsidRPr="00724C44" w:rsidRDefault="00724C44" w:rsidP="00724C44">
      <w:pPr>
        <w:spacing w:line="240" w:lineRule="auto"/>
        <w:jc w:val="both"/>
      </w:pPr>
      <w:r w:rsidRPr="00724C44">
        <w:rPr>
          <w:b/>
        </w:rPr>
        <w:t>Table 4.1</w:t>
      </w:r>
    </w:p>
    <w:p w14:paraId="70FAA900" w14:textId="77777777" w:rsidR="00724C44" w:rsidRPr="0023718D" w:rsidRDefault="00724C44" w:rsidP="00724C44">
      <w:pPr>
        <w:spacing w:line="240" w:lineRule="auto"/>
        <w:jc w:val="both"/>
        <w:rPr>
          <w:i/>
        </w:rPr>
      </w:pPr>
      <w:r w:rsidRPr="0023718D">
        <w:rPr>
          <w:i/>
        </w:rPr>
        <w:t>Response Rate Summary</w:t>
      </w:r>
    </w:p>
    <w:tbl>
      <w:tblPr>
        <w:tblW w:w="0" w:type="auto"/>
        <w:tblLayout w:type="fixed"/>
        <w:tblLook w:val="04A0" w:firstRow="1" w:lastRow="0" w:firstColumn="1" w:lastColumn="0" w:noHBand="0" w:noVBand="1"/>
      </w:tblPr>
      <w:tblGrid>
        <w:gridCol w:w="5040"/>
        <w:gridCol w:w="2160"/>
        <w:gridCol w:w="2160"/>
      </w:tblGrid>
      <w:tr w:rsidR="00724C44" w:rsidRPr="00EB4FF5" w14:paraId="25F7FEA0" w14:textId="77777777" w:rsidTr="00A5379F">
        <w:tc>
          <w:tcPr>
            <w:tcW w:w="5040" w:type="dxa"/>
            <w:tcBorders>
              <w:top w:val="single" w:sz="4" w:space="0" w:color="000000"/>
              <w:left w:val="nil"/>
              <w:bottom w:val="single" w:sz="4" w:space="0" w:color="000000"/>
              <w:right w:val="nil"/>
            </w:tcBorders>
          </w:tcPr>
          <w:p w14:paraId="5B324D39" w14:textId="77777777" w:rsidR="00724C44" w:rsidRPr="00EB4FF5" w:rsidRDefault="00724C44" w:rsidP="00EB4FF5">
            <w:pPr>
              <w:spacing w:after="0" w:line="240" w:lineRule="auto"/>
              <w:jc w:val="both"/>
              <w:rPr>
                <w:sz w:val="22"/>
                <w:szCs w:val="22"/>
              </w:rPr>
            </w:pPr>
            <w:r w:rsidRPr="00EB4FF5">
              <w:rPr>
                <w:b/>
                <w:sz w:val="22"/>
                <w:szCs w:val="22"/>
              </w:rPr>
              <w:t>Description</w:t>
            </w:r>
          </w:p>
        </w:tc>
        <w:tc>
          <w:tcPr>
            <w:tcW w:w="2160" w:type="dxa"/>
            <w:tcBorders>
              <w:top w:val="single" w:sz="4" w:space="0" w:color="000000"/>
              <w:left w:val="nil"/>
              <w:bottom w:val="single" w:sz="4" w:space="0" w:color="000000"/>
              <w:right w:val="nil"/>
            </w:tcBorders>
          </w:tcPr>
          <w:p w14:paraId="33C97706" w14:textId="77777777" w:rsidR="00724C44" w:rsidRPr="00EB4FF5" w:rsidRDefault="00724C44" w:rsidP="00EB4FF5">
            <w:pPr>
              <w:spacing w:after="0" w:line="240" w:lineRule="auto"/>
              <w:jc w:val="both"/>
              <w:rPr>
                <w:sz w:val="22"/>
                <w:szCs w:val="22"/>
              </w:rPr>
            </w:pPr>
            <w:r w:rsidRPr="00EB4FF5">
              <w:rPr>
                <w:b/>
                <w:sz w:val="22"/>
                <w:szCs w:val="22"/>
              </w:rPr>
              <w:t>Count</w:t>
            </w:r>
          </w:p>
        </w:tc>
        <w:tc>
          <w:tcPr>
            <w:tcW w:w="2160" w:type="dxa"/>
            <w:tcBorders>
              <w:top w:val="single" w:sz="4" w:space="0" w:color="000000"/>
              <w:left w:val="nil"/>
              <w:bottom w:val="single" w:sz="4" w:space="0" w:color="000000"/>
              <w:right w:val="nil"/>
            </w:tcBorders>
          </w:tcPr>
          <w:p w14:paraId="52E7E98F" w14:textId="77777777" w:rsidR="00724C44" w:rsidRPr="00EB4FF5" w:rsidRDefault="00724C44" w:rsidP="00EB4FF5">
            <w:pPr>
              <w:spacing w:after="0" w:line="240" w:lineRule="auto"/>
              <w:jc w:val="both"/>
              <w:rPr>
                <w:sz w:val="22"/>
                <w:szCs w:val="22"/>
              </w:rPr>
            </w:pPr>
            <w:r w:rsidRPr="00EB4FF5">
              <w:rPr>
                <w:b/>
                <w:sz w:val="22"/>
                <w:szCs w:val="22"/>
              </w:rPr>
              <w:t>Percentage</w:t>
            </w:r>
          </w:p>
        </w:tc>
      </w:tr>
      <w:tr w:rsidR="00724C44" w:rsidRPr="00EB4FF5" w14:paraId="77CA1F6E" w14:textId="77777777" w:rsidTr="00A5379F">
        <w:tc>
          <w:tcPr>
            <w:tcW w:w="5040" w:type="dxa"/>
            <w:tcBorders>
              <w:top w:val="nil"/>
              <w:left w:val="nil"/>
              <w:bottom w:val="nil"/>
              <w:right w:val="nil"/>
            </w:tcBorders>
          </w:tcPr>
          <w:p w14:paraId="35EFF447" w14:textId="77777777" w:rsidR="00724C44" w:rsidRPr="00EB4FF5" w:rsidRDefault="00724C44" w:rsidP="00EB4FF5">
            <w:pPr>
              <w:spacing w:after="0" w:line="240" w:lineRule="auto"/>
              <w:jc w:val="both"/>
              <w:rPr>
                <w:sz w:val="22"/>
                <w:szCs w:val="22"/>
              </w:rPr>
            </w:pPr>
            <w:r w:rsidRPr="00EB4FF5">
              <w:rPr>
                <w:sz w:val="22"/>
                <w:szCs w:val="22"/>
              </w:rPr>
              <w:t>Questionnaires distributed</w:t>
            </w:r>
          </w:p>
        </w:tc>
        <w:tc>
          <w:tcPr>
            <w:tcW w:w="2160" w:type="dxa"/>
            <w:tcBorders>
              <w:top w:val="nil"/>
              <w:left w:val="nil"/>
              <w:bottom w:val="nil"/>
              <w:right w:val="nil"/>
            </w:tcBorders>
          </w:tcPr>
          <w:p w14:paraId="517B0B74" w14:textId="77777777" w:rsidR="00724C44" w:rsidRPr="00EB4FF5" w:rsidRDefault="00724C44" w:rsidP="00EB4FF5">
            <w:pPr>
              <w:spacing w:after="0" w:line="240" w:lineRule="auto"/>
              <w:jc w:val="both"/>
              <w:rPr>
                <w:sz w:val="22"/>
                <w:szCs w:val="22"/>
              </w:rPr>
            </w:pPr>
            <w:r w:rsidRPr="00EB4FF5">
              <w:rPr>
                <w:sz w:val="22"/>
                <w:szCs w:val="22"/>
              </w:rPr>
              <w:t>850</w:t>
            </w:r>
          </w:p>
        </w:tc>
        <w:tc>
          <w:tcPr>
            <w:tcW w:w="2160" w:type="dxa"/>
            <w:tcBorders>
              <w:top w:val="nil"/>
              <w:left w:val="nil"/>
              <w:bottom w:val="nil"/>
              <w:right w:val="nil"/>
            </w:tcBorders>
          </w:tcPr>
          <w:p w14:paraId="78733BCD" w14:textId="77777777" w:rsidR="00724C44" w:rsidRPr="00EB4FF5" w:rsidRDefault="00724C44" w:rsidP="00EB4FF5">
            <w:pPr>
              <w:spacing w:after="0" w:line="240" w:lineRule="auto"/>
              <w:jc w:val="both"/>
              <w:rPr>
                <w:sz w:val="22"/>
                <w:szCs w:val="22"/>
              </w:rPr>
            </w:pPr>
            <w:r w:rsidRPr="00EB4FF5">
              <w:rPr>
                <w:sz w:val="22"/>
                <w:szCs w:val="22"/>
              </w:rPr>
              <w:t>100.0%</w:t>
            </w:r>
          </w:p>
        </w:tc>
      </w:tr>
      <w:tr w:rsidR="00724C44" w:rsidRPr="00EB4FF5" w14:paraId="5EEB7D70" w14:textId="77777777" w:rsidTr="00A5379F">
        <w:tc>
          <w:tcPr>
            <w:tcW w:w="5040" w:type="dxa"/>
            <w:tcBorders>
              <w:top w:val="nil"/>
              <w:left w:val="nil"/>
              <w:bottom w:val="nil"/>
              <w:right w:val="nil"/>
            </w:tcBorders>
          </w:tcPr>
          <w:p w14:paraId="2024B7D3" w14:textId="77777777" w:rsidR="00724C44" w:rsidRPr="00EB4FF5" w:rsidRDefault="00724C44" w:rsidP="00EB4FF5">
            <w:pPr>
              <w:spacing w:after="0" w:line="240" w:lineRule="auto"/>
              <w:jc w:val="both"/>
              <w:rPr>
                <w:sz w:val="22"/>
                <w:szCs w:val="22"/>
              </w:rPr>
            </w:pPr>
            <w:r w:rsidRPr="00EB4FF5">
              <w:rPr>
                <w:sz w:val="22"/>
                <w:szCs w:val="22"/>
              </w:rPr>
              <w:t>Responses received</w:t>
            </w:r>
          </w:p>
        </w:tc>
        <w:tc>
          <w:tcPr>
            <w:tcW w:w="2160" w:type="dxa"/>
            <w:tcBorders>
              <w:top w:val="nil"/>
              <w:left w:val="nil"/>
              <w:bottom w:val="nil"/>
              <w:right w:val="nil"/>
            </w:tcBorders>
          </w:tcPr>
          <w:p w14:paraId="3BACCCAE" w14:textId="77777777" w:rsidR="00724C44" w:rsidRPr="00EB4FF5" w:rsidRDefault="00724C44" w:rsidP="00EB4FF5">
            <w:pPr>
              <w:spacing w:after="0" w:line="240" w:lineRule="auto"/>
              <w:jc w:val="both"/>
              <w:rPr>
                <w:sz w:val="22"/>
                <w:szCs w:val="22"/>
              </w:rPr>
            </w:pPr>
            <w:r w:rsidRPr="00EB4FF5">
              <w:rPr>
                <w:sz w:val="22"/>
                <w:szCs w:val="22"/>
              </w:rPr>
              <w:t>412</w:t>
            </w:r>
          </w:p>
        </w:tc>
        <w:tc>
          <w:tcPr>
            <w:tcW w:w="2160" w:type="dxa"/>
            <w:tcBorders>
              <w:top w:val="nil"/>
              <w:left w:val="nil"/>
              <w:bottom w:val="nil"/>
              <w:right w:val="nil"/>
            </w:tcBorders>
          </w:tcPr>
          <w:p w14:paraId="6F34FD6F" w14:textId="77777777" w:rsidR="00724C44" w:rsidRPr="00EB4FF5" w:rsidRDefault="00724C44" w:rsidP="00EB4FF5">
            <w:pPr>
              <w:spacing w:after="0" w:line="240" w:lineRule="auto"/>
              <w:jc w:val="both"/>
              <w:rPr>
                <w:sz w:val="22"/>
                <w:szCs w:val="22"/>
              </w:rPr>
            </w:pPr>
            <w:r w:rsidRPr="00EB4FF5">
              <w:rPr>
                <w:sz w:val="22"/>
                <w:szCs w:val="22"/>
              </w:rPr>
              <w:t>48.5%</w:t>
            </w:r>
          </w:p>
        </w:tc>
      </w:tr>
      <w:tr w:rsidR="00724C44" w:rsidRPr="00EB4FF5" w14:paraId="6552AFBE" w14:textId="77777777" w:rsidTr="00A5379F">
        <w:tc>
          <w:tcPr>
            <w:tcW w:w="5040" w:type="dxa"/>
            <w:tcBorders>
              <w:top w:val="nil"/>
              <w:left w:val="nil"/>
              <w:bottom w:val="nil"/>
              <w:right w:val="nil"/>
            </w:tcBorders>
          </w:tcPr>
          <w:p w14:paraId="0B38241B" w14:textId="77777777" w:rsidR="00724C44" w:rsidRPr="00EB4FF5" w:rsidRDefault="00724C44" w:rsidP="00EB4FF5">
            <w:pPr>
              <w:spacing w:after="0" w:line="240" w:lineRule="auto"/>
              <w:jc w:val="both"/>
              <w:rPr>
                <w:sz w:val="22"/>
                <w:szCs w:val="22"/>
              </w:rPr>
            </w:pPr>
            <w:r w:rsidRPr="00EB4FF5">
              <w:rPr>
                <w:sz w:val="22"/>
                <w:szCs w:val="22"/>
              </w:rPr>
              <w:t>Responses excluded (invalid/incomplete)</w:t>
            </w:r>
          </w:p>
        </w:tc>
        <w:tc>
          <w:tcPr>
            <w:tcW w:w="2160" w:type="dxa"/>
            <w:tcBorders>
              <w:top w:val="nil"/>
              <w:left w:val="nil"/>
              <w:bottom w:val="nil"/>
              <w:right w:val="nil"/>
            </w:tcBorders>
          </w:tcPr>
          <w:p w14:paraId="03CDE14D" w14:textId="77777777" w:rsidR="00724C44" w:rsidRPr="00EB4FF5" w:rsidRDefault="00724C44" w:rsidP="00EB4FF5">
            <w:pPr>
              <w:spacing w:after="0" w:line="240" w:lineRule="auto"/>
              <w:jc w:val="both"/>
              <w:rPr>
                <w:sz w:val="22"/>
                <w:szCs w:val="22"/>
              </w:rPr>
            </w:pPr>
            <w:r w:rsidRPr="00EB4FF5">
              <w:rPr>
                <w:sz w:val="22"/>
                <w:szCs w:val="22"/>
              </w:rPr>
              <w:t>12</w:t>
            </w:r>
          </w:p>
        </w:tc>
        <w:tc>
          <w:tcPr>
            <w:tcW w:w="2160" w:type="dxa"/>
            <w:tcBorders>
              <w:top w:val="nil"/>
              <w:left w:val="nil"/>
              <w:bottom w:val="nil"/>
              <w:right w:val="nil"/>
            </w:tcBorders>
          </w:tcPr>
          <w:p w14:paraId="0C48F103" w14:textId="77777777" w:rsidR="00724C44" w:rsidRPr="00EB4FF5" w:rsidRDefault="00724C44" w:rsidP="00EB4FF5">
            <w:pPr>
              <w:spacing w:after="0" w:line="240" w:lineRule="auto"/>
              <w:jc w:val="both"/>
              <w:rPr>
                <w:sz w:val="22"/>
                <w:szCs w:val="22"/>
              </w:rPr>
            </w:pPr>
            <w:r w:rsidRPr="00EB4FF5">
              <w:rPr>
                <w:sz w:val="22"/>
                <w:szCs w:val="22"/>
              </w:rPr>
              <w:t>1.4%</w:t>
            </w:r>
          </w:p>
        </w:tc>
      </w:tr>
      <w:tr w:rsidR="00724C44" w:rsidRPr="00EB4FF5" w14:paraId="1FAD5743" w14:textId="77777777" w:rsidTr="00A5379F">
        <w:tc>
          <w:tcPr>
            <w:tcW w:w="5040" w:type="dxa"/>
            <w:tcBorders>
              <w:top w:val="nil"/>
              <w:left w:val="nil"/>
              <w:bottom w:val="single" w:sz="4" w:space="0" w:color="000000"/>
              <w:right w:val="nil"/>
            </w:tcBorders>
          </w:tcPr>
          <w:p w14:paraId="302CF9F2" w14:textId="77777777" w:rsidR="00724C44" w:rsidRPr="00EB4FF5" w:rsidRDefault="00724C44" w:rsidP="00EB4FF5">
            <w:pPr>
              <w:spacing w:after="0" w:line="240" w:lineRule="auto"/>
              <w:jc w:val="both"/>
              <w:rPr>
                <w:sz w:val="22"/>
                <w:szCs w:val="22"/>
              </w:rPr>
            </w:pPr>
            <w:r w:rsidRPr="00EB4FF5">
              <w:rPr>
                <w:sz w:val="22"/>
                <w:szCs w:val="22"/>
              </w:rPr>
              <w:t>Valid responses for analysis</w:t>
            </w:r>
          </w:p>
        </w:tc>
        <w:tc>
          <w:tcPr>
            <w:tcW w:w="2160" w:type="dxa"/>
            <w:tcBorders>
              <w:top w:val="nil"/>
              <w:left w:val="nil"/>
              <w:bottom w:val="single" w:sz="4" w:space="0" w:color="000000"/>
              <w:right w:val="nil"/>
            </w:tcBorders>
          </w:tcPr>
          <w:p w14:paraId="487D7E4C" w14:textId="77777777" w:rsidR="00724C44" w:rsidRPr="00EB4FF5" w:rsidRDefault="00724C44" w:rsidP="00EB4FF5">
            <w:pPr>
              <w:spacing w:after="0" w:line="240" w:lineRule="auto"/>
              <w:jc w:val="both"/>
              <w:rPr>
                <w:sz w:val="22"/>
                <w:szCs w:val="22"/>
              </w:rPr>
            </w:pPr>
            <w:r w:rsidRPr="00EB4FF5">
              <w:rPr>
                <w:sz w:val="22"/>
                <w:szCs w:val="22"/>
              </w:rPr>
              <w:t>400</w:t>
            </w:r>
          </w:p>
        </w:tc>
        <w:tc>
          <w:tcPr>
            <w:tcW w:w="2160" w:type="dxa"/>
            <w:tcBorders>
              <w:top w:val="nil"/>
              <w:left w:val="nil"/>
              <w:bottom w:val="single" w:sz="4" w:space="0" w:color="000000"/>
              <w:right w:val="nil"/>
            </w:tcBorders>
          </w:tcPr>
          <w:p w14:paraId="11630B18" w14:textId="77777777" w:rsidR="00724C44" w:rsidRPr="00EB4FF5" w:rsidRDefault="00724C44" w:rsidP="00EB4FF5">
            <w:pPr>
              <w:spacing w:after="0" w:line="240" w:lineRule="auto"/>
              <w:jc w:val="both"/>
              <w:rPr>
                <w:sz w:val="22"/>
                <w:szCs w:val="22"/>
              </w:rPr>
            </w:pPr>
            <w:r w:rsidRPr="00EB4FF5">
              <w:rPr>
                <w:sz w:val="22"/>
                <w:szCs w:val="22"/>
              </w:rPr>
              <w:t>47.1%</w:t>
            </w:r>
          </w:p>
        </w:tc>
      </w:tr>
    </w:tbl>
    <w:p w14:paraId="57F95A03" w14:textId="77777777" w:rsidR="00724C44" w:rsidRPr="00EB4FF5" w:rsidRDefault="00724C44" w:rsidP="00724C44">
      <w:pPr>
        <w:spacing w:line="240" w:lineRule="auto"/>
        <w:jc w:val="both"/>
        <w:rPr>
          <w:i/>
          <w:sz w:val="22"/>
          <w:szCs w:val="22"/>
        </w:rPr>
      </w:pPr>
      <w:r w:rsidRPr="00EB4FF5">
        <w:rPr>
          <w:i/>
          <w:sz w:val="22"/>
          <w:szCs w:val="22"/>
        </w:rPr>
        <w:t>Note. Non-response bias was assessed by comparing early and late respondents on key demographic variables, with no significant differences detected (p &gt; .05 for all comparisons).</w:t>
      </w:r>
    </w:p>
    <w:p w14:paraId="13FF1988" w14:textId="77777777" w:rsidR="00724C44" w:rsidRPr="00724C44" w:rsidRDefault="00724C44" w:rsidP="00724C44">
      <w:pPr>
        <w:spacing w:line="240" w:lineRule="auto"/>
        <w:jc w:val="both"/>
      </w:pPr>
      <w:r w:rsidRPr="00724C44">
        <w:rPr>
          <w:b/>
        </w:rPr>
        <w:t>4.3 Demographic Profile of Respondents</w:t>
      </w:r>
    </w:p>
    <w:p w14:paraId="3C833439" w14:textId="77777777" w:rsidR="00724C44" w:rsidRPr="00724C44" w:rsidRDefault="00724C44" w:rsidP="00724C44">
      <w:pPr>
        <w:spacing w:line="240" w:lineRule="auto"/>
        <w:jc w:val="both"/>
      </w:pPr>
      <w:r w:rsidRPr="00724C44">
        <w:t>Sample composition is reported below; it informs the interpretation and generalizability of the findings that follow.</w:t>
      </w:r>
    </w:p>
    <w:p w14:paraId="107742EE" w14:textId="77777777" w:rsidR="00724C44" w:rsidRPr="00724C44" w:rsidRDefault="00724C44" w:rsidP="00724C44">
      <w:pPr>
        <w:spacing w:line="240" w:lineRule="auto"/>
        <w:jc w:val="both"/>
      </w:pPr>
      <w:r w:rsidRPr="00724C44">
        <w:rPr>
          <w:b/>
        </w:rPr>
        <w:t>4.3.1 Organizational Characteristics</w:t>
      </w:r>
    </w:p>
    <w:p w14:paraId="4A4F5E3B" w14:textId="77777777" w:rsidR="00724C44" w:rsidRPr="00724C44" w:rsidRDefault="00724C44" w:rsidP="00724C44">
      <w:pPr>
        <w:spacing w:line="240" w:lineRule="auto"/>
        <w:jc w:val="both"/>
      </w:pPr>
      <w:r w:rsidRPr="00724C44">
        <w:lastRenderedPageBreak/>
        <w:t>Table 4.2 presents the organizational characteristics of the 400 participating manufacturing companies across nine demographic variables. The sample demonstrates diversity across industry subsectors, organizational sizes, ownership structures, and operational characteristics.</w:t>
      </w:r>
    </w:p>
    <w:p w14:paraId="61DED8FF" w14:textId="77777777" w:rsidR="00724C44" w:rsidRPr="00724C44" w:rsidRDefault="00724C44" w:rsidP="00724C44">
      <w:pPr>
        <w:spacing w:line="240" w:lineRule="auto"/>
        <w:jc w:val="both"/>
      </w:pPr>
      <w:r w:rsidRPr="00724C44">
        <w:rPr>
          <w:b/>
        </w:rPr>
        <w:t>Table 4.2</w:t>
      </w:r>
    </w:p>
    <w:p w14:paraId="3D378721" w14:textId="77777777" w:rsidR="00724C44" w:rsidRPr="0023718D" w:rsidRDefault="00724C44" w:rsidP="00724C44">
      <w:pPr>
        <w:spacing w:line="240" w:lineRule="auto"/>
        <w:jc w:val="both"/>
        <w:rPr>
          <w:i/>
        </w:rPr>
      </w:pPr>
      <w:r w:rsidRPr="0023718D">
        <w:rPr>
          <w:i/>
        </w:rPr>
        <w:t>Organizational Characteristics (n = 400)</w:t>
      </w:r>
    </w:p>
    <w:tbl>
      <w:tblPr>
        <w:tblW w:w="0" w:type="auto"/>
        <w:tblLayout w:type="fixed"/>
        <w:tblLook w:val="04A0" w:firstRow="1" w:lastRow="0" w:firstColumn="1" w:lastColumn="0" w:noHBand="0" w:noVBand="1"/>
      </w:tblPr>
      <w:tblGrid>
        <w:gridCol w:w="2304"/>
        <w:gridCol w:w="3888"/>
        <w:gridCol w:w="1296"/>
        <w:gridCol w:w="1728"/>
      </w:tblGrid>
      <w:tr w:rsidR="00724C44" w:rsidRPr="00724C44" w14:paraId="77BA31A2" w14:textId="77777777" w:rsidTr="00A5379F">
        <w:tc>
          <w:tcPr>
            <w:tcW w:w="2304" w:type="dxa"/>
            <w:tcBorders>
              <w:top w:val="single" w:sz="4" w:space="0" w:color="000000"/>
              <w:left w:val="nil"/>
              <w:bottom w:val="single" w:sz="4" w:space="0" w:color="000000"/>
              <w:right w:val="nil"/>
            </w:tcBorders>
          </w:tcPr>
          <w:p w14:paraId="1647C453" w14:textId="77777777" w:rsidR="00724C44" w:rsidRPr="00EB4FF5" w:rsidRDefault="00724C44" w:rsidP="00EB4FF5">
            <w:pPr>
              <w:spacing w:after="0" w:line="240" w:lineRule="auto"/>
              <w:jc w:val="both"/>
              <w:rPr>
                <w:sz w:val="22"/>
                <w:szCs w:val="22"/>
              </w:rPr>
            </w:pPr>
            <w:r w:rsidRPr="00EB4FF5">
              <w:rPr>
                <w:b/>
                <w:sz w:val="22"/>
                <w:szCs w:val="22"/>
              </w:rPr>
              <w:t>Variable</w:t>
            </w:r>
          </w:p>
        </w:tc>
        <w:tc>
          <w:tcPr>
            <w:tcW w:w="3888" w:type="dxa"/>
            <w:tcBorders>
              <w:top w:val="single" w:sz="4" w:space="0" w:color="000000"/>
              <w:left w:val="nil"/>
              <w:bottom w:val="single" w:sz="4" w:space="0" w:color="000000"/>
              <w:right w:val="nil"/>
            </w:tcBorders>
          </w:tcPr>
          <w:p w14:paraId="5A4354A1" w14:textId="77777777" w:rsidR="00724C44" w:rsidRPr="00EB4FF5" w:rsidRDefault="00724C44" w:rsidP="00EB4FF5">
            <w:pPr>
              <w:spacing w:after="0" w:line="240" w:lineRule="auto"/>
              <w:jc w:val="both"/>
              <w:rPr>
                <w:sz w:val="22"/>
                <w:szCs w:val="22"/>
              </w:rPr>
            </w:pPr>
            <w:r w:rsidRPr="00EB4FF5">
              <w:rPr>
                <w:b/>
                <w:sz w:val="22"/>
                <w:szCs w:val="22"/>
              </w:rPr>
              <w:t>Category</w:t>
            </w:r>
          </w:p>
        </w:tc>
        <w:tc>
          <w:tcPr>
            <w:tcW w:w="1296" w:type="dxa"/>
            <w:tcBorders>
              <w:top w:val="single" w:sz="4" w:space="0" w:color="000000"/>
              <w:left w:val="nil"/>
              <w:bottom w:val="single" w:sz="4" w:space="0" w:color="000000"/>
              <w:right w:val="nil"/>
            </w:tcBorders>
          </w:tcPr>
          <w:p w14:paraId="64129255" w14:textId="77777777" w:rsidR="00724C44" w:rsidRPr="00EB4FF5" w:rsidRDefault="00724C44" w:rsidP="00EB4FF5">
            <w:pPr>
              <w:spacing w:after="0" w:line="240" w:lineRule="auto"/>
              <w:jc w:val="both"/>
              <w:rPr>
                <w:sz w:val="22"/>
                <w:szCs w:val="22"/>
              </w:rPr>
            </w:pPr>
            <w:r w:rsidRPr="00EB4FF5">
              <w:rPr>
                <w:b/>
                <w:sz w:val="22"/>
                <w:szCs w:val="22"/>
              </w:rPr>
              <w:t>n</w:t>
            </w:r>
          </w:p>
        </w:tc>
        <w:tc>
          <w:tcPr>
            <w:tcW w:w="1728" w:type="dxa"/>
            <w:tcBorders>
              <w:top w:val="single" w:sz="4" w:space="0" w:color="000000"/>
              <w:left w:val="nil"/>
              <w:bottom w:val="single" w:sz="4" w:space="0" w:color="000000"/>
              <w:right w:val="nil"/>
            </w:tcBorders>
          </w:tcPr>
          <w:p w14:paraId="3784ABA9" w14:textId="77777777" w:rsidR="00724C44" w:rsidRPr="00EB4FF5" w:rsidRDefault="00724C44" w:rsidP="00EB4FF5">
            <w:pPr>
              <w:spacing w:after="0" w:line="240" w:lineRule="auto"/>
              <w:jc w:val="both"/>
              <w:rPr>
                <w:sz w:val="22"/>
                <w:szCs w:val="22"/>
              </w:rPr>
            </w:pPr>
            <w:r w:rsidRPr="00EB4FF5">
              <w:rPr>
                <w:b/>
                <w:sz w:val="22"/>
                <w:szCs w:val="22"/>
              </w:rPr>
              <w:t>%</w:t>
            </w:r>
          </w:p>
        </w:tc>
      </w:tr>
      <w:tr w:rsidR="00724C44" w:rsidRPr="00724C44" w14:paraId="2F1637F9" w14:textId="77777777" w:rsidTr="00A5379F">
        <w:tc>
          <w:tcPr>
            <w:tcW w:w="2304" w:type="dxa"/>
            <w:tcBorders>
              <w:top w:val="nil"/>
              <w:left w:val="nil"/>
              <w:bottom w:val="nil"/>
              <w:right w:val="nil"/>
            </w:tcBorders>
          </w:tcPr>
          <w:p w14:paraId="3D0EF961" w14:textId="77777777" w:rsidR="00724C44" w:rsidRPr="00EB4FF5" w:rsidRDefault="00724C44" w:rsidP="00EB4FF5">
            <w:pPr>
              <w:spacing w:after="0" w:line="240" w:lineRule="auto"/>
              <w:jc w:val="both"/>
              <w:rPr>
                <w:sz w:val="22"/>
                <w:szCs w:val="22"/>
              </w:rPr>
            </w:pPr>
            <w:r w:rsidRPr="00EB4FF5">
              <w:rPr>
                <w:sz w:val="22"/>
                <w:szCs w:val="22"/>
              </w:rPr>
              <w:t>Industry Subsector</w:t>
            </w:r>
          </w:p>
        </w:tc>
        <w:tc>
          <w:tcPr>
            <w:tcW w:w="3888" w:type="dxa"/>
            <w:tcBorders>
              <w:top w:val="nil"/>
              <w:left w:val="nil"/>
              <w:bottom w:val="nil"/>
              <w:right w:val="nil"/>
            </w:tcBorders>
          </w:tcPr>
          <w:p w14:paraId="0281DCE0" w14:textId="77777777" w:rsidR="00724C44" w:rsidRPr="00EB4FF5" w:rsidRDefault="00724C44" w:rsidP="00EB4FF5">
            <w:pPr>
              <w:spacing w:after="0" w:line="240" w:lineRule="auto"/>
              <w:jc w:val="both"/>
              <w:rPr>
                <w:sz w:val="22"/>
                <w:szCs w:val="22"/>
              </w:rPr>
            </w:pPr>
            <w:r w:rsidRPr="00EB4FF5">
              <w:rPr>
                <w:sz w:val="22"/>
                <w:szCs w:val="22"/>
              </w:rPr>
              <w:t>Automotive Parts &amp; Assembly</w:t>
            </w:r>
          </w:p>
        </w:tc>
        <w:tc>
          <w:tcPr>
            <w:tcW w:w="1296" w:type="dxa"/>
            <w:tcBorders>
              <w:top w:val="nil"/>
              <w:left w:val="nil"/>
              <w:bottom w:val="nil"/>
              <w:right w:val="nil"/>
            </w:tcBorders>
          </w:tcPr>
          <w:p w14:paraId="4B0340A9" w14:textId="77777777" w:rsidR="00724C44" w:rsidRPr="00EB4FF5" w:rsidRDefault="00724C44" w:rsidP="00EB4FF5">
            <w:pPr>
              <w:spacing w:after="0" w:line="240" w:lineRule="auto"/>
              <w:jc w:val="both"/>
              <w:rPr>
                <w:sz w:val="22"/>
                <w:szCs w:val="22"/>
              </w:rPr>
            </w:pPr>
            <w:r w:rsidRPr="00EB4FF5">
              <w:rPr>
                <w:sz w:val="22"/>
                <w:szCs w:val="22"/>
              </w:rPr>
              <w:t>32</w:t>
            </w:r>
          </w:p>
        </w:tc>
        <w:tc>
          <w:tcPr>
            <w:tcW w:w="1728" w:type="dxa"/>
            <w:tcBorders>
              <w:top w:val="nil"/>
              <w:left w:val="nil"/>
              <w:bottom w:val="nil"/>
              <w:right w:val="nil"/>
            </w:tcBorders>
          </w:tcPr>
          <w:p w14:paraId="56D47195" w14:textId="77777777" w:rsidR="00724C44" w:rsidRPr="00EB4FF5" w:rsidRDefault="00724C44" w:rsidP="00EB4FF5">
            <w:pPr>
              <w:spacing w:after="0" w:line="240" w:lineRule="auto"/>
              <w:jc w:val="both"/>
              <w:rPr>
                <w:sz w:val="22"/>
                <w:szCs w:val="22"/>
              </w:rPr>
            </w:pPr>
            <w:r w:rsidRPr="00EB4FF5">
              <w:rPr>
                <w:sz w:val="22"/>
                <w:szCs w:val="22"/>
              </w:rPr>
              <w:t>8.0</w:t>
            </w:r>
          </w:p>
        </w:tc>
      </w:tr>
      <w:tr w:rsidR="00724C44" w:rsidRPr="00724C44" w14:paraId="0846B0A4" w14:textId="77777777" w:rsidTr="00A5379F">
        <w:tc>
          <w:tcPr>
            <w:tcW w:w="2304" w:type="dxa"/>
            <w:tcBorders>
              <w:top w:val="nil"/>
              <w:left w:val="nil"/>
              <w:bottom w:val="nil"/>
              <w:right w:val="nil"/>
            </w:tcBorders>
          </w:tcPr>
          <w:p w14:paraId="026E12F1"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53D965F7" w14:textId="77777777" w:rsidR="00724C44" w:rsidRPr="00EB4FF5" w:rsidRDefault="00724C44" w:rsidP="00EB4FF5">
            <w:pPr>
              <w:spacing w:after="0" w:line="240" w:lineRule="auto"/>
              <w:jc w:val="both"/>
              <w:rPr>
                <w:sz w:val="22"/>
                <w:szCs w:val="22"/>
              </w:rPr>
            </w:pPr>
            <w:r w:rsidRPr="00EB4FF5">
              <w:rPr>
                <w:sz w:val="22"/>
                <w:szCs w:val="22"/>
              </w:rPr>
              <w:t>Electronics &amp; Electrical</w:t>
            </w:r>
          </w:p>
        </w:tc>
        <w:tc>
          <w:tcPr>
            <w:tcW w:w="1296" w:type="dxa"/>
            <w:tcBorders>
              <w:top w:val="nil"/>
              <w:left w:val="nil"/>
              <w:bottom w:val="nil"/>
              <w:right w:val="nil"/>
            </w:tcBorders>
          </w:tcPr>
          <w:p w14:paraId="56299A56" w14:textId="77777777" w:rsidR="00724C44" w:rsidRPr="00EB4FF5" w:rsidRDefault="00724C44" w:rsidP="00EB4FF5">
            <w:pPr>
              <w:spacing w:after="0" w:line="240" w:lineRule="auto"/>
              <w:jc w:val="both"/>
              <w:rPr>
                <w:sz w:val="22"/>
                <w:szCs w:val="22"/>
              </w:rPr>
            </w:pPr>
            <w:r w:rsidRPr="00EB4FF5">
              <w:rPr>
                <w:sz w:val="22"/>
                <w:szCs w:val="22"/>
              </w:rPr>
              <w:t>57</w:t>
            </w:r>
          </w:p>
        </w:tc>
        <w:tc>
          <w:tcPr>
            <w:tcW w:w="1728" w:type="dxa"/>
            <w:tcBorders>
              <w:top w:val="nil"/>
              <w:left w:val="nil"/>
              <w:bottom w:val="nil"/>
              <w:right w:val="nil"/>
            </w:tcBorders>
          </w:tcPr>
          <w:p w14:paraId="1512AB6A" w14:textId="77777777" w:rsidR="00724C44" w:rsidRPr="00EB4FF5" w:rsidRDefault="00724C44" w:rsidP="00EB4FF5">
            <w:pPr>
              <w:spacing w:after="0" w:line="240" w:lineRule="auto"/>
              <w:jc w:val="both"/>
              <w:rPr>
                <w:sz w:val="22"/>
                <w:szCs w:val="22"/>
              </w:rPr>
            </w:pPr>
            <w:r w:rsidRPr="00EB4FF5">
              <w:rPr>
                <w:sz w:val="22"/>
                <w:szCs w:val="22"/>
              </w:rPr>
              <w:t>14.2</w:t>
            </w:r>
          </w:p>
        </w:tc>
      </w:tr>
      <w:tr w:rsidR="00724C44" w:rsidRPr="00724C44" w14:paraId="0BD77558" w14:textId="77777777" w:rsidTr="00A5379F">
        <w:tc>
          <w:tcPr>
            <w:tcW w:w="2304" w:type="dxa"/>
            <w:tcBorders>
              <w:top w:val="nil"/>
              <w:left w:val="nil"/>
              <w:bottom w:val="nil"/>
              <w:right w:val="nil"/>
            </w:tcBorders>
          </w:tcPr>
          <w:p w14:paraId="1AF340B9"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0106B514" w14:textId="77777777" w:rsidR="00724C44" w:rsidRPr="00EB4FF5" w:rsidRDefault="00724C44" w:rsidP="00EB4FF5">
            <w:pPr>
              <w:spacing w:after="0" w:line="240" w:lineRule="auto"/>
              <w:jc w:val="both"/>
              <w:rPr>
                <w:sz w:val="22"/>
                <w:szCs w:val="22"/>
              </w:rPr>
            </w:pPr>
            <w:r w:rsidRPr="00EB4FF5">
              <w:rPr>
                <w:sz w:val="22"/>
                <w:szCs w:val="22"/>
              </w:rPr>
              <w:t>Food Processing</w:t>
            </w:r>
          </w:p>
        </w:tc>
        <w:tc>
          <w:tcPr>
            <w:tcW w:w="1296" w:type="dxa"/>
            <w:tcBorders>
              <w:top w:val="nil"/>
              <w:left w:val="nil"/>
              <w:bottom w:val="nil"/>
              <w:right w:val="nil"/>
            </w:tcBorders>
          </w:tcPr>
          <w:p w14:paraId="795D78C2" w14:textId="77777777" w:rsidR="00724C44" w:rsidRPr="00EB4FF5" w:rsidRDefault="00724C44" w:rsidP="00EB4FF5">
            <w:pPr>
              <w:spacing w:after="0" w:line="240" w:lineRule="auto"/>
              <w:jc w:val="both"/>
              <w:rPr>
                <w:sz w:val="22"/>
                <w:szCs w:val="22"/>
              </w:rPr>
            </w:pPr>
            <w:r w:rsidRPr="00EB4FF5">
              <w:rPr>
                <w:sz w:val="22"/>
                <w:szCs w:val="22"/>
              </w:rPr>
              <w:t>66</w:t>
            </w:r>
          </w:p>
        </w:tc>
        <w:tc>
          <w:tcPr>
            <w:tcW w:w="1728" w:type="dxa"/>
            <w:tcBorders>
              <w:top w:val="nil"/>
              <w:left w:val="nil"/>
              <w:bottom w:val="nil"/>
              <w:right w:val="nil"/>
            </w:tcBorders>
          </w:tcPr>
          <w:p w14:paraId="11EEA909" w14:textId="77777777" w:rsidR="00724C44" w:rsidRPr="00EB4FF5" w:rsidRDefault="00724C44" w:rsidP="00EB4FF5">
            <w:pPr>
              <w:spacing w:after="0" w:line="240" w:lineRule="auto"/>
              <w:jc w:val="both"/>
              <w:rPr>
                <w:sz w:val="22"/>
                <w:szCs w:val="22"/>
              </w:rPr>
            </w:pPr>
            <w:r w:rsidRPr="00EB4FF5">
              <w:rPr>
                <w:sz w:val="22"/>
                <w:szCs w:val="22"/>
              </w:rPr>
              <w:t>16.5</w:t>
            </w:r>
          </w:p>
        </w:tc>
      </w:tr>
      <w:tr w:rsidR="00724C44" w:rsidRPr="00724C44" w14:paraId="6D571256" w14:textId="77777777" w:rsidTr="00A5379F">
        <w:tc>
          <w:tcPr>
            <w:tcW w:w="2304" w:type="dxa"/>
            <w:tcBorders>
              <w:top w:val="nil"/>
              <w:left w:val="nil"/>
              <w:bottom w:val="nil"/>
              <w:right w:val="nil"/>
            </w:tcBorders>
          </w:tcPr>
          <w:p w14:paraId="63BD77D9"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6ABB996" w14:textId="77777777" w:rsidR="00724C44" w:rsidRPr="00EB4FF5" w:rsidRDefault="00724C44" w:rsidP="00EB4FF5">
            <w:pPr>
              <w:spacing w:after="0" w:line="240" w:lineRule="auto"/>
              <w:jc w:val="both"/>
              <w:rPr>
                <w:sz w:val="22"/>
                <w:szCs w:val="22"/>
              </w:rPr>
            </w:pPr>
            <w:r w:rsidRPr="00EB4FF5">
              <w:rPr>
                <w:sz w:val="22"/>
                <w:szCs w:val="22"/>
              </w:rPr>
              <w:t>Petrochemical &amp; Chemical</w:t>
            </w:r>
          </w:p>
        </w:tc>
        <w:tc>
          <w:tcPr>
            <w:tcW w:w="1296" w:type="dxa"/>
            <w:tcBorders>
              <w:top w:val="nil"/>
              <w:left w:val="nil"/>
              <w:bottom w:val="nil"/>
              <w:right w:val="nil"/>
            </w:tcBorders>
          </w:tcPr>
          <w:p w14:paraId="34FBB610" w14:textId="77777777" w:rsidR="00724C44" w:rsidRPr="00EB4FF5" w:rsidRDefault="00724C44" w:rsidP="00EB4FF5">
            <w:pPr>
              <w:spacing w:after="0" w:line="240" w:lineRule="auto"/>
              <w:jc w:val="both"/>
              <w:rPr>
                <w:sz w:val="22"/>
                <w:szCs w:val="22"/>
              </w:rPr>
            </w:pPr>
            <w:r w:rsidRPr="00EB4FF5">
              <w:rPr>
                <w:sz w:val="22"/>
                <w:szCs w:val="22"/>
              </w:rPr>
              <w:t>54</w:t>
            </w:r>
          </w:p>
        </w:tc>
        <w:tc>
          <w:tcPr>
            <w:tcW w:w="1728" w:type="dxa"/>
            <w:tcBorders>
              <w:top w:val="nil"/>
              <w:left w:val="nil"/>
              <w:bottom w:val="nil"/>
              <w:right w:val="nil"/>
            </w:tcBorders>
          </w:tcPr>
          <w:p w14:paraId="37846658" w14:textId="77777777" w:rsidR="00724C44" w:rsidRPr="00EB4FF5" w:rsidRDefault="00724C44" w:rsidP="00EB4FF5">
            <w:pPr>
              <w:spacing w:after="0" w:line="240" w:lineRule="auto"/>
              <w:jc w:val="both"/>
              <w:rPr>
                <w:sz w:val="22"/>
                <w:szCs w:val="22"/>
              </w:rPr>
            </w:pPr>
            <w:r w:rsidRPr="00EB4FF5">
              <w:rPr>
                <w:sz w:val="22"/>
                <w:szCs w:val="22"/>
              </w:rPr>
              <w:t>13.5</w:t>
            </w:r>
          </w:p>
        </w:tc>
      </w:tr>
      <w:tr w:rsidR="00724C44" w:rsidRPr="00724C44" w14:paraId="284E3FAD" w14:textId="77777777" w:rsidTr="00A5379F">
        <w:tc>
          <w:tcPr>
            <w:tcW w:w="2304" w:type="dxa"/>
            <w:tcBorders>
              <w:top w:val="nil"/>
              <w:left w:val="nil"/>
              <w:bottom w:val="nil"/>
              <w:right w:val="nil"/>
            </w:tcBorders>
          </w:tcPr>
          <w:p w14:paraId="40675B50"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5826DF75" w14:textId="77777777" w:rsidR="00724C44" w:rsidRPr="00EB4FF5" w:rsidRDefault="00724C44" w:rsidP="00EB4FF5">
            <w:pPr>
              <w:spacing w:after="0" w:line="240" w:lineRule="auto"/>
              <w:jc w:val="both"/>
              <w:rPr>
                <w:sz w:val="22"/>
                <w:szCs w:val="22"/>
              </w:rPr>
            </w:pPr>
            <w:r w:rsidRPr="00EB4FF5">
              <w:rPr>
                <w:sz w:val="22"/>
                <w:szCs w:val="22"/>
              </w:rPr>
              <w:t>Rubber &amp; Plastics</w:t>
            </w:r>
          </w:p>
        </w:tc>
        <w:tc>
          <w:tcPr>
            <w:tcW w:w="1296" w:type="dxa"/>
            <w:tcBorders>
              <w:top w:val="nil"/>
              <w:left w:val="nil"/>
              <w:bottom w:val="nil"/>
              <w:right w:val="nil"/>
            </w:tcBorders>
          </w:tcPr>
          <w:p w14:paraId="66576BB6" w14:textId="77777777" w:rsidR="00724C44" w:rsidRPr="00EB4FF5" w:rsidRDefault="00724C44" w:rsidP="00EB4FF5">
            <w:pPr>
              <w:spacing w:after="0" w:line="240" w:lineRule="auto"/>
              <w:jc w:val="both"/>
              <w:rPr>
                <w:sz w:val="22"/>
                <w:szCs w:val="22"/>
              </w:rPr>
            </w:pPr>
            <w:r w:rsidRPr="00EB4FF5">
              <w:rPr>
                <w:sz w:val="22"/>
                <w:szCs w:val="22"/>
              </w:rPr>
              <w:t>51</w:t>
            </w:r>
          </w:p>
        </w:tc>
        <w:tc>
          <w:tcPr>
            <w:tcW w:w="1728" w:type="dxa"/>
            <w:tcBorders>
              <w:top w:val="nil"/>
              <w:left w:val="nil"/>
              <w:bottom w:val="nil"/>
              <w:right w:val="nil"/>
            </w:tcBorders>
          </w:tcPr>
          <w:p w14:paraId="42CC07A6" w14:textId="77777777" w:rsidR="00724C44" w:rsidRPr="00EB4FF5" w:rsidRDefault="00724C44" w:rsidP="00EB4FF5">
            <w:pPr>
              <w:spacing w:after="0" w:line="240" w:lineRule="auto"/>
              <w:jc w:val="both"/>
              <w:rPr>
                <w:sz w:val="22"/>
                <w:szCs w:val="22"/>
              </w:rPr>
            </w:pPr>
            <w:r w:rsidRPr="00EB4FF5">
              <w:rPr>
                <w:sz w:val="22"/>
                <w:szCs w:val="22"/>
              </w:rPr>
              <w:t>12.8</w:t>
            </w:r>
          </w:p>
        </w:tc>
      </w:tr>
      <w:tr w:rsidR="00724C44" w:rsidRPr="00724C44" w14:paraId="67961016" w14:textId="77777777" w:rsidTr="00A5379F">
        <w:tc>
          <w:tcPr>
            <w:tcW w:w="2304" w:type="dxa"/>
            <w:tcBorders>
              <w:top w:val="nil"/>
              <w:left w:val="nil"/>
              <w:bottom w:val="nil"/>
              <w:right w:val="nil"/>
            </w:tcBorders>
          </w:tcPr>
          <w:p w14:paraId="5CED978D"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21DBF5E9" w14:textId="77777777" w:rsidR="00724C44" w:rsidRPr="00EB4FF5" w:rsidRDefault="00724C44" w:rsidP="00EB4FF5">
            <w:pPr>
              <w:spacing w:after="0" w:line="240" w:lineRule="auto"/>
              <w:jc w:val="both"/>
              <w:rPr>
                <w:sz w:val="22"/>
                <w:szCs w:val="22"/>
              </w:rPr>
            </w:pPr>
            <w:r w:rsidRPr="00EB4FF5">
              <w:rPr>
                <w:sz w:val="22"/>
                <w:szCs w:val="22"/>
              </w:rPr>
              <w:t>Machinery &amp; Equipment</w:t>
            </w:r>
          </w:p>
        </w:tc>
        <w:tc>
          <w:tcPr>
            <w:tcW w:w="1296" w:type="dxa"/>
            <w:tcBorders>
              <w:top w:val="nil"/>
              <w:left w:val="nil"/>
              <w:bottom w:val="nil"/>
              <w:right w:val="nil"/>
            </w:tcBorders>
          </w:tcPr>
          <w:p w14:paraId="0E759E86" w14:textId="77777777" w:rsidR="00724C44" w:rsidRPr="00EB4FF5" w:rsidRDefault="00724C44" w:rsidP="00EB4FF5">
            <w:pPr>
              <w:spacing w:after="0" w:line="240" w:lineRule="auto"/>
              <w:jc w:val="both"/>
              <w:rPr>
                <w:sz w:val="22"/>
                <w:szCs w:val="22"/>
              </w:rPr>
            </w:pPr>
            <w:r w:rsidRPr="00EB4FF5">
              <w:rPr>
                <w:sz w:val="22"/>
                <w:szCs w:val="22"/>
              </w:rPr>
              <w:t>63</w:t>
            </w:r>
          </w:p>
        </w:tc>
        <w:tc>
          <w:tcPr>
            <w:tcW w:w="1728" w:type="dxa"/>
            <w:tcBorders>
              <w:top w:val="nil"/>
              <w:left w:val="nil"/>
              <w:bottom w:val="nil"/>
              <w:right w:val="nil"/>
            </w:tcBorders>
          </w:tcPr>
          <w:p w14:paraId="514F3AF8" w14:textId="77777777" w:rsidR="00724C44" w:rsidRPr="00EB4FF5" w:rsidRDefault="00724C44" w:rsidP="00EB4FF5">
            <w:pPr>
              <w:spacing w:after="0" w:line="240" w:lineRule="auto"/>
              <w:jc w:val="both"/>
              <w:rPr>
                <w:sz w:val="22"/>
                <w:szCs w:val="22"/>
              </w:rPr>
            </w:pPr>
            <w:r w:rsidRPr="00EB4FF5">
              <w:rPr>
                <w:sz w:val="22"/>
                <w:szCs w:val="22"/>
              </w:rPr>
              <w:t>15.8</w:t>
            </w:r>
          </w:p>
        </w:tc>
      </w:tr>
      <w:tr w:rsidR="00724C44" w:rsidRPr="00724C44" w14:paraId="0725DCDD" w14:textId="77777777" w:rsidTr="00A5379F">
        <w:tc>
          <w:tcPr>
            <w:tcW w:w="2304" w:type="dxa"/>
            <w:tcBorders>
              <w:top w:val="nil"/>
              <w:left w:val="nil"/>
              <w:bottom w:val="nil"/>
              <w:right w:val="nil"/>
            </w:tcBorders>
          </w:tcPr>
          <w:p w14:paraId="02F40D96"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67B9F50D" w14:textId="77777777" w:rsidR="00724C44" w:rsidRPr="00EB4FF5" w:rsidRDefault="00724C44" w:rsidP="00EB4FF5">
            <w:pPr>
              <w:spacing w:after="0" w:line="240" w:lineRule="auto"/>
              <w:jc w:val="both"/>
              <w:rPr>
                <w:sz w:val="22"/>
                <w:szCs w:val="22"/>
              </w:rPr>
            </w:pPr>
            <w:proofErr w:type="gramStart"/>
            <w:r w:rsidRPr="00EB4FF5">
              <w:rPr>
                <w:sz w:val="22"/>
                <w:szCs w:val="22"/>
              </w:rPr>
              <w:t>Metals</w:t>
            </w:r>
            <w:proofErr w:type="gramEnd"/>
            <w:r w:rsidRPr="00EB4FF5">
              <w:rPr>
                <w:sz w:val="22"/>
                <w:szCs w:val="22"/>
              </w:rPr>
              <w:t xml:space="preserve"> &amp; Metal Products</w:t>
            </w:r>
          </w:p>
        </w:tc>
        <w:tc>
          <w:tcPr>
            <w:tcW w:w="1296" w:type="dxa"/>
            <w:tcBorders>
              <w:top w:val="nil"/>
              <w:left w:val="nil"/>
              <w:bottom w:val="nil"/>
              <w:right w:val="nil"/>
            </w:tcBorders>
          </w:tcPr>
          <w:p w14:paraId="63FAF174" w14:textId="77777777" w:rsidR="00724C44" w:rsidRPr="00EB4FF5" w:rsidRDefault="00724C44" w:rsidP="00EB4FF5">
            <w:pPr>
              <w:spacing w:after="0" w:line="240" w:lineRule="auto"/>
              <w:jc w:val="both"/>
              <w:rPr>
                <w:sz w:val="22"/>
                <w:szCs w:val="22"/>
              </w:rPr>
            </w:pPr>
            <w:r w:rsidRPr="00EB4FF5">
              <w:rPr>
                <w:sz w:val="22"/>
                <w:szCs w:val="22"/>
              </w:rPr>
              <w:t>60</w:t>
            </w:r>
          </w:p>
        </w:tc>
        <w:tc>
          <w:tcPr>
            <w:tcW w:w="1728" w:type="dxa"/>
            <w:tcBorders>
              <w:top w:val="nil"/>
              <w:left w:val="nil"/>
              <w:bottom w:val="nil"/>
              <w:right w:val="nil"/>
            </w:tcBorders>
          </w:tcPr>
          <w:p w14:paraId="2D0DD80B" w14:textId="77777777" w:rsidR="00724C44" w:rsidRPr="00EB4FF5" w:rsidRDefault="00724C44" w:rsidP="00EB4FF5">
            <w:pPr>
              <w:spacing w:after="0" w:line="240" w:lineRule="auto"/>
              <w:jc w:val="both"/>
              <w:rPr>
                <w:sz w:val="22"/>
                <w:szCs w:val="22"/>
              </w:rPr>
            </w:pPr>
            <w:r w:rsidRPr="00EB4FF5">
              <w:rPr>
                <w:sz w:val="22"/>
                <w:szCs w:val="22"/>
              </w:rPr>
              <w:t>15.0</w:t>
            </w:r>
          </w:p>
        </w:tc>
      </w:tr>
      <w:tr w:rsidR="00724C44" w:rsidRPr="00724C44" w14:paraId="572977CD" w14:textId="77777777" w:rsidTr="00A5379F">
        <w:tc>
          <w:tcPr>
            <w:tcW w:w="2304" w:type="dxa"/>
            <w:tcBorders>
              <w:top w:val="nil"/>
              <w:left w:val="nil"/>
              <w:bottom w:val="nil"/>
              <w:right w:val="nil"/>
            </w:tcBorders>
          </w:tcPr>
          <w:p w14:paraId="5296CCF8"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E423941" w14:textId="77777777" w:rsidR="00724C44" w:rsidRPr="00EB4FF5" w:rsidRDefault="00724C44" w:rsidP="00EB4FF5">
            <w:pPr>
              <w:spacing w:after="0" w:line="240" w:lineRule="auto"/>
              <w:jc w:val="both"/>
              <w:rPr>
                <w:sz w:val="22"/>
                <w:szCs w:val="22"/>
              </w:rPr>
            </w:pPr>
            <w:r w:rsidRPr="00EB4FF5">
              <w:rPr>
                <w:sz w:val="22"/>
                <w:szCs w:val="22"/>
              </w:rPr>
              <w:t>Other Manufacturing</w:t>
            </w:r>
          </w:p>
        </w:tc>
        <w:tc>
          <w:tcPr>
            <w:tcW w:w="1296" w:type="dxa"/>
            <w:tcBorders>
              <w:top w:val="nil"/>
              <w:left w:val="nil"/>
              <w:bottom w:val="nil"/>
              <w:right w:val="nil"/>
            </w:tcBorders>
          </w:tcPr>
          <w:p w14:paraId="4D9B79C9" w14:textId="77777777" w:rsidR="00724C44" w:rsidRPr="00EB4FF5" w:rsidRDefault="00724C44" w:rsidP="00EB4FF5">
            <w:pPr>
              <w:spacing w:after="0" w:line="240" w:lineRule="auto"/>
              <w:jc w:val="both"/>
              <w:rPr>
                <w:sz w:val="22"/>
                <w:szCs w:val="22"/>
              </w:rPr>
            </w:pPr>
            <w:r w:rsidRPr="00EB4FF5">
              <w:rPr>
                <w:sz w:val="22"/>
                <w:szCs w:val="22"/>
              </w:rPr>
              <w:t>17</w:t>
            </w:r>
          </w:p>
        </w:tc>
        <w:tc>
          <w:tcPr>
            <w:tcW w:w="1728" w:type="dxa"/>
            <w:tcBorders>
              <w:top w:val="nil"/>
              <w:left w:val="nil"/>
              <w:bottom w:val="nil"/>
              <w:right w:val="nil"/>
            </w:tcBorders>
          </w:tcPr>
          <w:p w14:paraId="609BE192" w14:textId="77777777" w:rsidR="00724C44" w:rsidRPr="00EB4FF5" w:rsidRDefault="00724C44" w:rsidP="00EB4FF5">
            <w:pPr>
              <w:spacing w:after="0" w:line="240" w:lineRule="auto"/>
              <w:jc w:val="both"/>
              <w:rPr>
                <w:sz w:val="22"/>
                <w:szCs w:val="22"/>
              </w:rPr>
            </w:pPr>
            <w:r w:rsidRPr="00EB4FF5">
              <w:rPr>
                <w:sz w:val="22"/>
                <w:szCs w:val="22"/>
              </w:rPr>
              <w:t>4.3</w:t>
            </w:r>
          </w:p>
        </w:tc>
      </w:tr>
      <w:tr w:rsidR="00724C44" w:rsidRPr="00724C44" w14:paraId="5650E966" w14:textId="77777777" w:rsidTr="00A5379F">
        <w:tc>
          <w:tcPr>
            <w:tcW w:w="2304" w:type="dxa"/>
            <w:tcBorders>
              <w:top w:val="nil"/>
              <w:left w:val="nil"/>
              <w:bottom w:val="nil"/>
              <w:right w:val="nil"/>
            </w:tcBorders>
          </w:tcPr>
          <w:p w14:paraId="6CE5E489" w14:textId="77777777" w:rsidR="00724C44" w:rsidRPr="00EB4FF5" w:rsidRDefault="00724C44" w:rsidP="00EB4FF5">
            <w:pPr>
              <w:spacing w:after="0" w:line="240" w:lineRule="auto"/>
              <w:jc w:val="both"/>
              <w:rPr>
                <w:sz w:val="22"/>
                <w:szCs w:val="22"/>
              </w:rPr>
            </w:pPr>
            <w:r w:rsidRPr="00EB4FF5">
              <w:rPr>
                <w:sz w:val="22"/>
                <w:szCs w:val="22"/>
              </w:rPr>
              <w:t>Employee Count</w:t>
            </w:r>
          </w:p>
        </w:tc>
        <w:tc>
          <w:tcPr>
            <w:tcW w:w="3888" w:type="dxa"/>
            <w:tcBorders>
              <w:top w:val="nil"/>
              <w:left w:val="nil"/>
              <w:bottom w:val="nil"/>
              <w:right w:val="nil"/>
            </w:tcBorders>
          </w:tcPr>
          <w:p w14:paraId="4A7D5FA5" w14:textId="77777777" w:rsidR="00724C44" w:rsidRPr="00EB4FF5" w:rsidRDefault="00724C44" w:rsidP="00EB4FF5">
            <w:pPr>
              <w:spacing w:after="0" w:line="240" w:lineRule="auto"/>
              <w:jc w:val="both"/>
              <w:rPr>
                <w:sz w:val="22"/>
                <w:szCs w:val="22"/>
              </w:rPr>
            </w:pPr>
            <w:r w:rsidRPr="00EB4FF5">
              <w:rPr>
                <w:sz w:val="22"/>
                <w:szCs w:val="22"/>
              </w:rPr>
              <w:t>Less than 50 employees</w:t>
            </w:r>
          </w:p>
        </w:tc>
        <w:tc>
          <w:tcPr>
            <w:tcW w:w="1296" w:type="dxa"/>
            <w:tcBorders>
              <w:top w:val="nil"/>
              <w:left w:val="nil"/>
              <w:bottom w:val="nil"/>
              <w:right w:val="nil"/>
            </w:tcBorders>
          </w:tcPr>
          <w:p w14:paraId="46CB0ACB" w14:textId="77777777" w:rsidR="00724C44" w:rsidRPr="00EB4FF5" w:rsidRDefault="00724C44" w:rsidP="00EB4FF5">
            <w:pPr>
              <w:spacing w:after="0" w:line="240" w:lineRule="auto"/>
              <w:jc w:val="both"/>
              <w:rPr>
                <w:sz w:val="22"/>
                <w:szCs w:val="22"/>
              </w:rPr>
            </w:pPr>
            <w:r w:rsidRPr="00EB4FF5">
              <w:rPr>
                <w:sz w:val="22"/>
                <w:szCs w:val="22"/>
              </w:rPr>
              <w:t>22</w:t>
            </w:r>
          </w:p>
        </w:tc>
        <w:tc>
          <w:tcPr>
            <w:tcW w:w="1728" w:type="dxa"/>
            <w:tcBorders>
              <w:top w:val="nil"/>
              <w:left w:val="nil"/>
              <w:bottom w:val="nil"/>
              <w:right w:val="nil"/>
            </w:tcBorders>
          </w:tcPr>
          <w:p w14:paraId="7669DD04" w14:textId="77777777" w:rsidR="00724C44" w:rsidRPr="00EB4FF5" w:rsidRDefault="00724C44" w:rsidP="00EB4FF5">
            <w:pPr>
              <w:spacing w:after="0" w:line="240" w:lineRule="auto"/>
              <w:jc w:val="both"/>
              <w:rPr>
                <w:sz w:val="22"/>
                <w:szCs w:val="22"/>
              </w:rPr>
            </w:pPr>
            <w:r w:rsidRPr="00EB4FF5">
              <w:rPr>
                <w:sz w:val="22"/>
                <w:szCs w:val="22"/>
              </w:rPr>
              <w:t>5.5</w:t>
            </w:r>
          </w:p>
        </w:tc>
      </w:tr>
      <w:tr w:rsidR="00724C44" w:rsidRPr="00724C44" w14:paraId="5D78676E" w14:textId="77777777" w:rsidTr="00A5379F">
        <w:tc>
          <w:tcPr>
            <w:tcW w:w="2304" w:type="dxa"/>
            <w:tcBorders>
              <w:top w:val="nil"/>
              <w:left w:val="nil"/>
              <w:bottom w:val="nil"/>
              <w:right w:val="nil"/>
            </w:tcBorders>
          </w:tcPr>
          <w:p w14:paraId="7916CD23"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AC8A4CF" w14:textId="77777777" w:rsidR="00724C44" w:rsidRPr="00EB4FF5" w:rsidRDefault="00724C44" w:rsidP="00EB4FF5">
            <w:pPr>
              <w:spacing w:after="0" w:line="240" w:lineRule="auto"/>
              <w:jc w:val="both"/>
              <w:rPr>
                <w:sz w:val="22"/>
                <w:szCs w:val="22"/>
              </w:rPr>
            </w:pPr>
            <w:r w:rsidRPr="00EB4FF5">
              <w:rPr>
                <w:sz w:val="22"/>
                <w:szCs w:val="22"/>
              </w:rPr>
              <w:t>50-199 employees</w:t>
            </w:r>
          </w:p>
        </w:tc>
        <w:tc>
          <w:tcPr>
            <w:tcW w:w="1296" w:type="dxa"/>
            <w:tcBorders>
              <w:top w:val="nil"/>
              <w:left w:val="nil"/>
              <w:bottom w:val="nil"/>
              <w:right w:val="nil"/>
            </w:tcBorders>
          </w:tcPr>
          <w:p w14:paraId="7E678504" w14:textId="77777777" w:rsidR="00724C44" w:rsidRPr="00EB4FF5" w:rsidRDefault="00724C44" w:rsidP="00EB4FF5">
            <w:pPr>
              <w:spacing w:after="0" w:line="240" w:lineRule="auto"/>
              <w:jc w:val="both"/>
              <w:rPr>
                <w:sz w:val="22"/>
                <w:szCs w:val="22"/>
              </w:rPr>
            </w:pPr>
            <w:r w:rsidRPr="00EB4FF5">
              <w:rPr>
                <w:sz w:val="22"/>
                <w:szCs w:val="22"/>
              </w:rPr>
              <w:t>58</w:t>
            </w:r>
          </w:p>
        </w:tc>
        <w:tc>
          <w:tcPr>
            <w:tcW w:w="1728" w:type="dxa"/>
            <w:tcBorders>
              <w:top w:val="nil"/>
              <w:left w:val="nil"/>
              <w:bottom w:val="nil"/>
              <w:right w:val="nil"/>
            </w:tcBorders>
          </w:tcPr>
          <w:p w14:paraId="6466F957" w14:textId="77777777" w:rsidR="00724C44" w:rsidRPr="00EB4FF5" w:rsidRDefault="00724C44" w:rsidP="00EB4FF5">
            <w:pPr>
              <w:spacing w:after="0" w:line="240" w:lineRule="auto"/>
              <w:jc w:val="both"/>
              <w:rPr>
                <w:sz w:val="22"/>
                <w:szCs w:val="22"/>
              </w:rPr>
            </w:pPr>
            <w:r w:rsidRPr="00EB4FF5">
              <w:rPr>
                <w:sz w:val="22"/>
                <w:szCs w:val="22"/>
              </w:rPr>
              <w:t>14.5</w:t>
            </w:r>
          </w:p>
        </w:tc>
      </w:tr>
      <w:tr w:rsidR="00724C44" w:rsidRPr="00724C44" w14:paraId="54631D98" w14:textId="77777777" w:rsidTr="00A5379F">
        <w:tc>
          <w:tcPr>
            <w:tcW w:w="2304" w:type="dxa"/>
            <w:tcBorders>
              <w:top w:val="nil"/>
              <w:left w:val="nil"/>
              <w:bottom w:val="nil"/>
              <w:right w:val="nil"/>
            </w:tcBorders>
          </w:tcPr>
          <w:p w14:paraId="6F24C538"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0AEE283" w14:textId="77777777" w:rsidR="00724C44" w:rsidRPr="00EB4FF5" w:rsidRDefault="00724C44" w:rsidP="00EB4FF5">
            <w:pPr>
              <w:spacing w:after="0" w:line="240" w:lineRule="auto"/>
              <w:jc w:val="both"/>
              <w:rPr>
                <w:sz w:val="22"/>
                <w:szCs w:val="22"/>
              </w:rPr>
            </w:pPr>
            <w:r w:rsidRPr="00EB4FF5">
              <w:rPr>
                <w:sz w:val="22"/>
                <w:szCs w:val="22"/>
              </w:rPr>
              <w:t>200-499 employees</w:t>
            </w:r>
          </w:p>
        </w:tc>
        <w:tc>
          <w:tcPr>
            <w:tcW w:w="1296" w:type="dxa"/>
            <w:tcBorders>
              <w:top w:val="nil"/>
              <w:left w:val="nil"/>
              <w:bottom w:val="nil"/>
              <w:right w:val="nil"/>
            </w:tcBorders>
          </w:tcPr>
          <w:p w14:paraId="0034AE76" w14:textId="77777777" w:rsidR="00724C44" w:rsidRPr="00EB4FF5" w:rsidRDefault="00724C44" w:rsidP="00EB4FF5">
            <w:pPr>
              <w:spacing w:after="0" w:line="240" w:lineRule="auto"/>
              <w:jc w:val="both"/>
              <w:rPr>
                <w:sz w:val="22"/>
                <w:szCs w:val="22"/>
              </w:rPr>
            </w:pPr>
            <w:r w:rsidRPr="00EB4FF5">
              <w:rPr>
                <w:sz w:val="22"/>
                <w:szCs w:val="22"/>
              </w:rPr>
              <w:t>116</w:t>
            </w:r>
          </w:p>
        </w:tc>
        <w:tc>
          <w:tcPr>
            <w:tcW w:w="1728" w:type="dxa"/>
            <w:tcBorders>
              <w:top w:val="nil"/>
              <w:left w:val="nil"/>
              <w:bottom w:val="nil"/>
              <w:right w:val="nil"/>
            </w:tcBorders>
          </w:tcPr>
          <w:p w14:paraId="00158384" w14:textId="77777777" w:rsidR="00724C44" w:rsidRPr="00EB4FF5" w:rsidRDefault="00724C44" w:rsidP="00EB4FF5">
            <w:pPr>
              <w:spacing w:after="0" w:line="240" w:lineRule="auto"/>
              <w:jc w:val="both"/>
              <w:rPr>
                <w:sz w:val="22"/>
                <w:szCs w:val="22"/>
              </w:rPr>
            </w:pPr>
            <w:r w:rsidRPr="00EB4FF5">
              <w:rPr>
                <w:sz w:val="22"/>
                <w:szCs w:val="22"/>
              </w:rPr>
              <w:t>29.0</w:t>
            </w:r>
          </w:p>
        </w:tc>
      </w:tr>
      <w:tr w:rsidR="00724C44" w:rsidRPr="00724C44" w14:paraId="5B95D5F4" w14:textId="77777777" w:rsidTr="00A5379F">
        <w:tc>
          <w:tcPr>
            <w:tcW w:w="2304" w:type="dxa"/>
            <w:tcBorders>
              <w:top w:val="nil"/>
              <w:left w:val="nil"/>
              <w:bottom w:val="nil"/>
              <w:right w:val="nil"/>
            </w:tcBorders>
          </w:tcPr>
          <w:p w14:paraId="797332BC"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536E4AA9" w14:textId="77777777" w:rsidR="00724C44" w:rsidRPr="00EB4FF5" w:rsidRDefault="00724C44" w:rsidP="00EB4FF5">
            <w:pPr>
              <w:spacing w:after="0" w:line="240" w:lineRule="auto"/>
              <w:jc w:val="both"/>
              <w:rPr>
                <w:sz w:val="22"/>
                <w:szCs w:val="22"/>
              </w:rPr>
            </w:pPr>
            <w:r w:rsidRPr="00EB4FF5">
              <w:rPr>
                <w:sz w:val="22"/>
                <w:szCs w:val="22"/>
              </w:rPr>
              <w:t>500-999 employees</w:t>
            </w:r>
          </w:p>
        </w:tc>
        <w:tc>
          <w:tcPr>
            <w:tcW w:w="1296" w:type="dxa"/>
            <w:tcBorders>
              <w:top w:val="nil"/>
              <w:left w:val="nil"/>
              <w:bottom w:val="nil"/>
              <w:right w:val="nil"/>
            </w:tcBorders>
          </w:tcPr>
          <w:p w14:paraId="493312AE" w14:textId="77777777" w:rsidR="00724C44" w:rsidRPr="00EB4FF5" w:rsidRDefault="00724C44" w:rsidP="00EB4FF5">
            <w:pPr>
              <w:spacing w:after="0" w:line="240" w:lineRule="auto"/>
              <w:jc w:val="both"/>
              <w:rPr>
                <w:sz w:val="22"/>
                <w:szCs w:val="22"/>
              </w:rPr>
            </w:pPr>
            <w:r w:rsidRPr="00EB4FF5">
              <w:rPr>
                <w:sz w:val="22"/>
                <w:szCs w:val="22"/>
              </w:rPr>
              <w:t>103</w:t>
            </w:r>
          </w:p>
        </w:tc>
        <w:tc>
          <w:tcPr>
            <w:tcW w:w="1728" w:type="dxa"/>
            <w:tcBorders>
              <w:top w:val="nil"/>
              <w:left w:val="nil"/>
              <w:bottom w:val="nil"/>
              <w:right w:val="nil"/>
            </w:tcBorders>
          </w:tcPr>
          <w:p w14:paraId="47607C85" w14:textId="77777777" w:rsidR="00724C44" w:rsidRPr="00EB4FF5" w:rsidRDefault="00724C44" w:rsidP="00EB4FF5">
            <w:pPr>
              <w:spacing w:after="0" w:line="240" w:lineRule="auto"/>
              <w:jc w:val="both"/>
              <w:rPr>
                <w:sz w:val="22"/>
                <w:szCs w:val="22"/>
              </w:rPr>
            </w:pPr>
            <w:r w:rsidRPr="00EB4FF5">
              <w:rPr>
                <w:sz w:val="22"/>
                <w:szCs w:val="22"/>
              </w:rPr>
              <w:t>25.8</w:t>
            </w:r>
          </w:p>
        </w:tc>
      </w:tr>
      <w:tr w:rsidR="00724C44" w:rsidRPr="00724C44" w14:paraId="53A503CA" w14:textId="77777777" w:rsidTr="00A5379F">
        <w:tc>
          <w:tcPr>
            <w:tcW w:w="2304" w:type="dxa"/>
            <w:tcBorders>
              <w:top w:val="nil"/>
              <w:left w:val="nil"/>
              <w:bottom w:val="nil"/>
              <w:right w:val="nil"/>
            </w:tcBorders>
          </w:tcPr>
          <w:p w14:paraId="1E3DD11A"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448B95A8" w14:textId="77777777" w:rsidR="00724C44" w:rsidRPr="00EB4FF5" w:rsidRDefault="00724C44" w:rsidP="00EB4FF5">
            <w:pPr>
              <w:spacing w:after="0" w:line="240" w:lineRule="auto"/>
              <w:jc w:val="both"/>
              <w:rPr>
                <w:sz w:val="22"/>
                <w:szCs w:val="22"/>
              </w:rPr>
            </w:pPr>
            <w:r w:rsidRPr="00EB4FF5">
              <w:rPr>
                <w:sz w:val="22"/>
                <w:szCs w:val="22"/>
              </w:rPr>
              <w:t>1,000-4,999 employees</w:t>
            </w:r>
          </w:p>
        </w:tc>
        <w:tc>
          <w:tcPr>
            <w:tcW w:w="1296" w:type="dxa"/>
            <w:tcBorders>
              <w:top w:val="nil"/>
              <w:left w:val="nil"/>
              <w:bottom w:val="nil"/>
              <w:right w:val="nil"/>
            </w:tcBorders>
          </w:tcPr>
          <w:p w14:paraId="39F92540" w14:textId="77777777" w:rsidR="00724C44" w:rsidRPr="00EB4FF5" w:rsidRDefault="00724C44" w:rsidP="00EB4FF5">
            <w:pPr>
              <w:spacing w:after="0" w:line="240" w:lineRule="auto"/>
              <w:jc w:val="both"/>
              <w:rPr>
                <w:sz w:val="22"/>
                <w:szCs w:val="22"/>
              </w:rPr>
            </w:pPr>
            <w:r w:rsidRPr="00EB4FF5">
              <w:rPr>
                <w:sz w:val="22"/>
                <w:szCs w:val="22"/>
              </w:rPr>
              <w:t>68</w:t>
            </w:r>
          </w:p>
        </w:tc>
        <w:tc>
          <w:tcPr>
            <w:tcW w:w="1728" w:type="dxa"/>
            <w:tcBorders>
              <w:top w:val="nil"/>
              <w:left w:val="nil"/>
              <w:bottom w:val="nil"/>
              <w:right w:val="nil"/>
            </w:tcBorders>
          </w:tcPr>
          <w:p w14:paraId="2616CC36" w14:textId="77777777" w:rsidR="00724C44" w:rsidRPr="00EB4FF5" w:rsidRDefault="00724C44" w:rsidP="00EB4FF5">
            <w:pPr>
              <w:spacing w:after="0" w:line="240" w:lineRule="auto"/>
              <w:jc w:val="both"/>
              <w:rPr>
                <w:sz w:val="22"/>
                <w:szCs w:val="22"/>
              </w:rPr>
            </w:pPr>
            <w:r w:rsidRPr="00EB4FF5">
              <w:rPr>
                <w:sz w:val="22"/>
                <w:szCs w:val="22"/>
              </w:rPr>
              <w:t>17.0</w:t>
            </w:r>
          </w:p>
        </w:tc>
      </w:tr>
      <w:tr w:rsidR="00724C44" w:rsidRPr="00724C44" w14:paraId="62099F63" w14:textId="77777777" w:rsidTr="00A5379F">
        <w:tc>
          <w:tcPr>
            <w:tcW w:w="2304" w:type="dxa"/>
            <w:tcBorders>
              <w:top w:val="nil"/>
              <w:left w:val="nil"/>
              <w:bottom w:val="nil"/>
              <w:right w:val="nil"/>
            </w:tcBorders>
          </w:tcPr>
          <w:p w14:paraId="7C8F43DB"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1F2B22D8" w14:textId="77777777" w:rsidR="00724C44" w:rsidRPr="00EB4FF5" w:rsidRDefault="00724C44" w:rsidP="00EB4FF5">
            <w:pPr>
              <w:spacing w:after="0" w:line="240" w:lineRule="auto"/>
              <w:jc w:val="both"/>
              <w:rPr>
                <w:sz w:val="22"/>
                <w:szCs w:val="22"/>
              </w:rPr>
            </w:pPr>
            <w:r w:rsidRPr="00EB4FF5">
              <w:rPr>
                <w:sz w:val="22"/>
                <w:szCs w:val="22"/>
              </w:rPr>
              <w:t>5,000 or more employees</w:t>
            </w:r>
          </w:p>
        </w:tc>
        <w:tc>
          <w:tcPr>
            <w:tcW w:w="1296" w:type="dxa"/>
            <w:tcBorders>
              <w:top w:val="nil"/>
              <w:left w:val="nil"/>
              <w:bottom w:val="nil"/>
              <w:right w:val="nil"/>
            </w:tcBorders>
          </w:tcPr>
          <w:p w14:paraId="54E47CBA" w14:textId="77777777" w:rsidR="00724C44" w:rsidRPr="00EB4FF5" w:rsidRDefault="00724C44" w:rsidP="00EB4FF5">
            <w:pPr>
              <w:spacing w:after="0" w:line="240" w:lineRule="auto"/>
              <w:jc w:val="both"/>
              <w:rPr>
                <w:sz w:val="22"/>
                <w:szCs w:val="22"/>
              </w:rPr>
            </w:pPr>
            <w:r w:rsidRPr="00EB4FF5">
              <w:rPr>
                <w:sz w:val="22"/>
                <w:szCs w:val="22"/>
              </w:rPr>
              <w:t>33</w:t>
            </w:r>
          </w:p>
        </w:tc>
        <w:tc>
          <w:tcPr>
            <w:tcW w:w="1728" w:type="dxa"/>
            <w:tcBorders>
              <w:top w:val="nil"/>
              <w:left w:val="nil"/>
              <w:bottom w:val="nil"/>
              <w:right w:val="nil"/>
            </w:tcBorders>
          </w:tcPr>
          <w:p w14:paraId="5C91D79E" w14:textId="77777777" w:rsidR="00724C44" w:rsidRPr="00EB4FF5" w:rsidRDefault="00724C44" w:rsidP="00EB4FF5">
            <w:pPr>
              <w:spacing w:after="0" w:line="240" w:lineRule="auto"/>
              <w:jc w:val="both"/>
              <w:rPr>
                <w:sz w:val="22"/>
                <w:szCs w:val="22"/>
              </w:rPr>
            </w:pPr>
            <w:r w:rsidRPr="00EB4FF5">
              <w:rPr>
                <w:sz w:val="22"/>
                <w:szCs w:val="22"/>
              </w:rPr>
              <w:t>8.3</w:t>
            </w:r>
          </w:p>
        </w:tc>
      </w:tr>
      <w:tr w:rsidR="00724C44" w:rsidRPr="00724C44" w14:paraId="36B40509" w14:textId="77777777" w:rsidTr="00A5379F">
        <w:tc>
          <w:tcPr>
            <w:tcW w:w="2304" w:type="dxa"/>
            <w:tcBorders>
              <w:top w:val="nil"/>
              <w:left w:val="nil"/>
              <w:bottom w:val="nil"/>
              <w:right w:val="nil"/>
            </w:tcBorders>
          </w:tcPr>
          <w:p w14:paraId="263494C0" w14:textId="77777777" w:rsidR="00724C44" w:rsidRPr="00EB4FF5" w:rsidRDefault="00724C44" w:rsidP="00EB4FF5">
            <w:pPr>
              <w:spacing w:after="0" w:line="240" w:lineRule="auto"/>
              <w:jc w:val="both"/>
              <w:rPr>
                <w:sz w:val="22"/>
                <w:szCs w:val="22"/>
              </w:rPr>
            </w:pPr>
            <w:r w:rsidRPr="00EB4FF5">
              <w:rPr>
                <w:sz w:val="22"/>
                <w:szCs w:val="22"/>
              </w:rPr>
              <w:t>Ownership Structure</w:t>
            </w:r>
          </w:p>
        </w:tc>
        <w:tc>
          <w:tcPr>
            <w:tcW w:w="3888" w:type="dxa"/>
            <w:tcBorders>
              <w:top w:val="nil"/>
              <w:left w:val="nil"/>
              <w:bottom w:val="nil"/>
              <w:right w:val="nil"/>
            </w:tcBorders>
          </w:tcPr>
          <w:p w14:paraId="4A3B3FEC" w14:textId="77777777" w:rsidR="00724C44" w:rsidRPr="00EB4FF5" w:rsidRDefault="00724C44" w:rsidP="00EB4FF5">
            <w:pPr>
              <w:spacing w:after="0" w:line="240" w:lineRule="auto"/>
              <w:jc w:val="both"/>
              <w:rPr>
                <w:sz w:val="22"/>
                <w:szCs w:val="22"/>
              </w:rPr>
            </w:pPr>
            <w:r w:rsidRPr="00EB4FF5">
              <w:rPr>
                <w:sz w:val="22"/>
                <w:szCs w:val="22"/>
              </w:rPr>
              <w:t>Thai-owned private</w:t>
            </w:r>
          </w:p>
        </w:tc>
        <w:tc>
          <w:tcPr>
            <w:tcW w:w="1296" w:type="dxa"/>
            <w:tcBorders>
              <w:top w:val="nil"/>
              <w:left w:val="nil"/>
              <w:bottom w:val="nil"/>
              <w:right w:val="nil"/>
            </w:tcBorders>
          </w:tcPr>
          <w:p w14:paraId="5E102716" w14:textId="77777777" w:rsidR="00724C44" w:rsidRPr="00EB4FF5" w:rsidRDefault="00724C44" w:rsidP="00EB4FF5">
            <w:pPr>
              <w:spacing w:after="0" w:line="240" w:lineRule="auto"/>
              <w:jc w:val="both"/>
              <w:rPr>
                <w:sz w:val="22"/>
                <w:szCs w:val="22"/>
              </w:rPr>
            </w:pPr>
            <w:r w:rsidRPr="00EB4FF5">
              <w:rPr>
                <w:sz w:val="22"/>
                <w:szCs w:val="22"/>
              </w:rPr>
              <w:t>68</w:t>
            </w:r>
          </w:p>
        </w:tc>
        <w:tc>
          <w:tcPr>
            <w:tcW w:w="1728" w:type="dxa"/>
            <w:tcBorders>
              <w:top w:val="nil"/>
              <w:left w:val="nil"/>
              <w:bottom w:val="nil"/>
              <w:right w:val="nil"/>
            </w:tcBorders>
          </w:tcPr>
          <w:p w14:paraId="2CB8557A" w14:textId="77777777" w:rsidR="00724C44" w:rsidRPr="00EB4FF5" w:rsidRDefault="00724C44" w:rsidP="00EB4FF5">
            <w:pPr>
              <w:spacing w:after="0" w:line="240" w:lineRule="auto"/>
              <w:jc w:val="both"/>
              <w:rPr>
                <w:sz w:val="22"/>
                <w:szCs w:val="22"/>
              </w:rPr>
            </w:pPr>
            <w:r w:rsidRPr="00EB4FF5">
              <w:rPr>
                <w:sz w:val="22"/>
                <w:szCs w:val="22"/>
              </w:rPr>
              <w:t>17.0</w:t>
            </w:r>
          </w:p>
        </w:tc>
      </w:tr>
      <w:tr w:rsidR="00724C44" w:rsidRPr="00724C44" w14:paraId="552F869F" w14:textId="77777777" w:rsidTr="00A5379F">
        <w:tc>
          <w:tcPr>
            <w:tcW w:w="2304" w:type="dxa"/>
            <w:tcBorders>
              <w:top w:val="nil"/>
              <w:left w:val="nil"/>
              <w:bottom w:val="nil"/>
              <w:right w:val="nil"/>
            </w:tcBorders>
          </w:tcPr>
          <w:p w14:paraId="3331EA56"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1CF7A456" w14:textId="77777777" w:rsidR="00724C44" w:rsidRPr="00EB4FF5" w:rsidRDefault="00724C44" w:rsidP="00EB4FF5">
            <w:pPr>
              <w:spacing w:after="0" w:line="240" w:lineRule="auto"/>
              <w:jc w:val="both"/>
              <w:rPr>
                <w:sz w:val="22"/>
                <w:szCs w:val="22"/>
              </w:rPr>
            </w:pPr>
            <w:r w:rsidRPr="00EB4FF5">
              <w:rPr>
                <w:sz w:val="22"/>
                <w:szCs w:val="22"/>
              </w:rPr>
              <w:t>Japanese-owned</w:t>
            </w:r>
          </w:p>
        </w:tc>
        <w:tc>
          <w:tcPr>
            <w:tcW w:w="1296" w:type="dxa"/>
            <w:tcBorders>
              <w:top w:val="nil"/>
              <w:left w:val="nil"/>
              <w:bottom w:val="nil"/>
              <w:right w:val="nil"/>
            </w:tcBorders>
          </w:tcPr>
          <w:p w14:paraId="63682878" w14:textId="77777777" w:rsidR="00724C44" w:rsidRPr="00EB4FF5" w:rsidRDefault="00724C44" w:rsidP="00EB4FF5">
            <w:pPr>
              <w:spacing w:after="0" w:line="240" w:lineRule="auto"/>
              <w:jc w:val="both"/>
              <w:rPr>
                <w:sz w:val="22"/>
                <w:szCs w:val="22"/>
              </w:rPr>
            </w:pPr>
            <w:r w:rsidRPr="00EB4FF5">
              <w:rPr>
                <w:sz w:val="22"/>
                <w:szCs w:val="22"/>
              </w:rPr>
              <w:t>91</w:t>
            </w:r>
          </w:p>
        </w:tc>
        <w:tc>
          <w:tcPr>
            <w:tcW w:w="1728" w:type="dxa"/>
            <w:tcBorders>
              <w:top w:val="nil"/>
              <w:left w:val="nil"/>
              <w:bottom w:val="nil"/>
              <w:right w:val="nil"/>
            </w:tcBorders>
          </w:tcPr>
          <w:p w14:paraId="2DE56A66" w14:textId="77777777" w:rsidR="00724C44" w:rsidRPr="00EB4FF5" w:rsidRDefault="00724C44" w:rsidP="00EB4FF5">
            <w:pPr>
              <w:spacing w:after="0" w:line="240" w:lineRule="auto"/>
              <w:jc w:val="both"/>
              <w:rPr>
                <w:sz w:val="22"/>
                <w:szCs w:val="22"/>
              </w:rPr>
            </w:pPr>
            <w:r w:rsidRPr="00EB4FF5">
              <w:rPr>
                <w:sz w:val="22"/>
                <w:szCs w:val="22"/>
              </w:rPr>
              <w:t>22.8</w:t>
            </w:r>
          </w:p>
        </w:tc>
      </w:tr>
      <w:tr w:rsidR="00724C44" w:rsidRPr="00724C44" w14:paraId="2ED432CF" w14:textId="77777777" w:rsidTr="00A5379F">
        <w:tc>
          <w:tcPr>
            <w:tcW w:w="2304" w:type="dxa"/>
            <w:tcBorders>
              <w:top w:val="nil"/>
              <w:left w:val="nil"/>
              <w:bottom w:val="nil"/>
              <w:right w:val="nil"/>
            </w:tcBorders>
          </w:tcPr>
          <w:p w14:paraId="1B4C6B1D"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5DB5F9D8" w14:textId="77777777" w:rsidR="00724C44" w:rsidRPr="00EB4FF5" w:rsidRDefault="00724C44" w:rsidP="00EB4FF5">
            <w:pPr>
              <w:spacing w:after="0" w:line="240" w:lineRule="auto"/>
              <w:jc w:val="both"/>
              <w:rPr>
                <w:sz w:val="22"/>
                <w:szCs w:val="22"/>
              </w:rPr>
            </w:pPr>
            <w:r w:rsidRPr="00EB4FF5">
              <w:rPr>
                <w:sz w:val="22"/>
                <w:szCs w:val="22"/>
              </w:rPr>
              <w:t xml:space="preserve">Other </w:t>
            </w:r>
            <w:proofErr w:type="gramStart"/>
            <w:r w:rsidRPr="00EB4FF5">
              <w:rPr>
                <w:sz w:val="22"/>
                <w:szCs w:val="22"/>
              </w:rPr>
              <w:t>foreign-owned</w:t>
            </w:r>
            <w:proofErr w:type="gramEnd"/>
          </w:p>
        </w:tc>
        <w:tc>
          <w:tcPr>
            <w:tcW w:w="1296" w:type="dxa"/>
            <w:tcBorders>
              <w:top w:val="nil"/>
              <w:left w:val="nil"/>
              <w:bottom w:val="nil"/>
              <w:right w:val="nil"/>
            </w:tcBorders>
          </w:tcPr>
          <w:p w14:paraId="293ECA28" w14:textId="77777777" w:rsidR="00724C44" w:rsidRPr="00EB4FF5" w:rsidRDefault="00724C44" w:rsidP="00EB4FF5">
            <w:pPr>
              <w:spacing w:after="0" w:line="240" w:lineRule="auto"/>
              <w:jc w:val="both"/>
              <w:rPr>
                <w:sz w:val="22"/>
                <w:szCs w:val="22"/>
              </w:rPr>
            </w:pPr>
            <w:r w:rsidRPr="00EB4FF5">
              <w:rPr>
                <w:sz w:val="22"/>
                <w:szCs w:val="22"/>
              </w:rPr>
              <w:t>75</w:t>
            </w:r>
          </w:p>
        </w:tc>
        <w:tc>
          <w:tcPr>
            <w:tcW w:w="1728" w:type="dxa"/>
            <w:tcBorders>
              <w:top w:val="nil"/>
              <w:left w:val="nil"/>
              <w:bottom w:val="nil"/>
              <w:right w:val="nil"/>
            </w:tcBorders>
          </w:tcPr>
          <w:p w14:paraId="68DE2F94" w14:textId="77777777" w:rsidR="00724C44" w:rsidRPr="00EB4FF5" w:rsidRDefault="00724C44" w:rsidP="00EB4FF5">
            <w:pPr>
              <w:spacing w:after="0" w:line="240" w:lineRule="auto"/>
              <w:jc w:val="both"/>
              <w:rPr>
                <w:sz w:val="22"/>
                <w:szCs w:val="22"/>
              </w:rPr>
            </w:pPr>
            <w:r w:rsidRPr="00EB4FF5">
              <w:rPr>
                <w:sz w:val="22"/>
                <w:szCs w:val="22"/>
              </w:rPr>
              <w:t>18.8</w:t>
            </w:r>
          </w:p>
        </w:tc>
      </w:tr>
      <w:tr w:rsidR="00724C44" w:rsidRPr="00724C44" w14:paraId="44A2D548" w14:textId="77777777" w:rsidTr="00A5379F">
        <w:tc>
          <w:tcPr>
            <w:tcW w:w="2304" w:type="dxa"/>
            <w:tcBorders>
              <w:top w:val="nil"/>
              <w:left w:val="nil"/>
              <w:bottom w:val="nil"/>
              <w:right w:val="nil"/>
            </w:tcBorders>
          </w:tcPr>
          <w:p w14:paraId="1DADF436"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357E7A42" w14:textId="77777777" w:rsidR="00724C44" w:rsidRPr="00EB4FF5" w:rsidRDefault="00724C44" w:rsidP="00EB4FF5">
            <w:pPr>
              <w:spacing w:after="0" w:line="240" w:lineRule="auto"/>
              <w:jc w:val="both"/>
              <w:rPr>
                <w:sz w:val="22"/>
                <w:szCs w:val="22"/>
              </w:rPr>
            </w:pPr>
            <w:r w:rsidRPr="00EB4FF5">
              <w:rPr>
                <w:sz w:val="22"/>
                <w:szCs w:val="22"/>
              </w:rPr>
              <w:t>Joint venture</w:t>
            </w:r>
          </w:p>
        </w:tc>
        <w:tc>
          <w:tcPr>
            <w:tcW w:w="1296" w:type="dxa"/>
            <w:tcBorders>
              <w:top w:val="nil"/>
              <w:left w:val="nil"/>
              <w:bottom w:val="nil"/>
              <w:right w:val="nil"/>
            </w:tcBorders>
          </w:tcPr>
          <w:p w14:paraId="50250A1F" w14:textId="77777777" w:rsidR="00724C44" w:rsidRPr="00EB4FF5" w:rsidRDefault="00724C44" w:rsidP="00EB4FF5">
            <w:pPr>
              <w:spacing w:after="0" w:line="240" w:lineRule="auto"/>
              <w:jc w:val="both"/>
              <w:rPr>
                <w:sz w:val="22"/>
                <w:szCs w:val="22"/>
              </w:rPr>
            </w:pPr>
            <w:r w:rsidRPr="00EB4FF5">
              <w:rPr>
                <w:sz w:val="22"/>
                <w:szCs w:val="22"/>
              </w:rPr>
              <w:t>120</w:t>
            </w:r>
          </w:p>
        </w:tc>
        <w:tc>
          <w:tcPr>
            <w:tcW w:w="1728" w:type="dxa"/>
            <w:tcBorders>
              <w:top w:val="nil"/>
              <w:left w:val="nil"/>
              <w:bottom w:val="nil"/>
              <w:right w:val="nil"/>
            </w:tcBorders>
          </w:tcPr>
          <w:p w14:paraId="3802206D" w14:textId="77777777" w:rsidR="00724C44" w:rsidRPr="00EB4FF5" w:rsidRDefault="00724C44" w:rsidP="00EB4FF5">
            <w:pPr>
              <w:spacing w:after="0" w:line="240" w:lineRule="auto"/>
              <w:jc w:val="both"/>
              <w:rPr>
                <w:sz w:val="22"/>
                <w:szCs w:val="22"/>
              </w:rPr>
            </w:pPr>
            <w:r w:rsidRPr="00EB4FF5">
              <w:rPr>
                <w:sz w:val="22"/>
                <w:szCs w:val="22"/>
              </w:rPr>
              <w:t>30.0</w:t>
            </w:r>
          </w:p>
        </w:tc>
      </w:tr>
      <w:tr w:rsidR="00724C44" w:rsidRPr="00724C44" w14:paraId="75BA6222" w14:textId="77777777" w:rsidTr="00A5379F">
        <w:tc>
          <w:tcPr>
            <w:tcW w:w="2304" w:type="dxa"/>
            <w:tcBorders>
              <w:top w:val="nil"/>
              <w:left w:val="nil"/>
              <w:bottom w:val="nil"/>
              <w:right w:val="nil"/>
            </w:tcBorders>
          </w:tcPr>
          <w:p w14:paraId="35DD0346"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AD35F48" w14:textId="77777777" w:rsidR="00724C44" w:rsidRPr="00EB4FF5" w:rsidRDefault="00724C44" w:rsidP="00EB4FF5">
            <w:pPr>
              <w:spacing w:after="0" w:line="240" w:lineRule="auto"/>
              <w:jc w:val="both"/>
              <w:rPr>
                <w:sz w:val="22"/>
                <w:szCs w:val="22"/>
              </w:rPr>
            </w:pPr>
            <w:r w:rsidRPr="00EB4FF5">
              <w:rPr>
                <w:sz w:val="22"/>
                <w:szCs w:val="22"/>
              </w:rPr>
              <w:t>Thai multinational</w:t>
            </w:r>
          </w:p>
        </w:tc>
        <w:tc>
          <w:tcPr>
            <w:tcW w:w="1296" w:type="dxa"/>
            <w:tcBorders>
              <w:top w:val="nil"/>
              <w:left w:val="nil"/>
              <w:bottom w:val="nil"/>
              <w:right w:val="nil"/>
            </w:tcBorders>
          </w:tcPr>
          <w:p w14:paraId="19FB389B" w14:textId="77777777" w:rsidR="00724C44" w:rsidRPr="00EB4FF5" w:rsidRDefault="00724C44" w:rsidP="00EB4FF5">
            <w:pPr>
              <w:spacing w:after="0" w:line="240" w:lineRule="auto"/>
              <w:jc w:val="both"/>
              <w:rPr>
                <w:sz w:val="22"/>
                <w:szCs w:val="22"/>
              </w:rPr>
            </w:pPr>
            <w:r w:rsidRPr="00EB4FF5">
              <w:rPr>
                <w:sz w:val="22"/>
                <w:szCs w:val="22"/>
              </w:rPr>
              <w:t>46</w:t>
            </w:r>
          </w:p>
        </w:tc>
        <w:tc>
          <w:tcPr>
            <w:tcW w:w="1728" w:type="dxa"/>
            <w:tcBorders>
              <w:top w:val="nil"/>
              <w:left w:val="nil"/>
              <w:bottom w:val="nil"/>
              <w:right w:val="nil"/>
            </w:tcBorders>
          </w:tcPr>
          <w:p w14:paraId="55B75811" w14:textId="77777777" w:rsidR="00724C44" w:rsidRPr="00EB4FF5" w:rsidRDefault="00724C44" w:rsidP="00EB4FF5">
            <w:pPr>
              <w:spacing w:after="0" w:line="240" w:lineRule="auto"/>
              <w:jc w:val="both"/>
              <w:rPr>
                <w:sz w:val="22"/>
                <w:szCs w:val="22"/>
              </w:rPr>
            </w:pPr>
            <w:r w:rsidRPr="00EB4FF5">
              <w:rPr>
                <w:sz w:val="22"/>
                <w:szCs w:val="22"/>
              </w:rPr>
              <w:t>11.5</w:t>
            </w:r>
          </w:p>
        </w:tc>
      </w:tr>
      <w:tr w:rsidR="00724C44" w:rsidRPr="00724C44" w14:paraId="33EC9EC4" w14:textId="77777777" w:rsidTr="00A5379F">
        <w:tc>
          <w:tcPr>
            <w:tcW w:w="2304" w:type="dxa"/>
            <w:tcBorders>
              <w:top w:val="nil"/>
              <w:left w:val="nil"/>
              <w:bottom w:val="nil"/>
              <w:right w:val="nil"/>
            </w:tcBorders>
          </w:tcPr>
          <w:p w14:paraId="0A53AA04" w14:textId="77777777" w:rsidR="00724C44" w:rsidRPr="00EB4FF5" w:rsidRDefault="00724C44" w:rsidP="00EB4FF5">
            <w:pPr>
              <w:spacing w:after="0" w:line="240" w:lineRule="auto"/>
              <w:jc w:val="both"/>
              <w:rPr>
                <w:sz w:val="22"/>
                <w:szCs w:val="22"/>
              </w:rPr>
            </w:pPr>
            <w:r w:rsidRPr="00EB4FF5">
              <w:rPr>
                <w:sz w:val="22"/>
                <w:szCs w:val="22"/>
              </w:rPr>
              <w:t>Years in Thailand</w:t>
            </w:r>
          </w:p>
        </w:tc>
        <w:tc>
          <w:tcPr>
            <w:tcW w:w="3888" w:type="dxa"/>
            <w:tcBorders>
              <w:top w:val="nil"/>
              <w:left w:val="nil"/>
              <w:bottom w:val="nil"/>
              <w:right w:val="nil"/>
            </w:tcBorders>
          </w:tcPr>
          <w:p w14:paraId="46AE1213" w14:textId="77777777" w:rsidR="00724C44" w:rsidRPr="00EB4FF5" w:rsidRDefault="00724C44" w:rsidP="00EB4FF5">
            <w:pPr>
              <w:spacing w:after="0" w:line="240" w:lineRule="auto"/>
              <w:jc w:val="both"/>
              <w:rPr>
                <w:sz w:val="22"/>
                <w:szCs w:val="22"/>
              </w:rPr>
            </w:pPr>
            <w:r w:rsidRPr="00EB4FF5">
              <w:rPr>
                <w:sz w:val="22"/>
                <w:szCs w:val="22"/>
              </w:rPr>
              <w:t>Less than 5 years</w:t>
            </w:r>
          </w:p>
        </w:tc>
        <w:tc>
          <w:tcPr>
            <w:tcW w:w="1296" w:type="dxa"/>
            <w:tcBorders>
              <w:top w:val="nil"/>
              <w:left w:val="nil"/>
              <w:bottom w:val="nil"/>
              <w:right w:val="nil"/>
            </w:tcBorders>
          </w:tcPr>
          <w:p w14:paraId="1EF84CB4" w14:textId="77777777" w:rsidR="00724C44" w:rsidRPr="00EB4FF5" w:rsidRDefault="00724C44" w:rsidP="00EB4FF5">
            <w:pPr>
              <w:spacing w:after="0" w:line="240" w:lineRule="auto"/>
              <w:jc w:val="both"/>
              <w:rPr>
                <w:sz w:val="22"/>
                <w:szCs w:val="22"/>
              </w:rPr>
            </w:pPr>
            <w:r w:rsidRPr="00EB4FF5">
              <w:rPr>
                <w:sz w:val="22"/>
                <w:szCs w:val="22"/>
              </w:rPr>
              <w:t>78</w:t>
            </w:r>
          </w:p>
        </w:tc>
        <w:tc>
          <w:tcPr>
            <w:tcW w:w="1728" w:type="dxa"/>
            <w:tcBorders>
              <w:top w:val="nil"/>
              <w:left w:val="nil"/>
              <w:bottom w:val="nil"/>
              <w:right w:val="nil"/>
            </w:tcBorders>
          </w:tcPr>
          <w:p w14:paraId="36A35B26" w14:textId="77777777" w:rsidR="00724C44" w:rsidRPr="00EB4FF5" w:rsidRDefault="00724C44" w:rsidP="00EB4FF5">
            <w:pPr>
              <w:spacing w:after="0" w:line="240" w:lineRule="auto"/>
              <w:jc w:val="both"/>
              <w:rPr>
                <w:sz w:val="22"/>
                <w:szCs w:val="22"/>
              </w:rPr>
            </w:pPr>
            <w:r w:rsidRPr="00EB4FF5">
              <w:rPr>
                <w:sz w:val="22"/>
                <w:szCs w:val="22"/>
              </w:rPr>
              <w:t>19.5</w:t>
            </w:r>
          </w:p>
        </w:tc>
      </w:tr>
      <w:tr w:rsidR="00724C44" w:rsidRPr="00724C44" w14:paraId="4016AB9D" w14:textId="77777777" w:rsidTr="00A5379F">
        <w:tc>
          <w:tcPr>
            <w:tcW w:w="2304" w:type="dxa"/>
            <w:tcBorders>
              <w:top w:val="nil"/>
              <w:left w:val="nil"/>
              <w:bottom w:val="nil"/>
              <w:right w:val="nil"/>
            </w:tcBorders>
          </w:tcPr>
          <w:p w14:paraId="17939681"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1401896A" w14:textId="77777777" w:rsidR="00724C44" w:rsidRPr="00EB4FF5" w:rsidRDefault="00724C44" w:rsidP="00EB4FF5">
            <w:pPr>
              <w:spacing w:after="0" w:line="240" w:lineRule="auto"/>
              <w:jc w:val="both"/>
              <w:rPr>
                <w:sz w:val="22"/>
                <w:szCs w:val="22"/>
              </w:rPr>
            </w:pPr>
            <w:r w:rsidRPr="00EB4FF5">
              <w:rPr>
                <w:sz w:val="22"/>
                <w:szCs w:val="22"/>
              </w:rPr>
              <w:t>5-10 years</w:t>
            </w:r>
          </w:p>
        </w:tc>
        <w:tc>
          <w:tcPr>
            <w:tcW w:w="1296" w:type="dxa"/>
            <w:tcBorders>
              <w:top w:val="nil"/>
              <w:left w:val="nil"/>
              <w:bottom w:val="nil"/>
              <w:right w:val="nil"/>
            </w:tcBorders>
          </w:tcPr>
          <w:p w14:paraId="1A0163FA" w14:textId="77777777" w:rsidR="00724C44" w:rsidRPr="00EB4FF5" w:rsidRDefault="00724C44" w:rsidP="00EB4FF5">
            <w:pPr>
              <w:spacing w:after="0" w:line="240" w:lineRule="auto"/>
              <w:jc w:val="both"/>
              <w:rPr>
                <w:sz w:val="22"/>
                <w:szCs w:val="22"/>
              </w:rPr>
            </w:pPr>
            <w:r w:rsidRPr="00EB4FF5">
              <w:rPr>
                <w:sz w:val="22"/>
                <w:szCs w:val="22"/>
              </w:rPr>
              <w:t>111</w:t>
            </w:r>
          </w:p>
        </w:tc>
        <w:tc>
          <w:tcPr>
            <w:tcW w:w="1728" w:type="dxa"/>
            <w:tcBorders>
              <w:top w:val="nil"/>
              <w:left w:val="nil"/>
              <w:bottom w:val="nil"/>
              <w:right w:val="nil"/>
            </w:tcBorders>
          </w:tcPr>
          <w:p w14:paraId="426537B3" w14:textId="77777777" w:rsidR="00724C44" w:rsidRPr="00EB4FF5" w:rsidRDefault="00724C44" w:rsidP="00EB4FF5">
            <w:pPr>
              <w:spacing w:after="0" w:line="240" w:lineRule="auto"/>
              <w:jc w:val="both"/>
              <w:rPr>
                <w:sz w:val="22"/>
                <w:szCs w:val="22"/>
              </w:rPr>
            </w:pPr>
            <w:r w:rsidRPr="00EB4FF5">
              <w:rPr>
                <w:sz w:val="22"/>
                <w:szCs w:val="22"/>
              </w:rPr>
              <w:t>27.8</w:t>
            </w:r>
          </w:p>
        </w:tc>
      </w:tr>
      <w:tr w:rsidR="00724C44" w:rsidRPr="00724C44" w14:paraId="707F3697" w14:textId="77777777" w:rsidTr="00A5379F">
        <w:tc>
          <w:tcPr>
            <w:tcW w:w="2304" w:type="dxa"/>
            <w:tcBorders>
              <w:top w:val="nil"/>
              <w:left w:val="nil"/>
              <w:bottom w:val="nil"/>
              <w:right w:val="nil"/>
            </w:tcBorders>
          </w:tcPr>
          <w:p w14:paraId="40C27ADB"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FEFEEB5" w14:textId="77777777" w:rsidR="00724C44" w:rsidRPr="00EB4FF5" w:rsidRDefault="00724C44" w:rsidP="00EB4FF5">
            <w:pPr>
              <w:spacing w:after="0" w:line="240" w:lineRule="auto"/>
              <w:jc w:val="both"/>
              <w:rPr>
                <w:sz w:val="22"/>
                <w:szCs w:val="22"/>
              </w:rPr>
            </w:pPr>
            <w:r w:rsidRPr="00EB4FF5">
              <w:rPr>
                <w:sz w:val="22"/>
                <w:szCs w:val="22"/>
              </w:rPr>
              <w:t>11-20 years</w:t>
            </w:r>
          </w:p>
        </w:tc>
        <w:tc>
          <w:tcPr>
            <w:tcW w:w="1296" w:type="dxa"/>
            <w:tcBorders>
              <w:top w:val="nil"/>
              <w:left w:val="nil"/>
              <w:bottom w:val="nil"/>
              <w:right w:val="nil"/>
            </w:tcBorders>
          </w:tcPr>
          <w:p w14:paraId="32A59D13" w14:textId="77777777" w:rsidR="00724C44" w:rsidRPr="00EB4FF5" w:rsidRDefault="00724C44" w:rsidP="00EB4FF5">
            <w:pPr>
              <w:spacing w:after="0" w:line="240" w:lineRule="auto"/>
              <w:jc w:val="both"/>
              <w:rPr>
                <w:sz w:val="22"/>
                <w:szCs w:val="22"/>
              </w:rPr>
            </w:pPr>
            <w:r w:rsidRPr="00EB4FF5">
              <w:rPr>
                <w:sz w:val="22"/>
                <w:szCs w:val="22"/>
              </w:rPr>
              <w:t>99</w:t>
            </w:r>
          </w:p>
        </w:tc>
        <w:tc>
          <w:tcPr>
            <w:tcW w:w="1728" w:type="dxa"/>
            <w:tcBorders>
              <w:top w:val="nil"/>
              <w:left w:val="nil"/>
              <w:bottom w:val="nil"/>
              <w:right w:val="nil"/>
            </w:tcBorders>
          </w:tcPr>
          <w:p w14:paraId="1687BD8B" w14:textId="77777777" w:rsidR="00724C44" w:rsidRPr="00EB4FF5" w:rsidRDefault="00724C44" w:rsidP="00EB4FF5">
            <w:pPr>
              <w:spacing w:after="0" w:line="240" w:lineRule="auto"/>
              <w:jc w:val="both"/>
              <w:rPr>
                <w:sz w:val="22"/>
                <w:szCs w:val="22"/>
              </w:rPr>
            </w:pPr>
            <w:r w:rsidRPr="00EB4FF5">
              <w:rPr>
                <w:sz w:val="22"/>
                <w:szCs w:val="22"/>
              </w:rPr>
              <w:t>24.8</w:t>
            </w:r>
          </w:p>
        </w:tc>
      </w:tr>
      <w:tr w:rsidR="00724C44" w:rsidRPr="00724C44" w14:paraId="269311B6" w14:textId="77777777" w:rsidTr="00A5379F">
        <w:tc>
          <w:tcPr>
            <w:tcW w:w="2304" w:type="dxa"/>
            <w:tcBorders>
              <w:top w:val="nil"/>
              <w:left w:val="nil"/>
              <w:bottom w:val="nil"/>
              <w:right w:val="nil"/>
            </w:tcBorders>
          </w:tcPr>
          <w:p w14:paraId="5B5E286E"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4641DB41" w14:textId="77777777" w:rsidR="00724C44" w:rsidRPr="00EB4FF5" w:rsidRDefault="00724C44" w:rsidP="00EB4FF5">
            <w:pPr>
              <w:spacing w:after="0" w:line="240" w:lineRule="auto"/>
              <w:jc w:val="both"/>
              <w:rPr>
                <w:sz w:val="22"/>
                <w:szCs w:val="22"/>
              </w:rPr>
            </w:pPr>
            <w:r w:rsidRPr="00EB4FF5">
              <w:rPr>
                <w:sz w:val="22"/>
                <w:szCs w:val="22"/>
              </w:rPr>
              <w:t>21-30 years</w:t>
            </w:r>
          </w:p>
        </w:tc>
        <w:tc>
          <w:tcPr>
            <w:tcW w:w="1296" w:type="dxa"/>
            <w:tcBorders>
              <w:top w:val="nil"/>
              <w:left w:val="nil"/>
              <w:bottom w:val="nil"/>
              <w:right w:val="nil"/>
            </w:tcBorders>
          </w:tcPr>
          <w:p w14:paraId="6785178A" w14:textId="77777777" w:rsidR="00724C44" w:rsidRPr="00EB4FF5" w:rsidRDefault="00724C44" w:rsidP="00EB4FF5">
            <w:pPr>
              <w:spacing w:after="0" w:line="240" w:lineRule="auto"/>
              <w:jc w:val="both"/>
              <w:rPr>
                <w:sz w:val="22"/>
                <w:szCs w:val="22"/>
              </w:rPr>
            </w:pPr>
            <w:r w:rsidRPr="00EB4FF5">
              <w:rPr>
                <w:sz w:val="22"/>
                <w:szCs w:val="22"/>
              </w:rPr>
              <w:t>90</w:t>
            </w:r>
          </w:p>
        </w:tc>
        <w:tc>
          <w:tcPr>
            <w:tcW w:w="1728" w:type="dxa"/>
            <w:tcBorders>
              <w:top w:val="nil"/>
              <w:left w:val="nil"/>
              <w:bottom w:val="nil"/>
              <w:right w:val="nil"/>
            </w:tcBorders>
          </w:tcPr>
          <w:p w14:paraId="77E4FB8C" w14:textId="77777777" w:rsidR="00724C44" w:rsidRPr="00EB4FF5" w:rsidRDefault="00724C44" w:rsidP="00EB4FF5">
            <w:pPr>
              <w:spacing w:after="0" w:line="240" w:lineRule="auto"/>
              <w:jc w:val="both"/>
              <w:rPr>
                <w:sz w:val="22"/>
                <w:szCs w:val="22"/>
              </w:rPr>
            </w:pPr>
            <w:r w:rsidRPr="00EB4FF5">
              <w:rPr>
                <w:sz w:val="22"/>
                <w:szCs w:val="22"/>
              </w:rPr>
              <w:t>22.5</w:t>
            </w:r>
          </w:p>
        </w:tc>
      </w:tr>
      <w:tr w:rsidR="00724C44" w:rsidRPr="00724C44" w14:paraId="4D5C179D" w14:textId="77777777" w:rsidTr="00A5379F">
        <w:tc>
          <w:tcPr>
            <w:tcW w:w="2304" w:type="dxa"/>
            <w:tcBorders>
              <w:top w:val="nil"/>
              <w:left w:val="nil"/>
              <w:bottom w:val="nil"/>
              <w:right w:val="nil"/>
            </w:tcBorders>
          </w:tcPr>
          <w:p w14:paraId="731B43AA"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7FFB4B6" w14:textId="77777777" w:rsidR="00724C44" w:rsidRPr="00EB4FF5" w:rsidRDefault="00724C44" w:rsidP="00EB4FF5">
            <w:pPr>
              <w:spacing w:after="0" w:line="240" w:lineRule="auto"/>
              <w:jc w:val="both"/>
              <w:rPr>
                <w:sz w:val="22"/>
                <w:szCs w:val="22"/>
              </w:rPr>
            </w:pPr>
            <w:r w:rsidRPr="00EB4FF5">
              <w:rPr>
                <w:sz w:val="22"/>
                <w:szCs w:val="22"/>
              </w:rPr>
              <w:t>More than 30 years</w:t>
            </w:r>
          </w:p>
        </w:tc>
        <w:tc>
          <w:tcPr>
            <w:tcW w:w="1296" w:type="dxa"/>
            <w:tcBorders>
              <w:top w:val="nil"/>
              <w:left w:val="nil"/>
              <w:bottom w:val="nil"/>
              <w:right w:val="nil"/>
            </w:tcBorders>
          </w:tcPr>
          <w:p w14:paraId="27C48FF2" w14:textId="77777777" w:rsidR="00724C44" w:rsidRPr="00EB4FF5" w:rsidRDefault="00724C44" w:rsidP="00EB4FF5">
            <w:pPr>
              <w:spacing w:after="0" w:line="240" w:lineRule="auto"/>
              <w:jc w:val="both"/>
              <w:rPr>
                <w:sz w:val="22"/>
                <w:szCs w:val="22"/>
              </w:rPr>
            </w:pPr>
            <w:r w:rsidRPr="00EB4FF5">
              <w:rPr>
                <w:sz w:val="22"/>
                <w:szCs w:val="22"/>
              </w:rPr>
              <w:t>22</w:t>
            </w:r>
          </w:p>
        </w:tc>
        <w:tc>
          <w:tcPr>
            <w:tcW w:w="1728" w:type="dxa"/>
            <w:tcBorders>
              <w:top w:val="nil"/>
              <w:left w:val="nil"/>
              <w:bottom w:val="nil"/>
              <w:right w:val="nil"/>
            </w:tcBorders>
          </w:tcPr>
          <w:p w14:paraId="3AD30B0F" w14:textId="77777777" w:rsidR="00724C44" w:rsidRPr="00EB4FF5" w:rsidRDefault="00724C44" w:rsidP="00EB4FF5">
            <w:pPr>
              <w:spacing w:after="0" w:line="240" w:lineRule="auto"/>
              <w:jc w:val="both"/>
              <w:rPr>
                <w:sz w:val="22"/>
                <w:szCs w:val="22"/>
              </w:rPr>
            </w:pPr>
            <w:r w:rsidRPr="00EB4FF5">
              <w:rPr>
                <w:sz w:val="22"/>
                <w:szCs w:val="22"/>
              </w:rPr>
              <w:t>5.5</w:t>
            </w:r>
          </w:p>
        </w:tc>
      </w:tr>
      <w:tr w:rsidR="00724C44" w:rsidRPr="00724C44" w14:paraId="5E286F5A" w14:textId="77777777" w:rsidTr="00A5379F">
        <w:tc>
          <w:tcPr>
            <w:tcW w:w="2304" w:type="dxa"/>
            <w:tcBorders>
              <w:top w:val="nil"/>
              <w:left w:val="nil"/>
              <w:bottom w:val="nil"/>
              <w:right w:val="nil"/>
            </w:tcBorders>
          </w:tcPr>
          <w:p w14:paraId="6102C1B8" w14:textId="77777777" w:rsidR="00724C44" w:rsidRPr="00EB4FF5" w:rsidRDefault="00724C44" w:rsidP="00EB4FF5">
            <w:pPr>
              <w:spacing w:after="0" w:line="240" w:lineRule="auto"/>
              <w:jc w:val="both"/>
              <w:rPr>
                <w:sz w:val="22"/>
                <w:szCs w:val="22"/>
              </w:rPr>
            </w:pPr>
            <w:r w:rsidRPr="00EB4FF5">
              <w:rPr>
                <w:sz w:val="22"/>
                <w:szCs w:val="22"/>
              </w:rPr>
              <w:t>EEC Province</w:t>
            </w:r>
          </w:p>
        </w:tc>
        <w:tc>
          <w:tcPr>
            <w:tcW w:w="3888" w:type="dxa"/>
            <w:tcBorders>
              <w:top w:val="nil"/>
              <w:left w:val="nil"/>
              <w:bottom w:val="nil"/>
              <w:right w:val="nil"/>
            </w:tcBorders>
          </w:tcPr>
          <w:p w14:paraId="41CE87F6" w14:textId="77777777" w:rsidR="00724C44" w:rsidRPr="00EB4FF5" w:rsidRDefault="00724C44" w:rsidP="00EB4FF5">
            <w:pPr>
              <w:spacing w:after="0" w:line="240" w:lineRule="auto"/>
              <w:jc w:val="both"/>
              <w:rPr>
                <w:sz w:val="22"/>
                <w:szCs w:val="22"/>
              </w:rPr>
            </w:pPr>
            <w:r w:rsidRPr="00EB4FF5">
              <w:rPr>
                <w:sz w:val="22"/>
                <w:szCs w:val="22"/>
              </w:rPr>
              <w:t>Chonburi</w:t>
            </w:r>
          </w:p>
        </w:tc>
        <w:tc>
          <w:tcPr>
            <w:tcW w:w="1296" w:type="dxa"/>
            <w:tcBorders>
              <w:top w:val="nil"/>
              <w:left w:val="nil"/>
              <w:bottom w:val="nil"/>
              <w:right w:val="nil"/>
            </w:tcBorders>
          </w:tcPr>
          <w:p w14:paraId="2B42B339" w14:textId="77777777" w:rsidR="00724C44" w:rsidRPr="00EB4FF5" w:rsidRDefault="00724C44" w:rsidP="00EB4FF5">
            <w:pPr>
              <w:spacing w:after="0" w:line="240" w:lineRule="auto"/>
              <w:jc w:val="both"/>
              <w:rPr>
                <w:sz w:val="22"/>
                <w:szCs w:val="22"/>
              </w:rPr>
            </w:pPr>
            <w:r w:rsidRPr="00EB4FF5">
              <w:rPr>
                <w:sz w:val="22"/>
                <w:szCs w:val="22"/>
              </w:rPr>
              <w:t>122</w:t>
            </w:r>
          </w:p>
        </w:tc>
        <w:tc>
          <w:tcPr>
            <w:tcW w:w="1728" w:type="dxa"/>
            <w:tcBorders>
              <w:top w:val="nil"/>
              <w:left w:val="nil"/>
              <w:bottom w:val="nil"/>
              <w:right w:val="nil"/>
            </w:tcBorders>
          </w:tcPr>
          <w:p w14:paraId="38E256CB" w14:textId="77777777" w:rsidR="00724C44" w:rsidRPr="00EB4FF5" w:rsidRDefault="00724C44" w:rsidP="00EB4FF5">
            <w:pPr>
              <w:spacing w:after="0" w:line="240" w:lineRule="auto"/>
              <w:jc w:val="both"/>
              <w:rPr>
                <w:sz w:val="22"/>
                <w:szCs w:val="22"/>
              </w:rPr>
            </w:pPr>
            <w:r w:rsidRPr="00EB4FF5">
              <w:rPr>
                <w:sz w:val="22"/>
                <w:szCs w:val="22"/>
              </w:rPr>
              <w:t>30.5</w:t>
            </w:r>
          </w:p>
        </w:tc>
      </w:tr>
      <w:tr w:rsidR="00724C44" w:rsidRPr="00724C44" w14:paraId="739F1DDF" w14:textId="77777777" w:rsidTr="00A5379F">
        <w:tc>
          <w:tcPr>
            <w:tcW w:w="2304" w:type="dxa"/>
            <w:tcBorders>
              <w:top w:val="nil"/>
              <w:left w:val="nil"/>
              <w:bottom w:val="nil"/>
              <w:right w:val="nil"/>
            </w:tcBorders>
          </w:tcPr>
          <w:p w14:paraId="5044C615"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96FED2A" w14:textId="77777777" w:rsidR="00724C44" w:rsidRPr="00EB4FF5" w:rsidRDefault="00724C44" w:rsidP="00EB4FF5">
            <w:pPr>
              <w:spacing w:after="0" w:line="240" w:lineRule="auto"/>
              <w:jc w:val="both"/>
              <w:rPr>
                <w:sz w:val="22"/>
                <w:szCs w:val="22"/>
              </w:rPr>
            </w:pPr>
            <w:r w:rsidRPr="00EB4FF5">
              <w:rPr>
                <w:sz w:val="22"/>
                <w:szCs w:val="22"/>
              </w:rPr>
              <w:t>Rayong</w:t>
            </w:r>
          </w:p>
        </w:tc>
        <w:tc>
          <w:tcPr>
            <w:tcW w:w="1296" w:type="dxa"/>
            <w:tcBorders>
              <w:top w:val="nil"/>
              <w:left w:val="nil"/>
              <w:bottom w:val="nil"/>
              <w:right w:val="nil"/>
            </w:tcBorders>
          </w:tcPr>
          <w:p w14:paraId="55EA66C8" w14:textId="77777777" w:rsidR="00724C44" w:rsidRPr="00EB4FF5" w:rsidRDefault="00724C44" w:rsidP="00EB4FF5">
            <w:pPr>
              <w:spacing w:after="0" w:line="240" w:lineRule="auto"/>
              <w:jc w:val="both"/>
              <w:rPr>
                <w:sz w:val="22"/>
                <w:szCs w:val="22"/>
              </w:rPr>
            </w:pPr>
            <w:r w:rsidRPr="00EB4FF5">
              <w:rPr>
                <w:sz w:val="22"/>
                <w:szCs w:val="22"/>
              </w:rPr>
              <w:t>128</w:t>
            </w:r>
          </w:p>
        </w:tc>
        <w:tc>
          <w:tcPr>
            <w:tcW w:w="1728" w:type="dxa"/>
            <w:tcBorders>
              <w:top w:val="nil"/>
              <w:left w:val="nil"/>
              <w:bottom w:val="nil"/>
              <w:right w:val="nil"/>
            </w:tcBorders>
          </w:tcPr>
          <w:p w14:paraId="1C75F0AF" w14:textId="77777777" w:rsidR="00724C44" w:rsidRPr="00EB4FF5" w:rsidRDefault="00724C44" w:rsidP="00EB4FF5">
            <w:pPr>
              <w:spacing w:after="0" w:line="240" w:lineRule="auto"/>
              <w:jc w:val="both"/>
              <w:rPr>
                <w:sz w:val="22"/>
                <w:szCs w:val="22"/>
              </w:rPr>
            </w:pPr>
            <w:r w:rsidRPr="00EB4FF5">
              <w:rPr>
                <w:sz w:val="22"/>
                <w:szCs w:val="22"/>
              </w:rPr>
              <w:t>32.0</w:t>
            </w:r>
          </w:p>
        </w:tc>
      </w:tr>
      <w:tr w:rsidR="00724C44" w:rsidRPr="00724C44" w14:paraId="6C869636" w14:textId="77777777" w:rsidTr="00A5379F">
        <w:tc>
          <w:tcPr>
            <w:tcW w:w="2304" w:type="dxa"/>
            <w:tcBorders>
              <w:top w:val="nil"/>
              <w:left w:val="nil"/>
              <w:bottom w:val="nil"/>
              <w:right w:val="nil"/>
            </w:tcBorders>
          </w:tcPr>
          <w:p w14:paraId="3A49EBF9"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40EE81F4" w14:textId="77777777" w:rsidR="00724C44" w:rsidRPr="00EB4FF5" w:rsidRDefault="00724C44" w:rsidP="00EB4FF5">
            <w:pPr>
              <w:spacing w:after="0" w:line="240" w:lineRule="auto"/>
              <w:jc w:val="both"/>
              <w:rPr>
                <w:sz w:val="22"/>
                <w:szCs w:val="22"/>
              </w:rPr>
            </w:pPr>
            <w:r w:rsidRPr="00EB4FF5">
              <w:rPr>
                <w:sz w:val="22"/>
                <w:szCs w:val="22"/>
              </w:rPr>
              <w:t>Chachoengsao</w:t>
            </w:r>
          </w:p>
        </w:tc>
        <w:tc>
          <w:tcPr>
            <w:tcW w:w="1296" w:type="dxa"/>
            <w:tcBorders>
              <w:top w:val="nil"/>
              <w:left w:val="nil"/>
              <w:bottom w:val="nil"/>
              <w:right w:val="nil"/>
            </w:tcBorders>
          </w:tcPr>
          <w:p w14:paraId="18FC46F5" w14:textId="77777777" w:rsidR="00724C44" w:rsidRPr="00EB4FF5" w:rsidRDefault="00724C44" w:rsidP="00EB4FF5">
            <w:pPr>
              <w:spacing w:after="0" w:line="240" w:lineRule="auto"/>
              <w:jc w:val="both"/>
              <w:rPr>
                <w:sz w:val="22"/>
                <w:szCs w:val="22"/>
              </w:rPr>
            </w:pPr>
            <w:r w:rsidRPr="00EB4FF5">
              <w:rPr>
                <w:sz w:val="22"/>
                <w:szCs w:val="22"/>
              </w:rPr>
              <w:t>99</w:t>
            </w:r>
          </w:p>
        </w:tc>
        <w:tc>
          <w:tcPr>
            <w:tcW w:w="1728" w:type="dxa"/>
            <w:tcBorders>
              <w:top w:val="nil"/>
              <w:left w:val="nil"/>
              <w:bottom w:val="nil"/>
              <w:right w:val="nil"/>
            </w:tcBorders>
          </w:tcPr>
          <w:p w14:paraId="213AEC43" w14:textId="77777777" w:rsidR="00724C44" w:rsidRPr="00EB4FF5" w:rsidRDefault="00724C44" w:rsidP="00EB4FF5">
            <w:pPr>
              <w:spacing w:after="0" w:line="240" w:lineRule="auto"/>
              <w:jc w:val="both"/>
              <w:rPr>
                <w:sz w:val="22"/>
                <w:szCs w:val="22"/>
              </w:rPr>
            </w:pPr>
            <w:r w:rsidRPr="00EB4FF5">
              <w:rPr>
                <w:sz w:val="22"/>
                <w:szCs w:val="22"/>
              </w:rPr>
              <w:t>24.8</w:t>
            </w:r>
          </w:p>
        </w:tc>
      </w:tr>
      <w:tr w:rsidR="00724C44" w:rsidRPr="00724C44" w14:paraId="2A820D89" w14:textId="77777777" w:rsidTr="00A5379F">
        <w:tc>
          <w:tcPr>
            <w:tcW w:w="2304" w:type="dxa"/>
            <w:tcBorders>
              <w:top w:val="nil"/>
              <w:left w:val="nil"/>
              <w:bottom w:val="nil"/>
              <w:right w:val="nil"/>
            </w:tcBorders>
          </w:tcPr>
          <w:p w14:paraId="023D8796"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0D87439C" w14:textId="77777777" w:rsidR="00724C44" w:rsidRPr="00EB4FF5" w:rsidRDefault="00724C44" w:rsidP="00EB4FF5">
            <w:pPr>
              <w:spacing w:after="0" w:line="240" w:lineRule="auto"/>
              <w:jc w:val="both"/>
              <w:rPr>
                <w:sz w:val="22"/>
                <w:szCs w:val="22"/>
              </w:rPr>
            </w:pPr>
            <w:r w:rsidRPr="00EB4FF5">
              <w:rPr>
                <w:sz w:val="22"/>
                <w:szCs w:val="22"/>
              </w:rPr>
              <w:t>Other EEC area</w:t>
            </w:r>
          </w:p>
        </w:tc>
        <w:tc>
          <w:tcPr>
            <w:tcW w:w="1296" w:type="dxa"/>
            <w:tcBorders>
              <w:top w:val="nil"/>
              <w:left w:val="nil"/>
              <w:bottom w:val="nil"/>
              <w:right w:val="nil"/>
            </w:tcBorders>
          </w:tcPr>
          <w:p w14:paraId="19398168" w14:textId="77777777" w:rsidR="00724C44" w:rsidRPr="00EB4FF5" w:rsidRDefault="00724C44" w:rsidP="00EB4FF5">
            <w:pPr>
              <w:spacing w:after="0" w:line="240" w:lineRule="auto"/>
              <w:jc w:val="both"/>
              <w:rPr>
                <w:sz w:val="22"/>
                <w:szCs w:val="22"/>
              </w:rPr>
            </w:pPr>
            <w:r w:rsidRPr="00EB4FF5">
              <w:rPr>
                <w:sz w:val="22"/>
                <w:szCs w:val="22"/>
              </w:rPr>
              <w:t>51</w:t>
            </w:r>
          </w:p>
        </w:tc>
        <w:tc>
          <w:tcPr>
            <w:tcW w:w="1728" w:type="dxa"/>
            <w:tcBorders>
              <w:top w:val="nil"/>
              <w:left w:val="nil"/>
              <w:bottom w:val="nil"/>
              <w:right w:val="nil"/>
            </w:tcBorders>
          </w:tcPr>
          <w:p w14:paraId="4E263312" w14:textId="77777777" w:rsidR="00724C44" w:rsidRPr="00EB4FF5" w:rsidRDefault="00724C44" w:rsidP="00EB4FF5">
            <w:pPr>
              <w:spacing w:after="0" w:line="240" w:lineRule="auto"/>
              <w:jc w:val="both"/>
              <w:rPr>
                <w:sz w:val="22"/>
                <w:szCs w:val="22"/>
              </w:rPr>
            </w:pPr>
            <w:r w:rsidRPr="00EB4FF5">
              <w:rPr>
                <w:sz w:val="22"/>
                <w:szCs w:val="22"/>
              </w:rPr>
              <w:t>12.8</w:t>
            </w:r>
          </w:p>
        </w:tc>
      </w:tr>
      <w:tr w:rsidR="00724C44" w:rsidRPr="00724C44" w14:paraId="7BCE7ED7" w14:textId="77777777" w:rsidTr="00A5379F">
        <w:tc>
          <w:tcPr>
            <w:tcW w:w="2304" w:type="dxa"/>
            <w:tcBorders>
              <w:top w:val="nil"/>
              <w:left w:val="nil"/>
              <w:bottom w:val="nil"/>
              <w:right w:val="nil"/>
            </w:tcBorders>
          </w:tcPr>
          <w:p w14:paraId="5A4E0BFF" w14:textId="77777777" w:rsidR="00724C44" w:rsidRPr="00EB4FF5" w:rsidRDefault="00724C44" w:rsidP="00EB4FF5">
            <w:pPr>
              <w:spacing w:after="0" w:line="240" w:lineRule="auto"/>
              <w:jc w:val="both"/>
              <w:rPr>
                <w:sz w:val="22"/>
                <w:szCs w:val="22"/>
              </w:rPr>
            </w:pPr>
            <w:r w:rsidRPr="00EB4FF5">
              <w:rPr>
                <w:sz w:val="22"/>
                <w:szCs w:val="22"/>
              </w:rPr>
              <w:t>Export Orientation</w:t>
            </w:r>
          </w:p>
        </w:tc>
        <w:tc>
          <w:tcPr>
            <w:tcW w:w="3888" w:type="dxa"/>
            <w:tcBorders>
              <w:top w:val="nil"/>
              <w:left w:val="nil"/>
              <w:bottom w:val="nil"/>
              <w:right w:val="nil"/>
            </w:tcBorders>
          </w:tcPr>
          <w:p w14:paraId="7F2F1D8F" w14:textId="77777777" w:rsidR="00724C44" w:rsidRPr="00EB4FF5" w:rsidRDefault="00724C44" w:rsidP="00EB4FF5">
            <w:pPr>
              <w:spacing w:after="0" w:line="240" w:lineRule="auto"/>
              <w:jc w:val="both"/>
              <w:rPr>
                <w:sz w:val="22"/>
                <w:szCs w:val="22"/>
              </w:rPr>
            </w:pPr>
            <w:r w:rsidRPr="00EB4FF5">
              <w:rPr>
                <w:sz w:val="22"/>
                <w:szCs w:val="22"/>
              </w:rPr>
              <w:t>0% (Domestic only)</w:t>
            </w:r>
          </w:p>
        </w:tc>
        <w:tc>
          <w:tcPr>
            <w:tcW w:w="1296" w:type="dxa"/>
            <w:tcBorders>
              <w:top w:val="nil"/>
              <w:left w:val="nil"/>
              <w:bottom w:val="nil"/>
              <w:right w:val="nil"/>
            </w:tcBorders>
          </w:tcPr>
          <w:p w14:paraId="4D8DF4AE" w14:textId="77777777" w:rsidR="00724C44" w:rsidRPr="00EB4FF5" w:rsidRDefault="00724C44" w:rsidP="00EB4FF5">
            <w:pPr>
              <w:spacing w:after="0" w:line="240" w:lineRule="auto"/>
              <w:jc w:val="both"/>
              <w:rPr>
                <w:sz w:val="22"/>
                <w:szCs w:val="22"/>
              </w:rPr>
            </w:pPr>
            <w:r w:rsidRPr="00EB4FF5">
              <w:rPr>
                <w:sz w:val="22"/>
                <w:szCs w:val="22"/>
              </w:rPr>
              <w:t>34</w:t>
            </w:r>
          </w:p>
        </w:tc>
        <w:tc>
          <w:tcPr>
            <w:tcW w:w="1728" w:type="dxa"/>
            <w:tcBorders>
              <w:top w:val="nil"/>
              <w:left w:val="nil"/>
              <w:bottom w:val="nil"/>
              <w:right w:val="nil"/>
            </w:tcBorders>
          </w:tcPr>
          <w:p w14:paraId="59F08942" w14:textId="77777777" w:rsidR="00724C44" w:rsidRPr="00EB4FF5" w:rsidRDefault="00724C44" w:rsidP="00EB4FF5">
            <w:pPr>
              <w:spacing w:after="0" w:line="240" w:lineRule="auto"/>
              <w:jc w:val="both"/>
              <w:rPr>
                <w:sz w:val="22"/>
                <w:szCs w:val="22"/>
              </w:rPr>
            </w:pPr>
            <w:r w:rsidRPr="00EB4FF5">
              <w:rPr>
                <w:sz w:val="22"/>
                <w:szCs w:val="22"/>
              </w:rPr>
              <w:t>8.5</w:t>
            </w:r>
          </w:p>
        </w:tc>
      </w:tr>
      <w:tr w:rsidR="00724C44" w:rsidRPr="00724C44" w14:paraId="24CB02A8" w14:textId="77777777" w:rsidTr="00A5379F">
        <w:tc>
          <w:tcPr>
            <w:tcW w:w="2304" w:type="dxa"/>
            <w:tcBorders>
              <w:top w:val="nil"/>
              <w:left w:val="nil"/>
              <w:bottom w:val="nil"/>
              <w:right w:val="nil"/>
            </w:tcBorders>
          </w:tcPr>
          <w:p w14:paraId="3BE50474"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5BE8A3D7" w14:textId="77777777" w:rsidR="00724C44" w:rsidRPr="00EB4FF5" w:rsidRDefault="00724C44" w:rsidP="00EB4FF5">
            <w:pPr>
              <w:spacing w:after="0" w:line="240" w:lineRule="auto"/>
              <w:jc w:val="both"/>
              <w:rPr>
                <w:sz w:val="22"/>
                <w:szCs w:val="22"/>
              </w:rPr>
            </w:pPr>
            <w:r w:rsidRPr="00EB4FF5">
              <w:rPr>
                <w:sz w:val="22"/>
                <w:szCs w:val="22"/>
              </w:rPr>
              <w:t>1-25%</w:t>
            </w:r>
          </w:p>
        </w:tc>
        <w:tc>
          <w:tcPr>
            <w:tcW w:w="1296" w:type="dxa"/>
            <w:tcBorders>
              <w:top w:val="nil"/>
              <w:left w:val="nil"/>
              <w:bottom w:val="nil"/>
              <w:right w:val="nil"/>
            </w:tcBorders>
          </w:tcPr>
          <w:p w14:paraId="06E256CF" w14:textId="77777777" w:rsidR="00724C44" w:rsidRPr="00EB4FF5" w:rsidRDefault="00724C44" w:rsidP="00EB4FF5">
            <w:pPr>
              <w:spacing w:after="0" w:line="240" w:lineRule="auto"/>
              <w:jc w:val="both"/>
              <w:rPr>
                <w:sz w:val="22"/>
                <w:szCs w:val="22"/>
              </w:rPr>
            </w:pPr>
            <w:r w:rsidRPr="00EB4FF5">
              <w:rPr>
                <w:sz w:val="22"/>
                <w:szCs w:val="22"/>
              </w:rPr>
              <w:t>145</w:t>
            </w:r>
          </w:p>
        </w:tc>
        <w:tc>
          <w:tcPr>
            <w:tcW w:w="1728" w:type="dxa"/>
            <w:tcBorders>
              <w:top w:val="nil"/>
              <w:left w:val="nil"/>
              <w:bottom w:val="nil"/>
              <w:right w:val="nil"/>
            </w:tcBorders>
          </w:tcPr>
          <w:p w14:paraId="342905A9" w14:textId="77777777" w:rsidR="00724C44" w:rsidRPr="00EB4FF5" w:rsidRDefault="00724C44" w:rsidP="00EB4FF5">
            <w:pPr>
              <w:spacing w:after="0" w:line="240" w:lineRule="auto"/>
              <w:jc w:val="both"/>
              <w:rPr>
                <w:sz w:val="22"/>
                <w:szCs w:val="22"/>
              </w:rPr>
            </w:pPr>
            <w:r w:rsidRPr="00EB4FF5">
              <w:rPr>
                <w:sz w:val="22"/>
                <w:szCs w:val="22"/>
              </w:rPr>
              <w:t>36.3</w:t>
            </w:r>
          </w:p>
        </w:tc>
      </w:tr>
      <w:tr w:rsidR="00724C44" w:rsidRPr="00724C44" w14:paraId="3856CE08" w14:textId="77777777" w:rsidTr="00A5379F">
        <w:tc>
          <w:tcPr>
            <w:tcW w:w="2304" w:type="dxa"/>
            <w:tcBorders>
              <w:top w:val="nil"/>
              <w:left w:val="nil"/>
              <w:bottom w:val="nil"/>
              <w:right w:val="nil"/>
            </w:tcBorders>
          </w:tcPr>
          <w:p w14:paraId="1B31ADD7"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5BE6DD88" w14:textId="77777777" w:rsidR="00724C44" w:rsidRPr="00EB4FF5" w:rsidRDefault="00724C44" w:rsidP="00EB4FF5">
            <w:pPr>
              <w:spacing w:after="0" w:line="240" w:lineRule="auto"/>
              <w:jc w:val="both"/>
              <w:rPr>
                <w:sz w:val="22"/>
                <w:szCs w:val="22"/>
              </w:rPr>
            </w:pPr>
            <w:r w:rsidRPr="00EB4FF5">
              <w:rPr>
                <w:sz w:val="22"/>
                <w:szCs w:val="22"/>
              </w:rPr>
              <w:t>26-50%</w:t>
            </w:r>
          </w:p>
        </w:tc>
        <w:tc>
          <w:tcPr>
            <w:tcW w:w="1296" w:type="dxa"/>
            <w:tcBorders>
              <w:top w:val="nil"/>
              <w:left w:val="nil"/>
              <w:bottom w:val="nil"/>
              <w:right w:val="nil"/>
            </w:tcBorders>
          </w:tcPr>
          <w:p w14:paraId="42CD8EBC" w14:textId="77777777" w:rsidR="00724C44" w:rsidRPr="00EB4FF5" w:rsidRDefault="00724C44" w:rsidP="00EB4FF5">
            <w:pPr>
              <w:spacing w:after="0" w:line="240" w:lineRule="auto"/>
              <w:jc w:val="both"/>
              <w:rPr>
                <w:sz w:val="22"/>
                <w:szCs w:val="22"/>
              </w:rPr>
            </w:pPr>
            <w:r w:rsidRPr="00EB4FF5">
              <w:rPr>
                <w:sz w:val="22"/>
                <w:szCs w:val="22"/>
              </w:rPr>
              <w:t>122</w:t>
            </w:r>
          </w:p>
        </w:tc>
        <w:tc>
          <w:tcPr>
            <w:tcW w:w="1728" w:type="dxa"/>
            <w:tcBorders>
              <w:top w:val="nil"/>
              <w:left w:val="nil"/>
              <w:bottom w:val="nil"/>
              <w:right w:val="nil"/>
            </w:tcBorders>
          </w:tcPr>
          <w:p w14:paraId="62E9A473" w14:textId="77777777" w:rsidR="00724C44" w:rsidRPr="00EB4FF5" w:rsidRDefault="00724C44" w:rsidP="00EB4FF5">
            <w:pPr>
              <w:spacing w:after="0" w:line="240" w:lineRule="auto"/>
              <w:jc w:val="both"/>
              <w:rPr>
                <w:sz w:val="22"/>
                <w:szCs w:val="22"/>
              </w:rPr>
            </w:pPr>
            <w:r w:rsidRPr="00EB4FF5">
              <w:rPr>
                <w:sz w:val="22"/>
                <w:szCs w:val="22"/>
              </w:rPr>
              <w:t>30.5</w:t>
            </w:r>
          </w:p>
        </w:tc>
      </w:tr>
      <w:tr w:rsidR="00724C44" w:rsidRPr="00724C44" w14:paraId="71F472B2" w14:textId="77777777" w:rsidTr="00A5379F">
        <w:tc>
          <w:tcPr>
            <w:tcW w:w="2304" w:type="dxa"/>
            <w:tcBorders>
              <w:top w:val="nil"/>
              <w:left w:val="nil"/>
              <w:bottom w:val="nil"/>
              <w:right w:val="nil"/>
            </w:tcBorders>
          </w:tcPr>
          <w:p w14:paraId="752AE537"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09A866CB" w14:textId="77777777" w:rsidR="00724C44" w:rsidRPr="00EB4FF5" w:rsidRDefault="00724C44" w:rsidP="00EB4FF5">
            <w:pPr>
              <w:spacing w:after="0" w:line="240" w:lineRule="auto"/>
              <w:jc w:val="both"/>
              <w:rPr>
                <w:sz w:val="22"/>
                <w:szCs w:val="22"/>
              </w:rPr>
            </w:pPr>
            <w:r w:rsidRPr="00EB4FF5">
              <w:rPr>
                <w:sz w:val="22"/>
                <w:szCs w:val="22"/>
              </w:rPr>
              <w:t>More than 50%</w:t>
            </w:r>
          </w:p>
        </w:tc>
        <w:tc>
          <w:tcPr>
            <w:tcW w:w="1296" w:type="dxa"/>
            <w:tcBorders>
              <w:top w:val="nil"/>
              <w:left w:val="nil"/>
              <w:bottom w:val="nil"/>
              <w:right w:val="nil"/>
            </w:tcBorders>
          </w:tcPr>
          <w:p w14:paraId="1C7C3E4F" w14:textId="77777777" w:rsidR="00724C44" w:rsidRPr="00EB4FF5" w:rsidRDefault="00724C44" w:rsidP="00EB4FF5">
            <w:pPr>
              <w:spacing w:after="0" w:line="240" w:lineRule="auto"/>
              <w:jc w:val="both"/>
              <w:rPr>
                <w:sz w:val="22"/>
                <w:szCs w:val="22"/>
              </w:rPr>
            </w:pPr>
            <w:r w:rsidRPr="00EB4FF5">
              <w:rPr>
                <w:sz w:val="22"/>
                <w:szCs w:val="22"/>
              </w:rPr>
              <w:t>99</w:t>
            </w:r>
          </w:p>
        </w:tc>
        <w:tc>
          <w:tcPr>
            <w:tcW w:w="1728" w:type="dxa"/>
            <w:tcBorders>
              <w:top w:val="nil"/>
              <w:left w:val="nil"/>
              <w:bottom w:val="nil"/>
              <w:right w:val="nil"/>
            </w:tcBorders>
          </w:tcPr>
          <w:p w14:paraId="656F17E4" w14:textId="77777777" w:rsidR="00724C44" w:rsidRPr="00EB4FF5" w:rsidRDefault="00724C44" w:rsidP="00EB4FF5">
            <w:pPr>
              <w:spacing w:after="0" w:line="240" w:lineRule="auto"/>
              <w:jc w:val="both"/>
              <w:rPr>
                <w:sz w:val="22"/>
                <w:szCs w:val="22"/>
              </w:rPr>
            </w:pPr>
            <w:r w:rsidRPr="00EB4FF5">
              <w:rPr>
                <w:sz w:val="22"/>
                <w:szCs w:val="22"/>
              </w:rPr>
              <w:t>24.8</w:t>
            </w:r>
          </w:p>
        </w:tc>
      </w:tr>
      <w:tr w:rsidR="00724C44" w:rsidRPr="00724C44" w14:paraId="198A7C8D" w14:textId="77777777" w:rsidTr="00A5379F">
        <w:tc>
          <w:tcPr>
            <w:tcW w:w="2304" w:type="dxa"/>
            <w:tcBorders>
              <w:top w:val="nil"/>
              <w:left w:val="nil"/>
              <w:bottom w:val="nil"/>
              <w:right w:val="nil"/>
            </w:tcBorders>
          </w:tcPr>
          <w:p w14:paraId="49E113F2" w14:textId="77777777" w:rsidR="00724C44" w:rsidRPr="00EB4FF5" w:rsidRDefault="00724C44" w:rsidP="00EB4FF5">
            <w:pPr>
              <w:spacing w:after="0" w:line="240" w:lineRule="auto"/>
              <w:jc w:val="both"/>
              <w:rPr>
                <w:sz w:val="22"/>
                <w:szCs w:val="22"/>
              </w:rPr>
            </w:pPr>
            <w:r w:rsidRPr="00EB4FF5">
              <w:rPr>
                <w:sz w:val="22"/>
                <w:szCs w:val="22"/>
              </w:rPr>
              <w:t>Annual Revenue</w:t>
            </w:r>
          </w:p>
        </w:tc>
        <w:tc>
          <w:tcPr>
            <w:tcW w:w="3888" w:type="dxa"/>
            <w:tcBorders>
              <w:top w:val="nil"/>
              <w:left w:val="nil"/>
              <w:bottom w:val="nil"/>
              <w:right w:val="nil"/>
            </w:tcBorders>
          </w:tcPr>
          <w:p w14:paraId="5AC6F95D" w14:textId="77777777" w:rsidR="00724C44" w:rsidRPr="00EB4FF5" w:rsidRDefault="00724C44" w:rsidP="00EB4FF5">
            <w:pPr>
              <w:spacing w:after="0" w:line="240" w:lineRule="auto"/>
              <w:jc w:val="both"/>
              <w:rPr>
                <w:sz w:val="22"/>
                <w:szCs w:val="22"/>
              </w:rPr>
            </w:pPr>
            <w:r w:rsidRPr="00EB4FF5">
              <w:rPr>
                <w:sz w:val="22"/>
                <w:szCs w:val="22"/>
              </w:rPr>
              <w:t>Less than 50 million THB</w:t>
            </w:r>
          </w:p>
        </w:tc>
        <w:tc>
          <w:tcPr>
            <w:tcW w:w="1296" w:type="dxa"/>
            <w:tcBorders>
              <w:top w:val="nil"/>
              <w:left w:val="nil"/>
              <w:bottom w:val="nil"/>
              <w:right w:val="nil"/>
            </w:tcBorders>
          </w:tcPr>
          <w:p w14:paraId="1E594572" w14:textId="77777777" w:rsidR="00724C44" w:rsidRPr="00EB4FF5" w:rsidRDefault="00724C44" w:rsidP="00EB4FF5">
            <w:pPr>
              <w:spacing w:after="0" w:line="240" w:lineRule="auto"/>
              <w:jc w:val="both"/>
              <w:rPr>
                <w:sz w:val="22"/>
                <w:szCs w:val="22"/>
              </w:rPr>
            </w:pPr>
            <w:r w:rsidRPr="00EB4FF5">
              <w:rPr>
                <w:sz w:val="22"/>
                <w:szCs w:val="22"/>
              </w:rPr>
              <w:t>69</w:t>
            </w:r>
          </w:p>
        </w:tc>
        <w:tc>
          <w:tcPr>
            <w:tcW w:w="1728" w:type="dxa"/>
            <w:tcBorders>
              <w:top w:val="nil"/>
              <w:left w:val="nil"/>
              <w:bottom w:val="nil"/>
              <w:right w:val="nil"/>
            </w:tcBorders>
          </w:tcPr>
          <w:p w14:paraId="61C9E607" w14:textId="77777777" w:rsidR="00724C44" w:rsidRPr="00EB4FF5" w:rsidRDefault="00724C44" w:rsidP="00EB4FF5">
            <w:pPr>
              <w:spacing w:after="0" w:line="240" w:lineRule="auto"/>
              <w:jc w:val="both"/>
              <w:rPr>
                <w:sz w:val="22"/>
                <w:szCs w:val="22"/>
              </w:rPr>
            </w:pPr>
            <w:r w:rsidRPr="00EB4FF5">
              <w:rPr>
                <w:sz w:val="22"/>
                <w:szCs w:val="22"/>
              </w:rPr>
              <w:t>17.3</w:t>
            </w:r>
          </w:p>
        </w:tc>
      </w:tr>
      <w:tr w:rsidR="00724C44" w:rsidRPr="00724C44" w14:paraId="5CB4FC77" w14:textId="77777777" w:rsidTr="00A5379F">
        <w:tc>
          <w:tcPr>
            <w:tcW w:w="2304" w:type="dxa"/>
            <w:tcBorders>
              <w:top w:val="nil"/>
              <w:left w:val="nil"/>
              <w:bottom w:val="nil"/>
              <w:right w:val="nil"/>
            </w:tcBorders>
          </w:tcPr>
          <w:p w14:paraId="70D8F72D"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4E8F5DE7" w14:textId="77777777" w:rsidR="00724C44" w:rsidRPr="00EB4FF5" w:rsidRDefault="00724C44" w:rsidP="00EB4FF5">
            <w:pPr>
              <w:spacing w:after="0" w:line="240" w:lineRule="auto"/>
              <w:jc w:val="both"/>
              <w:rPr>
                <w:sz w:val="22"/>
                <w:szCs w:val="22"/>
              </w:rPr>
            </w:pPr>
            <w:r w:rsidRPr="00EB4FF5">
              <w:rPr>
                <w:sz w:val="22"/>
                <w:szCs w:val="22"/>
              </w:rPr>
              <w:t>50-199 million THB</w:t>
            </w:r>
          </w:p>
        </w:tc>
        <w:tc>
          <w:tcPr>
            <w:tcW w:w="1296" w:type="dxa"/>
            <w:tcBorders>
              <w:top w:val="nil"/>
              <w:left w:val="nil"/>
              <w:bottom w:val="nil"/>
              <w:right w:val="nil"/>
            </w:tcBorders>
          </w:tcPr>
          <w:p w14:paraId="6D1237C3" w14:textId="77777777" w:rsidR="00724C44" w:rsidRPr="00EB4FF5" w:rsidRDefault="00724C44" w:rsidP="00EB4FF5">
            <w:pPr>
              <w:spacing w:after="0" w:line="240" w:lineRule="auto"/>
              <w:jc w:val="both"/>
              <w:rPr>
                <w:sz w:val="22"/>
                <w:szCs w:val="22"/>
              </w:rPr>
            </w:pPr>
            <w:r w:rsidRPr="00EB4FF5">
              <w:rPr>
                <w:sz w:val="22"/>
                <w:szCs w:val="22"/>
              </w:rPr>
              <w:t>95</w:t>
            </w:r>
          </w:p>
        </w:tc>
        <w:tc>
          <w:tcPr>
            <w:tcW w:w="1728" w:type="dxa"/>
            <w:tcBorders>
              <w:top w:val="nil"/>
              <w:left w:val="nil"/>
              <w:bottom w:val="nil"/>
              <w:right w:val="nil"/>
            </w:tcBorders>
          </w:tcPr>
          <w:p w14:paraId="6EF233AA" w14:textId="77777777" w:rsidR="00724C44" w:rsidRPr="00EB4FF5" w:rsidRDefault="00724C44" w:rsidP="00EB4FF5">
            <w:pPr>
              <w:spacing w:after="0" w:line="240" w:lineRule="auto"/>
              <w:jc w:val="both"/>
              <w:rPr>
                <w:sz w:val="22"/>
                <w:szCs w:val="22"/>
              </w:rPr>
            </w:pPr>
            <w:r w:rsidRPr="00EB4FF5">
              <w:rPr>
                <w:sz w:val="22"/>
                <w:szCs w:val="22"/>
              </w:rPr>
              <w:t>23.8</w:t>
            </w:r>
          </w:p>
        </w:tc>
      </w:tr>
      <w:tr w:rsidR="00724C44" w:rsidRPr="00724C44" w14:paraId="4982899A" w14:textId="77777777" w:rsidTr="00A5379F">
        <w:tc>
          <w:tcPr>
            <w:tcW w:w="2304" w:type="dxa"/>
            <w:tcBorders>
              <w:top w:val="nil"/>
              <w:left w:val="nil"/>
              <w:bottom w:val="nil"/>
              <w:right w:val="nil"/>
            </w:tcBorders>
          </w:tcPr>
          <w:p w14:paraId="264636E0"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6EB3FA73" w14:textId="77777777" w:rsidR="00724C44" w:rsidRPr="00EB4FF5" w:rsidRDefault="00724C44" w:rsidP="00EB4FF5">
            <w:pPr>
              <w:spacing w:after="0" w:line="240" w:lineRule="auto"/>
              <w:jc w:val="both"/>
              <w:rPr>
                <w:sz w:val="22"/>
                <w:szCs w:val="22"/>
              </w:rPr>
            </w:pPr>
            <w:r w:rsidRPr="00EB4FF5">
              <w:rPr>
                <w:sz w:val="22"/>
                <w:szCs w:val="22"/>
              </w:rPr>
              <w:t>200-499 million THB</w:t>
            </w:r>
          </w:p>
        </w:tc>
        <w:tc>
          <w:tcPr>
            <w:tcW w:w="1296" w:type="dxa"/>
            <w:tcBorders>
              <w:top w:val="nil"/>
              <w:left w:val="nil"/>
              <w:bottom w:val="nil"/>
              <w:right w:val="nil"/>
            </w:tcBorders>
          </w:tcPr>
          <w:p w14:paraId="099C0E22" w14:textId="77777777" w:rsidR="00724C44" w:rsidRPr="00EB4FF5" w:rsidRDefault="00724C44" w:rsidP="00EB4FF5">
            <w:pPr>
              <w:spacing w:after="0" w:line="240" w:lineRule="auto"/>
              <w:jc w:val="both"/>
              <w:rPr>
                <w:sz w:val="22"/>
                <w:szCs w:val="22"/>
              </w:rPr>
            </w:pPr>
            <w:r w:rsidRPr="00EB4FF5">
              <w:rPr>
                <w:sz w:val="22"/>
                <w:szCs w:val="22"/>
              </w:rPr>
              <w:t>100</w:t>
            </w:r>
          </w:p>
        </w:tc>
        <w:tc>
          <w:tcPr>
            <w:tcW w:w="1728" w:type="dxa"/>
            <w:tcBorders>
              <w:top w:val="nil"/>
              <w:left w:val="nil"/>
              <w:bottom w:val="nil"/>
              <w:right w:val="nil"/>
            </w:tcBorders>
          </w:tcPr>
          <w:p w14:paraId="42D6E7AC" w14:textId="77777777" w:rsidR="00724C44" w:rsidRPr="00EB4FF5" w:rsidRDefault="00724C44" w:rsidP="00EB4FF5">
            <w:pPr>
              <w:spacing w:after="0" w:line="240" w:lineRule="auto"/>
              <w:jc w:val="both"/>
              <w:rPr>
                <w:sz w:val="22"/>
                <w:szCs w:val="22"/>
              </w:rPr>
            </w:pPr>
            <w:r w:rsidRPr="00EB4FF5">
              <w:rPr>
                <w:sz w:val="22"/>
                <w:szCs w:val="22"/>
              </w:rPr>
              <w:t>25.0</w:t>
            </w:r>
          </w:p>
        </w:tc>
      </w:tr>
      <w:tr w:rsidR="00724C44" w:rsidRPr="00724C44" w14:paraId="0DC1E200" w14:textId="77777777" w:rsidTr="00A5379F">
        <w:tc>
          <w:tcPr>
            <w:tcW w:w="2304" w:type="dxa"/>
            <w:tcBorders>
              <w:top w:val="nil"/>
              <w:left w:val="nil"/>
              <w:bottom w:val="nil"/>
              <w:right w:val="nil"/>
            </w:tcBorders>
          </w:tcPr>
          <w:p w14:paraId="2FE5A3CD"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17C9B48F" w14:textId="77777777" w:rsidR="00724C44" w:rsidRPr="00EB4FF5" w:rsidRDefault="00724C44" w:rsidP="00EB4FF5">
            <w:pPr>
              <w:spacing w:after="0" w:line="240" w:lineRule="auto"/>
              <w:jc w:val="both"/>
              <w:rPr>
                <w:sz w:val="22"/>
                <w:szCs w:val="22"/>
              </w:rPr>
            </w:pPr>
            <w:r w:rsidRPr="00EB4FF5">
              <w:rPr>
                <w:sz w:val="22"/>
                <w:szCs w:val="22"/>
              </w:rPr>
              <w:t>500-999 million THB</w:t>
            </w:r>
          </w:p>
        </w:tc>
        <w:tc>
          <w:tcPr>
            <w:tcW w:w="1296" w:type="dxa"/>
            <w:tcBorders>
              <w:top w:val="nil"/>
              <w:left w:val="nil"/>
              <w:bottom w:val="nil"/>
              <w:right w:val="nil"/>
            </w:tcBorders>
          </w:tcPr>
          <w:p w14:paraId="3020978F" w14:textId="77777777" w:rsidR="00724C44" w:rsidRPr="00EB4FF5" w:rsidRDefault="00724C44" w:rsidP="00EB4FF5">
            <w:pPr>
              <w:spacing w:after="0" w:line="240" w:lineRule="auto"/>
              <w:jc w:val="both"/>
              <w:rPr>
                <w:sz w:val="22"/>
                <w:szCs w:val="22"/>
              </w:rPr>
            </w:pPr>
            <w:r w:rsidRPr="00EB4FF5">
              <w:rPr>
                <w:sz w:val="22"/>
                <w:szCs w:val="22"/>
              </w:rPr>
              <w:t>61</w:t>
            </w:r>
          </w:p>
        </w:tc>
        <w:tc>
          <w:tcPr>
            <w:tcW w:w="1728" w:type="dxa"/>
            <w:tcBorders>
              <w:top w:val="nil"/>
              <w:left w:val="nil"/>
              <w:bottom w:val="nil"/>
              <w:right w:val="nil"/>
            </w:tcBorders>
          </w:tcPr>
          <w:p w14:paraId="6D6318F8" w14:textId="77777777" w:rsidR="00724C44" w:rsidRPr="00EB4FF5" w:rsidRDefault="00724C44" w:rsidP="00EB4FF5">
            <w:pPr>
              <w:spacing w:after="0" w:line="240" w:lineRule="auto"/>
              <w:jc w:val="both"/>
              <w:rPr>
                <w:sz w:val="22"/>
                <w:szCs w:val="22"/>
              </w:rPr>
            </w:pPr>
            <w:r w:rsidRPr="00EB4FF5">
              <w:rPr>
                <w:sz w:val="22"/>
                <w:szCs w:val="22"/>
              </w:rPr>
              <w:t>15.3</w:t>
            </w:r>
          </w:p>
        </w:tc>
      </w:tr>
      <w:tr w:rsidR="00724C44" w:rsidRPr="00724C44" w14:paraId="7CBA111B" w14:textId="77777777" w:rsidTr="00A5379F">
        <w:tc>
          <w:tcPr>
            <w:tcW w:w="2304" w:type="dxa"/>
            <w:tcBorders>
              <w:top w:val="nil"/>
              <w:left w:val="nil"/>
              <w:bottom w:val="nil"/>
              <w:right w:val="nil"/>
            </w:tcBorders>
          </w:tcPr>
          <w:p w14:paraId="6207CFDF"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60BE8EDA" w14:textId="77777777" w:rsidR="00724C44" w:rsidRPr="00EB4FF5" w:rsidRDefault="00724C44" w:rsidP="00EB4FF5">
            <w:pPr>
              <w:spacing w:after="0" w:line="240" w:lineRule="auto"/>
              <w:jc w:val="both"/>
              <w:rPr>
                <w:sz w:val="22"/>
                <w:szCs w:val="22"/>
              </w:rPr>
            </w:pPr>
            <w:r w:rsidRPr="00EB4FF5">
              <w:rPr>
                <w:sz w:val="22"/>
                <w:szCs w:val="22"/>
              </w:rPr>
              <w:t>1-5 billion THB</w:t>
            </w:r>
          </w:p>
        </w:tc>
        <w:tc>
          <w:tcPr>
            <w:tcW w:w="1296" w:type="dxa"/>
            <w:tcBorders>
              <w:top w:val="nil"/>
              <w:left w:val="nil"/>
              <w:bottom w:val="nil"/>
              <w:right w:val="nil"/>
            </w:tcBorders>
          </w:tcPr>
          <w:p w14:paraId="097B302B" w14:textId="77777777" w:rsidR="00724C44" w:rsidRPr="00EB4FF5" w:rsidRDefault="00724C44" w:rsidP="00EB4FF5">
            <w:pPr>
              <w:spacing w:after="0" w:line="240" w:lineRule="auto"/>
              <w:jc w:val="both"/>
              <w:rPr>
                <w:sz w:val="22"/>
                <w:szCs w:val="22"/>
              </w:rPr>
            </w:pPr>
            <w:r w:rsidRPr="00EB4FF5">
              <w:rPr>
                <w:sz w:val="22"/>
                <w:szCs w:val="22"/>
              </w:rPr>
              <w:t>18</w:t>
            </w:r>
          </w:p>
        </w:tc>
        <w:tc>
          <w:tcPr>
            <w:tcW w:w="1728" w:type="dxa"/>
            <w:tcBorders>
              <w:top w:val="nil"/>
              <w:left w:val="nil"/>
              <w:bottom w:val="nil"/>
              <w:right w:val="nil"/>
            </w:tcBorders>
          </w:tcPr>
          <w:p w14:paraId="55F39578" w14:textId="77777777" w:rsidR="00724C44" w:rsidRPr="00EB4FF5" w:rsidRDefault="00724C44" w:rsidP="00EB4FF5">
            <w:pPr>
              <w:spacing w:after="0" w:line="240" w:lineRule="auto"/>
              <w:jc w:val="both"/>
              <w:rPr>
                <w:sz w:val="22"/>
                <w:szCs w:val="22"/>
              </w:rPr>
            </w:pPr>
            <w:r w:rsidRPr="00EB4FF5">
              <w:rPr>
                <w:sz w:val="22"/>
                <w:szCs w:val="22"/>
              </w:rPr>
              <w:t>4.5</w:t>
            </w:r>
          </w:p>
        </w:tc>
      </w:tr>
      <w:tr w:rsidR="00724C44" w:rsidRPr="00724C44" w14:paraId="49C408AE" w14:textId="77777777" w:rsidTr="00A5379F">
        <w:tc>
          <w:tcPr>
            <w:tcW w:w="2304" w:type="dxa"/>
            <w:tcBorders>
              <w:top w:val="nil"/>
              <w:left w:val="nil"/>
              <w:bottom w:val="nil"/>
              <w:right w:val="nil"/>
            </w:tcBorders>
          </w:tcPr>
          <w:p w14:paraId="092F23F6"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0833E40" w14:textId="77777777" w:rsidR="00724C44" w:rsidRPr="00EB4FF5" w:rsidRDefault="00724C44" w:rsidP="00EB4FF5">
            <w:pPr>
              <w:spacing w:after="0" w:line="240" w:lineRule="auto"/>
              <w:jc w:val="both"/>
              <w:rPr>
                <w:sz w:val="22"/>
                <w:szCs w:val="22"/>
              </w:rPr>
            </w:pPr>
            <w:r w:rsidRPr="00EB4FF5">
              <w:rPr>
                <w:sz w:val="22"/>
                <w:szCs w:val="22"/>
              </w:rPr>
              <w:t>More than 5 billion THB</w:t>
            </w:r>
          </w:p>
        </w:tc>
        <w:tc>
          <w:tcPr>
            <w:tcW w:w="1296" w:type="dxa"/>
            <w:tcBorders>
              <w:top w:val="nil"/>
              <w:left w:val="nil"/>
              <w:bottom w:val="nil"/>
              <w:right w:val="nil"/>
            </w:tcBorders>
          </w:tcPr>
          <w:p w14:paraId="75F80BB1" w14:textId="77777777" w:rsidR="00724C44" w:rsidRPr="00EB4FF5" w:rsidRDefault="00724C44" w:rsidP="00EB4FF5">
            <w:pPr>
              <w:spacing w:after="0" w:line="240" w:lineRule="auto"/>
              <w:jc w:val="both"/>
              <w:rPr>
                <w:sz w:val="22"/>
                <w:szCs w:val="22"/>
              </w:rPr>
            </w:pPr>
            <w:r w:rsidRPr="00EB4FF5">
              <w:rPr>
                <w:sz w:val="22"/>
                <w:szCs w:val="22"/>
              </w:rPr>
              <w:t>57</w:t>
            </w:r>
          </w:p>
        </w:tc>
        <w:tc>
          <w:tcPr>
            <w:tcW w:w="1728" w:type="dxa"/>
            <w:tcBorders>
              <w:top w:val="nil"/>
              <w:left w:val="nil"/>
              <w:bottom w:val="nil"/>
              <w:right w:val="nil"/>
            </w:tcBorders>
          </w:tcPr>
          <w:p w14:paraId="47E57B9D" w14:textId="77777777" w:rsidR="00724C44" w:rsidRPr="00EB4FF5" w:rsidRDefault="00724C44" w:rsidP="00EB4FF5">
            <w:pPr>
              <w:spacing w:after="0" w:line="240" w:lineRule="auto"/>
              <w:jc w:val="both"/>
              <w:rPr>
                <w:sz w:val="22"/>
                <w:szCs w:val="22"/>
              </w:rPr>
            </w:pPr>
            <w:r w:rsidRPr="00EB4FF5">
              <w:rPr>
                <w:sz w:val="22"/>
                <w:szCs w:val="22"/>
              </w:rPr>
              <w:t>14.2</w:t>
            </w:r>
          </w:p>
        </w:tc>
      </w:tr>
      <w:tr w:rsidR="00724C44" w:rsidRPr="00724C44" w14:paraId="2925DC94" w14:textId="77777777" w:rsidTr="00A5379F">
        <w:tc>
          <w:tcPr>
            <w:tcW w:w="2304" w:type="dxa"/>
            <w:tcBorders>
              <w:top w:val="nil"/>
              <w:left w:val="nil"/>
              <w:bottom w:val="nil"/>
              <w:right w:val="nil"/>
            </w:tcBorders>
          </w:tcPr>
          <w:p w14:paraId="008DE277" w14:textId="77777777" w:rsidR="00724C44" w:rsidRPr="00EB4FF5" w:rsidRDefault="00724C44" w:rsidP="00EB4FF5">
            <w:pPr>
              <w:spacing w:after="0" w:line="240" w:lineRule="auto"/>
              <w:jc w:val="both"/>
              <w:rPr>
                <w:sz w:val="22"/>
                <w:szCs w:val="22"/>
              </w:rPr>
            </w:pPr>
            <w:r w:rsidRPr="00EB4FF5">
              <w:rPr>
                <w:sz w:val="22"/>
                <w:szCs w:val="22"/>
              </w:rPr>
              <w:t>Stock Listing Status</w:t>
            </w:r>
          </w:p>
        </w:tc>
        <w:tc>
          <w:tcPr>
            <w:tcW w:w="3888" w:type="dxa"/>
            <w:tcBorders>
              <w:top w:val="nil"/>
              <w:left w:val="nil"/>
              <w:bottom w:val="nil"/>
              <w:right w:val="nil"/>
            </w:tcBorders>
          </w:tcPr>
          <w:p w14:paraId="5E35AE3E" w14:textId="77777777" w:rsidR="00724C44" w:rsidRPr="00EB4FF5" w:rsidRDefault="00724C44" w:rsidP="00EB4FF5">
            <w:pPr>
              <w:spacing w:after="0" w:line="240" w:lineRule="auto"/>
              <w:jc w:val="both"/>
              <w:rPr>
                <w:sz w:val="22"/>
                <w:szCs w:val="22"/>
              </w:rPr>
            </w:pPr>
            <w:r w:rsidRPr="00EB4FF5">
              <w:rPr>
                <w:sz w:val="22"/>
                <w:szCs w:val="22"/>
              </w:rPr>
              <w:t>SET (Stock Exchange of Thailand)</w:t>
            </w:r>
          </w:p>
        </w:tc>
        <w:tc>
          <w:tcPr>
            <w:tcW w:w="1296" w:type="dxa"/>
            <w:tcBorders>
              <w:top w:val="nil"/>
              <w:left w:val="nil"/>
              <w:bottom w:val="nil"/>
              <w:right w:val="nil"/>
            </w:tcBorders>
          </w:tcPr>
          <w:p w14:paraId="4C6A7783" w14:textId="77777777" w:rsidR="00724C44" w:rsidRPr="00EB4FF5" w:rsidRDefault="00724C44" w:rsidP="00EB4FF5">
            <w:pPr>
              <w:spacing w:after="0" w:line="240" w:lineRule="auto"/>
              <w:jc w:val="both"/>
              <w:rPr>
                <w:sz w:val="22"/>
                <w:szCs w:val="22"/>
              </w:rPr>
            </w:pPr>
            <w:r w:rsidRPr="00EB4FF5">
              <w:rPr>
                <w:sz w:val="22"/>
                <w:szCs w:val="22"/>
              </w:rPr>
              <w:t>29</w:t>
            </w:r>
          </w:p>
        </w:tc>
        <w:tc>
          <w:tcPr>
            <w:tcW w:w="1728" w:type="dxa"/>
            <w:tcBorders>
              <w:top w:val="nil"/>
              <w:left w:val="nil"/>
              <w:bottom w:val="nil"/>
              <w:right w:val="nil"/>
            </w:tcBorders>
          </w:tcPr>
          <w:p w14:paraId="2B77AC9D" w14:textId="77777777" w:rsidR="00724C44" w:rsidRPr="00EB4FF5" w:rsidRDefault="00724C44" w:rsidP="00EB4FF5">
            <w:pPr>
              <w:spacing w:after="0" w:line="240" w:lineRule="auto"/>
              <w:jc w:val="both"/>
              <w:rPr>
                <w:sz w:val="22"/>
                <w:szCs w:val="22"/>
              </w:rPr>
            </w:pPr>
            <w:r w:rsidRPr="00EB4FF5">
              <w:rPr>
                <w:sz w:val="22"/>
                <w:szCs w:val="22"/>
              </w:rPr>
              <w:t>7.2</w:t>
            </w:r>
          </w:p>
        </w:tc>
      </w:tr>
      <w:tr w:rsidR="00724C44" w:rsidRPr="00724C44" w14:paraId="2244E4C2" w14:textId="77777777" w:rsidTr="00A5379F">
        <w:tc>
          <w:tcPr>
            <w:tcW w:w="2304" w:type="dxa"/>
            <w:tcBorders>
              <w:top w:val="nil"/>
              <w:left w:val="nil"/>
              <w:bottom w:val="nil"/>
              <w:right w:val="nil"/>
            </w:tcBorders>
          </w:tcPr>
          <w:p w14:paraId="2C8BCF91"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0AA6B131" w14:textId="77777777" w:rsidR="00724C44" w:rsidRPr="00EB4FF5" w:rsidRDefault="00724C44" w:rsidP="00EB4FF5">
            <w:pPr>
              <w:spacing w:after="0" w:line="240" w:lineRule="auto"/>
              <w:jc w:val="both"/>
              <w:rPr>
                <w:sz w:val="22"/>
                <w:szCs w:val="22"/>
              </w:rPr>
            </w:pPr>
            <w:r w:rsidRPr="00EB4FF5">
              <w:rPr>
                <w:sz w:val="22"/>
                <w:szCs w:val="22"/>
              </w:rPr>
              <w:t>MAI (Market for Alternative Investment)</w:t>
            </w:r>
          </w:p>
        </w:tc>
        <w:tc>
          <w:tcPr>
            <w:tcW w:w="1296" w:type="dxa"/>
            <w:tcBorders>
              <w:top w:val="nil"/>
              <w:left w:val="nil"/>
              <w:bottom w:val="nil"/>
              <w:right w:val="nil"/>
            </w:tcBorders>
          </w:tcPr>
          <w:p w14:paraId="37E84B2A" w14:textId="77777777" w:rsidR="00724C44" w:rsidRPr="00EB4FF5" w:rsidRDefault="00724C44" w:rsidP="00EB4FF5">
            <w:pPr>
              <w:spacing w:after="0" w:line="240" w:lineRule="auto"/>
              <w:jc w:val="both"/>
              <w:rPr>
                <w:sz w:val="22"/>
                <w:szCs w:val="22"/>
              </w:rPr>
            </w:pPr>
            <w:r w:rsidRPr="00EB4FF5">
              <w:rPr>
                <w:sz w:val="22"/>
                <w:szCs w:val="22"/>
              </w:rPr>
              <w:t>30</w:t>
            </w:r>
          </w:p>
        </w:tc>
        <w:tc>
          <w:tcPr>
            <w:tcW w:w="1728" w:type="dxa"/>
            <w:tcBorders>
              <w:top w:val="nil"/>
              <w:left w:val="nil"/>
              <w:bottom w:val="nil"/>
              <w:right w:val="nil"/>
            </w:tcBorders>
          </w:tcPr>
          <w:p w14:paraId="65986418" w14:textId="77777777" w:rsidR="00724C44" w:rsidRPr="00EB4FF5" w:rsidRDefault="00724C44" w:rsidP="00EB4FF5">
            <w:pPr>
              <w:spacing w:after="0" w:line="240" w:lineRule="auto"/>
              <w:jc w:val="both"/>
              <w:rPr>
                <w:sz w:val="22"/>
                <w:szCs w:val="22"/>
              </w:rPr>
            </w:pPr>
            <w:r w:rsidRPr="00EB4FF5">
              <w:rPr>
                <w:sz w:val="22"/>
                <w:szCs w:val="22"/>
              </w:rPr>
              <w:t>7.5</w:t>
            </w:r>
          </w:p>
        </w:tc>
      </w:tr>
      <w:tr w:rsidR="00724C44" w:rsidRPr="00724C44" w14:paraId="56061EB0" w14:textId="77777777" w:rsidTr="00A5379F">
        <w:tc>
          <w:tcPr>
            <w:tcW w:w="2304" w:type="dxa"/>
            <w:tcBorders>
              <w:top w:val="nil"/>
              <w:left w:val="nil"/>
              <w:bottom w:val="nil"/>
              <w:right w:val="nil"/>
            </w:tcBorders>
          </w:tcPr>
          <w:p w14:paraId="48089981"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0CF5B818" w14:textId="77777777" w:rsidR="00724C44" w:rsidRPr="00EB4FF5" w:rsidRDefault="00724C44" w:rsidP="00EB4FF5">
            <w:pPr>
              <w:spacing w:after="0" w:line="240" w:lineRule="auto"/>
              <w:jc w:val="both"/>
              <w:rPr>
                <w:sz w:val="22"/>
                <w:szCs w:val="22"/>
              </w:rPr>
            </w:pPr>
            <w:r w:rsidRPr="00EB4FF5">
              <w:rPr>
                <w:sz w:val="22"/>
                <w:szCs w:val="22"/>
              </w:rPr>
              <w:t>Foreign stock exchange</w:t>
            </w:r>
          </w:p>
        </w:tc>
        <w:tc>
          <w:tcPr>
            <w:tcW w:w="1296" w:type="dxa"/>
            <w:tcBorders>
              <w:top w:val="nil"/>
              <w:left w:val="nil"/>
              <w:bottom w:val="nil"/>
              <w:right w:val="nil"/>
            </w:tcBorders>
          </w:tcPr>
          <w:p w14:paraId="49A4161C" w14:textId="77777777" w:rsidR="00724C44" w:rsidRPr="00EB4FF5" w:rsidRDefault="00724C44" w:rsidP="00EB4FF5">
            <w:pPr>
              <w:spacing w:after="0" w:line="240" w:lineRule="auto"/>
              <w:jc w:val="both"/>
              <w:rPr>
                <w:sz w:val="22"/>
                <w:szCs w:val="22"/>
              </w:rPr>
            </w:pPr>
            <w:r w:rsidRPr="00EB4FF5">
              <w:rPr>
                <w:sz w:val="22"/>
                <w:szCs w:val="22"/>
              </w:rPr>
              <w:t>13</w:t>
            </w:r>
          </w:p>
        </w:tc>
        <w:tc>
          <w:tcPr>
            <w:tcW w:w="1728" w:type="dxa"/>
            <w:tcBorders>
              <w:top w:val="nil"/>
              <w:left w:val="nil"/>
              <w:bottom w:val="nil"/>
              <w:right w:val="nil"/>
            </w:tcBorders>
          </w:tcPr>
          <w:p w14:paraId="36F0FC26" w14:textId="77777777" w:rsidR="00724C44" w:rsidRPr="00EB4FF5" w:rsidRDefault="00724C44" w:rsidP="00EB4FF5">
            <w:pPr>
              <w:spacing w:after="0" w:line="240" w:lineRule="auto"/>
              <w:jc w:val="both"/>
              <w:rPr>
                <w:sz w:val="22"/>
                <w:szCs w:val="22"/>
              </w:rPr>
            </w:pPr>
            <w:r w:rsidRPr="00EB4FF5">
              <w:rPr>
                <w:sz w:val="22"/>
                <w:szCs w:val="22"/>
              </w:rPr>
              <w:t>3.3</w:t>
            </w:r>
          </w:p>
        </w:tc>
      </w:tr>
      <w:tr w:rsidR="00724C44" w:rsidRPr="00724C44" w14:paraId="070F95F8" w14:textId="77777777" w:rsidTr="00A5379F">
        <w:tc>
          <w:tcPr>
            <w:tcW w:w="2304" w:type="dxa"/>
            <w:tcBorders>
              <w:top w:val="nil"/>
              <w:left w:val="nil"/>
              <w:bottom w:val="nil"/>
              <w:right w:val="nil"/>
            </w:tcBorders>
          </w:tcPr>
          <w:p w14:paraId="43D41A75"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3B07D026" w14:textId="77777777" w:rsidR="00724C44" w:rsidRPr="00EB4FF5" w:rsidRDefault="00724C44" w:rsidP="00EB4FF5">
            <w:pPr>
              <w:spacing w:after="0" w:line="240" w:lineRule="auto"/>
              <w:jc w:val="both"/>
              <w:rPr>
                <w:sz w:val="22"/>
                <w:szCs w:val="22"/>
              </w:rPr>
            </w:pPr>
            <w:r w:rsidRPr="00EB4FF5">
              <w:rPr>
                <w:sz w:val="22"/>
                <w:szCs w:val="22"/>
              </w:rPr>
              <w:t>Not publicly listed</w:t>
            </w:r>
          </w:p>
        </w:tc>
        <w:tc>
          <w:tcPr>
            <w:tcW w:w="1296" w:type="dxa"/>
            <w:tcBorders>
              <w:top w:val="nil"/>
              <w:left w:val="nil"/>
              <w:bottom w:val="nil"/>
              <w:right w:val="nil"/>
            </w:tcBorders>
          </w:tcPr>
          <w:p w14:paraId="35C90CE2" w14:textId="77777777" w:rsidR="00724C44" w:rsidRPr="00EB4FF5" w:rsidRDefault="00724C44" w:rsidP="00EB4FF5">
            <w:pPr>
              <w:spacing w:after="0" w:line="240" w:lineRule="auto"/>
              <w:jc w:val="both"/>
              <w:rPr>
                <w:sz w:val="22"/>
                <w:szCs w:val="22"/>
              </w:rPr>
            </w:pPr>
            <w:r w:rsidRPr="00EB4FF5">
              <w:rPr>
                <w:sz w:val="22"/>
                <w:szCs w:val="22"/>
              </w:rPr>
              <w:t>328</w:t>
            </w:r>
          </w:p>
        </w:tc>
        <w:tc>
          <w:tcPr>
            <w:tcW w:w="1728" w:type="dxa"/>
            <w:tcBorders>
              <w:top w:val="nil"/>
              <w:left w:val="nil"/>
              <w:bottom w:val="nil"/>
              <w:right w:val="nil"/>
            </w:tcBorders>
          </w:tcPr>
          <w:p w14:paraId="7D001416" w14:textId="77777777" w:rsidR="00724C44" w:rsidRPr="00EB4FF5" w:rsidRDefault="00724C44" w:rsidP="00EB4FF5">
            <w:pPr>
              <w:spacing w:after="0" w:line="240" w:lineRule="auto"/>
              <w:jc w:val="both"/>
              <w:rPr>
                <w:sz w:val="22"/>
                <w:szCs w:val="22"/>
              </w:rPr>
            </w:pPr>
            <w:r w:rsidRPr="00EB4FF5">
              <w:rPr>
                <w:sz w:val="22"/>
                <w:szCs w:val="22"/>
              </w:rPr>
              <w:t>82.0</w:t>
            </w:r>
          </w:p>
        </w:tc>
      </w:tr>
      <w:tr w:rsidR="00724C44" w:rsidRPr="00724C44" w14:paraId="2BF41EDF" w14:textId="77777777" w:rsidTr="00A5379F">
        <w:tc>
          <w:tcPr>
            <w:tcW w:w="2304" w:type="dxa"/>
            <w:tcBorders>
              <w:top w:val="nil"/>
              <w:left w:val="nil"/>
              <w:bottom w:val="nil"/>
              <w:right w:val="nil"/>
            </w:tcBorders>
          </w:tcPr>
          <w:p w14:paraId="7BF8F5E0" w14:textId="77777777" w:rsidR="00724C44" w:rsidRPr="00EB4FF5" w:rsidRDefault="00724C44" w:rsidP="00EB4FF5">
            <w:pPr>
              <w:spacing w:after="0" w:line="240" w:lineRule="auto"/>
              <w:jc w:val="both"/>
              <w:rPr>
                <w:sz w:val="22"/>
                <w:szCs w:val="22"/>
              </w:rPr>
            </w:pPr>
            <w:r w:rsidRPr="00EB4FF5">
              <w:rPr>
                <w:sz w:val="22"/>
                <w:szCs w:val="22"/>
              </w:rPr>
              <w:lastRenderedPageBreak/>
              <w:t>MNC Supplier Status</w:t>
            </w:r>
          </w:p>
        </w:tc>
        <w:tc>
          <w:tcPr>
            <w:tcW w:w="3888" w:type="dxa"/>
            <w:tcBorders>
              <w:top w:val="nil"/>
              <w:left w:val="nil"/>
              <w:bottom w:val="nil"/>
              <w:right w:val="nil"/>
            </w:tcBorders>
          </w:tcPr>
          <w:p w14:paraId="18FD87B7" w14:textId="77777777" w:rsidR="00724C44" w:rsidRPr="00EB4FF5" w:rsidRDefault="00724C44" w:rsidP="00EB4FF5">
            <w:pPr>
              <w:spacing w:after="0" w:line="240" w:lineRule="auto"/>
              <w:jc w:val="both"/>
              <w:rPr>
                <w:sz w:val="22"/>
                <w:szCs w:val="22"/>
              </w:rPr>
            </w:pPr>
            <w:r w:rsidRPr="00EB4FF5">
              <w:rPr>
                <w:sz w:val="22"/>
                <w:szCs w:val="22"/>
              </w:rPr>
              <w:t>Primary supplier (Tier 1)</w:t>
            </w:r>
          </w:p>
        </w:tc>
        <w:tc>
          <w:tcPr>
            <w:tcW w:w="1296" w:type="dxa"/>
            <w:tcBorders>
              <w:top w:val="nil"/>
              <w:left w:val="nil"/>
              <w:bottom w:val="nil"/>
              <w:right w:val="nil"/>
            </w:tcBorders>
          </w:tcPr>
          <w:p w14:paraId="514C3C57" w14:textId="77777777" w:rsidR="00724C44" w:rsidRPr="00EB4FF5" w:rsidRDefault="00724C44" w:rsidP="00EB4FF5">
            <w:pPr>
              <w:spacing w:after="0" w:line="240" w:lineRule="auto"/>
              <w:jc w:val="both"/>
              <w:rPr>
                <w:sz w:val="22"/>
                <w:szCs w:val="22"/>
              </w:rPr>
            </w:pPr>
            <w:r w:rsidRPr="00EB4FF5">
              <w:rPr>
                <w:sz w:val="22"/>
                <w:szCs w:val="22"/>
              </w:rPr>
              <w:t>29</w:t>
            </w:r>
          </w:p>
        </w:tc>
        <w:tc>
          <w:tcPr>
            <w:tcW w:w="1728" w:type="dxa"/>
            <w:tcBorders>
              <w:top w:val="nil"/>
              <w:left w:val="nil"/>
              <w:bottom w:val="nil"/>
              <w:right w:val="nil"/>
            </w:tcBorders>
          </w:tcPr>
          <w:p w14:paraId="74B3ACAB" w14:textId="77777777" w:rsidR="00724C44" w:rsidRPr="00EB4FF5" w:rsidRDefault="00724C44" w:rsidP="00EB4FF5">
            <w:pPr>
              <w:spacing w:after="0" w:line="240" w:lineRule="auto"/>
              <w:jc w:val="both"/>
              <w:rPr>
                <w:sz w:val="22"/>
                <w:szCs w:val="22"/>
              </w:rPr>
            </w:pPr>
            <w:r w:rsidRPr="00EB4FF5">
              <w:rPr>
                <w:sz w:val="22"/>
                <w:szCs w:val="22"/>
              </w:rPr>
              <w:t>7.2</w:t>
            </w:r>
          </w:p>
        </w:tc>
      </w:tr>
      <w:tr w:rsidR="00724C44" w:rsidRPr="00724C44" w14:paraId="4AC9BBE8" w14:textId="77777777" w:rsidTr="00A5379F">
        <w:tc>
          <w:tcPr>
            <w:tcW w:w="2304" w:type="dxa"/>
            <w:tcBorders>
              <w:top w:val="nil"/>
              <w:left w:val="nil"/>
              <w:bottom w:val="nil"/>
              <w:right w:val="nil"/>
            </w:tcBorders>
          </w:tcPr>
          <w:p w14:paraId="4F512980" w14:textId="77777777" w:rsidR="00724C44" w:rsidRPr="00EB4FF5" w:rsidRDefault="00724C44" w:rsidP="00EB4FF5">
            <w:pPr>
              <w:spacing w:after="0" w:line="240" w:lineRule="auto"/>
              <w:jc w:val="both"/>
              <w:rPr>
                <w:sz w:val="22"/>
                <w:szCs w:val="22"/>
              </w:rPr>
            </w:pPr>
          </w:p>
        </w:tc>
        <w:tc>
          <w:tcPr>
            <w:tcW w:w="3888" w:type="dxa"/>
            <w:tcBorders>
              <w:top w:val="nil"/>
              <w:left w:val="nil"/>
              <w:bottom w:val="nil"/>
              <w:right w:val="nil"/>
            </w:tcBorders>
          </w:tcPr>
          <w:p w14:paraId="77B20131" w14:textId="77777777" w:rsidR="00724C44" w:rsidRPr="00EB4FF5" w:rsidRDefault="00724C44" w:rsidP="00EB4FF5">
            <w:pPr>
              <w:spacing w:after="0" w:line="240" w:lineRule="auto"/>
              <w:jc w:val="both"/>
              <w:rPr>
                <w:sz w:val="22"/>
                <w:szCs w:val="22"/>
              </w:rPr>
            </w:pPr>
            <w:r w:rsidRPr="00EB4FF5">
              <w:rPr>
                <w:sz w:val="22"/>
                <w:szCs w:val="22"/>
              </w:rPr>
              <w:t>Indirect supplier (Tier 2+)</w:t>
            </w:r>
          </w:p>
        </w:tc>
        <w:tc>
          <w:tcPr>
            <w:tcW w:w="1296" w:type="dxa"/>
            <w:tcBorders>
              <w:top w:val="nil"/>
              <w:left w:val="nil"/>
              <w:bottom w:val="nil"/>
              <w:right w:val="nil"/>
            </w:tcBorders>
          </w:tcPr>
          <w:p w14:paraId="02E4B203" w14:textId="77777777" w:rsidR="00724C44" w:rsidRPr="00EB4FF5" w:rsidRDefault="00724C44" w:rsidP="00EB4FF5">
            <w:pPr>
              <w:spacing w:after="0" w:line="240" w:lineRule="auto"/>
              <w:jc w:val="both"/>
              <w:rPr>
                <w:sz w:val="22"/>
                <w:szCs w:val="22"/>
              </w:rPr>
            </w:pPr>
            <w:r w:rsidRPr="00EB4FF5">
              <w:rPr>
                <w:sz w:val="22"/>
                <w:szCs w:val="22"/>
              </w:rPr>
              <w:t>339</w:t>
            </w:r>
          </w:p>
        </w:tc>
        <w:tc>
          <w:tcPr>
            <w:tcW w:w="1728" w:type="dxa"/>
            <w:tcBorders>
              <w:top w:val="nil"/>
              <w:left w:val="nil"/>
              <w:bottom w:val="nil"/>
              <w:right w:val="nil"/>
            </w:tcBorders>
          </w:tcPr>
          <w:p w14:paraId="1A8DBE49" w14:textId="77777777" w:rsidR="00724C44" w:rsidRPr="00EB4FF5" w:rsidRDefault="00724C44" w:rsidP="00EB4FF5">
            <w:pPr>
              <w:spacing w:after="0" w:line="240" w:lineRule="auto"/>
              <w:jc w:val="both"/>
              <w:rPr>
                <w:sz w:val="22"/>
                <w:szCs w:val="22"/>
              </w:rPr>
            </w:pPr>
            <w:r w:rsidRPr="00EB4FF5">
              <w:rPr>
                <w:sz w:val="22"/>
                <w:szCs w:val="22"/>
              </w:rPr>
              <w:t>84.8</w:t>
            </w:r>
          </w:p>
        </w:tc>
      </w:tr>
      <w:tr w:rsidR="00724C44" w:rsidRPr="00724C44" w14:paraId="07925701" w14:textId="77777777" w:rsidTr="00A5379F">
        <w:tc>
          <w:tcPr>
            <w:tcW w:w="2304" w:type="dxa"/>
            <w:tcBorders>
              <w:top w:val="nil"/>
              <w:left w:val="nil"/>
              <w:bottom w:val="single" w:sz="4" w:space="0" w:color="000000"/>
              <w:right w:val="nil"/>
            </w:tcBorders>
          </w:tcPr>
          <w:p w14:paraId="383A8567" w14:textId="77777777" w:rsidR="00724C44" w:rsidRPr="00EB4FF5" w:rsidRDefault="00724C44" w:rsidP="00EB4FF5">
            <w:pPr>
              <w:spacing w:after="0" w:line="240" w:lineRule="auto"/>
              <w:jc w:val="both"/>
              <w:rPr>
                <w:sz w:val="22"/>
                <w:szCs w:val="22"/>
              </w:rPr>
            </w:pPr>
          </w:p>
        </w:tc>
        <w:tc>
          <w:tcPr>
            <w:tcW w:w="3888" w:type="dxa"/>
            <w:tcBorders>
              <w:top w:val="nil"/>
              <w:left w:val="nil"/>
              <w:bottom w:val="single" w:sz="4" w:space="0" w:color="000000"/>
              <w:right w:val="nil"/>
            </w:tcBorders>
          </w:tcPr>
          <w:p w14:paraId="381C9D41" w14:textId="77777777" w:rsidR="00724C44" w:rsidRPr="00EB4FF5" w:rsidRDefault="00724C44" w:rsidP="00EB4FF5">
            <w:pPr>
              <w:spacing w:after="0" w:line="240" w:lineRule="auto"/>
              <w:jc w:val="both"/>
              <w:rPr>
                <w:sz w:val="22"/>
                <w:szCs w:val="22"/>
              </w:rPr>
            </w:pPr>
            <w:r w:rsidRPr="00EB4FF5">
              <w:rPr>
                <w:sz w:val="22"/>
                <w:szCs w:val="22"/>
              </w:rPr>
              <w:t>No MNC supply relationship</w:t>
            </w:r>
          </w:p>
        </w:tc>
        <w:tc>
          <w:tcPr>
            <w:tcW w:w="1296" w:type="dxa"/>
            <w:tcBorders>
              <w:top w:val="nil"/>
              <w:left w:val="nil"/>
              <w:bottom w:val="single" w:sz="4" w:space="0" w:color="000000"/>
              <w:right w:val="nil"/>
            </w:tcBorders>
          </w:tcPr>
          <w:p w14:paraId="3CC9A27A" w14:textId="77777777" w:rsidR="00724C44" w:rsidRPr="00EB4FF5" w:rsidRDefault="00724C44" w:rsidP="00EB4FF5">
            <w:pPr>
              <w:spacing w:after="0" w:line="240" w:lineRule="auto"/>
              <w:jc w:val="both"/>
              <w:rPr>
                <w:sz w:val="22"/>
                <w:szCs w:val="22"/>
              </w:rPr>
            </w:pPr>
            <w:r w:rsidRPr="00EB4FF5">
              <w:rPr>
                <w:sz w:val="22"/>
                <w:szCs w:val="22"/>
              </w:rPr>
              <w:t>32</w:t>
            </w:r>
          </w:p>
        </w:tc>
        <w:tc>
          <w:tcPr>
            <w:tcW w:w="1728" w:type="dxa"/>
            <w:tcBorders>
              <w:top w:val="nil"/>
              <w:left w:val="nil"/>
              <w:bottom w:val="single" w:sz="4" w:space="0" w:color="000000"/>
              <w:right w:val="nil"/>
            </w:tcBorders>
          </w:tcPr>
          <w:p w14:paraId="1E6AF053" w14:textId="77777777" w:rsidR="00724C44" w:rsidRPr="00EB4FF5" w:rsidRDefault="00724C44" w:rsidP="00EB4FF5">
            <w:pPr>
              <w:spacing w:after="0" w:line="240" w:lineRule="auto"/>
              <w:jc w:val="both"/>
              <w:rPr>
                <w:sz w:val="22"/>
                <w:szCs w:val="22"/>
              </w:rPr>
            </w:pPr>
            <w:r w:rsidRPr="00EB4FF5">
              <w:rPr>
                <w:sz w:val="22"/>
                <w:szCs w:val="22"/>
              </w:rPr>
              <w:t>8.0</w:t>
            </w:r>
          </w:p>
        </w:tc>
      </w:tr>
    </w:tbl>
    <w:p w14:paraId="14207358" w14:textId="77777777" w:rsidR="00724C44" w:rsidRPr="00724C44" w:rsidRDefault="00724C44" w:rsidP="00724C44">
      <w:pPr>
        <w:spacing w:line="240" w:lineRule="auto"/>
        <w:jc w:val="both"/>
      </w:pPr>
      <w:r w:rsidRPr="00724C44">
        <w:t>The industry distribution shows representation across all major manufacturing subsectors in the EEC, with Food Processing (16.5%), Machinery &amp; Equipment (15.8%), and Metals &amp; Metal Products (15.0%) being the most prevalent. In terms of organizational size, medium-sized enterprises (200–999 employees) comprise the largest segment at 54.8%, followed by large enterprises with 1,000 or more employees (25.3%).</w:t>
      </w:r>
    </w:p>
    <w:p w14:paraId="3BF5B05D" w14:textId="77777777" w:rsidR="00724C44" w:rsidRPr="00724C44" w:rsidRDefault="00724C44" w:rsidP="00724C44">
      <w:pPr>
        <w:spacing w:line="240" w:lineRule="auto"/>
        <w:jc w:val="both"/>
      </w:pPr>
      <w:r w:rsidRPr="00724C44">
        <w:t>The ownership structure reveals a diverse mix, with joint ventures as the largest category (30.0%), followed by Japanese-owned firms (22.8%). The predominance of Japanese-owned firms and joint ventures reflects the significant Japanese investment presence in Thailand’s Eastern Seaboard industrial development. The geographic distribution shows a concentration in Rayong (32.0%) and Chonburi (30.5%), the two primary industrial provinces within the EEC.</w:t>
      </w:r>
    </w:p>
    <w:p w14:paraId="5B7BBEDE" w14:textId="77777777" w:rsidR="00724C44" w:rsidRPr="00724C44" w:rsidRDefault="00724C44" w:rsidP="00724C44">
      <w:pPr>
        <w:spacing w:line="240" w:lineRule="auto"/>
        <w:jc w:val="both"/>
      </w:pPr>
      <w:r w:rsidRPr="00724C44">
        <w:rPr>
          <w:b/>
        </w:rPr>
        <w:t>4.3.2 Respondent Profile</w:t>
      </w:r>
    </w:p>
    <w:p w14:paraId="355637BF" w14:textId="77777777" w:rsidR="00724C44" w:rsidRPr="00724C44" w:rsidRDefault="00724C44" w:rsidP="00724C44">
      <w:pPr>
        <w:spacing w:line="240" w:lineRule="auto"/>
        <w:jc w:val="both"/>
      </w:pPr>
      <w:r w:rsidRPr="00724C44">
        <w:t xml:space="preserve">Table 4.3 presents the individual characteristics of survey respondents. </w:t>
      </w:r>
      <w:proofErr w:type="gramStart"/>
      <w:r w:rsidRPr="00724C44">
        <w:t>Targeting of</w:t>
      </w:r>
      <w:proofErr w:type="gramEnd"/>
      <w:r w:rsidRPr="00724C44">
        <w:t xml:space="preserve"> appropriate respondents was critical to ensuring data validity, as the questionnaire required detailed knowledge of both compensation systems and corporate reporting practices.</w:t>
      </w:r>
    </w:p>
    <w:p w14:paraId="47A55FD8" w14:textId="77777777" w:rsidR="00724C44" w:rsidRPr="00724C44" w:rsidRDefault="00724C44" w:rsidP="00724C44">
      <w:pPr>
        <w:spacing w:line="240" w:lineRule="auto"/>
        <w:jc w:val="both"/>
      </w:pPr>
      <w:r w:rsidRPr="00724C44">
        <w:rPr>
          <w:b/>
        </w:rPr>
        <w:t>Table 4.3</w:t>
      </w:r>
    </w:p>
    <w:p w14:paraId="2E5AC9EC" w14:textId="77777777" w:rsidR="00724C44" w:rsidRPr="0023718D" w:rsidRDefault="00724C44" w:rsidP="00724C44">
      <w:pPr>
        <w:spacing w:line="240" w:lineRule="auto"/>
        <w:jc w:val="both"/>
        <w:rPr>
          <w:i/>
        </w:rPr>
      </w:pPr>
      <w:r w:rsidRPr="0023718D">
        <w:rPr>
          <w:i/>
        </w:rPr>
        <w:t>Respondent Profile (n = 400)</w:t>
      </w:r>
    </w:p>
    <w:tbl>
      <w:tblPr>
        <w:tblW w:w="0" w:type="auto"/>
        <w:tblLayout w:type="fixed"/>
        <w:tblLook w:val="04A0" w:firstRow="1" w:lastRow="0" w:firstColumn="1" w:lastColumn="0" w:noHBand="0" w:noVBand="1"/>
      </w:tblPr>
      <w:tblGrid>
        <w:gridCol w:w="3150"/>
        <w:gridCol w:w="3420"/>
        <w:gridCol w:w="1170"/>
        <w:gridCol w:w="1170"/>
      </w:tblGrid>
      <w:tr w:rsidR="00724C44" w:rsidRPr="00724C44" w14:paraId="6D806EE6" w14:textId="77777777" w:rsidTr="00EB4FF5">
        <w:tc>
          <w:tcPr>
            <w:tcW w:w="3150" w:type="dxa"/>
            <w:tcBorders>
              <w:top w:val="single" w:sz="4" w:space="0" w:color="000000"/>
              <w:left w:val="nil"/>
              <w:bottom w:val="single" w:sz="4" w:space="0" w:color="000000"/>
              <w:right w:val="nil"/>
            </w:tcBorders>
          </w:tcPr>
          <w:p w14:paraId="6C011E26" w14:textId="77777777" w:rsidR="00724C44" w:rsidRPr="00EB4FF5" w:rsidRDefault="00724C44" w:rsidP="00EB4FF5">
            <w:pPr>
              <w:spacing w:after="0" w:line="240" w:lineRule="auto"/>
              <w:jc w:val="both"/>
              <w:rPr>
                <w:sz w:val="22"/>
                <w:szCs w:val="22"/>
              </w:rPr>
            </w:pPr>
            <w:r w:rsidRPr="00EB4FF5">
              <w:rPr>
                <w:b/>
                <w:sz w:val="22"/>
                <w:szCs w:val="22"/>
              </w:rPr>
              <w:t>Variable</w:t>
            </w:r>
          </w:p>
        </w:tc>
        <w:tc>
          <w:tcPr>
            <w:tcW w:w="3420" w:type="dxa"/>
            <w:tcBorders>
              <w:top w:val="single" w:sz="4" w:space="0" w:color="000000"/>
              <w:left w:val="nil"/>
              <w:bottom w:val="single" w:sz="4" w:space="0" w:color="000000"/>
              <w:right w:val="nil"/>
            </w:tcBorders>
          </w:tcPr>
          <w:p w14:paraId="01EE9996" w14:textId="77777777" w:rsidR="00724C44" w:rsidRPr="00EB4FF5" w:rsidRDefault="00724C44" w:rsidP="00EB4FF5">
            <w:pPr>
              <w:spacing w:after="0" w:line="240" w:lineRule="auto"/>
              <w:jc w:val="both"/>
              <w:rPr>
                <w:sz w:val="22"/>
                <w:szCs w:val="22"/>
              </w:rPr>
            </w:pPr>
            <w:r w:rsidRPr="00EB4FF5">
              <w:rPr>
                <w:b/>
                <w:sz w:val="22"/>
                <w:szCs w:val="22"/>
              </w:rPr>
              <w:t>Category</w:t>
            </w:r>
          </w:p>
        </w:tc>
        <w:tc>
          <w:tcPr>
            <w:tcW w:w="1170" w:type="dxa"/>
            <w:tcBorders>
              <w:top w:val="single" w:sz="4" w:space="0" w:color="000000"/>
              <w:left w:val="nil"/>
              <w:bottom w:val="single" w:sz="4" w:space="0" w:color="000000"/>
              <w:right w:val="nil"/>
            </w:tcBorders>
          </w:tcPr>
          <w:p w14:paraId="3986B3AF" w14:textId="77777777" w:rsidR="00724C44" w:rsidRPr="00EB4FF5" w:rsidRDefault="00724C44" w:rsidP="00EB4FF5">
            <w:pPr>
              <w:spacing w:after="0" w:line="240" w:lineRule="auto"/>
              <w:jc w:val="both"/>
              <w:rPr>
                <w:sz w:val="22"/>
                <w:szCs w:val="22"/>
              </w:rPr>
            </w:pPr>
            <w:r w:rsidRPr="00EB4FF5">
              <w:rPr>
                <w:b/>
                <w:sz w:val="22"/>
                <w:szCs w:val="22"/>
              </w:rPr>
              <w:t>n</w:t>
            </w:r>
          </w:p>
        </w:tc>
        <w:tc>
          <w:tcPr>
            <w:tcW w:w="1170" w:type="dxa"/>
            <w:tcBorders>
              <w:top w:val="single" w:sz="4" w:space="0" w:color="000000"/>
              <w:left w:val="nil"/>
              <w:bottom w:val="single" w:sz="4" w:space="0" w:color="000000"/>
              <w:right w:val="nil"/>
            </w:tcBorders>
          </w:tcPr>
          <w:p w14:paraId="7FA81026" w14:textId="77777777" w:rsidR="00724C44" w:rsidRPr="00EB4FF5" w:rsidRDefault="00724C44" w:rsidP="00EB4FF5">
            <w:pPr>
              <w:spacing w:after="0" w:line="240" w:lineRule="auto"/>
              <w:jc w:val="both"/>
              <w:rPr>
                <w:sz w:val="22"/>
                <w:szCs w:val="22"/>
              </w:rPr>
            </w:pPr>
            <w:r w:rsidRPr="00EB4FF5">
              <w:rPr>
                <w:b/>
                <w:sz w:val="22"/>
                <w:szCs w:val="22"/>
              </w:rPr>
              <w:t>%</w:t>
            </w:r>
          </w:p>
        </w:tc>
      </w:tr>
      <w:tr w:rsidR="00724C44" w:rsidRPr="00724C44" w14:paraId="4FDFDDCE" w14:textId="77777777" w:rsidTr="00EB4FF5">
        <w:tc>
          <w:tcPr>
            <w:tcW w:w="3150" w:type="dxa"/>
            <w:tcBorders>
              <w:top w:val="nil"/>
              <w:left w:val="nil"/>
              <w:bottom w:val="nil"/>
              <w:right w:val="nil"/>
            </w:tcBorders>
          </w:tcPr>
          <w:p w14:paraId="732B5960" w14:textId="77777777" w:rsidR="00724C44" w:rsidRPr="00EB4FF5" w:rsidRDefault="00724C44" w:rsidP="00EB4FF5">
            <w:pPr>
              <w:spacing w:after="0" w:line="240" w:lineRule="auto"/>
              <w:jc w:val="both"/>
              <w:rPr>
                <w:sz w:val="22"/>
                <w:szCs w:val="22"/>
              </w:rPr>
            </w:pPr>
            <w:r w:rsidRPr="00EB4FF5">
              <w:rPr>
                <w:sz w:val="22"/>
                <w:szCs w:val="22"/>
              </w:rPr>
              <w:t>Current Position</w:t>
            </w:r>
          </w:p>
        </w:tc>
        <w:tc>
          <w:tcPr>
            <w:tcW w:w="3420" w:type="dxa"/>
            <w:tcBorders>
              <w:top w:val="nil"/>
              <w:left w:val="nil"/>
              <w:bottom w:val="nil"/>
              <w:right w:val="nil"/>
            </w:tcBorders>
          </w:tcPr>
          <w:p w14:paraId="6110A066" w14:textId="77777777" w:rsidR="00724C44" w:rsidRPr="00EB4FF5" w:rsidRDefault="00724C44" w:rsidP="00EB4FF5">
            <w:pPr>
              <w:spacing w:after="0" w:line="240" w:lineRule="auto"/>
              <w:jc w:val="both"/>
              <w:rPr>
                <w:sz w:val="22"/>
                <w:szCs w:val="22"/>
              </w:rPr>
            </w:pPr>
            <w:r w:rsidRPr="00EB4FF5">
              <w:rPr>
                <w:sz w:val="22"/>
                <w:szCs w:val="22"/>
              </w:rPr>
              <w:t>HR Manager/Director</w:t>
            </w:r>
          </w:p>
        </w:tc>
        <w:tc>
          <w:tcPr>
            <w:tcW w:w="1170" w:type="dxa"/>
            <w:tcBorders>
              <w:top w:val="nil"/>
              <w:left w:val="nil"/>
              <w:bottom w:val="nil"/>
              <w:right w:val="nil"/>
            </w:tcBorders>
          </w:tcPr>
          <w:p w14:paraId="55E651E1" w14:textId="77777777" w:rsidR="00724C44" w:rsidRPr="00EB4FF5" w:rsidRDefault="00724C44" w:rsidP="00EB4FF5">
            <w:pPr>
              <w:spacing w:after="0" w:line="240" w:lineRule="auto"/>
              <w:jc w:val="both"/>
              <w:rPr>
                <w:sz w:val="22"/>
                <w:szCs w:val="22"/>
              </w:rPr>
            </w:pPr>
            <w:r w:rsidRPr="00EB4FF5">
              <w:rPr>
                <w:sz w:val="22"/>
                <w:szCs w:val="22"/>
              </w:rPr>
              <w:t>71</w:t>
            </w:r>
          </w:p>
        </w:tc>
        <w:tc>
          <w:tcPr>
            <w:tcW w:w="1170" w:type="dxa"/>
            <w:tcBorders>
              <w:top w:val="nil"/>
              <w:left w:val="nil"/>
              <w:bottom w:val="nil"/>
              <w:right w:val="nil"/>
            </w:tcBorders>
          </w:tcPr>
          <w:p w14:paraId="7FE002FF" w14:textId="77777777" w:rsidR="00724C44" w:rsidRPr="00EB4FF5" w:rsidRDefault="00724C44" w:rsidP="00EB4FF5">
            <w:pPr>
              <w:spacing w:after="0" w:line="240" w:lineRule="auto"/>
              <w:jc w:val="both"/>
              <w:rPr>
                <w:sz w:val="22"/>
                <w:szCs w:val="22"/>
              </w:rPr>
            </w:pPr>
            <w:r w:rsidRPr="00EB4FF5">
              <w:rPr>
                <w:sz w:val="22"/>
                <w:szCs w:val="22"/>
              </w:rPr>
              <w:t>17.8</w:t>
            </w:r>
          </w:p>
        </w:tc>
      </w:tr>
      <w:tr w:rsidR="00724C44" w:rsidRPr="00724C44" w14:paraId="3ED8452E" w14:textId="77777777" w:rsidTr="00EB4FF5">
        <w:tc>
          <w:tcPr>
            <w:tcW w:w="3150" w:type="dxa"/>
            <w:tcBorders>
              <w:top w:val="nil"/>
              <w:left w:val="nil"/>
              <w:bottom w:val="nil"/>
              <w:right w:val="nil"/>
            </w:tcBorders>
          </w:tcPr>
          <w:p w14:paraId="5A4D1AB3"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5B063053" w14:textId="77777777" w:rsidR="00724C44" w:rsidRPr="00EB4FF5" w:rsidRDefault="00724C44" w:rsidP="00EB4FF5">
            <w:pPr>
              <w:spacing w:after="0" w:line="240" w:lineRule="auto"/>
              <w:jc w:val="both"/>
              <w:rPr>
                <w:sz w:val="22"/>
                <w:szCs w:val="22"/>
              </w:rPr>
            </w:pPr>
            <w:r w:rsidRPr="00EB4FF5">
              <w:rPr>
                <w:sz w:val="22"/>
                <w:szCs w:val="22"/>
              </w:rPr>
              <w:t>Compensation &amp; Benefits Manager</w:t>
            </w:r>
          </w:p>
        </w:tc>
        <w:tc>
          <w:tcPr>
            <w:tcW w:w="1170" w:type="dxa"/>
            <w:tcBorders>
              <w:top w:val="nil"/>
              <w:left w:val="nil"/>
              <w:bottom w:val="nil"/>
              <w:right w:val="nil"/>
            </w:tcBorders>
          </w:tcPr>
          <w:p w14:paraId="1778BE31" w14:textId="77777777" w:rsidR="00724C44" w:rsidRPr="00EB4FF5" w:rsidRDefault="00724C44" w:rsidP="00EB4FF5">
            <w:pPr>
              <w:spacing w:after="0" w:line="240" w:lineRule="auto"/>
              <w:jc w:val="both"/>
              <w:rPr>
                <w:sz w:val="22"/>
                <w:szCs w:val="22"/>
              </w:rPr>
            </w:pPr>
            <w:r w:rsidRPr="00EB4FF5">
              <w:rPr>
                <w:sz w:val="22"/>
                <w:szCs w:val="22"/>
              </w:rPr>
              <w:t>103</w:t>
            </w:r>
          </w:p>
        </w:tc>
        <w:tc>
          <w:tcPr>
            <w:tcW w:w="1170" w:type="dxa"/>
            <w:tcBorders>
              <w:top w:val="nil"/>
              <w:left w:val="nil"/>
              <w:bottom w:val="nil"/>
              <w:right w:val="nil"/>
            </w:tcBorders>
          </w:tcPr>
          <w:p w14:paraId="0E250FB5" w14:textId="77777777" w:rsidR="00724C44" w:rsidRPr="00EB4FF5" w:rsidRDefault="00724C44" w:rsidP="00EB4FF5">
            <w:pPr>
              <w:spacing w:after="0" w:line="240" w:lineRule="auto"/>
              <w:jc w:val="both"/>
              <w:rPr>
                <w:sz w:val="22"/>
                <w:szCs w:val="22"/>
              </w:rPr>
            </w:pPr>
            <w:r w:rsidRPr="00EB4FF5">
              <w:rPr>
                <w:sz w:val="22"/>
                <w:szCs w:val="22"/>
              </w:rPr>
              <w:t>25.8</w:t>
            </w:r>
          </w:p>
        </w:tc>
      </w:tr>
      <w:tr w:rsidR="00724C44" w:rsidRPr="00724C44" w14:paraId="20AAA503" w14:textId="77777777" w:rsidTr="00EB4FF5">
        <w:tc>
          <w:tcPr>
            <w:tcW w:w="3150" w:type="dxa"/>
            <w:tcBorders>
              <w:top w:val="nil"/>
              <w:left w:val="nil"/>
              <w:bottom w:val="nil"/>
              <w:right w:val="nil"/>
            </w:tcBorders>
          </w:tcPr>
          <w:p w14:paraId="09E2D8EB"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5EA875BA" w14:textId="77777777" w:rsidR="00724C44" w:rsidRPr="00EB4FF5" w:rsidRDefault="00724C44" w:rsidP="00EB4FF5">
            <w:pPr>
              <w:spacing w:after="0" w:line="240" w:lineRule="auto"/>
              <w:jc w:val="both"/>
              <w:rPr>
                <w:sz w:val="22"/>
                <w:szCs w:val="22"/>
              </w:rPr>
            </w:pPr>
            <w:r w:rsidRPr="00EB4FF5">
              <w:rPr>
                <w:sz w:val="22"/>
                <w:szCs w:val="22"/>
              </w:rPr>
              <w:t>Finance Manager/Director</w:t>
            </w:r>
          </w:p>
        </w:tc>
        <w:tc>
          <w:tcPr>
            <w:tcW w:w="1170" w:type="dxa"/>
            <w:tcBorders>
              <w:top w:val="nil"/>
              <w:left w:val="nil"/>
              <w:bottom w:val="nil"/>
              <w:right w:val="nil"/>
            </w:tcBorders>
          </w:tcPr>
          <w:p w14:paraId="7FB94FE9" w14:textId="77777777" w:rsidR="00724C44" w:rsidRPr="00EB4FF5" w:rsidRDefault="00724C44" w:rsidP="00EB4FF5">
            <w:pPr>
              <w:spacing w:after="0" w:line="240" w:lineRule="auto"/>
              <w:jc w:val="both"/>
              <w:rPr>
                <w:sz w:val="22"/>
                <w:szCs w:val="22"/>
              </w:rPr>
            </w:pPr>
            <w:r w:rsidRPr="00EB4FF5">
              <w:rPr>
                <w:sz w:val="22"/>
                <w:szCs w:val="22"/>
              </w:rPr>
              <w:t>81</w:t>
            </w:r>
          </w:p>
        </w:tc>
        <w:tc>
          <w:tcPr>
            <w:tcW w:w="1170" w:type="dxa"/>
            <w:tcBorders>
              <w:top w:val="nil"/>
              <w:left w:val="nil"/>
              <w:bottom w:val="nil"/>
              <w:right w:val="nil"/>
            </w:tcBorders>
          </w:tcPr>
          <w:p w14:paraId="033B9AB4" w14:textId="77777777" w:rsidR="00724C44" w:rsidRPr="00EB4FF5" w:rsidRDefault="00724C44" w:rsidP="00EB4FF5">
            <w:pPr>
              <w:spacing w:after="0" w:line="240" w:lineRule="auto"/>
              <w:jc w:val="both"/>
              <w:rPr>
                <w:sz w:val="22"/>
                <w:szCs w:val="22"/>
              </w:rPr>
            </w:pPr>
            <w:r w:rsidRPr="00EB4FF5">
              <w:rPr>
                <w:sz w:val="22"/>
                <w:szCs w:val="22"/>
              </w:rPr>
              <w:t>20.3</w:t>
            </w:r>
          </w:p>
        </w:tc>
      </w:tr>
      <w:tr w:rsidR="00724C44" w:rsidRPr="00724C44" w14:paraId="6625AD1A" w14:textId="77777777" w:rsidTr="00EB4FF5">
        <w:tc>
          <w:tcPr>
            <w:tcW w:w="3150" w:type="dxa"/>
            <w:tcBorders>
              <w:top w:val="nil"/>
              <w:left w:val="nil"/>
              <w:bottom w:val="nil"/>
              <w:right w:val="nil"/>
            </w:tcBorders>
          </w:tcPr>
          <w:p w14:paraId="4D8931B8"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23453138" w14:textId="77777777" w:rsidR="00724C44" w:rsidRPr="00EB4FF5" w:rsidRDefault="00724C44" w:rsidP="00EB4FF5">
            <w:pPr>
              <w:spacing w:after="0" w:line="240" w:lineRule="auto"/>
              <w:jc w:val="both"/>
              <w:rPr>
                <w:sz w:val="22"/>
                <w:szCs w:val="22"/>
              </w:rPr>
            </w:pPr>
            <w:r w:rsidRPr="00EB4FF5">
              <w:rPr>
                <w:sz w:val="22"/>
                <w:szCs w:val="22"/>
              </w:rPr>
              <w:t>CFO/VP Finance</w:t>
            </w:r>
          </w:p>
        </w:tc>
        <w:tc>
          <w:tcPr>
            <w:tcW w:w="1170" w:type="dxa"/>
            <w:tcBorders>
              <w:top w:val="nil"/>
              <w:left w:val="nil"/>
              <w:bottom w:val="nil"/>
              <w:right w:val="nil"/>
            </w:tcBorders>
          </w:tcPr>
          <w:p w14:paraId="307DEEDC" w14:textId="77777777" w:rsidR="00724C44" w:rsidRPr="00EB4FF5" w:rsidRDefault="00724C44" w:rsidP="00EB4FF5">
            <w:pPr>
              <w:spacing w:after="0" w:line="240" w:lineRule="auto"/>
              <w:jc w:val="both"/>
              <w:rPr>
                <w:sz w:val="22"/>
                <w:szCs w:val="22"/>
              </w:rPr>
            </w:pPr>
            <w:r w:rsidRPr="00EB4FF5">
              <w:rPr>
                <w:sz w:val="22"/>
                <w:szCs w:val="22"/>
              </w:rPr>
              <w:t>74</w:t>
            </w:r>
          </w:p>
        </w:tc>
        <w:tc>
          <w:tcPr>
            <w:tcW w:w="1170" w:type="dxa"/>
            <w:tcBorders>
              <w:top w:val="nil"/>
              <w:left w:val="nil"/>
              <w:bottom w:val="nil"/>
              <w:right w:val="nil"/>
            </w:tcBorders>
          </w:tcPr>
          <w:p w14:paraId="6A414CA1" w14:textId="77777777" w:rsidR="00724C44" w:rsidRPr="00EB4FF5" w:rsidRDefault="00724C44" w:rsidP="00EB4FF5">
            <w:pPr>
              <w:spacing w:after="0" w:line="240" w:lineRule="auto"/>
              <w:jc w:val="both"/>
              <w:rPr>
                <w:sz w:val="22"/>
                <w:szCs w:val="22"/>
              </w:rPr>
            </w:pPr>
            <w:r w:rsidRPr="00EB4FF5">
              <w:rPr>
                <w:sz w:val="22"/>
                <w:szCs w:val="22"/>
              </w:rPr>
              <w:t>18.5</w:t>
            </w:r>
          </w:p>
        </w:tc>
      </w:tr>
      <w:tr w:rsidR="00724C44" w:rsidRPr="00724C44" w14:paraId="03154468" w14:textId="77777777" w:rsidTr="00EB4FF5">
        <w:tc>
          <w:tcPr>
            <w:tcW w:w="3150" w:type="dxa"/>
            <w:tcBorders>
              <w:top w:val="nil"/>
              <w:left w:val="nil"/>
              <w:bottom w:val="nil"/>
              <w:right w:val="nil"/>
            </w:tcBorders>
          </w:tcPr>
          <w:p w14:paraId="4E6EBEDF"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099D5798" w14:textId="77777777" w:rsidR="00724C44" w:rsidRPr="00EB4FF5" w:rsidRDefault="00724C44" w:rsidP="00EB4FF5">
            <w:pPr>
              <w:spacing w:after="0" w:line="240" w:lineRule="auto"/>
              <w:jc w:val="both"/>
              <w:rPr>
                <w:sz w:val="22"/>
                <w:szCs w:val="22"/>
              </w:rPr>
            </w:pPr>
            <w:r w:rsidRPr="00EB4FF5">
              <w:rPr>
                <w:sz w:val="22"/>
                <w:szCs w:val="22"/>
              </w:rPr>
              <w:t>CHRO/VP Human Resources</w:t>
            </w:r>
          </w:p>
        </w:tc>
        <w:tc>
          <w:tcPr>
            <w:tcW w:w="1170" w:type="dxa"/>
            <w:tcBorders>
              <w:top w:val="nil"/>
              <w:left w:val="nil"/>
              <w:bottom w:val="nil"/>
              <w:right w:val="nil"/>
            </w:tcBorders>
          </w:tcPr>
          <w:p w14:paraId="743608E1" w14:textId="77777777" w:rsidR="00724C44" w:rsidRPr="00EB4FF5" w:rsidRDefault="00724C44" w:rsidP="00EB4FF5">
            <w:pPr>
              <w:spacing w:after="0" w:line="240" w:lineRule="auto"/>
              <w:jc w:val="both"/>
              <w:rPr>
                <w:sz w:val="22"/>
                <w:szCs w:val="22"/>
              </w:rPr>
            </w:pPr>
            <w:r w:rsidRPr="00EB4FF5">
              <w:rPr>
                <w:sz w:val="22"/>
                <w:szCs w:val="22"/>
              </w:rPr>
              <w:t>42</w:t>
            </w:r>
          </w:p>
        </w:tc>
        <w:tc>
          <w:tcPr>
            <w:tcW w:w="1170" w:type="dxa"/>
            <w:tcBorders>
              <w:top w:val="nil"/>
              <w:left w:val="nil"/>
              <w:bottom w:val="nil"/>
              <w:right w:val="nil"/>
            </w:tcBorders>
          </w:tcPr>
          <w:p w14:paraId="57FF9573" w14:textId="77777777" w:rsidR="00724C44" w:rsidRPr="00EB4FF5" w:rsidRDefault="00724C44" w:rsidP="00EB4FF5">
            <w:pPr>
              <w:spacing w:after="0" w:line="240" w:lineRule="auto"/>
              <w:jc w:val="both"/>
              <w:rPr>
                <w:sz w:val="22"/>
                <w:szCs w:val="22"/>
              </w:rPr>
            </w:pPr>
            <w:r w:rsidRPr="00EB4FF5">
              <w:rPr>
                <w:sz w:val="22"/>
                <w:szCs w:val="22"/>
              </w:rPr>
              <w:t>10.5</w:t>
            </w:r>
          </w:p>
        </w:tc>
      </w:tr>
      <w:tr w:rsidR="00724C44" w:rsidRPr="00724C44" w14:paraId="5170B780" w14:textId="77777777" w:rsidTr="00EB4FF5">
        <w:tc>
          <w:tcPr>
            <w:tcW w:w="3150" w:type="dxa"/>
            <w:tcBorders>
              <w:top w:val="nil"/>
              <w:left w:val="nil"/>
              <w:bottom w:val="nil"/>
              <w:right w:val="nil"/>
            </w:tcBorders>
          </w:tcPr>
          <w:p w14:paraId="61EE0546"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034D30D1" w14:textId="77777777" w:rsidR="00724C44" w:rsidRPr="00EB4FF5" w:rsidRDefault="00724C44" w:rsidP="00EB4FF5">
            <w:pPr>
              <w:spacing w:after="0" w:line="240" w:lineRule="auto"/>
              <w:jc w:val="both"/>
              <w:rPr>
                <w:sz w:val="22"/>
                <w:szCs w:val="22"/>
              </w:rPr>
            </w:pPr>
            <w:r w:rsidRPr="00EB4FF5">
              <w:rPr>
                <w:sz w:val="22"/>
                <w:szCs w:val="22"/>
              </w:rPr>
              <w:t>CEO/General Manager</w:t>
            </w:r>
          </w:p>
        </w:tc>
        <w:tc>
          <w:tcPr>
            <w:tcW w:w="1170" w:type="dxa"/>
            <w:tcBorders>
              <w:top w:val="nil"/>
              <w:left w:val="nil"/>
              <w:bottom w:val="nil"/>
              <w:right w:val="nil"/>
            </w:tcBorders>
          </w:tcPr>
          <w:p w14:paraId="43567900" w14:textId="77777777" w:rsidR="00724C44" w:rsidRPr="00EB4FF5" w:rsidRDefault="00724C44" w:rsidP="00EB4FF5">
            <w:pPr>
              <w:spacing w:after="0" w:line="240" w:lineRule="auto"/>
              <w:jc w:val="both"/>
              <w:rPr>
                <w:sz w:val="22"/>
                <w:szCs w:val="22"/>
              </w:rPr>
            </w:pPr>
            <w:r w:rsidRPr="00EB4FF5">
              <w:rPr>
                <w:sz w:val="22"/>
                <w:szCs w:val="22"/>
              </w:rPr>
              <w:t>5</w:t>
            </w:r>
          </w:p>
        </w:tc>
        <w:tc>
          <w:tcPr>
            <w:tcW w:w="1170" w:type="dxa"/>
            <w:tcBorders>
              <w:top w:val="nil"/>
              <w:left w:val="nil"/>
              <w:bottom w:val="nil"/>
              <w:right w:val="nil"/>
            </w:tcBorders>
          </w:tcPr>
          <w:p w14:paraId="676CBBE2" w14:textId="77777777" w:rsidR="00724C44" w:rsidRPr="00EB4FF5" w:rsidRDefault="00724C44" w:rsidP="00EB4FF5">
            <w:pPr>
              <w:spacing w:after="0" w:line="240" w:lineRule="auto"/>
              <w:jc w:val="both"/>
              <w:rPr>
                <w:sz w:val="22"/>
                <w:szCs w:val="22"/>
              </w:rPr>
            </w:pPr>
            <w:r w:rsidRPr="00EB4FF5">
              <w:rPr>
                <w:sz w:val="22"/>
                <w:szCs w:val="22"/>
              </w:rPr>
              <w:t>1.3</w:t>
            </w:r>
          </w:p>
        </w:tc>
      </w:tr>
      <w:tr w:rsidR="00724C44" w:rsidRPr="00724C44" w14:paraId="02E2143A" w14:textId="77777777" w:rsidTr="00EB4FF5">
        <w:tc>
          <w:tcPr>
            <w:tcW w:w="3150" w:type="dxa"/>
            <w:tcBorders>
              <w:top w:val="nil"/>
              <w:left w:val="nil"/>
              <w:bottom w:val="nil"/>
              <w:right w:val="nil"/>
            </w:tcBorders>
          </w:tcPr>
          <w:p w14:paraId="6C3C80A4"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681FF6EE" w14:textId="77777777" w:rsidR="00724C44" w:rsidRPr="00EB4FF5" w:rsidRDefault="00724C44" w:rsidP="00EB4FF5">
            <w:pPr>
              <w:spacing w:after="0" w:line="240" w:lineRule="auto"/>
              <w:jc w:val="both"/>
              <w:rPr>
                <w:sz w:val="22"/>
                <w:szCs w:val="22"/>
              </w:rPr>
            </w:pPr>
            <w:r w:rsidRPr="00EB4FF5">
              <w:rPr>
                <w:sz w:val="22"/>
                <w:szCs w:val="22"/>
              </w:rPr>
              <w:t>Other Executive Role</w:t>
            </w:r>
          </w:p>
        </w:tc>
        <w:tc>
          <w:tcPr>
            <w:tcW w:w="1170" w:type="dxa"/>
            <w:tcBorders>
              <w:top w:val="nil"/>
              <w:left w:val="nil"/>
              <w:bottom w:val="nil"/>
              <w:right w:val="nil"/>
            </w:tcBorders>
          </w:tcPr>
          <w:p w14:paraId="2D510345" w14:textId="77777777" w:rsidR="00724C44" w:rsidRPr="00EB4FF5" w:rsidRDefault="00724C44" w:rsidP="00EB4FF5">
            <w:pPr>
              <w:spacing w:after="0" w:line="240" w:lineRule="auto"/>
              <w:jc w:val="both"/>
              <w:rPr>
                <w:sz w:val="22"/>
                <w:szCs w:val="22"/>
              </w:rPr>
            </w:pPr>
            <w:r w:rsidRPr="00EB4FF5">
              <w:rPr>
                <w:sz w:val="22"/>
                <w:szCs w:val="22"/>
              </w:rPr>
              <w:t>8</w:t>
            </w:r>
          </w:p>
        </w:tc>
        <w:tc>
          <w:tcPr>
            <w:tcW w:w="1170" w:type="dxa"/>
            <w:tcBorders>
              <w:top w:val="nil"/>
              <w:left w:val="nil"/>
              <w:bottom w:val="nil"/>
              <w:right w:val="nil"/>
            </w:tcBorders>
          </w:tcPr>
          <w:p w14:paraId="17F73CBE" w14:textId="77777777" w:rsidR="00724C44" w:rsidRPr="00EB4FF5" w:rsidRDefault="00724C44" w:rsidP="00EB4FF5">
            <w:pPr>
              <w:spacing w:after="0" w:line="240" w:lineRule="auto"/>
              <w:jc w:val="both"/>
              <w:rPr>
                <w:sz w:val="22"/>
                <w:szCs w:val="22"/>
              </w:rPr>
            </w:pPr>
            <w:r w:rsidRPr="00EB4FF5">
              <w:rPr>
                <w:sz w:val="22"/>
                <w:szCs w:val="22"/>
              </w:rPr>
              <w:t>2.0</w:t>
            </w:r>
          </w:p>
        </w:tc>
      </w:tr>
      <w:tr w:rsidR="00724C44" w:rsidRPr="00724C44" w14:paraId="444AB352" w14:textId="77777777" w:rsidTr="00EB4FF5">
        <w:tc>
          <w:tcPr>
            <w:tcW w:w="3150" w:type="dxa"/>
            <w:tcBorders>
              <w:top w:val="nil"/>
              <w:left w:val="nil"/>
              <w:bottom w:val="nil"/>
              <w:right w:val="nil"/>
            </w:tcBorders>
          </w:tcPr>
          <w:p w14:paraId="362EA852"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36FC34EC" w14:textId="77777777" w:rsidR="00724C44" w:rsidRPr="00EB4FF5" w:rsidRDefault="00724C44" w:rsidP="00EB4FF5">
            <w:pPr>
              <w:spacing w:after="0" w:line="240" w:lineRule="auto"/>
              <w:jc w:val="both"/>
              <w:rPr>
                <w:sz w:val="22"/>
                <w:szCs w:val="22"/>
              </w:rPr>
            </w:pPr>
            <w:r w:rsidRPr="00EB4FF5">
              <w:rPr>
                <w:sz w:val="22"/>
                <w:szCs w:val="22"/>
              </w:rPr>
              <w:t>Other Operations</w:t>
            </w:r>
          </w:p>
        </w:tc>
        <w:tc>
          <w:tcPr>
            <w:tcW w:w="1170" w:type="dxa"/>
            <w:tcBorders>
              <w:top w:val="nil"/>
              <w:left w:val="nil"/>
              <w:bottom w:val="nil"/>
              <w:right w:val="nil"/>
            </w:tcBorders>
          </w:tcPr>
          <w:p w14:paraId="04871821" w14:textId="77777777" w:rsidR="00724C44" w:rsidRPr="00EB4FF5" w:rsidRDefault="00724C44" w:rsidP="00EB4FF5">
            <w:pPr>
              <w:spacing w:after="0" w:line="240" w:lineRule="auto"/>
              <w:jc w:val="both"/>
              <w:rPr>
                <w:sz w:val="22"/>
                <w:szCs w:val="22"/>
              </w:rPr>
            </w:pPr>
            <w:r w:rsidRPr="00EB4FF5">
              <w:rPr>
                <w:sz w:val="22"/>
                <w:szCs w:val="22"/>
              </w:rPr>
              <w:t>8</w:t>
            </w:r>
          </w:p>
        </w:tc>
        <w:tc>
          <w:tcPr>
            <w:tcW w:w="1170" w:type="dxa"/>
            <w:tcBorders>
              <w:top w:val="nil"/>
              <w:left w:val="nil"/>
              <w:bottom w:val="nil"/>
              <w:right w:val="nil"/>
            </w:tcBorders>
          </w:tcPr>
          <w:p w14:paraId="4DB56E06" w14:textId="77777777" w:rsidR="00724C44" w:rsidRPr="00EB4FF5" w:rsidRDefault="00724C44" w:rsidP="00EB4FF5">
            <w:pPr>
              <w:spacing w:after="0" w:line="240" w:lineRule="auto"/>
              <w:jc w:val="both"/>
              <w:rPr>
                <w:sz w:val="22"/>
                <w:szCs w:val="22"/>
              </w:rPr>
            </w:pPr>
            <w:r w:rsidRPr="00EB4FF5">
              <w:rPr>
                <w:sz w:val="22"/>
                <w:szCs w:val="22"/>
              </w:rPr>
              <w:t>2.0</w:t>
            </w:r>
          </w:p>
        </w:tc>
      </w:tr>
      <w:tr w:rsidR="00724C44" w:rsidRPr="00724C44" w14:paraId="43EFE02F" w14:textId="77777777" w:rsidTr="00EB4FF5">
        <w:tc>
          <w:tcPr>
            <w:tcW w:w="3150" w:type="dxa"/>
            <w:tcBorders>
              <w:top w:val="nil"/>
              <w:left w:val="nil"/>
              <w:bottom w:val="nil"/>
              <w:right w:val="nil"/>
            </w:tcBorders>
          </w:tcPr>
          <w:p w14:paraId="00CE3426"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01B343BD" w14:textId="77777777" w:rsidR="00724C44" w:rsidRPr="00EB4FF5" w:rsidRDefault="00724C44" w:rsidP="00EB4FF5">
            <w:pPr>
              <w:spacing w:after="0" w:line="240" w:lineRule="auto"/>
              <w:jc w:val="both"/>
              <w:rPr>
                <w:sz w:val="22"/>
                <w:szCs w:val="22"/>
              </w:rPr>
            </w:pPr>
            <w:r w:rsidRPr="00EB4FF5">
              <w:rPr>
                <w:sz w:val="22"/>
                <w:szCs w:val="22"/>
              </w:rPr>
              <w:t>Others</w:t>
            </w:r>
          </w:p>
        </w:tc>
        <w:tc>
          <w:tcPr>
            <w:tcW w:w="1170" w:type="dxa"/>
            <w:tcBorders>
              <w:top w:val="nil"/>
              <w:left w:val="nil"/>
              <w:bottom w:val="nil"/>
              <w:right w:val="nil"/>
            </w:tcBorders>
          </w:tcPr>
          <w:p w14:paraId="553A6A66" w14:textId="77777777" w:rsidR="00724C44" w:rsidRPr="00EB4FF5" w:rsidRDefault="00724C44" w:rsidP="00EB4FF5">
            <w:pPr>
              <w:spacing w:after="0" w:line="240" w:lineRule="auto"/>
              <w:jc w:val="both"/>
              <w:rPr>
                <w:sz w:val="22"/>
                <w:szCs w:val="22"/>
              </w:rPr>
            </w:pPr>
            <w:r w:rsidRPr="00EB4FF5">
              <w:rPr>
                <w:sz w:val="22"/>
                <w:szCs w:val="22"/>
              </w:rPr>
              <w:t>8</w:t>
            </w:r>
          </w:p>
        </w:tc>
        <w:tc>
          <w:tcPr>
            <w:tcW w:w="1170" w:type="dxa"/>
            <w:tcBorders>
              <w:top w:val="nil"/>
              <w:left w:val="nil"/>
              <w:bottom w:val="nil"/>
              <w:right w:val="nil"/>
            </w:tcBorders>
          </w:tcPr>
          <w:p w14:paraId="3D10ADFF" w14:textId="77777777" w:rsidR="00724C44" w:rsidRPr="00EB4FF5" w:rsidRDefault="00724C44" w:rsidP="00EB4FF5">
            <w:pPr>
              <w:spacing w:after="0" w:line="240" w:lineRule="auto"/>
              <w:jc w:val="both"/>
              <w:rPr>
                <w:sz w:val="22"/>
                <w:szCs w:val="22"/>
              </w:rPr>
            </w:pPr>
            <w:r w:rsidRPr="00EB4FF5">
              <w:rPr>
                <w:sz w:val="22"/>
                <w:szCs w:val="22"/>
              </w:rPr>
              <w:t>2.0</w:t>
            </w:r>
          </w:p>
        </w:tc>
      </w:tr>
      <w:tr w:rsidR="00724C44" w:rsidRPr="00724C44" w14:paraId="0B504A8E" w14:textId="77777777" w:rsidTr="00EB4FF5">
        <w:tc>
          <w:tcPr>
            <w:tcW w:w="3150" w:type="dxa"/>
            <w:tcBorders>
              <w:top w:val="nil"/>
              <w:left w:val="nil"/>
              <w:bottom w:val="nil"/>
              <w:right w:val="nil"/>
            </w:tcBorders>
          </w:tcPr>
          <w:p w14:paraId="64784F07" w14:textId="77777777" w:rsidR="00724C44" w:rsidRPr="00EB4FF5" w:rsidRDefault="00724C44" w:rsidP="00EB4FF5">
            <w:pPr>
              <w:spacing w:after="0" w:line="240" w:lineRule="auto"/>
              <w:jc w:val="both"/>
              <w:rPr>
                <w:sz w:val="22"/>
                <w:szCs w:val="22"/>
              </w:rPr>
            </w:pPr>
            <w:r w:rsidRPr="00EB4FF5">
              <w:rPr>
                <w:sz w:val="22"/>
                <w:szCs w:val="22"/>
              </w:rPr>
              <w:t>Years in Current Role</w:t>
            </w:r>
          </w:p>
        </w:tc>
        <w:tc>
          <w:tcPr>
            <w:tcW w:w="3420" w:type="dxa"/>
            <w:tcBorders>
              <w:top w:val="nil"/>
              <w:left w:val="nil"/>
              <w:bottom w:val="nil"/>
              <w:right w:val="nil"/>
            </w:tcBorders>
          </w:tcPr>
          <w:p w14:paraId="767CA538" w14:textId="77777777" w:rsidR="00724C44" w:rsidRPr="00EB4FF5" w:rsidRDefault="00724C44" w:rsidP="00EB4FF5">
            <w:pPr>
              <w:spacing w:after="0" w:line="240" w:lineRule="auto"/>
              <w:jc w:val="both"/>
              <w:rPr>
                <w:sz w:val="22"/>
                <w:szCs w:val="22"/>
              </w:rPr>
            </w:pPr>
            <w:r w:rsidRPr="00EB4FF5">
              <w:rPr>
                <w:sz w:val="22"/>
                <w:szCs w:val="22"/>
              </w:rPr>
              <w:t>Less than 1 year</w:t>
            </w:r>
          </w:p>
        </w:tc>
        <w:tc>
          <w:tcPr>
            <w:tcW w:w="1170" w:type="dxa"/>
            <w:tcBorders>
              <w:top w:val="nil"/>
              <w:left w:val="nil"/>
              <w:bottom w:val="nil"/>
              <w:right w:val="nil"/>
            </w:tcBorders>
          </w:tcPr>
          <w:p w14:paraId="26DB41D7" w14:textId="77777777" w:rsidR="00724C44" w:rsidRPr="00EB4FF5" w:rsidRDefault="00724C44" w:rsidP="00EB4FF5">
            <w:pPr>
              <w:spacing w:after="0" w:line="240" w:lineRule="auto"/>
              <w:jc w:val="both"/>
              <w:rPr>
                <w:sz w:val="22"/>
                <w:szCs w:val="22"/>
              </w:rPr>
            </w:pPr>
            <w:r w:rsidRPr="00EB4FF5">
              <w:rPr>
                <w:sz w:val="22"/>
                <w:szCs w:val="22"/>
              </w:rPr>
              <w:t>10</w:t>
            </w:r>
          </w:p>
        </w:tc>
        <w:tc>
          <w:tcPr>
            <w:tcW w:w="1170" w:type="dxa"/>
            <w:tcBorders>
              <w:top w:val="nil"/>
              <w:left w:val="nil"/>
              <w:bottom w:val="nil"/>
              <w:right w:val="nil"/>
            </w:tcBorders>
          </w:tcPr>
          <w:p w14:paraId="4479AF8B" w14:textId="77777777" w:rsidR="00724C44" w:rsidRPr="00EB4FF5" w:rsidRDefault="00724C44" w:rsidP="00EB4FF5">
            <w:pPr>
              <w:spacing w:after="0" w:line="240" w:lineRule="auto"/>
              <w:jc w:val="both"/>
              <w:rPr>
                <w:sz w:val="22"/>
                <w:szCs w:val="22"/>
              </w:rPr>
            </w:pPr>
            <w:r w:rsidRPr="00EB4FF5">
              <w:rPr>
                <w:sz w:val="22"/>
                <w:szCs w:val="22"/>
              </w:rPr>
              <w:t>2.5</w:t>
            </w:r>
          </w:p>
        </w:tc>
      </w:tr>
      <w:tr w:rsidR="00724C44" w:rsidRPr="00724C44" w14:paraId="4E39BF1D" w14:textId="77777777" w:rsidTr="00EB4FF5">
        <w:tc>
          <w:tcPr>
            <w:tcW w:w="3150" w:type="dxa"/>
            <w:tcBorders>
              <w:top w:val="nil"/>
              <w:left w:val="nil"/>
              <w:bottom w:val="nil"/>
              <w:right w:val="nil"/>
            </w:tcBorders>
          </w:tcPr>
          <w:p w14:paraId="2248E202"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611337F2" w14:textId="77777777" w:rsidR="00724C44" w:rsidRPr="00EB4FF5" w:rsidRDefault="00724C44" w:rsidP="00EB4FF5">
            <w:pPr>
              <w:spacing w:after="0" w:line="240" w:lineRule="auto"/>
              <w:jc w:val="both"/>
              <w:rPr>
                <w:sz w:val="22"/>
                <w:szCs w:val="22"/>
              </w:rPr>
            </w:pPr>
            <w:r w:rsidRPr="00EB4FF5">
              <w:rPr>
                <w:sz w:val="22"/>
                <w:szCs w:val="22"/>
              </w:rPr>
              <w:t>1-3 years</w:t>
            </w:r>
          </w:p>
        </w:tc>
        <w:tc>
          <w:tcPr>
            <w:tcW w:w="1170" w:type="dxa"/>
            <w:tcBorders>
              <w:top w:val="nil"/>
              <w:left w:val="nil"/>
              <w:bottom w:val="nil"/>
              <w:right w:val="nil"/>
            </w:tcBorders>
          </w:tcPr>
          <w:p w14:paraId="39563B39" w14:textId="77777777" w:rsidR="00724C44" w:rsidRPr="00EB4FF5" w:rsidRDefault="00724C44" w:rsidP="00EB4FF5">
            <w:pPr>
              <w:spacing w:after="0" w:line="240" w:lineRule="auto"/>
              <w:jc w:val="both"/>
              <w:rPr>
                <w:sz w:val="22"/>
                <w:szCs w:val="22"/>
              </w:rPr>
            </w:pPr>
            <w:r w:rsidRPr="00EB4FF5">
              <w:rPr>
                <w:sz w:val="22"/>
                <w:szCs w:val="22"/>
              </w:rPr>
              <w:t>26</w:t>
            </w:r>
          </w:p>
        </w:tc>
        <w:tc>
          <w:tcPr>
            <w:tcW w:w="1170" w:type="dxa"/>
            <w:tcBorders>
              <w:top w:val="nil"/>
              <w:left w:val="nil"/>
              <w:bottom w:val="nil"/>
              <w:right w:val="nil"/>
            </w:tcBorders>
          </w:tcPr>
          <w:p w14:paraId="3C2ABA4C" w14:textId="77777777" w:rsidR="00724C44" w:rsidRPr="00EB4FF5" w:rsidRDefault="00724C44" w:rsidP="00EB4FF5">
            <w:pPr>
              <w:spacing w:after="0" w:line="240" w:lineRule="auto"/>
              <w:jc w:val="both"/>
              <w:rPr>
                <w:sz w:val="22"/>
                <w:szCs w:val="22"/>
              </w:rPr>
            </w:pPr>
            <w:r w:rsidRPr="00EB4FF5">
              <w:rPr>
                <w:sz w:val="22"/>
                <w:szCs w:val="22"/>
              </w:rPr>
              <w:t>6.5</w:t>
            </w:r>
          </w:p>
        </w:tc>
      </w:tr>
      <w:tr w:rsidR="00724C44" w:rsidRPr="00724C44" w14:paraId="494E7CDD" w14:textId="77777777" w:rsidTr="00EB4FF5">
        <w:tc>
          <w:tcPr>
            <w:tcW w:w="3150" w:type="dxa"/>
            <w:tcBorders>
              <w:top w:val="nil"/>
              <w:left w:val="nil"/>
              <w:bottom w:val="nil"/>
              <w:right w:val="nil"/>
            </w:tcBorders>
          </w:tcPr>
          <w:p w14:paraId="18659CA5"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0D372901" w14:textId="77777777" w:rsidR="00724C44" w:rsidRPr="00EB4FF5" w:rsidRDefault="00724C44" w:rsidP="00EB4FF5">
            <w:pPr>
              <w:spacing w:after="0" w:line="240" w:lineRule="auto"/>
              <w:jc w:val="both"/>
              <w:rPr>
                <w:sz w:val="22"/>
                <w:szCs w:val="22"/>
              </w:rPr>
            </w:pPr>
            <w:r w:rsidRPr="00EB4FF5">
              <w:rPr>
                <w:sz w:val="22"/>
                <w:szCs w:val="22"/>
              </w:rPr>
              <w:t>4-6 years</w:t>
            </w:r>
          </w:p>
        </w:tc>
        <w:tc>
          <w:tcPr>
            <w:tcW w:w="1170" w:type="dxa"/>
            <w:tcBorders>
              <w:top w:val="nil"/>
              <w:left w:val="nil"/>
              <w:bottom w:val="nil"/>
              <w:right w:val="nil"/>
            </w:tcBorders>
          </w:tcPr>
          <w:p w14:paraId="182CD4A5" w14:textId="77777777" w:rsidR="00724C44" w:rsidRPr="00EB4FF5" w:rsidRDefault="00724C44" w:rsidP="00EB4FF5">
            <w:pPr>
              <w:spacing w:after="0" w:line="240" w:lineRule="auto"/>
              <w:jc w:val="both"/>
              <w:rPr>
                <w:sz w:val="22"/>
                <w:szCs w:val="22"/>
              </w:rPr>
            </w:pPr>
            <w:r w:rsidRPr="00EB4FF5">
              <w:rPr>
                <w:sz w:val="22"/>
                <w:szCs w:val="22"/>
              </w:rPr>
              <w:t>130</w:t>
            </w:r>
          </w:p>
        </w:tc>
        <w:tc>
          <w:tcPr>
            <w:tcW w:w="1170" w:type="dxa"/>
            <w:tcBorders>
              <w:top w:val="nil"/>
              <w:left w:val="nil"/>
              <w:bottom w:val="nil"/>
              <w:right w:val="nil"/>
            </w:tcBorders>
          </w:tcPr>
          <w:p w14:paraId="0AE68A26" w14:textId="77777777" w:rsidR="00724C44" w:rsidRPr="00EB4FF5" w:rsidRDefault="00724C44" w:rsidP="00EB4FF5">
            <w:pPr>
              <w:spacing w:after="0" w:line="240" w:lineRule="auto"/>
              <w:jc w:val="both"/>
              <w:rPr>
                <w:sz w:val="22"/>
                <w:szCs w:val="22"/>
              </w:rPr>
            </w:pPr>
            <w:r w:rsidRPr="00EB4FF5">
              <w:rPr>
                <w:sz w:val="22"/>
                <w:szCs w:val="22"/>
              </w:rPr>
              <w:t>32.5</w:t>
            </w:r>
          </w:p>
        </w:tc>
      </w:tr>
      <w:tr w:rsidR="00724C44" w:rsidRPr="00724C44" w14:paraId="51D1BEAA" w14:textId="77777777" w:rsidTr="00EB4FF5">
        <w:tc>
          <w:tcPr>
            <w:tcW w:w="3150" w:type="dxa"/>
            <w:tcBorders>
              <w:top w:val="nil"/>
              <w:left w:val="nil"/>
              <w:bottom w:val="nil"/>
              <w:right w:val="nil"/>
            </w:tcBorders>
          </w:tcPr>
          <w:p w14:paraId="631918CD"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54D96D9A" w14:textId="77777777" w:rsidR="00724C44" w:rsidRPr="00EB4FF5" w:rsidRDefault="00724C44" w:rsidP="00EB4FF5">
            <w:pPr>
              <w:spacing w:after="0" w:line="240" w:lineRule="auto"/>
              <w:jc w:val="both"/>
              <w:rPr>
                <w:sz w:val="22"/>
                <w:szCs w:val="22"/>
              </w:rPr>
            </w:pPr>
            <w:r w:rsidRPr="00EB4FF5">
              <w:rPr>
                <w:sz w:val="22"/>
                <w:szCs w:val="22"/>
              </w:rPr>
              <w:t>7-10 years</w:t>
            </w:r>
          </w:p>
        </w:tc>
        <w:tc>
          <w:tcPr>
            <w:tcW w:w="1170" w:type="dxa"/>
            <w:tcBorders>
              <w:top w:val="nil"/>
              <w:left w:val="nil"/>
              <w:bottom w:val="nil"/>
              <w:right w:val="nil"/>
            </w:tcBorders>
          </w:tcPr>
          <w:p w14:paraId="344E93D3" w14:textId="77777777" w:rsidR="00724C44" w:rsidRPr="00EB4FF5" w:rsidRDefault="00724C44" w:rsidP="00EB4FF5">
            <w:pPr>
              <w:spacing w:after="0" w:line="240" w:lineRule="auto"/>
              <w:jc w:val="both"/>
              <w:rPr>
                <w:sz w:val="22"/>
                <w:szCs w:val="22"/>
              </w:rPr>
            </w:pPr>
            <w:r w:rsidRPr="00EB4FF5">
              <w:rPr>
                <w:sz w:val="22"/>
                <w:szCs w:val="22"/>
              </w:rPr>
              <w:t>146</w:t>
            </w:r>
          </w:p>
        </w:tc>
        <w:tc>
          <w:tcPr>
            <w:tcW w:w="1170" w:type="dxa"/>
            <w:tcBorders>
              <w:top w:val="nil"/>
              <w:left w:val="nil"/>
              <w:bottom w:val="nil"/>
              <w:right w:val="nil"/>
            </w:tcBorders>
          </w:tcPr>
          <w:p w14:paraId="4589C830" w14:textId="77777777" w:rsidR="00724C44" w:rsidRPr="00EB4FF5" w:rsidRDefault="00724C44" w:rsidP="00EB4FF5">
            <w:pPr>
              <w:spacing w:after="0" w:line="240" w:lineRule="auto"/>
              <w:jc w:val="both"/>
              <w:rPr>
                <w:sz w:val="22"/>
                <w:szCs w:val="22"/>
              </w:rPr>
            </w:pPr>
            <w:r w:rsidRPr="00EB4FF5">
              <w:rPr>
                <w:sz w:val="22"/>
                <w:szCs w:val="22"/>
              </w:rPr>
              <w:t>36.5</w:t>
            </w:r>
          </w:p>
        </w:tc>
      </w:tr>
      <w:tr w:rsidR="00724C44" w:rsidRPr="00724C44" w14:paraId="68673567" w14:textId="77777777" w:rsidTr="00EB4FF5">
        <w:tc>
          <w:tcPr>
            <w:tcW w:w="3150" w:type="dxa"/>
            <w:tcBorders>
              <w:top w:val="nil"/>
              <w:left w:val="nil"/>
              <w:bottom w:val="nil"/>
              <w:right w:val="nil"/>
            </w:tcBorders>
          </w:tcPr>
          <w:p w14:paraId="768C68CE"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039D9A01" w14:textId="77777777" w:rsidR="00724C44" w:rsidRPr="00EB4FF5" w:rsidRDefault="00724C44" w:rsidP="00EB4FF5">
            <w:pPr>
              <w:spacing w:after="0" w:line="240" w:lineRule="auto"/>
              <w:jc w:val="both"/>
              <w:rPr>
                <w:sz w:val="22"/>
                <w:szCs w:val="22"/>
              </w:rPr>
            </w:pPr>
            <w:r w:rsidRPr="00EB4FF5">
              <w:rPr>
                <w:sz w:val="22"/>
                <w:szCs w:val="22"/>
              </w:rPr>
              <w:t>More than 10 years</w:t>
            </w:r>
          </w:p>
        </w:tc>
        <w:tc>
          <w:tcPr>
            <w:tcW w:w="1170" w:type="dxa"/>
            <w:tcBorders>
              <w:top w:val="nil"/>
              <w:left w:val="nil"/>
              <w:bottom w:val="nil"/>
              <w:right w:val="nil"/>
            </w:tcBorders>
          </w:tcPr>
          <w:p w14:paraId="5029D2E2" w14:textId="77777777" w:rsidR="00724C44" w:rsidRPr="00EB4FF5" w:rsidRDefault="00724C44" w:rsidP="00EB4FF5">
            <w:pPr>
              <w:spacing w:after="0" w:line="240" w:lineRule="auto"/>
              <w:jc w:val="both"/>
              <w:rPr>
                <w:sz w:val="22"/>
                <w:szCs w:val="22"/>
              </w:rPr>
            </w:pPr>
            <w:r w:rsidRPr="00EB4FF5">
              <w:rPr>
                <w:sz w:val="22"/>
                <w:szCs w:val="22"/>
              </w:rPr>
              <w:t>88</w:t>
            </w:r>
          </w:p>
        </w:tc>
        <w:tc>
          <w:tcPr>
            <w:tcW w:w="1170" w:type="dxa"/>
            <w:tcBorders>
              <w:top w:val="nil"/>
              <w:left w:val="nil"/>
              <w:bottom w:val="nil"/>
              <w:right w:val="nil"/>
            </w:tcBorders>
          </w:tcPr>
          <w:p w14:paraId="6F8BFC9E" w14:textId="77777777" w:rsidR="00724C44" w:rsidRPr="00EB4FF5" w:rsidRDefault="00724C44" w:rsidP="00EB4FF5">
            <w:pPr>
              <w:spacing w:after="0" w:line="240" w:lineRule="auto"/>
              <w:jc w:val="both"/>
              <w:rPr>
                <w:sz w:val="22"/>
                <w:szCs w:val="22"/>
              </w:rPr>
            </w:pPr>
            <w:r w:rsidRPr="00EB4FF5">
              <w:rPr>
                <w:sz w:val="22"/>
                <w:szCs w:val="22"/>
              </w:rPr>
              <w:t>22.0</w:t>
            </w:r>
          </w:p>
        </w:tc>
      </w:tr>
      <w:tr w:rsidR="00724C44" w:rsidRPr="00724C44" w14:paraId="4427952F" w14:textId="77777777" w:rsidTr="00EB4FF5">
        <w:tc>
          <w:tcPr>
            <w:tcW w:w="3150" w:type="dxa"/>
            <w:tcBorders>
              <w:top w:val="nil"/>
              <w:left w:val="nil"/>
              <w:bottom w:val="nil"/>
              <w:right w:val="nil"/>
            </w:tcBorders>
          </w:tcPr>
          <w:p w14:paraId="5A78A1EF" w14:textId="77777777" w:rsidR="00724C44" w:rsidRPr="00EB4FF5" w:rsidRDefault="00724C44" w:rsidP="00EB4FF5">
            <w:pPr>
              <w:spacing w:after="0" w:line="240" w:lineRule="auto"/>
              <w:rPr>
                <w:sz w:val="22"/>
                <w:szCs w:val="22"/>
              </w:rPr>
            </w:pPr>
            <w:r w:rsidRPr="00EB4FF5">
              <w:rPr>
                <w:sz w:val="22"/>
                <w:szCs w:val="22"/>
              </w:rPr>
              <w:t>Years in HR/Finance Field</w:t>
            </w:r>
          </w:p>
        </w:tc>
        <w:tc>
          <w:tcPr>
            <w:tcW w:w="3420" w:type="dxa"/>
            <w:tcBorders>
              <w:top w:val="nil"/>
              <w:left w:val="nil"/>
              <w:bottom w:val="nil"/>
              <w:right w:val="nil"/>
            </w:tcBorders>
          </w:tcPr>
          <w:p w14:paraId="60E92EC8" w14:textId="77777777" w:rsidR="00724C44" w:rsidRPr="00EB4FF5" w:rsidRDefault="00724C44" w:rsidP="00EB4FF5">
            <w:pPr>
              <w:spacing w:after="0" w:line="240" w:lineRule="auto"/>
              <w:jc w:val="both"/>
              <w:rPr>
                <w:sz w:val="22"/>
                <w:szCs w:val="22"/>
              </w:rPr>
            </w:pPr>
            <w:r w:rsidRPr="00EB4FF5">
              <w:rPr>
                <w:sz w:val="22"/>
                <w:szCs w:val="22"/>
              </w:rPr>
              <w:t>Less than 3 years</w:t>
            </w:r>
          </w:p>
        </w:tc>
        <w:tc>
          <w:tcPr>
            <w:tcW w:w="1170" w:type="dxa"/>
            <w:tcBorders>
              <w:top w:val="nil"/>
              <w:left w:val="nil"/>
              <w:bottom w:val="nil"/>
              <w:right w:val="nil"/>
            </w:tcBorders>
          </w:tcPr>
          <w:p w14:paraId="6CB48A24" w14:textId="77777777" w:rsidR="00724C44" w:rsidRPr="00EB4FF5" w:rsidRDefault="00724C44" w:rsidP="00EB4FF5">
            <w:pPr>
              <w:spacing w:after="0" w:line="240" w:lineRule="auto"/>
              <w:jc w:val="both"/>
              <w:rPr>
                <w:sz w:val="22"/>
                <w:szCs w:val="22"/>
              </w:rPr>
            </w:pPr>
            <w:r w:rsidRPr="00EB4FF5">
              <w:rPr>
                <w:sz w:val="22"/>
                <w:szCs w:val="22"/>
              </w:rPr>
              <w:t>37</w:t>
            </w:r>
          </w:p>
        </w:tc>
        <w:tc>
          <w:tcPr>
            <w:tcW w:w="1170" w:type="dxa"/>
            <w:tcBorders>
              <w:top w:val="nil"/>
              <w:left w:val="nil"/>
              <w:bottom w:val="nil"/>
              <w:right w:val="nil"/>
            </w:tcBorders>
          </w:tcPr>
          <w:p w14:paraId="65247EF6" w14:textId="77777777" w:rsidR="00724C44" w:rsidRPr="00EB4FF5" w:rsidRDefault="00724C44" w:rsidP="00EB4FF5">
            <w:pPr>
              <w:spacing w:after="0" w:line="240" w:lineRule="auto"/>
              <w:jc w:val="both"/>
              <w:rPr>
                <w:sz w:val="22"/>
                <w:szCs w:val="22"/>
              </w:rPr>
            </w:pPr>
            <w:r w:rsidRPr="00EB4FF5">
              <w:rPr>
                <w:sz w:val="22"/>
                <w:szCs w:val="22"/>
              </w:rPr>
              <w:t>9.3</w:t>
            </w:r>
          </w:p>
        </w:tc>
      </w:tr>
      <w:tr w:rsidR="00724C44" w:rsidRPr="00724C44" w14:paraId="04B76D23" w14:textId="77777777" w:rsidTr="00EB4FF5">
        <w:tc>
          <w:tcPr>
            <w:tcW w:w="3150" w:type="dxa"/>
            <w:tcBorders>
              <w:top w:val="nil"/>
              <w:left w:val="nil"/>
              <w:bottom w:val="nil"/>
              <w:right w:val="nil"/>
            </w:tcBorders>
          </w:tcPr>
          <w:p w14:paraId="3D93028B"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4BD55980" w14:textId="77777777" w:rsidR="00724C44" w:rsidRPr="00EB4FF5" w:rsidRDefault="00724C44" w:rsidP="00EB4FF5">
            <w:pPr>
              <w:spacing w:after="0" w:line="240" w:lineRule="auto"/>
              <w:jc w:val="both"/>
              <w:rPr>
                <w:sz w:val="22"/>
                <w:szCs w:val="22"/>
              </w:rPr>
            </w:pPr>
            <w:r w:rsidRPr="00EB4FF5">
              <w:rPr>
                <w:sz w:val="22"/>
                <w:szCs w:val="22"/>
              </w:rPr>
              <w:t>3-5 years</w:t>
            </w:r>
          </w:p>
        </w:tc>
        <w:tc>
          <w:tcPr>
            <w:tcW w:w="1170" w:type="dxa"/>
            <w:tcBorders>
              <w:top w:val="nil"/>
              <w:left w:val="nil"/>
              <w:bottom w:val="nil"/>
              <w:right w:val="nil"/>
            </w:tcBorders>
          </w:tcPr>
          <w:p w14:paraId="52D75685" w14:textId="77777777" w:rsidR="00724C44" w:rsidRPr="00EB4FF5" w:rsidRDefault="00724C44" w:rsidP="00EB4FF5">
            <w:pPr>
              <w:spacing w:after="0" w:line="240" w:lineRule="auto"/>
              <w:jc w:val="both"/>
              <w:rPr>
                <w:sz w:val="22"/>
                <w:szCs w:val="22"/>
              </w:rPr>
            </w:pPr>
            <w:r w:rsidRPr="00EB4FF5">
              <w:rPr>
                <w:sz w:val="22"/>
                <w:szCs w:val="22"/>
              </w:rPr>
              <w:t>127</w:t>
            </w:r>
          </w:p>
        </w:tc>
        <w:tc>
          <w:tcPr>
            <w:tcW w:w="1170" w:type="dxa"/>
            <w:tcBorders>
              <w:top w:val="nil"/>
              <w:left w:val="nil"/>
              <w:bottom w:val="nil"/>
              <w:right w:val="nil"/>
            </w:tcBorders>
          </w:tcPr>
          <w:p w14:paraId="2A1F100C" w14:textId="77777777" w:rsidR="00724C44" w:rsidRPr="00EB4FF5" w:rsidRDefault="00724C44" w:rsidP="00EB4FF5">
            <w:pPr>
              <w:spacing w:after="0" w:line="240" w:lineRule="auto"/>
              <w:jc w:val="both"/>
              <w:rPr>
                <w:sz w:val="22"/>
                <w:szCs w:val="22"/>
              </w:rPr>
            </w:pPr>
            <w:r w:rsidRPr="00EB4FF5">
              <w:rPr>
                <w:sz w:val="22"/>
                <w:szCs w:val="22"/>
              </w:rPr>
              <w:t>31.8</w:t>
            </w:r>
          </w:p>
        </w:tc>
      </w:tr>
      <w:tr w:rsidR="00724C44" w:rsidRPr="00724C44" w14:paraId="0756368C" w14:textId="77777777" w:rsidTr="00EB4FF5">
        <w:tc>
          <w:tcPr>
            <w:tcW w:w="3150" w:type="dxa"/>
            <w:tcBorders>
              <w:top w:val="nil"/>
              <w:left w:val="nil"/>
              <w:bottom w:val="nil"/>
              <w:right w:val="nil"/>
            </w:tcBorders>
          </w:tcPr>
          <w:p w14:paraId="0BE283DA"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0BE8F526" w14:textId="77777777" w:rsidR="00724C44" w:rsidRPr="00EB4FF5" w:rsidRDefault="00724C44" w:rsidP="00EB4FF5">
            <w:pPr>
              <w:spacing w:after="0" w:line="240" w:lineRule="auto"/>
              <w:jc w:val="both"/>
              <w:rPr>
                <w:sz w:val="22"/>
                <w:szCs w:val="22"/>
              </w:rPr>
            </w:pPr>
            <w:r w:rsidRPr="00EB4FF5">
              <w:rPr>
                <w:sz w:val="22"/>
                <w:szCs w:val="22"/>
              </w:rPr>
              <w:t>6-10 years</w:t>
            </w:r>
          </w:p>
        </w:tc>
        <w:tc>
          <w:tcPr>
            <w:tcW w:w="1170" w:type="dxa"/>
            <w:tcBorders>
              <w:top w:val="nil"/>
              <w:left w:val="nil"/>
              <w:bottom w:val="nil"/>
              <w:right w:val="nil"/>
            </w:tcBorders>
          </w:tcPr>
          <w:p w14:paraId="03117A11" w14:textId="77777777" w:rsidR="00724C44" w:rsidRPr="00EB4FF5" w:rsidRDefault="00724C44" w:rsidP="00EB4FF5">
            <w:pPr>
              <w:spacing w:after="0" w:line="240" w:lineRule="auto"/>
              <w:jc w:val="both"/>
              <w:rPr>
                <w:sz w:val="22"/>
                <w:szCs w:val="22"/>
              </w:rPr>
            </w:pPr>
            <w:r w:rsidRPr="00EB4FF5">
              <w:rPr>
                <w:sz w:val="22"/>
                <w:szCs w:val="22"/>
              </w:rPr>
              <w:t>73</w:t>
            </w:r>
          </w:p>
        </w:tc>
        <w:tc>
          <w:tcPr>
            <w:tcW w:w="1170" w:type="dxa"/>
            <w:tcBorders>
              <w:top w:val="nil"/>
              <w:left w:val="nil"/>
              <w:bottom w:val="nil"/>
              <w:right w:val="nil"/>
            </w:tcBorders>
          </w:tcPr>
          <w:p w14:paraId="508487AF" w14:textId="77777777" w:rsidR="00724C44" w:rsidRPr="00EB4FF5" w:rsidRDefault="00724C44" w:rsidP="00EB4FF5">
            <w:pPr>
              <w:spacing w:after="0" w:line="240" w:lineRule="auto"/>
              <w:jc w:val="both"/>
              <w:rPr>
                <w:sz w:val="22"/>
                <w:szCs w:val="22"/>
              </w:rPr>
            </w:pPr>
            <w:r w:rsidRPr="00EB4FF5">
              <w:rPr>
                <w:sz w:val="22"/>
                <w:szCs w:val="22"/>
              </w:rPr>
              <w:t>18.3</w:t>
            </w:r>
          </w:p>
        </w:tc>
      </w:tr>
      <w:tr w:rsidR="00724C44" w:rsidRPr="00724C44" w14:paraId="7FFA634A" w14:textId="77777777" w:rsidTr="00EB4FF5">
        <w:tc>
          <w:tcPr>
            <w:tcW w:w="3150" w:type="dxa"/>
            <w:tcBorders>
              <w:top w:val="nil"/>
              <w:left w:val="nil"/>
              <w:bottom w:val="nil"/>
              <w:right w:val="nil"/>
            </w:tcBorders>
          </w:tcPr>
          <w:p w14:paraId="1177478B"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28005931" w14:textId="77777777" w:rsidR="00724C44" w:rsidRPr="00EB4FF5" w:rsidRDefault="00724C44" w:rsidP="00EB4FF5">
            <w:pPr>
              <w:spacing w:after="0" w:line="240" w:lineRule="auto"/>
              <w:jc w:val="both"/>
              <w:rPr>
                <w:sz w:val="22"/>
                <w:szCs w:val="22"/>
              </w:rPr>
            </w:pPr>
            <w:r w:rsidRPr="00EB4FF5">
              <w:rPr>
                <w:sz w:val="22"/>
                <w:szCs w:val="22"/>
              </w:rPr>
              <w:t>11-15 years</w:t>
            </w:r>
          </w:p>
        </w:tc>
        <w:tc>
          <w:tcPr>
            <w:tcW w:w="1170" w:type="dxa"/>
            <w:tcBorders>
              <w:top w:val="nil"/>
              <w:left w:val="nil"/>
              <w:bottom w:val="nil"/>
              <w:right w:val="nil"/>
            </w:tcBorders>
          </w:tcPr>
          <w:p w14:paraId="306A8165" w14:textId="77777777" w:rsidR="00724C44" w:rsidRPr="00EB4FF5" w:rsidRDefault="00724C44" w:rsidP="00EB4FF5">
            <w:pPr>
              <w:spacing w:after="0" w:line="240" w:lineRule="auto"/>
              <w:jc w:val="both"/>
              <w:rPr>
                <w:sz w:val="22"/>
                <w:szCs w:val="22"/>
              </w:rPr>
            </w:pPr>
            <w:r w:rsidRPr="00EB4FF5">
              <w:rPr>
                <w:sz w:val="22"/>
                <w:szCs w:val="22"/>
              </w:rPr>
              <w:t>76</w:t>
            </w:r>
          </w:p>
        </w:tc>
        <w:tc>
          <w:tcPr>
            <w:tcW w:w="1170" w:type="dxa"/>
            <w:tcBorders>
              <w:top w:val="nil"/>
              <w:left w:val="nil"/>
              <w:bottom w:val="nil"/>
              <w:right w:val="nil"/>
            </w:tcBorders>
          </w:tcPr>
          <w:p w14:paraId="00F2DC4F" w14:textId="77777777" w:rsidR="00724C44" w:rsidRPr="00EB4FF5" w:rsidRDefault="00724C44" w:rsidP="00EB4FF5">
            <w:pPr>
              <w:spacing w:after="0" w:line="240" w:lineRule="auto"/>
              <w:jc w:val="both"/>
              <w:rPr>
                <w:sz w:val="22"/>
                <w:szCs w:val="22"/>
              </w:rPr>
            </w:pPr>
            <w:r w:rsidRPr="00EB4FF5">
              <w:rPr>
                <w:sz w:val="22"/>
                <w:szCs w:val="22"/>
              </w:rPr>
              <w:t>19.0</w:t>
            </w:r>
          </w:p>
        </w:tc>
      </w:tr>
      <w:tr w:rsidR="00724C44" w:rsidRPr="00724C44" w14:paraId="3DD8CB78" w14:textId="77777777" w:rsidTr="00EB4FF5">
        <w:tc>
          <w:tcPr>
            <w:tcW w:w="3150" w:type="dxa"/>
            <w:tcBorders>
              <w:top w:val="nil"/>
              <w:left w:val="nil"/>
              <w:bottom w:val="nil"/>
              <w:right w:val="nil"/>
            </w:tcBorders>
          </w:tcPr>
          <w:p w14:paraId="43C00E9C"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39FD5E4C" w14:textId="77777777" w:rsidR="00724C44" w:rsidRPr="00EB4FF5" w:rsidRDefault="00724C44" w:rsidP="00EB4FF5">
            <w:pPr>
              <w:spacing w:after="0" w:line="240" w:lineRule="auto"/>
              <w:jc w:val="both"/>
              <w:rPr>
                <w:sz w:val="22"/>
                <w:szCs w:val="22"/>
              </w:rPr>
            </w:pPr>
            <w:r w:rsidRPr="00EB4FF5">
              <w:rPr>
                <w:sz w:val="22"/>
                <w:szCs w:val="22"/>
              </w:rPr>
              <w:t>More than 15 years</w:t>
            </w:r>
          </w:p>
        </w:tc>
        <w:tc>
          <w:tcPr>
            <w:tcW w:w="1170" w:type="dxa"/>
            <w:tcBorders>
              <w:top w:val="nil"/>
              <w:left w:val="nil"/>
              <w:bottom w:val="nil"/>
              <w:right w:val="nil"/>
            </w:tcBorders>
          </w:tcPr>
          <w:p w14:paraId="48176B77" w14:textId="77777777" w:rsidR="00724C44" w:rsidRPr="00EB4FF5" w:rsidRDefault="00724C44" w:rsidP="00EB4FF5">
            <w:pPr>
              <w:spacing w:after="0" w:line="240" w:lineRule="auto"/>
              <w:jc w:val="both"/>
              <w:rPr>
                <w:sz w:val="22"/>
                <w:szCs w:val="22"/>
              </w:rPr>
            </w:pPr>
            <w:r w:rsidRPr="00EB4FF5">
              <w:rPr>
                <w:sz w:val="22"/>
                <w:szCs w:val="22"/>
              </w:rPr>
              <w:t>87</w:t>
            </w:r>
          </w:p>
        </w:tc>
        <w:tc>
          <w:tcPr>
            <w:tcW w:w="1170" w:type="dxa"/>
            <w:tcBorders>
              <w:top w:val="nil"/>
              <w:left w:val="nil"/>
              <w:bottom w:val="nil"/>
              <w:right w:val="nil"/>
            </w:tcBorders>
          </w:tcPr>
          <w:p w14:paraId="4582969C" w14:textId="77777777" w:rsidR="00724C44" w:rsidRPr="00EB4FF5" w:rsidRDefault="00724C44" w:rsidP="00EB4FF5">
            <w:pPr>
              <w:spacing w:after="0" w:line="240" w:lineRule="auto"/>
              <w:jc w:val="both"/>
              <w:rPr>
                <w:sz w:val="22"/>
                <w:szCs w:val="22"/>
              </w:rPr>
            </w:pPr>
            <w:r w:rsidRPr="00EB4FF5">
              <w:rPr>
                <w:sz w:val="22"/>
                <w:szCs w:val="22"/>
              </w:rPr>
              <w:t>21.8</w:t>
            </w:r>
          </w:p>
        </w:tc>
      </w:tr>
      <w:tr w:rsidR="00724C44" w:rsidRPr="00724C44" w14:paraId="7F99199C" w14:textId="77777777" w:rsidTr="00EB4FF5">
        <w:tc>
          <w:tcPr>
            <w:tcW w:w="3150" w:type="dxa"/>
            <w:tcBorders>
              <w:top w:val="nil"/>
              <w:left w:val="nil"/>
              <w:bottom w:val="nil"/>
              <w:right w:val="nil"/>
            </w:tcBorders>
          </w:tcPr>
          <w:p w14:paraId="41028A8B" w14:textId="77777777" w:rsidR="00724C44" w:rsidRPr="00EB4FF5" w:rsidRDefault="00724C44" w:rsidP="00EB4FF5">
            <w:pPr>
              <w:spacing w:after="0" w:line="240" w:lineRule="auto"/>
              <w:jc w:val="both"/>
              <w:rPr>
                <w:sz w:val="22"/>
                <w:szCs w:val="22"/>
              </w:rPr>
            </w:pPr>
            <w:r w:rsidRPr="00EB4FF5">
              <w:rPr>
                <w:sz w:val="22"/>
                <w:szCs w:val="22"/>
              </w:rPr>
              <w:t>Highest Education</w:t>
            </w:r>
          </w:p>
        </w:tc>
        <w:tc>
          <w:tcPr>
            <w:tcW w:w="3420" w:type="dxa"/>
            <w:tcBorders>
              <w:top w:val="nil"/>
              <w:left w:val="nil"/>
              <w:bottom w:val="nil"/>
              <w:right w:val="nil"/>
            </w:tcBorders>
          </w:tcPr>
          <w:p w14:paraId="1989C912" w14:textId="77777777" w:rsidR="00724C44" w:rsidRPr="00EB4FF5" w:rsidRDefault="00724C44" w:rsidP="00EB4FF5">
            <w:pPr>
              <w:spacing w:after="0" w:line="240" w:lineRule="auto"/>
              <w:jc w:val="both"/>
              <w:rPr>
                <w:sz w:val="22"/>
                <w:szCs w:val="22"/>
              </w:rPr>
            </w:pPr>
            <w:r w:rsidRPr="00EB4FF5">
              <w:rPr>
                <w:sz w:val="22"/>
                <w:szCs w:val="22"/>
              </w:rPr>
              <w:t>Bachelor's degree</w:t>
            </w:r>
          </w:p>
        </w:tc>
        <w:tc>
          <w:tcPr>
            <w:tcW w:w="1170" w:type="dxa"/>
            <w:tcBorders>
              <w:top w:val="nil"/>
              <w:left w:val="nil"/>
              <w:bottom w:val="nil"/>
              <w:right w:val="nil"/>
            </w:tcBorders>
          </w:tcPr>
          <w:p w14:paraId="55F37175" w14:textId="77777777" w:rsidR="00724C44" w:rsidRPr="00EB4FF5" w:rsidRDefault="00724C44" w:rsidP="00EB4FF5">
            <w:pPr>
              <w:spacing w:after="0" w:line="240" w:lineRule="auto"/>
              <w:jc w:val="both"/>
              <w:rPr>
                <w:sz w:val="22"/>
                <w:szCs w:val="22"/>
              </w:rPr>
            </w:pPr>
            <w:r w:rsidRPr="00EB4FF5">
              <w:rPr>
                <w:sz w:val="22"/>
                <w:szCs w:val="22"/>
              </w:rPr>
              <w:t>9</w:t>
            </w:r>
          </w:p>
        </w:tc>
        <w:tc>
          <w:tcPr>
            <w:tcW w:w="1170" w:type="dxa"/>
            <w:tcBorders>
              <w:top w:val="nil"/>
              <w:left w:val="nil"/>
              <w:bottom w:val="nil"/>
              <w:right w:val="nil"/>
            </w:tcBorders>
          </w:tcPr>
          <w:p w14:paraId="77547F00" w14:textId="77777777" w:rsidR="00724C44" w:rsidRPr="00EB4FF5" w:rsidRDefault="00724C44" w:rsidP="00EB4FF5">
            <w:pPr>
              <w:spacing w:after="0" w:line="240" w:lineRule="auto"/>
              <w:jc w:val="both"/>
              <w:rPr>
                <w:sz w:val="22"/>
                <w:szCs w:val="22"/>
              </w:rPr>
            </w:pPr>
            <w:r w:rsidRPr="00EB4FF5">
              <w:rPr>
                <w:sz w:val="22"/>
                <w:szCs w:val="22"/>
              </w:rPr>
              <w:t>2.3</w:t>
            </w:r>
          </w:p>
        </w:tc>
      </w:tr>
      <w:tr w:rsidR="00724C44" w:rsidRPr="00724C44" w14:paraId="6C1F6FB1" w14:textId="77777777" w:rsidTr="00EB4FF5">
        <w:tc>
          <w:tcPr>
            <w:tcW w:w="3150" w:type="dxa"/>
            <w:tcBorders>
              <w:top w:val="nil"/>
              <w:left w:val="nil"/>
              <w:bottom w:val="nil"/>
              <w:right w:val="nil"/>
            </w:tcBorders>
          </w:tcPr>
          <w:p w14:paraId="2F786431"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38A882A5" w14:textId="77777777" w:rsidR="00724C44" w:rsidRPr="00EB4FF5" w:rsidRDefault="00724C44" w:rsidP="00EB4FF5">
            <w:pPr>
              <w:spacing w:after="0" w:line="240" w:lineRule="auto"/>
              <w:jc w:val="both"/>
              <w:rPr>
                <w:sz w:val="22"/>
                <w:szCs w:val="22"/>
              </w:rPr>
            </w:pPr>
            <w:r w:rsidRPr="00EB4FF5">
              <w:rPr>
                <w:sz w:val="22"/>
                <w:szCs w:val="22"/>
              </w:rPr>
              <w:t>Master's degree</w:t>
            </w:r>
          </w:p>
        </w:tc>
        <w:tc>
          <w:tcPr>
            <w:tcW w:w="1170" w:type="dxa"/>
            <w:tcBorders>
              <w:top w:val="nil"/>
              <w:left w:val="nil"/>
              <w:bottom w:val="nil"/>
              <w:right w:val="nil"/>
            </w:tcBorders>
          </w:tcPr>
          <w:p w14:paraId="33A8BB6D" w14:textId="77777777" w:rsidR="00724C44" w:rsidRPr="00EB4FF5" w:rsidRDefault="00724C44" w:rsidP="00EB4FF5">
            <w:pPr>
              <w:spacing w:after="0" w:line="240" w:lineRule="auto"/>
              <w:jc w:val="both"/>
              <w:rPr>
                <w:sz w:val="22"/>
                <w:szCs w:val="22"/>
              </w:rPr>
            </w:pPr>
            <w:r w:rsidRPr="00EB4FF5">
              <w:rPr>
                <w:sz w:val="22"/>
                <w:szCs w:val="22"/>
              </w:rPr>
              <w:t>294</w:t>
            </w:r>
          </w:p>
        </w:tc>
        <w:tc>
          <w:tcPr>
            <w:tcW w:w="1170" w:type="dxa"/>
            <w:tcBorders>
              <w:top w:val="nil"/>
              <w:left w:val="nil"/>
              <w:bottom w:val="nil"/>
              <w:right w:val="nil"/>
            </w:tcBorders>
          </w:tcPr>
          <w:p w14:paraId="6B2B0303" w14:textId="77777777" w:rsidR="00724C44" w:rsidRPr="00EB4FF5" w:rsidRDefault="00724C44" w:rsidP="00EB4FF5">
            <w:pPr>
              <w:spacing w:after="0" w:line="240" w:lineRule="auto"/>
              <w:jc w:val="both"/>
              <w:rPr>
                <w:sz w:val="22"/>
                <w:szCs w:val="22"/>
              </w:rPr>
            </w:pPr>
            <w:r w:rsidRPr="00EB4FF5">
              <w:rPr>
                <w:sz w:val="22"/>
                <w:szCs w:val="22"/>
              </w:rPr>
              <w:t>73.5</w:t>
            </w:r>
          </w:p>
        </w:tc>
      </w:tr>
      <w:tr w:rsidR="00724C44" w:rsidRPr="00724C44" w14:paraId="479598DB" w14:textId="77777777" w:rsidTr="00EB4FF5">
        <w:tc>
          <w:tcPr>
            <w:tcW w:w="3150" w:type="dxa"/>
            <w:tcBorders>
              <w:top w:val="nil"/>
              <w:left w:val="nil"/>
              <w:bottom w:val="nil"/>
              <w:right w:val="nil"/>
            </w:tcBorders>
          </w:tcPr>
          <w:p w14:paraId="0D0CBED5"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3D01A9A7" w14:textId="77777777" w:rsidR="00724C44" w:rsidRPr="00EB4FF5" w:rsidRDefault="00724C44" w:rsidP="00EB4FF5">
            <w:pPr>
              <w:spacing w:after="0" w:line="240" w:lineRule="auto"/>
              <w:jc w:val="both"/>
              <w:rPr>
                <w:sz w:val="22"/>
                <w:szCs w:val="22"/>
              </w:rPr>
            </w:pPr>
            <w:r w:rsidRPr="00EB4FF5">
              <w:rPr>
                <w:sz w:val="22"/>
                <w:szCs w:val="22"/>
              </w:rPr>
              <w:t>Doctoral degree</w:t>
            </w:r>
          </w:p>
        </w:tc>
        <w:tc>
          <w:tcPr>
            <w:tcW w:w="1170" w:type="dxa"/>
            <w:tcBorders>
              <w:top w:val="nil"/>
              <w:left w:val="nil"/>
              <w:bottom w:val="nil"/>
              <w:right w:val="nil"/>
            </w:tcBorders>
          </w:tcPr>
          <w:p w14:paraId="03D62EF5" w14:textId="77777777" w:rsidR="00724C44" w:rsidRPr="00EB4FF5" w:rsidRDefault="00724C44" w:rsidP="00EB4FF5">
            <w:pPr>
              <w:spacing w:after="0" w:line="240" w:lineRule="auto"/>
              <w:jc w:val="both"/>
              <w:rPr>
                <w:sz w:val="22"/>
                <w:szCs w:val="22"/>
              </w:rPr>
            </w:pPr>
            <w:r w:rsidRPr="00EB4FF5">
              <w:rPr>
                <w:sz w:val="22"/>
                <w:szCs w:val="22"/>
              </w:rPr>
              <w:t>18</w:t>
            </w:r>
          </w:p>
        </w:tc>
        <w:tc>
          <w:tcPr>
            <w:tcW w:w="1170" w:type="dxa"/>
            <w:tcBorders>
              <w:top w:val="nil"/>
              <w:left w:val="nil"/>
              <w:bottom w:val="nil"/>
              <w:right w:val="nil"/>
            </w:tcBorders>
          </w:tcPr>
          <w:p w14:paraId="4AD424D3" w14:textId="77777777" w:rsidR="00724C44" w:rsidRPr="00EB4FF5" w:rsidRDefault="00724C44" w:rsidP="00EB4FF5">
            <w:pPr>
              <w:spacing w:after="0" w:line="240" w:lineRule="auto"/>
              <w:jc w:val="both"/>
              <w:rPr>
                <w:sz w:val="22"/>
                <w:szCs w:val="22"/>
              </w:rPr>
            </w:pPr>
            <w:r w:rsidRPr="00EB4FF5">
              <w:rPr>
                <w:sz w:val="22"/>
                <w:szCs w:val="22"/>
              </w:rPr>
              <w:t>4.5</w:t>
            </w:r>
          </w:p>
        </w:tc>
      </w:tr>
      <w:tr w:rsidR="00724C44" w:rsidRPr="00724C44" w14:paraId="1B88AD38" w14:textId="77777777" w:rsidTr="00EB4FF5">
        <w:tc>
          <w:tcPr>
            <w:tcW w:w="3150" w:type="dxa"/>
            <w:tcBorders>
              <w:top w:val="nil"/>
              <w:left w:val="nil"/>
              <w:bottom w:val="nil"/>
              <w:right w:val="nil"/>
            </w:tcBorders>
          </w:tcPr>
          <w:p w14:paraId="5115DA1B"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4E5D21C3" w14:textId="77777777" w:rsidR="00724C44" w:rsidRPr="00EB4FF5" w:rsidRDefault="00724C44" w:rsidP="00EB4FF5">
            <w:pPr>
              <w:spacing w:after="0" w:line="240" w:lineRule="auto"/>
              <w:jc w:val="both"/>
              <w:rPr>
                <w:sz w:val="22"/>
                <w:szCs w:val="22"/>
              </w:rPr>
            </w:pPr>
            <w:r w:rsidRPr="00EB4FF5">
              <w:rPr>
                <w:sz w:val="22"/>
                <w:szCs w:val="22"/>
              </w:rPr>
              <w:t>Professional certification</w:t>
            </w:r>
          </w:p>
        </w:tc>
        <w:tc>
          <w:tcPr>
            <w:tcW w:w="1170" w:type="dxa"/>
            <w:tcBorders>
              <w:top w:val="nil"/>
              <w:left w:val="nil"/>
              <w:bottom w:val="nil"/>
              <w:right w:val="nil"/>
            </w:tcBorders>
          </w:tcPr>
          <w:p w14:paraId="65E51B84" w14:textId="77777777" w:rsidR="00724C44" w:rsidRPr="00EB4FF5" w:rsidRDefault="00724C44" w:rsidP="00EB4FF5">
            <w:pPr>
              <w:spacing w:after="0" w:line="240" w:lineRule="auto"/>
              <w:jc w:val="both"/>
              <w:rPr>
                <w:sz w:val="22"/>
                <w:szCs w:val="22"/>
              </w:rPr>
            </w:pPr>
            <w:r w:rsidRPr="00EB4FF5">
              <w:rPr>
                <w:sz w:val="22"/>
                <w:szCs w:val="22"/>
              </w:rPr>
              <w:t>8</w:t>
            </w:r>
          </w:p>
        </w:tc>
        <w:tc>
          <w:tcPr>
            <w:tcW w:w="1170" w:type="dxa"/>
            <w:tcBorders>
              <w:top w:val="nil"/>
              <w:left w:val="nil"/>
              <w:bottom w:val="nil"/>
              <w:right w:val="nil"/>
            </w:tcBorders>
          </w:tcPr>
          <w:p w14:paraId="215D8374" w14:textId="77777777" w:rsidR="00724C44" w:rsidRPr="00EB4FF5" w:rsidRDefault="00724C44" w:rsidP="00EB4FF5">
            <w:pPr>
              <w:spacing w:after="0" w:line="240" w:lineRule="auto"/>
              <w:jc w:val="both"/>
              <w:rPr>
                <w:sz w:val="22"/>
                <w:szCs w:val="22"/>
              </w:rPr>
            </w:pPr>
            <w:r w:rsidRPr="00EB4FF5">
              <w:rPr>
                <w:sz w:val="22"/>
                <w:szCs w:val="22"/>
              </w:rPr>
              <w:t>2.0</w:t>
            </w:r>
          </w:p>
        </w:tc>
      </w:tr>
      <w:tr w:rsidR="00724C44" w:rsidRPr="00724C44" w14:paraId="6E3DE29A" w14:textId="77777777" w:rsidTr="00EB4FF5">
        <w:tc>
          <w:tcPr>
            <w:tcW w:w="3150" w:type="dxa"/>
            <w:tcBorders>
              <w:top w:val="nil"/>
              <w:left w:val="nil"/>
              <w:bottom w:val="nil"/>
              <w:right w:val="nil"/>
            </w:tcBorders>
          </w:tcPr>
          <w:p w14:paraId="6569FA09"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2DAA0A0E" w14:textId="77777777" w:rsidR="00724C44" w:rsidRPr="00EB4FF5" w:rsidRDefault="00724C44" w:rsidP="00EB4FF5">
            <w:pPr>
              <w:spacing w:after="0" w:line="240" w:lineRule="auto"/>
              <w:jc w:val="both"/>
              <w:rPr>
                <w:sz w:val="22"/>
                <w:szCs w:val="22"/>
              </w:rPr>
            </w:pPr>
            <w:r w:rsidRPr="00EB4FF5">
              <w:rPr>
                <w:sz w:val="22"/>
                <w:szCs w:val="22"/>
              </w:rPr>
              <w:t>Other</w:t>
            </w:r>
          </w:p>
        </w:tc>
        <w:tc>
          <w:tcPr>
            <w:tcW w:w="1170" w:type="dxa"/>
            <w:tcBorders>
              <w:top w:val="nil"/>
              <w:left w:val="nil"/>
              <w:bottom w:val="nil"/>
              <w:right w:val="nil"/>
            </w:tcBorders>
          </w:tcPr>
          <w:p w14:paraId="6F508C4E" w14:textId="77777777" w:rsidR="00724C44" w:rsidRPr="00EB4FF5" w:rsidRDefault="00724C44" w:rsidP="00EB4FF5">
            <w:pPr>
              <w:spacing w:after="0" w:line="240" w:lineRule="auto"/>
              <w:jc w:val="both"/>
              <w:rPr>
                <w:sz w:val="22"/>
                <w:szCs w:val="22"/>
              </w:rPr>
            </w:pPr>
            <w:r w:rsidRPr="00EB4FF5">
              <w:rPr>
                <w:sz w:val="22"/>
                <w:szCs w:val="22"/>
              </w:rPr>
              <w:t>71</w:t>
            </w:r>
          </w:p>
        </w:tc>
        <w:tc>
          <w:tcPr>
            <w:tcW w:w="1170" w:type="dxa"/>
            <w:tcBorders>
              <w:top w:val="nil"/>
              <w:left w:val="nil"/>
              <w:bottom w:val="nil"/>
              <w:right w:val="nil"/>
            </w:tcBorders>
          </w:tcPr>
          <w:p w14:paraId="002388A5" w14:textId="77777777" w:rsidR="00724C44" w:rsidRPr="00EB4FF5" w:rsidRDefault="00724C44" w:rsidP="00EB4FF5">
            <w:pPr>
              <w:spacing w:after="0" w:line="240" w:lineRule="auto"/>
              <w:jc w:val="both"/>
              <w:rPr>
                <w:sz w:val="22"/>
                <w:szCs w:val="22"/>
              </w:rPr>
            </w:pPr>
            <w:r w:rsidRPr="00EB4FF5">
              <w:rPr>
                <w:sz w:val="22"/>
                <w:szCs w:val="22"/>
              </w:rPr>
              <w:t>17.8</w:t>
            </w:r>
          </w:p>
        </w:tc>
      </w:tr>
      <w:tr w:rsidR="00724C44" w:rsidRPr="00724C44" w14:paraId="4E99439A" w14:textId="77777777" w:rsidTr="00EB4FF5">
        <w:tc>
          <w:tcPr>
            <w:tcW w:w="3150" w:type="dxa"/>
            <w:tcBorders>
              <w:top w:val="nil"/>
              <w:left w:val="nil"/>
              <w:bottom w:val="nil"/>
              <w:right w:val="nil"/>
            </w:tcBorders>
          </w:tcPr>
          <w:p w14:paraId="572B24C8" w14:textId="596EC806" w:rsidR="00724C44" w:rsidRPr="00EB4FF5" w:rsidRDefault="00724C44" w:rsidP="00EB4FF5">
            <w:pPr>
              <w:spacing w:after="0" w:line="240" w:lineRule="auto"/>
              <w:rPr>
                <w:sz w:val="22"/>
                <w:szCs w:val="22"/>
              </w:rPr>
            </w:pPr>
            <w:r w:rsidRPr="00EB4FF5">
              <w:rPr>
                <w:sz w:val="22"/>
                <w:szCs w:val="22"/>
              </w:rPr>
              <w:t>Compensation Decision</w:t>
            </w:r>
          </w:p>
        </w:tc>
        <w:tc>
          <w:tcPr>
            <w:tcW w:w="3420" w:type="dxa"/>
            <w:tcBorders>
              <w:top w:val="nil"/>
              <w:left w:val="nil"/>
              <w:bottom w:val="nil"/>
              <w:right w:val="nil"/>
            </w:tcBorders>
          </w:tcPr>
          <w:p w14:paraId="2D2EF808" w14:textId="77777777" w:rsidR="00724C44" w:rsidRPr="00EB4FF5" w:rsidRDefault="00724C44" w:rsidP="00EB4FF5">
            <w:pPr>
              <w:spacing w:after="0" w:line="240" w:lineRule="auto"/>
              <w:jc w:val="both"/>
              <w:rPr>
                <w:sz w:val="22"/>
                <w:szCs w:val="22"/>
              </w:rPr>
            </w:pPr>
            <w:r w:rsidRPr="00EB4FF5">
              <w:rPr>
                <w:sz w:val="22"/>
                <w:szCs w:val="22"/>
              </w:rPr>
              <w:t>Not involved</w:t>
            </w:r>
          </w:p>
        </w:tc>
        <w:tc>
          <w:tcPr>
            <w:tcW w:w="1170" w:type="dxa"/>
            <w:tcBorders>
              <w:top w:val="nil"/>
              <w:left w:val="nil"/>
              <w:bottom w:val="nil"/>
              <w:right w:val="nil"/>
            </w:tcBorders>
          </w:tcPr>
          <w:p w14:paraId="7DEE098B" w14:textId="77777777" w:rsidR="00724C44" w:rsidRPr="00EB4FF5" w:rsidRDefault="00724C44" w:rsidP="00EB4FF5">
            <w:pPr>
              <w:spacing w:after="0" w:line="240" w:lineRule="auto"/>
              <w:jc w:val="both"/>
              <w:rPr>
                <w:sz w:val="22"/>
                <w:szCs w:val="22"/>
              </w:rPr>
            </w:pPr>
            <w:r w:rsidRPr="00EB4FF5">
              <w:rPr>
                <w:sz w:val="22"/>
                <w:szCs w:val="22"/>
              </w:rPr>
              <w:t>12</w:t>
            </w:r>
          </w:p>
        </w:tc>
        <w:tc>
          <w:tcPr>
            <w:tcW w:w="1170" w:type="dxa"/>
            <w:tcBorders>
              <w:top w:val="nil"/>
              <w:left w:val="nil"/>
              <w:bottom w:val="nil"/>
              <w:right w:val="nil"/>
            </w:tcBorders>
          </w:tcPr>
          <w:p w14:paraId="2FF11401" w14:textId="77777777" w:rsidR="00724C44" w:rsidRPr="00EB4FF5" w:rsidRDefault="00724C44" w:rsidP="00EB4FF5">
            <w:pPr>
              <w:spacing w:after="0" w:line="240" w:lineRule="auto"/>
              <w:jc w:val="both"/>
              <w:rPr>
                <w:sz w:val="22"/>
                <w:szCs w:val="22"/>
              </w:rPr>
            </w:pPr>
            <w:r w:rsidRPr="00EB4FF5">
              <w:rPr>
                <w:sz w:val="22"/>
                <w:szCs w:val="22"/>
              </w:rPr>
              <w:t>3.0</w:t>
            </w:r>
          </w:p>
        </w:tc>
      </w:tr>
      <w:tr w:rsidR="00724C44" w:rsidRPr="00724C44" w14:paraId="7B7C31E4" w14:textId="77777777" w:rsidTr="00EB4FF5">
        <w:tc>
          <w:tcPr>
            <w:tcW w:w="3150" w:type="dxa"/>
            <w:tcBorders>
              <w:top w:val="nil"/>
              <w:left w:val="nil"/>
              <w:bottom w:val="nil"/>
              <w:right w:val="nil"/>
            </w:tcBorders>
          </w:tcPr>
          <w:p w14:paraId="68C35198" w14:textId="3BB9A204" w:rsidR="00724C44" w:rsidRPr="00EB4FF5" w:rsidRDefault="00EB4FF5" w:rsidP="00EB4FF5">
            <w:pPr>
              <w:spacing w:after="0" w:line="240" w:lineRule="auto"/>
              <w:jc w:val="both"/>
              <w:rPr>
                <w:sz w:val="22"/>
                <w:szCs w:val="22"/>
              </w:rPr>
            </w:pPr>
            <w:r>
              <w:rPr>
                <w:sz w:val="22"/>
                <w:szCs w:val="22"/>
              </w:rPr>
              <w:lastRenderedPageBreak/>
              <w:t>Involvement</w:t>
            </w:r>
          </w:p>
        </w:tc>
        <w:tc>
          <w:tcPr>
            <w:tcW w:w="3420" w:type="dxa"/>
            <w:tcBorders>
              <w:top w:val="nil"/>
              <w:left w:val="nil"/>
              <w:bottom w:val="nil"/>
              <w:right w:val="nil"/>
            </w:tcBorders>
          </w:tcPr>
          <w:p w14:paraId="281E2E94" w14:textId="77777777" w:rsidR="00724C44" w:rsidRPr="00EB4FF5" w:rsidRDefault="00724C44" w:rsidP="00EB4FF5">
            <w:pPr>
              <w:spacing w:after="0" w:line="240" w:lineRule="auto"/>
              <w:jc w:val="both"/>
              <w:rPr>
                <w:sz w:val="22"/>
                <w:szCs w:val="22"/>
              </w:rPr>
            </w:pPr>
            <w:r w:rsidRPr="00EB4FF5">
              <w:rPr>
                <w:sz w:val="22"/>
                <w:szCs w:val="22"/>
              </w:rPr>
              <w:t>Somewhat involved</w:t>
            </w:r>
          </w:p>
        </w:tc>
        <w:tc>
          <w:tcPr>
            <w:tcW w:w="1170" w:type="dxa"/>
            <w:tcBorders>
              <w:top w:val="nil"/>
              <w:left w:val="nil"/>
              <w:bottom w:val="nil"/>
              <w:right w:val="nil"/>
            </w:tcBorders>
          </w:tcPr>
          <w:p w14:paraId="28EDAEFF" w14:textId="77777777" w:rsidR="00724C44" w:rsidRPr="00EB4FF5" w:rsidRDefault="00724C44" w:rsidP="00EB4FF5">
            <w:pPr>
              <w:spacing w:after="0" w:line="240" w:lineRule="auto"/>
              <w:jc w:val="both"/>
              <w:rPr>
                <w:sz w:val="22"/>
                <w:szCs w:val="22"/>
              </w:rPr>
            </w:pPr>
            <w:r w:rsidRPr="00EB4FF5">
              <w:rPr>
                <w:sz w:val="22"/>
                <w:szCs w:val="22"/>
              </w:rPr>
              <w:t>72</w:t>
            </w:r>
          </w:p>
        </w:tc>
        <w:tc>
          <w:tcPr>
            <w:tcW w:w="1170" w:type="dxa"/>
            <w:tcBorders>
              <w:top w:val="nil"/>
              <w:left w:val="nil"/>
              <w:bottom w:val="nil"/>
              <w:right w:val="nil"/>
            </w:tcBorders>
          </w:tcPr>
          <w:p w14:paraId="415F2E33" w14:textId="77777777" w:rsidR="00724C44" w:rsidRPr="00EB4FF5" w:rsidRDefault="00724C44" w:rsidP="00EB4FF5">
            <w:pPr>
              <w:spacing w:after="0" w:line="240" w:lineRule="auto"/>
              <w:jc w:val="both"/>
              <w:rPr>
                <w:sz w:val="22"/>
                <w:szCs w:val="22"/>
              </w:rPr>
            </w:pPr>
            <w:r w:rsidRPr="00EB4FF5">
              <w:rPr>
                <w:sz w:val="22"/>
                <w:szCs w:val="22"/>
              </w:rPr>
              <w:t>18.0</w:t>
            </w:r>
          </w:p>
        </w:tc>
      </w:tr>
      <w:tr w:rsidR="00724C44" w:rsidRPr="00724C44" w14:paraId="09CF2866" w14:textId="77777777" w:rsidTr="00EB4FF5">
        <w:tc>
          <w:tcPr>
            <w:tcW w:w="3150" w:type="dxa"/>
            <w:tcBorders>
              <w:top w:val="nil"/>
              <w:left w:val="nil"/>
              <w:bottom w:val="nil"/>
              <w:right w:val="nil"/>
            </w:tcBorders>
          </w:tcPr>
          <w:p w14:paraId="6692F016"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2E116A5D" w14:textId="77777777" w:rsidR="00724C44" w:rsidRPr="00EB4FF5" w:rsidRDefault="00724C44" w:rsidP="00EB4FF5">
            <w:pPr>
              <w:spacing w:after="0" w:line="240" w:lineRule="auto"/>
              <w:jc w:val="both"/>
              <w:rPr>
                <w:sz w:val="22"/>
                <w:szCs w:val="22"/>
              </w:rPr>
            </w:pPr>
            <w:r w:rsidRPr="00EB4FF5">
              <w:rPr>
                <w:sz w:val="22"/>
                <w:szCs w:val="22"/>
              </w:rPr>
              <w:t>Moderately involved</w:t>
            </w:r>
          </w:p>
        </w:tc>
        <w:tc>
          <w:tcPr>
            <w:tcW w:w="1170" w:type="dxa"/>
            <w:tcBorders>
              <w:top w:val="nil"/>
              <w:left w:val="nil"/>
              <w:bottom w:val="nil"/>
              <w:right w:val="nil"/>
            </w:tcBorders>
          </w:tcPr>
          <w:p w14:paraId="6D2A3A9D" w14:textId="77777777" w:rsidR="00724C44" w:rsidRPr="00EB4FF5" w:rsidRDefault="00724C44" w:rsidP="00EB4FF5">
            <w:pPr>
              <w:spacing w:after="0" w:line="240" w:lineRule="auto"/>
              <w:jc w:val="both"/>
              <w:rPr>
                <w:sz w:val="22"/>
                <w:szCs w:val="22"/>
              </w:rPr>
            </w:pPr>
            <w:r w:rsidRPr="00EB4FF5">
              <w:rPr>
                <w:sz w:val="22"/>
                <w:szCs w:val="22"/>
              </w:rPr>
              <w:t>161</w:t>
            </w:r>
          </w:p>
        </w:tc>
        <w:tc>
          <w:tcPr>
            <w:tcW w:w="1170" w:type="dxa"/>
            <w:tcBorders>
              <w:top w:val="nil"/>
              <w:left w:val="nil"/>
              <w:bottom w:val="nil"/>
              <w:right w:val="nil"/>
            </w:tcBorders>
          </w:tcPr>
          <w:p w14:paraId="08178828" w14:textId="77777777" w:rsidR="00724C44" w:rsidRPr="00EB4FF5" w:rsidRDefault="00724C44" w:rsidP="00EB4FF5">
            <w:pPr>
              <w:spacing w:after="0" w:line="240" w:lineRule="auto"/>
              <w:jc w:val="both"/>
              <w:rPr>
                <w:sz w:val="22"/>
                <w:szCs w:val="22"/>
              </w:rPr>
            </w:pPr>
            <w:r w:rsidRPr="00EB4FF5">
              <w:rPr>
                <w:sz w:val="22"/>
                <w:szCs w:val="22"/>
              </w:rPr>
              <w:t>40.3</w:t>
            </w:r>
          </w:p>
        </w:tc>
      </w:tr>
      <w:tr w:rsidR="00724C44" w:rsidRPr="00724C44" w14:paraId="738518C8" w14:textId="77777777" w:rsidTr="00EB4FF5">
        <w:tc>
          <w:tcPr>
            <w:tcW w:w="3150" w:type="dxa"/>
            <w:tcBorders>
              <w:top w:val="nil"/>
              <w:left w:val="nil"/>
              <w:bottom w:val="nil"/>
              <w:right w:val="nil"/>
            </w:tcBorders>
          </w:tcPr>
          <w:p w14:paraId="6B4D7791"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15F0DD74" w14:textId="77777777" w:rsidR="00724C44" w:rsidRPr="00EB4FF5" w:rsidRDefault="00724C44" w:rsidP="00EB4FF5">
            <w:pPr>
              <w:spacing w:after="0" w:line="240" w:lineRule="auto"/>
              <w:jc w:val="both"/>
              <w:rPr>
                <w:sz w:val="22"/>
                <w:szCs w:val="22"/>
              </w:rPr>
            </w:pPr>
            <w:r w:rsidRPr="00EB4FF5">
              <w:rPr>
                <w:sz w:val="22"/>
                <w:szCs w:val="22"/>
              </w:rPr>
              <w:t>Very involved</w:t>
            </w:r>
          </w:p>
        </w:tc>
        <w:tc>
          <w:tcPr>
            <w:tcW w:w="1170" w:type="dxa"/>
            <w:tcBorders>
              <w:top w:val="nil"/>
              <w:left w:val="nil"/>
              <w:bottom w:val="nil"/>
              <w:right w:val="nil"/>
            </w:tcBorders>
          </w:tcPr>
          <w:p w14:paraId="546C74A5" w14:textId="77777777" w:rsidR="00724C44" w:rsidRPr="00EB4FF5" w:rsidRDefault="00724C44" w:rsidP="00EB4FF5">
            <w:pPr>
              <w:spacing w:after="0" w:line="240" w:lineRule="auto"/>
              <w:jc w:val="both"/>
              <w:rPr>
                <w:sz w:val="22"/>
                <w:szCs w:val="22"/>
              </w:rPr>
            </w:pPr>
            <w:r w:rsidRPr="00EB4FF5">
              <w:rPr>
                <w:sz w:val="22"/>
                <w:szCs w:val="22"/>
              </w:rPr>
              <w:t>80</w:t>
            </w:r>
          </w:p>
        </w:tc>
        <w:tc>
          <w:tcPr>
            <w:tcW w:w="1170" w:type="dxa"/>
            <w:tcBorders>
              <w:top w:val="nil"/>
              <w:left w:val="nil"/>
              <w:bottom w:val="nil"/>
              <w:right w:val="nil"/>
            </w:tcBorders>
          </w:tcPr>
          <w:p w14:paraId="5FC3BF0C" w14:textId="77777777" w:rsidR="00724C44" w:rsidRPr="00EB4FF5" w:rsidRDefault="00724C44" w:rsidP="00EB4FF5">
            <w:pPr>
              <w:spacing w:after="0" w:line="240" w:lineRule="auto"/>
              <w:jc w:val="both"/>
              <w:rPr>
                <w:sz w:val="22"/>
                <w:szCs w:val="22"/>
              </w:rPr>
            </w:pPr>
            <w:r w:rsidRPr="00EB4FF5">
              <w:rPr>
                <w:sz w:val="22"/>
                <w:szCs w:val="22"/>
              </w:rPr>
              <w:t>20.0</w:t>
            </w:r>
          </w:p>
        </w:tc>
      </w:tr>
      <w:tr w:rsidR="00724C44" w:rsidRPr="00724C44" w14:paraId="0F9FEA2B" w14:textId="77777777" w:rsidTr="00EB4FF5">
        <w:tc>
          <w:tcPr>
            <w:tcW w:w="3150" w:type="dxa"/>
            <w:tcBorders>
              <w:top w:val="nil"/>
              <w:left w:val="nil"/>
              <w:bottom w:val="nil"/>
              <w:right w:val="nil"/>
            </w:tcBorders>
          </w:tcPr>
          <w:p w14:paraId="5414A04C"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36567653" w14:textId="77777777" w:rsidR="00724C44" w:rsidRPr="00EB4FF5" w:rsidRDefault="00724C44" w:rsidP="00EB4FF5">
            <w:pPr>
              <w:spacing w:after="0" w:line="240" w:lineRule="auto"/>
              <w:jc w:val="both"/>
              <w:rPr>
                <w:sz w:val="22"/>
                <w:szCs w:val="22"/>
              </w:rPr>
            </w:pPr>
            <w:r w:rsidRPr="00EB4FF5">
              <w:rPr>
                <w:sz w:val="22"/>
                <w:szCs w:val="22"/>
              </w:rPr>
              <w:t>Primary decision maker</w:t>
            </w:r>
          </w:p>
        </w:tc>
        <w:tc>
          <w:tcPr>
            <w:tcW w:w="1170" w:type="dxa"/>
            <w:tcBorders>
              <w:top w:val="nil"/>
              <w:left w:val="nil"/>
              <w:bottom w:val="nil"/>
              <w:right w:val="nil"/>
            </w:tcBorders>
          </w:tcPr>
          <w:p w14:paraId="2E062B84" w14:textId="77777777" w:rsidR="00724C44" w:rsidRPr="00EB4FF5" w:rsidRDefault="00724C44" w:rsidP="00EB4FF5">
            <w:pPr>
              <w:spacing w:after="0" w:line="240" w:lineRule="auto"/>
              <w:jc w:val="both"/>
              <w:rPr>
                <w:sz w:val="22"/>
                <w:szCs w:val="22"/>
              </w:rPr>
            </w:pPr>
            <w:r w:rsidRPr="00EB4FF5">
              <w:rPr>
                <w:sz w:val="22"/>
                <w:szCs w:val="22"/>
              </w:rPr>
              <w:t>75</w:t>
            </w:r>
          </w:p>
        </w:tc>
        <w:tc>
          <w:tcPr>
            <w:tcW w:w="1170" w:type="dxa"/>
            <w:tcBorders>
              <w:top w:val="nil"/>
              <w:left w:val="nil"/>
              <w:bottom w:val="nil"/>
              <w:right w:val="nil"/>
            </w:tcBorders>
          </w:tcPr>
          <w:p w14:paraId="3DC026DE" w14:textId="77777777" w:rsidR="00724C44" w:rsidRPr="00EB4FF5" w:rsidRDefault="00724C44" w:rsidP="00EB4FF5">
            <w:pPr>
              <w:spacing w:after="0" w:line="240" w:lineRule="auto"/>
              <w:jc w:val="both"/>
              <w:rPr>
                <w:sz w:val="22"/>
                <w:szCs w:val="22"/>
              </w:rPr>
            </w:pPr>
            <w:r w:rsidRPr="00EB4FF5">
              <w:rPr>
                <w:sz w:val="22"/>
                <w:szCs w:val="22"/>
              </w:rPr>
              <w:t>18.8</w:t>
            </w:r>
          </w:p>
        </w:tc>
      </w:tr>
      <w:tr w:rsidR="00724C44" w:rsidRPr="00724C44" w14:paraId="7BA996A0" w14:textId="77777777" w:rsidTr="00EB4FF5">
        <w:tc>
          <w:tcPr>
            <w:tcW w:w="3150" w:type="dxa"/>
            <w:tcBorders>
              <w:top w:val="nil"/>
              <w:left w:val="nil"/>
              <w:bottom w:val="nil"/>
              <w:right w:val="nil"/>
            </w:tcBorders>
          </w:tcPr>
          <w:p w14:paraId="04E72D18" w14:textId="77777777" w:rsidR="00724C44" w:rsidRPr="00EB4FF5" w:rsidRDefault="00724C44" w:rsidP="00EB4FF5">
            <w:pPr>
              <w:spacing w:after="0" w:line="240" w:lineRule="auto"/>
              <w:rPr>
                <w:sz w:val="22"/>
                <w:szCs w:val="22"/>
              </w:rPr>
            </w:pPr>
            <w:r w:rsidRPr="00EB4FF5">
              <w:rPr>
                <w:sz w:val="22"/>
                <w:szCs w:val="22"/>
              </w:rPr>
              <w:t>HC Reporting Involvement</w:t>
            </w:r>
          </w:p>
        </w:tc>
        <w:tc>
          <w:tcPr>
            <w:tcW w:w="3420" w:type="dxa"/>
            <w:tcBorders>
              <w:top w:val="nil"/>
              <w:left w:val="nil"/>
              <w:bottom w:val="nil"/>
              <w:right w:val="nil"/>
            </w:tcBorders>
          </w:tcPr>
          <w:p w14:paraId="33B9B169" w14:textId="77777777" w:rsidR="00724C44" w:rsidRPr="00EB4FF5" w:rsidRDefault="00724C44" w:rsidP="00EB4FF5">
            <w:pPr>
              <w:spacing w:after="0" w:line="240" w:lineRule="auto"/>
              <w:jc w:val="both"/>
              <w:rPr>
                <w:sz w:val="22"/>
                <w:szCs w:val="22"/>
              </w:rPr>
            </w:pPr>
            <w:r w:rsidRPr="00EB4FF5">
              <w:rPr>
                <w:sz w:val="22"/>
                <w:szCs w:val="22"/>
              </w:rPr>
              <w:t>Not involved</w:t>
            </w:r>
          </w:p>
        </w:tc>
        <w:tc>
          <w:tcPr>
            <w:tcW w:w="1170" w:type="dxa"/>
            <w:tcBorders>
              <w:top w:val="nil"/>
              <w:left w:val="nil"/>
              <w:bottom w:val="nil"/>
              <w:right w:val="nil"/>
            </w:tcBorders>
          </w:tcPr>
          <w:p w14:paraId="75D7CBC1" w14:textId="77777777" w:rsidR="00724C44" w:rsidRPr="00EB4FF5" w:rsidRDefault="00724C44" w:rsidP="00EB4FF5">
            <w:pPr>
              <w:spacing w:after="0" w:line="240" w:lineRule="auto"/>
              <w:jc w:val="both"/>
              <w:rPr>
                <w:sz w:val="22"/>
                <w:szCs w:val="22"/>
              </w:rPr>
            </w:pPr>
            <w:r w:rsidRPr="00EB4FF5">
              <w:rPr>
                <w:sz w:val="22"/>
                <w:szCs w:val="22"/>
              </w:rPr>
              <w:t>3</w:t>
            </w:r>
          </w:p>
        </w:tc>
        <w:tc>
          <w:tcPr>
            <w:tcW w:w="1170" w:type="dxa"/>
            <w:tcBorders>
              <w:top w:val="nil"/>
              <w:left w:val="nil"/>
              <w:bottom w:val="nil"/>
              <w:right w:val="nil"/>
            </w:tcBorders>
          </w:tcPr>
          <w:p w14:paraId="72B0974F" w14:textId="77777777" w:rsidR="00724C44" w:rsidRPr="00EB4FF5" w:rsidRDefault="00724C44" w:rsidP="00EB4FF5">
            <w:pPr>
              <w:spacing w:after="0" w:line="240" w:lineRule="auto"/>
              <w:jc w:val="both"/>
              <w:rPr>
                <w:sz w:val="22"/>
                <w:szCs w:val="22"/>
              </w:rPr>
            </w:pPr>
            <w:r w:rsidRPr="00EB4FF5">
              <w:rPr>
                <w:sz w:val="22"/>
                <w:szCs w:val="22"/>
              </w:rPr>
              <w:t>0.8</w:t>
            </w:r>
          </w:p>
        </w:tc>
      </w:tr>
      <w:tr w:rsidR="00724C44" w:rsidRPr="00724C44" w14:paraId="22A3517D" w14:textId="77777777" w:rsidTr="00EB4FF5">
        <w:tc>
          <w:tcPr>
            <w:tcW w:w="3150" w:type="dxa"/>
            <w:tcBorders>
              <w:top w:val="nil"/>
              <w:left w:val="nil"/>
              <w:bottom w:val="nil"/>
              <w:right w:val="nil"/>
            </w:tcBorders>
          </w:tcPr>
          <w:p w14:paraId="34046BBE"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28A615FE" w14:textId="77777777" w:rsidR="00724C44" w:rsidRPr="00EB4FF5" w:rsidRDefault="00724C44" w:rsidP="00EB4FF5">
            <w:pPr>
              <w:spacing w:after="0" w:line="240" w:lineRule="auto"/>
              <w:jc w:val="both"/>
              <w:rPr>
                <w:sz w:val="22"/>
                <w:szCs w:val="22"/>
              </w:rPr>
            </w:pPr>
            <w:r w:rsidRPr="00EB4FF5">
              <w:rPr>
                <w:sz w:val="22"/>
                <w:szCs w:val="22"/>
              </w:rPr>
              <w:t>Somewhat involved</w:t>
            </w:r>
          </w:p>
        </w:tc>
        <w:tc>
          <w:tcPr>
            <w:tcW w:w="1170" w:type="dxa"/>
            <w:tcBorders>
              <w:top w:val="nil"/>
              <w:left w:val="nil"/>
              <w:bottom w:val="nil"/>
              <w:right w:val="nil"/>
            </w:tcBorders>
          </w:tcPr>
          <w:p w14:paraId="06A66D12" w14:textId="77777777" w:rsidR="00724C44" w:rsidRPr="00EB4FF5" w:rsidRDefault="00724C44" w:rsidP="00EB4FF5">
            <w:pPr>
              <w:spacing w:after="0" w:line="240" w:lineRule="auto"/>
              <w:jc w:val="both"/>
              <w:rPr>
                <w:sz w:val="22"/>
                <w:szCs w:val="22"/>
              </w:rPr>
            </w:pPr>
            <w:r w:rsidRPr="00EB4FF5">
              <w:rPr>
                <w:sz w:val="22"/>
                <w:szCs w:val="22"/>
              </w:rPr>
              <w:t>4</w:t>
            </w:r>
          </w:p>
        </w:tc>
        <w:tc>
          <w:tcPr>
            <w:tcW w:w="1170" w:type="dxa"/>
            <w:tcBorders>
              <w:top w:val="nil"/>
              <w:left w:val="nil"/>
              <w:bottom w:val="nil"/>
              <w:right w:val="nil"/>
            </w:tcBorders>
          </w:tcPr>
          <w:p w14:paraId="39B2FD11" w14:textId="77777777" w:rsidR="00724C44" w:rsidRPr="00EB4FF5" w:rsidRDefault="00724C44" w:rsidP="00EB4FF5">
            <w:pPr>
              <w:spacing w:after="0" w:line="240" w:lineRule="auto"/>
              <w:jc w:val="both"/>
              <w:rPr>
                <w:sz w:val="22"/>
                <w:szCs w:val="22"/>
              </w:rPr>
            </w:pPr>
            <w:r w:rsidRPr="00EB4FF5">
              <w:rPr>
                <w:sz w:val="22"/>
                <w:szCs w:val="22"/>
              </w:rPr>
              <w:t>1.0</w:t>
            </w:r>
          </w:p>
        </w:tc>
      </w:tr>
      <w:tr w:rsidR="00724C44" w:rsidRPr="00724C44" w14:paraId="47067F67" w14:textId="77777777" w:rsidTr="00EB4FF5">
        <w:tc>
          <w:tcPr>
            <w:tcW w:w="3150" w:type="dxa"/>
            <w:tcBorders>
              <w:top w:val="nil"/>
              <w:left w:val="nil"/>
              <w:bottom w:val="nil"/>
              <w:right w:val="nil"/>
            </w:tcBorders>
          </w:tcPr>
          <w:p w14:paraId="6E79F9DB"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58733168" w14:textId="77777777" w:rsidR="00724C44" w:rsidRPr="00EB4FF5" w:rsidRDefault="00724C44" w:rsidP="00EB4FF5">
            <w:pPr>
              <w:spacing w:after="0" w:line="240" w:lineRule="auto"/>
              <w:jc w:val="both"/>
              <w:rPr>
                <w:sz w:val="22"/>
                <w:szCs w:val="22"/>
              </w:rPr>
            </w:pPr>
            <w:r w:rsidRPr="00EB4FF5">
              <w:rPr>
                <w:sz w:val="22"/>
                <w:szCs w:val="22"/>
              </w:rPr>
              <w:t>Moderately involved</w:t>
            </w:r>
          </w:p>
        </w:tc>
        <w:tc>
          <w:tcPr>
            <w:tcW w:w="1170" w:type="dxa"/>
            <w:tcBorders>
              <w:top w:val="nil"/>
              <w:left w:val="nil"/>
              <w:bottom w:val="nil"/>
              <w:right w:val="nil"/>
            </w:tcBorders>
          </w:tcPr>
          <w:p w14:paraId="563B3D85" w14:textId="77777777" w:rsidR="00724C44" w:rsidRPr="00EB4FF5" w:rsidRDefault="00724C44" w:rsidP="00EB4FF5">
            <w:pPr>
              <w:spacing w:after="0" w:line="240" w:lineRule="auto"/>
              <w:jc w:val="both"/>
              <w:rPr>
                <w:sz w:val="22"/>
                <w:szCs w:val="22"/>
              </w:rPr>
            </w:pPr>
            <w:r w:rsidRPr="00EB4FF5">
              <w:rPr>
                <w:sz w:val="22"/>
                <w:szCs w:val="22"/>
              </w:rPr>
              <w:t>30</w:t>
            </w:r>
          </w:p>
        </w:tc>
        <w:tc>
          <w:tcPr>
            <w:tcW w:w="1170" w:type="dxa"/>
            <w:tcBorders>
              <w:top w:val="nil"/>
              <w:left w:val="nil"/>
              <w:bottom w:val="nil"/>
              <w:right w:val="nil"/>
            </w:tcBorders>
          </w:tcPr>
          <w:p w14:paraId="39B3EFE2" w14:textId="77777777" w:rsidR="00724C44" w:rsidRPr="00EB4FF5" w:rsidRDefault="00724C44" w:rsidP="00EB4FF5">
            <w:pPr>
              <w:spacing w:after="0" w:line="240" w:lineRule="auto"/>
              <w:jc w:val="both"/>
              <w:rPr>
                <w:sz w:val="22"/>
                <w:szCs w:val="22"/>
              </w:rPr>
            </w:pPr>
            <w:r w:rsidRPr="00EB4FF5">
              <w:rPr>
                <w:sz w:val="22"/>
                <w:szCs w:val="22"/>
              </w:rPr>
              <w:t>7.5</w:t>
            </w:r>
          </w:p>
        </w:tc>
      </w:tr>
      <w:tr w:rsidR="00724C44" w:rsidRPr="00724C44" w14:paraId="7FC31244" w14:textId="77777777" w:rsidTr="00EB4FF5">
        <w:tc>
          <w:tcPr>
            <w:tcW w:w="3150" w:type="dxa"/>
            <w:tcBorders>
              <w:top w:val="nil"/>
              <w:left w:val="nil"/>
              <w:bottom w:val="nil"/>
              <w:right w:val="nil"/>
            </w:tcBorders>
          </w:tcPr>
          <w:p w14:paraId="5F526523" w14:textId="77777777" w:rsidR="00724C44" w:rsidRPr="00EB4FF5" w:rsidRDefault="00724C44" w:rsidP="00EB4FF5">
            <w:pPr>
              <w:spacing w:after="0" w:line="240" w:lineRule="auto"/>
              <w:jc w:val="both"/>
              <w:rPr>
                <w:sz w:val="22"/>
                <w:szCs w:val="22"/>
              </w:rPr>
            </w:pPr>
          </w:p>
        </w:tc>
        <w:tc>
          <w:tcPr>
            <w:tcW w:w="3420" w:type="dxa"/>
            <w:tcBorders>
              <w:top w:val="nil"/>
              <w:left w:val="nil"/>
              <w:bottom w:val="nil"/>
              <w:right w:val="nil"/>
            </w:tcBorders>
          </w:tcPr>
          <w:p w14:paraId="76FEDDEE" w14:textId="77777777" w:rsidR="00724C44" w:rsidRPr="00EB4FF5" w:rsidRDefault="00724C44" w:rsidP="00EB4FF5">
            <w:pPr>
              <w:spacing w:after="0" w:line="240" w:lineRule="auto"/>
              <w:jc w:val="both"/>
              <w:rPr>
                <w:sz w:val="22"/>
                <w:szCs w:val="22"/>
              </w:rPr>
            </w:pPr>
            <w:r w:rsidRPr="00EB4FF5">
              <w:rPr>
                <w:sz w:val="22"/>
                <w:szCs w:val="22"/>
              </w:rPr>
              <w:t>Very involved</w:t>
            </w:r>
          </w:p>
        </w:tc>
        <w:tc>
          <w:tcPr>
            <w:tcW w:w="1170" w:type="dxa"/>
            <w:tcBorders>
              <w:top w:val="nil"/>
              <w:left w:val="nil"/>
              <w:bottom w:val="nil"/>
              <w:right w:val="nil"/>
            </w:tcBorders>
          </w:tcPr>
          <w:p w14:paraId="2A94FB15" w14:textId="77777777" w:rsidR="00724C44" w:rsidRPr="00EB4FF5" w:rsidRDefault="00724C44" w:rsidP="00EB4FF5">
            <w:pPr>
              <w:spacing w:after="0" w:line="240" w:lineRule="auto"/>
              <w:jc w:val="both"/>
              <w:rPr>
                <w:sz w:val="22"/>
                <w:szCs w:val="22"/>
              </w:rPr>
            </w:pPr>
            <w:r w:rsidRPr="00EB4FF5">
              <w:rPr>
                <w:sz w:val="22"/>
                <w:szCs w:val="22"/>
              </w:rPr>
              <w:t>283</w:t>
            </w:r>
          </w:p>
        </w:tc>
        <w:tc>
          <w:tcPr>
            <w:tcW w:w="1170" w:type="dxa"/>
            <w:tcBorders>
              <w:top w:val="nil"/>
              <w:left w:val="nil"/>
              <w:bottom w:val="nil"/>
              <w:right w:val="nil"/>
            </w:tcBorders>
          </w:tcPr>
          <w:p w14:paraId="307125C7" w14:textId="77777777" w:rsidR="00724C44" w:rsidRPr="00EB4FF5" w:rsidRDefault="00724C44" w:rsidP="00EB4FF5">
            <w:pPr>
              <w:spacing w:after="0" w:line="240" w:lineRule="auto"/>
              <w:jc w:val="both"/>
              <w:rPr>
                <w:sz w:val="22"/>
                <w:szCs w:val="22"/>
              </w:rPr>
            </w:pPr>
            <w:r w:rsidRPr="00EB4FF5">
              <w:rPr>
                <w:sz w:val="22"/>
                <w:szCs w:val="22"/>
              </w:rPr>
              <w:t>70.8</w:t>
            </w:r>
          </w:p>
        </w:tc>
      </w:tr>
      <w:tr w:rsidR="00724C44" w:rsidRPr="00724C44" w14:paraId="4D25BA24" w14:textId="77777777" w:rsidTr="00EB4FF5">
        <w:tc>
          <w:tcPr>
            <w:tcW w:w="3150" w:type="dxa"/>
            <w:tcBorders>
              <w:top w:val="nil"/>
              <w:left w:val="nil"/>
              <w:bottom w:val="single" w:sz="4" w:space="0" w:color="000000"/>
              <w:right w:val="nil"/>
            </w:tcBorders>
          </w:tcPr>
          <w:p w14:paraId="79A0A5C6" w14:textId="77777777" w:rsidR="00724C44" w:rsidRPr="00EB4FF5" w:rsidRDefault="00724C44" w:rsidP="00EB4FF5">
            <w:pPr>
              <w:spacing w:after="0" w:line="240" w:lineRule="auto"/>
              <w:jc w:val="both"/>
              <w:rPr>
                <w:sz w:val="22"/>
                <w:szCs w:val="22"/>
              </w:rPr>
            </w:pPr>
          </w:p>
        </w:tc>
        <w:tc>
          <w:tcPr>
            <w:tcW w:w="3420" w:type="dxa"/>
            <w:tcBorders>
              <w:top w:val="nil"/>
              <w:left w:val="nil"/>
              <w:bottom w:val="single" w:sz="4" w:space="0" w:color="000000"/>
              <w:right w:val="nil"/>
            </w:tcBorders>
          </w:tcPr>
          <w:p w14:paraId="23048C80" w14:textId="77777777" w:rsidR="00724C44" w:rsidRPr="00EB4FF5" w:rsidRDefault="00724C44" w:rsidP="00EB4FF5">
            <w:pPr>
              <w:spacing w:after="0" w:line="240" w:lineRule="auto"/>
              <w:jc w:val="both"/>
              <w:rPr>
                <w:sz w:val="22"/>
                <w:szCs w:val="22"/>
              </w:rPr>
            </w:pPr>
            <w:r w:rsidRPr="00EB4FF5">
              <w:rPr>
                <w:sz w:val="22"/>
                <w:szCs w:val="22"/>
              </w:rPr>
              <w:t>Primary responsibility</w:t>
            </w:r>
          </w:p>
        </w:tc>
        <w:tc>
          <w:tcPr>
            <w:tcW w:w="1170" w:type="dxa"/>
            <w:tcBorders>
              <w:top w:val="nil"/>
              <w:left w:val="nil"/>
              <w:bottom w:val="single" w:sz="4" w:space="0" w:color="000000"/>
              <w:right w:val="nil"/>
            </w:tcBorders>
          </w:tcPr>
          <w:p w14:paraId="008ECFD0" w14:textId="77777777" w:rsidR="00724C44" w:rsidRPr="00EB4FF5" w:rsidRDefault="00724C44" w:rsidP="00EB4FF5">
            <w:pPr>
              <w:spacing w:after="0" w:line="240" w:lineRule="auto"/>
              <w:jc w:val="both"/>
              <w:rPr>
                <w:sz w:val="22"/>
                <w:szCs w:val="22"/>
              </w:rPr>
            </w:pPr>
            <w:r w:rsidRPr="00EB4FF5">
              <w:rPr>
                <w:sz w:val="22"/>
                <w:szCs w:val="22"/>
              </w:rPr>
              <w:t>80</w:t>
            </w:r>
          </w:p>
        </w:tc>
        <w:tc>
          <w:tcPr>
            <w:tcW w:w="1170" w:type="dxa"/>
            <w:tcBorders>
              <w:top w:val="nil"/>
              <w:left w:val="nil"/>
              <w:bottom w:val="single" w:sz="4" w:space="0" w:color="000000"/>
              <w:right w:val="nil"/>
            </w:tcBorders>
          </w:tcPr>
          <w:p w14:paraId="01C712B7" w14:textId="77777777" w:rsidR="00724C44" w:rsidRPr="00EB4FF5" w:rsidRDefault="00724C44" w:rsidP="00EB4FF5">
            <w:pPr>
              <w:spacing w:after="0" w:line="240" w:lineRule="auto"/>
              <w:jc w:val="both"/>
              <w:rPr>
                <w:sz w:val="22"/>
                <w:szCs w:val="22"/>
              </w:rPr>
            </w:pPr>
            <w:r w:rsidRPr="00EB4FF5">
              <w:rPr>
                <w:sz w:val="22"/>
                <w:szCs w:val="22"/>
              </w:rPr>
              <w:t>20.0</w:t>
            </w:r>
          </w:p>
        </w:tc>
      </w:tr>
    </w:tbl>
    <w:p w14:paraId="3B62DD3E" w14:textId="77777777" w:rsidR="00724C44" w:rsidRPr="00724C44" w:rsidRDefault="00724C44" w:rsidP="00724C44">
      <w:pPr>
        <w:spacing w:line="240" w:lineRule="auto"/>
        <w:jc w:val="both"/>
      </w:pPr>
      <w:r w:rsidRPr="00724C44">
        <w:t xml:space="preserve">The respondent profile confirms appropriate targeting of knowledgeable informants. </w:t>
      </w:r>
      <w:proofErr w:type="gramStart"/>
      <w:r w:rsidRPr="00724C44">
        <w:t>The majority of</w:t>
      </w:r>
      <w:proofErr w:type="gramEnd"/>
      <w:r w:rsidRPr="00724C44">
        <w:t xml:space="preserve"> respondents hold senior positions in human resources or finance functions, with HR Manager/Director (the largest single category) and Finance Manager/Director roles well represented. Educational attainment is high, with over 60% holding master’s degrees or higher, reflecting the professional nature of compensation management roles in manufacturing organizations.</w:t>
      </w:r>
    </w:p>
    <w:p w14:paraId="5ACE5CCD" w14:textId="77777777" w:rsidR="00724C44" w:rsidRPr="00724C44" w:rsidRDefault="00724C44" w:rsidP="00724C44">
      <w:pPr>
        <w:spacing w:line="240" w:lineRule="auto"/>
        <w:jc w:val="both"/>
      </w:pPr>
      <w:r w:rsidRPr="00724C44">
        <w:t xml:space="preserve">Importantly, respondents demonstrate substantial involvement in both compensation decision-making and human capital reporting functions. The majority report being ‘very involved’ or serving as ‘primary decision </w:t>
      </w:r>
      <w:proofErr w:type="gramStart"/>
      <w:r w:rsidRPr="00724C44">
        <w:t>maker</w:t>
      </w:r>
      <w:proofErr w:type="gramEnd"/>
      <w:r w:rsidRPr="00724C44">
        <w:t>’ in compensation matters, and similar levels of involvement in corporate human capital disclosure activities. This dual involvement ensures respondents possess the requisite knowledge to accurately report on both AI integration in compensation systems and human capital disclosure practices.</w:t>
      </w:r>
    </w:p>
    <w:p w14:paraId="39CB170A" w14:textId="77777777" w:rsidR="00724C44" w:rsidRPr="00724C44" w:rsidRDefault="00724C44" w:rsidP="00724C44">
      <w:pPr>
        <w:spacing w:line="240" w:lineRule="auto"/>
        <w:jc w:val="both"/>
      </w:pPr>
      <w:r w:rsidRPr="00724C44">
        <w:rPr>
          <w:b/>
        </w:rPr>
        <w:t>4.4 Research Objective 1: AI Integration in Compensation Systems</w:t>
      </w:r>
    </w:p>
    <w:p w14:paraId="3F3FAA0F" w14:textId="77777777" w:rsidR="00724C44" w:rsidRPr="00724C44" w:rsidRDefault="00724C44" w:rsidP="00724C44">
      <w:pPr>
        <w:spacing w:line="240" w:lineRule="auto"/>
        <w:jc w:val="both"/>
      </w:pPr>
      <w:r w:rsidRPr="00724C44">
        <w:t>Research Objective 1 examined the extent to which manufacturing organizations in Thailand’s EEC have integrated AI technologies into their compensation management systems. This section presents findings from Section B of the questionnaire (see Section 3.5.1 for instrumentation), which assessed AI integration across four dimensions: technology adoption, analytical capabilities, compliance capabilities, and data output generation. A checklist of 15 specific AI-enabled functions was also included to identify discrete capabilities implemented.</w:t>
      </w:r>
    </w:p>
    <w:p w14:paraId="086BC99C" w14:textId="77777777" w:rsidR="00724C44" w:rsidRPr="00724C44" w:rsidRDefault="00724C44" w:rsidP="00724C44">
      <w:pPr>
        <w:spacing w:line="240" w:lineRule="auto"/>
        <w:jc w:val="both"/>
      </w:pPr>
      <w:r w:rsidRPr="00724C44">
        <w:rPr>
          <w:b/>
        </w:rPr>
        <w:t>4.4.1 AI Technology Adoption (B1)</w:t>
      </w:r>
    </w:p>
    <w:p w14:paraId="2A221614" w14:textId="77777777" w:rsidR="00724C44" w:rsidRPr="00724C44" w:rsidRDefault="00724C44" w:rsidP="00724C44">
      <w:pPr>
        <w:spacing w:line="240" w:lineRule="auto"/>
        <w:jc w:val="both"/>
      </w:pPr>
      <w:r w:rsidRPr="00724C44">
        <w:t>The AI Technology Adoption subscale assessed the foundational implementation of AI-powered tools in compensation and payroll processing. Table 4.4 presents the descriptive statistics for the six items measuring technology adoption, rated on a 7-point Likert scale from 1 (Strongly Disagree) to 7 (Strongly Agree).</w:t>
      </w:r>
    </w:p>
    <w:p w14:paraId="78B5BDC7" w14:textId="77777777" w:rsidR="00724C44" w:rsidRPr="00724C44" w:rsidRDefault="00724C44" w:rsidP="00724C44">
      <w:pPr>
        <w:spacing w:line="240" w:lineRule="auto"/>
        <w:jc w:val="both"/>
      </w:pPr>
      <w:r w:rsidRPr="00724C44">
        <w:rPr>
          <w:b/>
        </w:rPr>
        <w:t>Table 4.4</w:t>
      </w:r>
    </w:p>
    <w:p w14:paraId="6F3E6431" w14:textId="77777777" w:rsidR="00724C44" w:rsidRPr="0023718D" w:rsidRDefault="00724C44" w:rsidP="00724C44">
      <w:pPr>
        <w:spacing w:line="240" w:lineRule="auto"/>
        <w:jc w:val="both"/>
        <w:rPr>
          <w:i/>
        </w:rPr>
      </w:pPr>
      <w:r w:rsidRPr="0023718D">
        <w:rPr>
          <w:i/>
        </w:rPr>
        <w:t>AI Technology Adoption – Descriptive Statistics (n = 400)</w:t>
      </w:r>
    </w:p>
    <w:tbl>
      <w:tblPr>
        <w:tblW w:w="0" w:type="auto"/>
        <w:tblLayout w:type="fixed"/>
        <w:tblLook w:val="04A0" w:firstRow="1" w:lastRow="0" w:firstColumn="1" w:lastColumn="0" w:noHBand="0" w:noVBand="1"/>
      </w:tblPr>
      <w:tblGrid>
        <w:gridCol w:w="1008"/>
        <w:gridCol w:w="4932"/>
        <w:gridCol w:w="864"/>
        <w:gridCol w:w="864"/>
        <w:gridCol w:w="1692"/>
      </w:tblGrid>
      <w:tr w:rsidR="00724C44" w:rsidRPr="00724C44" w14:paraId="073782C4" w14:textId="77777777" w:rsidTr="00EB4FF5">
        <w:tc>
          <w:tcPr>
            <w:tcW w:w="1008" w:type="dxa"/>
            <w:tcBorders>
              <w:top w:val="single" w:sz="4" w:space="0" w:color="000000"/>
              <w:left w:val="nil"/>
              <w:bottom w:val="single" w:sz="4" w:space="0" w:color="000000"/>
              <w:right w:val="nil"/>
            </w:tcBorders>
          </w:tcPr>
          <w:p w14:paraId="47969107" w14:textId="77777777" w:rsidR="00724C44" w:rsidRPr="00EB4FF5" w:rsidRDefault="00724C44" w:rsidP="00EB4FF5">
            <w:pPr>
              <w:spacing w:after="0" w:line="240" w:lineRule="auto"/>
              <w:jc w:val="both"/>
              <w:rPr>
                <w:sz w:val="22"/>
                <w:szCs w:val="22"/>
              </w:rPr>
            </w:pPr>
            <w:r w:rsidRPr="00EB4FF5">
              <w:rPr>
                <w:b/>
                <w:sz w:val="22"/>
                <w:szCs w:val="22"/>
              </w:rPr>
              <w:t>Item</w:t>
            </w:r>
          </w:p>
        </w:tc>
        <w:tc>
          <w:tcPr>
            <w:tcW w:w="4932" w:type="dxa"/>
            <w:tcBorders>
              <w:top w:val="single" w:sz="4" w:space="0" w:color="000000"/>
              <w:left w:val="nil"/>
              <w:bottom w:val="single" w:sz="4" w:space="0" w:color="000000"/>
              <w:right w:val="nil"/>
            </w:tcBorders>
          </w:tcPr>
          <w:p w14:paraId="7646A2AA" w14:textId="77777777" w:rsidR="00724C44" w:rsidRPr="00EB4FF5" w:rsidRDefault="00724C44" w:rsidP="00EB4FF5">
            <w:pPr>
              <w:spacing w:after="0" w:line="240" w:lineRule="auto"/>
              <w:jc w:val="both"/>
              <w:rPr>
                <w:sz w:val="22"/>
                <w:szCs w:val="22"/>
              </w:rPr>
            </w:pPr>
            <w:r w:rsidRPr="00EB4FF5">
              <w:rPr>
                <w:b/>
                <w:sz w:val="22"/>
                <w:szCs w:val="22"/>
              </w:rPr>
              <w:t>Statement</w:t>
            </w:r>
          </w:p>
        </w:tc>
        <w:tc>
          <w:tcPr>
            <w:tcW w:w="864" w:type="dxa"/>
            <w:tcBorders>
              <w:top w:val="single" w:sz="4" w:space="0" w:color="000000"/>
              <w:left w:val="nil"/>
              <w:bottom w:val="single" w:sz="4" w:space="0" w:color="000000"/>
              <w:right w:val="nil"/>
            </w:tcBorders>
          </w:tcPr>
          <w:p w14:paraId="0EDB4DE5" w14:textId="77777777" w:rsidR="00724C44" w:rsidRPr="00EB4FF5" w:rsidRDefault="00724C44" w:rsidP="00EB4FF5">
            <w:pPr>
              <w:spacing w:after="0" w:line="240" w:lineRule="auto"/>
              <w:jc w:val="both"/>
              <w:rPr>
                <w:sz w:val="22"/>
                <w:szCs w:val="22"/>
              </w:rPr>
            </w:pPr>
            <w:r w:rsidRPr="00EB4FF5">
              <w:rPr>
                <w:b/>
                <w:sz w:val="22"/>
                <w:szCs w:val="22"/>
              </w:rPr>
              <w:t>M</w:t>
            </w:r>
          </w:p>
        </w:tc>
        <w:tc>
          <w:tcPr>
            <w:tcW w:w="864" w:type="dxa"/>
            <w:tcBorders>
              <w:top w:val="single" w:sz="4" w:space="0" w:color="000000"/>
              <w:left w:val="nil"/>
              <w:bottom w:val="single" w:sz="4" w:space="0" w:color="000000"/>
              <w:right w:val="nil"/>
            </w:tcBorders>
          </w:tcPr>
          <w:p w14:paraId="0E4800AB" w14:textId="77777777" w:rsidR="00724C44" w:rsidRPr="00EB4FF5" w:rsidRDefault="00724C44" w:rsidP="00EB4FF5">
            <w:pPr>
              <w:spacing w:after="0" w:line="240" w:lineRule="auto"/>
              <w:jc w:val="both"/>
              <w:rPr>
                <w:sz w:val="22"/>
                <w:szCs w:val="22"/>
              </w:rPr>
            </w:pPr>
            <w:r w:rsidRPr="00EB4FF5">
              <w:rPr>
                <w:b/>
                <w:sz w:val="22"/>
                <w:szCs w:val="22"/>
              </w:rPr>
              <w:t>SD</w:t>
            </w:r>
          </w:p>
        </w:tc>
        <w:tc>
          <w:tcPr>
            <w:tcW w:w="1692" w:type="dxa"/>
            <w:tcBorders>
              <w:top w:val="single" w:sz="4" w:space="0" w:color="000000"/>
              <w:left w:val="nil"/>
              <w:bottom w:val="single" w:sz="4" w:space="0" w:color="000000"/>
              <w:right w:val="nil"/>
            </w:tcBorders>
          </w:tcPr>
          <w:p w14:paraId="7B4E559E" w14:textId="77777777" w:rsidR="00724C44" w:rsidRPr="00EB4FF5" w:rsidRDefault="00724C44" w:rsidP="00EB4FF5">
            <w:pPr>
              <w:spacing w:after="0" w:line="240" w:lineRule="auto"/>
              <w:jc w:val="both"/>
              <w:rPr>
                <w:sz w:val="22"/>
                <w:szCs w:val="22"/>
              </w:rPr>
            </w:pPr>
            <w:r w:rsidRPr="00EB4FF5">
              <w:rPr>
                <w:b/>
                <w:sz w:val="22"/>
                <w:szCs w:val="22"/>
              </w:rPr>
              <w:t>Interpretation</w:t>
            </w:r>
          </w:p>
        </w:tc>
      </w:tr>
      <w:tr w:rsidR="00724C44" w:rsidRPr="00724C44" w14:paraId="23B6BFCA" w14:textId="77777777" w:rsidTr="00EB4FF5">
        <w:tc>
          <w:tcPr>
            <w:tcW w:w="1008" w:type="dxa"/>
            <w:tcBorders>
              <w:top w:val="nil"/>
              <w:left w:val="nil"/>
              <w:bottom w:val="nil"/>
              <w:right w:val="nil"/>
            </w:tcBorders>
          </w:tcPr>
          <w:p w14:paraId="77A0501F" w14:textId="77777777" w:rsidR="00724C44" w:rsidRPr="00EB4FF5" w:rsidRDefault="00724C44" w:rsidP="00EB4FF5">
            <w:pPr>
              <w:spacing w:after="0" w:line="240" w:lineRule="auto"/>
              <w:jc w:val="both"/>
              <w:rPr>
                <w:sz w:val="22"/>
                <w:szCs w:val="22"/>
              </w:rPr>
            </w:pPr>
            <w:r w:rsidRPr="00EB4FF5">
              <w:rPr>
                <w:sz w:val="22"/>
                <w:szCs w:val="22"/>
              </w:rPr>
              <w:t>B1.1</w:t>
            </w:r>
          </w:p>
        </w:tc>
        <w:tc>
          <w:tcPr>
            <w:tcW w:w="4932" w:type="dxa"/>
            <w:tcBorders>
              <w:top w:val="nil"/>
              <w:left w:val="nil"/>
              <w:bottom w:val="nil"/>
              <w:right w:val="nil"/>
            </w:tcBorders>
          </w:tcPr>
          <w:p w14:paraId="5C2EBAEF" w14:textId="77777777" w:rsidR="00724C44" w:rsidRPr="00EB4FF5" w:rsidRDefault="00724C44" w:rsidP="00EB4FF5">
            <w:pPr>
              <w:spacing w:after="0" w:line="240" w:lineRule="auto"/>
              <w:jc w:val="both"/>
              <w:rPr>
                <w:sz w:val="22"/>
                <w:szCs w:val="22"/>
              </w:rPr>
            </w:pPr>
            <w:r w:rsidRPr="00EB4FF5">
              <w:rPr>
                <w:sz w:val="22"/>
                <w:szCs w:val="22"/>
              </w:rPr>
              <w:t>Our organization has implemented AI-powered payroll processing software</w:t>
            </w:r>
          </w:p>
        </w:tc>
        <w:tc>
          <w:tcPr>
            <w:tcW w:w="864" w:type="dxa"/>
            <w:tcBorders>
              <w:top w:val="nil"/>
              <w:left w:val="nil"/>
              <w:bottom w:val="nil"/>
              <w:right w:val="nil"/>
            </w:tcBorders>
          </w:tcPr>
          <w:p w14:paraId="07C63E77" w14:textId="77777777" w:rsidR="00724C44" w:rsidRPr="00EB4FF5" w:rsidRDefault="00724C44" w:rsidP="00EB4FF5">
            <w:pPr>
              <w:spacing w:after="0" w:line="240" w:lineRule="auto"/>
              <w:jc w:val="both"/>
              <w:rPr>
                <w:sz w:val="22"/>
                <w:szCs w:val="22"/>
              </w:rPr>
            </w:pPr>
            <w:r w:rsidRPr="00EB4FF5">
              <w:rPr>
                <w:sz w:val="22"/>
                <w:szCs w:val="22"/>
              </w:rPr>
              <w:t>5.31</w:t>
            </w:r>
          </w:p>
        </w:tc>
        <w:tc>
          <w:tcPr>
            <w:tcW w:w="864" w:type="dxa"/>
            <w:tcBorders>
              <w:top w:val="nil"/>
              <w:left w:val="nil"/>
              <w:bottom w:val="nil"/>
              <w:right w:val="nil"/>
            </w:tcBorders>
          </w:tcPr>
          <w:p w14:paraId="5B571453" w14:textId="77777777" w:rsidR="00724C44" w:rsidRPr="00EB4FF5" w:rsidRDefault="00724C44" w:rsidP="00EB4FF5">
            <w:pPr>
              <w:spacing w:after="0" w:line="240" w:lineRule="auto"/>
              <w:jc w:val="both"/>
              <w:rPr>
                <w:sz w:val="22"/>
                <w:szCs w:val="22"/>
              </w:rPr>
            </w:pPr>
            <w:r w:rsidRPr="00EB4FF5">
              <w:rPr>
                <w:sz w:val="22"/>
                <w:szCs w:val="22"/>
              </w:rPr>
              <w:t>1.50</w:t>
            </w:r>
          </w:p>
        </w:tc>
        <w:tc>
          <w:tcPr>
            <w:tcW w:w="1692" w:type="dxa"/>
            <w:tcBorders>
              <w:top w:val="nil"/>
              <w:left w:val="nil"/>
              <w:bottom w:val="nil"/>
              <w:right w:val="nil"/>
            </w:tcBorders>
          </w:tcPr>
          <w:p w14:paraId="36B39DBA"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7F580F17" w14:textId="77777777" w:rsidTr="00EB4FF5">
        <w:tc>
          <w:tcPr>
            <w:tcW w:w="1008" w:type="dxa"/>
            <w:tcBorders>
              <w:top w:val="nil"/>
              <w:left w:val="nil"/>
              <w:bottom w:val="nil"/>
              <w:right w:val="nil"/>
            </w:tcBorders>
          </w:tcPr>
          <w:p w14:paraId="34E86C58" w14:textId="77777777" w:rsidR="00724C44" w:rsidRPr="00EB4FF5" w:rsidRDefault="00724C44" w:rsidP="00EB4FF5">
            <w:pPr>
              <w:spacing w:after="0" w:line="240" w:lineRule="auto"/>
              <w:jc w:val="both"/>
              <w:rPr>
                <w:sz w:val="22"/>
                <w:szCs w:val="22"/>
              </w:rPr>
            </w:pPr>
            <w:r w:rsidRPr="00EB4FF5">
              <w:rPr>
                <w:sz w:val="22"/>
                <w:szCs w:val="22"/>
              </w:rPr>
              <w:t>B1.2</w:t>
            </w:r>
          </w:p>
        </w:tc>
        <w:tc>
          <w:tcPr>
            <w:tcW w:w="4932" w:type="dxa"/>
            <w:tcBorders>
              <w:top w:val="nil"/>
              <w:left w:val="nil"/>
              <w:bottom w:val="nil"/>
              <w:right w:val="nil"/>
            </w:tcBorders>
          </w:tcPr>
          <w:p w14:paraId="53913C24" w14:textId="77777777" w:rsidR="00724C44" w:rsidRPr="00EB4FF5" w:rsidRDefault="00724C44" w:rsidP="00EB4FF5">
            <w:pPr>
              <w:spacing w:after="0" w:line="240" w:lineRule="auto"/>
              <w:jc w:val="both"/>
              <w:rPr>
                <w:sz w:val="22"/>
                <w:szCs w:val="22"/>
              </w:rPr>
            </w:pPr>
            <w:r w:rsidRPr="00EB4FF5">
              <w:rPr>
                <w:sz w:val="22"/>
                <w:szCs w:val="22"/>
              </w:rPr>
              <w:t>We use automated systems to calculate employee compensation, including overtime, bonuses, and deductions</w:t>
            </w:r>
          </w:p>
        </w:tc>
        <w:tc>
          <w:tcPr>
            <w:tcW w:w="864" w:type="dxa"/>
            <w:tcBorders>
              <w:top w:val="nil"/>
              <w:left w:val="nil"/>
              <w:bottom w:val="nil"/>
              <w:right w:val="nil"/>
            </w:tcBorders>
          </w:tcPr>
          <w:p w14:paraId="05BD188F" w14:textId="77777777" w:rsidR="00724C44" w:rsidRPr="00EB4FF5" w:rsidRDefault="00724C44" w:rsidP="00EB4FF5">
            <w:pPr>
              <w:spacing w:after="0" w:line="240" w:lineRule="auto"/>
              <w:jc w:val="both"/>
              <w:rPr>
                <w:sz w:val="22"/>
                <w:szCs w:val="22"/>
              </w:rPr>
            </w:pPr>
            <w:r w:rsidRPr="00EB4FF5">
              <w:rPr>
                <w:sz w:val="22"/>
                <w:szCs w:val="22"/>
              </w:rPr>
              <w:t>5.18</w:t>
            </w:r>
          </w:p>
        </w:tc>
        <w:tc>
          <w:tcPr>
            <w:tcW w:w="864" w:type="dxa"/>
            <w:tcBorders>
              <w:top w:val="nil"/>
              <w:left w:val="nil"/>
              <w:bottom w:val="nil"/>
              <w:right w:val="nil"/>
            </w:tcBorders>
          </w:tcPr>
          <w:p w14:paraId="4263D381" w14:textId="77777777" w:rsidR="00724C44" w:rsidRPr="00EB4FF5" w:rsidRDefault="00724C44" w:rsidP="00EB4FF5">
            <w:pPr>
              <w:spacing w:after="0" w:line="240" w:lineRule="auto"/>
              <w:jc w:val="both"/>
              <w:rPr>
                <w:sz w:val="22"/>
                <w:szCs w:val="22"/>
              </w:rPr>
            </w:pPr>
            <w:r w:rsidRPr="00EB4FF5">
              <w:rPr>
                <w:sz w:val="22"/>
                <w:szCs w:val="22"/>
              </w:rPr>
              <w:t>1.81</w:t>
            </w:r>
          </w:p>
        </w:tc>
        <w:tc>
          <w:tcPr>
            <w:tcW w:w="1692" w:type="dxa"/>
            <w:tcBorders>
              <w:top w:val="nil"/>
              <w:left w:val="nil"/>
              <w:bottom w:val="nil"/>
              <w:right w:val="nil"/>
            </w:tcBorders>
          </w:tcPr>
          <w:p w14:paraId="0AB5E67D"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3D71B785" w14:textId="77777777" w:rsidTr="00EB4FF5">
        <w:tc>
          <w:tcPr>
            <w:tcW w:w="1008" w:type="dxa"/>
            <w:tcBorders>
              <w:top w:val="nil"/>
              <w:left w:val="nil"/>
              <w:bottom w:val="nil"/>
              <w:right w:val="nil"/>
            </w:tcBorders>
          </w:tcPr>
          <w:p w14:paraId="7047E2B5" w14:textId="77777777" w:rsidR="00724C44" w:rsidRPr="00EB4FF5" w:rsidRDefault="00724C44" w:rsidP="00EB4FF5">
            <w:pPr>
              <w:spacing w:after="0" w:line="240" w:lineRule="auto"/>
              <w:jc w:val="both"/>
              <w:rPr>
                <w:sz w:val="22"/>
                <w:szCs w:val="22"/>
              </w:rPr>
            </w:pPr>
            <w:r w:rsidRPr="00EB4FF5">
              <w:rPr>
                <w:sz w:val="22"/>
                <w:szCs w:val="22"/>
              </w:rPr>
              <w:t>B1.3</w:t>
            </w:r>
          </w:p>
        </w:tc>
        <w:tc>
          <w:tcPr>
            <w:tcW w:w="4932" w:type="dxa"/>
            <w:tcBorders>
              <w:top w:val="nil"/>
              <w:left w:val="nil"/>
              <w:bottom w:val="nil"/>
              <w:right w:val="nil"/>
            </w:tcBorders>
          </w:tcPr>
          <w:p w14:paraId="10D1359D" w14:textId="77777777" w:rsidR="00724C44" w:rsidRPr="00EB4FF5" w:rsidRDefault="00724C44" w:rsidP="00EB4FF5">
            <w:pPr>
              <w:spacing w:after="0" w:line="240" w:lineRule="auto"/>
              <w:jc w:val="both"/>
              <w:rPr>
                <w:sz w:val="22"/>
                <w:szCs w:val="22"/>
              </w:rPr>
            </w:pPr>
            <w:r w:rsidRPr="00EB4FF5">
              <w:rPr>
                <w:sz w:val="22"/>
                <w:szCs w:val="22"/>
              </w:rPr>
              <w:t>Our compensation systems use machine learning algorithms to identify patterns in payroll data</w:t>
            </w:r>
          </w:p>
        </w:tc>
        <w:tc>
          <w:tcPr>
            <w:tcW w:w="864" w:type="dxa"/>
            <w:tcBorders>
              <w:top w:val="nil"/>
              <w:left w:val="nil"/>
              <w:bottom w:val="nil"/>
              <w:right w:val="nil"/>
            </w:tcBorders>
          </w:tcPr>
          <w:p w14:paraId="45028540" w14:textId="77777777" w:rsidR="00724C44" w:rsidRPr="00EB4FF5" w:rsidRDefault="00724C44" w:rsidP="00EB4FF5">
            <w:pPr>
              <w:spacing w:after="0" w:line="240" w:lineRule="auto"/>
              <w:jc w:val="both"/>
              <w:rPr>
                <w:sz w:val="22"/>
                <w:szCs w:val="22"/>
              </w:rPr>
            </w:pPr>
            <w:r w:rsidRPr="00EB4FF5">
              <w:rPr>
                <w:sz w:val="22"/>
                <w:szCs w:val="22"/>
              </w:rPr>
              <w:t>3.75</w:t>
            </w:r>
          </w:p>
        </w:tc>
        <w:tc>
          <w:tcPr>
            <w:tcW w:w="864" w:type="dxa"/>
            <w:tcBorders>
              <w:top w:val="nil"/>
              <w:left w:val="nil"/>
              <w:bottom w:val="nil"/>
              <w:right w:val="nil"/>
            </w:tcBorders>
          </w:tcPr>
          <w:p w14:paraId="0CBED174" w14:textId="77777777" w:rsidR="00724C44" w:rsidRPr="00EB4FF5" w:rsidRDefault="00724C44" w:rsidP="00EB4FF5">
            <w:pPr>
              <w:spacing w:after="0" w:line="240" w:lineRule="auto"/>
              <w:jc w:val="both"/>
              <w:rPr>
                <w:sz w:val="22"/>
                <w:szCs w:val="22"/>
              </w:rPr>
            </w:pPr>
            <w:r w:rsidRPr="00EB4FF5">
              <w:rPr>
                <w:sz w:val="22"/>
                <w:szCs w:val="22"/>
              </w:rPr>
              <w:t>1.58</w:t>
            </w:r>
          </w:p>
        </w:tc>
        <w:tc>
          <w:tcPr>
            <w:tcW w:w="1692" w:type="dxa"/>
            <w:tcBorders>
              <w:top w:val="nil"/>
              <w:left w:val="nil"/>
              <w:bottom w:val="nil"/>
              <w:right w:val="nil"/>
            </w:tcBorders>
          </w:tcPr>
          <w:p w14:paraId="0F760385" w14:textId="77777777" w:rsidR="00724C44" w:rsidRPr="00EB4FF5" w:rsidRDefault="00724C44" w:rsidP="00EB4FF5">
            <w:pPr>
              <w:spacing w:after="0" w:line="240" w:lineRule="auto"/>
              <w:jc w:val="both"/>
              <w:rPr>
                <w:sz w:val="22"/>
                <w:szCs w:val="22"/>
              </w:rPr>
            </w:pPr>
            <w:r w:rsidRPr="00EB4FF5">
              <w:rPr>
                <w:sz w:val="22"/>
                <w:szCs w:val="22"/>
              </w:rPr>
              <w:t>Moderate</w:t>
            </w:r>
          </w:p>
        </w:tc>
      </w:tr>
      <w:tr w:rsidR="00724C44" w:rsidRPr="00724C44" w14:paraId="2B2F0130" w14:textId="77777777" w:rsidTr="00EB4FF5">
        <w:tc>
          <w:tcPr>
            <w:tcW w:w="1008" w:type="dxa"/>
            <w:tcBorders>
              <w:top w:val="nil"/>
              <w:left w:val="nil"/>
              <w:bottom w:val="nil"/>
              <w:right w:val="nil"/>
            </w:tcBorders>
          </w:tcPr>
          <w:p w14:paraId="4E9A379E" w14:textId="77777777" w:rsidR="00724C44" w:rsidRPr="00EB4FF5" w:rsidRDefault="00724C44" w:rsidP="00EB4FF5">
            <w:pPr>
              <w:spacing w:after="0" w:line="240" w:lineRule="auto"/>
              <w:jc w:val="both"/>
              <w:rPr>
                <w:sz w:val="22"/>
                <w:szCs w:val="22"/>
              </w:rPr>
            </w:pPr>
            <w:r w:rsidRPr="00EB4FF5">
              <w:rPr>
                <w:sz w:val="22"/>
                <w:szCs w:val="22"/>
              </w:rPr>
              <w:lastRenderedPageBreak/>
              <w:t>B1.4</w:t>
            </w:r>
          </w:p>
        </w:tc>
        <w:tc>
          <w:tcPr>
            <w:tcW w:w="4932" w:type="dxa"/>
            <w:tcBorders>
              <w:top w:val="nil"/>
              <w:left w:val="nil"/>
              <w:bottom w:val="nil"/>
              <w:right w:val="nil"/>
            </w:tcBorders>
          </w:tcPr>
          <w:p w14:paraId="0D547B1F" w14:textId="77777777" w:rsidR="00724C44" w:rsidRPr="00EB4FF5" w:rsidRDefault="00724C44" w:rsidP="00EB4FF5">
            <w:pPr>
              <w:spacing w:after="0" w:line="240" w:lineRule="auto"/>
              <w:jc w:val="both"/>
              <w:rPr>
                <w:sz w:val="22"/>
                <w:szCs w:val="22"/>
              </w:rPr>
            </w:pPr>
            <w:r w:rsidRPr="00EB4FF5">
              <w:rPr>
                <w:sz w:val="22"/>
                <w:szCs w:val="22"/>
              </w:rPr>
              <w:t>We have implemented AI tools for tax compliance and withholding calculations</w:t>
            </w:r>
          </w:p>
        </w:tc>
        <w:tc>
          <w:tcPr>
            <w:tcW w:w="864" w:type="dxa"/>
            <w:tcBorders>
              <w:top w:val="nil"/>
              <w:left w:val="nil"/>
              <w:bottom w:val="nil"/>
              <w:right w:val="nil"/>
            </w:tcBorders>
          </w:tcPr>
          <w:p w14:paraId="7D041C1D" w14:textId="77777777" w:rsidR="00724C44" w:rsidRPr="00EB4FF5" w:rsidRDefault="00724C44" w:rsidP="00EB4FF5">
            <w:pPr>
              <w:spacing w:after="0" w:line="240" w:lineRule="auto"/>
              <w:jc w:val="both"/>
              <w:rPr>
                <w:sz w:val="22"/>
                <w:szCs w:val="22"/>
              </w:rPr>
            </w:pPr>
            <w:r w:rsidRPr="00EB4FF5">
              <w:rPr>
                <w:sz w:val="22"/>
                <w:szCs w:val="22"/>
              </w:rPr>
              <w:t>2.98</w:t>
            </w:r>
          </w:p>
        </w:tc>
        <w:tc>
          <w:tcPr>
            <w:tcW w:w="864" w:type="dxa"/>
            <w:tcBorders>
              <w:top w:val="nil"/>
              <w:left w:val="nil"/>
              <w:bottom w:val="nil"/>
              <w:right w:val="nil"/>
            </w:tcBorders>
          </w:tcPr>
          <w:p w14:paraId="21B78C28" w14:textId="77777777" w:rsidR="00724C44" w:rsidRPr="00EB4FF5" w:rsidRDefault="00724C44" w:rsidP="00EB4FF5">
            <w:pPr>
              <w:spacing w:after="0" w:line="240" w:lineRule="auto"/>
              <w:jc w:val="both"/>
              <w:rPr>
                <w:sz w:val="22"/>
                <w:szCs w:val="22"/>
              </w:rPr>
            </w:pPr>
            <w:r w:rsidRPr="00EB4FF5">
              <w:rPr>
                <w:sz w:val="22"/>
                <w:szCs w:val="22"/>
              </w:rPr>
              <w:t>1.81</w:t>
            </w:r>
          </w:p>
        </w:tc>
        <w:tc>
          <w:tcPr>
            <w:tcW w:w="1692" w:type="dxa"/>
            <w:tcBorders>
              <w:top w:val="nil"/>
              <w:left w:val="nil"/>
              <w:bottom w:val="nil"/>
              <w:right w:val="nil"/>
            </w:tcBorders>
          </w:tcPr>
          <w:p w14:paraId="1988ABAE" w14:textId="77777777" w:rsidR="00724C44" w:rsidRPr="00EB4FF5" w:rsidRDefault="00724C44" w:rsidP="00EB4FF5">
            <w:pPr>
              <w:spacing w:after="0" w:line="240" w:lineRule="auto"/>
              <w:jc w:val="both"/>
              <w:rPr>
                <w:sz w:val="22"/>
                <w:szCs w:val="22"/>
              </w:rPr>
            </w:pPr>
            <w:r w:rsidRPr="00EB4FF5">
              <w:rPr>
                <w:sz w:val="22"/>
                <w:szCs w:val="22"/>
              </w:rPr>
              <w:t>Low</w:t>
            </w:r>
          </w:p>
        </w:tc>
      </w:tr>
      <w:tr w:rsidR="00724C44" w:rsidRPr="00724C44" w14:paraId="0535EF1F" w14:textId="77777777" w:rsidTr="00EB4FF5">
        <w:tc>
          <w:tcPr>
            <w:tcW w:w="1008" w:type="dxa"/>
            <w:tcBorders>
              <w:top w:val="nil"/>
              <w:left w:val="nil"/>
              <w:bottom w:val="nil"/>
              <w:right w:val="nil"/>
            </w:tcBorders>
          </w:tcPr>
          <w:p w14:paraId="454D5326" w14:textId="77777777" w:rsidR="00724C44" w:rsidRPr="00EB4FF5" w:rsidRDefault="00724C44" w:rsidP="00EB4FF5">
            <w:pPr>
              <w:spacing w:after="0" w:line="240" w:lineRule="auto"/>
              <w:jc w:val="both"/>
              <w:rPr>
                <w:sz w:val="22"/>
                <w:szCs w:val="22"/>
              </w:rPr>
            </w:pPr>
            <w:r w:rsidRPr="00EB4FF5">
              <w:rPr>
                <w:sz w:val="22"/>
                <w:szCs w:val="22"/>
              </w:rPr>
              <w:t>B1.5</w:t>
            </w:r>
          </w:p>
        </w:tc>
        <w:tc>
          <w:tcPr>
            <w:tcW w:w="4932" w:type="dxa"/>
            <w:tcBorders>
              <w:top w:val="nil"/>
              <w:left w:val="nil"/>
              <w:bottom w:val="nil"/>
              <w:right w:val="nil"/>
            </w:tcBorders>
          </w:tcPr>
          <w:p w14:paraId="427BA1EF" w14:textId="77777777" w:rsidR="00724C44" w:rsidRPr="00EB4FF5" w:rsidRDefault="00724C44" w:rsidP="00EB4FF5">
            <w:pPr>
              <w:spacing w:after="0" w:line="240" w:lineRule="auto"/>
              <w:jc w:val="both"/>
              <w:rPr>
                <w:sz w:val="22"/>
                <w:szCs w:val="22"/>
              </w:rPr>
            </w:pPr>
            <w:r w:rsidRPr="00EB4FF5">
              <w:rPr>
                <w:sz w:val="22"/>
                <w:szCs w:val="22"/>
              </w:rPr>
              <w:t>Our organization uses intelligent automation for benefits administration</w:t>
            </w:r>
          </w:p>
        </w:tc>
        <w:tc>
          <w:tcPr>
            <w:tcW w:w="864" w:type="dxa"/>
            <w:tcBorders>
              <w:top w:val="nil"/>
              <w:left w:val="nil"/>
              <w:bottom w:val="nil"/>
              <w:right w:val="nil"/>
            </w:tcBorders>
          </w:tcPr>
          <w:p w14:paraId="1C003275" w14:textId="77777777" w:rsidR="00724C44" w:rsidRPr="00EB4FF5" w:rsidRDefault="00724C44" w:rsidP="00EB4FF5">
            <w:pPr>
              <w:spacing w:after="0" w:line="240" w:lineRule="auto"/>
              <w:jc w:val="both"/>
              <w:rPr>
                <w:sz w:val="22"/>
                <w:szCs w:val="22"/>
              </w:rPr>
            </w:pPr>
            <w:r w:rsidRPr="00EB4FF5">
              <w:rPr>
                <w:sz w:val="22"/>
                <w:szCs w:val="22"/>
              </w:rPr>
              <w:t>2.57</w:t>
            </w:r>
          </w:p>
        </w:tc>
        <w:tc>
          <w:tcPr>
            <w:tcW w:w="864" w:type="dxa"/>
            <w:tcBorders>
              <w:top w:val="nil"/>
              <w:left w:val="nil"/>
              <w:bottom w:val="nil"/>
              <w:right w:val="nil"/>
            </w:tcBorders>
          </w:tcPr>
          <w:p w14:paraId="4E9C63CE" w14:textId="77777777" w:rsidR="00724C44" w:rsidRPr="00EB4FF5" w:rsidRDefault="00724C44" w:rsidP="00EB4FF5">
            <w:pPr>
              <w:spacing w:after="0" w:line="240" w:lineRule="auto"/>
              <w:jc w:val="both"/>
              <w:rPr>
                <w:sz w:val="22"/>
                <w:szCs w:val="22"/>
              </w:rPr>
            </w:pPr>
            <w:r w:rsidRPr="00EB4FF5">
              <w:rPr>
                <w:sz w:val="22"/>
                <w:szCs w:val="22"/>
              </w:rPr>
              <w:t>1.46</w:t>
            </w:r>
          </w:p>
        </w:tc>
        <w:tc>
          <w:tcPr>
            <w:tcW w:w="1692" w:type="dxa"/>
            <w:tcBorders>
              <w:top w:val="nil"/>
              <w:left w:val="nil"/>
              <w:bottom w:val="nil"/>
              <w:right w:val="nil"/>
            </w:tcBorders>
          </w:tcPr>
          <w:p w14:paraId="60ADC39B" w14:textId="77777777" w:rsidR="00724C44" w:rsidRPr="00EB4FF5" w:rsidRDefault="00724C44" w:rsidP="00EB4FF5">
            <w:pPr>
              <w:spacing w:after="0" w:line="240" w:lineRule="auto"/>
              <w:jc w:val="both"/>
              <w:rPr>
                <w:sz w:val="22"/>
                <w:szCs w:val="22"/>
              </w:rPr>
            </w:pPr>
            <w:r w:rsidRPr="00EB4FF5">
              <w:rPr>
                <w:sz w:val="22"/>
                <w:szCs w:val="22"/>
              </w:rPr>
              <w:t>Low</w:t>
            </w:r>
          </w:p>
        </w:tc>
      </w:tr>
      <w:tr w:rsidR="00724C44" w:rsidRPr="00724C44" w14:paraId="5344F06A" w14:textId="77777777" w:rsidTr="00EB4FF5">
        <w:tc>
          <w:tcPr>
            <w:tcW w:w="1008" w:type="dxa"/>
            <w:tcBorders>
              <w:top w:val="nil"/>
              <w:left w:val="nil"/>
              <w:bottom w:val="nil"/>
              <w:right w:val="nil"/>
            </w:tcBorders>
          </w:tcPr>
          <w:p w14:paraId="01233BA0" w14:textId="77777777" w:rsidR="00724C44" w:rsidRPr="00EB4FF5" w:rsidRDefault="00724C44" w:rsidP="00EB4FF5">
            <w:pPr>
              <w:spacing w:after="0" w:line="240" w:lineRule="auto"/>
              <w:jc w:val="both"/>
              <w:rPr>
                <w:sz w:val="22"/>
                <w:szCs w:val="22"/>
              </w:rPr>
            </w:pPr>
            <w:r w:rsidRPr="00EB4FF5">
              <w:rPr>
                <w:sz w:val="22"/>
                <w:szCs w:val="22"/>
              </w:rPr>
              <w:t>B1.6</w:t>
            </w:r>
          </w:p>
        </w:tc>
        <w:tc>
          <w:tcPr>
            <w:tcW w:w="4932" w:type="dxa"/>
            <w:tcBorders>
              <w:top w:val="nil"/>
              <w:left w:val="nil"/>
              <w:bottom w:val="nil"/>
              <w:right w:val="nil"/>
            </w:tcBorders>
          </w:tcPr>
          <w:p w14:paraId="3FB327EA" w14:textId="77777777" w:rsidR="00724C44" w:rsidRPr="00EB4FF5" w:rsidRDefault="00724C44" w:rsidP="00EB4FF5">
            <w:pPr>
              <w:spacing w:after="0" w:line="240" w:lineRule="auto"/>
              <w:jc w:val="both"/>
              <w:rPr>
                <w:sz w:val="22"/>
                <w:szCs w:val="22"/>
              </w:rPr>
            </w:pPr>
            <w:r w:rsidRPr="00EB4FF5">
              <w:rPr>
                <w:sz w:val="22"/>
                <w:szCs w:val="22"/>
              </w:rPr>
              <w:t>We use AI-driven chatbots or self-service tools for employee payroll inquiries</w:t>
            </w:r>
          </w:p>
        </w:tc>
        <w:tc>
          <w:tcPr>
            <w:tcW w:w="864" w:type="dxa"/>
            <w:tcBorders>
              <w:top w:val="nil"/>
              <w:left w:val="nil"/>
              <w:bottom w:val="nil"/>
              <w:right w:val="nil"/>
            </w:tcBorders>
          </w:tcPr>
          <w:p w14:paraId="570F1E17" w14:textId="77777777" w:rsidR="00724C44" w:rsidRPr="00EB4FF5" w:rsidRDefault="00724C44" w:rsidP="00EB4FF5">
            <w:pPr>
              <w:spacing w:after="0" w:line="240" w:lineRule="auto"/>
              <w:jc w:val="both"/>
              <w:rPr>
                <w:sz w:val="22"/>
                <w:szCs w:val="22"/>
              </w:rPr>
            </w:pPr>
            <w:r w:rsidRPr="00EB4FF5">
              <w:rPr>
                <w:sz w:val="22"/>
                <w:szCs w:val="22"/>
              </w:rPr>
              <w:t>2.56</w:t>
            </w:r>
          </w:p>
        </w:tc>
        <w:tc>
          <w:tcPr>
            <w:tcW w:w="864" w:type="dxa"/>
            <w:tcBorders>
              <w:top w:val="nil"/>
              <w:left w:val="nil"/>
              <w:bottom w:val="nil"/>
              <w:right w:val="nil"/>
            </w:tcBorders>
          </w:tcPr>
          <w:p w14:paraId="7A0234BD" w14:textId="77777777" w:rsidR="00724C44" w:rsidRPr="00EB4FF5" w:rsidRDefault="00724C44" w:rsidP="00EB4FF5">
            <w:pPr>
              <w:spacing w:after="0" w:line="240" w:lineRule="auto"/>
              <w:jc w:val="both"/>
              <w:rPr>
                <w:sz w:val="22"/>
                <w:szCs w:val="22"/>
              </w:rPr>
            </w:pPr>
            <w:r w:rsidRPr="00EB4FF5">
              <w:rPr>
                <w:sz w:val="22"/>
                <w:szCs w:val="22"/>
              </w:rPr>
              <w:t>1.17</w:t>
            </w:r>
          </w:p>
        </w:tc>
        <w:tc>
          <w:tcPr>
            <w:tcW w:w="1692" w:type="dxa"/>
            <w:tcBorders>
              <w:top w:val="nil"/>
              <w:left w:val="nil"/>
              <w:bottom w:val="nil"/>
              <w:right w:val="nil"/>
            </w:tcBorders>
          </w:tcPr>
          <w:p w14:paraId="41AE3570" w14:textId="77777777" w:rsidR="00724C44" w:rsidRPr="00EB4FF5" w:rsidRDefault="00724C44" w:rsidP="00EB4FF5">
            <w:pPr>
              <w:spacing w:after="0" w:line="240" w:lineRule="auto"/>
              <w:jc w:val="both"/>
              <w:rPr>
                <w:sz w:val="22"/>
                <w:szCs w:val="22"/>
              </w:rPr>
            </w:pPr>
            <w:r w:rsidRPr="00EB4FF5">
              <w:rPr>
                <w:sz w:val="22"/>
                <w:szCs w:val="22"/>
              </w:rPr>
              <w:t>Low</w:t>
            </w:r>
          </w:p>
        </w:tc>
      </w:tr>
      <w:tr w:rsidR="00724C44" w:rsidRPr="00724C44" w14:paraId="417F0AFF" w14:textId="77777777" w:rsidTr="00EB4FF5">
        <w:tc>
          <w:tcPr>
            <w:tcW w:w="1008" w:type="dxa"/>
            <w:tcBorders>
              <w:top w:val="nil"/>
              <w:left w:val="nil"/>
              <w:bottom w:val="single" w:sz="4" w:space="0" w:color="000000"/>
              <w:right w:val="nil"/>
            </w:tcBorders>
          </w:tcPr>
          <w:p w14:paraId="16C7ED79" w14:textId="77777777" w:rsidR="00724C44" w:rsidRPr="00EB4FF5" w:rsidRDefault="00724C44" w:rsidP="00EB4FF5">
            <w:pPr>
              <w:spacing w:after="0" w:line="240" w:lineRule="auto"/>
              <w:jc w:val="both"/>
              <w:rPr>
                <w:sz w:val="22"/>
                <w:szCs w:val="22"/>
              </w:rPr>
            </w:pPr>
          </w:p>
        </w:tc>
        <w:tc>
          <w:tcPr>
            <w:tcW w:w="4932" w:type="dxa"/>
            <w:tcBorders>
              <w:top w:val="nil"/>
              <w:left w:val="nil"/>
              <w:bottom w:val="single" w:sz="4" w:space="0" w:color="000000"/>
              <w:right w:val="nil"/>
            </w:tcBorders>
          </w:tcPr>
          <w:p w14:paraId="0EEE0211" w14:textId="77777777" w:rsidR="00724C44" w:rsidRPr="00EB4FF5" w:rsidRDefault="00724C44" w:rsidP="00EB4FF5">
            <w:pPr>
              <w:spacing w:after="0" w:line="240" w:lineRule="auto"/>
              <w:jc w:val="both"/>
              <w:rPr>
                <w:sz w:val="22"/>
                <w:szCs w:val="22"/>
              </w:rPr>
            </w:pPr>
            <w:r w:rsidRPr="00EB4FF5">
              <w:rPr>
                <w:sz w:val="22"/>
                <w:szCs w:val="22"/>
              </w:rPr>
              <w:t>Construct Mean (B1)</w:t>
            </w:r>
          </w:p>
        </w:tc>
        <w:tc>
          <w:tcPr>
            <w:tcW w:w="864" w:type="dxa"/>
            <w:tcBorders>
              <w:top w:val="nil"/>
              <w:left w:val="nil"/>
              <w:bottom w:val="single" w:sz="4" w:space="0" w:color="000000"/>
              <w:right w:val="nil"/>
            </w:tcBorders>
          </w:tcPr>
          <w:p w14:paraId="5BD2081C" w14:textId="77777777" w:rsidR="00724C44" w:rsidRPr="00EB4FF5" w:rsidRDefault="00724C44" w:rsidP="00EB4FF5">
            <w:pPr>
              <w:spacing w:after="0" w:line="240" w:lineRule="auto"/>
              <w:jc w:val="both"/>
              <w:rPr>
                <w:sz w:val="22"/>
                <w:szCs w:val="22"/>
              </w:rPr>
            </w:pPr>
            <w:r w:rsidRPr="00EB4FF5">
              <w:rPr>
                <w:sz w:val="22"/>
                <w:szCs w:val="22"/>
              </w:rPr>
              <w:t>3.73</w:t>
            </w:r>
          </w:p>
        </w:tc>
        <w:tc>
          <w:tcPr>
            <w:tcW w:w="864" w:type="dxa"/>
            <w:tcBorders>
              <w:top w:val="nil"/>
              <w:left w:val="nil"/>
              <w:bottom w:val="single" w:sz="4" w:space="0" w:color="000000"/>
              <w:right w:val="nil"/>
            </w:tcBorders>
          </w:tcPr>
          <w:p w14:paraId="238E1462" w14:textId="77777777" w:rsidR="00724C44" w:rsidRPr="00EB4FF5" w:rsidRDefault="00724C44" w:rsidP="00EB4FF5">
            <w:pPr>
              <w:spacing w:after="0" w:line="240" w:lineRule="auto"/>
              <w:jc w:val="both"/>
              <w:rPr>
                <w:sz w:val="22"/>
                <w:szCs w:val="22"/>
              </w:rPr>
            </w:pPr>
            <w:r w:rsidRPr="00EB4FF5">
              <w:rPr>
                <w:sz w:val="22"/>
                <w:szCs w:val="22"/>
              </w:rPr>
              <w:t>0.60</w:t>
            </w:r>
          </w:p>
        </w:tc>
        <w:tc>
          <w:tcPr>
            <w:tcW w:w="1692" w:type="dxa"/>
            <w:tcBorders>
              <w:top w:val="nil"/>
              <w:left w:val="nil"/>
              <w:bottom w:val="single" w:sz="4" w:space="0" w:color="000000"/>
              <w:right w:val="nil"/>
            </w:tcBorders>
          </w:tcPr>
          <w:p w14:paraId="1CB0B0E5" w14:textId="77777777" w:rsidR="00724C44" w:rsidRPr="00EB4FF5" w:rsidRDefault="00724C44" w:rsidP="00EB4FF5">
            <w:pPr>
              <w:spacing w:after="0" w:line="240" w:lineRule="auto"/>
              <w:jc w:val="both"/>
              <w:rPr>
                <w:sz w:val="22"/>
                <w:szCs w:val="22"/>
              </w:rPr>
            </w:pPr>
            <w:r w:rsidRPr="00EB4FF5">
              <w:rPr>
                <w:sz w:val="22"/>
                <w:szCs w:val="22"/>
              </w:rPr>
              <w:t>Moderate</w:t>
            </w:r>
          </w:p>
        </w:tc>
      </w:tr>
    </w:tbl>
    <w:p w14:paraId="41D5AF41" w14:textId="77777777" w:rsidR="00724C44" w:rsidRPr="00EB4FF5" w:rsidRDefault="00724C44" w:rsidP="00724C44">
      <w:pPr>
        <w:spacing w:line="240" w:lineRule="auto"/>
        <w:jc w:val="both"/>
        <w:rPr>
          <w:i/>
          <w:sz w:val="22"/>
          <w:szCs w:val="22"/>
        </w:rPr>
      </w:pPr>
      <w:r w:rsidRPr="00EB4FF5">
        <w:rPr>
          <w:i/>
          <w:sz w:val="22"/>
          <w:szCs w:val="22"/>
        </w:rPr>
        <w:t>Note. Scale: 1 = Strongly Disagree, 7 = Strongly Agree. Interpretation: &lt;2.0 = Very Low, 2.0–2.99 = Low, 3.0–3.99 = Moderate, 4.0–4.99 = Moderate-High, 5.0–5.99 = High, ≥6.0 = Very High.</w:t>
      </w:r>
    </w:p>
    <w:p w14:paraId="3DB1298E" w14:textId="77777777" w:rsidR="00724C44" w:rsidRPr="00724C44" w:rsidRDefault="00724C44" w:rsidP="00724C44">
      <w:pPr>
        <w:spacing w:line="240" w:lineRule="auto"/>
        <w:jc w:val="both"/>
      </w:pPr>
      <w:r w:rsidRPr="00724C44">
        <w:t>The results reveal a selective pattern of AI technology adoption. Basic automation of payroll processing (B1.1, M = 5.31) and compensation calculations (B1.2, M = 5.18) show high adoption levels, indicating that foundational AI-powered payroll systems are well established. However, more advanced applications such as machine learning for pattern identification (B1.3, M = 3.76), AI-driven tax compliance (B1.4, M = 2.98), benefits automation (B1.5, M = 2.57), and AI chatbots (B1.6, M = 2.56) demonstrate substantially lower implementation levels.</w:t>
      </w:r>
    </w:p>
    <w:p w14:paraId="5093F75D" w14:textId="77777777" w:rsidR="00724C44" w:rsidRPr="00724C44" w:rsidRDefault="00724C44" w:rsidP="00724C44">
      <w:pPr>
        <w:spacing w:line="240" w:lineRule="auto"/>
        <w:jc w:val="both"/>
      </w:pPr>
      <w:r w:rsidRPr="00724C44">
        <w:t>The overall construct mean of 3.73 (Moderate) suggests that while organizations have embraced basic AI-powered payroll automation, advanced AI applications in compensation management remain underutilized. The high item standard deviations indicate considerable variability in adoption levels across organizations.</w:t>
      </w:r>
    </w:p>
    <w:p w14:paraId="57858F43" w14:textId="77777777" w:rsidR="00724C44" w:rsidRPr="00724C44" w:rsidRDefault="00724C44" w:rsidP="00724C44">
      <w:pPr>
        <w:spacing w:line="240" w:lineRule="auto"/>
        <w:jc w:val="both"/>
      </w:pPr>
      <w:r w:rsidRPr="00724C44">
        <w:rPr>
          <w:b/>
        </w:rPr>
        <w:t>4.4.2 AI Analytical Capabilities (B2)</w:t>
      </w:r>
    </w:p>
    <w:p w14:paraId="39D5ED6F" w14:textId="77777777" w:rsidR="00724C44" w:rsidRPr="00724C44" w:rsidRDefault="00724C44" w:rsidP="00724C44">
      <w:pPr>
        <w:spacing w:line="240" w:lineRule="auto"/>
        <w:jc w:val="both"/>
      </w:pPr>
      <w:r w:rsidRPr="00724C44">
        <w:t>The AI Analytical Capabilities subscale measured the organization’s use of AI for data analysis, forecasting, and decision support in compensation management. Table 4.5 presents the descriptive statistics for these six items.</w:t>
      </w:r>
    </w:p>
    <w:p w14:paraId="5F028AF9" w14:textId="77777777" w:rsidR="00724C44" w:rsidRPr="00724C44" w:rsidRDefault="00724C44" w:rsidP="00724C44">
      <w:pPr>
        <w:spacing w:line="240" w:lineRule="auto"/>
        <w:jc w:val="both"/>
      </w:pPr>
      <w:r w:rsidRPr="00724C44">
        <w:rPr>
          <w:b/>
        </w:rPr>
        <w:t>Table 4.5</w:t>
      </w:r>
    </w:p>
    <w:p w14:paraId="7F9A4F84" w14:textId="77777777" w:rsidR="00724C44" w:rsidRPr="0023718D" w:rsidRDefault="00724C44" w:rsidP="00724C44">
      <w:pPr>
        <w:spacing w:line="240" w:lineRule="auto"/>
        <w:jc w:val="both"/>
        <w:rPr>
          <w:i/>
        </w:rPr>
      </w:pPr>
      <w:r w:rsidRPr="0023718D">
        <w:rPr>
          <w:i/>
        </w:rPr>
        <w:t>AI Analytical Capabilities – Descriptive Statistics (n = 400)</w:t>
      </w:r>
    </w:p>
    <w:tbl>
      <w:tblPr>
        <w:tblW w:w="0" w:type="auto"/>
        <w:tblLayout w:type="fixed"/>
        <w:tblLook w:val="04A0" w:firstRow="1" w:lastRow="0" w:firstColumn="1" w:lastColumn="0" w:noHBand="0" w:noVBand="1"/>
      </w:tblPr>
      <w:tblGrid>
        <w:gridCol w:w="1008"/>
        <w:gridCol w:w="5022"/>
        <w:gridCol w:w="864"/>
        <w:gridCol w:w="864"/>
        <w:gridCol w:w="1602"/>
      </w:tblGrid>
      <w:tr w:rsidR="00724C44" w:rsidRPr="00724C44" w14:paraId="667B59AD" w14:textId="77777777" w:rsidTr="00EB4FF5">
        <w:tc>
          <w:tcPr>
            <w:tcW w:w="1008" w:type="dxa"/>
            <w:tcBorders>
              <w:top w:val="single" w:sz="4" w:space="0" w:color="000000"/>
              <w:left w:val="nil"/>
              <w:bottom w:val="single" w:sz="4" w:space="0" w:color="000000"/>
              <w:right w:val="nil"/>
            </w:tcBorders>
          </w:tcPr>
          <w:p w14:paraId="5DE96BB8" w14:textId="77777777" w:rsidR="00724C44" w:rsidRPr="00EB4FF5" w:rsidRDefault="00724C44" w:rsidP="00EB4FF5">
            <w:pPr>
              <w:spacing w:after="0" w:line="240" w:lineRule="auto"/>
              <w:jc w:val="both"/>
              <w:rPr>
                <w:sz w:val="22"/>
                <w:szCs w:val="22"/>
              </w:rPr>
            </w:pPr>
            <w:r w:rsidRPr="00EB4FF5">
              <w:rPr>
                <w:b/>
                <w:sz w:val="22"/>
                <w:szCs w:val="22"/>
              </w:rPr>
              <w:t>Item</w:t>
            </w:r>
          </w:p>
        </w:tc>
        <w:tc>
          <w:tcPr>
            <w:tcW w:w="5022" w:type="dxa"/>
            <w:tcBorders>
              <w:top w:val="single" w:sz="4" w:space="0" w:color="000000"/>
              <w:left w:val="nil"/>
              <w:bottom w:val="single" w:sz="4" w:space="0" w:color="000000"/>
              <w:right w:val="nil"/>
            </w:tcBorders>
          </w:tcPr>
          <w:p w14:paraId="5ED659EB" w14:textId="77777777" w:rsidR="00724C44" w:rsidRPr="00EB4FF5" w:rsidRDefault="00724C44" w:rsidP="00EB4FF5">
            <w:pPr>
              <w:spacing w:after="0" w:line="240" w:lineRule="auto"/>
              <w:jc w:val="both"/>
              <w:rPr>
                <w:sz w:val="22"/>
                <w:szCs w:val="22"/>
              </w:rPr>
            </w:pPr>
            <w:r w:rsidRPr="00EB4FF5">
              <w:rPr>
                <w:b/>
                <w:sz w:val="22"/>
                <w:szCs w:val="22"/>
              </w:rPr>
              <w:t>Statement</w:t>
            </w:r>
          </w:p>
        </w:tc>
        <w:tc>
          <w:tcPr>
            <w:tcW w:w="864" w:type="dxa"/>
            <w:tcBorders>
              <w:top w:val="single" w:sz="4" w:space="0" w:color="000000"/>
              <w:left w:val="nil"/>
              <w:bottom w:val="single" w:sz="4" w:space="0" w:color="000000"/>
              <w:right w:val="nil"/>
            </w:tcBorders>
          </w:tcPr>
          <w:p w14:paraId="604471AC" w14:textId="77777777" w:rsidR="00724C44" w:rsidRPr="00EB4FF5" w:rsidRDefault="00724C44" w:rsidP="00EB4FF5">
            <w:pPr>
              <w:spacing w:after="0" w:line="240" w:lineRule="auto"/>
              <w:jc w:val="both"/>
              <w:rPr>
                <w:sz w:val="22"/>
                <w:szCs w:val="22"/>
              </w:rPr>
            </w:pPr>
            <w:r w:rsidRPr="00EB4FF5">
              <w:rPr>
                <w:b/>
                <w:sz w:val="22"/>
                <w:szCs w:val="22"/>
              </w:rPr>
              <w:t>M</w:t>
            </w:r>
          </w:p>
        </w:tc>
        <w:tc>
          <w:tcPr>
            <w:tcW w:w="864" w:type="dxa"/>
            <w:tcBorders>
              <w:top w:val="single" w:sz="4" w:space="0" w:color="000000"/>
              <w:left w:val="nil"/>
              <w:bottom w:val="single" w:sz="4" w:space="0" w:color="000000"/>
              <w:right w:val="nil"/>
            </w:tcBorders>
          </w:tcPr>
          <w:p w14:paraId="3CC9C381" w14:textId="77777777" w:rsidR="00724C44" w:rsidRPr="00EB4FF5" w:rsidRDefault="00724C44" w:rsidP="00EB4FF5">
            <w:pPr>
              <w:spacing w:after="0" w:line="240" w:lineRule="auto"/>
              <w:jc w:val="both"/>
              <w:rPr>
                <w:sz w:val="22"/>
                <w:szCs w:val="22"/>
              </w:rPr>
            </w:pPr>
            <w:r w:rsidRPr="00EB4FF5">
              <w:rPr>
                <w:b/>
                <w:sz w:val="22"/>
                <w:szCs w:val="22"/>
              </w:rPr>
              <w:t>SD</w:t>
            </w:r>
          </w:p>
        </w:tc>
        <w:tc>
          <w:tcPr>
            <w:tcW w:w="1602" w:type="dxa"/>
            <w:tcBorders>
              <w:top w:val="single" w:sz="4" w:space="0" w:color="000000"/>
              <w:left w:val="nil"/>
              <w:bottom w:val="single" w:sz="4" w:space="0" w:color="000000"/>
              <w:right w:val="nil"/>
            </w:tcBorders>
          </w:tcPr>
          <w:p w14:paraId="235DF48C" w14:textId="77777777" w:rsidR="00724C44" w:rsidRPr="00EB4FF5" w:rsidRDefault="00724C44" w:rsidP="00EB4FF5">
            <w:pPr>
              <w:spacing w:after="0" w:line="240" w:lineRule="auto"/>
              <w:jc w:val="both"/>
              <w:rPr>
                <w:sz w:val="22"/>
                <w:szCs w:val="22"/>
              </w:rPr>
            </w:pPr>
            <w:r w:rsidRPr="00EB4FF5">
              <w:rPr>
                <w:b/>
                <w:sz w:val="22"/>
                <w:szCs w:val="22"/>
              </w:rPr>
              <w:t>Interpretation</w:t>
            </w:r>
          </w:p>
        </w:tc>
      </w:tr>
      <w:tr w:rsidR="00724C44" w:rsidRPr="00724C44" w14:paraId="4D6381C8" w14:textId="77777777" w:rsidTr="00EB4FF5">
        <w:tc>
          <w:tcPr>
            <w:tcW w:w="1008" w:type="dxa"/>
            <w:tcBorders>
              <w:top w:val="nil"/>
              <w:left w:val="nil"/>
              <w:bottom w:val="nil"/>
              <w:right w:val="nil"/>
            </w:tcBorders>
          </w:tcPr>
          <w:p w14:paraId="252C323E" w14:textId="77777777" w:rsidR="00724C44" w:rsidRPr="00EB4FF5" w:rsidRDefault="00724C44" w:rsidP="00EB4FF5">
            <w:pPr>
              <w:spacing w:after="0" w:line="240" w:lineRule="auto"/>
              <w:jc w:val="both"/>
              <w:rPr>
                <w:sz w:val="22"/>
                <w:szCs w:val="22"/>
              </w:rPr>
            </w:pPr>
            <w:r w:rsidRPr="00EB4FF5">
              <w:rPr>
                <w:sz w:val="22"/>
                <w:szCs w:val="22"/>
              </w:rPr>
              <w:t>B2.1</w:t>
            </w:r>
          </w:p>
        </w:tc>
        <w:tc>
          <w:tcPr>
            <w:tcW w:w="5022" w:type="dxa"/>
            <w:tcBorders>
              <w:top w:val="nil"/>
              <w:left w:val="nil"/>
              <w:bottom w:val="nil"/>
              <w:right w:val="nil"/>
            </w:tcBorders>
          </w:tcPr>
          <w:p w14:paraId="2B9039AF" w14:textId="77777777" w:rsidR="00724C44" w:rsidRPr="00EB4FF5" w:rsidRDefault="00724C44" w:rsidP="00EB4FF5">
            <w:pPr>
              <w:spacing w:after="0" w:line="240" w:lineRule="auto"/>
              <w:jc w:val="both"/>
              <w:rPr>
                <w:sz w:val="22"/>
                <w:szCs w:val="22"/>
              </w:rPr>
            </w:pPr>
            <w:r w:rsidRPr="00EB4FF5">
              <w:rPr>
                <w:sz w:val="22"/>
                <w:szCs w:val="22"/>
              </w:rPr>
              <w:t>Our AI systems can predict future payroll expenses based on historical data</w:t>
            </w:r>
          </w:p>
        </w:tc>
        <w:tc>
          <w:tcPr>
            <w:tcW w:w="864" w:type="dxa"/>
            <w:tcBorders>
              <w:top w:val="nil"/>
              <w:left w:val="nil"/>
              <w:bottom w:val="nil"/>
              <w:right w:val="nil"/>
            </w:tcBorders>
          </w:tcPr>
          <w:p w14:paraId="5701BB26" w14:textId="77777777" w:rsidR="00724C44" w:rsidRPr="00EB4FF5" w:rsidRDefault="00724C44" w:rsidP="00EB4FF5">
            <w:pPr>
              <w:spacing w:after="0" w:line="240" w:lineRule="auto"/>
              <w:jc w:val="both"/>
              <w:rPr>
                <w:sz w:val="22"/>
                <w:szCs w:val="22"/>
              </w:rPr>
            </w:pPr>
            <w:r w:rsidRPr="00EB4FF5">
              <w:rPr>
                <w:sz w:val="22"/>
                <w:szCs w:val="22"/>
              </w:rPr>
              <w:t>5.47</w:t>
            </w:r>
          </w:p>
        </w:tc>
        <w:tc>
          <w:tcPr>
            <w:tcW w:w="864" w:type="dxa"/>
            <w:tcBorders>
              <w:top w:val="nil"/>
              <w:left w:val="nil"/>
              <w:bottom w:val="nil"/>
              <w:right w:val="nil"/>
            </w:tcBorders>
          </w:tcPr>
          <w:p w14:paraId="78759311" w14:textId="77777777" w:rsidR="00724C44" w:rsidRPr="00EB4FF5" w:rsidRDefault="00724C44" w:rsidP="00EB4FF5">
            <w:pPr>
              <w:spacing w:after="0" w:line="240" w:lineRule="auto"/>
              <w:jc w:val="both"/>
              <w:rPr>
                <w:sz w:val="22"/>
                <w:szCs w:val="22"/>
              </w:rPr>
            </w:pPr>
            <w:r w:rsidRPr="00EB4FF5">
              <w:rPr>
                <w:sz w:val="22"/>
                <w:szCs w:val="22"/>
              </w:rPr>
              <w:t>1.58</w:t>
            </w:r>
          </w:p>
        </w:tc>
        <w:tc>
          <w:tcPr>
            <w:tcW w:w="1602" w:type="dxa"/>
            <w:tcBorders>
              <w:top w:val="nil"/>
              <w:left w:val="nil"/>
              <w:bottom w:val="nil"/>
              <w:right w:val="nil"/>
            </w:tcBorders>
          </w:tcPr>
          <w:p w14:paraId="5197F374"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775E107C" w14:textId="77777777" w:rsidTr="00EB4FF5">
        <w:tc>
          <w:tcPr>
            <w:tcW w:w="1008" w:type="dxa"/>
            <w:tcBorders>
              <w:top w:val="nil"/>
              <w:left w:val="nil"/>
              <w:bottom w:val="nil"/>
              <w:right w:val="nil"/>
            </w:tcBorders>
          </w:tcPr>
          <w:p w14:paraId="7D76AAEC" w14:textId="77777777" w:rsidR="00724C44" w:rsidRPr="00EB4FF5" w:rsidRDefault="00724C44" w:rsidP="00EB4FF5">
            <w:pPr>
              <w:spacing w:after="0" w:line="240" w:lineRule="auto"/>
              <w:jc w:val="both"/>
              <w:rPr>
                <w:sz w:val="22"/>
                <w:szCs w:val="22"/>
              </w:rPr>
            </w:pPr>
            <w:r w:rsidRPr="00EB4FF5">
              <w:rPr>
                <w:sz w:val="22"/>
                <w:szCs w:val="22"/>
              </w:rPr>
              <w:t>B2.2</w:t>
            </w:r>
          </w:p>
        </w:tc>
        <w:tc>
          <w:tcPr>
            <w:tcW w:w="5022" w:type="dxa"/>
            <w:tcBorders>
              <w:top w:val="nil"/>
              <w:left w:val="nil"/>
              <w:bottom w:val="nil"/>
              <w:right w:val="nil"/>
            </w:tcBorders>
          </w:tcPr>
          <w:p w14:paraId="4C8814B2" w14:textId="77777777" w:rsidR="00724C44" w:rsidRPr="00EB4FF5" w:rsidRDefault="00724C44" w:rsidP="00EB4FF5">
            <w:pPr>
              <w:spacing w:after="0" w:line="240" w:lineRule="auto"/>
              <w:jc w:val="both"/>
              <w:rPr>
                <w:sz w:val="22"/>
                <w:szCs w:val="22"/>
              </w:rPr>
            </w:pPr>
            <w:r w:rsidRPr="00EB4FF5">
              <w:rPr>
                <w:sz w:val="22"/>
                <w:szCs w:val="22"/>
              </w:rPr>
              <w:t>We use AI analytics to identify compensation trends across departments and job levels</w:t>
            </w:r>
          </w:p>
        </w:tc>
        <w:tc>
          <w:tcPr>
            <w:tcW w:w="864" w:type="dxa"/>
            <w:tcBorders>
              <w:top w:val="nil"/>
              <w:left w:val="nil"/>
              <w:bottom w:val="nil"/>
              <w:right w:val="nil"/>
            </w:tcBorders>
          </w:tcPr>
          <w:p w14:paraId="1B8EDF56" w14:textId="77777777" w:rsidR="00724C44" w:rsidRPr="00EB4FF5" w:rsidRDefault="00724C44" w:rsidP="00EB4FF5">
            <w:pPr>
              <w:spacing w:after="0" w:line="240" w:lineRule="auto"/>
              <w:jc w:val="both"/>
              <w:rPr>
                <w:sz w:val="22"/>
                <w:szCs w:val="22"/>
              </w:rPr>
            </w:pPr>
            <w:r w:rsidRPr="00EB4FF5">
              <w:rPr>
                <w:sz w:val="22"/>
                <w:szCs w:val="22"/>
              </w:rPr>
              <w:t>5.24</w:t>
            </w:r>
          </w:p>
        </w:tc>
        <w:tc>
          <w:tcPr>
            <w:tcW w:w="864" w:type="dxa"/>
            <w:tcBorders>
              <w:top w:val="nil"/>
              <w:left w:val="nil"/>
              <w:bottom w:val="nil"/>
              <w:right w:val="nil"/>
            </w:tcBorders>
          </w:tcPr>
          <w:p w14:paraId="531AA495" w14:textId="77777777" w:rsidR="00724C44" w:rsidRPr="00EB4FF5" w:rsidRDefault="00724C44" w:rsidP="00EB4FF5">
            <w:pPr>
              <w:spacing w:after="0" w:line="240" w:lineRule="auto"/>
              <w:jc w:val="both"/>
              <w:rPr>
                <w:sz w:val="22"/>
                <w:szCs w:val="22"/>
              </w:rPr>
            </w:pPr>
            <w:r w:rsidRPr="00EB4FF5">
              <w:rPr>
                <w:sz w:val="22"/>
                <w:szCs w:val="22"/>
              </w:rPr>
              <w:t>1.58</w:t>
            </w:r>
          </w:p>
        </w:tc>
        <w:tc>
          <w:tcPr>
            <w:tcW w:w="1602" w:type="dxa"/>
            <w:tcBorders>
              <w:top w:val="nil"/>
              <w:left w:val="nil"/>
              <w:bottom w:val="nil"/>
              <w:right w:val="nil"/>
            </w:tcBorders>
          </w:tcPr>
          <w:p w14:paraId="4028C6C3"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32FC0167" w14:textId="77777777" w:rsidTr="00EB4FF5">
        <w:tc>
          <w:tcPr>
            <w:tcW w:w="1008" w:type="dxa"/>
            <w:tcBorders>
              <w:top w:val="nil"/>
              <w:left w:val="nil"/>
              <w:bottom w:val="nil"/>
              <w:right w:val="nil"/>
            </w:tcBorders>
          </w:tcPr>
          <w:p w14:paraId="6EAB6998" w14:textId="77777777" w:rsidR="00724C44" w:rsidRPr="00EB4FF5" w:rsidRDefault="00724C44" w:rsidP="00EB4FF5">
            <w:pPr>
              <w:spacing w:after="0" w:line="240" w:lineRule="auto"/>
              <w:jc w:val="both"/>
              <w:rPr>
                <w:sz w:val="22"/>
                <w:szCs w:val="22"/>
              </w:rPr>
            </w:pPr>
            <w:r w:rsidRPr="00EB4FF5">
              <w:rPr>
                <w:sz w:val="22"/>
                <w:szCs w:val="22"/>
              </w:rPr>
              <w:t>B2.3</w:t>
            </w:r>
          </w:p>
        </w:tc>
        <w:tc>
          <w:tcPr>
            <w:tcW w:w="5022" w:type="dxa"/>
            <w:tcBorders>
              <w:top w:val="nil"/>
              <w:left w:val="nil"/>
              <w:bottom w:val="nil"/>
              <w:right w:val="nil"/>
            </w:tcBorders>
          </w:tcPr>
          <w:p w14:paraId="40FED27F" w14:textId="77777777" w:rsidR="00724C44" w:rsidRPr="00EB4FF5" w:rsidRDefault="00724C44" w:rsidP="00EB4FF5">
            <w:pPr>
              <w:spacing w:after="0" w:line="240" w:lineRule="auto"/>
              <w:jc w:val="both"/>
              <w:rPr>
                <w:sz w:val="22"/>
                <w:szCs w:val="22"/>
              </w:rPr>
            </w:pPr>
            <w:r w:rsidRPr="00EB4FF5">
              <w:rPr>
                <w:sz w:val="22"/>
                <w:szCs w:val="22"/>
              </w:rPr>
              <w:t>Our systems provide real-time dashboards displaying workforce cost metrics</w:t>
            </w:r>
          </w:p>
        </w:tc>
        <w:tc>
          <w:tcPr>
            <w:tcW w:w="864" w:type="dxa"/>
            <w:tcBorders>
              <w:top w:val="nil"/>
              <w:left w:val="nil"/>
              <w:bottom w:val="nil"/>
              <w:right w:val="nil"/>
            </w:tcBorders>
          </w:tcPr>
          <w:p w14:paraId="0ADE29BB" w14:textId="77777777" w:rsidR="00724C44" w:rsidRPr="00EB4FF5" w:rsidRDefault="00724C44" w:rsidP="00EB4FF5">
            <w:pPr>
              <w:spacing w:after="0" w:line="240" w:lineRule="auto"/>
              <w:jc w:val="both"/>
              <w:rPr>
                <w:sz w:val="22"/>
                <w:szCs w:val="22"/>
              </w:rPr>
            </w:pPr>
            <w:r w:rsidRPr="00EB4FF5">
              <w:rPr>
                <w:sz w:val="22"/>
                <w:szCs w:val="22"/>
              </w:rPr>
              <w:t>5.17</w:t>
            </w:r>
          </w:p>
        </w:tc>
        <w:tc>
          <w:tcPr>
            <w:tcW w:w="864" w:type="dxa"/>
            <w:tcBorders>
              <w:top w:val="nil"/>
              <w:left w:val="nil"/>
              <w:bottom w:val="nil"/>
              <w:right w:val="nil"/>
            </w:tcBorders>
          </w:tcPr>
          <w:p w14:paraId="07F3AB60" w14:textId="77777777" w:rsidR="00724C44" w:rsidRPr="00EB4FF5" w:rsidRDefault="00724C44" w:rsidP="00EB4FF5">
            <w:pPr>
              <w:spacing w:after="0" w:line="240" w:lineRule="auto"/>
              <w:jc w:val="both"/>
              <w:rPr>
                <w:sz w:val="22"/>
                <w:szCs w:val="22"/>
              </w:rPr>
            </w:pPr>
            <w:r w:rsidRPr="00EB4FF5">
              <w:rPr>
                <w:sz w:val="22"/>
                <w:szCs w:val="22"/>
              </w:rPr>
              <w:t>1.71</w:t>
            </w:r>
          </w:p>
        </w:tc>
        <w:tc>
          <w:tcPr>
            <w:tcW w:w="1602" w:type="dxa"/>
            <w:tcBorders>
              <w:top w:val="nil"/>
              <w:left w:val="nil"/>
              <w:bottom w:val="nil"/>
              <w:right w:val="nil"/>
            </w:tcBorders>
          </w:tcPr>
          <w:p w14:paraId="2A023D72"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2A78B160" w14:textId="77777777" w:rsidTr="00EB4FF5">
        <w:tc>
          <w:tcPr>
            <w:tcW w:w="1008" w:type="dxa"/>
            <w:tcBorders>
              <w:top w:val="nil"/>
              <w:left w:val="nil"/>
              <w:bottom w:val="nil"/>
              <w:right w:val="nil"/>
            </w:tcBorders>
          </w:tcPr>
          <w:p w14:paraId="08CE8EBC" w14:textId="77777777" w:rsidR="00724C44" w:rsidRPr="00EB4FF5" w:rsidRDefault="00724C44" w:rsidP="00EB4FF5">
            <w:pPr>
              <w:spacing w:after="0" w:line="240" w:lineRule="auto"/>
              <w:jc w:val="both"/>
              <w:rPr>
                <w:sz w:val="22"/>
                <w:szCs w:val="22"/>
              </w:rPr>
            </w:pPr>
            <w:r w:rsidRPr="00EB4FF5">
              <w:rPr>
                <w:sz w:val="22"/>
                <w:szCs w:val="22"/>
              </w:rPr>
              <w:t>B2.4</w:t>
            </w:r>
          </w:p>
        </w:tc>
        <w:tc>
          <w:tcPr>
            <w:tcW w:w="5022" w:type="dxa"/>
            <w:tcBorders>
              <w:top w:val="nil"/>
              <w:left w:val="nil"/>
              <w:bottom w:val="nil"/>
              <w:right w:val="nil"/>
            </w:tcBorders>
          </w:tcPr>
          <w:p w14:paraId="77466C41" w14:textId="77777777" w:rsidR="00724C44" w:rsidRPr="00EB4FF5" w:rsidRDefault="00724C44" w:rsidP="00EB4FF5">
            <w:pPr>
              <w:spacing w:after="0" w:line="240" w:lineRule="auto"/>
              <w:jc w:val="both"/>
              <w:rPr>
                <w:sz w:val="22"/>
                <w:szCs w:val="22"/>
              </w:rPr>
            </w:pPr>
            <w:r w:rsidRPr="00EB4FF5">
              <w:rPr>
                <w:sz w:val="22"/>
                <w:szCs w:val="22"/>
              </w:rPr>
              <w:t>AI tools help us benchmark our compensation against market data</w:t>
            </w:r>
          </w:p>
        </w:tc>
        <w:tc>
          <w:tcPr>
            <w:tcW w:w="864" w:type="dxa"/>
            <w:tcBorders>
              <w:top w:val="nil"/>
              <w:left w:val="nil"/>
              <w:bottom w:val="nil"/>
              <w:right w:val="nil"/>
            </w:tcBorders>
          </w:tcPr>
          <w:p w14:paraId="63B3EF06" w14:textId="77777777" w:rsidR="00724C44" w:rsidRPr="00EB4FF5" w:rsidRDefault="00724C44" w:rsidP="00EB4FF5">
            <w:pPr>
              <w:spacing w:after="0" w:line="240" w:lineRule="auto"/>
              <w:jc w:val="both"/>
              <w:rPr>
                <w:sz w:val="22"/>
                <w:szCs w:val="22"/>
              </w:rPr>
            </w:pPr>
            <w:r w:rsidRPr="00EB4FF5">
              <w:rPr>
                <w:sz w:val="22"/>
                <w:szCs w:val="22"/>
              </w:rPr>
              <w:t>5.28</w:t>
            </w:r>
          </w:p>
        </w:tc>
        <w:tc>
          <w:tcPr>
            <w:tcW w:w="864" w:type="dxa"/>
            <w:tcBorders>
              <w:top w:val="nil"/>
              <w:left w:val="nil"/>
              <w:bottom w:val="nil"/>
              <w:right w:val="nil"/>
            </w:tcBorders>
          </w:tcPr>
          <w:p w14:paraId="08E5AB4D" w14:textId="77777777" w:rsidR="00724C44" w:rsidRPr="00EB4FF5" w:rsidRDefault="00724C44" w:rsidP="00EB4FF5">
            <w:pPr>
              <w:spacing w:after="0" w:line="240" w:lineRule="auto"/>
              <w:jc w:val="both"/>
              <w:rPr>
                <w:sz w:val="22"/>
                <w:szCs w:val="22"/>
              </w:rPr>
            </w:pPr>
            <w:r w:rsidRPr="00EB4FF5">
              <w:rPr>
                <w:sz w:val="22"/>
                <w:szCs w:val="22"/>
              </w:rPr>
              <w:t>1.71</w:t>
            </w:r>
          </w:p>
        </w:tc>
        <w:tc>
          <w:tcPr>
            <w:tcW w:w="1602" w:type="dxa"/>
            <w:tcBorders>
              <w:top w:val="nil"/>
              <w:left w:val="nil"/>
              <w:bottom w:val="nil"/>
              <w:right w:val="nil"/>
            </w:tcBorders>
          </w:tcPr>
          <w:p w14:paraId="6DE94E96"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11E9380F" w14:textId="77777777" w:rsidTr="00EB4FF5">
        <w:tc>
          <w:tcPr>
            <w:tcW w:w="1008" w:type="dxa"/>
            <w:tcBorders>
              <w:top w:val="nil"/>
              <w:left w:val="nil"/>
              <w:bottom w:val="nil"/>
              <w:right w:val="nil"/>
            </w:tcBorders>
          </w:tcPr>
          <w:p w14:paraId="73398477" w14:textId="77777777" w:rsidR="00724C44" w:rsidRPr="00EB4FF5" w:rsidRDefault="00724C44" w:rsidP="00EB4FF5">
            <w:pPr>
              <w:spacing w:after="0" w:line="240" w:lineRule="auto"/>
              <w:jc w:val="both"/>
              <w:rPr>
                <w:sz w:val="22"/>
                <w:szCs w:val="22"/>
              </w:rPr>
            </w:pPr>
            <w:r w:rsidRPr="00EB4FF5">
              <w:rPr>
                <w:sz w:val="22"/>
                <w:szCs w:val="22"/>
              </w:rPr>
              <w:t>B2.5</w:t>
            </w:r>
          </w:p>
        </w:tc>
        <w:tc>
          <w:tcPr>
            <w:tcW w:w="5022" w:type="dxa"/>
            <w:tcBorders>
              <w:top w:val="nil"/>
              <w:left w:val="nil"/>
              <w:bottom w:val="nil"/>
              <w:right w:val="nil"/>
            </w:tcBorders>
          </w:tcPr>
          <w:p w14:paraId="009BCC36" w14:textId="77777777" w:rsidR="00724C44" w:rsidRPr="00EB4FF5" w:rsidRDefault="00724C44" w:rsidP="00EB4FF5">
            <w:pPr>
              <w:spacing w:after="0" w:line="240" w:lineRule="auto"/>
              <w:jc w:val="both"/>
              <w:rPr>
                <w:sz w:val="22"/>
                <w:szCs w:val="22"/>
              </w:rPr>
            </w:pPr>
            <w:r w:rsidRPr="00EB4FF5">
              <w:rPr>
                <w:sz w:val="22"/>
                <w:szCs w:val="22"/>
              </w:rPr>
              <w:t>We use predictive analytics to forecast workforce planning needs</w:t>
            </w:r>
          </w:p>
        </w:tc>
        <w:tc>
          <w:tcPr>
            <w:tcW w:w="864" w:type="dxa"/>
            <w:tcBorders>
              <w:top w:val="nil"/>
              <w:left w:val="nil"/>
              <w:bottom w:val="nil"/>
              <w:right w:val="nil"/>
            </w:tcBorders>
          </w:tcPr>
          <w:p w14:paraId="73F5D435" w14:textId="77777777" w:rsidR="00724C44" w:rsidRPr="00EB4FF5" w:rsidRDefault="00724C44" w:rsidP="00EB4FF5">
            <w:pPr>
              <w:spacing w:after="0" w:line="240" w:lineRule="auto"/>
              <w:jc w:val="both"/>
              <w:rPr>
                <w:sz w:val="22"/>
                <w:szCs w:val="22"/>
              </w:rPr>
            </w:pPr>
            <w:r w:rsidRPr="00EB4FF5">
              <w:rPr>
                <w:sz w:val="22"/>
                <w:szCs w:val="22"/>
              </w:rPr>
              <w:t>5.08</w:t>
            </w:r>
          </w:p>
        </w:tc>
        <w:tc>
          <w:tcPr>
            <w:tcW w:w="864" w:type="dxa"/>
            <w:tcBorders>
              <w:top w:val="nil"/>
              <w:left w:val="nil"/>
              <w:bottom w:val="nil"/>
              <w:right w:val="nil"/>
            </w:tcBorders>
          </w:tcPr>
          <w:p w14:paraId="38DAF5FC" w14:textId="77777777" w:rsidR="00724C44" w:rsidRPr="00EB4FF5" w:rsidRDefault="00724C44" w:rsidP="00EB4FF5">
            <w:pPr>
              <w:spacing w:after="0" w:line="240" w:lineRule="auto"/>
              <w:jc w:val="both"/>
              <w:rPr>
                <w:sz w:val="22"/>
                <w:szCs w:val="22"/>
              </w:rPr>
            </w:pPr>
            <w:r w:rsidRPr="00EB4FF5">
              <w:rPr>
                <w:sz w:val="22"/>
                <w:szCs w:val="22"/>
              </w:rPr>
              <w:t>1.74</w:t>
            </w:r>
          </w:p>
        </w:tc>
        <w:tc>
          <w:tcPr>
            <w:tcW w:w="1602" w:type="dxa"/>
            <w:tcBorders>
              <w:top w:val="nil"/>
              <w:left w:val="nil"/>
              <w:bottom w:val="nil"/>
              <w:right w:val="nil"/>
            </w:tcBorders>
          </w:tcPr>
          <w:p w14:paraId="431B85CF"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417F29C0" w14:textId="77777777" w:rsidTr="00EB4FF5">
        <w:tc>
          <w:tcPr>
            <w:tcW w:w="1008" w:type="dxa"/>
            <w:tcBorders>
              <w:top w:val="nil"/>
              <w:left w:val="nil"/>
              <w:bottom w:val="nil"/>
              <w:right w:val="nil"/>
            </w:tcBorders>
          </w:tcPr>
          <w:p w14:paraId="3B185378" w14:textId="77777777" w:rsidR="00724C44" w:rsidRPr="00EB4FF5" w:rsidRDefault="00724C44" w:rsidP="00EB4FF5">
            <w:pPr>
              <w:spacing w:after="0" w:line="240" w:lineRule="auto"/>
              <w:jc w:val="both"/>
              <w:rPr>
                <w:sz w:val="22"/>
                <w:szCs w:val="22"/>
              </w:rPr>
            </w:pPr>
            <w:r w:rsidRPr="00EB4FF5">
              <w:rPr>
                <w:sz w:val="22"/>
                <w:szCs w:val="22"/>
              </w:rPr>
              <w:t>B2.6</w:t>
            </w:r>
          </w:p>
        </w:tc>
        <w:tc>
          <w:tcPr>
            <w:tcW w:w="5022" w:type="dxa"/>
            <w:tcBorders>
              <w:top w:val="nil"/>
              <w:left w:val="nil"/>
              <w:bottom w:val="nil"/>
              <w:right w:val="nil"/>
            </w:tcBorders>
          </w:tcPr>
          <w:p w14:paraId="2F46E907" w14:textId="77777777" w:rsidR="00724C44" w:rsidRPr="00EB4FF5" w:rsidRDefault="00724C44" w:rsidP="00EB4FF5">
            <w:pPr>
              <w:spacing w:after="0" w:line="240" w:lineRule="auto"/>
              <w:jc w:val="both"/>
              <w:rPr>
                <w:sz w:val="22"/>
                <w:szCs w:val="22"/>
              </w:rPr>
            </w:pPr>
            <w:r w:rsidRPr="00EB4FF5">
              <w:rPr>
                <w:sz w:val="22"/>
                <w:szCs w:val="22"/>
              </w:rPr>
              <w:t>Our AI systems can model different compensation scenarios and their financial impacts</w:t>
            </w:r>
          </w:p>
        </w:tc>
        <w:tc>
          <w:tcPr>
            <w:tcW w:w="864" w:type="dxa"/>
            <w:tcBorders>
              <w:top w:val="nil"/>
              <w:left w:val="nil"/>
              <w:bottom w:val="nil"/>
              <w:right w:val="nil"/>
            </w:tcBorders>
          </w:tcPr>
          <w:p w14:paraId="4E66817E" w14:textId="77777777" w:rsidR="00724C44" w:rsidRPr="00EB4FF5" w:rsidRDefault="00724C44" w:rsidP="00EB4FF5">
            <w:pPr>
              <w:spacing w:after="0" w:line="240" w:lineRule="auto"/>
              <w:jc w:val="both"/>
              <w:rPr>
                <w:sz w:val="22"/>
                <w:szCs w:val="22"/>
              </w:rPr>
            </w:pPr>
            <w:r w:rsidRPr="00EB4FF5">
              <w:rPr>
                <w:sz w:val="22"/>
                <w:szCs w:val="22"/>
              </w:rPr>
              <w:t>5.34</w:t>
            </w:r>
          </w:p>
        </w:tc>
        <w:tc>
          <w:tcPr>
            <w:tcW w:w="864" w:type="dxa"/>
            <w:tcBorders>
              <w:top w:val="nil"/>
              <w:left w:val="nil"/>
              <w:bottom w:val="nil"/>
              <w:right w:val="nil"/>
            </w:tcBorders>
          </w:tcPr>
          <w:p w14:paraId="4D829158" w14:textId="77777777" w:rsidR="00724C44" w:rsidRPr="00EB4FF5" w:rsidRDefault="00724C44" w:rsidP="00EB4FF5">
            <w:pPr>
              <w:spacing w:after="0" w:line="240" w:lineRule="auto"/>
              <w:jc w:val="both"/>
              <w:rPr>
                <w:sz w:val="22"/>
                <w:szCs w:val="22"/>
              </w:rPr>
            </w:pPr>
            <w:r w:rsidRPr="00EB4FF5">
              <w:rPr>
                <w:sz w:val="22"/>
                <w:szCs w:val="22"/>
              </w:rPr>
              <w:t>1.51</w:t>
            </w:r>
          </w:p>
        </w:tc>
        <w:tc>
          <w:tcPr>
            <w:tcW w:w="1602" w:type="dxa"/>
            <w:tcBorders>
              <w:top w:val="nil"/>
              <w:left w:val="nil"/>
              <w:bottom w:val="nil"/>
              <w:right w:val="nil"/>
            </w:tcBorders>
          </w:tcPr>
          <w:p w14:paraId="250EBD41"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345324C6" w14:textId="77777777" w:rsidTr="00EB4FF5">
        <w:tc>
          <w:tcPr>
            <w:tcW w:w="1008" w:type="dxa"/>
            <w:tcBorders>
              <w:top w:val="nil"/>
              <w:left w:val="nil"/>
              <w:bottom w:val="single" w:sz="4" w:space="0" w:color="000000"/>
              <w:right w:val="nil"/>
            </w:tcBorders>
          </w:tcPr>
          <w:p w14:paraId="46717B00" w14:textId="77777777" w:rsidR="00724C44" w:rsidRPr="00EB4FF5" w:rsidRDefault="00724C44" w:rsidP="00EB4FF5">
            <w:pPr>
              <w:spacing w:after="0" w:line="240" w:lineRule="auto"/>
              <w:jc w:val="both"/>
              <w:rPr>
                <w:sz w:val="22"/>
                <w:szCs w:val="22"/>
              </w:rPr>
            </w:pPr>
          </w:p>
        </w:tc>
        <w:tc>
          <w:tcPr>
            <w:tcW w:w="5022" w:type="dxa"/>
            <w:tcBorders>
              <w:top w:val="nil"/>
              <w:left w:val="nil"/>
              <w:bottom w:val="single" w:sz="4" w:space="0" w:color="000000"/>
              <w:right w:val="nil"/>
            </w:tcBorders>
          </w:tcPr>
          <w:p w14:paraId="0A887716" w14:textId="77777777" w:rsidR="00724C44" w:rsidRPr="00EB4FF5" w:rsidRDefault="00724C44" w:rsidP="00EB4FF5">
            <w:pPr>
              <w:spacing w:after="0" w:line="240" w:lineRule="auto"/>
              <w:jc w:val="both"/>
              <w:rPr>
                <w:sz w:val="22"/>
                <w:szCs w:val="22"/>
              </w:rPr>
            </w:pPr>
            <w:r w:rsidRPr="00EB4FF5">
              <w:rPr>
                <w:sz w:val="22"/>
                <w:szCs w:val="22"/>
              </w:rPr>
              <w:t>Construct Mean (B2)</w:t>
            </w:r>
          </w:p>
        </w:tc>
        <w:tc>
          <w:tcPr>
            <w:tcW w:w="864" w:type="dxa"/>
            <w:tcBorders>
              <w:top w:val="nil"/>
              <w:left w:val="nil"/>
              <w:bottom w:val="single" w:sz="4" w:space="0" w:color="000000"/>
              <w:right w:val="nil"/>
            </w:tcBorders>
          </w:tcPr>
          <w:p w14:paraId="304D306E" w14:textId="77777777" w:rsidR="00724C44" w:rsidRPr="00EB4FF5" w:rsidRDefault="00724C44" w:rsidP="00EB4FF5">
            <w:pPr>
              <w:spacing w:after="0" w:line="240" w:lineRule="auto"/>
              <w:jc w:val="both"/>
              <w:rPr>
                <w:sz w:val="22"/>
                <w:szCs w:val="22"/>
              </w:rPr>
            </w:pPr>
            <w:r w:rsidRPr="00EB4FF5">
              <w:rPr>
                <w:sz w:val="22"/>
                <w:szCs w:val="22"/>
              </w:rPr>
              <w:t>5.26</w:t>
            </w:r>
          </w:p>
        </w:tc>
        <w:tc>
          <w:tcPr>
            <w:tcW w:w="864" w:type="dxa"/>
            <w:tcBorders>
              <w:top w:val="nil"/>
              <w:left w:val="nil"/>
              <w:bottom w:val="single" w:sz="4" w:space="0" w:color="000000"/>
              <w:right w:val="nil"/>
            </w:tcBorders>
          </w:tcPr>
          <w:p w14:paraId="1C47B099" w14:textId="77777777" w:rsidR="00724C44" w:rsidRPr="00EB4FF5" w:rsidRDefault="00724C44" w:rsidP="00EB4FF5">
            <w:pPr>
              <w:spacing w:after="0" w:line="240" w:lineRule="auto"/>
              <w:jc w:val="both"/>
              <w:rPr>
                <w:sz w:val="22"/>
                <w:szCs w:val="22"/>
              </w:rPr>
            </w:pPr>
            <w:r w:rsidRPr="00EB4FF5">
              <w:rPr>
                <w:sz w:val="22"/>
                <w:szCs w:val="22"/>
              </w:rPr>
              <w:t>0.69</w:t>
            </w:r>
          </w:p>
        </w:tc>
        <w:tc>
          <w:tcPr>
            <w:tcW w:w="1602" w:type="dxa"/>
            <w:tcBorders>
              <w:top w:val="nil"/>
              <w:left w:val="nil"/>
              <w:bottom w:val="single" w:sz="4" w:space="0" w:color="000000"/>
              <w:right w:val="nil"/>
            </w:tcBorders>
          </w:tcPr>
          <w:p w14:paraId="054E9FBF" w14:textId="77777777" w:rsidR="00724C44" w:rsidRPr="00EB4FF5" w:rsidRDefault="00724C44" w:rsidP="00EB4FF5">
            <w:pPr>
              <w:spacing w:after="0" w:line="240" w:lineRule="auto"/>
              <w:jc w:val="both"/>
              <w:rPr>
                <w:sz w:val="22"/>
                <w:szCs w:val="22"/>
              </w:rPr>
            </w:pPr>
            <w:r w:rsidRPr="00EB4FF5">
              <w:rPr>
                <w:sz w:val="22"/>
                <w:szCs w:val="22"/>
              </w:rPr>
              <w:t>High</w:t>
            </w:r>
          </w:p>
        </w:tc>
      </w:tr>
    </w:tbl>
    <w:p w14:paraId="74B69738" w14:textId="77777777" w:rsidR="00724C44" w:rsidRPr="00EB4FF5" w:rsidRDefault="00724C44" w:rsidP="00724C44">
      <w:pPr>
        <w:spacing w:line="240" w:lineRule="auto"/>
        <w:jc w:val="both"/>
        <w:rPr>
          <w:i/>
          <w:sz w:val="22"/>
          <w:szCs w:val="22"/>
        </w:rPr>
      </w:pPr>
      <w:r w:rsidRPr="00EB4FF5">
        <w:rPr>
          <w:i/>
          <w:sz w:val="22"/>
          <w:szCs w:val="22"/>
        </w:rPr>
        <w:t>Note. Scale: 1 = Strongly Disagree, 7 = Strongly Agree.</w:t>
      </w:r>
    </w:p>
    <w:p w14:paraId="1BD430A3" w14:textId="77777777" w:rsidR="00724C44" w:rsidRPr="00724C44" w:rsidRDefault="00724C44" w:rsidP="00724C44">
      <w:pPr>
        <w:spacing w:line="240" w:lineRule="auto"/>
        <w:jc w:val="both"/>
      </w:pPr>
      <w:r w:rsidRPr="00724C44">
        <w:t xml:space="preserve">AI analytical capabilities demonstrate consistently high adoption levels across all items, with the </w:t>
      </w:r>
      <w:proofErr w:type="gramStart"/>
      <w:r w:rsidRPr="00724C44">
        <w:t>construct</w:t>
      </w:r>
      <w:proofErr w:type="gramEnd"/>
      <w:r w:rsidRPr="00724C44">
        <w:t xml:space="preserve"> mean of 5.26 indicating strong implementation of analytical tools. Predictive expense forecasting (B2.1, M = 5.47) and compensation scenario modeling (B2.6, M = 5.34) show the </w:t>
      </w:r>
      <w:r w:rsidRPr="00724C44">
        <w:lastRenderedPageBreak/>
        <w:t>highest adoption, reflecting the strategic value organizations place on workforce cost planning capabilities.</w:t>
      </w:r>
    </w:p>
    <w:p w14:paraId="365AA945" w14:textId="77777777" w:rsidR="00724C44" w:rsidRPr="00724C44" w:rsidRDefault="00724C44" w:rsidP="00724C44">
      <w:pPr>
        <w:spacing w:line="240" w:lineRule="auto"/>
        <w:jc w:val="both"/>
      </w:pPr>
      <w:r w:rsidRPr="00724C44">
        <w:t>The uniformly high scores across analytical capabilities (all items above 5.0) suggest that once organizations invest in AI compensation systems, they actively leverage analytical features for decision support. Such consistent and comprehensive utilization contrasts with the more selective adoption pattern observed in technology implementation, indicating that analytical capabilities may be perceived as delivering clearer return on investment.</w:t>
      </w:r>
    </w:p>
    <w:p w14:paraId="4F1C7D8E" w14:textId="77777777" w:rsidR="00724C44" w:rsidRPr="00724C44" w:rsidRDefault="00724C44" w:rsidP="00724C44">
      <w:pPr>
        <w:spacing w:line="240" w:lineRule="auto"/>
        <w:jc w:val="both"/>
      </w:pPr>
      <w:r w:rsidRPr="00724C44">
        <w:rPr>
          <w:b/>
        </w:rPr>
        <w:t>4.4.3 AI Compliance Capabilities (B3)</w:t>
      </w:r>
    </w:p>
    <w:p w14:paraId="130980FD" w14:textId="77777777" w:rsidR="00724C44" w:rsidRPr="00724C44" w:rsidRDefault="00724C44" w:rsidP="00724C44">
      <w:pPr>
        <w:spacing w:line="240" w:lineRule="auto"/>
        <w:jc w:val="both"/>
      </w:pPr>
      <w:r w:rsidRPr="00724C44">
        <w:t>The AI Compliance Capabilities subscale assessed the use of AI systems for regulatory compliance, pay equity monitoring, and fraud detection. Table 4.6 presents the descriptive statistics for these six items.</w:t>
      </w:r>
    </w:p>
    <w:p w14:paraId="6EA61990" w14:textId="77777777" w:rsidR="00724C44" w:rsidRPr="00724C44" w:rsidRDefault="00724C44" w:rsidP="00724C44">
      <w:pPr>
        <w:spacing w:line="240" w:lineRule="auto"/>
        <w:jc w:val="both"/>
      </w:pPr>
      <w:r w:rsidRPr="00724C44">
        <w:rPr>
          <w:b/>
        </w:rPr>
        <w:t>Table 4.6</w:t>
      </w:r>
    </w:p>
    <w:p w14:paraId="752F973B" w14:textId="77777777" w:rsidR="00724C44" w:rsidRPr="0023718D" w:rsidRDefault="00724C44" w:rsidP="00724C44">
      <w:pPr>
        <w:spacing w:line="240" w:lineRule="auto"/>
        <w:jc w:val="both"/>
        <w:rPr>
          <w:i/>
        </w:rPr>
      </w:pPr>
      <w:r w:rsidRPr="0023718D">
        <w:rPr>
          <w:i/>
        </w:rPr>
        <w:t>AI Compliance Capabilities – Descriptive Statistics (n = 400)</w:t>
      </w:r>
    </w:p>
    <w:tbl>
      <w:tblPr>
        <w:tblW w:w="9270" w:type="dxa"/>
        <w:tblLayout w:type="fixed"/>
        <w:tblLook w:val="04A0" w:firstRow="1" w:lastRow="0" w:firstColumn="1" w:lastColumn="0" w:noHBand="0" w:noVBand="1"/>
      </w:tblPr>
      <w:tblGrid>
        <w:gridCol w:w="720"/>
        <w:gridCol w:w="5220"/>
        <w:gridCol w:w="864"/>
        <w:gridCol w:w="864"/>
        <w:gridCol w:w="1602"/>
      </w:tblGrid>
      <w:tr w:rsidR="00724C44" w:rsidRPr="00724C44" w14:paraId="74969EA7" w14:textId="77777777" w:rsidTr="00EB4FF5">
        <w:tc>
          <w:tcPr>
            <w:tcW w:w="720" w:type="dxa"/>
            <w:tcBorders>
              <w:top w:val="single" w:sz="4" w:space="0" w:color="000000"/>
              <w:left w:val="nil"/>
              <w:bottom w:val="single" w:sz="4" w:space="0" w:color="000000"/>
              <w:right w:val="nil"/>
            </w:tcBorders>
          </w:tcPr>
          <w:p w14:paraId="3DC99E42" w14:textId="77777777" w:rsidR="00724C44" w:rsidRPr="00EB4FF5" w:rsidRDefault="00724C44" w:rsidP="00EB4FF5">
            <w:pPr>
              <w:spacing w:after="0" w:line="240" w:lineRule="auto"/>
              <w:jc w:val="both"/>
              <w:rPr>
                <w:sz w:val="22"/>
                <w:szCs w:val="22"/>
              </w:rPr>
            </w:pPr>
            <w:r w:rsidRPr="00EB4FF5">
              <w:rPr>
                <w:b/>
                <w:sz w:val="22"/>
                <w:szCs w:val="22"/>
              </w:rPr>
              <w:t>Item</w:t>
            </w:r>
          </w:p>
        </w:tc>
        <w:tc>
          <w:tcPr>
            <w:tcW w:w="5220" w:type="dxa"/>
            <w:tcBorders>
              <w:top w:val="single" w:sz="4" w:space="0" w:color="000000"/>
              <w:left w:val="nil"/>
              <w:bottom w:val="single" w:sz="4" w:space="0" w:color="000000"/>
              <w:right w:val="nil"/>
            </w:tcBorders>
          </w:tcPr>
          <w:p w14:paraId="7AC90C23" w14:textId="77777777" w:rsidR="00724C44" w:rsidRPr="00EB4FF5" w:rsidRDefault="00724C44" w:rsidP="00EB4FF5">
            <w:pPr>
              <w:spacing w:after="0" w:line="240" w:lineRule="auto"/>
              <w:jc w:val="both"/>
              <w:rPr>
                <w:sz w:val="22"/>
                <w:szCs w:val="22"/>
              </w:rPr>
            </w:pPr>
            <w:r w:rsidRPr="00EB4FF5">
              <w:rPr>
                <w:b/>
                <w:sz w:val="22"/>
                <w:szCs w:val="22"/>
              </w:rPr>
              <w:t>Statement</w:t>
            </w:r>
          </w:p>
        </w:tc>
        <w:tc>
          <w:tcPr>
            <w:tcW w:w="864" w:type="dxa"/>
            <w:tcBorders>
              <w:top w:val="single" w:sz="4" w:space="0" w:color="000000"/>
              <w:left w:val="nil"/>
              <w:bottom w:val="single" w:sz="4" w:space="0" w:color="000000"/>
              <w:right w:val="nil"/>
            </w:tcBorders>
          </w:tcPr>
          <w:p w14:paraId="0DE38378" w14:textId="77777777" w:rsidR="00724C44" w:rsidRPr="00EB4FF5" w:rsidRDefault="00724C44" w:rsidP="00EB4FF5">
            <w:pPr>
              <w:spacing w:after="0" w:line="240" w:lineRule="auto"/>
              <w:jc w:val="both"/>
              <w:rPr>
                <w:sz w:val="22"/>
                <w:szCs w:val="22"/>
              </w:rPr>
            </w:pPr>
            <w:r w:rsidRPr="00EB4FF5">
              <w:rPr>
                <w:b/>
                <w:sz w:val="22"/>
                <w:szCs w:val="22"/>
              </w:rPr>
              <w:t>M</w:t>
            </w:r>
          </w:p>
        </w:tc>
        <w:tc>
          <w:tcPr>
            <w:tcW w:w="864" w:type="dxa"/>
            <w:tcBorders>
              <w:top w:val="single" w:sz="4" w:space="0" w:color="000000"/>
              <w:left w:val="nil"/>
              <w:bottom w:val="single" w:sz="4" w:space="0" w:color="000000"/>
              <w:right w:val="nil"/>
            </w:tcBorders>
          </w:tcPr>
          <w:p w14:paraId="6C3743AB" w14:textId="77777777" w:rsidR="00724C44" w:rsidRPr="00EB4FF5" w:rsidRDefault="00724C44" w:rsidP="00EB4FF5">
            <w:pPr>
              <w:spacing w:after="0" w:line="240" w:lineRule="auto"/>
              <w:jc w:val="both"/>
              <w:rPr>
                <w:sz w:val="22"/>
                <w:szCs w:val="22"/>
              </w:rPr>
            </w:pPr>
            <w:r w:rsidRPr="00EB4FF5">
              <w:rPr>
                <w:b/>
                <w:sz w:val="22"/>
                <w:szCs w:val="22"/>
              </w:rPr>
              <w:t>SD</w:t>
            </w:r>
          </w:p>
        </w:tc>
        <w:tc>
          <w:tcPr>
            <w:tcW w:w="1602" w:type="dxa"/>
            <w:tcBorders>
              <w:top w:val="single" w:sz="4" w:space="0" w:color="000000"/>
              <w:left w:val="nil"/>
              <w:bottom w:val="single" w:sz="4" w:space="0" w:color="000000"/>
              <w:right w:val="nil"/>
            </w:tcBorders>
          </w:tcPr>
          <w:p w14:paraId="1F2BF65A" w14:textId="77777777" w:rsidR="00724C44" w:rsidRPr="00EB4FF5" w:rsidRDefault="00724C44" w:rsidP="00EB4FF5">
            <w:pPr>
              <w:spacing w:after="0" w:line="240" w:lineRule="auto"/>
              <w:jc w:val="both"/>
              <w:rPr>
                <w:sz w:val="22"/>
                <w:szCs w:val="22"/>
              </w:rPr>
            </w:pPr>
            <w:r w:rsidRPr="00EB4FF5">
              <w:rPr>
                <w:b/>
                <w:sz w:val="22"/>
                <w:szCs w:val="22"/>
              </w:rPr>
              <w:t>Interpretation</w:t>
            </w:r>
          </w:p>
        </w:tc>
      </w:tr>
      <w:tr w:rsidR="00724C44" w:rsidRPr="00724C44" w14:paraId="21FD7B43" w14:textId="77777777" w:rsidTr="00EB4FF5">
        <w:tc>
          <w:tcPr>
            <w:tcW w:w="720" w:type="dxa"/>
            <w:tcBorders>
              <w:top w:val="nil"/>
              <w:left w:val="nil"/>
              <w:bottom w:val="nil"/>
              <w:right w:val="nil"/>
            </w:tcBorders>
          </w:tcPr>
          <w:p w14:paraId="51516334" w14:textId="77777777" w:rsidR="00724C44" w:rsidRPr="00EB4FF5" w:rsidRDefault="00724C44" w:rsidP="00EB4FF5">
            <w:pPr>
              <w:spacing w:after="0" w:line="240" w:lineRule="auto"/>
              <w:jc w:val="both"/>
              <w:rPr>
                <w:sz w:val="22"/>
                <w:szCs w:val="22"/>
              </w:rPr>
            </w:pPr>
            <w:r w:rsidRPr="00EB4FF5">
              <w:rPr>
                <w:sz w:val="22"/>
                <w:szCs w:val="22"/>
              </w:rPr>
              <w:t>B3.1</w:t>
            </w:r>
          </w:p>
        </w:tc>
        <w:tc>
          <w:tcPr>
            <w:tcW w:w="5220" w:type="dxa"/>
            <w:tcBorders>
              <w:top w:val="nil"/>
              <w:left w:val="nil"/>
              <w:bottom w:val="nil"/>
              <w:right w:val="nil"/>
            </w:tcBorders>
          </w:tcPr>
          <w:p w14:paraId="3A57A984" w14:textId="77777777" w:rsidR="00724C44" w:rsidRPr="00EB4FF5" w:rsidRDefault="00724C44" w:rsidP="00EB4FF5">
            <w:pPr>
              <w:spacing w:after="0" w:line="240" w:lineRule="auto"/>
              <w:jc w:val="both"/>
              <w:rPr>
                <w:sz w:val="22"/>
                <w:szCs w:val="22"/>
              </w:rPr>
            </w:pPr>
            <w:r w:rsidRPr="00EB4FF5">
              <w:rPr>
                <w:sz w:val="22"/>
                <w:szCs w:val="22"/>
              </w:rPr>
              <w:t>Our AI systems automatically monitor changes in labor regulations and tax laws</w:t>
            </w:r>
          </w:p>
        </w:tc>
        <w:tc>
          <w:tcPr>
            <w:tcW w:w="864" w:type="dxa"/>
            <w:tcBorders>
              <w:top w:val="nil"/>
              <w:left w:val="nil"/>
              <w:bottom w:val="nil"/>
              <w:right w:val="nil"/>
            </w:tcBorders>
          </w:tcPr>
          <w:p w14:paraId="500F0ECF" w14:textId="77777777" w:rsidR="00724C44" w:rsidRPr="00EB4FF5" w:rsidRDefault="00724C44" w:rsidP="00EB4FF5">
            <w:pPr>
              <w:spacing w:after="0" w:line="240" w:lineRule="auto"/>
              <w:jc w:val="both"/>
              <w:rPr>
                <w:sz w:val="22"/>
                <w:szCs w:val="22"/>
              </w:rPr>
            </w:pPr>
            <w:r w:rsidRPr="00EB4FF5">
              <w:rPr>
                <w:sz w:val="22"/>
                <w:szCs w:val="22"/>
              </w:rPr>
              <w:t>3.51</w:t>
            </w:r>
          </w:p>
        </w:tc>
        <w:tc>
          <w:tcPr>
            <w:tcW w:w="864" w:type="dxa"/>
            <w:tcBorders>
              <w:top w:val="nil"/>
              <w:left w:val="nil"/>
              <w:bottom w:val="nil"/>
              <w:right w:val="nil"/>
            </w:tcBorders>
          </w:tcPr>
          <w:p w14:paraId="6CB7FD94" w14:textId="77777777" w:rsidR="00724C44" w:rsidRPr="00EB4FF5" w:rsidRDefault="00724C44" w:rsidP="00EB4FF5">
            <w:pPr>
              <w:spacing w:after="0" w:line="240" w:lineRule="auto"/>
              <w:jc w:val="both"/>
              <w:rPr>
                <w:sz w:val="22"/>
                <w:szCs w:val="22"/>
              </w:rPr>
            </w:pPr>
            <w:r w:rsidRPr="00EB4FF5">
              <w:rPr>
                <w:sz w:val="22"/>
                <w:szCs w:val="22"/>
              </w:rPr>
              <w:t>1.66</w:t>
            </w:r>
          </w:p>
        </w:tc>
        <w:tc>
          <w:tcPr>
            <w:tcW w:w="1602" w:type="dxa"/>
            <w:tcBorders>
              <w:top w:val="nil"/>
              <w:left w:val="nil"/>
              <w:bottom w:val="nil"/>
              <w:right w:val="nil"/>
            </w:tcBorders>
          </w:tcPr>
          <w:p w14:paraId="6988038F" w14:textId="77777777" w:rsidR="00724C44" w:rsidRPr="00EB4FF5" w:rsidRDefault="00724C44" w:rsidP="00EB4FF5">
            <w:pPr>
              <w:spacing w:after="0" w:line="240" w:lineRule="auto"/>
              <w:jc w:val="both"/>
              <w:rPr>
                <w:sz w:val="22"/>
                <w:szCs w:val="22"/>
              </w:rPr>
            </w:pPr>
            <w:r w:rsidRPr="00EB4FF5">
              <w:rPr>
                <w:sz w:val="22"/>
                <w:szCs w:val="22"/>
              </w:rPr>
              <w:t>Moderate</w:t>
            </w:r>
          </w:p>
        </w:tc>
      </w:tr>
      <w:tr w:rsidR="00724C44" w:rsidRPr="00724C44" w14:paraId="44578489" w14:textId="77777777" w:rsidTr="00EB4FF5">
        <w:tc>
          <w:tcPr>
            <w:tcW w:w="720" w:type="dxa"/>
            <w:tcBorders>
              <w:top w:val="nil"/>
              <w:left w:val="nil"/>
              <w:bottom w:val="nil"/>
              <w:right w:val="nil"/>
            </w:tcBorders>
          </w:tcPr>
          <w:p w14:paraId="146E8BEA" w14:textId="77777777" w:rsidR="00724C44" w:rsidRPr="00EB4FF5" w:rsidRDefault="00724C44" w:rsidP="00EB4FF5">
            <w:pPr>
              <w:spacing w:after="0" w:line="240" w:lineRule="auto"/>
              <w:jc w:val="both"/>
              <w:rPr>
                <w:sz w:val="22"/>
                <w:szCs w:val="22"/>
              </w:rPr>
            </w:pPr>
            <w:r w:rsidRPr="00EB4FF5">
              <w:rPr>
                <w:sz w:val="22"/>
                <w:szCs w:val="22"/>
              </w:rPr>
              <w:t>B3.2</w:t>
            </w:r>
          </w:p>
        </w:tc>
        <w:tc>
          <w:tcPr>
            <w:tcW w:w="5220" w:type="dxa"/>
            <w:tcBorders>
              <w:top w:val="nil"/>
              <w:left w:val="nil"/>
              <w:bottom w:val="nil"/>
              <w:right w:val="nil"/>
            </w:tcBorders>
          </w:tcPr>
          <w:p w14:paraId="6FFA49ED" w14:textId="77777777" w:rsidR="00724C44" w:rsidRPr="00EB4FF5" w:rsidRDefault="00724C44" w:rsidP="00EB4FF5">
            <w:pPr>
              <w:spacing w:after="0" w:line="240" w:lineRule="auto"/>
              <w:jc w:val="both"/>
              <w:rPr>
                <w:sz w:val="22"/>
                <w:szCs w:val="22"/>
              </w:rPr>
            </w:pPr>
            <w:r w:rsidRPr="00EB4FF5">
              <w:rPr>
                <w:sz w:val="22"/>
                <w:szCs w:val="22"/>
              </w:rPr>
              <w:t>We use automated systems to ensure compliance with minimum wage requirements</w:t>
            </w:r>
          </w:p>
        </w:tc>
        <w:tc>
          <w:tcPr>
            <w:tcW w:w="864" w:type="dxa"/>
            <w:tcBorders>
              <w:top w:val="nil"/>
              <w:left w:val="nil"/>
              <w:bottom w:val="nil"/>
              <w:right w:val="nil"/>
            </w:tcBorders>
          </w:tcPr>
          <w:p w14:paraId="6FF2F298" w14:textId="77777777" w:rsidR="00724C44" w:rsidRPr="00EB4FF5" w:rsidRDefault="00724C44" w:rsidP="00EB4FF5">
            <w:pPr>
              <w:spacing w:after="0" w:line="240" w:lineRule="auto"/>
              <w:jc w:val="both"/>
              <w:rPr>
                <w:sz w:val="22"/>
                <w:szCs w:val="22"/>
              </w:rPr>
            </w:pPr>
            <w:r w:rsidRPr="00EB4FF5">
              <w:rPr>
                <w:sz w:val="22"/>
                <w:szCs w:val="22"/>
              </w:rPr>
              <w:t>4.19</w:t>
            </w:r>
          </w:p>
        </w:tc>
        <w:tc>
          <w:tcPr>
            <w:tcW w:w="864" w:type="dxa"/>
            <w:tcBorders>
              <w:top w:val="nil"/>
              <w:left w:val="nil"/>
              <w:bottom w:val="nil"/>
              <w:right w:val="nil"/>
            </w:tcBorders>
          </w:tcPr>
          <w:p w14:paraId="5651A7D4" w14:textId="77777777" w:rsidR="00724C44" w:rsidRPr="00EB4FF5" w:rsidRDefault="00724C44" w:rsidP="00EB4FF5">
            <w:pPr>
              <w:spacing w:after="0" w:line="240" w:lineRule="auto"/>
              <w:jc w:val="both"/>
              <w:rPr>
                <w:sz w:val="22"/>
                <w:szCs w:val="22"/>
              </w:rPr>
            </w:pPr>
            <w:r w:rsidRPr="00EB4FF5">
              <w:rPr>
                <w:sz w:val="22"/>
                <w:szCs w:val="22"/>
              </w:rPr>
              <w:t>1.29</w:t>
            </w:r>
          </w:p>
        </w:tc>
        <w:tc>
          <w:tcPr>
            <w:tcW w:w="1602" w:type="dxa"/>
            <w:tcBorders>
              <w:top w:val="nil"/>
              <w:left w:val="nil"/>
              <w:bottom w:val="nil"/>
              <w:right w:val="nil"/>
            </w:tcBorders>
          </w:tcPr>
          <w:p w14:paraId="15A05E8A" w14:textId="77777777" w:rsidR="00724C44" w:rsidRPr="00EB4FF5" w:rsidRDefault="00724C44" w:rsidP="00EB4FF5">
            <w:pPr>
              <w:spacing w:after="0" w:line="240" w:lineRule="auto"/>
              <w:jc w:val="both"/>
              <w:rPr>
                <w:sz w:val="22"/>
                <w:szCs w:val="22"/>
              </w:rPr>
            </w:pPr>
            <w:r w:rsidRPr="00EB4FF5">
              <w:rPr>
                <w:sz w:val="22"/>
                <w:szCs w:val="22"/>
              </w:rPr>
              <w:t>Moderate-High</w:t>
            </w:r>
          </w:p>
        </w:tc>
      </w:tr>
      <w:tr w:rsidR="00724C44" w:rsidRPr="00724C44" w14:paraId="0447403A" w14:textId="77777777" w:rsidTr="00EB4FF5">
        <w:tc>
          <w:tcPr>
            <w:tcW w:w="720" w:type="dxa"/>
            <w:tcBorders>
              <w:top w:val="nil"/>
              <w:left w:val="nil"/>
              <w:bottom w:val="nil"/>
              <w:right w:val="nil"/>
            </w:tcBorders>
          </w:tcPr>
          <w:p w14:paraId="6C8462A5" w14:textId="77777777" w:rsidR="00724C44" w:rsidRPr="00EB4FF5" w:rsidRDefault="00724C44" w:rsidP="00EB4FF5">
            <w:pPr>
              <w:spacing w:after="0" w:line="240" w:lineRule="auto"/>
              <w:jc w:val="both"/>
              <w:rPr>
                <w:sz w:val="22"/>
                <w:szCs w:val="22"/>
              </w:rPr>
            </w:pPr>
            <w:r w:rsidRPr="00EB4FF5">
              <w:rPr>
                <w:sz w:val="22"/>
                <w:szCs w:val="22"/>
              </w:rPr>
              <w:t>B3.3</w:t>
            </w:r>
          </w:p>
        </w:tc>
        <w:tc>
          <w:tcPr>
            <w:tcW w:w="5220" w:type="dxa"/>
            <w:tcBorders>
              <w:top w:val="nil"/>
              <w:left w:val="nil"/>
              <w:bottom w:val="nil"/>
              <w:right w:val="nil"/>
            </w:tcBorders>
          </w:tcPr>
          <w:p w14:paraId="2DC93CD8" w14:textId="77777777" w:rsidR="00724C44" w:rsidRPr="00EB4FF5" w:rsidRDefault="00724C44" w:rsidP="00EB4FF5">
            <w:pPr>
              <w:spacing w:after="0" w:line="240" w:lineRule="auto"/>
              <w:jc w:val="both"/>
              <w:rPr>
                <w:sz w:val="22"/>
                <w:szCs w:val="22"/>
              </w:rPr>
            </w:pPr>
            <w:r w:rsidRPr="00EB4FF5">
              <w:rPr>
                <w:sz w:val="22"/>
                <w:szCs w:val="22"/>
              </w:rPr>
              <w:t>AI tools help identify potential pay equity issues across employee groups</w:t>
            </w:r>
          </w:p>
        </w:tc>
        <w:tc>
          <w:tcPr>
            <w:tcW w:w="864" w:type="dxa"/>
            <w:tcBorders>
              <w:top w:val="nil"/>
              <w:left w:val="nil"/>
              <w:bottom w:val="nil"/>
              <w:right w:val="nil"/>
            </w:tcBorders>
          </w:tcPr>
          <w:p w14:paraId="1C2FE956" w14:textId="77777777" w:rsidR="00724C44" w:rsidRPr="00EB4FF5" w:rsidRDefault="00724C44" w:rsidP="00EB4FF5">
            <w:pPr>
              <w:spacing w:after="0" w:line="240" w:lineRule="auto"/>
              <w:jc w:val="both"/>
              <w:rPr>
                <w:sz w:val="22"/>
                <w:szCs w:val="22"/>
              </w:rPr>
            </w:pPr>
            <w:r w:rsidRPr="00EB4FF5">
              <w:rPr>
                <w:sz w:val="22"/>
                <w:szCs w:val="22"/>
              </w:rPr>
              <w:t>4.94</w:t>
            </w:r>
          </w:p>
        </w:tc>
        <w:tc>
          <w:tcPr>
            <w:tcW w:w="864" w:type="dxa"/>
            <w:tcBorders>
              <w:top w:val="nil"/>
              <w:left w:val="nil"/>
              <w:bottom w:val="nil"/>
              <w:right w:val="nil"/>
            </w:tcBorders>
          </w:tcPr>
          <w:p w14:paraId="75174AED" w14:textId="77777777" w:rsidR="00724C44" w:rsidRPr="00EB4FF5" w:rsidRDefault="00724C44" w:rsidP="00EB4FF5">
            <w:pPr>
              <w:spacing w:after="0" w:line="240" w:lineRule="auto"/>
              <w:jc w:val="both"/>
              <w:rPr>
                <w:sz w:val="22"/>
                <w:szCs w:val="22"/>
              </w:rPr>
            </w:pPr>
            <w:r w:rsidRPr="00EB4FF5">
              <w:rPr>
                <w:sz w:val="22"/>
                <w:szCs w:val="22"/>
              </w:rPr>
              <w:t>1.34</w:t>
            </w:r>
          </w:p>
        </w:tc>
        <w:tc>
          <w:tcPr>
            <w:tcW w:w="1602" w:type="dxa"/>
            <w:tcBorders>
              <w:top w:val="nil"/>
              <w:left w:val="nil"/>
              <w:bottom w:val="nil"/>
              <w:right w:val="nil"/>
            </w:tcBorders>
          </w:tcPr>
          <w:p w14:paraId="19A25944" w14:textId="77777777" w:rsidR="00724C44" w:rsidRPr="00EB4FF5" w:rsidRDefault="00724C44" w:rsidP="00EB4FF5">
            <w:pPr>
              <w:spacing w:after="0" w:line="240" w:lineRule="auto"/>
              <w:jc w:val="both"/>
              <w:rPr>
                <w:sz w:val="22"/>
                <w:szCs w:val="22"/>
              </w:rPr>
            </w:pPr>
            <w:r w:rsidRPr="00EB4FF5">
              <w:rPr>
                <w:sz w:val="22"/>
                <w:szCs w:val="22"/>
              </w:rPr>
              <w:t>Moderate-High</w:t>
            </w:r>
          </w:p>
        </w:tc>
      </w:tr>
      <w:tr w:rsidR="00724C44" w:rsidRPr="00724C44" w14:paraId="03C18C43" w14:textId="77777777" w:rsidTr="00EB4FF5">
        <w:tc>
          <w:tcPr>
            <w:tcW w:w="720" w:type="dxa"/>
            <w:tcBorders>
              <w:top w:val="nil"/>
              <w:left w:val="nil"/>
              <w:bottom w:val="nil"/>
              <w:right w:val="nil"/>
            </w:tcBorders>
          </w:tcPr>
          <w:p w14:paraId="3C779F3A" w14:textId="77777777" w:rsidR="00724C44" w:rsidRPr="00EB4FF5" w:rsidRDefault="00724C44" w:rsidP="00EB4FF5">
            <w:pPr>
              <w:spacing w:after="0" w:line="240" w:lineRule="auto"/>
              <w:jc w:val="both"/>
              <w:rPr>
                <w:sz w:val="22"/>
                <w:szCs w:val="22"/>
              </w:rPr>
            </w:pPr>
            <w:r w:rsidRPr="00EB4FF5">
              <w:rPr>
                <w:sz w:val="22"/>
                <w:szCs w:val="22"/>
              </w:rPr>
              <w:t>B3.4</w:t>
            </w:r>
          </w:p>
        </w:tc>
        <w:tc>
          <w:tcPr>
            <w:tcW w:w="5220" w:type="dxa"/>
            <w:tcBorders>
              <w:top w:val="nil"/>
              <w:left w:val="nil"/>
              <w:bottom w:val="nil"/>
              <w:right w:val="nil"/>
            </w:tcBorders>
          </w:tcPr>
          <w:p w14:paraId="542449B6" w14:textId="77777777" w:rsidR="00724C44" w:rsidRPr="00EB4FF5" w:rsidRDefault="00724C44" w:rsidP="00EB4FF5">
            <w:pPr>
              <w:spacing w:after="0" w:line="240" w:lineRule="auto"/>
              <w:jc w:val="both"/>
              <w:rPr>
                <w:sz w:val="22"/>
                <w:szCs w:val="22"/>
              </w:rPr>
            </w:pPr>
            <w:r w:rsidRPr="00EB4FF5">
              <w:rPr>
                <w:sz w:val="22"/>
                <w:szCs w:val="22"/>
              </w:rPr>
              <w:t>Our systems automatically flag unusual payroll transactions for review</w:t>
            </w:r>
          </w:p>
        </w:tc>
        <w:tc>
          <w:tcPr>
            <w:tcW w:w="864" w:type="dxa"/>
            <w:tcBorders>
              <w:top w:val="nil"/>
              <w:left w:val="nil"/>
              <w:bottom w:val="nil"/>
              <w:right w:val="nil"/>
            </w:tcBorders>
          </w:tcPr>
          <w:p w14:paraId="0F2CBC90" w14:textId="77777777" w:rsidR="00724C44" w:rsidRPr="00EB4FF5" w:rsidRDefault="00724C44" w:rsidP="00EB4FF5">
            <w:pPr>
              <w:spacing w:after="0" w:line="240" w:lineRule="auto"/>
              <w:jc w:val="both"/>
              <w:rPr>
                <w:sz w:val="22"/>
                <w:szCs w:val="22"/>
              </w:rPr>
            </w:pPr>
            <w:r w:rsidRPr="00EB4FF5">
              <w:rPr>
                <w:sz w:val="22"/>
                <w:szCs w:val="22"/>
              </w:rPr>
              <w:t>5.04</w:t>
            </w:r>
          </w:p>
        </w:tc>
        <w:tc>
          <w:tcPr>
            <w:tcW w:w="864" w:type="dxa"/>
            <w:tcBorders>
              <w:top w:val="nil"/>
              <w:left w:val="nil"/>
              <w:bottom w:val="nil"/>
              <w:right w:val="nil"/>
            </w:tcBorders>
          </w:tcPr>
          <w:p w14:paraId="424A93F0" w14:textId="77777777" w:rsidR="00724C44" w:rsidRPr="00EB4FF5" w:rsidRDefault="00724C44" w:rsidP="00EB4FF5">
            <w:pPr>
              <w:spacing w:after="0" w:line="240" w:lineRule="auto"/>
              <w:jc w:val="both"/>
              <w:rPr>
                <w:sz w:val="22"/>
                <w:szCs w:val="22"/>
              </w:rPr>
            </w:pPr>
            <w:r w:rsidRPr="00EB4FF5">
              <w:rPr>
                <w:sz w:val="22"/>
                <w:szCs w:val="22"/>
              </w:rPr>
              <w:t>1.60</w:t>
            </w:r>
          </w:p>
        </w:tc>
        <w:tc>
          <w:tcPr>
            <w:tcW w:w="1602" w:type="dxa"/>
            <w:tcBorders>
              <w:top w:val="nil"/>
              <w:left w:val="nil"/>
              <w:bottom w:val="nil"/>
              <w:right w:val="nil"/>
            </w:tcBorders>
          </w:tcPr>
          <w:p w14:paraId="421A3DCC"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1397F236" w14:textId="77777777" w:rsidTr="00EB4FF5">
        <w:tc>
          <w:tcPr>
            <w:tcW w:w="720" w:type="dxa"/>
            <w:tcBorders>
              <w:top w:val="nil"/>
              <w:left w:val="nil"/>
              <w:bottom w:val="nil"/>
              <w:right w:val="nil"/>
            </w:tcBorders>
          </w:tcPr>
          <w:p w14:paraId="332E8EF4" w14:textId="77777777" w:rsidR="00724C44" w:rsidRPr="00EB4FF5" w:rsidRDefault="00724C44" w:rsidP="00EB4FF5">
            <w:pPr>
              <w:spacing w:after="0" w:line="240" w:lineRule="auto"/>
              <w:jc w:val="both"/>
              <w:rPr>
                <w:sz w:val="22"/>
                <w:szCs w:val="22"/>
              </w:rPr>
            </w:pPr>
            <w:r w:rsidRPr="00EB4FF5">
              <w:rPr>
                <w:sz w:val="22"/>
                <w:szCs w:val="22"/>
              </w:rPr>
              <w:t>B3.5</w:t>
            </w:r>
          </w:p>
        </w:tc>
        <w:tc>
          <w:tcPr>
            <w:tcW w:w="5220" w:type="dxa"/>
            <w:tcBorders>
              <w:top w:val="nil"/>
              <w:left w:val="nil"/>
              <w:bottom w:val="nil"/>
              <w:right w:val="nil"/>
            </w:tcBorders>
          </w:tcPr>
          <w:p w14:paraId="1C2EEB5A" w14:textId="77777777" w:rsidR="00724C44" w:rsidRPr="00EB4FF5" w:rsidRDefault="00724C44" w:rsidP="00EB4FF5">
            <w:pPr>
              <w:spacing w:after="0" w:line="240" w:lineRule="auto"/>
              <w:jc w:val="both"/>
              <w:rPr>
                <w:sz w:val="22"/>
                <w:szCs w:val="22"/>
              </w:rPr>
            </w:pPr>
            <w:r w:rsidRPr="00EB4FF5">
              <w:rPr>
                <w:sz w:val="22"/>
                <w:szCs w:val="22"/>
              </w:rPr>
              <w:t>We use AI-powered fraud detection for payroll-related activities</w:t>
            </w:r>
          </w:p>
        </w:tc>
        <w:tc>
          <w:tcPr>
            <w:tcW w:w="864" w:type="dxa"/>
            <w:tcBorders>
              <w:top w:val="nil"/>
              <w:left w:val="nil"/>
              <w:bottom w:val="nil"/>
              <w:right w:val="nil"/>
            </w:tcBorders>
          </w:tcPr>
          <w:p w14:paraId="4F07A4D3" w14:textId="77777777" w:rsidR="00724C44" w:rsidRPr="00EB4FF5" w:rsidRDefault="00724C44" w:rsidP="00EB4FF5">
            <w:pPr>
              <w:spacing w:after="0" w:line="240" w:lineRule="auto"/>
              <w:jc w:val="both"/>
              <w:rPr>
                <w:sz w:val="22"/>
                <w:szCs w:val="22"/>
              </w:rPr>
            </w:pPr>
            <w:r w:rsidRPr="00EB4FF5">
              <w:rPr>
                <w:sz w:val="22"/>
                <w:szCs w:val="22"/>
              </w:rPr>
              <w:t>5.31</w:t>
            </w:r>
          </w:p>
        </w:tc>
        <w:tc>
          <w:tcPr>
            <w:tcW w:w="864" w:type="dxa"/>
            <w:tcBorders>
              <w:top w:val="nil"/>
              <w:left w:val="nil"/>
              <w:bottom w:val="nil"/>
              <w:right w:val="nil"/>
            </w:tcBorders>
          </w:tcPr>
          <w:p w14:paraId="734B1747" w14:textId="77777777" w:rsidR="00724C44" w:rsidRPr="00EB4FF5" w:rsidRDefault="00724C44" w:rsidP="00EB4FF5">
            <w:pPr>
              <w:spacing w:after="0" w:line="240" w:lineRule="auto"/>
              <w:jc w:val="both"/>
              <w:rPr>
                <w:sz w:val="22"/>
                <w:szCs w:val="22"/>
              </w:rPr>
            </w:pPr>
            <w:r w:rsidRPr="00EB4FF5">
              <w:rPr>
                <w:sz w:val="22"/>
                <w:szCs w:val="22"/>
              </w:rPr>
              <w:t>1.55</w:t>
            </w:r>
          </w:p>
        </w:tc>
        <w:tc>
          <w:tcPr>
            <w:tcW w:w="1602" w:type="dxa"/>
            <w:tcBorders>
              <w:top w:val="nil"/>
              <w:left w:val="nil"/>
              <w:bottom w:val="nil"/>
              <w:right w:val="nil"/>
            </w:tcBorders>
          </w:tcPr>
          <w:p w14:paraId="22C8FCD3" w14:textId="77777777" w:rsidR="00724C44" w:rsidRPr="00EB4FF5" w:rsidRDefault="00724C44" w:rsidP="00EB4FF5">
            <w:pPr>
              <w:spacing w:after="0" w:line="240" w:lineRule="auto"/>
              <w:jc w:val="both"/>
              <w:rPr>
                <w:sz w:val="22"/>
                <w:szCs w:val="22"/>
              </w:rPr>
            </w:pPr>
            <w:r w:rsidRPr="00EB4FF5">
              <w:rPr>
                <w:sz w:val="22"/>
                <w:szCs w:val="22"/>
              </w:rPr>
              <w:t>High</w:t>
            </w:r>
          </w:p>
        </w:tc>
      </w:tr>
      <w:tr w:rsidR="00724C44" w:rsidRPr="00724C44" w14:paraId="070392BD" w14:textId="77777777" w:rsidTr="00EB4FF5">
        <w:tc>
          <w:tcPr>
            <w:tcW w:w="720" w:type="dxa"/>
            <w:tcBorders>
              <w:top w:val="nil"/>
              <w:left w:val="nil"/>
              <w:bottom w:val="nil"/>
              <w:right w:val="nil"/>
            </w:tcBorders>
          </w:tcPr>
          <w:p w14:paraId="4733C700" w14:textId="77777777" w:rsidR="00724C44" w:rsidRPr="00EB4FF5" w:rsidRDefault="00724C44" w:rsidP="00EB4FF5">
            <w:pPr>
              <w:spacing w:after="0" w:line="240" w:lineRule="auto"/>
              <w:jc w:val="both"/>
              <w:rPr>
                <w:sz w:val="22"/>
                <w:szCs w:val="22"/>
              </w:rPr>
            </w:pPr>
            <w:r w:rsidRPr="00EB4FF5">
              <w:rPr>
                <w:sz w:val="22"/>
                <w:szCs w:val="22"/>
              </w:rPr>
              <w:t>B3.6</w:t>
            </w:r>
          </w:p>
        </w:tc>
        <w:tc>
          <w:tcPr>
            <w:tcW w:w="5220" w:type="dxa"/>
            <w:tcBorders>
              <w:top w:val="nil"/>
              <w:left w:val="nil"/>
              <w:bottom w:val="nil"/>
              <w:right w:val="nil"/>
            </w:tcBorders>
          </w:tcPr>
          <w:p w14:paraId="28662C7C" w14:textId="77777777" w:rsidR="00724C44" w:rsidRPr="00EB4FF5" w:rsidRDefault="00724C44" w:rsidP="00EB4FF5">
            <w:pPr>
              <w:spacing w:after="0" w:line="240" w:lineRule="auto"/>
              <w:jc w:val="both"/>
              <w:rPr>
                <w:sz w:val="22"/>
                <w:szCs w:val="22"/>
              </w:rPr>
            </w:pPr>
            <w:r w:rsidRPr="00EB4FF5">
              <w:rPr>
                <w:sz w:val="22"/>
                <w:szCs w:val="22"/>
              </w:rPr>
              <w:t>Our compliance monitoring covers multiple jurisdictions and regulatory frameworks</w:t>
            </w:r>
          </w:p>
        </w:tc>
        <w:tc>
          <w:tcPr>
            <w:tcW w:w="864" w:type="dxa"/>
            <w:tcBorders>
              <w:top w:val="nil"/>
              <w:left w:val="nil"/>
              <w:bottom w:val="nil"/>
              <w:right w:val="nil"/>
            </w:tcBorders>
          </w:tcPr>
          <w:p w14:paraId="72C55095" w14:textId="77777777" w:rsidR="00724C44" w:rsidRPr="00EB4FF5" w:rsidRDefault="00724C44" w:rsidP="00EB4FF5">
            <w:pPr>
              <w:spacing w:after="0" w:line="240" w:lineRule="auto"/>
              <w:jc w:val="both"/>
              <w:rPr>
                <w:sz w:val="22"/>
                <w:szCs w:val="22"/>
              </w:rPr>
            </w:pPr>
            <w:r w:rsidRPr="00EB4FF5">
              <w:rPr>
                <w:sz w:val="22"/>
                <w:szCs w:val="22"/>
              </w:rPr>
              <w:t>3.24</w:t>
            </w:r>
          </w:p>
        </w:tc>
        <w:tc>
          <w:tcPr>
            <w:tcW w:w="864" w:type="dxa"/>
            <w:tcBorders>
              <w:top w:val="nil"/>
              <w:left w:val="nil"/>
              <w:bottom w:val="nil"/>
              <w:right w:val="nil"/>
            </w:tcBorders>
          </w:tcPr>
          <w:p w14:paraId="16B16588" w14:textId="77777777" w:rsidR="00724C44" w:rsidRPr="00EB4FF5" w:rsidRDefault="00724C44" w:rsidP="00EB4FF5">
            <w:pPr>
              <w:spacing w:after="0" w:line="240" w:lineRule="auto"/>
              <w:jc w:val="both"/>
              <w:rPr>
                <w:sz w:val="22"/>
                <w:szCs w:val="22"/>
              </w:rPr>
            </w:pPr>
            <w:r w:rsidRPr="00EB4FF5">
              <w:rPr>
                <w:sz w:val="22"/>
                <w:szCs w:val="22"/>
              </w:rPr>
              <w:t>1.39</w:t>
            </w:r>
          </w:p>
        </w:tc>
        <w:tc>
          <w:tcPr>
            <w:tcW w:w="1602" w:type="dxa"/>
            <w:tcBorders>
              <w:top w:val="nil"/>
              <w:left w:val="nil"/>
              <w:bottom w:val="nil"/>
              <w:right w:val="nil"/>
            </w:tcBorders>
          </w:tcPr>
          <w:p w14:paraId="2E90E08F" w14:textId="77777777" w:rsidR="00724C44" w:rsidRPr="00EB4FF5" w:rsidRDefault="00724C44" w:rsidP="00EB4FF5">
            <w:pPr>
              <w:spacing w:after="0" w:line="240" w:lineRule="auto"/>
              <w:jc w:val="both"/>
              <w:rPr>
                <w:sz w:val="22"/>
                <w:szCs w:val="22"/>
              </w:rPr>
            </w:pPr>
            <w:r w:rsidRPr="00EB4FF5">
              <w:rPr>
                <w:sz w:val="22"/>
                <w:szCs w:val="22"/>
              </w:rPr>
              <w:t>Moderate</w:t>
            </w:r>
          </w:p>
        </w:tc>
      </w:tr>
      <w:tr w:rsidR="00724C44" w:rsidRPr="00724C44" w14:paraId="5DB35F4F" w14:textId="77777777" w:rsidTr="00EB4FF5">
        <w:tc>
          <w:tcPr>
            <w:tcW w:w="720" w:type="dxa"/>
            <w:tcBorders>
              <w:top w:val="nil"/>
              <w:left w:val="nil"/>
              <w:bottom w:val="single" w:sz="4" w:space="0" w:color="000000"/>
              <w:right w:val="nil"/>
            </w:tcBorders>
          </w:tcPr>
          <w:p w14:paraId="2F210666" w14:textId="77777777" w:rsidR="00724C44" w:rsidRPr="00EB4FF5" w:rsidRDefault="00724C44" w:rsidP="00EB4FF5">
            <w:pPr>
              <w:spacing w:after="0" w:line="240" w:lineRule="auto"/>
              <w:jc w:val="both"/>
              <w:rPr>
                <w:sz w:val="22"/>
                <w:szCs w:val="22"/>
              </w:rPr>
            </w:pPr>
          </w:p>
        </w:tc>
        <w:tc>
          <w:tcPr>
            <w:tcW w:w="5220" w:type="dxa"/>
            <w:tcBorders>
              <w:top w:val="nil"/>
              <w:left w:val="nil"/>
              <w:bottom w:val="single" w:sz="4" w:space="0" w:color="000000"/>
              <w:right w:val="nil"/>
            </w:tcBorders>
          </w:tcPr>
          <w:p w14:paraId="20FF3134" w14:textId="77777777" w:rsidR="00724C44" w:rsidRPr="00EB4FF5" w:rsidRDefault="00724C44" w:rsidP="00EB4FF5">
            <w:pPr>
              <w:spacing w:after="0" w:line="240" w:lineRule="auto"/>
              <w:jc w:val="both"/>
              <w:rPr>
                <w:sz w:val="22"/>
                <w:szCs w:val="22"/>
              </w:rPr>
            </w:pPr>
            <w:r w:rsidRPr="00EB4FF5">
              <w:rPr>
                <w:sz w:val="22"/>
                <w:szCs w:val="22"/>
              </w:rPr>
              <w:t>Construct Mean (B3)</w:t>
            </w:r>
          </w:p>
        </w:tc>
        <w:tc>
          <w:tcPr>
            <w:tcW w:w="864" w:type="dxa"/>
            <w:tcBorders>
              <w:top w:val="nil"/>
              <w:left w:val="nil"/>
              <w:bottom w:val="single" w:sz="4" w:space="0" w:color="000000"/>
              <w:right w:val="nil"/>
            </w:tcBorders>
          </w:tcPr>
          <w:p w14:paraId="790F4991" w14:textId="77777777" w:rsidR="00724C44" w:rsidRPr="00EB4FF5" w:rsidRDefault="00724C44" w:rsidP="00EB4FF5">
            <w:pPr>
              <w:spacing w:after="0" w:line="240" w:lineRule="auto"/>
              <w:jc w:val="both"/>
              <w:rPr>
                <w:sz w:val="22"/>
                <w:szCs w:val="22"/>
              </w:rPr>
            </w:pPr>
            <w:r w:rsidRPr="00EB4FF5">
              <w:rPr>
                <w:sz w:val="22"/>
                <w:szCs w:val="22"/>
              </w:rPr>
              <w:t>4.37</w:t>
            </w:r>
          </w:p>
        </w:tc>
        <w:tc>
          <w:tcPr>
            <w:tcW w:w="864" w:type="dxa"/>
            <w:tcBorders>
              <w:top w:val="nil"/>
              <w:left w:val="nil"/>
              <w:bottom w:val="single" w:sz="4" w:space="0" w:color="000000"/>
              <w:right w:val="nil"/>
            </w:tcBorders>
          </w:tcPr>
          <w:p w14:paraId="5A8629EC" w14:textId="77777777" w:rsidR="00724C44" w:rsidRPr="00EB4FF5" w:rsidRDefault="00724C44" w:rsidP="00EB4FF5">
            <w:pPr>
              <w:spacing w:after="0" w:line="240" w:lineRule="auto"/>
              <w:jc w:val="both"/>
              <w:rPr>
                <w:sz w:val="22"/>
                <w:szCs w:val="22"/>
              </w:rPr>
            </w:pPr>
            <w:r w:rsidRPr="00EB4FF5">
              <w:rPr>
                <w:sz w:val="22"/>
                <w:szCs w:val="22"/>
              </w:rPr>
              <w:t>0.65</w:t>
            </w:r>
          </w:p>
        </w:tc>
        <w:tc>
          <w:tcPr>
            <w:tcW w:w="1602" w:type="dxa"/>
            <w:tcBorders>
              <w:top w:val="nil"/>
              <w:left w:val="nil"/>
              <w:bottom w:val="single" w:sz="4" w:space="0" w:color="000000"/>
              <w:right w:val="nil"/>
            </w:tcBorders>
          </w:tcPr>
          <w:p w14:paraId="68033273" w14:textId="77777777" w:rsidR="00724C44" w:rsidRPr="00EB4FF5" w:rsidRDefault="00724C44" w:rsidP="00EB4FF5">
            <w:pPr>
              <w:spacing w:after="0" w:line="240" w:lineRule="auto"/>
              <w:jc w:val="both"/>
              <w:rPr>
                <w:sz w:val="22"/>
                <w:szCs w:val="22"/>
              </w:rPr>
            </w:pPr>
            <w:r w:rsidRPr="00EB4FF5">
              <w:rPr>
                <w:sz w:val="22"/>
                <w:szCs w:val="22"/>
              </w:rPr>
              <w:t>Moderate-High</w:t>
            </w:r>
          </w:p>
        </w:tc>
      </w:tr>
    </w:tbl>
    <w:p w14:paraId="455C4B5E" w14:textId="77777777" w:rsidR="00724C44" w:rsidRPr="0023718D" w:rsidRDefault="00724C44" w:rsidP="00724C44">
      <w:pPr>
        <w:spacing w:line="240" w:lineRule="auto"/>
        <w:jc w:val="both"/>
        <w:rPr>
          <w:i/>
          <w:sz w:val="22"/>
          <w:szCs w:val="22"/>
        </w:rPr>
      </w:pPr>
      <w:r w:rsidRPr="0023718D">
        <w:rPr>
          <w:i/>
          <w:sz w:val="22"/>
          <w:szCs w:val="22"/>
        </w:rPr>
        <w:t>Note. Scale: 1 = Strongly Disagree, 7 = Strongly Agree.</w:t>
      </w:r>
    </w:p>
    <w:p w14:paraId="00C41DAF" w14:textId="77777777" w:rsidR="00724C44" w:rsidRPr="00724C44" w:rsidRDefault="00724C44" w:rsidP="00724C44">
      <w:pPr>
        <w:spacing w:line="240" w:lineRule="auto"/>
        <w:jc w:val="both"/>
      </w:pPr>
      <w:r w:rsidRPr="00724C44">
        <w:t>Compliance capabilities show a moderate-high overall adoption level (M = 4.37), with notable variation across specific functions. AI-powered fraud detection (B3.5, M = 5.31) and transaction flagging (B3.4, M = 5.04) demonstrate strong implementation, likely reflecting organizational priorities for financial controls. Pay equity identification (B3.3, M = 4.94) shows moderate to high adoption, suggesting growing attention to equity concerns.</w:t>
      </w:r>
    </w:p>
    <w:p w14:paraId="7EB36F74" w14:textId="77777777" w:rsidR="00724C44" w:rsidRPr="00724C44" w:rsidRDefault="00724C44" w:rsidP="00724C44">
      <w:pPr>
        <w:spacing w:line="240" w:lineRule="auto"/>
        <w:jc w:val="both"/>
      </w:pPr>
      <w:r w:rsidRPr="00724C44">
        <w:t>However, automated regulatory monitoring (B3.1, M = 3.51) and multi-jurisdiction compliance (B3.6, M = 3.24) remain underdeveloped, representing potential vulnerability areas. These findings suggest that while organizations utilize AI for internal compliance controls, external regulatory monitoring capabilities require further development.</w:t>
      </w:r>
    </w:p>
    <w:p w14:paraId="44C7ADC7" w14:textId="77777777" w:rsidR="00724C44" w:rsidRPr="00724C44" w:rsidRDefault="00724C44" w:rsidP="00724C44">
      <w:pPr>
        <w:spacing w:line="240" w:lineRule="auto"/>
        <w:jc w:val="both"/>
      </w:pPr>
      <w:r w:rsidRPr="00724C44">
        <w:rPr>
          <w:b/>
        </w:rPr>
        <w:t>4.4.4 AI Data Output Capabilities (B4)</w:t>
      </w:r>
    </w:p>
    <w:p w14:paraId="3B627B3E" w14:textId="77777777" w:rsidR="00724C44" w:rsidRPr="00724C44" w:rsidRDefault="00724C44" w:rsidP="00724C44">
      <w:pPr>
        <w:spacing w:line="240" w:lineRule="auto"/>
        <w:jc w:val="both"/>
      </w:pPr>
      <w:r w:rsidRPr="00724C44">
        <w:t>The AI Data Output Capabilities subscale measured the quality and comprehensiveness of reports and documentation generated by AI compensation systems. Table 4.7 presents the descriptive statistics for these six items.</w:t>
      </w:r>
    </w:p>
    <w:p w14:paraId="4C1ECC18" w14:textId="77777777" w:rsidR="00724C44" w:rsidRPr="00724C44" w:rsidRDefault="00724C44" w:rsidP="00724C44">
      <w:pPr>
        <w:spacing w:line="240" w:lineRule="auto"/>
        <w:jc w:val="both"/>
      </w:pPr>
      <w:r w:rsidRPr="00724C44">
        <w:rPr>
          <w:b/>
        </w:rPr>
        <w:lastRenderedPageBreak/>
        <w:t>Table 4.7</w:t>
      </w:r>
    </w:p>
    <w:p w14:paraId="54889500" w14:textId="77777777" w:rsidR="00724C44" w:rsidRPr="0023718D" w:rsidRDefault="00724C44" w:rsidP="00724C44">
      <w:pPr>
        <w:spacing w:line="240" w:lineRule="auto"/>
        <w:jc w:val="both"/>
        <w:rPr>
          <w:i/>
        </w:rPr>
      </w:pPr>
      <w:r w:rsidRPr="0023718D">
        <w:rPr>
          <w:i/>
        </w:rPr>
        <w:t>AI Data Output Capabilities – Descriptive Statistics (n = 400)</w:t>
      </w:r>
    </w:p>
    <w:tbl>
      <w:tblPr>
        <w:tblW w:w="0" w:type="auto"/>
        <w:tblLayout w:type="fixed"/>
        <w:tblLook w:val="04A0" w:firstRow="1" w:lastRow="0" w:firstColumn="1" w:lastColumn="0" w:noHBand="0" w:noVBand="1"/>
      </w:tblPr>
      <w:tblGrid>
        <w:gridCol w:w="1008"/>
        <w:gridCol w:w="4932"/>
        <w:gridCol w:w="864"/>
        <w:gridCol w:w="864"/>
        <w:gridCol w:w="1602"/>
      </w:tblGrid>
      <w:tr w:rsidR="00724C44" w:rsidRPr="00724C44" w14:paraId="3E43915D" w14:textId="77777777" w:rsidTr="0023718D">
        <w:tc>
          <w:tcPr>
            <w:tcW w:w="1008" w:type="dxa"/>
            <w:tcBorders>
              <w:top w:val="single" w:sz="4" w:space="0" w:color="000000"/>
              <w:left w:val="nil"/>
              <w:bottom w:val="single" w:sz="4" w:space="0" w:color="000000"/>
              <w:right w:val="nil"/>
            </w:tcBorders>
          </w:tcPr>
          <w:p w14:paraId="16C90A80" w14:textId="77777777" w:rsidR="00724C44" w:rsidRPr="0023718D" w:rsidRDefault="00724C44" w:rsidP="0023718D">
            <w:pPr>
              <w:spacing w:after="0" w:line="240" w:lineRule="auto"/>
              <w:jc w:val="both"/>
              <w:rPr>
                <w:sz w:val="22"/>
                <w:szCs w:val="22"/>
              </w:rPr>
            </w:pPr>
            <w:r w:rsidRPr="0023718D">
              <w:rPr>
                <w:b/>
                <w:sz w:val="22"/>
                <w:szCs w:val="22"/>
              </w:rPr>
              <w:t>Item</w:t>
            </w:r>
          </w:p>
        </w:tc>
        <w:tc>
          <w:tcPr>
            <w:tcW w:w="4932" w:type="dxa"/>
            <w:tcBorders>
              <w:top w:val="single" w:sz="4" w:space="0" w:color="000000"/>
              <w:left w:val="nil"/>
              <w:bottom w:val="single" w:sz="4" w:space="0" w:color="000000"/>
              <w:right w:val="nil"/>
            </w:tcBorders>
          </w:tcPr>
          <w:p w14:paraId="39A4A0C0" w14:textId="77777777" w:rsidR="00724C44" w:rsidRPr="0023718D" w:rsidRDefault="00724C44" w:rsidP="0023718D">
            <w:pPr>
              <w:spacing w:after="0" w:line="240" w:lineRule="auto"/>
              <w:jc w:val="both"/>
              <w:rPr>
                <w:sz w:val="22"/>
                <w:szCs w:val="22"/>
              </w:rPr>
            </w:pPr>
            <w:r w:rsidRPr="0023718D">
              <w:rPr>
                <w:b/>
                <w:sz w:val="22"/>
                <w:szCs w:val="22"/>
              </w:rPr>
              <w:t>Statement</w:t>
            </w:r>
          </w:p>
        </w:tc>
        <w:tc>
          <w:tcPr>
            <w:tcW w:w="864" w:type="dxa"/>
            <w:tcBorders>
              <w:top w:val="single" w:sz="4" w:space="0" w:color="000000"/>
              <w:left w:val="nil"/>
              <w:bottom w:val="single" w:sz="4" w:space="0" w:color="000000"/>
              <w:right w:val="nil"/>
            </w:tcBorders>
          </w:tcPr>
          <w:p w14:paraId="7BB7ADD4" w14:textId="77777777" w:rsidR="00724C44" w:rsidRPr="0023718D" w:rsidRDefault="00724C44" w:rsidP="0023718D">
            <w:pPr>
              <w:spacing w:after="0" w:line="240" w:lineRule="auto"/>
              <w:jc w:val="both"/>
              <w:rPr>
                <w:sz w:val="22"/>
                <w:szCs w:val="22"/>
              </w:rPr>
            </w:pPr>
            <w:r w:rsidRPr="0023718D">
              <w:rPr>
                <w:b/>
                <w:sz w:val="22"/>
                <w:szCs w:val="22"/>
              </w:rPr>
              <w:t>M</w:t>
            </w:r>
          </w:p>
        </w:tc>
        <w:tc>
          <w:tcPr>
            <w:tcW w:w="864" w:type="dxa"/>
            <w:tcBorders>
              <w:top w:val="single" w:sz="4" w:space="0" w:color="000000"/>
              <w:left w:val="nil"/>
              <w:bottom w:val="single" w:sz="4" w:space="0" w:color="000000"/>
              <w:right w:val="nil"/>
            </w:tcBorders>
          </w:tcPr>
          <w:p w14:paraId="5094942D" w14:textId="77777777" w:rsidR="00724C44" w:rsidRPr="0023718D" w:rsidRDefault="00724C44" w:rsidP="0023718D">
            <w:pPr>
              <w:spacing w:after="0" w:line="240" w:lineRule="auto"/>
              <w:jc w:val="both"/>
              <w:rPr>
                <w:sz w:val="22"/>
                <w:szCs w:val="22"/>
              </w:rPr>
            </w:pPr>
            <w:r w:rsidRPr="0023718D">
              <w:rPr>
                <w:b/>
                <w:sz w:val="22"/>
                <w:szCs w:val="22"/>
              </w:rPr>
              <w:t>SD</w:t>
            </w:r>
          </w:p>
        </w:tc>
        <w:tc>
          <w:tcPr>
            <w:tcW w:w="1602" w:type="dxa"/>
            <w:tcBorders>
              <w:top w:val="single" w:sz="4" w:space="0" w:color="000000"/>
              <w:left w:val="nil"/>
              <w:bottom w:val="single" w:sz="4" w:space="0" w:color="000000"/>
              <w:right w:val="nil"/>
            </w:tcBorders>
          </w:tcPr>
          <w:p w14:paraId="6F056D6B" w14:textId="77777777" w:rsidR="00724C44" w:rsidRPr="0023718D" w:rsidRDefault="00724C44" w:rsidP="0023718D">
            <w:pPr>
              <w:spacing w:after="0" w:line="240" w:lineRule="auto"/>
              <w:jc w:val="both"/>
              <w:rPr>
                <w:sz w:val="22"/>
                <w:szCs w:val="22"/>
              </w:rPr>
            </w:pPr>
            <w:r w:rsidRPr="0023718D">
              <w:rPr>
                <w:b/>
                <w:sz w:val="22"/>
                <w:szCs w:val="22"/>
              </w:rPr>
              <w:t>Interpretation</w:t>
            </w:r>
          </w:p>
        </w:tc>
      </w:tr>
      <w:tr w:rsidR="00724C44" w:rsidRPr="00724C44" w14:paraId="54E8E9BB" w14:textId="77777777" w:rsidTr="0023718D">
        <w:tc>
          <w:tcPr>
            <w:tcW w:w="1008" w:type="dxa"/>
            <w:tcBorders>
              <w:top w:val="nil"/>
              <w:left w:val="nil"/>
              <w:bottom w:val="nil"/>
              <w:right w:val="nil"/>
            </w:tcBorders>
          </w:tcPr>
          <w:p w14:paraId="412C816A" w14:textId="77777777" w:rsidR="00724C44" w:rsidRPr="0023718D" w:rsidRDefault="00724C44" w:rsidP="0023718D">
            <w:pPr>
              <w:spacing w:after="0" w:line="240" w:lineRule="auto"/>
              <w:jc w:val="both"/>
              <w:rPr>
                <w:sz w:val="22"/>
                <w:szCs w:val="22"/>
              </w:rPr>
            </w:pPr>
            <w:r w:rsidRPr="0023718D">
              <w:rPr>
                <w:sz w:val="22"/>
                <w:szCs w:val="22"/>
              </w:rPr>
              <w:t>B4.1</w:t>
            </w:r>
          </w:p>
        </w:tc>
        <w:tc>
          <w:tcPr>
            <w:tcW w:w="4932" w:type="dxa"/>
            <w:tcBorders>
              <w:top w:val="nil"/>
              <w:left w:val="nil"/>
              <w:bottom w:val="nil"/>
              <w:right w:val="nil"/>
            </w:tcBorders>
          </w:tcPr>
          <w:p w14:paraId="636D972C" w14:textId="77777777" w:rsidR="00724C44" w:rsidRPr="0023718D" w:rsidRDefault="00724C44" w:rsidP="0023718D">
            <w:pPr>
              <w:spacing w:after="0" w:line="240" w:lineRule="auto"/>
              <w:jc w:val="both"/>
              <w:rPr>
                <w:sz w:val="22"/>
                <w:szCs w:val="22"/>
              </w:rPr>
            </w:pPr>
            <w:r w:rsidRPr="0023718D">
              <w:rPr>
                <w:sz w:val="22"/>
                <w:szCs w:val="22"/>
              </w:rPr>
              <w:t>Our AI systems generate comprehensive reports on total compensation costs</w:t>
            </w:r>
          </w:p>
        </w:tc>
        <w:tc>
          <w:tcPr>
            <w:tcW w:w="864" w:type="dxa"/>
            <w:tcBorders>
              <w:top w:val="nil"/>
              <w:left w:val="nil"/>
              <w:bottom w:val="nil"/>
              <w:right w:val="nil"/>
            </w:tcBorders>
          </w:tcPr>
          <w:p w14:paraId="7E4D60C0" w14:textId="77777777" w:rsidR="00724C44" w:rsidRPr="0023718D" w:rsidRDefault="00724C44" w:rsidP="0023718D">
            <w:pPr>
              <w:spacing w:after="0" w:line="240" w:lineRule="auto"/>
              <w:jc w:val="both"/>
              <w:rPr>
                <w:sz w:val="22"/>
                <w:szCs w:val="22"/>
              </w:rPr>
            </w:pPr>
            <w:r w:rsidRPr="0023718D">
              <w:rPr>
                <w:sz w:val="22"/>
                <w:szCs w:val="22"/>
              </w:rPr>
              <w:t>5.53</w:t>
            </w:r>
          </w:p>
        </w:tc>
        <w:tc>
          <w:tcPr>
            <w:tcW w:w="864" w:type="dxa"/>
            <w:tcBorders>
              <w:top w:val="nil"/>
              <w:left w:val="nil"/>
              <w:bottom w:val="nil"/>
              <w:right w:val="nil"/>
            </w:tcBorders>
          </w:tcPr>
          <w:p w14:paraId="7985A9EC" w14:textId="77777777" w:rsidR="00724C44" w:rsidRPr="0023718D" w:rsidRDefault="00724C44" w:rsidP="0023718D">
            <w:pPr>
              <w:spacing w:after="0" w:line="240" w:lineRule="auto"/>
              <w:jc w:val="both"/>
              <w:rPr>
                <w:sz w:val="22"/>
                <w:szCs w:val="22"/>
              </w:rPr>
            </w:pPr>
            <w:r w:rsidRPr="0023718D">
              <w:rPr>
                <w:sz w:val="22"/>
                <w:szCs w:val="22"/>
              </w:rPr>
              <w:t>1.53</w:t>
            </w:r>
          </w:p>
        </w:tc>
        <w:tc>
          <w:tcPr>
            <w:tcW w:w="1602" w:type="dxa"/>
            <w:tcBorders>
              <w:top w:val="nil"/>
              <w:left w:val="nil"/>
              <w:bottom w:val="nil"/>
              <w:right w:val="nil"/>
            </w:tcBorders>
          </w:tcPr>
          <w:p w14:paraId="17D4AC76"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66B4CE9D" w14:textId="77777777" w:rsidTr="0023718D">
        <w:tc>
          <w:tcPr>
            <w:tcW w:w="1008" w:type="dxa"/>
            <w:tcBorders>
              <w:top w:val="nil"/>
              <w:left w:val="nil"/>
              <w:bottom w:val="nil"/>
              <w:right w:val="nil"/>
            </w:tcBorders>
          </w:tcPr>
          <w:p w14:paraId="065B93FD" w14:textId="77777777" w:rsidR="00724C44" w:rsidRPr="0023718D" w:rsidRDefault="00724C44" w:rsidP="0023718D">
            <w:pPr>
              <w:spacing w:after="0" w:line="240" w:lineRule="auto"/>
              <w:jc w:val="both"/>
              <w:rPr>
                <w:sz w:val="22"/>
                <w:szCs w:val="22"/>
              </w:rPr>
            </w:pPr>
            <w:r w:rsidRPr="0023718D">
              <w:rPr>
                <w:sz w:val="22"/>
                <w:szCs w:val="22"/>
              </w:rPr>
              <w:t>B4.2</w:t>
            </w:r>
          </w:p>
        </w:tc>
        <w:tc>
          <w:tcPr>
            <w:tcW w:w="4932" w:type="dxa"/>
            <w:tcBorders>
              <w:top w:val="nil"/>
              <w:left w:val="nil"/>
              <w:bottom w:val="nil"/>
              <w:right w:val="nil"/>
            </w:tcBorders>
          </w:tcPr>
          <w:p w14:paraId="0248F75A" w14:textId="77777777" w:rsidR="00724C44" w:rsidRPr="0023718D" w:rsidRDefault="00724C44" w:rsidP="0023718D">
            <w:pPr>
              <w:spacing w:after="0" w:line="240" w:lineRule="auto"/>
              <w:jc w:val="both"/>
              <w:rPr>
                <w:sz w:val="22"/>
                <w:szCs w:val="22"/>
              </w:rPr>
            </w:pPr>
            <w:r w:rsidRPr="0023718D">
              <w:rPr>
                <w:sz w:val="22"/>
                <w:szCs w:val="22"/>
              </w:rPr>
              <w:t>We can easily extract compensation data broken down by department, location, and job category</w:t>
            </w:r>
          </w:p>
        </w:tc>
        <w:tc>
          <w:tcPr>
            <w:tcW w:w="864" w:type="dxa"/>
            <w:tcBorders>
              <w:top w:val="nil"/>
              <w:left w:val="nil"/>
              <w:bottom w:val="nil"/>
              <w:right w:val="nil"/>
            </w:tcBorders>
          </w:tcPr>
          <w:p w14:paraId="4445F224" w14:textId="77777777" w:rsidR="00724C44" w:rsidRPr="0023718D" w:rsidRDefault="00724C44" w:rsidP="0023718D">
            <w:pPr>
              <w:spacing w:after="0" w:line="240" w:lineRule="auto"/>
              <w:jc w:val="both"/>
              <w:rPr>
                <w:sz w:val="22"/>
                <w:szCs w:val="22"/>
              </w:rPr>
            </w:pPr>
            <w:r w:rsidRPr="0023718D">
              <w:rPr>
                <w:sz w:val="22"/>
                <w:szCs w:val="22"/>
              </w:rPr>
              <w:t>5.52</w:t>
            </w:r>
          </w:p>
        </w:tc>
        <w:tc>
          <w:tcPr>
            <w:tcW w:w="864" w:type="dxa"/>
            <w:tcBorders>
              <w:top w:val="nil"/>
              <w:left w:val="nil"/>
              <w:bottom w:val="nil"/>
              <w:right w:val="nil"/>
            </w:tcBorders>
          </w:tcPr>
          <w:p w14:paraId="4A671CA2" w14:textId="77777777" w:rsidR="00724C44" w:rsidRPr="0023718D" w:rsidRDefault="00724C44" w:rsidP="0023718D">
            <w:pPr>
              <w:spacing w:after="0" w:line="240" w:lineRule="auto"/>
              <w:jc w:val="both"/>
              <w:rPr>
                <w:sz w:val="22"/>
                <w:szCs w:val="22"/>
              </w:rPr>
            </w:pPr>
            <w:r w:rsidRPr="0023718D">
              <w:rPr>
                <w:sz w:val="22"/>
                <w:szCs w:val="22"/>
              </w:rPr>
              <w:t>1.45</w:t>
            </w:r>
          </w:p>
        </w:tc>
        <w:tc>
          <w:tcPr>
            <w:tcW w:w="1602" w:type="dxa"/>
            <w:tcBorders>
              <w:top w:val="nil"/>
              <w:left w:val="nil"/>
              <w:bottom w:val="nil"/>
              <w:right w:val="nil"/>
            </w:tcBorders>
          </w:tcPr>
          <w:p w14:paraId="70C23D41"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5A6DF0C4" w14:textId="77777777" w:rsidTr="0023718D">
        <w:tc>
          <w:tcPr>
            <w:tcW w:w="1008" w:type="dxa"/>
            <w:tcBorders>
              <w:top w:val="nil"/>
              <w:left w:val="nil"/>
              <w:bottom w:val="nil"/>
              <w:right w:val="nil"/>
            </w:tcBorders>
          </w:tcPr>
          <w:p w14:paraId="41673B5F" w14:textId="77777777" w:rsidR="00724C44" w:rsidRPr="0023718D" w:rsidRDefault="00724C44" w:rsidP="0023718D">
            <w:pPr>
              <w:spacing w:after="0" w:line="240" w:lineRule="auto"/>
              <w:jc w:val="both"/>
              <w:rPr>
                <w:sz w:val="22"/>
                <w:szCs w:val="22"/>
              </w:rPr>
            </w:pPr>
            <w:r w:rsidRPr="0023718D">
              <w:rPr>
                <w:sz w:val="22"/>
                <w:szCs w:val="22"/>
              </w:rPr>
              <w:t>B4.3</w:t>
            </w:r>
          </w:p>
        </w:tc>
        <w:tc>
          <w:tcPr>
            <w:tcW w:w="4932" w:type="dxa"/>
            <w:tcBorders>
              <w:top w:val="nil"/>
              <w:left w:val="nil"/>
              <w:bottom w:val="nil"/>
              <w:right w:val="nil"/>
            </w:tcBorders>
          </w:tcPr>
          <w:p w14:paraId="305D794A" w14:textId="77777777" w:rsidR="00724C44" w:rsidRPr="0023718D" w:rsidRDefault="00724C44" w:rsidP="0023718D">
            <w:pPr>
              <w:spacing w:after="0" w:line="240" w:lineRule="auto"/>
              <w:jc w:val="both"/>
              <w:rPr>
                <w:sz w:val="22"/>
                <w:szCs w:val="22"/>
              </w:rPr>
            </w:pPr>
            <w:r w:rsidRPr="0023718D">
              <w:rPr>
                <w:sz w:val="22"/>
                <w:szCs w:val="22"/>
              </w:rPr>
              <w:t>Our systems provide historical trend analysis of workforce costs</w:t>
            </w:r>
          </w:p>
        </w:tc>
        <w:tc>
          <w:tcPr>
            <w:tcW w:w="864" w:type="dxa"/>
            <w:tcBorders>
              <w:top w:val="nil"/>
              <w:left w:val="nil"/>
              <w:bottom w:val="nil"/>
              <w:right w:val="nil"/>
            </w:tcBorders>
          </w:tcPr>
          <w:p w14:paraId="0D02D431" w14:textId="77777777" w:rsidR="00724C44" w:rsidRPr="0023718D" w:rsidRDefault="00724C44" w:rsidP="0023718D">
            <w:pPr>
              <w:spacing w:after="0" w:line="240" w:lineRule="auto"/>
              <w:jc w:val="both"/>
              <w:rPr>
                <w:sz w:val="22"/>
                <w:szCs w:val="22"/>
              </w:rPr>
            </w:pPr>
            <w:r w:rsidRPr="0023718D">
              <w:rPr>
                <w:sz w:val="22"/>
                <w:szCs w:val="22"/>
              </w:rPr>
              <w:t>5.60</w:t>
            </w:r>
          </w:p>
        </w:tc>
        <w:tc>
          <w:tcPr>
            <w:tcW w:w="864" w:type="dxa"/>
            <w:tcBorders>
              <w:top w:val="nil"/>
              <w:left w:val="nil"/>
              <w:bottom w:val="nil"/>
              <w:right w:val="nil"/>
            </w:tcBorders>
          </w:tcPr>
          <w:p w14:paraId="40931A24" w14:textId="77777777" w:rsidR="00724C44" w:rsidRPr="0023718D" w:rsidRDefault="00724C44" w:rsidP="0023718D">
            <w:pPr>
              <w:spacing w:after="0" w:line="240" w:lineRule="auto"/>
              <w:jc w:val="both"/>
              <w:rPr>
                <w:sz w:val="22"/>
                <w:szCs w:val="22"/>
              </w:rPr>
            </w:pPr>
            <w:r w:rsidRPr="0023718D">
              <w:rPr>
                <w:sz w:val="22"/>
                <w:szCs w:val="22"/>
              </w:rPr>
              <w:t>1.43</w:t>
            </w:r>
          </w:p>
        </w:tc>
        <w:tc>
          <w:tcPr>
            <w:tcW w:w="1602" w:type="dxa"/>
            <w:tcBorders>
              <w:top w:val="nil"/>
              <w:left w:val="nil"/>
              <w:bottom w:val="nil"/>
              <w:right w:val="nil"/>
            </w:tcBorders>
          </w:tcPr>
          <w:p w14:paraId="665EB5B6"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42FEDAA7" w14:textId="77777777" w:rsidTr="0023718D">
        <w:tc>
          <w:tcPr>
            <w:tcW w:w="1008" w:type="dxa"/>
            <w:tcBorders>
              <w:top w:val="nil"/>
              <w:left w:val="nil"/>
              <w:bottom w:val="nil"/>
              <w:right w:val="nil"/>
            </w:tcBorders>
          </w:tcPr>
          <w:p w14:paraId="46BA6D63" w14:textId="77777777" w:rsidR="00724C44" w:rsidRPr="0023718D" w:rsidRDefault="00724C44" w:rsidP="0023718D">
            <w:pPr>
              <w:spacing w:after="0" w:line="240" w:lineRule="auto"/>
              <w:jc w:val="both"/>
              <w:rPr>
                <w:sz w:val="22"/>
                <w:szCs w:val="22"/>
              </w:rPr>
            </w:pPr>
            <w:r w:rsidRPr="0023718D">
              <w:rPr>
                <w:sz w:val="22"/>
                <w:szCs w:val="22"/>
              </w:rPr>
              <w:t>B4.4</w:t>
            </w:r>
          </w:p>
        </w:tc>
        <w:tc>
          <w:tcPr>
            <w:tcW w:w="4932" w:type="dxa"/>
            <w:tcBorders>
              <w:top w:val="nil"/>
              <w:left w:val="nil"/>
              <w:bottom w:val="nil"/>
              <w:right w:val="nil"/>
            </w:tcBorders>
          </w:tcPr>
          <w:p w14:paraId="7903552A" w14:textId="77777777" w:rsidR="00724C44" w:rsidRPr="0023718D" w:rsidRDefault="00724C44" w:rsidP="0023718D">
            <w:pPr>
              <w:spacing w:after="0" w:line="240" w:lineRule="auto"/>
              <w:jc w:val="both"/>
              <w:rPr>
                <w:sz w:val="22"/>
                <w:szCs w:val="22"/>
              </w:rPr>
            </w:pPr>
            <w:r w:rsidRPr="0023718D">
              <w:rPr>
                <w:sz w:val="22"/>
                <w:szCs w:val="22"/>
              </w:rPr>
              <w:t>AI tools generate employee turnover analytics linked to compensation factors</w:t>
            </w:r>
          </w:p>
        </w:tc>
        <w:tc>
          <w:tcPr>
            <w:tcW w:w="864" w:type="dxa"/>
            <w:tcBorders>
              <w:top w:val="nil"/>
              <w:left w:val="nil"/>
              <w:bottom w:val="nil"/>
              <w:right w:val="nil"/>
            </w:tcBorders>
          </w:tcPr>
          <w:p w14:paraId="0FE7232C" w14:textId="77777777" w:rsidR="00724C44" w:rsidRPr="0023718D" w:rsidRDefault="00724C44" w:rsidP="0023718D">
            <w:pPr>
              <w:spacing w:after="0" w:line="240" w:lineRule="auto"/>
              <w:jc w:val="both"/>
              <w:rPr>
                <w:sz w:val="22"/>
                <w:szCs w:val="22"/>
              </w:rPr>
            </w:pPr>
            <w:r w:rsidRPr="0023718D">
              <w:rPr>
                <w:sz w:val="22"/>
                <w:szCs w:val="22"/>
              </w:rPr>
              <w:t>5.50</w:t>
            </w:r>
          </w:p>
        </w:tc>
        <w:tc>
          <w:tcPr>
            <w:tcW w:w="864" w:type="dxa"/>
            <w:tcBorders>
              <w:top w:val="nil"/>
              <w:left w:val="nil"/>
              <w:bottom w:val="nil"/>
              <w:right w:val="nil"/>
            </w:tcBorders>
          </w:tcPr>
          <w:p w14:paraId="313D0CA7" w14:textId="77777777" w:rsidR="00724C44" w:rsidRPr="0023718D" w:rsidRDefault="00724C44" w:rsidP="0023718D">
            <w:pPr>
              <w:spacing w:after="0" w:line="240" w:lineRule="auto"/>
              <w:jc w:val="both"/>
              <w:rPr>
                <w:sz w:val="22"/>
                <w:szCs w:val="22"/>
              </w:rPr>
            </w:pPr>
            <w:r w:rsidRPr="0023718D">
              <w:rPr>
                <w:sz w:val="22"/>
                <w:szCs w:val="22"/>
              </w:rPr>
              <w:t>1.48</w:t>
            </w:r>
          </w:p>
        </w:tc>
        <w:tc>
          <w:tcPr>
            <w:tcW w:w="1602" w:type="dxa"/>
            <w:tcBorders>
              <w:top w:val="nil"/>
              <w:left w:val="nil"/>
              <w:bottom w:val="nil"/>
              <w:right w:val="nil"/>
            </w:tcBorders>
          </w:tcPr>
          <w:p w14:paraId="0E1B28F4"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5269C8EC" w14:textId="77777777" w:rsidTr="0023718D">
        <w:tc>
          <w:tcPr>
            <w:tcW w:w="1008" w:type="dxa"/>
            <w:tcBorders>
              <w:top w:val="nil"/>
              <w:left w:val="nil"/>
              <w:bottom w:val="nil"/>
              <w:right w:val="nil"/>
            </w:tcBorders>
          </w:tcPr>
          <w:p w14:paraId="4617137B" w14:textId="77777777" w:rsidR="00724C44" w:rsidRPr="0023718D" w:rsidRDefault="00724C44" w:rsidP="0023718D">
            <w:pPr>
              <w:spacing w:after="0" w:line="240" w:lineRule="auto"/>
              <w:jc w:val="both"/>
              <w:rPr>
                <w:sz w:val="22"/>
                <w:szCs w:val="22"/>
              </w:rPr>
            </w:pPr>
            <w:r w:rsidRPr="0023718D">
              <w:rPr>
                <w:sz w:val="22"/>
                <w:szCs w:val="22"/>
              </w:rPr>
              <w:t>B4.5</w:t>
            </w:r>
          </w:p>
        </w:tc>
        <w:tc>
          <w:tcPr>
            <w:tcW w:w="4932" w:type="dxa"/>
            <w:tcBorders>
              <w:top w:val="nil"/>
              <w:left w:val="nil"/>
              <w:bottom w:val="nil"/>
              <w:right w:val="nil"/>
            </w:tcBorders>
          </w:tcPr>
          <w:p w14:paraId="7E533537" w14:textId="77777777" w:rsidR="00724C44" w:rsidRPr="0023718D" w:rsidRDefault="00724C44" w:rsidP="0023718D">
            <w:pPr>
              <w:spacing w:after="0" w:line="240" w:lineRule="auto"/>
              <w:jc w:val="both"/>
              <w:rPr>
                <w:sz w:val="22"/>
                <w:szCs w:val="22"/>
              </w:rPr>
            </w:pPr>
            <w:r w:rsidRPr="0023718D">
              <w:rPr>
                <w:sz w:val="22"/>
                <w:szCs w:val="22"/>
              </w:rPr>
              <w:t>We receive automated alerts when compensation metrics deviate from targets</w:t>
            </w:r>
          </w:p>
        </w:tc>
        <w:tc>
          <w:tcPr>
            <w:tcW w:w="864" w:type="dxa"/>
            <w:tcBorders>
              <w:top w:val="nil"/>
              <w:left w:val="nil"/>
              <w:bottom w:val="nil"/>
              <w:right w:val="nil"/>
            </w:tcBorders>
          </w:tcPr>
          <w:p w14:paraId="592D6F86" w14:textId="77777777" w:rsidR="00724C44" w:rsidRPr="0023718D" w:rsidRDefault="00724C44" w:rsidP="0023718D">
            <w:pPr>
              <w:spacing w:after="0" w:line="240" w:lineRule="auto"/>
              <w:jc w:val="both"/>
              <w:rPr>
                <w:sz w:val="22"/>
                <w:szCs w:val="22"/>
              </w:rPr>
            </w:pPr>
            <w:r w:rsidRPr="0023718D">
              <w:rPr>
                <w:sz w:val="22"/>
                <w:szCs w:val="22"/>
              </w:rPr>
              <w:t>5.60</w:t>
            </w:r>
          </w:p>
        </w:tc>
        <w:tc>
          <w:tcPr>
            <w:tcW w:w="864" w:type="dxa"/>
            <w:tcBorders>
              <w:top w:val="nil"/>
              <w:left w:val="nil"/>
              <w:bottom w:val="nil"/>
              <w:right w:val="nil"/>
            </w:tcBorders>
          </w:tcPr>
          <w:p w14:paraId="3F1C3AED" w14:textId="77777777" w:rsidR="00724C44" w:rsidRPr="0023718D" w:rsidRDefault="00724C44" w:rsidP="0023718D">
            <w:pPr>
              <w:spacing w:after="0" w:line="240" w:lineRule="auto"/>
              <w:jc w:val="both"/>
              <w:rPr>
                <w:sz w:val="22"/>
                <w:szCs w:val="22"/>
              </w:rPr>
            </w:pPr>
            <w:r w:rsidRPr="0023718D">
              <w:rPr>
                <w:sz w:val="22"/>
                <w:szCs w:val="22"/>
              </w:rPr>
              <w:t>1.44</w:t>
            </w:r>
          </w:p>
        </w:tc>
        <w:tc>
          <w:tcPr>
            <w:tcW w:w="1602" w:type="dxa"/>
            <w:tcBorders>
              <w:top w:val="nil"/>
              <w:left w:val="nil"/>
              <w:bottom w:val="nil"/>
              <w:right w:val="nil"/>
            </w:tcBorders>
          </w:tcPr>
          <w:p w14:paraId="390D685F"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786912BB" w14:textId="77777777" w:rsidTr="0023718D">
        <w:tc>
          <w:tcPr>
            <w:tcW w:w="1008" w:type="dxa"/>
            <w:tcBorders>
              <w:top w:val="nil"/>
              <w:left w:val="nil"/>
              <w:bottom w:val="nil"/>
              <w:right w:val="nil"/>
            </w:tcBorders>
          </w:tcPr>
          <w:p w14:paraId="3F4DD95B" w14:textId="77777777" w:rsidR="00724C44" w:rsidRPr="0023718D" w:rsidRDefault="00724C44" w:rsidP="0023718D">
            <w:pPr>
              <w:spacing w:after="0" w:line="240" w:lineRule="auto"/>
              <w:jc w:val="both"/>
              <w:rPr>
                <w:sz w:val="22"/>
                <w:szCs w:val="22"/>
              </w:rPr>
            </w:pPr>
            <w:r w:rsidRPr="0023718D">
              <w:rPr>
                <w:sz w:val="22"/>
                <w:szCs w:val="22"/>
              </w:rPr>
              <w:t>B4.6</w:t>
            </w:r>
          </w:p>
        </w:tc>
        <w:tc>
          <w:tcPr>
            <w:tcW w:w="4932" w:type="dxa"/>
            <w:tcBorders>
              <w:top w:val="nil"/>
              <w:left w:val="nil"/>
              <w:bottom w:val="nil"/>
              <w:right w:val="nil"/>
            </w:tcBorders>
          </w:tcPr>
          <w:p w14:paraId="289846CF" w14:textId="77777777" w:rsidR="00724C44" w:rsidRPr="0023718D" w:rsidRDefault="00724C44" w:rsidP="0023718D">
            <w:pPr>
              <w:spacing w:after="0" w:line="240" w:lineRule="auto"/>
              <w:jc w:val="both"/>
              <w:rPr>
                <w:sz w:val="22"/>
                <w:szCs w:val="22"/>
              </w:rPr>
            </w:pPr>
            <w:r w:rsidRPr="0023718D">
              <w:rPr>
                <w:sz w:val="22"/>
                <w:szCs w:val="22"/>
              </w:rPr>
              <w:t>Our AI systems produce audit-ready payroll documentation</w:t>
            </w:r>
          </w:p>
        </w:tc>
        <w:tc>
          <w:tcPr>
            <w:tcW w:w="864" w:type="dxa"/>
            <w:tcBorders>
              <w:top w:val="nil"/>
              <w:left w:val="nil"/>
              <w:bottom w:val="nil"/>
              <w:right w:val="nil"/>
            </w:tcBorders>
          </w:tcPr>
          <w:p w14:paraId="74E1495D" w14:textId="77777777" w:rsidR="00724C44" w:rsidRPr="0023718D" w:rsidRDefault="00724C44" w:rsidP="0023718D">
            <w:pPr>
              <w:spacing w:after="0" w:line="240" w:lineRule="auto"/>
              <w:jc w:val="both"/>
              <w:rPr>
                <w:sz w:val="22"/>
                <w:szCs w:val="22"/>
              </w:rPr>
            </w:pPr>
            <w:r w:rsidRPr="0023718D">
              <w:rPr>
                <w:sz w:val="22"/>
                <w:szCs w:val="22"/>
              </w:rPr>
              <w:t>5.64</w:t>
            </w:r>
          </w:p>
        </w:tc>
        <w:tc>
          <w:tcPr>
            <w:tcW w:w="864" w:type="dxa"/>
            <w:tcBorders>
              <w:top w:val="nil"/>
              <w:left w:val="nil"/>
              <w:bottom w:val="nil"/>
              <w:right w:val="nil"/>
            </w:tcBorders>
          </w:tcPr>
          <w:p w14:paraId="01C870A5" w14:textId="77777777" w:rsidR="00724C44" w:rsidRPr="0023718D" w:rsidRDefault="00724C44" w:rsidP="0023718D">
            <w:pPr>
              <w:spacing w:after="0" w:line="240" w:lineRule="auto"/>
              <w:jc w:val="both"/>
              <w:rPr>
                <w:sz w:val="22"/>
                <w:szCs w:val="22"/>
              </w:rPr>
            </w:pPr>
            <w:r w:rsidRPr="0023718D">
              <w:rPr>
                <w:sz w:val="22"/>
                <w:szCs w:val="22"/>
              </w:rPr>
              <w:t>1.30</w:t>
            </w:r>
          </w:p>
        </w:tc>
        <w:tc>
          <w:tcPr>
            <w:tcW w:w="1602" w:type="dxa"/>
            <w:tcBorders>
              <w:top w:val="nil"/>
              <w:left w:val="nil"/>
              <w:bottom w:val="nil"/>
              <w:right w:val="nil"/>
            </w:tcBorders>
          </w:tcPr>
          <w:p w14:paraId="01962729"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45748C17" w14:textId="77777777" w:rsidTr="0023718D">
        <w:tc>
          <w:tcPr>
            <w:tcW w:w="1008" w:type="dxa"/>
            <w:tcBorders>
              <w:top w:val="nil"/>
              <w:left w:val="nil"/>
              <w:bottom w:val="single" w:sz="4" w:space="0" w:color="000000"/>
              <w:right w:val="nil"/>
            </w:tcBorders>
          </w:tcPr>
          <w:p w14:paraId="720081AB" w14:textId="77777777" w:rsidR="00724C44" w:rsidRPr="0023718D" w:rsidRDefault="00724C44" w:rsidP="0023718D">
            <w:pPr>
              <w:spacing w:after="0" w:line="240" w:lineRule="auto"/>
              <w:jc w:val="both"/>
              <w:rPr>
                <w:sz w:val="22"/>
                <w:szCs w:val="22"/>
              </w:rPr>
            </w:pPr>
          </w:p>
        </w:tc>
        <w:tc>
          <w:tcPr>
            <w:tcW w:w="4932" w:type="dxa"/>
            <w:tcBorders>
              <w:top w:val="nil"/>
              <w:left w:val="nil"/>
              <w:bottom w:val="single" w:sz="4" w:space="0" w:color="000000"/>
              <w:right w:val="nil"/>
            </w:tcBorders>
          </w:tcPr>
          <w:p w14:paraId="187B5FF4" w14:textId="77777777" w:rsidR="00724C44" w:rsidRPr="0023718D" w:rsidRDefault="00724C44" w:rsidP="0023718D">
            <w:pPr>
              <w:spacing w:after="0" w:line="240" w:lineRule="auto"/>
              <w:jc w:val="both"/>
              <w:rPr>
                <w:sz w:val="22"/>
                <w:szCs w:val="22"/>
              </w:rPr>
            </w:pPr>
            <w:r w:rsidRPr="0023718D">
              <w:rPr>
                <w:sz w:val="22"/>
                <w:szCs w:val="22"/>
              </w:rPr>
              <w:t>Construct Mean (B4)</w:t>
            </w:r>
          </w:p>
        </w:tc>
        <w:tc>
          <w:tcPr>
            <w:tcW w:w="864" w:type="dxa"/>
            <w:tcBorders>
              <w:top w:val="nil"/>
              <w:left w:val="nil"/>
              <w:bottom w:val="single" w:sz="4" w:space="0" w:color="000000"/>
              <w:right w:val="nil"/>
            </w:tcBorders>
          </w:tcPr>
          <w:p w14:paraId="501CDD98" w14:textId="77777777" w:rsidR="00724C44" w:rsidRPr="0023718D" w:rsidRDefault="00724C44" w:rsidP="0023718D">
            <w:pPr>
              <w:spacing w:after="0" w:line="240" w:lineRule="auto"/>
              <w:jc w:val="both"/>
              <w:rPr>
                <w:sz w:val="22"/>
                <w:szCs w:val="22"/>
              </w:rPr>
            </w:pPr>
            <w:r w:rsidRPr="0023718D">
              <w:rPr>
                <w:sz w:val="22"/>
                <w:szCs w:val="22"/>
              </w:rPr>
              <w:t>5.56</w:t>
            </w:r>
          </w:p>
        </w:tc>
        <w:tc>
          <w:tcPr>
            <w:tcW w:w="864" w:type="dxa"/>
            <w:tcBorders>
              <w:top w:val="nil"/>
              <w:left w:val="nil"/>
              <w:bottom w:val="single" w:sz="4" w:space="0" w:color="000000"/>
              <w:right w:val="nil"/>
            </w:tcBorders>
          </w:tcPr>
          <w:p w14:paraId="7E6DF4C5" w14:textId="77777777" w:rsidR="00724C44" w:rsidRPr="0023718D" w:rsidRDefault="00724C44" w:rsidP="0023718D">
            <w:pPr>
              <w:spacing w:after="0" w:line="240" w:lineRule="auto"/>
              <w:jc w:val="both"/>
              <w:rPr>
                <w:sz w:val="22"/>
                <w:szCs w:val="22"/>
              </w:rPr>
            </w:pPr>
            <w:r w:rsidRPr="0023718D">
              <w:rPr>
                <w:sz w:val="22"/>
                <w:szCs w:val="22"/>
              </w:rPr>
              <w:t>0.72</w:t>
            </w:r>
          </w:p>
        </w:tc>
        <w:tc>
          <w:tcPr>
            <w:tcW w:w="1602" w:type="dxa"/>
            <w:tcBorders>
              <w:top w:val="nil"/>
              <w:left w:val="nil"/>
              <w:bottom w:val="single" w:sz="4" w:space="0" w:color="000000"/>
              <w:right w:val="nil"/>
            </w:tcBorders>
          </w:tcPr>
          <w:p w14:paraId="5B5420A0" w14:textId="77777777" w:rsidR="00724C44" w:rsidRPr="0023718D" w:rsidRDefault="00724C44" w:rsidP="0023718D">
            <w:pPr>
              <w:spacing w:after="0" w:line="240" w:lineRule="auto"/>
              <w:jc w:val="both"/>
              <w:rPr>
                <w:sz w:val="22"/>
                <w:szCs w:val="22"/>
              </w:rPr>
            </w:pPr>
            <w:r w:rsidRPr="0023718D">
              <w:rPr>
                <w:sz w:val="22"/>
                <w:szCs w:val="22"/>
              </w:rPr>
              <w:t>High</w:t>
            </w:r>
          </w:p>
        </w:tc>
      </w:tr>
    </w:tbl>
    <w:p w14:paraId="232F32C3" w14:textId="77777777" w:rsidR="00724C44" w:rsidRPr="0023718D" w:rsidRDefault="00724C44" w:rsidP="00724C44">
      <w:pPr>
        <w:spacing w:line="240" w:lineRule="auto"/>
        <w:jc w:val="both"/>
        <w:rPr>
          <w:i/>
          <w:sz w:val="22"/>
          <w:szCs w:val="22"/>
        </w:rPr>
      </w:pPr>
      <w:r w:rsidRPr="0023718D">
        <w:rPr>
          <w:i/>
          <w:sz w:val="22"/>
          <w:szCs w:val="22"/>
        </w:rPr>
        <w:t>Note. Scale: 1 = Strongly Disagree, 7 = Strongly Agree.</w:t>
      </w:r>
    </w:p>
    <w:p w14:paraId="64BB2599" w14:textId="77777777" w:rsidR="00724C44" w:rsidRPr="00724C44" w:rsidRDefault="00724C44" w:rsidP="00724C44">
      <w:pPr>
        <w:spacing w:line="240" w:lineRule="auto"/>
        <w:jc w:val="both"/>
      </w:pPr>
      <w:r w:rsidRPr="00724C44">
        <w:t>Data output capabilities demonstrate the highest adoption levels among all AI integration dimensions, with a construct mean of 5.56 (High). All six items exceed the 5.0 threshold, indicating robust report generation capabilities across participating organizations. Comprehensive compensation reports (B4.1, M = 5.53), flexible data extraction (B4.2, M = 5.52), and historical trend analysis (B4.3, M = 5.62) all show strong implementation.</w:t>
      </w:r>
    </w:p>
    <w:p w14:paraId="7A9E58B6" w14:textId="77777777" w:rsidR="00724C44" w:rsidRPr="00724C44" w:rsidRDefault="00724C44" w:rsidP="00724C44">
      <w:pPr>
        <w:spacing w:line="240" w:lineRule="auto"/>
        <w:jc w:val="both"/>
      </w:pPr>
      <w:r w:rsidRPr="00724C44">
        <w:t>These findings are particularly significant for the research objectives, as they indicate that AI systems are generating substantial compensation data that could potentially be utilized for human capital disclosure. The high data output capability scores, when juxtaposed with disclosure quality findings presented later, reveal a critical disconnect between data availability and reporting utilization.</w:t>
      </w:r>
    </w:p>
    <w:p w14:paraId="27BE412B" w14:textId="77777777" w:rsidR="00724C44" w:rsidRPr="00724C44" w:rsidRDefault="00724C44" w:rsidP="00724C44">
      <w:pPr>
        <w:spacing w:line="240" w:lineRule="auto"/>
        <w:jc w:val="both"/>
      </w:pPr>
      <w:r w:rsidRPr="00724C44">
        <w:rPr>
          <w:b/>
        </w:rPr>
        <w:t>4.4.5 AI Functions Implemented (B5)</w:t>
      </w:r>
    </w:p>
    <w:p w14:paraId="48D6DC9F" w14:textId="77777777" w:rsidR="00724C44" w:rsidRPr="00724C44" w:rsidRDefault="00724C44" w:rsidP="00724C44">
      <w:pPr>
        <w:spacing w:line="240" w:lineRule="auto"/>
        <w:jc w:val="both"/>
      </w:pPr>
      <w:r w:rsidRPr="00724C44">
        <w:t>In addition to the Likert-scale items, respondents indicated which of 15 specific AI-enabled compensation functions their organization had implemented. Table 4.8 presents these functions ranked by adoption rate.</w:t>
      </w:r>
    </w:p>
    <w:p w14:paraId="75DA9CF8" w14:textId="77777777" w:rsidR="00724C44" w:rsidRPr="00724C44" w:rsidRDefault="00724C44" w:rsidP="00724C44">
      <w:pPr>
        <w:spacing w:line="240" w:lineRule="auto"/>
        <w:jc w:val="both"/>
      </w:pPr>
      <w:r w:rsidRPr="00724C44">
        <w:rPr>
          <w:b/>
        </w:rPr>
        <w:t>Table 4.8</w:t>
      </w:r>
    </w:p>
    <w:p w14:paraId="5EC4D4CC" w14:textId="77777777" w:rsidR="00724C44" w:rsidRPr="00724C44" w:rsidRDefault="00724C44" w:rsidP="00724C44">
      <w:pPr>
        <w:spacing w:line="240" w:lineRule="auto"/>
        <w:jc w:val="both"/>
      </w:pPr>
      <w:r w:rsidRPr="00724C44">
        <w:rPr>
          <w:i/>
        </w:rPr>
        <w:t>AI Functions Implementation Checklist (n = 400)</w:t>
      </w:r>
    </w:p>
    <w:tbl>
      <w:tblPr>
        <w:tblW w:w="0" w:type="auto"/>
        <w:tblLayout w:type="fixed"/>
        <w:tblLook w:val="04A0" w:firstRow="1" w:lastRow="0" w:firstColumn="1" w:lastColumn="0" w:noHBand="0" w:noVBand="1"/>
      </w:tblPr>
      <w:tblGrid>
        <w:gridCol w:w="1008"/>
        <w:gridCol w:w="5040"/>
        <w:gridCol w:w="1296"/>
        <w:gridCol w:w="1872"/>
      </w:tblGrid>
      <w:tr w:rsidR="00724C44" w:rsidRPr="00724C44" w14:paraId="7941C69A" w14:textId="77777777" w:rsidTr="00A5379F">
        <w:tc>
          <w:tcPr>
            <w:tcW w:w="1008" w:type="dxa"/>
            <w:tcBorders>
              <w:top w:val="single" w:sz="4" w:space="0" w:color="000000"/>
              <w:left w:val="nil"/>
              <w:bottom w:val="single" w:sz="4" w:space="0" w:color="000000"/>
              <w:right w:val="nil"/>
            </w:tcBorders>
          </w:tcPr>
          <w:p w14:paraId="402475F1" w14:textId="77777777" w:rsidR="00724C44" w:rsidRPr="0023718D" w:rsidRDefault="00724C44" w:rsidP="0023718D">
            <w:pPr>
              <w:spacing w:after="0" w:line="240" w:lineRule="auto"/>
              <w:jc w:val="both"/>
              <w:rPr>
                <w:sz w:val="22"/>
                <w:szCs w:val="22"/>
              </w:rPr>
            </w:pPr>
            <w:r w:rsidRPr="0023718D">
              <w:rPr>
                <w:b/>
                <w:sz w:val="22"/>
                <w:szCs w:val="22"/>
              </w:rPr>
              <w:t>Rank</w:t>
            </w:r>
          </w:p>
        </w:tc>
        <w:tc>
          <w:tcPr>
            <w:tcW w:w="5040" w:type="dxa"/>
            <w:tcBorders>
              <w:top w:val="single" w:sz="4" w:space="0" w:color="000000"/>
              <w:left w:val="nil"/>
              <w:bottom w:val="single" w:sz="4" w:space="0" w:color="000000"/>
              <w:right w:val="nil"/>
            </w:tcBorders>
          </w:tcPr>
          <w:p w14:paraId="51CD849A" w14:textId="77777777" w:rsidR="00724C44" w:rsidRPr="0023718D" w:rsidRDefault="00724C44" w:rsidP="0023718D">
            <w:pPr>
              <w:spacing w:after="0" w:line="240" w:lineRule="auto"/>
              <w:jc w:val="both"/>
              <w:rPr>
                <w:sz w:val="22"/>
                <w:szCs w:val="22"/>
              </w:rPr>
            </w:pPr>
            <w:r w:rsidRPr="0023718D">
              <w:rPr>
                <w:b/>
                <w:sz w:val="22"/>
                <w:szCs w:val="22"/>
              </w:rPr>
              <w:t>AI Function</w:t>
            </w:r>
          </w:p>
        </w:tc>
        <w:tc>
          <w:tcPr>
            <w:tcW w:w="1296" w:type="dxa"/>
            <w:tcBorders>
              <w:top w:val="single" w:sz="4" w:space="0" w:color="000000"/>
              <w:left w:val="nil"/>
              <w:bottom w:val="single" w:sz="4" w:space="0" w:color="000000"/>
              <w:right w:val="nil"/>
            </w:tcBorders>
          </w:tcPr>
          <w:p w14:paraId="5464F0EB" w14:textId="77777777" w:rsidR="00724C44" w:rsidRPr="0023718D" w:rsidRDefault="00724C44" w:rsidP="0023718D">
            <w:pPr>
              <w:spacing w:after="0" w:line="240" w:lineRule="auto"/>
              <w:jc w:val="both"/>
              <w:rPr>
                <w:sz w:val="22"/>
                <w:szCs w:val="22"/>
              </w:rPr>
            </w:pPr>
            <w:r w:rsidRPr="0023718D">
              <w:rPr>
                <w:b/>
                <w:sz w:val="22"/>
                <w:szCs w:val="22"/>
              </w:rPr>
              <w:t>n</w:t>
            </w:r>
          </w:p>
        </w:tc>
        <w:tc>
          <w:tcPr>
            <w:tcW w:w="1872" w:type="dxa"/>
            <w:tcBorders>
              <w:top w:val="single" w:sz="4" w:space="0" w:color="000000"/>
              <w:left w:val="nil"/>
              <w:bottom w:val="single" w:sz="4" w:space="0" w:color="000000"/>
              <w:right w:val="nil"/>
            </w:tcBorders>
          </w:tcPr>
          <w:p w14:paraId="3F7B5391" w14:textId="77777777" w:rsidR="00724C44" w:rsidRPr="0023718D" w:rsidRDefault="00724C44" w:rsidP="0023718D">
            <w:pPr>
              <w:spacing w:after="0" w:line="240" w:lineRule="auto"/>
              <w:jc w:val="both"/>
              <w:rPr>
                <w:sz w:val="22"/>
                <w:szCs w:val="22"/>
              </w:rPr>
            </w:pPr>
            <w:r w:rsidRPr="0023718D">
              <w:rPr>
                <w:b/>
                <w:sz w:val="22"/>
                <w:szCs w:val="22"/>
              </w:rPr>
              <w:t>%</w:t>
            </w:r>
          </w:p>
        </w:tc>
      </w:tr>
      <w:tr w:rsidR="00724C44" w:rsidRPr="00724C44" w14:paraId="2CA136A9" w14:textId="77777777" w:rsidTr="00A5379F">
        <w:tc>
          <w:tcPr>
            <w:tcW w:w="1008" w:type="dxa"/>
            <w:tcBorders>
              <w:top w:val="nil"/>
              <w:left w:val="nil"/>
              <w:bottom w:val="nil"/>
              <w:right w:val="nil"/>
            </w:tcBorders>
          </w:tcPr>
          <w:p w14:paraId="6B6CF57C" w14:textId="77777777" w:rsidR="00724C44" w:rsidRPr="0023718D" w:rsidRDefault="00724C44" w:rsidP="0023718D">
            <w:pPr>
              <w:spacing w:after="0" w:line="240" w:lineRule="auto"/>
              <w:jc w:val="both"/>
              <w:rPr>
                <w:sz w:val="22"/>
                <w:szCs w:val="22"/>
              </w:rPr>
            </w:pPr>
            <w:r w:rsidRPr="0023718D">
              <w:rPr>
                <w:sz w:val="22"/>
                <w:szCs w:val="22"/>
              </w:rPr>
              <w:t>1</w:t>
            </w:r>
          </w:p>
        </w:tc>
        <w:tc>
          <w:tcPr>
            <w:tcW w:w="5040" w:type="dxa"/>
            <w:tcBorders>
              <w:top w:val="nil"/>
              <w:left w:val="nil"/>
              <w:bottom w:val="nil"/>
              <w:right w:val="nil"/>
            </w:tcBorders>
          </w:tcPr>
          <w:p w14:paraId="4E12737B" w14:textId="77777777" w:rsidR="00724C44" w:rsidRPr="0023718D" w:rsidRDefault="00724C44" w:rsidP="0023718D">
            <w:pPr>
              <w:spacing w:after="0" w:line="240" w:lineRule="auto"/>
              <w:jc w:val="both"/>
              <w:rPr>
                <w:sz w:val="22"/>
                <w:szCs w:val="22"/>
              </w:rPr>
            </w:pPr>
            <w:r w:rsidRPr="0023718D">
              <w:rPr>
                <w:sz w:val="22"/>
                <w:szCs w:val="22"/>
              </w:rPr>
              <w:t>Tax withholding automation</w:t>
            </w:r>
          </w:p>
        </w:tc>
        <w:tc>
          <w:tcPr>
            <w:tcW w:w="1296" w:type="dxa"/>
            <w:tcBorders>
              <w:top w:val="nil"/>
              <w:left w:val="nil"/>
              <w:bottom w:val="nil"/>
              <w:right w:val="nil"/>
            </w:tcBorders>
          </w:tcPr>
          <w:p w14:paraId="34E52301" w14:textId="77777777" w:rsidR="00724C44" w:rsidRPr="0023718D" w:rsidRDefault="00724C44" w:rsidP="0023718D">
            <w:pPr>
              <w:spacing w:after="0" w:line="240" w:lineRule="auto"/>
              <w:jc w:val="both"/>
              <w:rPr>
                <w:sz w:val="22"/>
                <w:szCs w:val="22"/>
              </w:rPr>
            </w:pPr>
            <w:r w:rsidRPr="0023718D">
              <w:rPr>
                <w:sz w:val="22"/>
                <w:szCs w:val="22"/>
              </w:rPr>
              <w:t>392</w:t>
            </w:r>
          </w:p>
        </w:tc>
        <w:tc>
          <w:tcPr>
            <w:tcW w:w="1872" w:type="dxa"/>
            <w:tcBorders>
              <w:top w:val="nil"/>
              <w:left w:val="nil"/>
              <w:bottom w:val="nil"/>
              <w:right w:val="nil"/>
            </w:tcBorders>
          </w:tcPr>
          <w:p w14:paraId="557CB7BA" w14:textId="77777777" w:rsidR="00724C44" w:rsidRPr="0023718D" w:rsidRDefault="00724C44" w:rsidP="0023718D">
            <w:pPr>
              <w:spacing w:after="0" w:line="240" w:lineRule="auto"/>
              <w:jc w:val="both"/>
              <w:rPr>
                <w:sz w:val="22"/>
                <w:szCs w:val="22"/>
              </w:rPr>
            </w:pPr>
            <w:r w:rsidRPr="0023718D">
              <w:rPr>
                <w:sz w:val="22"/>
                <w:szCs w:val="22"/>
              </w:rPr>
              <w:t>98.0%</w:t>
            </w:r>
          </w:p>
        </w:tc>
      </w:tr>
      <w:tr w:rsidR="00724C44" w:rsidRPr="00724C44" w14:paraId="55762D25" w14:textId="77777777" w:rsidTr="00A5379F">
        <w:tc>
          <w:tcPr>
            <w:tcW w:w="1008" w:type="dxa"/>
            <w:tcBorders>
              <w:top w:val="nil"/>
              <w:left w:val="nil"/>
              <w:bottom w:val="nil"/>
              <w:right w:val="nil"/>
            </w:tcBorders>
          </w:tcPr>
          <w:p w14:paraId="3FBAADF0" w14:textId="77777777" w:rsidR="00724C44" w:rsidRPr="0023718D" w:rsidRDefault="00724C44" w:rsidP="0023718D">
            <w:pPr>
              <w:spacing w:after="0" w:line="240" w:lineRule="auto"/>
              <w:jc w:val="both"/>
              <w:rPr>
                <w:sz w:val="22"/>
                <w:szCs w:val="22"/>
              </w:rPr>
            </w:pPr>
            <w:r w:rsidRPr="0023718D">
              <w:rPr>
                <w:sz w:val="22"/>
                <w:szCs w:val="22"/>
              </w:rPr>
              <w:t>2</w:t>
            </w:r>
          </w:p>
        </w:tc>
        <w:tc>
          <w:tcPr>
            <w:tcW w:w="5040" w:type="dxa"/>
            <w:tcBorders>
              <w:top w:val="nil"/>
              <w:left w:val="nil"/>
              <w:bottom w:val="nil"/>
              <w:right w:val="nil"/>
            </w:tcBorders>
          </w:tcPr>
          <w:p w14:paraId="77AFA108" w14:textId="77777777" w:rsidR="00724C44" w:rsidRPr="0023718D" w:rsidRDefault="00724C44" w:rsidP="0023718D">
            <w:pPr>
              <w:spacing w:after="0" w:line="240" w:lineRule="auto"/>
              <w:jc w:val="both"/>
              <w:rPr>
                <w:sz w:val="22"/>
                <w:szCs w:val="22"/>
              </w:rPr>
            </w:pPr>
            <w:r w:rsidRPr="0023718D">
              <w:rPr>
                <w:sz w:val="22"/>
                <w:szCs w:val="22"/>
              </w:rPr>
              <w:t>Automated payroll calculations</w:t>
            </w:r>
          </w:p>
        </w:tc>
        <w:tc>
          <w:tcPr>
            <w:tcW w:w="1296" w:type="dxa"/>
            <w:tcBorders>
              <w:top w:val="nil"/>
              <w:left w:val="nil"/>
              <w:bottom w:val="nil"/>
              <w:right w:val="nil"/>
            </w:tcBorders>
          </w:tcPr>
          <w:p w14:paraId="27C1AFBC" w14:textId="77777777" w:rsidR="00724C44" w:rsidRPr="0023718D" w:rsidRDefault="00724C44" w:rsidP="0023718D">
            <w:pPr>
              <w:spacing w:after="0" w:line="240" w:lineRule="auto"/>
              <w:jc w:val="both"/>
              <w:rPr>
                <w:sz w:val="22"/>
                <w:szCs w:val="22"/>
              </w:rPr>
            </w:pPr>
            <w:r w:rsidRPr="0023718D">
              <w:rPr>
                <w:sz w:val="22"/>
                <w:szCs w:val="22"/>
              </w:rPr>
              <w:t>389</w:t>
            </w:r>
          </w:p>
        </w:tc>
        <w:tc>
          <w:tcPr>
            <w:tcW w:w="1872" w:type="dxa"/>
            <w:tcBorders>
              <w:top w:val="nil"/>
              <w:left w:val="nil"/>
              <w:bottom w:val="nil"/>
              <w:right w:val="nil"/>
            </w:tcBorders>
          </w:tcPr>
          <w:p w14:paraId="4C7F94A4" w14:textId="77777777" w:rsidR="00724C44" w:rsidRPr="0023718D" w:rsidRDefault="00724C44" w:rsidP="0023718D">
            <w:pPr>
              <w:spacing w:after="0" w:line="240" w:lineRule="auto"/>
              <w:jc w:val="both"/>
              <w:rPr>
                <w:sz w:val="22"/>
                <w:szCs w:val="22"/>
              </w:rPr>
            </w:pPr>
            <w:r w:rsidRPr="0023718D">
              <w:rPr>
                <w:sz w:val="22"/>
                <w:szCs w:val="22"/>
              </w:rPr>
              <w:t>97.2%</w:t>
            </w:r>
          </w:p>
        </w:tc>
      </w:tr>
      <w:tr w:rsidR="00724C44" w:rsidRPr="00724C44" w14:paraId="6B076365" w14:textId="77777777" w:rsidTr="00A5379F">
        <w:tc>
          <w:tcPr>
            <w:tcW w:w="1008" w:type="dxa"/>
            <w:tcBorders>
              <w:top w:val="nil"/>
              <w:left w:val="nil"/>
              <w:bottom w:val="nil"/>
              <w:right w:val="nil"/>
            </w:tcBorders>
          </w:tcPr>
          <w:p w14:paraId="31AECEEA" w14:textId="77777777" w:rsidR="00724C44" w:rsidRPr="0023718D" w:rsidRDefault="00724C44" w:rsidP="0023718D">
            <w:pPr>
              <w:spacing w:after="0" w:line="240" w:lineRule="auto"/>
              <w:jc w:val="both"/>
              <w:rPr>
                <w:sz w:val="22"/>
                <w:szCs w:val="22"/>
              </w:rPr>
            </w:pPr>
            <w:r w:rsidRPr="0023718D">
              <w:rPr>
                <w:sz w:val="22"/>
                <w:szCs w:val="22"/>
              </w:rPr>
              <w:t>3</w:t>
            </w:r>
          </w:p>
        </w:tc>
        <w:tc>
          <w:tcPr>
            <w:tcW w:w="5040" w:type="dxa"/>
            <w:tcBorders>
              <w:top w:val="nil"/>
              <w:left w:val="nil"/>
              <w:bottom w:val="nil"/>
              <w:right w:val="nil"/>
            </w:tcBorders>
          </w:tcPr>
          <w:p w14:paraId="1A44C51F" w14:textId="77777777" w:rsidR="00724C44" w:rsidRPr="0023718D" w:rsidRDefault="00724C44" w:rsidP="0023718D">
            <w:pPr>
              <w:spacing w:after="0" w:line="240" w:lineRule="auto"/>
              <w:jc w:val="both"/>
              <w:rPr>
                <w:sz w:val="22"/>
                <w:szCs w:val="22"/>
              </w:rPr>
            </w:pPr>
            <w:r w:rsidRPr="0023718D">
              <w:rPr>
                <w:sz w:val="22"/>
                <w:szCs w:val="22"/>
              </w:rPr>
              <w:t>Time and attendance integration</w:t>
            </w:r>
          </w:p>
        </w:tc>
        <w:tc>
          <w:tcPr>
            <w:tcW w:w="1296" w:type="dxa"/>
            <w:tcBorders>
              <w:top w:val="nil"/>
              <w:left w:val="nil"/>
              <w:bottom w:val="nil"/>
              <w:right w:val="nil"/>
            </w:tcBorders>
          </w:tcPr>
          <w:p w14:paraId="5B4AEF22" w14:textId="77777777" w:rsidR="00724C44" w:rsidRPr="0023718D" w:rsidRDefault="00724C44" w:rsidP="0023718D">
            <w:pPr>
              <w:spacing w:after="0" w:line="240" w:lineRule="auto"/>
              <w:jc w:val="both"/>
              <w:rPr>
                <w:sz w:val="22"/>
                <w:szCs w:val="22"/>
              </w:rPr>
            </w:pPr>
            <w:r w:rsidRPr="0023718D">
              <w:rPr>
                <w:sz w:val="22"/>
                <w:szCs w:val="22"/>
              </w:rPr>
              <w:t>368</w:t>
            </w:r>
          </w:p>
        </w:tc>
        <w:tc>
          <w:tcPr>
            <w:tcW w:w="1872" w:type="dxa"/>
            <w:tcBorders>
              <w:top w:val="nil"/>
              <w:left w:val="nil"/>
              <w:bottom w:val="nil"/>
              <w:right w:val="nil"/>
            </w:tcBorders>
          </w:tcPr>
          <w:p w14:paraId="64C4C005" w14:textId="77777777" w:rsidR="00724C44" w:rsidRPr="0023718D" w:rsidRDefault="00724C44" w:rsidP="0023718D">
            <w:pPr>
              <w:spacing w:after="0" w:line="240" w:lineRule="auto"/>
              <w:jc w:val="both"/>
              <w:rPr>
                <w:sz w:val="22"/>
                <w:szCs w:val="22"/>
              </w:rPr>
            </w:pPr>
            <w:r w:rsidRPr="0023718D">
              <w:rPr>
                <w:sz w:val="22"/>
                <w:szCs w:val="22"/>
              </w:rPr>
              <w:t>92.0%</w:t>
            </w:r>
          </w:p>
        </w:tc>
      </w:tr>
      <w:tr w:rsidR="00724C44" w:rsidRPr="00724C44" w14:paraId="35250F1E" w14:textId="77777777" w:rsidTr="00A5379F">
        <w:tc>
          <w:tcPr>
            <w:tcW w:w="1008" w:type="dxa"/>
            <w:tcBorders>
              <w:top w:val="nil"/>
              <w:left w:val="nil"/>
              <w:bottom w:val="nil"/>
              <w:right w:val="nil"/>
            </w:tcBorders>
          </w:tcPr>
          <w:p w14:paraId="157D02E5" w14:textId="77777777" w:rsidR="00724C44" w:rsidRPr="0023718D" w:rsidRDefault="00724C44" w:rsidP="0023718D">
            <w:pPr>
              <w:spacing w:after="0" w:line="240" w:lineRule="auto"/>
              <w:jc w:val="both"/>
              <w:rPr>
                <w:sz w:val="22"/>
                <w:szCs w:val="22"/>
              </w:rPr>
            </w:pPr>
            <w:r w:rsidRPr="0023718D">
              <w:rPr>
                <w:sz w:val="22"/>
                <w:szCs w:val="22"/>
              </w:rPr>
              <w:t>4</w:t>
            </w:r>
          </w:p>
        </w:tc>
        <w:tc>
          <w:tcPr>
            <w:tcW w:w="5040" w:type="dxa"/>
            <w:tcBorders>
              <w:top w:val="nil"/>
              <w:left w:val="nil"/>
              <w:bottom w:val="nil"/>
              <w:right w:val="nil"/>
            </w:tcBorders>
          </w:tcPr>
          <w:p w14:paraId="77E4BF90" w14:textId="77777777" w:rsidR="00724C44" w:rsidRPr="0023718D" w:rsidRDefault="00724C44" w:rsidP="0023718D">
            <w:pPr>
              <w:spacing w:after="0" w:line="240" w:lineRule="auto"/>
              <w:jc w:val="both"/>
              <w:rPr>
                <w:sz w:val="22"/>
                <w:szCs w:val="22"/>
              </w:rPr>
            </w:pPr>
            <w:r w:rsidRPr="0023718D">
              <w:rPr>
                <w:sz w:val="22"/>
                <w:szCs w:val="22"/>
              </w:rPr>
              <w:t>Predictive analytics for turnover</w:t>
            </w:r>
          </w:p>
        </w:tc>
        <w:tc>
          <w:tcPr>
            <w:tcW w:w="1296" w:type="dxa"/>
            <w:tcBorders>
              <w:top w:val="nil"/>
              <w:left w:val="nil"/>
              <w:bottom w:val="nil"/>
              <w:right w:val="nil"/>
            </w:tcBorders>
          </w:tcPr>
          <w:p w14:paraId="1D95F63E" w14:textId="77777777" w:rsidR="00724C44" w:rsidRPr="0023718D" w:rsidRDefault="00724C44" w:rsidP="0023718D">
            <w:pPr>
              <w:spacing w:after="0" w:line="240" w:lineRule="auto"/>
              <w:jc w:val="both"/>
              <w:rPr>
                <w:sz w:val="22"/>
                <w:szCs w:val="22"/>
              </w:rPr>
            </w:pPr>
            <w:r w:rsidRPr="0023718D">
              <w:rPr>
                <w:sz w:val="22"/>
                <w:szCs w:val="22"/>
              </w:rPr>
              <w:t>207</w:t>
            </w:r>
          </w:p>
        </w:tc>
        <w:tc>
          <w:tcPr>
            <w:tcW w:w="1872" w:type="dxa"/>
            <w:tcBorders>
              <w:top w:val="nil"/>
              <w:left w:val="nil"/>
              <w:bottom w:val="nil"/>
              <w:right w:val="nil"/>
            </w:tcBorders>
          </w:tcPr>
          <w:p w14:paraId="1D1476FA" w14:textId="77777777" w:rsidR="00724C44" w:rsidRPr="0023718D" w:rsidRDefault="00724C44" w:rsidP="0023718D">
            <w:pPr>
              <w:spacing w:after="0" w:line="240" w:lineRule="auto"/>
              <w:jc w:val="both"/>
              <w:rPr>
                <w:sz w:val="22"/>
                <w:szCs w:val="22"/>
              </w:rPr>
            </w:pPr>
            <w:r w:rsidRPr="0023718D">
              <w:rPr>
                <w:sz w:val="22"/>
                <w:szCs w:val="22"/>
              </w:rPr>
              <w:t>51.7%</w:t>
            </w:r>
          </w:p>
        </w:tc>
      </w:tr>
      <w:tr w:rsidR="00724C44" w:rsidRPr="00724C44" w14:paraId="6EBE3BD9" w14:textId="77777777" w:rsidTr="00A5379F">
        <w:tc>
          <w:tcPr>
            <w:tcW w:w="1008" w:type="dxa"/>
            <w:tcBorders>
              <w:top w:val="nil"/>
              <w:left w:val="nil"/>
              <w:bottom w:val="nil"/>
              <w:right w:val="nil"/>
            </w:tcBorders>
          </w:tcPr>
          <w:p w14:paraId="69C1B183" w14:textId="77777777" w:rsidR="00724C44" w:rsidRPr="0023718D" w:rsidRDefault="00724C44" w:rsidP="0023718D">
            <w:pPr>
              <w:spacing w:after="0" w:line="240" w:lineRule="auto"/>
              <w:jc w:val="both"/>
              <w:rPr>
                <w:sz w:val="22"/>
                <w:szCs w:val="22"/>
              </w:rPr>
            </w:pPr>
            <w:r w:rsidRPr="0023718D">
              <w:rPr>
                <w:sz w:val="22"/>
                <w:szCs w:val="22"/>
              </w:rPr>
              <w:t>5</w:t>
            </w:r>
          </w:p>
        </w:tc>
        <w:tc>
          <w:tcPr>
            <w:tcW w:w="5040" w:type="dxa"/>
            <w:tcBorders>
              <w:top w:val="nil"/>
              <w:left w:val="nil"/>
              <w:bottom w:val="nil"/>
              <w:right w:val="nil"/>
            </w:tcBorders>
          </w:tcPr>
          <w:p w14:paraId="46C3D099" w14:textId="77777777" w:rsidR="00724C44" w:rsidRPr="0023718D" w:rsidRDefault="00724C44" w:rsidP="0023718D">
            <w:pPr>
              <w:spacing w:after="0" w:line="240" w:lineRule="auto"/>
              <w:jc w:val="both"/>
              <w:rPr>
                <w:sz w:val="22"/>
                <w:szCs w:val="22"/>
              </w:rPr>
            </w:pPr>
            <w:r w:rsidRPr="0023718D">
              <w:rPr>
                <w:sz w:val="22"/>
                <w:szCs w:val="22"/>
              </w:rPr>
              <w:t>Natural language processing for policy queries</w:t>
            </w:r>
          </w:p>
        </w:tc>
        <w:tc>
          <w:tcPr>
            <w:tcW w:w="1296" w:type="dxa"/>
            <w:tcBorders>
              <w:top w:val="nil"/>
              <w:left w:val="nil"/>
              <w:bottom w:val="nil"/>
              <w:right w:val="nil"/>
            </w:tcBorders>
          </w:tcPr>
          <w:p w14:paraId="61264789" w14:textId="77777777" w:rsidR="00724C44" w:rsidRPr="0023718D" w:rsidRDefault="00724C44" w:rsidP="0023718D">
            <w:pPr>
              <w:spacing w:after="0" w:line="240" w:lineRule="auto"/>
              <w:jc w:val="both"/>
              <w:rPr>
                <w:sz w:val="22"/>
                <w:szCs w:val="22"/>
              </w:rPr>
            </w:pPr>
            <w:r w:rsidRPr="0023718D">
              <w:rPr>
                <w:sz w:val="22"/>
                <w:szCs w:val="22"/>
              </w:rPr>
              <w:t>202</w:t>
            </w:r>
          </w:p>
        </w:tc>
        <w:tc>
          <w:tcPr>
            <w:tcW w:w="1872" w:type="dxa"/>
            <w:tcBorders>
              <w:top w:val="nil"/>
              <w:left w:val="nil"/>
              <w:bottom w:val="nil"/>
              <w:right w:val="nil"/>
            </w:tcBorders>
          </w:tcPr>
          <w:p w14:paraId="14933754" w14:textId="77777777" w:rsidR="00724C44" w:rsidRPr="0023718D" w:rsidRDefault="00724C44" w:rsidP="0023718D">
            <w:pPr>
              <w:spacing w:after="0" w:line="240" w:lineRule="auto"/>
              <w:jc w:val="both"/>
              <w:rPr>
                <w:sz w:val="22"/>
                <w:szCs w:val="22"/>
              </w:rPr>
            </w:pPr>
            <w:r w:rsidRPr="0023718D">
              <w:rPr>
                <w:sz w:val="22"/>
                <w:szCs w:val="22"/>
              </w:rPr>
              <w:t>50.5%</w:t>
            </w:r>
          </w:p>
        </w:tc>
      </w:tr>
      <w:tr w:rsidR="00724C44" w:rsidRPr="00724C44" w14:paraId="00147992" w14:textId="77777777" w:rsidTr="00A5379F">
        <w:tc>
          <w:tcPr>
            <w:tcW w:w="1008" w:type="dxa"/>
            <w:tcBorders>
              <w:top w:val="nil"/>
              <w:left w:val="nil"/>
              <w:bottom w:val="nil"/>
              <w:right w:val="nil"/>
            </w:tcBorders>
          </w:tcPr>
          <w:p w14:paraId="130AE5BA" w14:textId="77777777" w:rsidR="00724C44" w:rsidRPr="0023718D" w:rsidRDefault="00724C44" w:rsidP="0023718D">
            <w:pPr>
              <w:spacing w:after="0" w:line="240" w:lineRule="auto"/>
              <w:jc w:val="both"/>
              <w:rPr>
                <w:sz w:val="22"/>
                <w:szCs w:val="22"/>
              </w:rPr>
            </w:pPr>
            <w:r w:rsidRPr="0023718D">
              <w:rPr>
                <w:sz w:val="22"/>
                <w:szCs w:val="22"/>
              </w:rPr>
              <w:t>6</w:t>
            </w:r>
          </w:p>
        </w:tc>
        <w:tc>
          <w:tcPr>
            <w:tcW w:w="5040" w:type="dxa"/>
            <w:tcBorders>
              <w:top w:val="nil"/>
              <w:left w:val="nil"/>
              <w:bottom w:val="nil"/>
              <w:right w:val="nil"/>
            </w:tcBorders>
          </w:tcPr>
          <w:p w14:paraId="241BC7A5" w14:textId="77777777" w:rsidR="00724C44" w:rsidRPr="0023718D" w:rsidRDefault="00724C44" w:rsidP="0023718D">
            <w:pPr>
              <w:spacing w:after="0" w:line="240" w:lineRule="auto"/>
              <w:jc w:val="both"/>
              <w:rPr>
                <w:sz w:val="22"/>
                <w:szCs w:val="22"/>
              </w:rPr>
            </w:pPr>
            <w:r w:rsidRPr="0023718D">
              <w:rPr>
                <w:sz w:val="22"/>
                <w:szCs w:val="22"/>
              </w:rPr>
              <w:t>Scenario modeling for compensation planning</w:t>
            </w:r>
          </w:p>
        </w:tc>
        <w:tc>
          <w:tcPr>
            <w:tcW w:w="1296" w:type="dxa"/>
            <w:tcBorders>
              <w:top w:val="nil"/>
              <w:left w:val="nil"/>
              <w:bottom w:val="nil"/>
              <w:right w:val="nil"/>
            </w:tcBorders>
          </w:tcPr>
          <w:p w14:paraId="58C6CBD3" w14:textId="77777777" w:rsidR="00724C44" w:rsidRPr="0023718D" w:rsidRDefault="00724C44" w:rsidP="0023718D">
            <w:pPr>
              <w:spacing w:after="0" w:line="240" w:lineRule="auto"/>
              <w:jc w:val="both"/>
              <w:rPr>
                <w:sz w:val="22"/>
                <w:szCs w:val="22"/>
              </w:rPr>
            </w:pPr>
            <w:r w:rsidRPr="0023718D">
              <w:rPr>
                <w:sz w:val="22"/>
                <w:szCs w:val="22"/>
              </w:rPr>
              <w:t>201</w:t>
            </w:r>
          </w:p>
        </w:tc>
        <w:tc>
          <w:tcPr>
            <w:tcW w:w="1872" w:type="dxa"/>
            <w:tcBorders>
              <w:top w:val="nil"/>
              <w:left w:val="nil"/>
              <w:bottom w:val="nil"/>
              <w:right w:val="nil"/>
            </w:tcBorders>
          </w:tcPr>
          <w:p w14:paraId="5D86310C" w14:textId="77777777" w:rsidR="00724C44" w:rsidRPr="0023718D" w:rsidRDefault="00724C44" w:rsidP="0023718D">
            <w:pPr>
              <w:spacing w:after="0" w:line="240" w:lineRule="auto"/>
              <w:jc w:val="both"/>
              <w:rPr>
                <w:sz w:val="22"/>
                <w:szCs w:val="22"/>
              </w:rPr>
            </w:pPr>
            <w:r w:rsidRPr="0023718D">
              <w:rPr>
                <w:sz w:val="22"/>
                <w:szCs w:val="22"/>
              </w:rPr>
              <w:t>50.2%</w:t>
            </w:r>
          </w:p>
        </w:tc>
      </w:tr>
      <w:tr w:rsidR="00724C44" w:rsidRPr="00724C44" w14:paraId="24918E5F" w14:textId="77777777" w:rsidTr="00A5379F">
        <w:tc>
          <w:tcPr>
            <w:tcW w:w="1008" w:type="dxa"/>
            <w:tcBorders>
              <w:top w:val="nil"/>
              <w:left w:val="nil"/>
              <w:bottom w:val="nil"/>
              <w:right w:val="nil"/>
            </w:tcBorders>
          </w:tcPr>
          <w:p w14:paraId="2C889235" w14:textId="77777777" w:rsidR="00724C44" w:rsidRPr="0023718D" w:rsidRDefault="00724C44" w:rsidP="0023718D">
            <w:pPr>
              <w:spacing w:after="0" w:line="240" w:lineRule="auto"/>
              <w:jc w:val="both"/>
              <w:rPr>
                <w:sz w:val="22"/>
                <w:szCs w:val="22"/>
              </w:rPr>
            </w:pPr>
            <w:r w:rsidRPr="0023718D">
              <w:rPr>
                <w:sz w:val="22"/>
                <w:szCs w:val="22"/>
              </w:rPr>
              <w:t>7</w:t>
            </w:r>
          </w:p>
        </w:tc>
        <w:tc>
          <w:tcPr>
            <w:tcW w:w="5040" w:type="dxa"/>
            <w:tcBorders>
              <w:top w:val="nil"/>
              <w:left w:val="nil"/>
              <w:bottom w:val="nil"/>
              <w:right w:val="nil"/>
            </w:tcBorders>
          </w:tcPr>
          <w:p w14:paraId="0E5DCFA1" w14:textId="77777777" w:rsidR="00724C44" w:rsidRPr="0023718D" w:rsidRDefault="00724C44" w:rsidP="0023718D">
            <w:pPr>
              <w:spacing w:after="0" w:line="240" w:lineRule="auto"/>
              <w:jc w:val="both"/>
              <w:rPr>
                <w:sz w:val="22"/>
                <w:szCs w:val="22"/>
              </w:rPr>
            </w:pPr>
            <w:r w:rsidRPr="0023718D">
              <w:rPr>
                <w:sz w:val="22"/>
                <w:szCs w:val="22"/>
              </w:rPr>
              <w:t>Benefits enrollment and administration</w:t>
            </w:r>
          </w:p>
        </w:tc>
        <w:tc>
          <w:tcPr>
            <w:tcW w:w="1296" w:type="dxa"/>
            <w:tcBorders>
              <w:top w:val="nil"/>
              <w:left w:val="nil"/>
              <w:bottom w:val="nil"/>
              <w:right w:val="nil"/>
            </w:tcBorders>
          </w:tcPr>
          <w:p w14:paraId="3FF30278" w14:textId="77777777" w:rsidR="00724C44" w:rsidRPr="0023718D" w:rsidRDefault="00724C44" w:rsidP="0023718D">
            <w:pPr>
              <w:spacing w:after="0" w:line="240" w:lineRule="auto"/>
              <w:jc w:val="both"/>
              <w:rPr>
                <w:sz w:val="22"/>
                <w:szCs w:val="22"/>
              </w:rPr>
            </w:pPr>
            <w:r w:rsidRPr="0023718D">
              <w:rPr>
                <w:sz w:val="22"/>
                <w:szCs w:val="22"/>
              </w:rPr>
              <w:t>200</w:t>
            </w:r>
          </w:p>
        </w:tc>
        <w:tc>
          <w:tcPr>
            <w:tcW w:w="1872" w:type="dxa"/>
            <w:tcBorders>
              <w:top w:val="nil"/>
              <w:left w:val="nil"/>
              <w:bottom w:val="nil"/>
              <w:right w:val="nil"/>
            </w:tcBorders>
          </w:tcPr>
          <w:p w14:paraId="68B28B29" w14:textId="77777777" w:rsidR="00724C44" w:rsidRPr="0023718D" w:rsidRDefault="00724C44" w:rsidP="0023718D">
            <w:pPr>
              <w:spacing w:after="0" w:line="240" w:lineRule="auto"/>
              <w:jc w:val="both"/>
              <w:rPr>
                <w:sz w:val="22"/>
                <w:szCs w:val="22"/>
              </w:rPr>
            </w:pPr>
            <w:r w:rsidRPr="0023718D">
              <w:rPr>
                <w:sz w:val="22"/>
                <w:szCs w:val="22"/>
              </w:rPr>
              <w:t>50.0%</w:t>
            </w:r>
          </w:p>
        </w:tc>
      </w:tr>
      <w:tr w:rsidR="00724C44" w:rsidRPr="00724C44" w14:paraId="791FDB2B" w14:textId="77777777" w:rsidTr="00A5379F">
        <w:tc>
          <w:tcPr>
            <w:tcW w:w="1008" w:type="dxa"/>
            <w:tcBorders>
              <w:top w:val="nil"/>
              <w:left w:val="nil"/>
              <w:bottom w:val="nil"/>
              <w:right w:val="nil"/>
            </w:tcBorders>
          </w:tcPr>
          <w:p w14:paraId="7F0F8A41" w14:textId="77777777" w:rsidR="00724C44" w:rsidRPr="0023718D" w:rsidRDefault="00724C44" w:rsidP="0023718D">
            <w:pPr>
              <w:spacing w:after="0" w:line="240" w:lineRule="auto"/>
              <w:jc w:val="both"/>
              <w:rPr>
                <w:sz w:val="22"/>
                <w:szCs w:val="22"/>
              </w:rPr>
            </w:pPr>
            <w:r w:rsidRPr="0023718D">
              <w:rPr>
                <w:sz w:val="22"/>
                <w:szCs w:val="22"/>
              </w:rPr>
              <w:t>8</w:t>
            </w:r>
          </w:p>
        </w:tc>
        <w:tc>
          <w:tcPr>
            <w:tcW w:w="5040" w:type="dxa"/>
            <w:tcBorders>
              <w:top w:val="nil"/>
              <w:left w:val="nil"/>
              <w:bottom w:val="nil"/>
              <w:right w:val="nil"/>
            </w:tcBorders>
          </w:tcPr>
          <w:p w14:paraId="1237E537" w14:textId="77777777" w:rsidR="00724C44" w:rsidRPr="0023718D" w:rsidRDefault="00724C44" w:rsidP="0023718D">
            <w:pPr>
              <w:spacing w:after="0" w:line="240" w:lineRule="auto"/>
              <w:jc w:val="both"/>
              <w:rPr>
                <w:sz w:val="22"/>
                <w:szCs w:val="22"/>
              </w:rPr>
            </w:pPr>
            <w:r w:rsidRPr="0023718D">
              <w:rPr>
                <w:sz w:val="22"/>
                <w:szCs w:val="22"/>
              </w:rPr>
              <w:t>Workforce cost forecasting</w:t>
            </w:r>
          </w:p>
        </w:tc>
        <w:tc>
          <w:tcPr>
            <w:tcW w:w="1296" w:type="dxa"/>
            <w:tcBorders>
              <w:top w:val="nil"/>
              <w:left w:val="nil"/>
              <w:bottom w:val="nil"/>
              <w:right w:val="nil"/>
            </w:tcBorders>
          </w:tcPr>
          <w:p w14:paraId="05611D5D" w14:textId="77777777" w:rsidR="00724C44" w:rsidRPr="0023718D" w:rsidRDefault="00724C44" w:rsidP="0023718D">
            <w:pPr>
              <w:spacing w:after="0" w:line="240" w:lineRule="auto"/>
              <w:jc w:val="both"/>
              <w:rPr>
                <w:sz w:val="22"/>
                <w:szCs w:val="22"/>
              </w:rPr>
            </w:pPr>
            <w:r w:rsidRPr="0023718D">
              <w:rPr>
                <w:sz w:val="22"/>
                <w:szCs w:val="22"/>
              </w:rPr>
              <w:t>6</w:t>
            </w:r>
          </w:p>
        </w:tc>
        <w:tc>
          <w:tcPr>
            <w:tcW w:w="1872" w:type="dxa"/>
            <w:tcBorders>
              <w:top w:val="nil"/>
              <w:left w:val="nil"/>
              <w:bottom w:val="nil"/>
              <w:right w:val="nil"/>
            </w:tcBorders>
          </w:tcPr>
          <w:p w14:paraId="79B03CF7" w14:textId="77777777" w:rsidR="00724C44" w:rsidRPr="0023718D" w:rsidRDefault="00724C44" w:rsidP="0023718D">
            <w:pPr>
              <w:spacing w:after="0" w:line="240" w:lineRule="auto"/>
              <w:jc w:val="both"/>
              <w:rPr>
                <w:sz w:val="22"/>
                <w:szCs w:val="22"/>
              </w:rPr>
            </w:pPr>
            <w:r w:rsidRPr="0023718D">
              <w:rPr>
                <w:sz w:val="22"/>
                <w:szCs w:val="22"/>
              </w:rPr>
              <w:t>1.5%</w:t>
            </w:r>
          </w:p>
        </w:tc>
      </w:tr>
      <w:tr w:rsidR="00724C44" w:rsidRPr="00724C44" w14:paraId="55CD54CE" w14:textId="77777777" w:rsidTr="00A5379F">
        <w:tc>
          <w:tcPr>
            <w:tcW w:w="1008" w:type="dxa"/>
            <w:tcBorders>
              <w:top w:val="nil"/>
              <w:left w:val="nil"/>
              <w:bottom w:val="nil"/>
              <w:right w:val="nil"/>
            </w:tcBorders>
          </w:tcPr>
          <w:p w14:paraId="5628022C" w14:textId="77777777" w:rsidR="00724C44" w:rsidRPr="0023718D" w:rsidRDefault="00724C44" w:rsidP="0023718D">
            <w:pPr>
              <w:spacing w:after="0" w:line="240" w:lineRule="auto"/>
              <w:jc w:val="both"/>
              <w:rPr>
                <w:sz w:val="22"/>
                <w:szCs w:val="22"/>
              </w:rPr>
            </w:pPr>
            <w:r w:rsidRPr="0023718D">
              <w:rPr>
                <w:sz w:val="22"/>
                <w:szCs w:val="22"/>
              </w:rPr>
              <w:t>9</w:t>
            </w:r>
          </w:p>
        </w:tc>
        <w:tc>
          <w:tcPr>
            <w:tcW w:w="5040" w:type="dxa"/>
            <w:tcBorders>
              <w:top w:val="nil"/>
              <w:left w:val="nil"/>
              <w:bottom w:val="nil"/>
              <w:right w:val="nil"/>
            </w:tcBorders>
          </w:tcPr>
          <w:p w14:paraId="57E82E12" w14:textId="77777777" w:rsidR="00724C44" w:rsidRPr="0023718D" w:rsidRDefault="00724C44" w:rsidP="0023718D">
            <w:pPr>
              <w:spacing w:after="0" w:line="240" w:lineRule="auto"/>
              <w:jc w:val="both"/>
              <w:rPr>
                <w:sz w:val="22"/>
                <w:szCs w:val="22"/>
              </w:rPr>
            </w:pPr>
            <w:r w:rsidRPr="0023718D">
              <w:rPr>
                <w:sz w:val="22"/>
                <w:szCs w:val="22"/>
              </w:rPr>
              <w:t>Compliance monitoring</w:t>
            </w:r>
          </w:p>
        </w:tc>
        <w:tc>
          <w:tcPr>
            <w:tcW w:w="1296" w:type="dxa"/>
            <w:tcBorders>
              <w:top w:val="nil"/>
              <w:left w:val="nil"/>
              <w:bottom w:val="nil"/>
              <w:right w:val="nil"/>
            </w:tcBorders>
          </w:tcPr>
          <w:p w14:paraId="013C4B73" w14:textId="77777777" w:rsidR="00724C44" w:rsidRPr="0023718D" w:rsidRDefault="00724C44" w:rsidP="0023718D">
            <w:pPr>
              <w:spacing w:after="0" w:line="240" w:lineRule="auto"/>
              <w:jc w:val="both"/>
              <w:rPr>
                <w:sz w:val="22"/>
                <w:szCs w:val="22"/>
              </w:rPr>
            </w:pPr>
            <w:r w:rsidRPr="0023718D">
              <w:rPr>
                <w:sz w:val="22"/>
                <w:szCs w:val="22"/>
              </w:rPr>
              <w:t>5</w:t>
            </w:r>
          </w:p>
        </w:tc>
        <w:tc>
          <w:tcPr>
            <w:tcW w:w="1872" w:type="dxa"/>
            <w:tcBorders>
              <w:top w:val="nil"/>
              <w:left w:val="nil"/>
              <w:bottom w:val="nil"/>
              <w:right w:val="nil"/>
            </w:tcBorders>
          </w:tcPr>
          <w:p w14:paraId="01272544" w14:textId="77777777" w:rsidR="00724C44" w:rsidRPr="0023718D" w:rsidRDefault="00724C44" w:rsidP="0023718D">
            <w:pPr>
              <w:spacing w:after="0" w:line="240" w:lineRule="auto"/>
              <w:jc w:val="both"/>
              <w:rPr>
                <w:sz w:val="22"/>
                <w:szCs w:val="22"/>
              </w:rPr>
            </w:pPr>
            <w:r w:rsidRPr="0023718D">
              <w:rPr>
                <w:sz w:val="22"/>
                <w:szCs w:val="22"/>
              </w:rPr>
              <w:t>1.2%</w:t>
            </w:r>
          </w:p>
        </w:tc>
      </w:tr>
      <w:tr w:rsidR="00724C44" w:rsidRPr="00724C44" w14:paraId="06D9670E" w14:textId="77777777" w:rsidTr="00A5379F">
        <w:tc>
          <w:tcPr>
            <w:tcW w:w="1008" w:type="dxa"/>
            <w:tcBorders>
              <w:top w:val="nil"/>
              <w:left w:val="nil"/>
              <w:bottom w:val="nil"/>
              <w:right w:val="nil"/>
            </w:tcBorders>
          </w:tcPr>
          <w:p w14:paraId="413B4387" w14:textId="77777777" w:rsidR="00724C44" w:rsidRPr="0023718D" w:rsidRDefault="00724C44" w:rsidP="0023718D">
            <w:pPr>
              <w:spacing w:after="0" w:line="240" w:lineRule="auto"/>
              <w:jc w:val="both"/>
              <w:rPr>
                <w:sz w:val="22"/>
                <w:szCs w:val="22"/>
              </w:rPr>
            </w:pPr>
            <w:r w:rsidRPr="0023718D">
              <w:rPr>
                <w:sz w:val="22"/>
                <w:szCs w:val="22"/>
              </w:rPr>
              <w:lastRenderedPageBreak/>
              <w:t>10</w:t>
            </w:r>
          </w:p>
        </w:tc>
        <w:tc>
          <w:tcPr>
            <w:tcW w:w="5040" w:type="dxa"/>
            <w:tcBorders>
              <w:top w:val="nil"/>
              <w:left w:val="nil"/>
              <w:bottom w:val="nil"/>
              <w:right w:val="nil"/>
            </w:tcBorders>
          </w:tcPr>
          <w:p w14:paraId="199A77B9" w14:textId="77777777" w:rsidR="00724C44" w:rsidRPr="0023718D" w:rsidRDefault="00724C44" w:rsidP="0023718D">
            <w:pPr>
              <w:spacing w:after="0" w:line="240" w:lineRule="auto"/>
              <w:jc w:val="both"/>
              <w:rPr>
                <w:sz w:val="22"/>
                <w:szCs w:val="22"/>
              </w:rPr>
            </w:pPr>
            <w:r w:rsidRPr="0023718D">
              <w:rPr>
                <w:sz w:val="22"/>
                <w:szCs w:val="22"/>
              </w:rPr>
              <w:t>Compensation benchmarking</w:t>
            </w:r>
          </w:p>
        </w:tc>
        <w:tc>
          <w:tcPr>
            <w:tcW w:w="1296" w:type="dxa"/>
            <w:tcBorders>
              <w:top w:val="nil"/>
              <w:left w:val="nil"/>
              <w:bottom w:val="nil"/>
              <w:right w:val="nil"/>
            </w:tcBorders>
          </w:tcPr>
          <w:p w14:paraId="55EFBA57" w14:textId="77777777" w:rsidR="00724C44" w:rsidRPr="0023718D" w:rsidRDefault="00724C44" w:rsidP="0023718D">
            <w:pPr>
              <w:spacing w:after="0" w:line="240" w:lineRule="auto"/>
              <w:jc w:val="both"/>
              <w:rPr>
                <w:sz w:val="22"/>
                <w:szCs w:val="22"/>
              </w:rPr>
            </w:pPr>
            <w:r w:rsidRPr="0023718D">
              <w:rPr>
                <w:sz w:val="22"/>
                <w:szCs w:val="22"/>
              </w:rPr>
              <w:t>4</w:t>
            </w:r>
          </w:p>
        </w:tc>
        <w:tc>
          <w:tcPr>
            <w:tcW w:w="1872" w:type="dxa"/>
            <w:tcBorders>
              <w:top w:val="nil"/>
              <w:left w:val="nil"/>
              <w:bottom w:val="nil"/>
              <w:right w:val="nil"/>
            </w:tcBorders>
          </w:tcPr>
          <w:p w14:paraId="68CC760B" w14:textId="77777777" w:rsidR="00724C44" w:rsidRPr="0023718D" w:rsidRDefault="00724C44" w:rsidP="0023718D">
            <w:pPr>
              <w:spacing w:after="0" w:line="240" w:lineRule="auto"/>
              <w:jc w:val="both"/>
              <w:rPr>
                <w:sz w:val="22"/>
                <w:szCs w:val="22"/>
              </w:rPr>
            </w:pPr>
            <w:r w:rsidRPr="0023718D">
              <w:rPr>
                <w:sz w:val="22"/>
                <w:szCs w:val="22"/>
              </w:rPr>
              <w:t>1.0%</w:t>
            </w:r>
          </w:p>
        </w:tc>
      </w:tr>
      <w:tr w:rsidR="00724C44" w:rsidRPr="00724C44" w14:paraId="3C17219D" w14:textId="77777777" w:rsidTr="00A5379F">
        <w:tc>
          <w:tcPr>
            <w:tcW w:w="1008" w:type="dxa"/>
            <w:tcBorders>
              <w:top w:val="nil"/>
              <w:left w:val="nil"/>
              <w:bottom w:val="nil"/>
              <w:right w:val="nil"/>
            </w:tcBorders>
          </w:tcPr>
          <w:p w14:paraId="5D533C81" w14:textId="77777777" w:rsidR="00724C44" w:rsidRPr="0023718D" w:rsidRDefault="00724C44" w:rsidP="0023718D">
            <w:pPr>
              <w:spacing w:after="0" w:line="240" w:lineRule="auto"/>
              <w:jc w:val="both"/>
              <w:rPr>
                <w:sz w:val="22"/>
                <w:szCs w:val="22"/>
              </w:rPr>
            </w:pPr>
            <w:r w:rsidRPr="0023718D">
              <w:rPr>
                <w:sz w:val="22"/>
                <w:szCs w:val="22"/>
              </w:rPr>
              <w:t>11</w:t>
            </w:r>
          </w:p>
        </w:tc>
        <w:tc>
          <w:tcPr>
            <w:tcW w:w="5040" w:type="dxa"/>
            <w:tcBorders>
              <w:top w:val="nil"/>
              <w:left w:val="nil"/>
              <w:bottom w:val="nil"/>
              <w:right w:val="nil"/>
            </w:tcBorders>
          </w:tcPr>
          <w:p w14:paraId="5D451873" w14:textId="77777777" w:rsidR="00724C44" w:rsidRPr="0023718D" w:rsidRDefault="00724C44" w:rsidP="0023718D">
            <w:pPr>
              <w:spacing w:after="0" w:line="240" w:lineRule="auto"/>
              <w:jc w:val="both"/>
              <w:rPr>
                <w:sz w:val="22"/>
                <w:szCs w:val="22"/>
              </w:rPr>
            </w:pPr>
            <w:r w:rsidRPr="0023718D">
              <w:rPr>
                <w:sz w:val="22"/>
                <w:szCs w:val="22"/>
              </w:rPr>
              <w:t>Integration with ERP/HRIS systems</w:t>
            </w:r>
          </w:p>
        </w:tc>
        <w:tc>
          <w:tcPr>
            <w:tcW w:w="1296" w:type="dxa"/>
            <w:tcBorders>
              <w:top w:val="nil"/>
              <w:left w:val="nil"/>
              <w:bottom w:val="nil"/>
              <w:right w:val="nil"/>
            </w:tcBorders>
          </w:tcPr>
          <w:p w14:paraId="3EC7C9B8" w14:textId="77777777" w:rsidR="00724C44" w:rsidRPr="0023718D" w:rsidRDefault="00724C44" w:rsidP="0023718D">
            <w:pPr>
              <w:spacing w:after="0" w:line="240" w:lineRule="auto"/>
              <w:jc w:val="both"/>
              <w:rPr>
                <w:sz w:val="22"/>
                <w:szCs w:val="22"/>
              </w:rPr>
            </w:pPr>
            <w:r w:rsidRPr="0023718D">
              <w:rPr>
                <w:sz w:val="22"/>
                <w:szCs w:val="22"/>
              </w:rPr>
              <w:t>4</w:t>
            </w:r>
          </w:p>
        </w:tc>
        <w:tc>
          <w:tcPr>
            <w:tcW w:w="1872" w:type="dxa"/>
            <w:tcBorders>
              <w:top w:val="nil"/>
              <w:left w:val="nil"/>
              <w:bottom w:val="nil"/>
              <w:right w:val="nil"/>
            </w:tcBorders>
          </w:tcPr>
          <w:p w14:paraId="11927ECC" w14:textId="77777777" w:rsidR="00724C44" w:rsidRPr="0023718D" w:rsidRDefault="00724C44" w:rsidP="0023718D">
            <w:pPr>
              <w:spacing w:after="0" w:line="240" w:lineRule="auto"/>
              <w:jc w:val="both"/>
              <w:rPr>
                <w:sz w:val="22"/>
                <w:szCs w:val="22"/>
              </w:rPr>
            </w:pPr>
            <w:r w:rsidRPr="0023718D">
              <w:rPr>
                <w:sz w:val="22"/>
                <w:szCs w:val="22"/>
              </w:rPr>
              <w:t>1.0%</w:t>
            </w:r>
          </w:p>
        </w:tc>
      </w:tr>
      <w:tr w:rsidR="00724C44" w:rsidRPr="00724C44" w14:paraId="0698AD5F" w14:textId="77777777" w:rsidTr="00A5379F">
        <w:tc>
          <w:tcPr>
            <w:tcW w:w="1008" w:type="dxa"/>
            <w:tcBorders>
              <w:top w:val="nil"/>
              <w:left w:val="nil"/>
              <w:bottom w:val="nil"/>
              <w:right w:val="nil"/>
            </w:tcBorders>
          </w:tcPr>
          <w:p w14:paraId="5E716524" w14:textId="77777777" w:rsidR="00724C44" w:rsidRPr="0023718D" w:rsidRDefault="00724C44" w:rsidP="0023718D">
            <w:pPr>
              <w:spacing w:after="0" w:line="240" w:lineRule="auto"/>
              <w:jc w:val="both"/>
              <w:rPr>
                <w:sz w:val="22"/>
                <w:szCs w:val="22"/>
              </w:rPr>
            </w:pPr>
            <w:r w:rsidRPr="0023718D">
              <w:rPr>
                <w:sz w:val="22"/>
                <w:szCs w:val="22"/>
              </w:rPr>
              <w:t>12</w:t>
            </w:r>
          </w:p>
        </w:tc>
        <w:tc>
          <w:tcPr>
            <w:tcW w:w="5040" w:type="dxa"/>
            <w:tcBorders>
              <w:top w:val="nil"/>
              <w:left w:val="nil"/>
              <w:bottom w:val="nil"/>
              <w:right w:val="nil"/>
            </w:tcBorders>
          </w:tcPr>
          <w:p w14:paraId="3F41FF81" w14:textId="77777777" w:rsidR="00724C44" w:rsidRPr="0023718D" w:rsidRDefault="00724C44" w:rsidP="0023718D">
            <w:pPr>
              <w:spacing w:after="0" w:line="240" w:lineRule="auto"/>
              <w:jc w:val="both"/>
              <w:rPr>
                <w:sz w:val="22"/>
                <w:szCs w:val="22"/>
              </w:rPr>
            </w:pPr>
            <w:r w:rsidRPr="0023718D">
              <w:rPr>
                <w:sz w:val="22"/>
                <w:szCs w:val="22"/>
              </w:rPr>
              <w:t>Pay equity analysis</w:t>
            </w:r>
          </w:p>
        </w:tc>
        <w:tc>
          <w:tcPr>
            <w:tcW w:w="1296" w:type="dxa"/>
            <w:tcBorders>
              <w:top w:val="nil"/>
              <w:left w:val="nil"/>
              <w:bottom w:val="nil"/>
              <w:right w:val="nil"/>
            </w:tcBorders>
          </w:tcPr>
          <w:p w14:paraId="61F3C124" w14:textId="77777777" w:rsidR="00724C44" w:rsidRPr="0023718D" w:rsidRDefault="00724C44" w:rsidP="0023718D">
            <w:pPr>
              <w:spacing w:after="0" w:line="240" w:lineRule="auto"/>
              <w:jc w:val="both"/>
              <w:rPr>
                <w:sz w:val="22"/>
                <w:szCs w:val="22"/>
              </w:rPr>
            </w:pPr>
            <w:r w:rsidRPr="0023718D">
              <w:rPr>
                <w:sz w:val="22"/>
                <w:szCs w:val="22"/>
              </w:rPr>
              <w:t>3</w:t>
            </w:r>
          </w:p>
        </w:tc>
        <w:tc>
          <w:tcPr>
            <w:tcW w:w="1872" w:type="dxa"/>
            <w:tcBorders>
              <w:top w:val="nil"/>
              <w:left w:val="nil"/>
              <w:bottom w:val="nil"/>
              <w:right w:val="nil"/>
            </w:tcBorders>
          </w:tcPr>
          <w:p w14:paraId="5F4574A4" w14:textId="77777777" w:rsidR="00724C44" w:rsidRPr="0023718D" w:rsidRDefault="00724C44" w:rsidP="0023718D">
            <w:pPr>
              <w:spacing w:after="0" w:line="240" w:lineRule="auto"/>
              <w:jc w:val="both"/>
              <w:rPr>
                <w:sz w:val="22"/>
                <w:szCs w:val="22"/>
              </w:rPr>
            </w:pPr>
            <w:r w:rsidRPr="0023718D">
              <w:rPr>
                <w:sz w:val="22"/>
                <w:szCs w:val="22"/>
              </w:rPr>
              <w:t>0.8%</w:t>
            </w:r>
          </w:p>
        </w:tc>
      </w:tr>
      <w:tr w:rsidR="00724C44" w:rsidRPr="00724C44" w14:paraId="021EA52B" w14:textId="77777777" w:rsidTr="00A5379F">
        <w:tc>
          <w:tcPr>
            <w:tcW w:w="1008" w:type="dxa"/>
            <w:tcBorders>
              <w:top w:val="nil"/>
              <w:left w:val="nil"/>
              <w:bottom w:val="nil"/>
              <w:right w:val="nil"/>
            </w:tcBorders>
          </w:tcPr>
          <w:p w14:paraId="2A3FB74E" w14:textId="77777777" w:rsidR="00724C44" w:rsidRPr="0023718D" w:rsidRDefault="00724C44" w:rsidP="0023718D">
            <w:pPr>
              <w:spacing w:after="0" w:line="240" w:lineRule="auto"/>
              <w:jc w:val="both"/>
              <w:rPr>
                <w:sz w:val="22"/>
                <w:szCs w:val="22"/>
              </w:rPr>
            </w:pPr>
            <w:r w:rsidRPr="0023718D">
              <w:rPr>
                <w:sz w:val="22"/>
                <w:szCs w:val="22"/>
              </w:rPr>
              <w:t>13</w:t>
            </w:r>
          </w:p>
        </w:tc>
        <w:tc>
          <w:tcPr>
            <w:tcW w:w="5040" w:type="dxa"/>
            <w:tcBorders>
              <w:top w:val="nil"/>
              <w:left w:val="nil"/>
              <w:bottom w:val="nil"/>
              <w:right w:val="nil"/>
            </w:tcBorders>
          </w:tcPr>
          <w:p w14:paraId="6968021A" w14:textId="77777777" w:rsidR="00724C44" w:rsidRPr="0023718D" w:rsidRDefault="00724C44" w:rsidP="0023718D">
            <w:pPr>
              <w:spacing w:after="0" w:line="240" w:lineRule="auto"/>
              <w:jc w:val="both"/>
              <w:rPr>
                <w:sz w:val="22"/>
                <w:szCs w:val="22"/>
              </w:rPr>
            </w:pPr>
            <w:r w:rsidRPr="0023718D">
              <w:rPr>
                <w:sz w:val="22"/>
                <w:szCs w:val="22"/>
              </w:rPr>
              <w:t>Fraud detection</w:t>
            </w:r>
          </w:p>
        </w:tc>
        <w:tc>
          <w:tcPr>
            <w:tcW w:w="1296" w:type="dxa"/>
            <w:tcBorders>
              <w:top w:val="nil"/>
              <w:left w:val="nil"/>
              <w:bottom w:val="nil"/>
              <w:right w:val="nil"/>
            </w:tcBorders>
          </w:tcPr>
          <w:p w14:paraId="56258652" w14:textId="77777777" w:rsidR="00724C44" w:rsidRPr="0023718D" w:rsidRDefault="00724C44" w:rsidP="0023718D">
            <w:pPr>
              <w:spacing w:after="0" w:line="240" w:lineRule="auto"/>
              <w:jc w:val="both"/>
              <w:rPr>
                <w:sz w:val="22"/>
                <w:szCs w:val="22"/>
              </w:rPr>
            </w:pPr>
            <w:r w:rsidRPr="0023718D">
              <w:rPr>
                <w:sz w:val="22"/>
                <w:szCs w:val="22"/>
              </w:rPr>
              <w:t>3</w:t>
            </w:r>
          </w:p>
        </w:tc>
        <w:tc>
          <w:tcPr>
            <w:tcW w:w="1872" w:type="dxa"/>
            <w:tcBorders>
              <w:top w:val="nil"/>
              <w:left w:val="nil"/>
              <w:bottom w:val="nil"/>
              <w:right w:val="nil"/>
            </w:tcBorders>
          </w:tcPr>
          <w:p w14:paraId="789EE0AF" w14:textId="77777777" w:rsidR="00724C44" w:rsidRPr="0023718D" w:rsidRDefault="00724C44" w:rsidP="0023718D">
            <w:pPr>
              <w:spacing w:after="0" w:line="240" w:lineRule="auto"/>
              <w:jc w:val="both"/>
              <w:rPr>
                <w:sz w:val="22"/>
                <w:szCs w:val="22"/>
              </w:rPr>
            </w:pPr>
            <w:r w:rsidRPr="0023718D">
              <w:rPr>
                <w:sz w:val="22"/>
                <w:szCs w:val="22"/>
              </w:rPr>
              <w:t>0.8%</w:t>
            </w:r>
          </w:p>
        </w:tc>
      </w:tr>
      <w:tr w:rsidR="00724C44" w:rsidRPr="00724C44" w14:paraId="08F06DB6" w14:textId="77777777" w:rsidTr="00A5379F">
        <w:tc>
          <w:tcPr>
            <w:tcW w:w="1008" w:type="dxa"/>
            <w:tcBorders>
              <w:top w:val="nil"/>
              <w:left w:val="nil"/>
              <w:bottom w:val="nil"/>
              <w:right w:val="nil"/>
            </w:tcBorders>
          </w:tcPr>
          <w:p w14:paraId="6CB32561" w14:textId="77777777" w:rsidR="00724C44" w:rsidRPr="0023718D" w:rsidRDefault="00724C44" w:rsidP="0023718D">
            <w:pPr>
              <w:spacing w:after="0" w:line="240" w:lineRule="auto"/>
              <w:jc w:val="both"/>
              <w:rPr>
                <w:sz w:val="22"/>
                <w:szCs w:val="22"/>
              </w:rPr>
            </w:pPr>
            <w:r w:rsidRPr="0023718D">
              <w:rPr>
                <w:sz w:val="22"/>
                <w:szCs w:val="22"/>
              </w:rPr>
              <w:t>14</w:t>
            </w:r>
          </w:p>
        </w:tc>
        <w:tc>
          <w:tcPr>
            <w:tcW w:w="5040" w:type="dxa"/>
            <w:tcBorders>
              <w:top w:val="nil"/>
              <w:left w:val="nil"/>
              <w:bottom w:val="nil"/>
              <w:right w:val="nil"/>
            </w:tcBorders>
          </w:tcPr>
          <w:p w14:paraId="2FADF460" w14:textId="77777777" w:rsidR="00724C44" w:rsidRPr="0023718D" w:rsidRDefault="00724C44" w:rsidP="0023718D">
            <w:pPr>
              <w:spacing w:after="0" w:line="240" w:lineRule="auto"/>
              <w:jc w:val="both"/>
              <w:rPr>
                <w:sz w:val="22"/>
                <w:szCs w:val="22"/>
              </w:rPr>
            </w:pPr>
            <w:r w:rsidRPr="0023718D">
              <w:rPr>
                <w:sz w:val="22"/>
                <w:szCs w:val="22"/>
              </w:rPr>
              <w:t>Multi-currency/multi-jurisdiction processing</w:t>
            </w:r>
          </w:p>
        </w:tc>
        <w:tc>
          <w:tcPr>
            <w:tcW w:w="1296" w:type="dxa"/>
            <w:tcBorders>
              <w:top w:val="nil"/>
              <w:left w:val="nil"/>
              <w:bottom w:val="nil"/>
              <w:right w:val="nil"/>
            </w:tcBorders>
          </w:tcPr>
          <w:p w14:paraId="3F84D447" w14:textId="77777777" w:rsidR="00724C44" w:rsidRPr="0023718D" w:rsidRDefault="00724C44" w:rsidP="0023718D">
            <w:pPr>
              <w:spacing w:after="0" w:line="240" w:lineRule="auto"/>
              <w:jc w:val="both"/>
              <w:rPr>
                <w:sz w:val="22"/>
                <w:szCs w:val="22"/>
              </w:rPr>
            </w:pPr>
            <w:r w:rsidRPr="0023718D">
              <w:rPr>
                <w:sz w:val="22"/>
                <w:szCs w:val="22"/>
              </w:rPr>
              <w:t>3</w:t>
            </w:r>
          </w:p>
        </w:tc>
        <w:tc>
          <w:tcPr>
            <w:tcW w:w="1872" w:type="dxa"/>
            <w:tcBorders>
              <w:top w:val="nil"/>
              <w:left w:val="nil"/>
              <w:bottom w:val="nil"/>
              <w:right w:val="nil"/>
            </w:tcBorders>
          </w:tcPr>
          <w:p w14:paraId="65D0739E" w14:textId="77777777" w:rsidR="00724C44" w:rsidRPr="0023718D" w:rsidRDefault="00724C44" w:rsidP="0023718D">
            <w:pPr>
              <w:spacing w:after="0" w:line="240" w:lineRule="auto"/>
              <w:jc w:val="both"/>
              <w:rPr>
                <w:sz w:val="22"/>
                <w:szCs w:val="22"/>
              </w:rPr>
            </w:pPr>
            <w:r w:rsidRPr="0023718D">
              <w:rPr>
                <w:sz w:val="22"/>
                <w:szCs w:val="22"/>
              </w:rPr>
              <w:t>0.8%</w:t>
            </w:r>
          </w:p>
        </w:tc>
      </w:tr>
      <w:tr w:rsidR="00724C44" w:rsidRPr="00724C44" w14:paraId="0F84F430" w14:textId="77777777" w:rsidTr="00A5379F">
        <w:tc>
          <w:tcPr>
            <w:tcW w:w="1008" w:type="dxa"/>
            <w:tcBorders>
              <w:top w:val="nil"/>
              <w:left w:val="nil"/>
              <w:bottom w:val="nil"/>
              <w:right w:val="nil"/>
            </w:tcBorders>
          </w:tcPr>
          <w:p w14:paraId="0AAD9585" w14:textId="77777777" w:rsidR="00724C44" w:rsidRPr="0023718D" w:rsidRDefault="00724C44" w:rsidP="0023718D">
            <w:pPr>
              <w:spacing w:after="0" w:line="240" w:lineRule="auto"/>
              <w:jc w:val="both"/>
              <w:rPr>
                <w:sz w:val="22"/>
                <w:szCs w:val="22"/>
              </w:rPr>
            </w:pPr>
            <w:r w:rsidRPr="0023718D">
              <w:rPr>
                <w:sz w:val="22"/>
                <w:szCs w:val="22"/>
              </w:rPr>
              <w:t>15</w:t>
            </w:r>
          </w:p>
        </w:tc>
        <w:tc>
          <w:tcPr>
            <w:tcW w:w="5040" w:type="dxa"/>
            <w:tcBorders>
              <w:top w:val="nil"/>
              <w:left w:val="nil"/>
              <w:bottom w:val="nil"/>
              <w:right w:val="nil"/>
            </w:tcBorders>
          </w:tcPr>
          <w:p w14:paraId="404DBDD9" w14:textId="77777777" w:rsidR="00724C44" w:rsidRPr="0023718D" w:rsidRDefault="00724C44" w:rsidP="0023718D">
            <w:pPr>
              <w:spacing w:after="0" w:line="240" w:lineRule="auto"/>
              <w:jc w:val="both"/>
              <w:rPr>
                <w:sz w:val="22"/>
                <w:szCs w:val="22"/>
              </w:rPr>
            </w:pPr>
            <w:r w:rsidRPr="0023718D">
              <w:rPr>
                <w:sz w:val="22"/>
                <w:szCs w:val="22"/>
              </w:rPr>
              <w:t>Employee self-service portal with AI assistance</w:t>
            </w:r>
          </w:p>
        </w:tc>
        <w:tc>
          <w:tcPr>
            <w:tcW w:w="1296" w:type="dxa"/>
            <w:tcBorders>
              <w:top w:val="nil"/>
              <w:left w:val="nil"/>
              <w:bottom w:val="nil"/>
              <w:right w:val="nil"/>
            </w:tcBorders>
          </w:tcPr>
          <w:p w14:paraId="0178FFF5" w14:textId="77777777" w:rsidR="00724C44" w:rsidRPr="0023718D" w:rsidRDefault="00724C44" w:rsidP="0023718D">
            <w:pPr>
              <w:spacing w:after="0" w:line="240" w:lineRule="auto"/>
              <w:jc w:val="both"/>
              <w:rPr>
                <w:sz w:val="22"/>
                <w:szCs w:val="22"/>
              </w:rPr>
            </w:pPr>
            <w:r w:rsidRPr="0023718D">
              <w:rPr>
                <w:sz w:val="22"/>
                <w:szCs w:val="22"/>
              </w:rPr>
              <w:t>2</w:t>
            </w:r>
          </w:p>
        </w:tc>
        <w:tc>
          <w:tcPr>
            <w:tcW w:w="1872" w:type="dxa"/>
            <w:tcBorders>
              <w:top w:val="nil"/>
              <w:left w:val="nil"/>
              <w:bottom w:val="nil"/>
              <w:right w:val="nil"/>
            </w:tcBorders>
          </w:tcPr>
          <w:p w14:paraId="1A00107B" w14:textId="77777777" w:rsidR="00724C44" w:rsidRPr="0023718D" w:rsidRDefault="00724C44" w:rsidP="0023718D">
            <w:pPr>
              <w:spacing w:after="0" w:line="240" w:lineRule="auto"/>
              <w:jc w:val="both"/>
              <w:rPr>
                <w:sz w:val="22"/>
                <w:szCs w:val="22"/>
              </w:rPr>
            </w:pPr>
            <w:r w:rsidRPr="0023718D">
              <w:rPr>
                <w:sz w:val="22"/>
                <w:szCs w:val="22"/>
              </w:rPr>
              <w:t>0.5%</w:t>
            </w:r>
          </w:p>
        </w:tc>
      </w:tr>
      <w:tr w:rsidR="00724C44" w:rsidRPr="00724C44" w14:paraId="3181A786" w14:textId="77777777" w:rsidTr="00A5379F">
        <w:tc>
          <w:tcPr>
            <w:tcW w:w="1008" w:type="dxa"/>
            <w:tcBorders>
              <w:top w:val="nil"/>
              <w:left w:val="nil"/>
              <w:bottom w:val="single" w:sz="4" w:space="0" w:color="000000"/>
              <w:right w:val="nil"/>
            </w:tcBorders>
          </w:tcPr>
          <w:p w14:paraId="7A988893" w14:textId="77777777" w:rsidR="00724C44" w:rsidRPr="0023718D" w:rsidRDefault="00724C44" w:rsidP="0023718D">
            <w:pPr>
              <w:spacing w:after="0" w:line="240" w:lineRule="auto"/>
              <w:jc w:val="both"/>
              <w:rPr>
                <w:sz w:val="22"/>
                <w:szCs w:val="22"/>
              </w:rPr>
            </w:pPr>
          </w:p>
        </w:tc>
        <w:tc>
          <w:tcPr>
            <w:tcW w:w="5040" w:type="dxa"/>
            <w:tcBorders>
              <w:top w:val="nil"/>
              <w:left w:val="nil"/>
              <w:bottom w:val="single" w:sz="4" w:space="0" w:color="000000"/>
              <w:right w:val="nil"/>
            </w:tcBorders>
          </w:tcPr>
          <w:p w14:paraId="48BC5B43" w14:textId="77777777" w:rsidR="00724C44" w:rsidRPr="0023718D" w:rsidRDefault="00724C44" w:rsidP="0023718D">
            <w:pPr>
              <w:spacing w:after="0" w:line="240" w:lineRule="auto"/>
              <w:jc w:val="both"/>
              <w:rPr>
                <w:sz w:val="22"/>
                <w:szCs w:val="22"/>
              </w:rPr>
            </w:pPr>
            <w:r w:rsidRPr="0023718D">
              <w:rPr>
                <w:sz w:val="22"/>
                <w:szCs w:val="22"/>
              </w:rPr>
              <w:t>Mean Functions Implemented per Organization</w:t>
            </w:r>
          </w:p>
        </w:tc>
        <w:tc>
          <w:tcPr>
            <w:tcW w:w="1296" w:type="dxa"/>
            <w:tcBorders>
              <w:top w:val="nil"/>
              <w:left w:val="nil"/>
              <w:bottom w:val="single" w:sz="4" w:space="0" w:color="000000"/>
              <w:right w:val="nil"/>
            </w:tcBorders>
          </w:tcPr>
          <w:p w14:paraId="7D05F220" w14:textId="77777777" w:rsidR="00724C44" w:rsidRPr="0023718D" w:rsidRDefault="00724C44" w:rsidP="0023718D">
            <w:pPr>
              <w:spacing w:after="0" w:line="240" w:lineRule="auto"/>
              <w:jc w:val="both"/>
              <w:rPr>
                <w:sz w:val="22"/>
                <w:szCs w:val="22"/>
              </w:rPr>
            </w:pPr>
            <w:r w:rsidRPr="0023718D">
              <w:rPr>
                <w:sz w:val="22"/>
                <w:szCs w:val="22"/>
              </w:rPr>
              <w:t>4.98</w:t>
            </w:r>
          </w:p>
        </w:tc>
        <w:tc>
          <w:tcPr>
            <w:tcW w:w="1872" w:type="dxa"/>
            <w:tcBorders>
              <w:top w:val="nil"/>
              <w:left w:val="nil"/>
              <w:bottom w:val="single" w:sz="4" w:space="0" w:color="000000"/>
              <w:right w:val="nil"/>
            </w:tcBorders>
          </w:tcPr>
          <w:p w14:paraId="6826BF31" w14:textId="77777777" w:rsidR="00724C44" w:rsidRPr="0023718D" w:rsidRDefault="00724C44" w:rsidP="0023718D">
            <w:pPr>
              <w:spacing w:after="0" w:line="240" w:lineRule="auto"/>
              <w:jc w:val="both"/>
              <w:rPr>
                <w:sz w:val="22"/>
                <w:szCs w:val="22"/>
              </w:rPr>
            </w:pPr>
          </w:p>
        </w:tc>
      </w:tr>
    </w:tbl>
    <w:p w14:paraId="560488A9" w14:textId="554B8DC5" w:rsidR="00724C44" w:rsidRPr="00724C44" w:rsidRDefault="00724C44" w:rsidP="00724C44">
      <w:pPr>
        <w:spacing w:line="240" w:lineRule="auto"/>
        <w:jc w:val="both"/>
      </w:pPr>
      <w:r w:rsidRPr="00724C44">
        <w:t>The function checklist reveals clear adoption priorities. Core payroll functions — automated calculations (97.2%) and tax withholding (98.0</w:t>
      </w:r>
      <w:proofErr w:type="gramStart"/>
      <w:r w:rsidRPr="00724C44">
        <w:t>%) —</w:t>
      </w:r>
      <w:proofErr w:type="gramEnd"/>
      <w:r w:rsidRPr="00724C44">
        <w:t xml:space="preserve"> are nearly universal. Time and attendance integration</w:t>
      </w:r>
      <w:r w:rsidR="00C313FF">
        <w:t>, as well as ERP/HRIS integration,</w:t>
      </w:r>
      <w:r w:rsidRPr="00724C44">
        <w:t xml:space="preserve"> also show strong adoption, reflecting the importance of system connectivity.</w:t>
      </w:r>
    </w:p>
    <w:p w14:paraId="06FB9217" w14:textId="77777777" w:rsidR="00724C44" w:rsidRPr="00724C44" w:rsidRDefault="00724C44" w:rsidP="00724C44">
      <w:pPr>
        <w:spacing w:line="240" w:lineRule="auto"/>
        <w:jc w:val="both"/>
      </w:pPr>
      <w:r w:rsidRPr="00724C44">
        <w:t>Advanced analytical functions show more varied adoption: compensation benchmarking, pay equity analysis, and workforce cost forecasting are implemented by fewer than half of organizations. Cutting-edge capabilities such as natural language processing and scenario modeling remain limited to early adopters. On average, organizations have implemented 4.98 of the 15 functions surveyed, indicating selective adoption focused on core operational needs.</w:t>
      </w:r>
    </w:p>
    <w:p w14:paraId="7C2035E6" w14:textId="77777777" w:rsidR="00724C44" w:rsidRPr="00724C44" w:rsidRDefault="00724C44" w:rsidP="00724C44">
      <w:pPr>
        <w:spacing w:line="240" w:lineRule="auto"/>
        <w:jc w:val="both"/>
      </w:pPr>
      <w:r w:rsidRPr="00724C44">
        <w:rPr>
          <w:b/>
        </w:rPr>
        <w:t>4.4.6 Overall AI Integration Summary</w:t>
      </w:r>
    </w:p>
    <w:p w14:paraId="7AC0A592" w14:textId="77777777" w:rsidR="00724C44" w:rsidRPr="00724C44" w:rsidRDefault="00724C44" w:rsidP="00724C44">
      <w:pPr>
        <w:spacing w:line="240" w:lineRule="auto"/>
        <w:jc w:val="both"/>
      </w:pPr>
      <w:r w:rsidRPr="00724C44">
        <w:t>Table 4.9 summarizes the AI integration findings across all dimensions. The overall AI Integration composite score was calculated as the mean of the four subscale means (B1–B4).</w:t>
      </w:r>
    </w:p>
    <w:p w14:paraId="4B9CDD55" w14:textId="77777777" w:rsidR="00724C44" w:rsidRPr="00724C44" w:rsidRDefault="00724C44" w:rsidP="00724C44">
      <w:pPr>
        <w:spacing w:line="240" w:lineRule="auto"/>
        <w:jc w:val="both"/>
      </w:pPr>
      <w:r w:rsidRPr="00724C44">
        <w:rPr>
          <w:b/>
        </w:rPr>
        <w:t>Table 4.9</w:t>
      </w:r>
    </w:p>
    <w:p w14:paraId="5BE3D321" w14:textId="77777777" w:rsidR="00724C44" w:rsidRPr="00724C44" w:rsidRDefault="00724C44" w:rsidP="00724C44">
      <w:pPr>
        <w:spacing w:line="240" w:lineRule="auto"/>
        <w:jc w:val="both"/>
      </w:pPr>
      <w:r w:rsidRPr="00724C44">
        <w:rPr>
          <w:i/>
        </w:rPr>
        <w:t>AI Integration Construct Summary</w:t>
      </w:r>
    </w:p>
    <w:tbl>
      <w:tblPr>
        <w:tblW w:w="0" w:type="auto"/>
        <w:tblLayout w:type="fixed"/>
        <w:tblLook w:val="04A0" w:firstRow="1" w:lastRow="0" w:firstColumn="1" w:lastColumn="0" w:noHBand="0" w:noVBand="1"/>
      </w:tblPr>
      <w:tblGrid>
        <w:gridCol w:w="5040"/>
        <w:gridCol w:w="1008"/>
        <w:gridCol w:w="1008"/>
        <w:gridCol w:w="2160"/>
      </w:tblGrid>
      <w:tr w:rsidR="00724C44" w:rsidRPr="00724C44" w14:paraId="0B914A12" w14:textId="77777777" w:rsidTr="00A5379F">
        <w:tc>
          <w:tcPr>
            <w:tcW w:w="5040" w:type="dxa"/>
            <w:tcBorders>
              <w:top w:val="single" w:sz="4" w:space="0" w:color="000000"/>
              <w:left w:val="nil"/>
              <w:bottom w:val="single" w:sz="4" w:space="0" w:color="000000"/>
              <w:right w:val="nil"/>
            </w:tcBorders>
          </w:tcPr>
          <w:p w14:paraId="4E277D3E" w14:textId="77777777" w:rsidR="00724C44" w:rsidRPr="0023718D" w:rsidRDefault="00724C44" w:rsidP="0023718D">
            <w:pPr>
              <w:spacing w:after="0" w:line="240" w:lineRule="auto"/>
              <w:jc w:val="both"/>
              <w:rPr>
                <w:sz w:val="22"/>
                <w:szCs w:val="22"/>
              </w:rPr>
            </w:pPr>
            <w:r w:rsidRPr="0023718D">
              <w:rPr>
                <w:b/>
                <w:sz w:val="22"/>
                <w:szCs w:val="22"/>
              </w:rPr>
              <w:t>Dimension</w:t>
            </w:r>
          </w:p>
        </w:tc>
        <w:tc>
          <w:tcPr>
            <w:tcW w:w="1008" w:type="dxa"/>
            <w:tcBorders>
              <w:top w:val="single" w:sz="4" w:space="0" w:color="000000"/>
              <w:left w:val="nil"/>
              <w:bottom w:val="single" w:sz="4" w:space="0" w:color="000000"/>
              <w:right w:val="nil"/>
            </w:tcBorders>
          </w:tcPr>
          <w:p w14:paraId="5BFC8EB6" w14:textId="77777777" w:rsidR="00724C44" w:rsidRPr="0023718D" w:rsidRDefault="00724C44" w:rsidP="0023718D">
            <w:pPr>
              <w:spacing w:after="0" w:line="240" w:lineRule="auto"/>
              <w:jc w:val="both"/>
              <w:rPr>
                <w:sz w:val="22"/>
                <w:szCs w:val="22"/>
              </w:rPr>
            </w:pPr>
            <w:r w:rsidRPr="0023718D">
              <w:rPr>
                <w:b/>
                <w:sz w:val="22"/>
                <w:szCs w:val="22"/>
              </w:rPr>
              <w:t>M</w:t>
            </w:r>
          </w:p>
        </w:tc>
        <w:tc>
          <w:tcPr>
            <w:tcW w:w="1008" w:type="dxa"/>
            <w:tcBorders>
              <w:top w:val="single" w:sz="4" w:space="0" w:color="000000"/>
              <w:left w:val="nil"/>
              <w:bottom w:val="single" w:sz="4" w:space="0" w:color="000000"/>
              <w:right w:val="nil"/>
            </w:tcBorders>
          </w:tcPr>
          <w:p w14:paraId="02FBB822" w14:textId="77777777" w:rsidR="00724C44" w:rsidRPr="0023718D" w:rsidRDefault="00724C44" w:rsidP="0023718D">
            <w:pPr>
              <w:spacing w:after="0" w:line="240" w:lineRule="auto"/>
              <w:jc w:val="both"/>
              <w:rPr>
                <w:sz w:val="22"/>
                <w:szCs w:val="22"/>
              </w:rPr>
            </w:pPr>
            <w:r w:rsidRPr="0023718D">
              <w:rPr>
                <w:b/>
                <w:sz w:val="22"/>
                <w:szCs w:val="22"/>
              </w:rPr>
              <w:t>SD</w:t>
            </w:r>
          </w:p>
        </w:tc>
        <w:tc>
          <w:tcPr>
            <w:tcW w:w="2160" w:type="dxa"/>
            <w:tcBorders>
              <w:top w:val="single" w:sz="4" w:space="0" w:color="000000"/>
              <w:left w:val="nil"/>
              <w:bottom w:val="single" w:sz="4" w:space="0" w:color="000000"/>
              <w:right w:val="nil"/>
            </w:tcBorders>
          </w:tcPr>
          <w:p w14:paraId="0DD3A5EE" w14:textId="77777777" w:rsidR="00724C44" w:rsidRPr="0023718D" w:rsidRDefault="00724C44" w:rsidP="0023718D">
            <w:pPr>
              <w:spacing w:after="0" w:line="240" w:lineRule="auto"/>
              <w:jc w:val="both"/>
              <w:rPr>
                <w:sz w:val="22"/>
                <w:szCs w:val="22"/>
              </w:rPr>
            </w:pPr>
            <w:r w:rsidRPr="0023718D">
              <w:rPr>
                <w:b/>
                <w:sz w:val="22"/>
                <w:szCs w:val="22"/>
              </w:rPr>
              <w:t>Interpretation</w:t>
            </w:r>
          </w:p>
        </w:tc>
      </w:tr>
      <w:tr w:rsidR="00724C44" w:rsidRPr="00724C44" w14:paraId="70E5928D" w14:textId="77777777" w:rsidTr="00A5379F">
        <w:tc>
          <w:tcPr>
            <w:tcW w:w="5040" w:type="dxa"/>
            <w:tcBorders>
              <w:top w:val="nil"/>
              <w:left w:val="nil"/>
              <w:bottom w:val="nil"/>
              <w:right w:val="nil"/>
            </w:tcBorders>
          </w:tcPr>
          <w:p w14:paraId="5FD35E44" w14:textId="77777777" w:rsidR="00724C44" w:rsidRPr="0023718D" w:rsidRDefault="00724C44" w:rsidP="0023718D">
            <w:pPr>
              <w:spacing w:after="0" w:line="240" w:lineRule="auto"/>
              <w:jc w:val="both"/>
              <w:rPr>
                <w:sz w:val="22"/>
                <w:szCs w:val="22"/>
              </w:rPr>
            </w:pPr>
            <w:r w:rsidRPr="0023718D">
              <w:rPr>
                <w:sz w:val="22"/>
                <w:szCs w:val="22"/>
              </w:rPr>
              <w:t>B1: AI Technology Adoption</w:t>
            </w:r>
          </w:p>
        </w:tc>
        <w:tc>
          <w:tcPr>
            <w:tcW w:w="1008" w:type="dxa"/>
            <w:tcBorders>
              <w:top w:val="nil"/>
              <w:left w:val="nil"/>
              <w:bottom w:val="nil"/>
              <w:right w:val="nil"/>
            </w:tcBorders>
          </w:tcPr>
          <w:p w14:paraId="4AD44CB7" w14:textId="77777777" w:rsidR="00724C44" w:rsidRPr="0023718D" w:rsidRDefault="00724C44" w:rsidP="0023718D">
            <w:pPr>
              <w:spacing w:after="0" w:line="240" w:lineRule="auto"/>
              <w:jc w:val="both"/>
              <w:rPr>
                <w:sz w:val="22"/>
                <w:szCs w:val="22"/>
              </w:rPr>
            </w:pPr>
            <w:r w:rsidRPr="0023718D">
              <w:rPr>
                <w:sz w:val="22"/>
                <w:szCs w:val="22"/>
              </w:rPr>
              <w:t>3.73</w:t>
            </w:r>
          </w:p>
        </w:tc>
        <w:tc>
          <w:tcPr>
            <w:tcW w:w="1008" w:type="dxa"/>
            <w:tcBorders>
              <w:top w:val="nil"/>
              <w:left w:val="nil"/>
              <w:bottom w:val="nil"/>
              <w:right w:val="nil"/>
            </w:tcBorders>
          </w:tcPr>
          <w:p w14:paraId="4D8FE58A" w14:textId="77777777" w:rsidR="00724C44" w:rsidRPr="0023718D" w:rsidRDefault="00724C44" w:rsidP="0023718D">
            <w:pPr>
              <w:spacing w:after="0" w:line="240" w:lineRule="auto"/>
              <w:jc w:val="both"/>
              <w:rPr>
                <w:sz w:val="22"/>
                <w:szCs w:val="22"/>
              </w:rPr>
            </w:pPr>
            <w:r w:rsidRPr="0023718D">
              <w:rPr>
                <w:sz w:val="22"/>
                <w:szCs w:val="22"/>
              </w:rPr>
              <w:t>0.60</w:t>
            </w:r>
          </w:p>
        </w:tc>
        <w:tc>
          <w:tcPr>
            <w:tcW w:w="2160" w:type="dxa"/>
            <w:tcBorders>
              <w:top w:val="nil"/>
              <w:left w:val="nil"/>
              <w:bottom w:val="nil"/>
              <w:right w:val="nil"/>
            </w:tcBorders>
          </w:tcPr>
          <w:p w14:paraId="2465CFE7" w14:textId="77777777" w:rsidR="00724C44" w:rsidRPr="0023718D" w:rsidRDefault="00724C44" w:rsidP="0023718D">
            <w:pPr>
              <w:spacing w:after="0" w:line="240" w:lineRule="auto"/>
              <w:jc w:val="both"/>
              <w:rPr>
                <w:sz w:val="22"/>
                <w:szCs w:val="22"/>
              </w:rPr>
            </w:pPr>
            <w:r w:rsidRPr="0023718D">
              <w:rPr>
                <w:sz w:val="22"/>
                <w:szCs w:val="22"/>
              </w:rPr>
              <w:t>Moderate</w:t>
            </w:r>
          </w:p>
        </w:tc>
      </w:tr>
      <w:tr w:rsidR="00724C44" w:rsidRPr="00724C44" w14:paraId="07836808" w14:textId="77777777" w:rsidTr="00A5379F">
        <w:tc>
          <w:tcPr>
            <w:tcW w:w="5040" w:type="dxa"/>
            <w:tcBorders>
              <w:top w:val="nil"/>
              <w:left w:val="nil"/>
              <w:bottom w:val="nil"/>
              <w:right w:val="nil"/>
            </w:tcBorders>
          </w:tcPr>
          <w:p w14:paraId="32342FEC" w14:textId="77777777" w:rsidR="00724C44" w:rsidRPr="0023718D" w:rsidRDefault="00724C44" w:rsidP="0023718D">
            <w:pPr>
              <w:spacing w:after="0" w:line="240" w:lineRule="auto"/>
              <w:jc w:val="both"/>
              <w:rPr>
                <w:sz w:val="22"/>
                <w:szCs w:val="22"/>
              </w:rPr>
            </w:pPr>
            <w:r w:rsidRPr="0023718D">
              <w:rPr>
                <w:sz w:val="22"/>
                <w:szCs w:val="22"/>
              </w:rPr>
              <w:t>B2: AI Analytical Capabilities</w:t>
            </w:r>
          </w:p>
        </w:tc>
        <w:tc>
          <w:tcPr>
            <w:tcW w:w="1008" w:type="dxa"/>
            <w:tcBorders>
              <w:top w:val="nil"/>
              <w:left w:val="nil"/>
              <w:bottom w:val="nil"/>
              <w:right w:val="nil"/>
            </w:tcBorders>
          </w:tcPr>
          <w:p w14:paraId="171F3E96" w14:textId="77777777" w:rsidR="00724C44" w:rsidRPr="0023718D" w:rsidRDefault="00724C44" w:rsidP="0023718D">
            <w:pPr>
              <w:spacing w:after="0" w:line="240" w:lineRule="auto"/>
              <w:jc w:val="both"/>
              <w:rPr>
                <w:sz w:val="22"/>
                <w:szCs w:val="22"/>
              </w:rPr>
            </w:pPr>
            <w:r w:rsidRPr="0023718D">
              <w:rPr>
                <w:sz w:val="22"/>
                <w:szCs w:val="22"/>
              </w:rPr>
              <w:t>5.26</w:t>
            </w:r>
          </w:p>
        </w:tc>
        <w:tc>
          <w:tcPr>
            <w:tcW w:w="1008" w:type="dxa"/>
            <w:tcBorders>
              <w:top w:val="nil"/>
              <w:left w:val="nil"/>
              <w:bottom w:val="nil"/>
              <w:right w:val="nil"/>
            </w:tcBorders>
          </w:tcPr>
          <w:p w14:paraId="24B0CFC5" w14:textId="77777777" w:rsidR="00724C44" w:rsidRPr="0023718D" w:rsidRDefault="00724C44" w:rsidP="0023718D">
            <w:pPr>
              <w:spacing w:after="0" w:line="240" w:lineRule="auto"/>
              <w:jc w:val="both"/>
              <w:rPr>
                <w:sz w:val="22"/>
                <w:szCs w:val="22"/>
              </w:rPr>
            </w:pPr>
            <w:r w:rsidRPr="0023718D">
              <w:rPr>
                <w:sz w:val="22"/>
                <w:szCs w:val="22"/>
              </w:rPr>
              <w:t>0.69</w:t>
            </w:r>
          </w:p>
        </w:tc>
        <w:tc>
          <w:tcPr>
            <w:tcW w:w="2160" w:type="dxa"/>
            <w:tcBorders>
              <w:top w:val="nil"/>
              <w:left w:val="nil"/>
              <w:bottom w:val="nil"/>
              <w:right w:val="nil"/>
            </w:tcBorders>
          </w:tcPr>
          <w:p w14:paraId="2E1F72CA"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5FB02A39" w14:textId="77777777" w:rsidTr="00A5379F">
        <w:tc>
          <w:tcPr>
            <w:tcW w:w="5040" w:type="dxa"/>
            <w:tcBorders>
              <w:top w:val="nil"/>
              <w:left w:val="nil"/>
              <w:bottom w:val="nil"/>
              <w:right w:val="nil"/>
            </w:tcBorders>
          </w:tcPr>
          <w:p w14:paraId="573ABAAB" w14:textId="77777777" w:rsidR="00724C44" w:rsidRPr="0023718D" w:rsidRDefault="00724C44" w:rsidP="0023718D">
            <w:pPr>
              <w:spacing w:after="0" w:line="240" w:lineRule="auto"/>
              <w:jc w:val="both"/>
              <w:rPr>
                <w:sz w:val="22"/>
                <w:szCs w:val="22"/>
              </w:rPr>
            </w:pPr>
            <w:r w:rsidRPr="0023718D">
              <w:rPr>
                <w:sz w:val="22"/>
                <w:szCs w:val="22"/>
              </w:rPr>
              <w:t>B3: AI Compliance Capabilities</w:t>
            </w:r>
          </w:p>
        </w:tc>
        <w:tc>
          <w:tcPr>
            <w:tcW w:w="1008" w:type="dxa"/>
            <w:tcBorders>
              <w:top w:val="nil"/>
              <w:left w:val="nil"/>
              <w:bottom w:val="nil"/>
              <w:right w:val="nil"/>
            </w:tcBorders>
          </w:tcPr>
          <w:p w14:paraId="03182211" w14:textId="77777777" w:rsidR="00724C44" w:rsidRPr="0023718D" w:rsidRDefault="00724C44" w:rsidP="0023718D">
            <w:pPr>
              <w:spacing w:after="0" w:line="240" w:lineRule="auto"/>
              <w:jc w:val="both"/>
              <w:rPr>
                <w:sz w:val="22"/>
                <w:szCs w:val="22"/>
              </w:rPr>
            </w:pPr>
            <w:r w:rsidRPr="0023718D">
              <w:rPr>
                <w:sz w:val="22"/>
                <w:szCs w:val="22"/>
              </w:rPr>
              <w:t>4.37</w:t>
            </w:r>
          </w:p>
        </w:tc>
        <w:tc>
          <w:tcPr>
            <w:tcW w:w="1008" w:type="dxa"/>
            <w:tcBorders>
              <w:top w:val="nil"/>
              <w:left w:val="nil"/>
              <w:bottom w:val="nil"/>
              <w:right w:val="nil"/>
            </w:tcBorders>
          </w:tcPr>
          <w:p w14:paraId="4FDFA7E3" w14:textId="77777777" w:rsidR="00724C44" w:rsidRPr="0023718D" w:rsidRDefault="00724C44" w:rsidP="0023718D">
            <w:pPr>
              <w:spacing w:after="0" w:line="240" w:lineRule="auto"/>
              <w:jc w:val="both"/>
              <w:rPr>
                <w:sz w:val="22"/>
                <w:szCs w:val="22"/>
              </w:rPr>
            </w:pPr>
            <w:r w:rsidRPr="0023718D">
              <w:rPr>
                <w:sz w:val="22"/>
                <w:szCs w:val="22"/>
              </w:rPr>
              <w:t>0.65</w:t>
            </w:r>
          </w:p>
        </w:tc>
        <w:tc>
          <w:tcPr>
            <w:tcW w:w="2160" w:type="dxa"/>
            <w:tcBorders>
              <w:top w:val="nil"/>
              <w:left w:val="nil"/>
              <w:bottom w:val="nil"/>
              <w:right w:val="nil"/>
            </w:tcBorders>
          </w:tcPr>
          <w:p w14:paraId="523894C5" w14:textId="77777777" w:rsidR="00724C44" w:rsidRPr="0023718D" w:rsidRDefault="00724C44" w:rsidP="0023718D">
            <w:pPr>
              <w:spacing w:after="0" w:line="240" w:lineRule="auto"/>
              <w:jc w:val="both"/>
              <w:rPr>
                <w:sz w:val="22"/>
                <w:szCs w:val="22"/>
              </w:rPr>
            </w:pPr>
            <w:r w:rsidRPr="0023718D">
              <w:rPr>
                <w:sz w:val="22"/>
                <w:szCs w:val="22"/>
              </w:rPr>
              <w:t>Moderate-High</w:t>
            </w:r>
          </w:p>
        </w:tc>
      </w:tr>
      <w:tr w:rsidR="00724C44" w:rsidRPr="00724C44" w14:paraId="0276E4C7" w14:textId="77777777" w:rsidTr="00A5379F">
        <w:tc>
          <w:tcPr>
            <w:tcW w:w="5040" w:type="dxa"/>
            <w:tcBorders>
              <w:top w:val="nil"/>
              <w:left w:val="nil"/>
              <w:bottom w:val="nil"/>
              <w:right w:val="nil"/>
            </w:tcBorders>
          </w:tcPr>
          <w:p w14:paraId="0450B2B0" w14:textId="77777777" w:rsidR="00724C44" w:rsidRPr="0023718D" w:rsidRDefault="00724C44" w:rsidP="0023718D">
            <w:pPr>
              <w:spacing w:after="0" w:line="240" w:lineRule="auto"/>
              <w:jc w:val="both"/>
              <w:rPr>
                <w:sz w:val="22"/>
                <w:szCs w:val="22"/>
              </w:rPr>
            </w:pPr>
            <w:r w:rsidRPr="0023718D">
              <w:rPr>
                <w:sz w:val="22"/>
                <w:szCs w:val="22"/>
              </w:rPr>
              <w:t>B4: AI Data Output Capabilities</w:t>
            </w:r>
          </w:p>
        </w:tc>
        <w:tc>
          <w:tcPr>
            <w:tcW w:w="1008" w:type="dxa"/>
            <w:tcBorders>
              <w:top w:val="nil"/>
              <w:left w:val="nil"/>
              <w:bottom w:val="nil"/>
              <w:right w:val="nil"/>
            </w:tcBorders>
          </w:tcPr>
          <w:p w14:paraId="26E3C595" w14:textId="77777777" w:rsidR="00724C44" w:rsidRPr="0023718D" w:rsidRDefault="00724C44" w:rsidP="0023718D">
            <w:pPr>
              <w:spacing w:after="0" w:line="240" w:lineRule="auto"/>
              <w:jc w:val="both"/>
              <w:rPr>
                <w:sz w:val="22"/>
                <w:szCs w:val="22"/>
              </w:rPr>
            </w:pPr>
            <w:r w:rsidRPr="0023718D">
              <w:rPr>
                <w:sz w:val="22"/>
                <w:szCs w:val="22"/>
              </w:rPr>
              <w:t>5.56</w:t>
            </w:r>
          </w:p>
        </w:tc>
        <w:tc>
          <w:tcPr>
            <w:tcW w:w="1008" w:type="dxa"/>
            <w:tcBorders>
              <w:top w:val="nil"/>
              <w:left w:val="nil"/>
              <w:bottom w:val="nil"/>
              <w:right w:val="nil"/>
            </w:tcBorders>
          </w:tcPr>
          <w:p w14:paraId="0B1FAF16" w14:textId="77777777" w:rsidR="00724C44" w:rsidRPr="0023718D" w:rsidRDefault="00724C44" w:rsidP="0023718D">
            <w:pPr>
              <w:spacing w:after="0" w:line="240" w:lineRule="auto"/>
              <w:jc w:val="both"/>
              <w:rPr>
                <w:sz w:val="22"/>
                <w:szCs w:val="22"/>
              </w:rPr>
            </w:pPr>
            <w:r w:rsidRPr="0023718D">
              <w:rPr>
                <w:sz w:val="22"/>
                <w:szCs w:val="22"/>
              </w:rPr>
              <w:t>0.72</w:t>
            </w:r>
          </w:p>
        </w:tc>
        <w:tc>
          <w:tcPr>
            <w:tcW w:w="2160" w:type="dxa"/>
            <w:tcBorders>
              <w:top w:val="nil"/>
              <w:left w:val="nil"/>
              <w:bottom w:val="nil"/>
              <w:right w:val="nil"/>
            </w:tcBorders>
          </w:tcPr>
          <w:p w14:paraId="598C9D2E"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58EF287C" w14:textId="77777777" w:rsidTr="00A5379F">
        <w:tc>
          <w:tcPr>
            <w:tcW w:w="5040" w:type="dxa"/>
            <w:tcBorders>
              <w:top w:val="nil"/>
              <w:left w:val="nil"/>
              <w:bottom w:val="nil"/>
              <w:right w:val="nil"/>
            </w:tcBorders>
          </w:tcPr>
          <w:p w14:paraId="26334B76" w14:textId="77777777" w:rsidR="00724C44" w:rsidRPr="0023718D" w:rsidRDefault="00724C44" w:rsidP="0023718D">
            <w:pPr>
              <w:spacing w:after="0" w:line="240" w:lineRule="auto"/>
              <w:jc w:val="both"/>
              <w:rPr>
                <w:sz w:val="22"/>
                <w:szCs w:val="22"/>
              </w:rPr>
            </w:pPr>
            <w:r w:rsidRPr="0023718D">
              <w:rPr>
                <w:sz w:val="22"/>
                <w:szCs w:val="22"/>
              </w:rPr>
              <w:t>B5: AI Functions (mean count of 15)</w:t>
            </w:r>
          </w:p>
        </w:tc>
        <w:tc>
          <w:tcPr>
            <w:tcW w:w="1008" w:type="dxa"/>
            <w:tcBorders>
              <w:top w:val="nil"/>
              <w:left w:val="nil"/>
              <w:bottom w:val="nil"/>
              <w:right w:val="nil"/>
            </w:tcBorders>
          </w:tcPr>
          <w:p w14:paraId="18E2A4F2" w14:textId="77777777" w:rsidR="00724C44" w:rsidRPr="0023718D" w:rsidRDefault="00724C44" w:rsidP="0023718D">
            <w:pPr>
              <w:spacing w:after="0" w:line="240" w:lineRule="auto"/>
              <w:jc w:val="both"/>
              <w:rPr>
                <w:sz w:val="22"/>
                <w:szCs w:val="22"/>
              </w:rPr>
            </w:pPr>
            <w:r w:rsidRPr="0023718D">
              <w:rPr>
                <w:sz w:val="22"/>
                <w:szCs w:val="22"/>
              </w:rPr>
              <w:t>4.98</w:t>
            </w:r>
          </w:p>
        </w:tc>
        <w:tc>
          <w:tcPr>
            <w:tcW w:w="1008" w:type="dxa"/>
            <w:tcBorders>
              <w:top w:val="nil"/>
              <w:left w:val="nil"/>
              <w:bottom w:val="nil"/>
              <w:right w:val="nil"/>
            </w:tcBorders>
          </w:tcPr>
          <w:p w14:paraId="49DE8F70" w14:textId="77777777" w:rsidR="00724C44" w:rsidRPr="0023718D" w:rsidRDefault="00724C44" w:rsidP="0023718D">
            <w:pPr>
              <w:spacing w:after="0" w:line="240" w:lineRule="auto"/>
              <w:jc w:val="both"/>
              <w:rPr>
                <w:sz w:val="22"/>
                <w:szCs w:val="22"/>
              </w:rPr>
            </w:pPr>
            <w:r w:rsidRPr="0023718D">
              <w:rPr>
                <w:sz w:val="22"/>
                <w:szCs w:val="22"/>
              </w:rPr>
              <w:t>1.07</w:t>
            </w:r>
          </w:p>
        </w:tc>
        <w:tc>
          <w:tcPr>
            <w:tcW w:w="2160" w:type="dxa"/>
            <w:tcBorders>
              <w:top w:val="nil"/>
              <w:left w:val="nil"/>
              <w:bottom w:val="nil"/>
              <w:right w:val="nil"/>
            </w:tcBorders>
          </w:tcPr>
          <w:p w14:paraId="7A318603" w14:textId="77777777" w:rsidR="00724C44" w:rsidRPr="0023718D" w:rsidRDefault="00724C44" w:rsidP="0023718D">
            <w:pPr>
              <w:spacing w:after="0" w:line="240" w:lineRule="auto"/>
              <w:jc w:val="both"/>
              <w:rPr>
                <w:sz w:val="22"/>
                <w:szCs w:val="22"/>
              </w:rPr>
            </w:pPr>
            <w:r w:rsidRPr="0023718D">
              <w:rPr>
                <w:sz w:val="22"/>
                <w:szCs w:val="22"/>
              </w:rPr>
              <w:t>4.98 functions</w:t>
            </w:r>
          </w:p>
        </w:tc>
      </w:tr>
      <w:tr w:rsidR="00724C44" w:rsidRPr="00724C44" w14:paraId="2824C9D4" w14:textId="77777777" w:rsidTr="00A5379F">
        <w:tc>
          <w:tcPr>
            <w:tcW w:w="5040" w:type="dxa"/>
            <w:tcBorders>
              <w:top w:val="nil"/>
              <w:left w:val="nil"/>
              <w:bottom w:val="single" w:sz="4" w:space="0" w:color="000000"/>
              <w:right w:val="nil"/>
            </w:tcBorders>
          </w:tcPr>
          <w:p w14:paraId="69F0FF93" w14:textId="77777777" w:rsidR="00724C44" w:rsidRPr="0023718D" w:rsidRDefault="00724C44" w:rsidP="0023718D">
            <w:pPr>
              <w:spacing w:after="0" w:line="240" w:lineRule="auto"/>
              <w:jc w:val="both"/>
              <w:rPr>
                <w:sz w:val="22"/>
                <w:szCs w:val="22"/>
              </w:rPr>
            </w:pPr>
            <w:proofErr w:type="gramStart"/>
            <w:r w:rsidRPr="0023718D">
              <w:rPr>
                <w:sz w:val="22"/>
                <w:szCs w:val="22"/>
              </w:rPr>
              <w:t>Overall</w:t>
            </w:r>
            <w:proofErr w:type="gramEnd"/>
            <w:r w:rsidRPr="0023718D">
              <w:rPr>
                <w:sz w:val="22"/>
                <w:szCs w:val="22"/>
              </w:rPr>
              <w:t xml:space="preserve"> AI Integration (B1-B4 average)</w:t>
            </w:r>
          </w:p>
        </w:tc>
        <w:tc>
          <w:tcPr>
            <w:tcW w:w="1008" w:type="dxa"/>
            <w:tcBorders>
              <w:top w:val="nil"/>
              <w:left w:val="nil"/>
              <w:bottom w:val="single" w:sz="4" w:space="0" w:color="000000"/>
              <w:right w:val="nil"/>
            </w:tcBorders>
          </w:tcPr>
          <w:p w14:paraId="5D89A522" w14:textId="77777777" w:rsidR="00724C44" w:rsidRPr="0023718D" w:rsidRDefault="00724C44" w:rsidP="0023718D">
            <w:pPr>
              <w:spacing w:after="0" w:line="240" w:lineRule="auto"/>
              <w:jc w:val="both"/>
              <w:rPr>
                <w:sz w:val="22"/>
                <w:szCs w:val="22"/>
              </w:rPr>
            </w:pPr>
            <w:r w:rsidRPr="0023718D">
              <w:rPr>
                <w:sz w:val="22"/>
                <w:szCs w:val="22"/>
              </w:rPr>
              <w:t>4.73</w:t>
            </w:r>
          </w:p>
        </w:tc>
        <w:tc>
          <w:tcPr>
            <w:tcW w:w="1008" w:type="dxa"/>
            <w:tcBorders>
              <w:top w:val="nil"/>
              <w:left w:val="nil"/>
              <w:bottom w:val="single" w:sz="4" w:space="0" w:color="000000"/>
              <w:right w:val="nil"/>
            </w:tcBorders>
          </w:tcPr>
          <w:p w14:paraId="0490F76D" w14:textId="77777777" w:rsidR="00724C44" w:rsidRPr="0023718D" w:rsidRDefault="00724C44" w:rsidP="0023718D">
            <w:pPr>
              <w:spacing w:after="0" w:line="240" w:lineRule="auto"/>
              <w:jc w:val="both"/>
              <w:rPr>
                <w:sz w:val="22"/>
                <w:szCs w:val="22"/>
              </w:rPr>
            </w:pPr>
            <w:r w:rsidRPr="0023718D">
              <w:rPr>
                <w:sz w:val="22"/>
                <w:szCs w:val="22"/>
              </w:rPr>
              <w:t>0.35</w:t>
            </w:r>
          </w:p>
        </w:tc>
        <w:tc>
          <w:tcPr>
            <w:tcW w:w="2160" w:type="dxa"/>
            <w:tcBorders>
              <w:top w:val="nil"/>
              <w:left w:val="nil"/>
              <w:bottom w:val="single" w:sz="4" w:space="0" w:color="000000"/>
              <w:right w:val="nil"/>
            </w:tcBorders>
          </w:tcPr>
          <w:p w14:paraId="4870BD8E" w14:textId="77777777" w:rsidR="00724C44" w:rsidRPr="0023718D" w:rsidRDefault="00724C44" w:rsidP="0023718D">
            <w:pPr>
              <w:spacing w:after="0" w:line="240" w:lineRule="auto"/>
              <w:jc w:val="both"/>
              <w:rPr>
                <w:sz w:val="22"/>
                <w:szCs w:val="22"/>
              </w:rPr>
            </w:pPr>
            <w:r w:rsidRPr="0023718D">
              <w:rPr>
                <w:sz w:val="22"/>
                <w:szCs w:val="22"/>
              </w:rPr>
              <w:t>Moderate-High</w:t>
            </w:r>
          </w:p>
        </w:tc>
      </w:tr>
    </w:tbl>
    <w:p w14:paraId="265F8A4E" w14:textId="77777777" w:rsidR="00724C44" w:rsidRPr="00724C44" w:rsidRDefault="00724C44" w:rsidP="00724C44">
      <w:pPr>
        <w:spacing w:line="240" w:lineRule="auto"/>
        <w:jc w:val="both"/>
      </w:pPr>
      <w:r w:rsidRPr="00724C44">
        <w:t>The overall AI Integration score of 4.73 falls within the moderate-high range (4.0–4.99) of the seven-point scale (Hair et al., 2019), indicating a substantial but not yet advanced level of AI adoption in compensation systems among EEC manufacturing organizations. However, this aggregate figure masks important dimensional variations. Data output capabilities (M = 5.56) and analytical capabilities (M = 5.26) are well developed, while technology adoption for advanced applications (M = 3.73) lags. This pattern suggests that organizations use existing AI investments consistently for analysis and reporting but have not yet fully embraced newer AI technologies.</w:t>
      </w:r>
    </w:p>
    <w:p w14:paraId="3A49A655" w14:textId="77777777" w:rsidR="00724C44" w:rsidRPr="00724C44" w:rsidRDefault="00724C44" w:rsidP="00724C44">
      <w:pPr>
        <w:spacing w:line="240" w:lineRule="auto"/>
        <w:jc w:val="both"/>
      </w:pPr>
      <w:r w:rsidRPr="00724C44">
        <w:t>A key finding of this research is that AI systems are associated with the generation of substantial data outputs that may support human capital disclosure. The question addressed in subsequent sections is whether this data-generation capability is associated with actual improvements in disclosure quality, or whether the data remains internal to organizations without translating into external communication.</w:t>
      </w:r>
    </w:p>
    <w:p w14:paraId="367ED61C" w14:textId="77777777" w:rsidR="00724C44" w:rsidRPr="00724C44" w:rsidRDefault="00724C44" w:rsidP="00724C44">
      <w:pPr>
        <w:spacing w:line="240" w:lineRule="auto"/>
        <w:jc w:val="both"/>
      </w:pPr>
      <w:r w:rsidRPr="00724C44">
        <w:rPr>
          <w:b/>
        </w:rPr>
        <w:t>4.5 Pay Transparency Practices</w:t>
      </w:r>
    </w:p>
    <w:p w14:paraId="3AE8B1BC" w14:textId="77777777" w:rsidR="00724C44" w:rsidRPr="00724C44" w:rsidRDefault="00724C44" w:rsidP="00724C44">
      <w:pPr>
        <w:spacing w:line="240" w:lineRule="auto"/>
        <w:jc w:val="both"/>
      </w:pPr>
      <w:r w:rsidRPr="00724C44">
        <w:lastRenderedPageBreak/>
        <w:t>Section C of the questionnaire assessed organizational pay transparency practices across four dimensions: external transparency in recruitment communications, internal transparency with current employees, pay equity analysis practices, and regulatory compliance levels. These practices serve as potential moderators of the relationship between AI integration and the quality of human capital disclosure.</w:t>
      </w:r>
    </w:p>
    <w:p w14:paraId="0BF750AB" w14:textId="77777777" w:rsidR="00724C44" w:rsidRPr="00724C44" w:rsidRDefault="00724C44" w:rsidP="00724C44">
      <w:pPr>
        <w:spacing w:line="240" w:lineRule="auto"/>
        <w:jc w:val="both"/>
      </w:pPr>
      <w:r w:rsidRPr="00724C44">
        <w:rPr>
          <w:b/>
        </w:rPr>
        <w:t>4.5.1 External Transparency (C1)</w:t>
      </w:r>
    </w:p>
    <w:p w14:paraId="29DE5BA8" w14:textId="77777777" w:rsidR="00724C44" w:rsidRPr="00724C44" w:rsidRDefault="00724C44" w:rsidP="00724C44">
      <w:pPr>
        <w:spacing w:line="240" w:lineRule="auto"/>
        <w:jc w:val="both"/>
      </w:pPr>
      <w:r w:rsidRPr="00724C44">
        <w:t>External transparency measures the extent to which compensation information is communicated to external stakeholders and job candidates. Table 4.10 presents the descriptive statistics for these four items.</w:t>
      </w:r>
    </w:p>
    <w:p w14:paraId="526F03F6" w14:textId="77777777" w:rsidR="00724C44" w:rsidRPr="00724C44" w:rsidRDefault="00724C44" w:rsidP="00724C44">
      <w:pPr>
        <w:spacing w:line="240" w:lineRule="auto"/>
        <w:jc w:val="both"/>
      </w:pPr>
      <w:r w:rsidRPr="00724C44">
        <w:rPr>
          <w:b/>
        </w:rPr>
        <w:t>Table 4.10</w:t>
      </w:r>
    </w:p>
    <w:p w14:paraId="07F7DC99" w14:textId="77777777" w:rsidR="00724C44" w:rsidRPr="00724C44" w:rsidRDefault="00724C44" w:rsidP="00724C44">
      <w:pPr>
        <w:spacing w:line="240" w:lineRule="auto"/>
        <w:jc w:val="both"/>
      </w:pPr>
      <w:r w:rsidRPr="00724C44">
        <w:rPr>
          <w:i/>
        </w:rPr>
        <w:t>External Transparency – Descriptive Statistics (n = 400)</w:t>
      </w:r>
    </w:p>
    <w:tbl>
      <w:tblPr>
        <w:tblW w:w="0" w:type="auto"/>
        <w:tblLayout w:type="fixed"/>
        <w:tblLook w:val="04A0" w:firstRow="1" w:lastRow="0" w:firstColumn="1" w:lastColumn="0" w:noHBand="0" w:noVBand="1"/>
      </w:tblPr>
      <w:tblGrid>
        <w:gridCol w:w="720"/>
        <w:gridCol w:w="5670"/>
        <w:gridCol w:w="630"/>
        <w:gridCol w:w="630"/>
        <w:gridCol w:w="1584"/>
      </w:tblGrid>
      <w:tr w:rsidR="00724C44" w:rsidRPr="00724C44" w14:paraId="77AA7014" w14:textId="77777777" w:rsidTr="0023718D">
        <w:tc>
          <w:tcPr>
            <w:tcW w:w="720" w:type="dxa"/>
            <w:tcBorders>
              <w:top w:val="single" w:sz="4" w:space="0" w:color="000000"/>
              <w:left w:val="nil"/>
              <w:bottom w:val="single" w:sz="4" w:space="0" w:color="000000"/>
              <w:right w:val="nil"/>
            </w:tcBorders>
          </w:tcPr>
          <w:p w14:paraId="4AD68018" w14:textId="77777777" w:rsidR="00724C44" w:rsidRPr="0023718D" w:rsidRDefault="00724C44" w:rsidP="0023718D">
            <w:pPr>
              <w:spacing w:after="0" w:line="240" w:lineRule="auto"/>
              <w:jc w:val="both"/>
              <w:rPr>
                <w:sz w:val="22"/>
                <w:szCs w:val="22"/>
              </w:rPr>
            </w:pPr>
            <w:r w:rsidRPr="0023718D">
              <w:rPr>
                <w:b/>
                <w:sz w:val="22"/>
                <w:szCs w:val="22"/>
              </w:rPr>
              <w:t>Item</w:t>
            </w:r>
          </w:p>
        </w:tc>
        <w:tc>
          <w:tcPr>
            <w:tcW w:w="5670" w:type="dxa"/>
            <w:tcBorders>
              <w:top w:val="single" w:sz="4" w:space="0" w:color="000000"/>
              <w:left w:val="nil"/>
              <w:bottom w:val="single" w:sz="4" w:space="0" w:color="000000"/>
              <w:right w:val="nil"/>
            </w:tcBorders>
          </w:tcPr>
          <w:p w14:paraId="21FD007F" w14:textId="77777777" w:rsidR="00724C44" w:rsidRPr="0023718D" w:rsidRDefault="00724C44" w:rsidP="0023718D">
            <w:pPr>
              <w:spacing w:after="0" w:line="240" w:lineRule="auto"/>
              <w:jc w:val="both"/>
              <w:rPr>
                <w:sz w:val="22"/>
                <w:szCs w:val="22"/>
              </w:rPr>
            </w:pPr>
            <w:r w:rsidRPr="0023718D">
              <w:rPr>
                <w:b/>
                <w:sz w:val="22"/>
                <w:szCs w:val="22"/>
              </w:rPr>
              <w:t>Statement</w:t>
            </w:r>
          </w:p>
        </w:tc>
        <w:tc>
          <w:tcPr>
            <w:tcW w:w="630" w:type="dxa"/>
            <w:tcBorders>
              <w:top w:val="single" w:sz="4" w:space="0" w:color="000000"/>
              <w:left w:val="nil"/>
              <w:bottom w:val="single" w:sz="4" w:space="0" w:color="000000"/>
              <w:right w:val="nil"/>
            </w:tcBorders>
          </w:tcPr>
          <w:p w14:paraId="0208D192" w14:textId="77777777" w:rsidR="00724C44" w:rsidRPr="0023718D" w:rsidRDefault="00724C44" w:rsidP="0023718D">
            <w:pPr>
              <w:spacing w:after="0" w:line="240" w:lineRule="auto"/>
              <w:jc w:val="both"/>
              <w:rPr>
                <w:sz w:val="22"/>
                <w:szCs w:val="22"/>
              </w:rPr>
            </w:pPr>
            <w:r w:rsidRPr="0023718D">
              <w:rPr>
                <w:b/>
                <w:sz w:val="22"/>
                <w:szCs w:val="22"/>
              </w:rPr>
              <w:t>M</w:t>
            </w:r>
          </w:p>
        </w:tc>
        <w:tc>
          <w:tcPr>
            <w:tcW w:w="630" w:type="dxa"/>
            <w:tcBorders>
              <w:top w:val="single" w:sz="4" w:space="0" w:color="000000"/>
              <w:left w:val="nil"/>
              <w:bottom w:val="single" w:sz="4" w:space="0" w:color="000000"/>
              <w:right w:val="nil"/>
            </w:tcBorders>
          </w:tcPr>
          <w:p w14:paraId="275C81D1" w14:textId="77777777" w:rsidR="00724C44" w:rsidRPr="0023718D" w:rsidRDefault="00724C44" w:rsidP="0023718D">
            <w:pPr>
              <w:spacing w:after="0" w:line="240" w:lineRule="auto"/>
              <w:jc w:val="both"/>
              <w:rPr>
                <w:sz w:val="22"/>
                <w:szCs w:val="22"/>
              </w:rPr>
            </w:pPr>
            <w:r w:rsidRPr="0023718D">
              <w:rPr>
                <w:b/>
                <w:sz w:val="22"/>
                <w:szCs w:val="22"/>
              </w:rPr>
              <w:t>SD</w:t>
            </w:r>
          </w:p>
        </w:tc>
        <w:tc>
          <w:tcPr>
            <w:tcW w:w="1584" w:type="dxa"/>
            <w:tcBorders>
              <w:top w:val="single" w:sz="4" w:space="0" w:color="000000"/>
              <w:left w:val="nil"/>
              <w:bottom w:val="single" w:sz="4" w:space="0" w:color="000000"/>
              <w:right w:val="nil"/>
            </w:tcBorders>
          </w:tcPr>
          <w:p w14:paraId="22ECF61D" w14:textId="77777777" w:rsidR="00724C44" w:rsidRPr="0023718D" w:rsidRDefault="00724C44" w:rsidP="0023718D">
            <w:pPr>
              <w:spacing w:after="0" w:line="240" w:lineRule="auto"/>
              <w:jc w:val="both"/>
              <w:rPr>
                <w:sz w:val="22"/>
                <w:szCs w:val="22"/>
              </w:rPr>
            </w:pPr>
            <w:r w:rsidRPr="0023718D">
              <w:rPr>
                <w:b/>
                <w:sz w:val="22"/>
                <w:szCs w:val="22"/>
              </w:rPr>
              <w:t>Interpretation</w:t>
            </w:r>
          </w:p>
        </w:tc>
      </w:tr>
      <w:tr w:rsidR="00724C44" w:rsidRPr="00724C44" w14:paraId="415A766B" w14:textId="77777777" w:rsidTr="0023718D">
        <w:tc>
          <w:tcPr>
            <w:tcW w:w="720" w:type="dxa"/>
            <w:tcBorders>
              <w:top w:val="nil"/>
              <w:left w:val="nil"/>
              <w:bottom w:val="nil"/>
              <w:right w:val="nil"/>
            </w:tcBorders>
          </w:tcPr>
          <w:p w14:paraId="609A9C49" w14:textId="77777777" w:rsidR="00724C44" w:rsidRPr="0023718D" w:rsidRDefault="00724C44" w:rsidP="0023718D">
            <w:pPr>
              <w:spacing w:after="0" w:line="240" w:lineRule="auto"/>
              <w:jc w:val="both"/>
              <w:rPr>
                <w:sz w:val="22"/>
                <w:szCs w:val="22"/>
              </w:rPr>
            </w:pPr>
            <w:r w:rsidRPr="0023718D">
              <w:rPr>
                <w:sz w:val="22"/>
                <w:szCs w:val="22"/>
              </w:rPr>
              <w:t>C1.1</w:t>
            </w:r>
          </w:p>
        </w:tc>
        <w:tc>
          <w:tcPr>
            <w:tcW w:w="5670" w:type="dxa"/>
            <w:tcBorders>
              <w:top w:val="nil"/>
              <w:left w:val="nil"/>
              <w:bottom w:val="nil"/>
              <w:right w:val="nil"/>
            </w:tcBorders>
          </w:tcPr>
          <w:p w14:paraId="266A8173" w14:textId="77777777" w:rsidR="00724C44" w:rsidRPr="0023718D" w:rsidRDefault="00724C44" w:rsidP="0023718D">
            <w:pPr>
              <w:spacing w:after="0" w:line="240" w:lineRule="auto"/>
              <w:jc w:val="both"/>
              <w:rPr>
                <w:sz w:val="22"/>
                <w:szCs w:val="22"/>
              </w:rPr>
            </w:pPr>
            <w:r w:rsidRPr="0023718D">
              <w:rPr>
                <w:sz w:val="22"/>
                <w:szCs w:val="22"/>
              </w:rPr>
              <w:t>We include salary ranges in external job postings</w:t>
            </w:r>
          </w:p>
        </w:tc>
        <w:tc>
          <w:tcPr>
            <w:tcW w:w="630" w:type="dxa"/>
            <w:tcBorders>
              <w:top w:val="nil"/>
              <w:left w:val="nil"/>
              <w:bottom w:val="nil"/>
              <w:right w:val="nil"/>
            </w:tcBorders>
          </w:tcPr>
          <w:p w14:paraId="5EF4E5F4" w14:textId="77777777" w:rsidR="00724C44" w:rsidRPr="0023718D" w:rsidRDefault="00724C44" w:rsidP="0023718D">
            <w:pPr>
              <w:spacing w:after="0" w:line="240" w:lineRule="auto"/>
              <w:jc w:val="both"/>
              <w:rPr>
                <w:sz w:val="22"/>
                <w:szCs w:val="22"/>
              </w:rPr>
            </w:pPr>
            <w:r w:rsidRPr="0023718D">
              <w:rPr>
                <w:sz w:val="22"/>
                <w:szCs w:val="22"/>
              </w:rPr>
              <w:t>2.77</w:t>
            </w:r>
          </w:p>
        </w:tc>
        <w:tc>
          <w:tcPr>
            <w:tcW w:w="630" w:type="dxa"/>
            <w:tcBorders>
              <w:top w:val="nil"/>
              <w:left w:val="nil"/>
              <w:bottom w:val="nil"/>
              <w:right w:val="nil"/>
            </w:tcBorders>
          </w:tcPr>
          <w:p w14:paraId="74269EEC" w14:textId="77777777" w:rsidR="00724C44" w:rsidRPr="0023718D" w:rsidRDefault="00724C44" w:rsidP="0023718D">
            <w:pPr>
              <w:spacing w:after="0" w:line="240" w:lineRule="auto"/>
              <w:jc w:val="both"/>
              <w:rPr>
                <w:sz w:val="22"/>
                <w:szCs w:val="22"/>
              </w:rPr>
            </w:pPr>
            <w:r w:rsidRPr="0023718D">
              <w:rPr>
                <w:sz w:val="22"/>
                <w:szCs w:val="22"/>
              </w:rPr>
              <w:t>1.23</w:t>
            </w:r>
          </w:p>
        </w:tc>
        <w:tc>
          <w:tcPr>
            <w:tcW w:w="1584" w:type="dxa"/>
            <w:tcBorders>
              <w:top w:val="nil"/>
              <w:left w:val="nil"/>
              <w:bottom w:val="nil"/>
              <w:right w:val="nil"/>
            </w:tcBorders>
          </w:tcPr>
          <w:p w14:paraId="08ABC969" w14:textId="77777777" w:rsidR="00724C44" w:rsidRPr="0023718D" w:rsidRDefault="00724C44" w:rsidP="0023718D">
            <w:pPr>
              <w:spacing w:after="0" w:line="240" w:lineRule="auto"/>
              <w:jc w:val="both"/>
              <w:rPr>
                <w:sz w:val="22"/>
                <w:szCs w:val="22"/>
              </w:rPr>
            </w:pPr>
            <w:r w:rsidRPr="0023718D">
              <w:rPr>
                <w:sz w:val="22"/>
                <w:szCs w:val="22"/>
              </w:rPr>
              <w:t>Low</w:t>
            </w:r>
          </w:p>
        </w:tc>
      </w:tr>
      <w:tr w:rsidR="00724C44" w:rsidRPr="00724C44" w14:paraId="60F69F7A" w14:textId="77777777" w:rsidTr="0023718D">
        <w:tc>
          <w:tcPr>
            <w:tcW w:w="720" w:type="dxa"/>
            <w:tcBorders>
              <w:top w:val="nil"/>
              <w:left w:val="nil"/>
              <w:bottom w:val="nil"/>
              <w:right w:val="nil"/>
            </w:tcBorders>
          </w:tcPr>
          <w:p w14:paraId="467DC654" w14:textId="77777777" w:rsidR="00724C44" w:rsidRPr="0023718D" w:rsidRDefault="00724C44" w:rsidP="0023718D">
            <w:pPr>
              <w:spacing w:after="0" w:line="240" w:lineRule="auto"/>
              <w:jc w:val="both"/>
              <w:rPr>
                <w:sz w:val="22"/>
                <w:szCs w:val="22"/>
              </w:rPr>
            </w:pPr>
            <w:r w:rsidRPr="0023718D">
              <w:rPr>
                <w:sz w:val="22"/>
                <w:szCs w:val="22"/>
              </w:rPr>
              <w:t>C1.2</w:t>
            </w:r>
          </w:p>
        </w:tc>
        <w:tc>
          <w:tcPr>
            <w:tcW w:w="5670" w:type="dxa"/>
            <w:tcBorders>
              <w:top w:val="nil"/>
              <w:left w:val="nil"/>
              <w:bottom w:val="nil"/>
              <w:right w:val="nil"/>
            </w:tcBorders>
          </w:tcPr>
          <w:p w14:paraId="622E6E16" w14:textId="77777777" w:rsidR="00724C44" w:rsidRPr="0023718D" w:rsidRDefault="00724C44" w:rsidP="0023718D">
            <w:pPr>
              <w:spacing w:after="0" w:line="240" w:lineRule="auto"/>
              <w:jc w:val="both"/>
              <w:rPr>
                <w:sz w:val="22"/>
                <w:szCs w:val="22"/>
              </w:rPr>
            </w:pPr>
            <w:r w:rsidRPr="0023718D">
              <w:rPr>
                <w:sz w:val="22"/>
                <w:szCs w:val="22"/>
              </w:rPr>
              <w:t>Benefits information is provided to candidates before hiring</w:t>
            </w:r>
          </w:p>
        </w:tc>
        <w:tc>
          <w:tcPr>
            <w:tcW w:w="630" w:type="dxa"/>
            <w:tcBorders>
              <w:top w:val="nil"/>
              <w:left w:val="nil"/>
              <w:bottom w:val="nil"/>
              <w:right w:val="nil"/>
            </w:tcBorders>
          </w:tcPr>
          <w:p w14:paraId="2A423F93" w14:textId="77777777" w:rsidR="00724C44" w:rsidRPr="0023718D" w:rsidRDefault="00724C44" w:rsidP="0023718D">
            <w:pPr>
              <w:spacing w:after="0" w:line="240" w:lineRule="auto"/>
              <w:jc w:val="both"/>
              <w:rPr>
                <w:sz w:val="22"/>
                <w:szCs w:val="22"/>
              </w:rPr>
            </w:pPr>
            <w:r w:rsidRPr="0023718D">
              <w:rPr>
                <w:sz w:val="22"/>
                <w:szCs w:val="22"/>
              </w:rPr>
              <w:t>5.58</w:t>
            </w:r>
          </w:p>
        </w:tc>
        <w:tc>
          <w:tcPr>
            <w:tcW w:w="630" w:type="dxa"/>
            <w:tcBorders>
              <w:top w:val="nil"/>
              <w:left w:val="nil"/>
              <w:bottom w:val="nil"/>
              <w:right w:val="nil"/>
            </w:tcBorders>
          </w:tcPr>
          <w:p w14:paraId="4A8DAE5D" w14:textId="77777777" w:rsidR="00724C44" w:rsidRPr="0023718D" w:rsidRDefault="00724C44" w:rsidP="0023718D">
            <w:pPr>
              <w:spacing w:after="0" w:line="240" w:lineRule="auto"/>
              <w:jc w:val="both"/>
              <w:rPr>
                <w:sz w:val="22"/>
                <w:szCs w:val="22"/>
              </w:rPr>
            </w:pPr>
            <w:r w:rsidRPr="0023718D">
              <w:rPr>
                <w:sz w:val="22"/>
                <w:szCs w:val="22"/>
              </w:rPr>
              <w:t>1.28</w:t>
            </w:r>
          </w:p>
        </w:tc>
        <w:tc>
          <w:tcPr>
            <w:tcW w:w="1584" w:type="dxa"/>
            <w:tcBorders>
              <w:top w:val="nil"/>
              <w:left w:val="nil"/>
              <w:bottom w:val="nil"/>
              <w:right w:val="nil"/>
            </w:tcBorders>
          </w:tcPr>
          <w:p w14:paraId="3866F5F6"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51F21C8B" w14:textId="77777777" w:rsidTr="0023718D">
        <w:tc>
          <w:tcPr>
            <w:tcW w:w="720" w:type="dxa"/>
            <w:tcBorders>
              <w:top w:val="nil"/>
              <w:left w:val="nil"/>
              <w:bottom w:val="nil"/>
              <w:right w:val="nil"/>
            </w:tcBorders>
          </w:tcPr>
          <w:p w14:paraId="7051059A" w14:textId="77777777" w:rsidR="00724C44" w:rsidRPr="0023718D" w:rsidRDefault="00724C44" w:rsidP="0023718D">
            <w:pPr>
              <w:spacing w:after="0" w:line="240" w:lineRule="auto"/>
              <w:jc w:val="both"/>
              <w:rPr>
                <w:sz w:val="22"/>
                <w:szCs w:val="22"/>
              </w:rPr>
            </w:pPr>
            <w:r w:rsidRPr="0023718D">
              <w:rPr>
                <w:sz w:val="22"/>
                <w:szCs w:val="22"/>
              </w:rPr>
              <w:t>C1.3</w:t>
            </w:r>
          </w:p>
        </w:tc>
        <w:tc>
          <w:tcPr>
            <w:tcW w:w="5670" w:type="dxa"/>
            <w:tcBorders>
              <w:top w:val="nil"/>
              <w:left w:val="nil"/>
              <w:bottom w:val="nil"/>
              <w:right w:val="nil"/>
            </w:tcBorders>
          </w:tcPr>
          <w:p w14:paraId="6F50CF91" w14:textId="77777777" w:rsidR="00724C44" w:rsidRPr="0023718D" w:rsidRDefault="00724C44" w:rsidP="0023718D">
            <w:pPr>
              <w:spacing w:after="0" w:line="240" w:lineRule="auto"/>
              <w:jc w:val="both"/>
              <w:rPr>
                <w:sz w:val="22"/>
                <w:szCs w:val="22"/>
              </w:rPr>
            </w:pPr>
            <w:r w:rsidRPr="0023718D">
              <w:rPr>
                <w:sz w:val="22"/>
                <w:szCs w:val="22"/>
              </w:rPr>
              <w:t>Our compensation philosophy is published and accessible</w:t>
            </w:r>
          </w:p>
        </w:tc>
        <w:tc>
          <w:tcPr>
            <w:tcW w:w="630" w:type="dxa"/>
            <w:tcBorders>
              <w:top w:val="nil"/>
              <w:left w:val="nil"/>
              <w:bottom w:val="nil"/>
              <w:right w:val="nil"/>
            </w:tcBorders>
          </w:tcPr>
          <w:p w14:paraId="0A37D9CD" w14:textId="77777777" w:rsidR="00724C44" w:rsidRPr="0023718D" w:rsidRDefault="00724C44" w:rsidP="0023718D">
            <w:pPr>
              <w:spacing w:after="0" w:line="240" w:lineRule="auto"/>
              <w:jc w:val="both"/>
              <w:rPr>
                <w:sz w:val="22"/>
                <w:szCs w:val="22"/>
              </w:rPr>
            </w:pPr>
            <w:r w:rsidRPr="0023718D">
              <w:rPr>
                <w:sz w:val="22"/>
                <w:szCs w:val="22"/>
              </w:rPr>
              <w:t>5.75</w:t>
            </w:r>
          </w:p>
        </w:tc>
        <w:tc>
          <w:tcPr>
            <w:tcW w:w="630" w:type="dxa"/>
            <w:tcBorders>
              <w:top w:val="nil"/>
              <w:left w:val="nil"/>
              <w:bottom w:val="nil"/>
              <w:right w:val="nil"/>
            </w:tcBorders>
          </w:tcPr>
          <w:p w14:paraId="1BAB4526" w14:textId="77777777" w:rsidR="00724C44" w:rsidRPr="0023718D" w:rsidRDefault="00724C44" w:rsidP="0023718D">
            <w:pPr>
              <w:spacing w:after="0" w:line="240" w:lineRule="auto"/>
              <w:jc w:val="both"/>
              <w:rPr>
                <w:sz w:val="22"/>
                <w:szCs w:val="22"/>
              </w:rPr>
            </w:pPr>
            <w:r w:rsidRPr="0023718D">
              <w:rPr>
                <w:sz w:val="22"/>
                <w:szCs w:val="22"/>
              </w:rPr>
              <w:t>1.38</w:t>
            </w:r>
          </w:p>
        </w:tc>
        <w:tc>
          <w:tcPr>
            <w:tcW w:w="1584" w:type="dxa"/>
            <w:tcBorders>
              <w:top w:val="nil"/>
              <w:left w:val="nil"/>
              <w:bottom w:val="nil"/>
              <w:right w:val="nil"/>
            </w:tcBorders>
          </w:tcPr>
          <w:p w14:paraId="148874B6" w14:textId="77777777" w:rsidR="00724C44" w:rsidRPr="0023718D" w:rsidRDefault="00724C44" w:rsidP="0023718D">
            <w:pPr>
              <w:spacing w:after="0" w:line="240" w:lineRule="auto"/>
              <w:jc w:val="both"/>
              <w:rPr>
                <w:sz w:val="22"/>
                <w:szCs w:val="22"/>
              </w:rPr>
            </w:pPr>
            <w:r w:rsidRPr="0023718D">
              <w:rPr>
                <w:sz w:val="22"/>
                <w:szCs w:val="22"/>
              </w:rPr>
              <w:t>High</w:t>
            </w:r>
          </w:p>
        </w:tc>
      </w:tr>
      <w:tr w:rsidR="00724C44" w:rsidRPr="00724C44" w14:paraId="05E89D95" w14:textId="77777777" w:rsidTr="0023718D">
        <w:tc>
          <w:tcPr>
            <w:tcW w:w="720" w:type="dxa"/>
            <w:tcBorders>
              <w:top w:val="nil"/>
              <w:left w:val="nil"/>
              <w:bottom w:val="nil"/>
              <w:right w:val="nil"/>
            </w:tcBorders>
          </w:tcPr>
          <w:p w14:paraId="503DE3B3" w14:textId="77777777" w:rsidR="00724C44" w:rsidRPr="0023718D" w:rsidRDefault="00724C44" w:rsidP="0023718D">
            <w:pPr>
              <w:spacing w:after="0" w:line="240" w:lineRule="auto"/>
              <w:jc w:val="both"/>
              <w:rPr>
                <w:sz w:val="22"/>
                <w:szCs w:val="22"/>
              </w:rPr>
            </w:pPr>
            <w:r w:rsidRPr="0023718D">
              <w:rPr>
                <w:sz w:val="22"/>
                <w:szCs w:val="22"/>
              </w:rPr>
              <w:t>C1.4</w:t>
            </w:r>
          </w:p>
        </w:tc>
        <w:tc>
          <w:tcPr>
            <w:tcW w:w="5670" w:type="dxa"/>
            <w:tcBorders>
              <w:top w:val="nil"/>
              <w:left w:val="nil"/>
              <w:bottom w:val="nil"/>
              <w:right w:val="nil"/>
            </w:tcBorders>
          </w:tcPr>
          <w:p w14:paraId="715536BF" w14:textId="77777777" w:rsidR="00724C44" w:rsidRPr="0023718D" w:rsidRDefault="00724C44" w:rsidP="0023718D">
            <w:pPr>
              <w:spacing w:after="0" w:line="240" w:lineRule="auto"/>
              <w:jc w:val="both"/>
              <w:rPr>
                <w:sz w:val="22"/>
                <w:szCs w:val="22"/>
              </w:rPr>
            </w:pPr>
            <w:r w:rsidRPr="0023718D">
              <w:rPr>
                <w:sz w:val="22"/>
                <w:szCs w:val="22"/>
              </w:rPr>
              <w:t>Salary bands are communicated during the recruitment process</w:t>
            </w:r>
          </w:p>
        </w:tc>
        <w:tc>
          <w:tcPr>
            <w:tcW w:w="630" w:type="dxa"/>
            <w:tcBorders>
              <w:top w:val="nil"/>
              <w:left w:val="nil"/>
              <w:bottom w:val="nil"/>
              <w:right w:val="nil"/>
            </w:tcBorders>
          </w:tcPr>
          <w:p w14:paraId="6D222CBA" w14:textId="77777777" w:rsidR="00724C44" w:rsidRPr="0023718D" w:rsidRDefault="00724C44" w:rsidP="0023718D">
            <w:pPr>
              <w:spacing w:after="0" w:line="240" w:lineRule="auto"/>
              <w:jc w:val="both"/>
              <w:rPr>
                <w:sz w:val="22"/>
                <w:szCs w:val="22"/>
              </w:rPr>
            </w:pPr>
            <w:r w:rsidRPr="0023718D">
              <w:rPr>
                <w:sz w:val="22"/>
                <w:szCs w:val="22"/>
              </w:rPr>
              <w:t>4.93</w:t>
            </w:r>
          </w:p>
        </w:tc>
        <w:tc>
          <w:tcPr>
            <w:tcW w:w="630" w:type="dxa"/>
            <w:tcBorders>
              <w:top w:val="nil"/>
              <w:left w:val="nil"/>
              <w:bottom w:val="nil"/>
              <w:right w:val="nil"/>
            </w:tcBorders>
          </w:tcPr>
          <w:p w14:paraId="531AD8C6" w14:textId="77777777" w:rsidR="00724C44" w:rsidRPr="0023718D" w:rsidRDefault="00724C44" w:rsidP="0023718D">
            <w:pPr>
              <w:spacing w:after="0" w:line="240" w:lineRule="auto"/>
              <w:jc w:val="both"/>
              <w:rPr>
                <w:sz w:val="22"/>
                <w:szCs w:val="22"/>
              </w:rPr>
            </w:pPr>
            <w:r w:rsidRPr="0023718D">
              <w:rPr>
                <w:sz w:val="22"/>
                <w:szCs w:val="22"/>
              </w:rPr>
              <w:t>1.45</w:t>
            </w:r>
          </w:p>
        </w:tc>
        <w:tc>
          <w:tcPr>
            <w:tcW w:w="1584" w:type="dxa"/>
            <w:tcBorders>
              <w:top w:val="nil"/>
              <w:left w:val="nil"/>
              <w:bottom w:val="nil"/>
              <w:right w:val="nil"/>
            </w:tcBorders>
          </w:tcPr>
          <w:p w14:paraId="47FB11D9" w14:textId="77777777" w:rsidR="00724C44" w:rsidRPr="0023718D" w:rsidRDefault="00724C44" w:rsidP="0023718D">
            <w:pPr>
              <w:spacing w:after="0" w:line="240" w:lineRule="auto"/>
              <w:jc w:val="both"/>
              <w:rPr>
                <w:sz w:val="22"/>
                <w:szCs w:val="22"/>
              </w:rPr>
            </w:pPr>
            <w:r w:rsidRPr="0023718D">
              <w:rPr>
                <w:sz w:val="22"/>
                <w:szCs w:val="22"/>
              </w:rPr>
              <w:t>Moderate-High</w:t>
            </w:r>
          </w:p>
        </w:tc>
      </w:tr>
      <w:tr w:rsidR="00724C44" w:rsidRPr="00724C44" w14:paraId="39BFD0F5" w14:textId="77777777" w:rsidTr="0023718D">
        <w:tc>
          <w:tcPr>
            <w:tcW w:w="720" w:type="dxa"/>
            <w:tcBorders>
              <w:top w:val="nil"/>
              <w:left w:val="nil"/>
              <w:bottom w:val="single" w:sz="4" w:space="0" w:color="000000"/>
              <w:right w:val="nil"/>
            </w:tcBorders>
          </w:tcPr>
          <w:p w14:paraId="47F2183F" w14:textId="77777777" w:rsidR="00724C44" w:rsidRPr="0023718D" w:rsidRDefault="00724C44" w:rsidP="0023718D">
            <w:pPr>
              <w:spacing w:after="0" w:line="240" w:lineRule="auto"/>
              <w:jc w:val="both"/>
              <w:rPr>
                <w:sz w:val="22"/>
                <w:szCs w:val="22"/>
              </w:rPr>
            </w:pPr>
          </w:p>
        </w:tc>
        <w:tc>
          <w:tcPr>
            <w:tcW w:w="5670" w:type="dxa"/>
            <w:tcBorders>
              <w:top w:val="nil"/>
              <w:left w:val="nil"/>
              <w:bottom w:val="single" w:sz="4" w:space="0" w:color="000000"/>
              <w:right w:val="nil"/>
            </w:tcBorders>
          </w:tcPr>
          <w:p w14:paraId="2D990ECA" w14:textId="77777777" w:rsidR="00724C44" w:rsidRPr="0023718D" w:rsidRDefault="00724C44" w:rsidP="0023718D">
            <w:pPr>
              <w:spacing w:after="0" w:line="240" w:lineRule="auto"/>
              <w:jc w:val="both"/>
              <w:rPr>
                <w:sz w:val="22"/>
                <w:szCs w:val="22"/>
              </w:rPr>
            </w:pPr>
            <w:r w:rsidRPr="0023718D">
              <w:rPr>
                <w:sz w:val="22"/>
                <w:szCs w:val="22"/>
              </w:rPr>
              <w:t>Construct Mean (C1)</w:t>
            </w:r>
          </w:p>
        </w:tc>
        <w:tc>
          <w:tcPr>
            <w:tcW w:w="630" w:type="dxa"/>
            <w:tcBorders>
              <w:top w:val="nil"/>
              <w:left w:val="nil"/>
              <w:bottom w:val="single" w:sz="4" w:space="0" w:color="000000"/>
              <w:right w:val="nil"/>
            </w:tcBorders>
          </w:tcPr>
          <w:p w14:paraId="63D9366B" w14:textId="77777777" w:rsidR="00724C44" w:rsidRPr="0023718D" w:rsidRDefault="00724C44" w:rsidP="0023718D">
            <w:pPr>
              <w:spacing w:after="0" w:line="240" w:lineRule="auto"/>
              <w:jc w:val="both"/>
              <w:rPr>
                <w:sz w:val="22"/>
                <w:szCs w:val="22"/>
              </w:rPr>
            </w:pPr>
            <w:r w:rsidRPr="0023718D">
              <w:rPr>
                <w:sz w:val="22"/>
                <w:szCs w:val="22"/>
              </w:rPr>
              <w:t>4.76</w:t>
            </w:r>
          </w:p>
        </w:tc>
        <w:tc>
          <w:tcPr>
            <w:tcW w:w="630" w:type="dxa"/>
            <w:tcBorders>
              <w:top w:val="nil"/>
              <w:left w:val="nil"/>
              <w:bottom w:val="single" w:sz="4" w:space="0" w:color="000000"/>
              <w:right w:val="nil"/>
            </w:tcBorders>
          </w:tcPr>
          <w:p w14:paraId="1F099B50" w14:textId="77777777" w:rsidR="00724C44" w:rsidRPr="0023718D" w:rsidRDefault="00724C44" w:rsidP="0023718D">
            <w:pPr>
              <w:spacing w:after="0" w:line="240" w:lineRule="auto"/>
              <w:jc w:val="both"/>
              <w:rPr>
                <w:sz w:val="22"/>
                <w:szCs w:val="22"/>
              </w:rPr>
            </w:pPr>
            <w:r w:rsidRPr="0023718D">
              <w:rPr>
                <w:sz w:val="22"/>
                <w:szCs w:val="22"/>
              </w:rPr>
              <w:t>0.79</w:t>
            </w:r>
          </w:p>
        </w:tc>
        <w:tc>
          <w:tcPr>
            <w:tcW w:w="1584" w:type="dxa"/>
            <w:tcBorders>
              <w:top w:val="nil"/>
              <w:left w:val="nil"/>
              <w:bottom w:val="single" w:sz="4" w:space="0" w:color="000000"/>
              <w:right w:val="nil"/>
            </w:tcBorders>
          </w:tcPr>
          <w:p w14:paraId="4E9809E1" w14:textId="77777777" w:rsidR="00724C44" w:rsidRPr="0023718D" w:rsidRDefault="00724C44" w:rsidP="0023718D">
            <w:pPr>
              <w:spacing w:after="0" w:line="240" w:lineRule="auto"/>
              <w:jc w:val="both"/>
              <w:rPr>
                <w:sz w:val="22"/>
                <w:szCs w:val="22"/>
              </w:rPr>
            </w:pPr>
            <w:r w:rsidRPr="0023718D">
              <w:rPr>
                <w:sz w:val="22"/>
                <w:szCs w:val="22"/>
              </w:rPr>
              <w:t>Moderate-High</w:t>
            </w:r>
          </w:p>
        </w:tc>
      </w:tr>
    </w:tbl>
    <w:p w14:paraId="0EC02724" w14:textId="77777777" w:rsidR="00724C44" w:rsidRPr="0023718D" w:rsidRDefault="00724C44" w:rsidP="00724C44">
      <w:pPr>
        <w:spacing w:line="240" w:lineRule="auto"/>
        <w:jc w:val="both"/>
        <w:rPr>
          <w:sz w:val="22"/>
          <w:szCs w:val="22"/>
        </w:rPr>
      </w:pPr>
      <w:r w:rsidRPr="0023718D">
        <w:rPr>
          <w:i/>
          <w:sz w:val="22"/>
          <w:szCs w:val="22"/>
        </w:rPr>
        <w:t xml:space="preserve">Note. </w:t>
      </w:r>
      <w:r w:rsidRPr="0023718D">
        <w:rPr>
          <w:sz w:val="22"/>
          <w:szCs w:val="22"/>
        </w:rPr>
        <w:t>Scale: 1 = Strongly Disagree, 7 = Strongly Agree.</w:t>
      </w:r>
    </w:p>
    <w:p w14:paraId="7CAA4546" w14:textId="77777777" w:rsidR="00724C44" w:rsidRPr="00724C44" w:rsidRDefault="00724C44" w:rsidP="00724C44">
      <w:pPr>
        <w:spacing w:line="240" w:lineRule="auto"/>
        <w:jc w:val="both"/>
      </w:pPr>
      <w:r w:rsidRPr="00724C44">
        <w:t>External transparency practices show moderate to high levels of implementation (M = 4.76). Organizations demonstrate stronger practices in providing benefits information to candidates (C1.2) and using salary bands in recruitment (C1.4), while publishing compensation philosophy externally (C1.3) and including salary ranges in job postings (C1.1) show somewhat lower adoption.</w:t>
      </w:r>
    </w:p>
    <w:p w14:paraId="2B308D49" w14:textId="77777777" w:rsidR="00724C44" w:rsidRPr="00724C44" w:rsidRDefault="00724C44" w:rsidP="00724C44">
      <w:pPr>
        <w:spacing w:line="240" w:lineRule="auto"/>
        <w:jc w:val="both"/>
      </w:pPr>
      <w:r w:rsidRPr="00724C44">
        <w:rPr>
          <w:b/>
        </w:rPr>
        <w:t>4.5.2 Internal Transparency (C2)</w:t>
      </w:r>
    </w:p>
    <w:p w14:paraId="00A8F0EE" w14:textId="77777777" w:rsidR="00724C44" w:rsidRPr="00724C44" w:rsidRDefault="00724C44" w:rsidP="00724C44">
      <w:pPr>
        <w:spacing w:line="240" w:lineRule="auto"/>
        <w:jc w:val="both"/>
      </w:pPr>
      <w:r w:rsidRPr="00724C44">
        <w:t>Internal transparency assesses how openly compensation information is shared with current employees within the organization. Table 4.11 presents the descriptive statistics for these five items.</w:t>
      </w:r>
    </w:p>
    <w:p w14:paraId="6C2F91E8" w14:textId="77777777" w:rsidR="00724C44" w:rsidRPr="00724C44" w:rsidRDefault="00724C44" w:rsidP="00724C44">
      <w:pPr>
        <w:spacing w:line="240" w:lineRule="auto"/>
        <w:jc w:val="both"/>
      </w:pPr>
      <w:r w:rsidRPr="00724C44">
        <w:rPr>
          <w:b/>
        </w:rPr>
        <w:t>Table 4.11</w:t>
      </w:r>
    </w:p>
    <w:p w14:paraId="77FD5B01" w14:textId="77777777" w:rsidR="00724C44" w:rsidRPr="00724C44" w:rsidRDefault="00724C44" w:rsidP="00724C44">
      <w:pPr>
        <w:spacing w:line="240" w:lineRule="auto"/>
        <w:jc w:val="both"/>
      </w:pPr>
      <w:r w:rsidRPr="00724C44">
        <w:rPr>
          <w:i/>
        </w:rPr>
        <w:t>Internal Transparency – Descriptive Statistics (n = 400)</w:t>
      </w:r>
    </w:p>
    <w:tbl>
      <w:tblPr>
        <w:tblW w:w="0" w:type="auto"/>
        <w:tblLayout w:type="fixed"/>
        <w:tblLook w:val="04A0" w:firstRow="1" w:lastRow="0" w:firstColumn="1" w:lastColumn="0" w:noHBand="0" w:noVBand="1"/>
      </w:tblPr>
      <w:tblGrid>
        <w:gridCol w:w="720"/>
        <w:gridCol w:w="5580"/>
        <w:gridCol w:w="648"/>
        <w:gridCol w:w="684"/>
        <w:gridCol w:w="1656"/>
      </w:tblGrid>
      <w:tr w:rsidR="00724C44" w:rsidRPr="00EB4FF5" w14:paraId="3570E8C2" w14:textId="77777777" w:rsidTr="0023718D">
        <w:tc>
          <w:tcPr>
            <w:tcW w:w="720" w:type="dxa"/>
            <w:tcBorders>
              <w:top w:val="single" w:sz="4" w:space="0" w:color="000000"/>
              <w:left w:val="nil"/>
              <w:bottom w:val="single" w:sz="4" w:space="0" w:color="000000"/>
              <w:right w:val="nil"/>
            </w:tcBorders>
          </w:tcPr>
          <w:p w14:paraId="4D992621" w14:textId="77777777" w:rsidR="00724C44" w:rsidRPr="0023718D" w:rsidRDefault="00724C44" w:rsidP="0023718D">
            <w:pPr>
              <w:spacing w:after="0" w:line="240" w:lineRule="auto"/>
              <w:jc w:val="center"/>
              <w:rPr>
                <w:sz w:val="22"/>
                <w:szCs w:val="22"/>
              </w:rPr>
            </w:pPr>
            <w:r w:rsidRPr="0023718D">
              <w:rPr>
                <w:b/>
                <w:sz w:val="22"/>
                <w:szCs w:val="22"/>
              </w:rPr>
              <w:t>Item</w:t>
            </w:r>
          </w:p>
        </w:tc>
        <w:tc>
          <w:tcPr>
            <w:tcW w:w="5580" w:type="dxa"/>
            <w:tcBorders>
              <w:top w:val="single" w:sz="4" w:space="0" w:color="000000"/>
              <w:left w:val="nil"/>
              <w:bottom w:val="single" w:sz="4" w:space="0" w:color="000000"/>
              <w:right w:val="nil"/>
            </w:tcBorders>
          </w:tcPr>
          <w:p w14:paraId="0758A811" w14:textId="77777777" w:rsidR="00724C44" w:rsidRPr="0023718D" w:rsidRDefault="00724C44" w:rsidP="0023718D">
            <w:pPr>
              <w:spacing w:after="0" w:line="240" w:lineRule="auto"/>
              <w:jc w:val="center"/>
              <w:rPr>
                <w:sz w:val="22"/>
                <w:szCs w:val="22"/>
              </w:rPr>
            </w:pPr>
            <w:r w:rsidRPr="0023718D">
              <w:rPr>
                <w:b/>
                <w:sz w:val="22"/>
                <w:szCs w:val="22"/>
              </w:rPr>
              <w:t>Statement</w:t>
            </w:r>
          </w:p>
        </w:tc>
        <w:tc>
          <w:tcPr>
            <w:tcW w:w="648" w:type="dxa"/>
            <w:tcBorders>
              <w:top w:val="single" w:sz="4" w:space="0" w:color="000000"/>
              <w:left w:val="nil"/>
              <w:bottom w:val="single" w:sz="4" w:space="0" w:color="000000"/>
              <w:right w:val="nil"/>
            </w:tcBorders>
          </w:tcPr>
          <w:p w14:paraId="6F34531D" w14:textId="77777777" w:rsidR="00724C44" w:rsidRPr="0023718D" w:rsidRDefault="00724C44" w:rsidP="0023718D">
            <w:pPr>
              <w:spacing w:after="0" w:line="240" w:lineRule="auto"/>
              <w:jc w:val="center"/>
              <w:rPr>
                <w:sz w:val="22"/>
                <w:szCs w:val="22"/>
              </w:rPr>
            </w:pPr>
            <w:r w:rsidRPr="0023718D">
              <w:rPr>
                <w:b/>
                <w:sz w:val="22"/>
                <w:szCs w:val="22"/>
              </w:rPr>
              <w:t>M</w:t>
            </w:r>
          </w:p>
        </w:tc>
        <w:tc>
          <w:tcPr>
            <w:tcW w:w="684" w:type="dxa"/>
            <w:tcBorders>
              <w:top w:val="single" w:sz="4" w:space="0" w:color="000000"/>
              <w:left w:val="nil"/>
              <w:bottom w:val="single" w:sz="4" w:space="0" w:color="000000"/>
              <w:right w:val="nil"/>
            </w:tcBorders>
          </w:tcPr>
          <w:p w14:paraId="45656F8E" w14:textId="77777777" w:rsidR="00724C44" w:rsidRPr="0023718D" w:rsidRDefault="00724C44" w:rsidP="0023718D">
            <w:pPr>
              <w:spacing w:after="0" w:line="240" w:lineRule="auto"/>
              <w:jc w:val="center"/>
              <w:rPr>
                <w:sz w:val="22"/>
                <w:szCs w:val="22"/>
              </w:rPr>
            </w:pPr>
            <w:r w:rsidRPr="0023718D">
              <w:rPr>
                <w:b/>
                <w:sz w:val="22"/>
                <w:szCs w:val="22"/>
              </w:rPr>
              <w:t>SD</w:t>
            </w:r>
          </w:p>
        </w:tc>
        <w:tc>
          <w:tcPr>
            <w:tcW w:w="1656" w:type="dxa"/>
            <w:tcBorders>
              <w:top w:val="single" w:sz="4" w:space="0" w:color="000000"/>
              <w:left w:val="nil"/>
              <w:bottom w:val="single" w:sz="4" w:space="0" w:color="000000"/>
              <w:right w:val="nil"/>
            </w:tcBorders>
          </w:tcPr>
          <w:p w14:paraId="5F756357" w14:textId="77777777" w:rsidR="00724C44" w:rsidRPr="0023718D" w:rsidRDefault="00724C44" w:rsidP="0023718D">
            <w:pPr>
              <w:spacing w:after="0" w:line="240" w:lineRule="auto"/>
              <w:jc w:val="center"/>
              <w:rPr>
                <w:sz w:val="22"/>
                <w:szCs w:val="22"/>
              </w:rPr>
            </w:pPr>
            <w:r w:rsidRPr="0023718D">
              <w:rPr>
                <w:b/>
                <w:sz w:val="22"/>
                <w:szCs w:val="22"/>
              </w:rPr>
              <w:t>Interpretation</w:t>
            </w:r>
          </w:p>
        </w:tc>
      </w:tr>
      <w:tr w:rsidR="00724C44" w:rsidRPr="00EB4FF5" w14:paraId="3F0A5AE1" w14:textId="77777777" w:rsidTr="0023718D">
        <w:tc>
          <w:tcPr>
            <w:tcW w:w="720" w:type="dxa"/>
            <w:tcBorders>
              <w:top w:val="nil"/>
              <w:left w:val="nil"/>
              <w:bottom w:val="nil"/>
              <w:right w:val="nil"/>
            </w:tcBorders>
          </w:tcPr>
          <w:p w14:paraId="479E2062" w14:textId="77777777" w:rsidR="00724C44" w:rsidRPr="0023718D" w:rsidRDefault="00724C44" w:rsidP="0023718D">
            <w:pPr>
              <w:spacing w:after="0" w:line="240" w:lineRule="auto"/>
              <w:jc w:val="center"/>
              <w:rPr>
                <w:sz w:val="22"/>
                <w:szCs w:val="22"/>
              </w:rPr>
            </w:pPr>
            <w:r w:rsidRPr="0023718D">
              <w:rPr>
                <w:sz w:val="22"/>
                <w:szCs w:val="22"/>
              </w:rPr>
              <w:t>C2.1</w:t>
            </w:r>
          </w:p>
        </w:tc>
        <w:tc>
          <w:tcPr>
            <w:tcW w:w="5580" w:type="dxa"/>
            <w:tcBorders>
              <w:top w:val="nil"/>
              <w:left w:val="nil"/>
              <w:bottom w:val="nil"/>
              <w:right w:val="nil"/>
            </w:tcBorders>
          </w:tcPr>
          <w:p w14:paraId="184D3B80" w14:textId="77777777" w:rsidR="00724C44" w:rsidRPr="0023718D" w:rsidRDefault="00724C44" w:rsidP="0023718D">
            <w:pPr>
              <w:spacing w:after="0" w:line="240" w:lineRule="auto"/>
              <w:jc w:val="both"/>
              <w:rPr>
                <w:sz w:val="22"/>
                <w:szCs w:val="22"/>
              </w:rPr>
            </w:pPr>
            <w:r w:rsidRPr="0023718D">
              <w:rPr>
                <w:sz w:val="22"/>
                <w:szCs w:val="22"/>
              </w:rPr>
              <w:t>Salary structure is shared with employees internally</w:t>
            </w:r>
          </w:p>
        </w:tc>
        <w:tc>
          <w:tcPr>
            <w:tcW w:w="648" w:type="dxa"/>
            <w:tcBorders>
              <w:top w:val="nil"/>
              <w:left w:val="nil"/>
              <w:bottom w:val="nil"/>
              <w:right w:val="nil"/>
            </w:tcBorders>
          </w:tcPr>
          <w:p w14:paraId="65F0668E" w14:textId="77777777" w:rsidR="00724C44" w:rsidRPr="0023718D" w:rsidRDefault="00724C44" w:rsidP="0023718D">
            <w:pPr>
              <w:spacing w:after="0" w:line="240" w:lineRule="auto"/>
              <w:jc w:val="center"/>
              <w:rPr>
                <w:sz w:val="22"/>
                <w:szCs w:val="22"/>
              </w:rPr>
            </w:pPr>
            <w:r w:rsidRPr="0023718D">
              <w:rPr>
                <w:sz w:val="22"/>
                <w:szCs w:val="22"/>
              </w:rPr>
              <w:t>4.59</w:t>
            </w:r>
          </w:p>
        </w:tc>
        <w:tc>
          <w:tcPr>
            <w:tcW w:w="684" w:type="dxa"/>
            <w:tcBorders>
              <w:top w:val="nil"/>
              <w:left w:val="nil"/>
              <w:bottom w:val="nil"/>
              <w:right w:val="nil"/>
            </w:tcBorders>
          </w:tcPr>
          <w:p w14:paraId="529B333F" w14:textId="77777777" w:rsidR="00724C44" w:rsidRPr="0023718D" w:rsidRDefault="00724C44" w:rsidP="0023718D">
            <w:pPr>
              <w:spacing w:after="0" w:line="240" w:lineRule="auto"/>
              <w:jc w:val="center"/>
              <w:rPr>
                <w:sz w:val="22"/>
                <w:szCs w:val="22"/>
              </w:rPr>
            </w:pPr>
            <w:r w:rsidRPr="0023718D">
              <w:rPr>
                <w:sz w:val="22"/>
                <w:szCs w:val="22"/>
              </w:rPr>
              <w:t>1.42</w:t>
            </w:r>
          </w:p>
        </w:tc>
        <w:tc>
          <w:tcPr>
            <w:tcW w:w="1656" w:type="dxa"/>
            <w:tcBorders>
              <w:top w:val="nil"/>
              <w:left w:val="nil"/>
              <w:bottom w:val="nil"/>
              <w:right w:val="nil"/>
            </w:tcBorders>
          </w:tcPr>
          <w:p w14:paraId="2709D3AD" w14:textId="77777777" w:rsidR="00724C44" w:rsidRPr="0023718D" w:rsidRDefault="00724C44" w:rsidP="0023718D">
            <w:pPr>
              <w:spacing w:after="0" w:line="240" w:lineRule="auto"/>
              <w:jc w:val="both"/>
              <w:rPr>
                <w:sz w:val="22"/>
                <w:szCs w:val="22"/>
              </w:rPr>
            </w:pPr>
            <w:r w:rsidRPr="0023718D">
              <w:rPr>
                <w:sz w:val="22"/>
                <w:szCs w:val="22"/>
              </w:rPr>
              <w:t>Moderate-High</w:t>
            </w:r>
          </w:p>
        </w:tc>
      </w:tr>
      <w:tr w:rsidR="00724C44" w:rsidRPr="00EB4FF5" w14:paraId="5C0E57AA" w14:textId="77777777" w:rsidTr="0023718D">
        <w:tc>
          <w:tcPr>
            <w:tcW w:w="720" w:type="dxa"/>
            <w:tcBorders>
              <w:top w:val="nil"/>
              <w:left w:val="nil"/>
              <w:bottom w:val="nil"/>
              <w:right w:val="nil"/>
            </w:tcBorders>
          </w:tcPr>
          <w:p w14:paraId="0B4D4B13" w14:textId="77777777" w:rsidR="00724C44" w:rsidRPr="0023718D" w:rsidRDefault="00724C44" w:rsidP="0023718D">
            <w:pPr>
              <w:spacing w:after="0" w:line="240" w:lineRule="auto"/>
              <w:jc w:val="center"/>
              <w:rPr>
                <w:sz w:val="22"/>
                <w:szCs w:val="22"/>
              </w:rPr>
            </w:pPr>
            <w:r w:rsidRPr="0023718D">
              <w:rPr>
                <w:sz w:val="22"/>
                <w:szCs w:val="22"/>
              </w:rPr>
              <w:t>C2.2</w:t>
            </w:r>
          </w:p>
        </w:tc>
        <w:tc>
          <w:tcPr>
            <w:tcW w:w="5580" w:type="dxa"/>
            <w:tcBorders>
              <w:top w:val="nil"/>
              <w:left w:val="nil"/>
              <w:bottom w:val="nil"/>
              <w:right w:val="nil"/>
            </w:tcBorders>
          </w:tcPr>
          <w:p w14:paraId="2F45C982" w14:textId="77777777" w:rsidR="00724C44" w:rsidRPr="0023718D" w:rsidRDefault="00724C44" w:rsidP="0023718D">
            <w:pPr>
              <w:spacing w:after="0" w:line="240" w:lineRule="auto"/>
              <w:jc w:val="both"/>
              <w:rPr>
                <w:sz w:val="22"/>
                <w:szCs w:val="22"/>
              </w:rPr>
            </w:pPr>
            <w:r w:rsidRPr="0023718D">
              <w:rPr>
                <w:sz w:val="22"/>
                <w:szCs w:val="22"/>
              </w:rPr>
              <w:t>Employees understand how their pay is determined</w:t>
            </w:r>
          </w:p>
        </w:tc>
        <w:tc>
          <w:tcPr>
            <w:tcW w:w="648" w:type="dxa"/>
            <w:tcBorders>
              <w:top w:val="nil"/>
              <w:left w:val="nil"/>
              <w:bottom w:val="nil"/>
              <w:right w:val="nil"/>
            </w:tcBorders>
          </w:tcPr>
          <w:p w14:paraId="23503D25" w14:textId="77777777" w:rsidR="00724C44" w:rsidRPr="0023718D" w:rsidRDefault="00724C44" w:rsidP="0023718D">
            <w:pPr>
              <w:spacing w:after="0" w:line="240" w:lineRule="auto"/>
              <w:jc w:val="center"/>
              <w:rPr>
                <w:sz w:val="22"/>
                <w:szCs w:val="22"/>
              </w:rPr>
            </w:pPr>
            <w:r w:rsidRPr="0023718D">
              <w:rPr>
                <w:sz w:val="22"/>
                <w:szCs w:val="22"/>
              </w:rPr>
              <w:t>3.11</w:t>
            </w:r>
          </w:p>
        </w:tc>
        <w:tc>
          <w:tcPr>
            <w:tcW w:w="684" w:type="dxa"/>
            <w:tcBorders>
              <w:top w:val="nil"/>
              <w:left w:val="nil"/>
              <w:bottom w:val="nil"/>
              <w:right w:val="nil"/>
            </w:tcBorders>
          </w:tcPr>
          <w:p w14:paraId="584681C4" w14:textId="77777777" w:rsidR="00724C44" w:rsidRPr="0023718D" w:rsidRDefault="00724C44" w:rsidP="0023718D">
            <w:pPr>
              <w:spacing w:after="0" w:line="240" w:lineRule="auto"/>
              <w:jc w:val="center"/>
              <w:rPr>
                <w:sz w:val="22"/>
                <w:szCs w:val="22"/>
              </w:rPr>
            </w:pPr>
            <w:r w:rsidRPr="0023718D">
              <w:rPr>
                <w:sz w:val="22"/>
                <w:szCs w:val="22"/>
              </w:rPr>
              <w:t>1.32</w:t>
            </w:r>
          </w:p>
        </w:tc>
        <w:tc>
          <w:tcPr>
            <w:tcW w:w="1656" w:type="dxa"/>
            <w:tcBorders>
              <w:top w:val="nil"/>
              <w:left w:val="nil"/>
              <w:bottom w:val="nil"/>
              <w:right w:val="nil"/>
            </w:tcBorders>
          </w:tcPr>
          <w:p w14:paraId="23ED276D" w14:textId="77777777" w:rsidR="00724C44" w:rsidRPr="0023718D" w:rsidRDefault="00724C44" w:rsidP="0023718D">
            <w:pPr>
              <w:spacing w:after="0" w:line="240" w:lineRule="auto"/>
              <w:jc w:val="both"/>
              <w:rPr>
                <w:sz w:val="22"/>
                <w:szCs w:val="22"/>
              </w:rPr>
            </w:pPr>
            <w:r w:rsidRPr="0023718D">
              <w:rPr>
                <w:sz w:val="22"/>
                <w:szCs w:val="22"/>
              </w:rPr>
              <w:t>Moderate</w:t>
            </w:r>
          </w:p>
        </w:tc>
      </w:tr>
      <w:tr w:rsidR="00724C44" w:rsidRPr="00EB4FF5" w14:paraId="332B815C" w14:textId="77777777" w:rsidTr="0023718D">
        <w:tc>
          <w:tcPr>
            <w:tcW w:w="720" w:type="dxa"/>
            <w:tcBorders>
              <w:top w:val="nil"/>
              <w:left w:val="nil"/>
              <w:bottom w:val="nil"/>
              <w:right w:val="nil"/>
            </w:tcBorders>
          </w:tcPr>
          <w:p w14:paraId="2D45F125" w14:textId="77777777" w:rsidR="00724C44" w:rsidRPr="0023718D" w:rsidRDefault="00724C44" w:rsidP="0023718D">
            <w:pPr>
              <w:spacing w:after="0" w:line="240" w:lineRule="auto"/>
              <w:jc w:val="center"/>
              <w:rPr>
                <w:sz w:val="22"/>
                <w:szCs w:val="22"/>
              </w:rPr>
            </w:pPr>
            <w:r w:rsidRPr="0023718D">
              <w:rPr>
                <w:sz w:val="22"/>
                <w:szCs w:val="22"/>
              </w:rPr>
              <w:t>C2.3</w:t>
            </w:r>
          </w:p>
        </w:tc>
        <w:tc>
          <w:tcPr>
            <w:tcW w:w="5580" w:type="dxa"/>
            <w:tcBorders>
              <w:top w:val="nil"/>
              <w:left w:val="nil"/>
              <w:bottom w:val="nil"/>
              <w:right w:val="nil"/>
            </w:tcBorders>
          </w:tcPr>
          <w:p w14:paraId="6F40F0DB" w14:textId="77777777" w:rsidR="00724C44" w:rsidRPr="0023718D" w:rsidRDefault="00724C44" w:rsidP="0023718D">
            <w:pPr>
              <w:spacing w:after="0" w:line="240" w:lineRule="auto"/>
              <w:jc w:val="both"/>
              <w:rPr>
                <w:sz w:val="22"/>
                <w:szCs w:val="22"/>
              </w:rPr>
            </w:pPr>
            <w:r w:rsidRPr="0023718D">
              <w:rPr>
                <w:sz w:val="22"/>
                <w:szCs w:val="22"/>
              </w:rPr>
              <w:t>Regular communication about compensation policies occurs</w:t>
            </w:r>
          </w:p>
        </w:tc>
        <w:tc>
          <w:tcPr>
            <w:tcW w:w="648" w:type="dxa"/>
            <w:tcBorders>
              <w:top w:val="nil"/>
              <w:left w:val="nil"/>
              <w:bottom w:val="nil"/>
              <w:right w:val="nil"/>
            </w:tcBorders>
          </w:tcPr>
          <w:p w14:paraId="2964E849" w14:textId="77777777" w:rsidR="00724C44" w:rsidRPr="0023718D" w:rsidRDefault="00724C44" w:rsidP="0023718D">
            <w:pPr>
              <w:spacing w:after="0" w:line="240" w:lineRule="auto"/>
              <w:jc w:val="center"/>
              <w:rPr>
                <w:sz w:val="22"/>
                <w:szCs w:val="22"/>
              </w:rPr>
            </w:pPr>
            <w:r w:rsidRPr="0023718D">
              <w:rPr>
                <w:sz w:val="22"/>
                <w:szCs w:val="22"/>
              </w:rPr>
              <w:t>3.21</w:t>
            </w:r>
          </w:p>
        </w:tc>
        <w:tc>
          <w:tcPr>
            <w:tcW w:w="684" w:type="dxa"/>
            <w:tcBorders>
              <w:top w:val="nil"/>
              <w:left w:val="nil"/>
              <w:bottom w:val="nil"/>
              <w:right w:val="nil"/>
            </w:tcBorders>
          </w:tcPr>
          <w:p w14:paraId="1F30138F" w14:textId="77777777" w:rsidR="00724C44" w:rsidRPr="0023718D" w:rsidRDefault="00724C44" w:rsidP="0023718D">
            <w:pPr>
              <w:spacing w:after="0" w:line="240" w:lineRule="auto"/>
              <w:jc w:val="center"/>
              <w:rPr>
                <w:sz w:val="22"/>
                <w:szCs w:val="22"/>
              </w:rPr>
            </w:pPr>
            <w:r w:rsidRPr="0023718D">
              <w:rPr>
                <w:sz w:val="22"/>
                <w:szCs w:val="22"/>
              </w:rPr>
              <w:t>1.59</w:t>
            </w:r>
          </w:p>
        </w:tc>
        <w:tc>
          <w:tcPr>
            <w:tcW w:w="1656" w:type="dxa"/>
            <w:tcBorders>
              <w:top w:val="nil"/>
              <w:left w:val="nil"/>
              <w:bottom w:val="nil"/>
              <w:right w:val="nil"/>
            </w:tcBorders>
          </w:tcPr>
          <w:p w14:paraId="126B2307" w14:textId="77777777" w:rsidR="00724C44" w:rsidRPr="0023718D" w:rsidRDefault="00724C44" w:rsidP="0023718D">
            <w:pPr>
              <w:spacing w:after="0" w:line="240" w:lineRule="auto"/>
              <w:jc w:val="both"/>
              <w:rPr>
                <w:sz w:val="22"/>
                <w:szCs w:val="22"/>
              </w:rPr>
            </w:pPr>
            <w:r w:rsidRPr="0023718D">
              <w:rPr>
                <w:sz w:val="22"/>
                <w:szCs w:val="22"/>
              </w:rPr>
              <w:t>Moderate</w:t>
            </w:r>
          </w:p>
        </w:tc>
      </w:tr>
      <w:tr w:rsidR="00724C44" w:rsidRPr="00EB4FF5" w14:paraId="031B20D6" w14:textId="77777777" w:rsidTr="0023718D">
        <w:tc>
          <w:tcPr>
            <w:tcW w:w="720" w:type="dxa"/>
            <w:tcBorders>
              <w:top w:val="nil"/>
              <w:left w:val="nil"/>
              <w:bottom w:val="nil"/>
              <w:right w:val="nil"/>
            </w:tcBorders>
          </w:tcPr>
          <w:p w14:paraId="270E7AA5" w14:textId="77777777" w:rsidR="00724C44" w:rsidRPr="0023718D" w:rsidRDefault="00724C44" w:rsidP="0023718D">
            <w:pPr>
              <w:spacing w:after="0" w:line="240" w:lineRule="auto"/>
              <w:jc w:val="center"/>
              <w:rPr>
                <w:sz w:val="22"/>
                <w:szCs w:val="22"/>
              </w:rPr>
            </w:pPr>
            <w:r w:rsidRPr="0023718D">
              <w:rPr>
                <w:sz w:val="22"/>
                <w:szCs w:val="22"/>
              </w:rPr>
              <w:t>C2.4</w:t>
            </w:r>
          </w:p>
        </w:tc>
        <w:tc>
          <w:tcPr>
            <w:tcW w:w="5580" w:type="dxa"/>
            <w:tcBorders>
              <w:top w:val="nil"/>
              <w:left w:val="nil"/>
              <w:bottom w:val="nil"/>
              <w:right w:val="nil"/>
            </w:tcBorders>
          </w:tcPr>
          <w:p w14:paraId="7183C5B5" w14:textId="77777777" w:rsidR="00724C44" w:rsidRPr="0023718D" w:rsidRDefault="00724C44" w:rsidP="0023718D">
            <w:pPr>
              <w:spacing w:after="0" w:line="240" w:lineRule="auto"/>
              <w:jc w:val="both"/>
              <w:rPr>
                <w:sz w:val="22"/>
                <w:szCs w:val="22"/>
              </w:rPr>
            </w:pPr>
            <w:r w:rsidRPr="0023718D">
              <w:rPr>
                <w:sz w:val="22"/>
                <w:szCs w:val="22"/>
              </w:rPr>
              <w:t>Managers are trained to discuss pay decisions with employees</w:t>
            </w:r>
          </w:p>
        </w:tc>
        <w:tc>
          <w:tcPr>
            <w:tcW w:w="648" w:type="dxa"/>
            <w:tcBorders>
              <w:top w:val="nil"/>
              <w:left w:val="nil"/>
              <w:bottom w:val="nil"/>
              <w:right w:val="nil"/>
            </w:tcBorders>
          </w:tcPr>
          <w:p w14:paraId="6744B2AD" w14:textId="77777777" w:rsidR="00724C44" w:rsidRPr="0023718D" w:rsidRDefault="00724C44" w:rsidP="0023718D">
            <w:pPr>
              <w:spacing w:after="0" w:line="240" w:lineRule="auto"/>
              <w:jc w:val="center"/>
              <w:rPr>
                <w:sz w:val="22"/>
                <w:szCs w:val="22"/>
              </w:rPr>
            </w:pPr>
            <w:r w:rsidRPr="0023718D">
              <w:rPr>
                <w:sz w:val="22"/>
                <w:szCs w:val="22"/>
              </w:rPr>
              <w:t>3.04</w:t>
            </w:r>
          </w:p>
        </w:tc>
        <w:tc>
          <w:tcPr>
            <w:tcW w:w="684" w:type="dxa"/>
            <w:tcBorders>
              <w:top w:val="nil"/>
              <w:left w:val="nil"/>
              <w:bottom w:val="nil"/>
              <w:right w:val="nil"/>
            </w:tcBorders>
          </w:tcPr>
          <w:p w14:paraId="518795DA" w14:textId="77777777" w:rsidR="00724C44" w:rsidRPr="0023718D" w:rsidRDefault="00724C44" w:rsidP="0023718D">
            <w:pPr>
              <w:spacing w:after="0" w:line="240" w:lineRule="auto"/>
              <w:jc w:val="center"/>
              <w:rPr>
                <w:sz w:val="22"/>
                <w:szCs w:val="22"/>
              </w:rPr>
            </w:pPr>
            <w:r w:rsidRPr="0023718D">
              <w:rPr>
                <w:sz w:val="22"/>
                <w:szCs w:val="22"/>
              </w:rPr>
              <w:t>1.20</w:t>
            </w:r>
          </w:p>
        </w:tc>
        <w:tc>
          <w:tcPr>
            <w:tcW w:w="1656" w:type="dxa"/>
            <w:tcBorders>
              <w:top w:val="nil"/>
              <w:left w:val="nil"/>
              <w:bottom w:val="nil"/>
              <w:right w:val="nil"/>
            </w:tcBorders>
          </w:tcPr>
          <w:p w14:paraId="598CA176" w14:textId="77777777" w:rsidR="00724C44" w:rsidRPr="0023718D" w:rsidRDefault="00724C44" w:rsidP="0023718D">
            <w:pPr>
              <w:spacing w:after="0" w:line="240" w:lineRule="auto"/>
              <w:jc w:val="both"/>
              <w:rPr>
                <w:sz w:val="22"/>
                <w:szCs w:val="22"/>
              </w:rPr>
            </w:pPr>
            <w:r w:rsidRPr="0023718D">
              <w:rPr>
                <w:sz w:val="22"/>
                <w:szCs w:val="22"/>
              </w:rPr>
              <w:t>Moderate</w:t>
            </w:r>
          </w:p>
        </w:tc>
      </w:tr>
      <w:tr w:rsidR="00724C44" w:rsidRPr="00EB4FF5" w14:paraId="0F44F6FA" w14:textId="77777777" w:rsidTr="0023718D">
        <w:tc>
          <w:tcPr>
            <w:tcW w:w="720" w:type="dxa"/>
            <w:tcBorders>
              <w:top w:val="nil"/>
              <w:left w:val="nil"/>
              <w:bottom w:val="nil"/>
              <w:right w:val="nil"/>
            </w:tcBorders>
          </w:tcPr>
          <w:p w14:paraId="42C7539C" w14:textId="77777777" w:rsidR="00724C44" w:rsidRPr="0023718D" w:rsidRDefault="00724C44" w:rsidP="0023718D">
            <w:pPr>
              <w:spacing w:after="0" w:line="240" w:lineRule="auto"/>
              <w:jc w:val="center"/>
              <w:rPr>
                <w:sz w:val="22"/>
                <w:szCs w:val="22"/>
              </w:rPr>
            </w:pPr>
            <w:r w:rsidRPr="0023718D">
              <w:rPr>
                <w:sz w:val="22"/>
                <w:szCs w:val="22"/>
              </w:rPr>
              <w:t>C2.5</w:t>
            </w:r>
          </w:p>
        </w:tc>
        <w:tc>
          <w:tcPr>
            <w:tcW w:w="5580" w:type="dxa"/>
            <w:tcBorders>
              <w:top w:val="nil"/>
              <w:left w:val="nil"/>
              <w:bottom w:val="nil"/>
              <w:right w:val="nil"/>
            </w:tcBorders>
          </w:tcPr>
          <w:p w14:paraId="73DF6568" w14:textId="77777777" w:rsidR="00724C44" w:rsidRPr="0023718D" w:rsidRDefault="00724C44" w:rsidP="0023718D">
            <w:pPr>
              <w:spacing w:after="0" w:line="240" w:lineRule="auto"/>
              <w:jc w:val="both"/>
              <w:rPr>
                <w:sz w:val="22"/>
                <w:szCs w:val="22"/>
              </w:rPr>
            </w:pPr>
            <w:r w:rsidRPr="0023718D">
              <w:rPr>
                <w:sz w:val="22"/>
                <w:szCs w:val="22"/>
              </w:rPr>
              <w:t>There is an appeal process for compensation concerns</w:t>
            </w:r>
          </w:p>
        </w:tc>
        <w:tc>
          <w:tcPr>
            <w:tcW w:w="648" w:type="dxa"/>
            <w:tcBorders>
              <w:top w:val="nil"/>
              <w:left w:val="nil"/>
              <w:bottom w:val="nil"/>
              <w:right w:val="nil"/>
            </w:tcBorders>
          </w:tcPr>
          <w:p w14:paraId="5C42408A" w14:textId="77777777" w:rsidR="00724C44" w:rsidRPr="0023718D" w:rsidRDefault="00724C44" w:rsidP="0023718D">
            <w:pPr>
              <w:spacing w:after="0" w:line="240" w:lineRule="auto"/>
              <w:jc w:val="center"/>
              <w:rPr>
                <w:sz w:val="22"/>
                <w:szCs w:val="22"/>
              </w:rPr>
            </w:pPr>
            <w:r w:rsidRPr="0023718D">
              <w:rPr>
                <w:sz w:val="22"/>
                <w:szCs w:val="22"/>
              </w:rPr>
              <w:t>2.95</w:t>
            </w:r>
          </w:p>
        </w:tc>
        <w:tc>
          <w:tcPr>
            <w:tcW w:w="684" w:type="dxa"/>
            <w:tcBorders>
              <w:top w:val="nil"/>
              <w:left w:val="nil"/>
              <w:bottom w:val="nil"/>
              <w:right w:val="nil"/>
            </w:tcBorders>
          </w:tcPr>
          <w:p w14:paraId="74B2CE6A" w14:textId="77777777" w:rsidR="00724C44" w:rsidRPr="0023718D" w:rsidRDefault="00724C44" w:rsidP="0023718D">
            <w:pPr>
              <w:spacing w:after="0" w:line="240" w:lineRule="auto"/>
              <w:jc w:val="center"/>
              <w:rPr>
                <w:sz w:val="22"/>
                <w:szCs w:val="22"/>
              </w:rPr>
            </w:pPr>
            <w:r w:rsidRPr="0023718D">
              <w:rPr>
                <w:sz w:val="22"/>
                <w:szCs w:val="22"/>
              </w:rPr>
              <w:t>1.35</w:t>
            </w:r>
          </w:p>
        </w:tc>
        <w:tc>
          <w:tcPr>
            <w:tcW w:w="1656" w:type="dxa"/>
            <w:tcBorders>
              <w:top w:val="nil"/>
              <w:left w:val="nil"/>
              <w:bottom w:val="nil"/>
              <w:right w:val="nil"/>
            </w:tcBorders>
          </w:tcPr>
          <w:p w14:paraId="0AA5A203" w14:textId="77777777" w:rsidR="00724C44" w:rsidRPr="0023718D" w:rsidRDefault="00724C44" w:rsidP="0023718D">
            <w:pPr>
              <w:spacing w:after="0" w:line="240" w:lineRule="auto"/>
              <w:jc w:val="both"/>
              <w:rPr>
                <w:sz w:val="22"/>
                <w:szCs w:val="22"/>
              </w:rPr>
            </w:pPr>
            <w:r w:rsidRPr="0023718D">
              <w:rPr>
                <w:sz w:val="22"/>
                <w:szCs w:val="22"/>
              </w:rPr>
              <w:t>Low</w:t>
            </w:r>
          </w:p>
        </w:tc>
      </w:tr>
      <w:tr w:rsidR="00724C44" w:rsidRPr="00EB4FF5" w14:paraId="06FAD2CA" w14:textId="77777777" w:rsidTr="0023718D">
        <w:tc>
          <w:tcPr>
            <w:tcW w:w="720" w:type="dxa"/>
            <w:tcBorders>
              <w:top w:val="nil"/>
              <w:left w:val="nil"/>
              <w:bottom w:val="single" w:sz="4" w:space="0" w:color="000000"/>
              <w:right w:val="nil"/>
            </w:tcBorders>
          </w:tcPr>
          <w:p w14:paraId="63C39CE6" w14:textId="77777777" w:rsidR="00724C44" w:rsidRPr="0023718D" w:rsidRDefault="00724C44" w:rsidP="0023718D">
            <w:pPr>
              <w:spacing w:after="0" w:line="240" w:lineRule="auto"/>
              <w:jc w:val="both"/>
              <w:rPr>
                <w:sz w:val="22"/>
                <w:szCs w:val="22"/>
              </w:rPr>
            </w:pPr>
          </w:p>
        </w:tc>
        <w:tc>
          <w:tcPr>
            <w:tcW w:w="5580" w:type="dxa"/>
            <w:tcBorders>
              <w:top w:val="nil"/>
              <w:left w:val="nil"/>
              <w:bottom w:val="single" w:sz="4" w:space="0" w:color="000000"/>
              <w:right w:val="nil"/>
            </w:tcBorders>
          </w:tcPr>
          <w:p w14:paraId="626719B7" w14:textId="77777777" w:rsidR="00724C44" w:rsidRPr="0023718D" w:rsidRDefault="00724C44" w:rsidP="0023718D">
            <w:pPr>
              <w:spacing w:after="0" w:line="240" w:lineRule="auto"/>
              <w:jc w:val="both"/>
              <w:rPr>
                <w:sz w:val="22"/>
                <w:szCs w:val="22"/>
              </w:rPr>
            </w:pPr>
            <w:r w:rsidRPr="0023718D">
              <w:rPr>
                <w:sz w:val="22"/>
                <w:szCs w:val="22"/>
              </w:rPr>
              <w:t>Construct Mean (C2)</w:t>
            </w:r>
          </w:p>
        </w:tc>
        <w:tc>
          <w:tcPr>
            <w:tcW w:w="648" w:type="dxa"/>
            <w:tcBorders>
              <w:top w:val="nil"/>
              <w:left w:val="nil"/>
              <w:bottom w:val="single" w:sz="4" w:space="0" w:color="000000"/>
              <w:right w:val="nil"/>
            </w:tcBorders>
          </w:tcPr>
          <w:p w14:paraId="28526C7B" w14:textId="77777777" w:rsidR="00724C44" w:rsidRPr="0023718D" w:rsidRDefault="00724C44" w:rsidP="0023718D">
            <w:pPr>
              <w:spacing w:after="0" w:line="240" w:lineRule="auto"/>
              <w:jc w:val="center"/>
              <w:rPr>
                <w:sz w:val="22"/>
                <w:szCs w:val="22"/>
              </w:rPr>
            </w:pPr>
            <w:r w:rsidRPr="0023718D">
              <w:rPr>
                <w:sz w:val="22"/>
                <w:szCs w:val="22"/>
              </w:rPr>
              <w:t>3.38</w:t>
            </w:r>
          </w:p>
        </w:tc>
        <w:tc>
          <w:tcPr>
            <w:tcW w:w="684" w:type="dxa"/>
            <w:tcBorders>
              <w:top w:val="nil"/>
              <w:left w:val="nil"/>
              <w:bottom w:val="single" w:sz="4" w:space="0" w:color="000000"/>
              <w:right w:val="nil"/>
            </w:tcBorders>
          </w:tcPr>
          <w:p w14:paraId="7D186CD8" w14:textId="77777777" w:rsidR="00724C44" w:rsidRPr="0023718D" w:rsidRDefault="00724C44" w:rsidP="0023718D">
            <w:pPr>
              <w:spacing w:after="0" w:line="240" w:lineRule="auto"/>
              <w:jc w:val="center"/>
              <w:rPr>
                <w:sz w:val="22"/>
                <w:szCs w:val="22"/>
              </w:rPr>
            </w:pPr>
            <w:r w:rsidRPr="0023718D">
              <w:rPr>
                <w:sz w:val="22"/>
                <w:szCs w:val="22"/>
              </w:rPr>
              <w:t>0.61</w:t>
            </w:r>
          </w:p>
        </w:tc>
        <w:tc>
          <w:tcPr>
            <w:tcW w:w="1656" w:type="dxa"/>
            <w:tcBorders>
              <w:top w:val="nil"/>
              <w:left w:val="nil"/>
              <w:bottom w:val="single" w:sz="4" w:space="0" w:color="000000"/>
              <w:right w:val="nil"/>
            </w:tcBorders>
          </w:tcPr>
          <w:p w14:paraId="2D148338" w14:textId="77777777" w:rsidR="00724C44" w:rsidRPr="0023718D" w:rsidRDefault="00724C44" w:rsidP="0023718D">
            <w:pPr>
              <w:spacing w:after="0" w:line="240" w:lineRule="auto"/>
              <w:jc w:val="both"/>
              <w:rPr>
                <w:sz w:val="22"/>
                <w:szCs w:val="22"/>
              </w:rPr>
            </w:pPr>
            <w:r w:rsidRPr="0023718D">
              <w:rPr>
                <w:sz w:val="22"/>
                <w:szCs w:val="22"/>
              </w:rPr>
              <w:t>Moderate</w:t>
            </w:r>
          </w:p>
        </w:tc>
      </w:tr>
    </w:tbl>
    <w:p w14:paraId="5F7541E2" w14:textId="77777777" w:rsidR="00724C44" w:rsidRPr="00EB4FF5" w:rsidRDefault="00724C44" w:rsidP="00724C44">
      <w:pPr>
        <w:spacing w:line="240" w:lineRule="auto"/>
        <w:jc w:val="both"/>
        <w:rPr>
          <w:sz w:val="22"/>
          <w:szCs w:val="22"/>
        </w:rPr>
      </w:pPr>
      <w:r w:rsidRPr="00EB4FF5">
        <w:rPr>
          <w:i/>
          <w:sz w:val="22"/>
          <w:szCs w:val="22"/>
        </w:rPr>
        <w:t xml:space="preserve">Note. </w:t>
      </w:r>
      <w:r w:rsidRPr="00EB4FF5">
        <w:rPr>
          <w:sz w:val="22"/>
          <w:szCs w:val="22"/>
        </w:rPr>
        <w:t>Scale: 1 = Strongly Disagree, 7 = Strongly Agree.</w:t>
      </w:r>
    </w:p>
    <w:p w14:paraId="306D6547" w14:textId="77777777" w:rsidR="00724C44" w:rsidRPr="00724C44" w:rsidRDefault="00724C44" w:rsidP="00724C44">
      <w:pPr>
        <w:spacing w:line="240" w:lineRule="auto"/>
        <w:jc w:val="both"/>
      </w:pPr>
      <w:r w:rsidRPr="00724C44">
        <w:t xml:space="preserve">Internal transparency represents the </w:t>
      </w:r>
      <w:proofErr w:type="gramStart"/>
      <w:r w:rsidRPr="00724C44">
        <w:t>lowest-scoring</w:t>
      </w:r>
      <w:proofErr w:type="gramEnd"/>
      <w:r w:rsidRPr="00724C44">
        <w:t xml:space="preserve"> pay transparency dimension (M = 3.38, Moderate). All five items fall in the moderate range, suggesting that organizations maintain significant opacity in internal compensation communications. Sharing salary structures with employees, ensuring that pay determination is understood, and training managers on pay </w:t>
      </w:r>
      <w:r w:rsidRPr="00724C44">
        <w:lastRenderedPageBreak/>
        <w:t>discussions all offer substantial room for improvement. This finding aligns with cultural contexts where pay secrecy remains normative.</w:t>
      </w:r>
    </w:p>
    <w:p w14:paraId="6FD31707" w14:textId="77777777" w:rsidR="00724C44" w:rsidRPr="00724C44" w:rsidRDefault="00724C44" w:rsidP="00724C44">
      <w:pPr>
        <w:spacing w:line="240" w:lineRule="auto"/>
        <w:jc w:val="both"/>
      </w:pPr>
      <w:r w:rsidRPr="00724C44">
        <w:rPr>
          <w:b/>
        </w:rPr>
        <w:t>4.5.3 Pay Equity Analysis (C3)</w:t>
      </w:r>
    </w:p>
    <w:p w14:paraId="10275744" w14:textId="77777777" w:rsidR="00724C44" w:rsidRPr="00724C44" w:rsidRDefault="00724C44" w:rsidP="00724C44">
      <w:pPr>
        <w:spacing w:line="240" w:lineRule="auto"/>
        <w:jc w:val="both"/>
      </w:pPr>
      <w:r w:rsidRPr="00724C44">
        <w:t>Pay equity analysis measures the organization’s practices in monitoring and addressing compensation equity across employee groups. Table 4.12 presents the descriptive statistics for these six items.</w:t>
      </w:r>
    </w:p>
    <w:p w14:paraId="504B7896" w14:textId="77777777" w:rsidR="00724C44" w:rsidRPr="00724C44" w:rsidRDefault="00724C44" w:rsidP="00724C44">
      <w:pPr>
        <w:spacing w:line="240" w:lineRule="auto"/>
        <w:jc w:val="both"/>
      </w:pPr>
      <w:r w:rsidRPr="00724C44">
        <w:rPr>
          <w:b/>
        </w:rPr>
        <w:t>Table 4.12</w:t>
      </w:r>
    </w:p>
    <w:p w14:paraId="7A5DE4C3" w14:textId="77777777" w:rsidR="00724C44" w:rsidRPr="00724C44" w:rsidRDefault="00724C44" w:rsidP="00724C44">
      <w:pPr>
        <w:spacing w:line="240" w:lineRule="auto"/>
        <w:jc w:val="both"/>
      </w:pPr>
      <w:r w:rsidRPr="00724C44">
        <w:rPr>
          <w:i/>
        </w:rPr>
        <w:t>Pay Equity Analysis – Descriptive Statistics (n = 400)</w:t>
      </w:r>
    </w:p>
    <w:tbl>
      <w:tblPr>
        <w:tblW w:w="0" w:type="auto"/>
        <w:tblLayout w:type="fixed"/>
        <w:tblLook w:val="04A0" w:firstRow="1" w:lastRow="0" w:firstColumn="1" w:lastColumn="0" w:noHBand="0" w:noVBand="1"/>
      </w:tblPr>
      <w:tblGrid>
        <w:gridCol w:w="1008"/>
        <w:gridCol w:w="4752"/>
        <w:gridCol w:w="864"/>
        <w:gridCol w:w="864"/>
        <w:gridCol w:w="1728"/>
      </w:tblGrid>
      <w:tr w:rsidR="00724C44" w:rsidRPr="00724C44" w14:paraId="6DEA8484" w14:textId="77777777" w:rsidTr="00A5379F">
        <w:tc>
          <w:tcPr>
            <w:tcW w:w="1008" w:type="dxa"/>
            <w:tcBorders>
              <w:top w:val="single" w:sz="4" w:space="0" w:color="000000"/>
              <w:left w:val="nil"/>
              <w:bottom w:val="single" w:sz="4" w:space="0" w:color="000000"/>
              <w:right w:val="nil"/>
            </w:tcBorders>
          </w:tcPr>
          <w:p w14:paraId="7F1DF79C" w14:textId="77777777" w:rsidR="00724C44" w:rsidRPr="00145F3F" w:rsidRDefault="00724C44" w:rsidP="00145F3F">
            <w:pPr>
              <w:spacing w:after="0" w:line="240" w:lineRule="auto"/>
              <w:jc w:val="both"/>
              <w:rPr>
                <w:sz w:val="22"/>
                <w:szCs w:val="22"/>
              </w:rPr>
            </w:pPr>
            <w:r w:rsidRPr="00145F3F">
              <w:rPr>
                <w:b/>
                <w:sz w:val="22"/>
                <w:szCs w:val="22"/>
              </w:rPr>
              <w:t>Item</w:t>
            </w:r>
          </w:p>
        </w:tc>
        <w:tc>
          <w:tcPr>
            <w:tcW w:w="4752" w:type="dxa"/>
            <w:tcBorders>
              <w:top w:val="single" w:sz="4" w:space="0" w:color="000000"/>
              <w:left w:val="nil"/>
              <w:bottom w:val="single" w:sz="4" w:space="0" w:color="000000"/>
              <w:right w:val="nil"/>
            </w:tcBorders>
          </w:tcPr>
          <w:p w14:paraId="3BB115BB"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64" w:type="dxa"/>
            <w:tcBorders>
              <w:top w:val="single" w:sz="4" w:space="0" w:color="000000"/>
              <w:left w:val="nil"/>
              <w:bottom w:val="single" w:sz="4" w:space="0" w:color="000000"/>
              <w:right w:val="nil"/>
            </w:tcBorders>
          </w:tcPr>
          <w:p w14:paraId="139B7CBB" w14:textId="77777777" w:rsidR="00724C44" w:rsidRPr="00145F3F" w:rsidRDefault="00724C44" w:rsidP="00145F3F">
            <w:pPr>
              <w:spacing w:after="0" w:line="240" w:lineRule="auto"/>
              <w:jc w:val="both"/>
              <w:rPr>
                <w:sz w:val="22"/>
                <w:szCs w:val="22"/>
              </w:rPr>
            </w:pPr>
            <w:r w:rsidRPr="00145F3F">
              <w:rPr>
                <w:b/>
                <w:sz w:val="22"/>
                <w:szCs w:val="22"/>
              </w:rPr>
              <w:t>M</w:t>
            </w:r>
          </w:p>
        </w:tc>
        <w:tc>
          <w:tcPr>
            <w:tcW w:w="864" w:type="dxa"/>
            <w:tcBorders>
              <w:top w:val="single" w:sz="4" w:space="0" w:color="000000"/>
              <w:left w:val="nil"/>
              <w:bottom w:val="single" w:sz="4" w:space="0" w:color="000000"/>
              <w:right w:val="nil"/>
            </w:tcBorders>
          </w:tcPr>
          <w:p w14:paraId="4F0CC496" w14:textId="77777777" w:rsidR="00724C44" w:rsidRPr="00145F3F" w:rsidRDefault="00724C44" w:rsidP="00145F3F">
            <w:pPr>
              <w:spacing w:after="0" w:line="240" w:lineRule="auto"/>
              <w:jc w:val="both"/>
              <w:rPr>
                <w:sz w:val="22"/>
                <w:szCs w:val="22"/>
              </w:rPr>
            </w:pPr>
            <w:r w:rsidRPr="00145F3F">
              <w:rPr>
                <w:b/>
                <w:sz w:val="22"/>
                <w:szCs w:val="22"/>
              </w:rPr>
              <w:t>SD</w:t>
            </w:r>
          </w:p>
        </w:tc>
        <w:tc>
          <w:tcPr>
            <w:tcW w:w="1728" w:type="dxa"/>
            <w:tcBorders>
              <w:top w:val="single" w:sz="4" w:space="0" w:color="000000"/>
              <w:left w:val="nil"/>
              <w:bottom w:val="single" w:sz="4" w:space="0" w:color="000000"/>
              <w:right w:val="nil"/>
            </w:tcBorders>
          </w:tcPr>
          <w:p w14:paraId="37DE803D"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3EC77B0D" w14:textId="77777777" w:rsidTr="00A5379F">
        <w:tc>
          <w:tcPr>
            <w:tcW w:w="1008" w:type="dxa"/>
            <w:tcBorders>
              <w:top w:val="nil"/>
              <w:left w:val="nil"/>
              <w:bottom w:val="nil"/>
              <w:right w:val="nil"/>
            </w:tcBorders>
          </w:tcPr>
          <w:p w14:paraId="58EAAC6B" w14:textId="77777777" w:rsidR="00724C44" w:rsidRPr="00145F3F" w:rsidRDefault="00724C44" w:rsidP="00145F3F">
            <w:pPr>
              <w:spacing w:after="0" w:line="240" w:lineRule="auto"/>
              <w:jc w:val="both"/>
              <w:rPr>
                <w:sz w:val="22"/>
                <w:szCs w:val="22"/>
              </w:rPr>
            </w:pPr>
            <w:r w:rsidRPr="00145F3F">
              <w:rPr>
                <w:sz w:val="22"/>
                <w:szCs w:val="22"/>
              </w:rPr>
              <w:t>C3.1</w:t>
            </w:r>
          </w:p>
        </w:tc>
        <w:tc>
          <w:tcPr>
            <w:tcW w:w="4752" w:type="dxa"/>
            <w:tcBorders>
              <w:top w:val="nil"/>
              <w:left w:val="nil"/>
              <w:bottom w:val="nil"/>
              <w:right w:val="nil"/>
            </w:tcBorders>
          </w:tcPr>
          <w:p w14:paraId="3DE57770" w14:textId="77777777" w:rsidR="00724C44" w:rsidRPr="00145F3F" w:rsidRDefault="00724C44" w:rsidP="00145F3F">
            <w:pPr>
              <w:spacing w:after="0" w:line="240" w:lineRule="auto"/>
              <w:jc w:val="both"/>
              <w:rPr>
                <w:sz w:val="22"/>
                <w:szCs w:val="22"/>
              </w:rPr>
            </w:pPr>
            <w:r w:rsidRPr="00145F3F">
              <w:rPr>
                <w:sz w:val="22"/>
                <w:szCs w:val="22"/>
              </w:rPr>
              <w:t>Regular pay equity audits are conducted</w:t>
            </w:r>
          </w:p>
        </w:tc>
        <w:tc>
          <w:tcPr>
            <w:tcW w:w="864" w:type="dxa"/>
            <w:tcBorders>
              <w:top w:val="nil"/>
              <w:left w:val="nil"/>
              <w:bottom w:val="nil"/>
              <w:right w:val="nil"/>
            </w:tcBorders>
          </w:tcPr>
          <w:p w14:paraId="2723D31D" w14:textId="77777777" w:rsidR="00724C44" w:rsidRPr="00145F3F" w:rsidRDefault="00724C44" w:rsidP="00145F3F">
            <w:pPr>
              <w:spacing w:after="0" w:line="240" w:lineRule="auto"/>
              <w:jc w:val="both"/>
              <w:rPr>
                <w:sz w:val="22"/>
                <w:szCs w:val="22"/>
              </w:rPr>
            </w:pPr>
            <w:r w:rsidRPr="00145F3F">
              <w:rPr>
                <w:sz w:val="22"/>
                <w:szCs w:val="22"/>
              </w:rPr>
              <w:t>4.94</w:t>
            </w:r>
          </w:p>
        </w:tc>
        <w:tc>
          <w:tcPr>
            <w:tcW w:w="864" w:type="dxa"/>
            <w:tcBorders>
              <w:top w:val="nil"/>
              <w:left w:val="nil"/>
              <w:bottom w:val="nil"/>
              <w:right w:val="nil"/>
            </w:tcBorders>
          </w:tcPr>
          <w:p w14:paraId="2466C7B1" w14:textId="77777777" w:rsidR="00724C44" w:rsidRPr="00145F3F" w:rsidRDefault="00724C44" w:rsidP="00145F3F">
            <w:pPr>
              <w:spacing w:after="0" w:line="240" w:lineRule="auto"/>
              <w:jc w:val="both"/>
              <w:rPr>
                <w:sz w:val="22"/>
                <w:szCs w:val="22"/>
              </w:rPr>
            </w:pPr>
            <w:r w:rsidRPr="00145F3F">
              <w:rPr>
                <w:sz w:val="22"/>
                <w:szCs w:val="22"/>
              </w:rPr>
              <w:t>1.57</w:t>
            </w:r>
          </w:p>
        </w:tc>
        <w:tc>
          <w:tcPr>
            <w:tcW w:w="1728" w:type="dxa"/>
            <w:tcBorders>
              <w:top w:val="nil"/>
              <w:left w:val="nil"/>
              <w:bottom w:val="nil"/>
              <w:right w:val="nil"/>
            </w:tcBorders>
          </w:tcPr>
          <w:p w14:paraId="1607A812" w14:textId="77777777" w:rsidR="00724C44" w:rsidRPr="00145F3F" w:rsidRDefault="00724C44" w:rsidP="00145F3F">
            <w:pPr>
              <w:spacing w:after="0" w:line="240" w:lineRule="auto"/>
              <w:jc w:val="both"/>
              <w:rPr>
                <w:sz w:val="22"/>
                <w:szCs w:val="22"/>
              </w:rPr>
            </w:pPr>
            <w:r w:rsidRPr="00145F3F">
              <w:rPr>
                <w:sz w:val="22"/>
                <w:szCs w:val="22"/>
              </w:rPr>
              <w:t>Moderate-High</w:t>
            </w:r>
          </w:p>
        </w:tc>
      </w:tr>
      <w:tr w:rsidR="00724C44" w:rsidRPr="00724C44" w14:paraId="336E552A" w14:textId="77777777" w:rsidTr="00A5379F">
        <w:tc>
          <w:tcPr>
            <w:tcW w:w="1008" w:type="dxa"/>
            <w:tcBorders>
              <w:top w:val="nil"/>
              <w:left w:val="nil"/>
              <w:bottom w:val="nil"/>
              <w:right w:val="nil"/>
            </w:tcBorders>
          </w:tcPr>
          <w:p w14:paraId="05C88AA0" w14:textId="77777777" w:rsidR="00724C44" w:rsidRPr="00145F3F" w:rsidRDefault="00724C44" w:rsidP="00145F3F">
            <w:pPr>
              <w:spacing w:after="0" w:line="240" w:lineRule="auto"/>
              <w:jc w:val="both"/>
              <w:rPr>
                <w:sz w:val="22"/>
                <w:szCs w:val="22"/>
              </w:rPr>
            </w:pPr>
            <w:r w:rsidRPr="00145F3F">
              <w:rPr>
                <w:sz w:val="22"/>
                <w:szCs w:val="22"/>
              </w:rPr>
              <w:t>C3.2</w:t>
            </w:r>
          </w:p>
        </w:tc>
        <w:tc>
          <w:tcPr>
            <w:tcW w:w="4752" w:type="dxa"/>
            <w:tcBorders>
              <w:top w:val="nil"/>
              <w:left w:val="nil"/>
              <w:bottom w:val="nil"/>
              <w:right w:val="nil"/>
            </w:tcBorders>
          </w:tcPr>
          <w:p w14:paraId="797ADAFD" w14:textId="77777777" w:rsidR="00724C44" w:rsidRPr="00145F3F" w:rsidRDefault="00724C44" w:rsidP="00145F3F">
            <w:pPr>
              <w:spacing w:after="0" w:line="240" w:lineRule="auto"/>
              <w:jc w:val="both"/>
              <w:rPr>
                <w:sz w:val="22"/>
                <w:szCs w:val="22"/>
              </w:rPr>
            </w:pPr>
            <w:r w:rsidRPr="00145F3F">
              <w:rPr>
                <w:sz w:val="22"/>
                <w:szCs w:val="22"/>
              </w:rPr>
              <w:t>Statistical analysis of pay gaps is performed</w:t>
            </w:r>
          </w:p>
        </w:tc>
        <w:tc>
          <w:tcPr>
            <w:tcW w:w="864" w:type="dxa"/>
            <w:tcBorders>
              <w:top w:val="nil"/>
              <w:left w:val="nil"/>
              <w:bottom w:val="nil"/>
              <w:right w:val="nil"/>
            </w:tcBorders>
          </w:tcPr>
          <w:p w14:paraId="793004F5" w14:textId="77777777" w:rsidR="00724C44" w:rsidRPr="00145F3F" w:rsidRDefault="00724C44" w:rsidP="00145F3F">
            <w:pPr>
              <w:spacing w:after="0" w:line="240" w:lineRule="auto"/>
              <w:jc w:val="both"/>
              <w:rPr>
                <w:sz w:val="22"/>
                <w:szCs w:val="22"/>
              </w:rPr>
            </w:pPr>
            <w:r w:rsidRPr="00145F3F">
              <w:rPr>
                <w:sz w:val="22"/>
                <w:szCs w:val="22"/>
              </w:rPr>
              <w:t>5.41</w:t>
            </w:r>
          </w:p>
        </w:tc>
        <w:tc>
          <w:tcPr>
            <w:tcW w:w="864" w:type="dxa"/>
            <w:tcBorders>
              <w:top w:val="nil"/>
              <w:left w:val="nil"/>
              <w:bottom w:val="nil"/>
              <w:right w:val="nil"/>
            </w:tcBorders>
          </w:tcPr>
          <w:p w14:paraId="423B1E52" w14:textId="77777777" w:rsidR="00724C44" w:rsidRPr="00145F3F" w:rsidRDefault="00724C44" w:rsidP="00145F3F">
            <w:pPr>
              <w:spacing w:after="0" w:line="240" w:lineRule="auto"/>
              <w:jc w:val="both"/>
              <w:rPr>
                <w:sz w:val="22"/>
                <w:szCs w:val="22"/>
              </w:rPr>
            </w:pPr>
            <w:r w:rsidRPr="00145F3F">
              <w:rPr>
                <w:sz w:val="22"/>
                <w:szCs w:val="22"/>
              </w:rPr>
              <w:t>1.43</w:t>
            </w:r>
          </w:p>
        </w:tc>
        <w:tc>
          <w:tcPr>
            <w:tcW w:w="1728" w:type="dxa"/>
            <w:tcBorders>
              <w:top w:val="nil"/>
              <w:left w:val="nil"/>
              <w:bottom w:val="nil"/>
              <w:right w:val="nil"/>
            </w:tcBorders>
          </w:tcPr>
          <w:p w14:paraId="7106F83E"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6F947644" w14:textId="77777777" w:rsidTr="00A5379F">
        <w:tc>
          <w:tcPr>
            <w:tcW w:w="1008" w:type="dxa"/>
            <w:tcBorders>
              <w:top w:val="nil"/>
              <w:left w:val="nil"/>
              <w:bottom w:val="nil"/>
              <w:right w:val="nil"/>
            </w:tcBorders>
          </w:tcPr>
          <w:p w14:paraId="2AC602CD" w14:textId="77777777" w:rsidR="00724C44" w:rsidRPr="00145F3F" w:rsidRDefault="00724C44" w:rsidP="00145F3F">
            <w:pPr>
              <w:spacing w:after="0" w:line="240" w:lineRule="auto"/>
              <w:jc w:val="both"/>
              <w:rPr>
                <w:sz w:val="22"/>
                <w:szCs w:val="22"/>
              </w:rPr>
            </w:pPr>
            <w:r w:rsidRPr="00145F3F">
              <w:rPr>
                <w:sz w:val="22"/>
                <w:szCs w:val="22"/>
              </w:rPr>
              <w:t>C3.3</w:t>
            </w:r>
          </w:p>
        </w:tc>
        <w:tc>
          <w:tcPr>
            <w:tcW w:w="4752" w:type="dxa"/>
            <w:tcBorders>
              <w:top w:val="nil"/>
              <w:left w:val="nil"/>
              <w:bottom w:val="nil"/>
              <w:right w:val="nil"/>
            </w:tcBorders>
          </w:tcPr>
          <w:p w14:paraId="09664473" w14:textId="77777777" w:rsidR="00724C44" w:rsidRPr="00145F3F" w:rsidRDefault="00724C44" w:rsidP="00145F3F">
            <w:pPr>
              <w:spacing w:after="0" w:line="240" w:lineRule="auto"/>
              <w:jc w:val="both"/>
              <w:rPr>
                <w:sz w:val="22"/>
                <w:szCs w:val="22"/>
              </w:rPr>
            </w:pPr>
            <w:r w:rsidRPr="00145F3F">
              <w:rPr>
                <w:sz w:val="22"/>
                <w:szCs w:val="22"/>
              </w:rPr>
              <w:t>Pay equity is analyzed across demographic groups</w:t>
            </w:r>
          </w:p>
        </w:tc>
        <w:tc>
          <w:tcPr>
            <w:tcW w:w="864" w:type="dxa"/>
            <w:tcBorders>
              <w:top w:val="nil"/>
              <w:left w:val="nil"/>
              <w:bottom w:val="nil"/>
              <w:right w:val="nil"/>
            </w:tcBorders>
          </w:tcPr>
          <w:p w14:paraId="335C9851" w14:textId="77777777" w:rsidR="00724C44" w:rsidRPr="00145F3F" w:rsidRDefault="00724C44" w:rsidP="00145F3F">
            <w:pPr>
              <w:spacing w:after="0" w:line="240" w:lineRule="auto"/>
              <w:jc w:val="both"/>
              <w:rPr>
                <w:sz w:val="22"/>
                <w:szCs w:val="22"/>
              </w:rPr>
            </w:pPr>
            <w:r w:rsidRPr="00145F3F">
              <w:rPr>
                <w:sz w:val="22"/>
                <w:szCs w:val="22"/>
              </w:rPr>
              <w:t>5.75</w:t>
            </w:r>
          </w:p>
        </w:tc>
        <w:tc>
          <w:tcPr>
            <w:tcW w:w="864" w:type="dxa"/>
            <w:tcBorders>
              <w:top w:val="nil"/>
              <w:left w:val="nil"/>
              <w:bottom w:val="nil"/>
              <w:right w:val="nil"/>
            </w:tcBorders>
          </w:tcPr>
          <w:p w14:paraId="024C192C" w14:textId="77777777" w:rsidR="00724C44" w:rsidRPr="00145F3F" w:rsidRDefault="00724C44" w:rsidP="00145F3F">
            <w:pPr>
              <w:spacing w:after="0" w:line="240" w:lineRule="auto"/>
              <w:jc w:val="both"/>
              <w:rPr>
                <w:sz w:val="22"/>
                <w:szCs w:val="22"/>
              </w:rPr>
            </w:pPr>
            <w:r w:rsidRPr="00145F3F">
              <w:rPr>
                <w:sz w:val="22"/>
                <w:szCs w:val="22"/>
              </w:rPr>
              <w:t>1.23</w:t>
            </w:r>
          </w:p>
        </w:tc>
        <w:tc>
          <w:tcPr>
            <w:tcW w:w="1728" w:type="dxa"/>
            <w:tcBorders>
              <w:top w:val="nil"/>
              <w:left w:val="nil"/>
              <w:bottom w:val="nil"/>
              <w:right w:val="nil"/>
            </w:tcBorders>
          </w:tcPr>
          <w:p w14:paraId="3C6E53DF"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101B4249" w14:textId="77777777" w:rsidTr="00A5379F">
        <w:tc>
          <w:tcPr>
            <w:tcW w:w="1008" w:type="dxa"/>
            <w:tcBorders>
              <w:top w:val="nil"/>
              <w:left w:val="nil"/>
              <w:bottom w:val="nil"/>
              <w:right w:val="nil"/>
            </w:tcBorders>
          </w:tcPr>
          <w:p w14:paraId="2D8A00E5" w14:textId="77777777" w:rsidR="00724C44" w:rsidRPr="00145F3F" w:rsidRDefault="00724C44" w:rsidP="00145F3F">
            <w:pPr>
              <w:spacing w:after="0" w:line="240" w:lineRule="auto"/>
              <w:jc w:val="both"/>
              <w:rPr>
                <w:sz w:val="22"/>
                <w:szCs w:val="22"/>
              </w:rPr>
            </w:pPr>
            <w:r w:rsidRPr="00145F3F">
              <w:rPr>
                <w:sz w:val="22"/>
                <w:szCs w:val="22"/>
              </w:rPr>
              <w:t>C3.4</w:t>
            </w:r>
          </w:p>
        </w:tc>
        <w:tc>
          <w:tcPr>
            <w:tcW w:w="4752" w:type="dxa"/>
            <w:tcBorders>
              <w:top w:val="nil"/>
              <w:left w:val="nil"/>
              <w:bottom w:val="nil"/>
              <w:right w:val="nil"/>
            </w:tcBorders>
          </w:tcPr>
          <w:p w14:paraId="22512424" w14:textId="77777777" w:rsidR="00724C44" w:rsidRPr="00145F3F" w:rsidRDefault="00724C44" w:rsidP="00145F3F">
            <w:pPr>
              <w:spacing w:after="0" w:line="240" w:lineRule="auto"/>
              <w:jc w:val="both"/>
              <w:rPr>
                <w:sz w:val="22"/>
                <w:szCs w:val="22"/>
              </w:rPr>
            </w:pPr>
            <w:r w:rsidRPr="00145F3F">
              <w:rPr>
                <w:sz w:val="22"/>
                <w:szCs w:val="22"/>
              </w:rPr>
              <w:t>Formal remediation process exists for pay inequities</w:t>
            </w:r>
          </w:p>
        </w:tc>
        <w:tc>
          <w:tcPr>
            <w:tcW w:w="864" w:type="dxa"/>
            <w:tcBorders>
              <w:top w:val="nil"/>
              <w:left w:val="nil"/>
              <w:bottom w:val="nil"/>
              <w:right w:val="nil"/>
            </w:tcBorders>
          </w:tcPr>
          <w:p w14:paraId="1DE42F7A" w14:textId="77777777" w:rsidR="00724C44" w:rsidRPr="00145F3F" w:rsidRDefault="00724C44" w:rsidP="00145F3F">
            <w:pPr>
              <w:spacing w:after="0" w:line="240" w:lineRule="auto"/>
              <w:jc w:val="both"/>
              <w:rPr>
                <w:sz w:val="22"/>
                <w:szCs w:val="22"/>
              </w:rPr>
            </w:pPr>
            <w:r w:rsidRPr="00145F3F">
              <w:rPr>
                <w:sz w:val="22"/>
                <w:szCs w:val="22"/>
              </w:rPr>
              <w:t>5.74</w:t>
            </w:r>
          </w:p>
        </w:tc>
        <w:tc>
          <w:tcPr>
            <w:tcW w:w="864" w:type="dxa"/>
            <w:tcBorders>
              <w:top w:val="nil"/>
              <w:left w:val="nil"/>
              <w:bottom w:val="nil"/>
              <w:right w:val="nil"/>
            </w:tcBorders>
          </w:tcPr>
          <w:p w14:paraId="55FE3037" w14:textId="77777777" w:rsidR="00724C44" w:rsidRPr="00145F3F" w:rsidRDefault="00724C44" w:rsidP="00145F3F">
            <w:pPr>
              <w:spacing w:after="0" w:line="240" w:lineRule="auto"/>
              <w:jc w:val="both"/>
              <w:rPr>
                <w:sz w:val="22"/>
                <w:szCs w:val="22"/>
              </w:rPr>
            </w:pPr>
            <w:r w:rsidRPr="00145F3F">
              <w:rPr>
                <w:sz w:val="22"/>
                <w:szCs w:val="22"/>
              </w:rPr>
              <w:t>1.29</w:t>
            </w:r>
          </w:p>
        </w:tc>
        <w:tc>
          <w:tcPr>
            <w:tcW w:w="1728" w:type="dxa"/>
            <w:tcBorders>
              <w:top w:val="nil"/>
              <w:left w:val="nil"/>
              <w:bottom w:val="nil"/>
              <w:right w:val="nil"/>
            </w:tcBorders>
          </w:tcPr>
          <w:p w14:paraId="138C801B"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006E3FB8" w14:textId="77777777" w:rsidTr="00A5379F">
        <w:tc>
          <w:tcPr>
            <w:tcW w:w="1008" w:type="dxa"/>
            <w:tcBorders>
              <w:top w:val="nil"/>
              <w:left w:val="nil"/>
              <w:bottom w:val="nil"/>
              <w:right w:val="nil"/>
            </w:tcBorders>
          </w:tcPr>
          <w:p w14:paraId="00CAA006" w14:textId="77777777" w:rsidR="00724C44" w:rsidRPr="00145F3F" w:rsidRDefault="00724C44" w:rsidP="00145F3F">
            <w:pPr>
              <w:spacing w:after="0" w:line="240" w:lineRule="auto"/>
              <w:jc w:val="both"/>
              <w:rPr>
                <w:sz w:val="22"/>
                <w:szCs w:val="22"/>
              </w:rPr>
            </w:pPr>
            <w:r w:rsidRPr="00145F3F">
              <w:rPr>
                <w:sz w:val="22"/>
                <w:szCs w:val="22"/>
              </w:rPr>
              <w:t>C3.5</w:t>
            </w:r>
          </w:p>
        </w:tc>
        <w:tc>
          <w:tcPr>
            <w:tcW w:w="4752" w:type="dxa"/>
            <w:tcBorders>
              <w:top w:val="nil"/>
              <w:left w:val="nil"/>
              <w:bottom w:val="nil"/>
              <w:right w:val="nil"/>
            </w:tcBorders>
          </w:tcPr>
          <w:p w14:paraId="7869ADD0" w14:textId="77777777" w:rsidR="00724C44" w:rsidRPr="00145F3F" w:rsidRDefault="00724C44" w:rsidP="00145F3F">
            <w:pPr>
              <w:spacing w:after="0" w:line="240" w:lineRule="auto"/>
              <w:jc w:val="both"/>
              <w:rPr>
                <w:sz w:val="22"/>
                <w:szCs w:val="22"/>
              </w:rPr>
            </w:pPr>
            <w:r w:rsidRPr="00145F3F">
              <w:rPr>
                <w:sz w:val="22"/>
                <w:szCs w:val="22"/>
              </w:rPr>
              <w:t>Third-party audits of pay equity are conducted</w:t>
            </w:r>
          </w:p>
        </w:tc>
        <w:tc>
          <w:tcPr>
            <w:tcW w:w="864" w:type="dxa"/>
            <w:tcBorders>
              <w:top w:val="nil"/>
              <w:left w:val="nil"/>
              <w:bottom w:val="nil"/>
              <w:right w:val="nil"/>
            </w:tcBorders>
          </w:tcPr>
          <w:p w14:paraId="093E0824" w14:textId="77777777" w:rsidR="00724C44" w:rsidRPr="00145F3F" w:rsidRDefault="00724C44" w:rsidP="00145F3F">
            <w:pPr>
              <w:spacing w:after="0" w:line="240" w:lineRule="auto"/>
              <w:jc w:val="both"/>
              <w:rPr>
                <w:sz w:val="22"/>
                <w:szCs w:val="22"/>
              </w:rPr>
            </w:pPr>
            <w:r w:rsidRPr="00145F3F">
              <w:rPr>
                <w:sz w:val="22"/>
                <w:szCs w:val="22"/>
              </w:rPr>
              <w:t>5.69</w:t>
            </w:r>
          </w:p>
        </w:tc>
        <w:tc>
          <w:tcPr>
            <w:tcW w:w="864" w:type="dxa"/>
            <w:tcBorders>
              <w:top w:val="nil"/>
              <w:left w:val="nil"/>
              <w:bottom w:val="nil"/>
              <w:right w:val="nil"/>
            </w:tcBorders>
          </w:tcPr>
          <w:p w14:paraId="2BCB0A99" w14:textId="77777777" w:rsidR="00724C44" w:rsidRPr="00145F3F" w:rsidRDefault="00724C44" w:rsidP="00145F3F">
            <w:pPr>
              <w:spacing w:after="0" w:line="240" w:lineRule="auto"/>
              <w:jc w:val="both"/>
              <w:rPr>
                <w:sz w:val="22"/>
                <w:szCs w:val="22"/>
              </w:rPr>
            </w:pPr>
            <w:r w:rsidRPr="00145F3F">
              <w:rPr>
                <w:sz w:val="22"/>
                <w:szCs w:val="22"/>
              </w:rPr>
              <w:t>1.52</w:t>
            </w:r>
          </w:p>
        </w:tc>
        <w:tc>
          <w:tcPr>
            <w:tcW w:w="1728" w:type="dxa"/>
            <w:tcBorders>
              <w:top w:val="nil"/>
              <w:left w:val="nil"/>
              <w:bottom w:val="nil"/>
              <w:right w:val="nil"/>
            </w:tcBorders>
          </w:tcPr>
          <w:p w14:paraId="276247EE"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1F6FBDB3" w14:textId="77777777" w:rsidTr="00A5379F">
        <w:tc>
          <w:tcPr>
            <w:tcW w:w="1008" w:type="dxa"/>
            <w:tcBorders>
              <w:top w:val="nil"/>
              <w:left w:val="nil"/>
              <w:bottom w:val="nil"/>
              <w:right w:val="nil"/>
            </w:tcBorders>
          </w:tcPr>
          <w:p w14:paraId="208F298C" w14:textId="77777777" w:rsidR="00724C44" w:rsidRPr="00145F3F" w:rsidRDefault="00724C44" w:rsidP="00145F3F">
            <w:pPr>
              <w:spacing w:after="0" w:line="240" w:lineRule="auto"/>
              <w:jc w:val="both"/>
              <w:rPr>
                <w:sz w:val="22"/>
                <w:szCs w:val="22"/>
              </w:rPr>
            </w:pPr>
            <w:r w:rsidRPr="00145F3F">
              <w:rPr>
                <w:sz w:val="22"/>
                <w:szCs w:val="22"/>
              </w:rPr>
              <w:t>C3.6</w:t>
            </w:r>
          </w:p>
        </w:tc>
        <w:tc>
          <w:tcPr>
            <w:tcW w:w="4752" w:type="dxa"/>
            <w:tcBorders>
              <w:top w:val="nil"/>
              <w:left w:val="nil"/>
              <w:bottom w:val="nil"/>
              <w:right w:val="nil"/>
            </w:tcBorders>
          </w:tcPr>
          <w:p w14:paraId="2F39A013" w14:textId="77777777" w:rsidR="00724C44" w:rsidRPr="00145F3F" w:rsidRDefault="00724C44" w:rsidP="00145F3F">
            <w:pPr>
              <w:spacing w:after="0" w:line="240" w:lineRule="auto"/>
              <w:jc w:val="both"/>
              <w:rPr>
                <w:sz w:val="22"/>
                <w:szCs w:val="22"/>
              </w:rPr>
            </w:pPr>
            <w:r w:rsidRPr="00145F3F">
              <w:rPr>
                <w:sz w:val="22"/>
                <w:szCs w:val="22"/>
              </w:rPr>
              <w:t>Pay equity results are disclosed to stakeholders</w:t>
            </w:r>
          </w:p>
        </w:tc>
        <w:tc>
          <w:tcPr>
            <w:tcW w:w="864" w:type="dxa"/>
            <w:tcBorders>
              <w:top w:val="nil"/>
              <w:left w:val="nil"/>
              <w:bottom w:val="nil"/>
              <w:right w:val="nil"/>
            </w:tcBorders>
          </w:tcPr>
          <w:p w14:paraId="50BED16E" w14:textId="77777777" w:rsidR="00724C44" w:rsidRPr="00145F3F" w:rsidRDefault="00724C44" w:rsidP="00145F3F">
            <w:pPr>
              <w:spacing w:after="0" w:line="240" w:lineRule="auto"/>
              <w:jc w:val="both"/>
              <w:rPr>
                <w:sz w:val="22"/>
                <w:szCs w:val="22"/>
              </w:rPr>
            </w:pPr>
            <w:r w:rsidRPr="00145F3F">
              <w:rPr>
                <w:sz w:val="22"/>
                <w:szCs w:val="22"/>
              </w:rPr>
              <w:t>5.14</w:t>
            </w:r>
          </w:p>
        </w:tc>
        <w:tc>
          <w:tcPr>
            <w:tcW w:w="864" w:type="dxa"/>
            <w:tcBorders>
              <w:top w:val="nil"/>
              <w:left w:val="nil"/>
              <w:bottom w:val="nil"/>
              <w:right w:val="nil"/>
            </w:tcBorders>
          </w:tcPr>
          <w:p w14:paraId="437546F5" w14:textId="77777777" w:rsidR="00724C44" w:rsidRPr="00145F3F" w:rsidRDefault="00724C44" w:rsidP="00145F3F">
            <w:pPr>
              <w:spacing w:after="0" w:line="240" w:lineRule="auto"/>
              <w:jc w:val="both"/>
              <w:rPr>
                <w:sz w:val="22"/>
                <w:szCs w:val="22"/>
              </w:rPr>
            </w:pPr>
            <w:r w:rsidRPr="00145F3F">
              <w:rPr>
                <w:sz w:val="22"/>
                <w:szCs w:val="22"/>
              </w:rPr>
              <w:t>1.43</w:t>
            </w:r>
          </w:p>
        </w:tc>
        <w:tc>
          <w:tcPr>
            <w:tcW w:w="1728" w:type="dxa"/>
            <w:tcBorders>
              <w:top w:val="nil"/>
              <w:left w:val="nil"/>
              <w:bottom w:val="nil"/>
              <w:right w:val="nil"/>
            </w:tcBorders>
          </w:tcPr>
          <w:p w14:paraId="05300D02"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051767BF" w14:textId="77777777" w:rsidTr="00A5379F">
        <w:tc>
          <w:tcPr>
            <w:tcW w:w="1008" w:type="dxa"/>
            <w:tcBorders>
              <w:top w:val="nil"/>
              <w:left w:val="nil"/>
              <w:bottom w:val="single" w:sz="4" w:space="0" w:color="000000"/>
              <w:right w:val="nil"/>
            </w:tcBorders>
          </w:tcPr>
          <w:p w14:paraId="1CCD49CE" w14:textId="77777777" w:rsidR="00724C44" w:rsidRPr="00145F3F" w:rsidRDefault="00724C44" w:rsidP="00145F3F">
            <w:pPr>
              <w:spacing w:after="0" w:line="240" w:lineRule="auto"/>
              <w:jc w:val="both"/>
              <w:rPr>
                <w:sz w:val="22"/>
                <w:szCs w:val="22"/>
              </w:rPr>
            </w:pPr>
          </w:p>
        </w:tc>
        <w:tc>
          <w:tcPr>
            <w:tcW w:w="4752" w:type="dxa"/>
            <w:tcBorders>
              <w:top w:val="nil"/>
              <w:left w:val="nil"/>
              <w:bottom w:val="single" w:sz="4" w:space="0" w:color="000000"/>
              <w:right w:val="nil"/>
            </w:tcBorders>
          </w:tcPr>
          <w:p w14:paraId="0A952C25" w14:textId="77777777" w:rsidR="00724C44" w:rsidRPr="00145F3F" w:rsidRDefault="00724C44" w:rsidP="00145F3F">
            <w:pPr>
              <w:spacing w:after="0" w:line="240" w:lineRule="auto"/>
              <w:jc w:val="both"/>
              <w:rPr>
                <w:sz w:val="22"/>
                <w:szCs w:val="22"/>
              </w:rPr>
            </w:pPr>
            <w:r w:rsidRPr="00145F3F">
              <w:rPr>
                <w:sz w:val="22"/>
                <w:szCs w:val="22"/>
              </w:rPr>
              <w:t>Construct Mean (C3)</w:t>
            </w:r>
          </w:p>
        </w:tc>
        <w:tc>
          <w:tcPr>
            <w:tcW w:w="864" w:type="dxa"/>
            <w:tcBorders>
              <w:top w:val="nil"/>
              <w:left w:val="nil"/>
              <w:bottom w:val="single" w:sz="4" w:space="0" w:color="000000"/>
              <w:right w:val="nil"/>
            </w:tcBorders>
          </w:tcPr>
          <w:p w14:paraId="17CB45C9" w14:textId="77777777" w:rsidR="00724C44" w:rsidRPr="00145F3F" w:rsidRDefault="00724C44" w:rsidP="00145F3F">
            <w:pPr>
              <w:spacing w:after="0" w:line="240" w:lineRule="auto"/>
              <w:jc w:val="both"/>
              <w:rPr>
                <w:sz w:val="22"/>
                <w:szCs w:val="22"/>
              </w:rPr>
            </w:pPr>
            <w:r w:rsidRPr="00145F3F">
              <w:rPr>
                <w:sz w:val="22"/>
                <w:szCs w:val="22"/>
              </w:rPr>
              <w:t>5.44</w:t>
            </w:r>
          </w:p>
        </w:tc>
        <w:tc>
          <w:tcPr>
            <w:tcW w:w="864" w:type="dxa"/>
            <w:tcBorders>
              <w:top w:val="nil"/>
              <w:left w:val="nil"/>
              <w:bottom w:val="single" w:sz="4" w:space="0" w:color="000000"/>
              <w:right w:val="nil"/>
            </w:tcBorders>
          </w:tcPr>
          <w:p w14:paraId="6C40E84A" w14:textId="77777777" w:rsidR="00724C44" w:rsidRPr="00145F3F" w:rsidRDefault="00724C44" w:rsidP="00145F3F">
            <w:pPr>
              <w:spacing w:after="0" w:line="240" w:lineRule="auto"/>
              <w:jc w:val="both"/>
              <w:rPr>
                <w:sz w:val="22"/>
                <w:szCs w:val="22"/>
              </w:rPr>
            </w:pPr>
            <w:r w:rsidRPr="00145F3F">
              <w:rPr>
                <w:sz w:val="22"/>
                <w:szCs w:val="22"/>
              </w:rPr>
              <w:t>0.69</w:t>
            </w:r>
          </w:p>
        </w:tc>
        <w:tc>
          <w:tcPr>
            <w:tcW w:w="1728" w:type="dxa"/>
            <w:tcBorders>
              <w:top w:val="nil"/>
              <w:left w:val="nil"/>
              <w:bottom w:val="single" w:sz="4" w:space="0" w:color="000000"/>
              <w:right w:val="nil"/>
            </w:tcBorders>
          </w:tcPr>
          <w:p w14:paraId="111C4889" w14:textId="77777777" w:rsidR="00724C44" w:rsidRPr="00145F3F" w:rsidRDefault="00724C44" w:rsidP="00145F3F">
            <w:pPr>
              <w:spacing w:after="0" w:line="240" w:lineRule="auto"/>
              <w:jc w:val="both"/>
              <w:rPr>
                <w:sz w:val="22"/>
                <w:szCs w:val="22"/>
              </w:rPr>
            </w:pPr>
            <w:r w:rsidRPr="00145F3F">
              <w:rPr>
                <w:sz w:val="22"/>
                <w:szCs w:val="22"/>
              </w:rPr>
              <w:t>High</w:t>
            </w:r>
          </w:p>
        </w:tc>
      </w:tr>
    </w:tbl>
    <w:p w14:paraId="6DF3B1CC" w14:textId="77777777" w:rsidR="00724C44" w:rsidRPr="00724C44" w:rsidRDefault="00724C44" w:rsidP="00724C44">
      <w:pPr>
        <w:spacing w:line="240" w:lineRule="auto"/>
        <w:jc w:val="both"/>
      </w:pPr>
      <w:r w:rsidRPr="00724C44">
        <w:rPr>
          <w:i/>
        </w:rPr>
        <w:t xml:space="preserve">Note. </w:t>
      </w:r>
      <w:r w:rsidRPr="00724C44">
        <w:t>Scale: 1 = Strongly Disagree, 7 = Strongly Agree.</w:t>
      </w:r>
    </w:p>
    <w:p w14:paraId="38F8CDC7" w14:textId="77777777" w:rsidR="00724C44" w:rsidRPr="00724C44" w:rsidRDefault="00724C44" w:rsidP="00724C44">
      <w:pPr>
        <w:spacing w:line="240" w:lineRule="auto"/>
        <w:jc w:val="both"/>
      </w:pPr>
      <w:r w:rsidRPr="00724C44">
        <w:t>Pay equity analysis practices demonstrate high adoption levels (M = 5.44). Organizations report strong engagement in conducting regular pay equity audits (C3.1), performing statistical pay gap analysis (C3.2), and analyzing equity across demographic groups (C3.3). The presence of formal remediation processes (C3.4) and third-party audit engagement (C3.5) further indicates maturing equity management practices among EEC manufacturers.</w:t>
      </w:r>
    </w:p>
    <w:p w14:paraId="3BFB3012" w14:textId="77777777" w:rsidR="00724C44" w:rsidRPr="00724C44" w:rsidRDefault="00724C44" w:rsidP="00724C44">
      <w:pPr>
        <w:spacing w:line="240" w:lineRule="auto"/>
        <w:jc w:val="both"/>
      </w:pPr>
      <w:r w:rsidRPr="00724C44">
        <w:rPr>
          <w:b/>
        </w:rPr>
        <w:t>4.5.4 Regulatory Compliance (C4)</w:t>
      </w:r>
    </w:p>
    <w:p w14:paraId="2E700825" w14:textId="77777777" w:rsidR="00724C44" w:rsidRPr="00724C44" w:rsidRDefault="00724C44" w:rsidP="00724C44">
      <w:pPr>
        <w:spacing w:line="240" w:lineRule="auto"/>
        <w:jc w:val="both"/>
      </w:pPr>
      <w:r w:rsidRPr="00724C44">
        <w:t xml:space="preserve">Regulatory compliance measures the organization’s adherence to and </w:t>
      </w:r>
      <w:proofErr w:type="gramStart"/>
      <w:r w:rsidRPr="00724C44">
        <w:t>exceeding of</w:t>
      </w:r>
      <w:proofErr w:type="gramEnd"/>
      <w:r w:rsidRPr="00724C44">
        <w:t xml:space="preserve"> legal requirements for compensation transparency. Table 4.13 presents the descriptive statistics for these four items.</w:t>
      </w:r>
    </w:p>
    <w:p w14:paraId="1AF5329C" w14:textId="77777777" w:rsidR="00724C44" w:rsidRPr="00724C44" w:rsidRDefault="00724C44" w:rsidP="00724C44">
      <w:pPr>
        <w:spacing w:line="240" w:lineRule="auto"/>
        <w:jc w:val="both"/>
      </w:pPr>
      <w:r w:rsidRPr="00724C44">
        <w:rPr>
          <w:b/>
        </w:rPr>
        <w:t>Table 4.13</w:t>
      </w:r>
    </w:p>
    <w:p w14:paraId="4BA342DE" w14:textId="77777777" w:rsidR="00724C44" w:rsidRPr="00724C44" w:rsidRDefault="00724C44" w:rsidP="00724C44">
      <w:pPr>
        <w:spacing w:line="240" w:lineRule="auto"/>
        <w:jc w:val="both"/>
      </w:pPr>
      <w:r w:rsidRPr="00724C44">
        <w:rPr>
          <w:i/>
        </w:rPr>
        <w:t>Regulatory Compliance – Descriptive Statistics (n = 400)</w:t>
      </w:r>
    </w:p>
    <w:tbl>
      <w:tblPr>
        <w:tblW w:w="0" w:type="auto"/>
        <w:tblLayout w:type="fixed"/>
        <w:tblLook w:val="04A0" w:firstRow="1" w:lastRow="0" w:firstColumn="1" w:lastColumn="0" w:noHBand="0" w:noVBand="1"/>
      </w:tblPr>
      <w:tblGrid>
        <w:gridCol w:w="720"/>
        <w:gridCol w:w="5670"/>
        <w:gridCol w:w="630"/>
        <w:gridCol w:w="666"/>
        <w:gridCol w:w="1602"/>
      </w:tblGrid>
      <w:tr w:rsidR="00724C44" w:rsidRPr="00724C44" w14:paraId="7B62AD93" w14:textId="77777777" w:rsidTr="00145F3F">
        <w:tc>
          <w:tcPr>
            <w:tcW w:w="720" w:type="dxa"/>
            <w:tcBorders>
              <w:top w:val="single" w:sz="4" w:space="0" w:color="000000"/>
              <w:left w:val="nil"/>
              <w:bottom w:val="single" w:sz="4" w:space="0" w:color="000000"/>
              <w:right w:val="nil"/>
            </w:tcBorders>
          </w:tcPr>
          <w:p w14:paraId="51492154" w14:textId="77777777" w:rsidR="00724C44" w:rsidRPr="00145F3F" w:rsidRDefault="00724C44" w:rsidP="00145F3F">
            <w:pPr>
              <w:spacing w:after="0" w:line="240" w:lineRule="auto"/>
              <w:jc w:val="both"/>
              <w:rPr>
                <w:sz w:val="22"/>
                <w:szCs w:val="22"/>
              </w:rPr>
            </w:pPr>
            <w:r w:rsidRPr="00145F3F">
              <w:rPr>
                <w:b/>
                <w:sz w:val="22"/>
                <w:szCs w:val="22"/>
              </w:rPr>
              <w:t>Item</w:t>
            </w:r>
          </w:p>
        </w:tc>
        <w:tc>
          <w:tcPr>
            <w:tcW w:w="5670" w:type="dxa"/>
            <w:tcBorders>
              <w:top w:val="single" w:sz="4" w:space="0" w:color="000000"/>
              <w:left w:val="nil"/>
              <w:bottom w:val="single" w:sz="4" w:space="0" w:color="000000"/>
              <w:right w:val="nil"/>
            </w:tcBorders>
          </w:tcPr>
          <w:p w14:paraId="7D9075D1"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630" w:type="dxa"/>
            <w:tcBorders>
              <w:top w:val="single" w:sz="4" w:space="0" w:color="000000"/>
              <w:left w:val="nil"/>
              <w:bottom w:val="single" w:sz="4" w:space="0" w:color="000000"/>
              <w:right w:val="nil"/>
            </w:tcBorders>
          </w:tcPr>
          <w:p w14:paraId="2A04DF1E" w14:textId="77777777" w:rsidR="00724C44" w:rsidRPr="00145F3F" w:rsidRDefault="00724C44" w:rsidP="00145F3F">
            <w:pPr>
              <w:spacing w:after="0" w:line="240" w:lineRule="auto"/>
              <w:jc w:val="both"/>
              <w:rPr>
                <w:sz w:val="22"/>
                <w:szCs w:val="22"/>
              </w:rPr>
            </w:pPr>
            <w:r w:rsidRPr="00145F3F">
              <w:rPr>
                <w:b/>
                <w:sz w:val="22"/>
                <w:szCs w:val="22"/>
              </w:rPr>
              <w:t>M</w:t>
            </w:r>
          </w:p>
        </w:tc>
        <w:tc>
          <w:tcPr>
            <w:tcW w:w="666" w:type="dxa"/>
            <w:tcBorders>
              <w:top w:val="single" w:sz="4" w:space="0" w:color="000000"/>
              <w:left w:val="nil"/>
              <w:bottom w:val="single" w:sz="4" w:space="0" w:color="000000"/>
              <w:right w:val="nil"/>
            </w:tcBorders>
          </w:tcPr>
          <w:p w14:paraId="17F0560C" w14:textId="77777777" w:rsidR="00724C44" w:rsidRPr="00145F3F" w:rsidRDefault="00724C44" w:rsidP="00145F3F">
            <w:pPr>
              <w:spacing w:after="0" w:line="240" w:lineRule="auto"/>
              <w:jc w:val="both"/>
              <w:rPr>
                <w:sz w:val="22"/>
                <w:szCs w:val="22"/>
              </w:rPr>
            </w:pPr>
            <w:r w:rsidRPr="00145F3F">
              <w:rPr>
                <w:b/>
                <w:sz w:val="22"/>
                <w:szCs w:val="22"/>
              </w:rPr>
              <w:t>SD</w:t>
            </w:r>
          </w:p>
        </w:tc>
        <w:tc>
          <w:tcPr>
            <w:tcW w:w="1602" w:type="dxa"/>
            <w:tcBorders>
              <w:top w:val="single" w:sz="4" w:space="0" w:color="000000"/>
              <w:left w:val="nil"/>
              <w:bottom w:val="single" w:sz="4" w:space="0" w:color="000000"/>
              <w:right w:val="nil"/>
            </w:tcBorders>
          </w:tcPr>
          <w:p w14:paraId="7A21BD28"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24C3D014" w14:textId="77777777" w:rsidTr="00145F3F">
        <w:tc>
          <w:tcPr>
            <w:tcW w:w="720" w:type="dxa"/>
            <w:tcBorders>
              <w:top w:val="nil"/>
              <w:left w:val="nil"/>
              <w:bottom w:val="nil"/>
              <w:right w:val="nil"/>
            </w:tcBorders>
          </w:tcPr>
          <w:p w14:paraId="13A9DEF6" w14:textId="77777777" w:rsidR="00724C44" w:rsidRPr="00145F3F" w:rsidRDefault="00724C44" w:rsidP="00145F3F">
            <w:pPr>
              <w:spacing w:after="0" w:line="240" w:lineRule="auto"/>
              <w:jc w:val="both"/>
              <w:rPr>
                <w:sz w:val="22"/>
                <w:szCs w:val="22"/>
              </w:rPr>
            </w:pPr>
            <w:r w:rsidRPr="00145F3F">
              <w:rPr>
                <w:sz w:val="22"/>
                <w:szCs w:val="22"/>
              </w:rPr>
              <w:t>C4.1</w:t>
            </w:r>
          </w:p>
        </w:tc>
        <w:tc>
          <w:tcPr>
            <w:tcW w:w="5670" w:type="dxa"/>
            <w:tcBorders>
              <w:top w:val="nil"/>
              <w:left w:val="nil"/>
              <w:bottom w:val="nil"/>
              <w:right w:val="nil"/>
            </w:tcBorders>
          </w:tcPr>
          <w:p w14:paraId="76DB2EE6" w14:textId="77777777" w:rsidR="00724C44" w:rsidRPr="00145F3F" w:rsidRDefault="00724C44" w:rsidP="00145F3F">
            <w:pPr>
              <w:spacing w:after="0" w:line="240" w:lineRule="auto"/>
              <w:jc w:val="both"/>
              <w:rPr>
                <w:sz w:val="22"/>
                <w:szCs w:val="22"/>
              </w:rPr>
            </w:pPr>
            <w:r w:rsidRPr="00145F3F">
              <w:rPr>
                <w:sz w:val="22"/>
                <w:szCs w:val="22"/>
              </w:rPr>
              <w:t>Organization complies with all labor compensation regulations</w:t>
            </w:r>
          </w:p>
        </w:tc>
        <w:tc>
          <w:tcPr>
            <w:tcW w:w="630" w:type="dxa"/>
            <w:tcBorders>
              <w:top w:val="nil"/>
              <w:left w:val="nil"/>
              <w:bottom w:val="nil"/>
              <w:right w:val="nil"/>
            </w:tcBorders>
          </w:tcPr>
          <w:p w14:paraId="51A31BD9" w14:textId="77777777" w:rsidR="00724C44" w:rsidRPr="00145F3F" w:rsidRDefault="00724C44" w:rsidP="00145F3F">
            <w:pPr>
              <w:spacing w:after="0" w:line="240" w:lineRule="auto"/>
              <w:jc w:val="both"/>
              <w:rPr>
                <w:sz w:val="22"/>
                <w:szCs w:val="22"/>
              </w:rPr>
            </w:pPr>
            <w:r w:rsidRPr="00145F3F">
              <w:rPr>
                <w:sz w:val="22"/>
                <w:szCs w:val="22"/>
              </w:rPr>
              <w:t>5.58</w:t>
            </w:r>
          </w:p>
        </w:tc>
        <w:tc>
          <w:tcPr>
            <w:tcW w:w="666" w:type="dxa"/>
            <w:tcBorders>
              <w:top w:val="nil"/>
              <w:left w:val="nil"/>
              <w:bottom w:val="nil"/>
              <w:right w:val="nil"/>
            </w:tcBorders>
          </w:tcPr>
          <w:p w14:paraId="79703C0E" w14:textId="77777777" w:rsidR="00724C44" w:rsidRPr="00145F3F" w:rsidRDefault="00724C44" w:rsidP="00145F3F">
            <w:pPr>
              <w:spacing w:after="0" w:line="240" w:lineRule="auto"/>
              <w:jc w:val="both"/>
              <w:rPr>
                <w:sz w:val="22"/>
                <w:szCs w:val="22"/>
              </w:rPr>
            </w:pPr>
            <w:r w:rsidRPr="00145F3F">
              <w:rPr>
                <w:sz w:val="22"/>
                <w:szCs w:val="22"/>
              </w:rPr>
              <w:t>1.32</w:t>
            </w:r>
          </w:p>
        </w:tc>
        <w:tc>
          <w:tcPr>
            <w:tcW w:w="1602" w:type="dxa"/>
            <w:tcBorders>
              <w:top w:val="nil"/>
              <w:left w:val="nil"/>
              <w:bottom w:val="nil"/>
              <w:right w:val="nil"/>
            </w:tcBorders>
          </w:tcPr>
          <w:p w14:paraId="61BCD853"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64C27716" w14:textId="77777777" w:rsidTr="00145F3F">
        <w:tc>
          <w:tcPr>
            <w:tcW w:w="720" w:type="dxa"/>
            <w:tcBorders>
              <w:top w:val="nil"/>
              <w:left w:val="nil"/>
              <w:bottom w:val="nil"/>
              <w:right w:val="nil"/>
            </w:tcBorders>
          </w:tcPr>
          <w:p w14:paraId="071266A3" w14:textId="77777777" w:rsidR="00724C44" w:rsidRPr="00145F3F" w:rsidRDefault="00724C44" w:rsidP="00145F3F">
            <w:pPr>
              <w:spacing w:after="0" w:line="240" w:lineRule="auto"/>
              <w:jc w:val="both"/>
              <w:rPr>
                <w:sz w:val="22"/>
                <w:szCs w:val="22"/>
              </w:rPr>
            </w:pPr>
            <w:r w:rsidRPr="00145F3F">
              <w:rPr>
                <w:sz w:val="22"/>
                <w:szCs w:val="22"/>
              </w:rPr>
              <w:t>C4.2</w:t>
            </w:r>
          </w:p>
        </w:tc>
        <w:tc>
          <w:tcPr>
            <w:tcW w:w="5670" w:type="dxa"/>
            <w:tcBorders>
              <w:top w:val="nil"/>
              <w:left w:val="nil"/>
              <w:bottom w:val="nil"/>
              <w:right w:val="nil"/>
            </w:tcBorders>
          </w:tcPr>
          <w:p w14:paraId="67F826BF" w14:textId="77777777" w:rsidR="00724C44" w:rsidRPr="00145F3F" w:rsidRDefault="00724C44" w:rsidP="00145F3F">
            <w:pPr>
              <w:spacing w:after="0" w:line="240" w:lineRule="auto"/>
              <w:jc w:val="both"/>
              <w:rPr>
                <w:sz w:val="22"/>
                <w:szCs w:val="22"/>
              </w:rPr>
            </w:pPr>
            <w:r w:rsidRPr="00145F3F">
              <w:rPr>
                <w:sz w:val="22"/>
                <w:szCs w:val="22"/>
              </w:rPr>
              <w:t>Disclosure exceeds minimum regulatory requirements</w:t>
            </w:r>
          </w:p>
        </w:tc>
        <w:tc>
          <w:tcPr>
            <w:tcW w:w="630" w:type="dxa"/>
            <w:tcBorders>
              <w:top w:val="nil"/>
              <w:left w:val="nil"/>
              <w:bottom w:val="nil"/>
              <w:right w:val="nil"/>
            </w:tcBorders>
          </w:tcPr>
          <w:p w14:paraId="35F35BAF" w14:textId="77777777" w:rsidR="00724C44" w:rsidRPr="00145F3F" w:rsidRDefault="00724C44" w:rsidP="00145F3F">
            <w:pPr>
              <w:spacing w:after="0" w:line="240" w:lineRule="auto"/>
              <w:jc w:val="both"/>
              <w:rPr>
                <w:sz w:val="22"/>
                <w:szCs w:val="22"/>
              </w:rPr>
            </w:pPr>
            <w:r w:rsidRPr="00145F3F">
              <w:rPr>
                <w:sz w:val="22"/>
                <w:szCs w:val="22"/>
              </w:rPr>
              <w:t>5.84</w:t>
            </w:r>
          </w:p>
        </w:tc>
        <w:tc>
          <w:tcPr>
            <w:tcW w:w="666" w:type="dxa"/>
            <w:tcBorders>
              <w:top w:val="nil"/>
              <w:left w:val="nil"/>
              <w:bottom w:val="nil"/>
              <w:right w:val="nil"/>
            </w:tcBorders>
          </w:tcPr>
          <w:p w14:paraId="54110A6F" w14:textId="77777777" w:rsidR="00724C44" w:rsidRPr="00145F3F" w:rsidRDefault="00724C44" w:rsidP="00145F3F">
            <w:pPr>
              <w:spacing w:after="0" w:line="240" w:lineRule="auto"/>
              <w:jc w:val="both"/>
              <w:rPr>
                <w:sz w:val="22"/>
                <w:szCs w:val="22"/>
              </w:rPr>
            </w:pPr>
            <w:r w:rsidRPr="00145F3F">
              <w:rPr>
                <w:sz w:val="22"/>
                <w:szCs w:val="22"/>
              </w:rPr>
              <w:t>1.07</w:t>
            </w:r>
          </w:p>
        </w:tc>
        <w:tc>
          <w:tcPr>
            <w:tcW w:w="1602" w:type="dxa"/>
            <w:tcBorders>
              <w:top w:val="nil"/>
              <w:left w:val="nil"/>
              <w:bottom w:val="nil"/>
              <w:right w:val="nil"/>
            </w:tcBorders>
          </w:tcPr>
          <w:p w14:paraId="2CCA3791"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1A9599C9" w14:textId="77777777" w:rsidTr="00145F3F">
        <w:tc>
          <w:tcPr>
            <w:tcW w:w="720" w:type="dxa"/>
            <w:tcBorders>
              <w:top w:val="nil"/>
              <w:left w:val="nil"/>
              <w:bottom w:val="nil"/>
              <w:right w:val="nil"/>
            </w:tcBorders>
          </w:tcPr>
          <w:p w14:paraId="135F76CA" w14:textId="77777777" w:rsidR="00724C44" w:rsidRPr="00145F3F" w:rsidRDefault="00724C44" w:rsidP="00145F3F">
            <w:pPr>
              <w:spacing w:after="0" w:line="240" w:lineRule="auto"/>
              <w:jc w:val="both"/>
              <w:rPr>
                <w:sz w:val="22"/>
                <w:szCs w:val="22"/>
              </w:rPr>
            </w:pPr>
            <w:r w:rsidRPr="00145F3F">
              <w:rPr>
                <w:sz w:val="22"/>
                <w:szCs w:val="22"/>
              </w:rPr>
              <w:t>C4.3</w:t>
            </w:r>
          </w:p>
        </w:tc>
        <w:tc>
          <w:tcPr>
            <w:tcW w:w="5670" w:type="dxa"/>
            <w:tcBorders>
              <w:top w:val="nil"/>
              <w:left w:val="nil"/>
              <w:bottom w:val="nil"/>
              <w:right w:val="nil"/>
            </w:tcBorders>
          </w:tcPr>
          <w:p w14:paraId="505CD728" w14:textId="77777777" w:rsidR="00724C44" w:rsidRPr="00145F3F" w:rsidRDefault="00724C44" w:rsidP="00145F3F">
            <w:pPr>
              <w:spacing w:after="0" w:line="240" w:lineRule="auto"/>
              <w:jc w:val="both"/>
              <w:rPr>
                <w:sz w:val="22"/>
                <w:szCs w:val="22"/>
              </w:rPr>
            </w:pPr>
            <w:r w:rsidRPr="00145F3F">
              <w:rPr>
                <w:sz w:val="22"/>
                <w:szCs w:val="22"/>
              </w:rPr>
              <w:t>Proactive adaptation to new regulatory requirements</w:t>
            </w:r>
          </w:p>
        </w:tc>
        <w:tc>
          <w:tcPr>
            <w:tcW w:w="630" w:type="dxa"/>
            <w:tcBorders>
              <w:top w:val="nil"/>
              <w:left w:val="nil"/>
              <w:bottom w:val="nil"/>
              <w:right w:val="nil"/>
            </w:tcBorders>
          </w:tcPr>
          <w:p w14:paraId="14B70714" w14:textId="77777777" w:rsidR="00724C44" w:rsidRPr="00145F3F" w:rsidRDefault="00724C44" w:rsidP="00145F3F">
            <w:pPr>
              <w:spacing w:after="0" w:line="240" w:lineRule="auto"/>
              <w:jc w:val="both"/>
              <w:rPr>
                <w:sz w:val="22"/>
                <w:szCs w:val="22"/>
              </w:rPr>
            </w:pPr>
            <w:r w:rsidRPr="00145F3F">
              <w:rPr>
                <w:sz w:val="22"/>
                <w:szCs w:val="22"/>
              </w:rPr>
              <w:t>5.86</w:t>
            </w:r>
          </w:p>
        </w:tc>
        <w:tc>
          <w:tcPr>
            <w:tcW w:w="666" w:type="dxa"/>
            <w:tcBorders>
              <w:top w:val="nil"/>
              <w:left w:val="nil"/>
              <w:bottom w:val="nil"/>
              <w:right w:val="nil"/>
            </w:tcBorders>
          </w:tcPr>
          <w:p w14:paraId="4C97532C" w14:textId="77777777" w:rsidR="00724C44" w:rsidRPr="00145F3F" w:rsidRDefault="00724C44" w:rsidP="00145F3F">
            <w:pPr>
              <w:spacing w:after="0" w:line="240" w:lineRule="auto"/>
              <w:jc w:val="both"/>
              <w:rPr>
                <w:sz w:val="22"/>
                <w:szCs w:val="22"/>
              </w:rPr>
            </w:pPr>
            <w:r w:rsidRPr="00145F3F">
              <w:rPr>
                <w:sz w:val="22"/>
                <w:szCs w:val="22"/>
              </w:rPr>
              <w:t>1.09</w:t>
            </w:r>
          </w:p>
        </w:tc>
        <w:tc>
          <w:tcPr>
            <w:tcW w:w="1602" w:type="dxa"/>
            <w:tcBorders>
              <w:top w:val="nil"/>
              <w:left w:val="nil"/>
              <w:bottom w:val="nil"/>
              <w:right w:val="nil"/>
            </w:tcBorders>
          </w:tcPr>
          <w:p w14:paraId="645E8EB5"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6963F34C" w14:textId="77777777" w:rsidTr="00145F3F">
        <w:tc>
          <w:tcPr>
            <w:tcW w:w="720" w:type="dxa"/>
            <w:tcBorders>
              <w:top w:val="nil"/>
              <w:left w:val="nil"/>
              <w:bottom w:val="nil"/>
              <w:right w:val="nil"/>
            </w:tcBorders>
          </w:tcPr>
          <w:p w14:paraId="78397A4D" w14:textId="77777777" w:rsidR="00724C44" w:rsidRPr="00145F3F" w:rsidRDefault="00724C44" w:rsidP="00145F3F">
            <w:pPr>
              <w:spacing w:after="0" w:line="240" w:lineRule="auto"/>
              <w:jc w:val="both"/>
              <w:rPr>
                <w:sz w:val="22"/>
                <w:szCs w:val="22"/>
              </w:rPr>
            </w:pPr>
            <w:r w:rsidRPr="00145F3F">
              <w:rPr>
                <w:sz w:val="22"/>
                <w:szCs w:val="22"/>
              </w:rPr>
              <w:t>C4.4</w:t>
            </w:r>
          </w:p>
        </w:tc>
        <w:tc>
          <w:tcPr>
            <w:tcW w:w="5670" w:type="dxa"/>
            <w:tcBorders>
              <w:top w:val="nil"/>
              <w:left w:val="nil"/>
              <w:bottom w:val="nil"/>
              <w:right w:val="nil"/>
            </w:tcBorders>
          </w:tcPr>
          <w:p w14:paraId="5015C459" w14:textId="77777777" w:rsidR="00724C44" w:rsidRPr="00145F3F" w:rsidRDefault="00724C44" w:rsidP="00145F3F">
            <w:pPr>
              <w:spacing w:after="0" w:line="240" w:lineRule="auto"/>
              <w:jc w:val="both"/>
              <w:rPr>
                <w:sz w:val="22"/>
                <w:szCs w:val="22"/>
              </w:rPr>
            </w:pPr>
            <w:r w:rsidRPr="00145F3F">
              <w:rPr>
                <w:sz w:val="22"/>
                <w:szCs w:val="22"/>
              </w:rPr>
              <w:t>Alignment with international compensation standards</w:t>
            </w:r>
          </w:p>
        </w:tc>
        <w:tc>
          <w:tcPr>
            <w:tcW w:w="630" w:type="dxa"/>
            <w:tcBorders>
              <w:top w:val="nil"/>
              <w:left w:val="nil"/>
              <w:bottom w:val="nil"/>
              <w:right w:val="nil"/>
            </w:tcBorders>
          </w:tcPr>
          <w:p w14:paraId="6E1A6538" w14:textId="77777777" w:rsidR="00724C44" w:rsidRPr="00145F3F" w:rsidRDefault="00724C44" w:rsidP="00145F3F">
            <w:pPr>
              <w:spacing w:after="0" w:line="240" w:lineRule="auto"/>
              <w:jc w:val="both"/>
              <w:rPr>
                <w:sz w:val="22"/>
                <w:szCs w:val="22"/>
              </w:rPr>
            </w:pPr>
            <w:r w:rsidRPr="00145F3F">
              <w:rPr>
                <w:sz w:val="22"/>
                <w:szCs w:val="22"/>
              </w:rPr>
              <w:t>5.67</w:t>
            </w:r>
          </w:p>
        </w:tc>
        <w:tc>
          <w:tcPr>
            <w:tcW w:w="666" w:type="dxa"/>
            <w:tcBorders>
              <w:top w:val="nil"/>
              <w:left w:val="nil"/>
              <w:bottom w:val="nil"/>
              <w:right w:val="nil"/>
            </w:tcBorders>
          </w:tcPr>
          <w:p w14:paraId="05A9FBD9" w14:textId="77777777" w:rsidR="00724C44" w:rsidRPr="00145F3F" w:rsidRDefault="00724C44" w:rsidP="00145F3F">
            <w:pPr>
              <w:spacing w:after="0" w:line="240" w:lineRule="auto"/>
              <w:jc w:val="both"/>
              <w:rPr>
                <w:sz w:val="22"/>
                <w:szCs w:val="22"/>
              </w:rPr>
            </w:pPr>
            <w:r w:rsidRPr="00145F3F">
              <w:rPr>
                <w:sz w:val="22"/>
                <w:szCs w:val="22"/>
              </w:rPr>
              <w:t>1.21</w:t>
            </w:r>
          </w:p>
        </w:tc>
        <w:tc>
          <w:tcPr>
            <w:tcW w:w="1602" w:type="dxa"/>
            <w:tcBorders>
              <w:top w:val="nil"/>
              <w:left w:val="nil"/>
              <w:bottom w:val="nil"/>
              <w:right w:val="nil"/>
            </w:tcBorders>
          </w:tcPr>
          <w:p w14:paraId="652F79E3"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4D648CD1" w14:textId="77777777" w:rsidTr="00145F3F">
        <w:tc>
          <w:tcPr>
            <w:tcW w:w="720" w:type="dxa"/>
            <w:tcBorders>
              <w:top w:val="nil"/>
              <w:left w:val="nil"/>
              <w:bottom w:val="single" w:sz="4" w:space="0" w:color="000000"/>
              <w:right w:val="nil"/>
            </w:tcBorders>
          </w:tcPr>
          <w:p w14:paraId="3A7991C9" w14:textId="77777777" w:rsidR="00724C44" w:rsidRPr="00145F3F" w:rsidRDefault="00724C44" w:rsidP="00145F3F">
            <w:pPr>
              <w:spacing w:after="0" w:line="240" w:lineRule="auto"/>
              <w:jc w:val="both"/>
              <w:rPr>
                <w:sz w:val="22"/>
                <w:szCs w:val="22"/>
              </w:rPr>
            </w:pPr>
          </w:p>
        </w:tc>
        <w:tc>
          <w:tcPr>
            <w:tcW w:w="5670" w:type="dxa"/>
            <w:tcBorders>
              <w:top w:val="nil"/>
              <w:left w:val="nil"/>
              <w:bottom w:val="single" w:sz="4" w:space="0" w:color="000000"/>
              <w:right w:val="nil"/>
            </w:tcBorders>
          </w:tcPr>
          <w:p w14:paraId="64DAAA6D" w14:textId="77777777" w:rsidR="00724C44" w:rsidRPr="00145F3F" w:rsidRDefault="00724C44" w:rsidP="00145F3F">
            <w:pPr>
              <w:spacing w:after="0" w:line="240" w:lineRule="auto"/>
              <w:jc w:val="both"/>
              <w:rPr>
                <w:sz w:val="22"/>
                <w:szCs w:val="22"/>
              </w:rPr>
            </w:pPr>
            <w:r w:rsidRPr="00145F3F">
              <w:rPr>
                <w:sz w:val="22"/>
                <w:szCs w:val="22"/>
              </w:rPr>
              <w:t>Construct Mean (C4)</w:t>
            </w:r>
          </w:p>
        </w:tc>
        <w:tc>
          <w:tcPr>
            <w:tcW w:w="630" w:type="dxa"/>
            <w:tcBorders>
              <w:top w:val="nil"/>
              <w:left w:val="nil"/>
              <w:bottom w:val="single" w:sz="4" w:space="0" w:color="000000"/>
              <w:right w:val="nil"/>
            </w:tcBorders>
          </w:tcPr>
          <w:p w14:paraId="33C912B5" w14:textId="77777777" w:rsidR="00724C44" w:rsidRPr="00145F3F" w:rsidRDefault="00724C44" w:rsidP="00145F3F">
            <w:pPr>
              <w:spacing w:after="0" w:line="240" w:lineRule="auto"/>
              <w:jc w:val="both"/>
              <w:rPr>
                <w:sz w:val="22"/>
                <w:szCs w:val="22"/>
              </w:rPr>
            </w:pPr>
            <w:r w:rsidRPr="00145F3F">
              <w:rPr>
                <w:sz w:val="22"/>
                <w:szCs w:val="22"/>
              </w:rPr>
              <w:t>5.74</w:t>
            </w:r>
          </w:p>
        </w:tc>
        <w:tc>
          <w:tcPr>
            <w:tcW w:w="666" w:type="dxa"/>
            <w:tcBorders>
              <w:top w:val="nil"/>
              <w:left w:val="nil"/>
              <w:bottom w:val="single" w:sz="4" w:space="0" w:color="000000"/>
              <w:right w:val="nil"/>
            </w:tcBorders>
          </w:tcPr>
          <w:p w14:paraId="43DF6DF0" w14:textId="77777777" w:rsidR="00724C44" w:rsidRPr="00145F3F" w:rsidRDefault="00724C44" w:rsidP="00145F3F">
            <w:pPr>
              <w:spacing w:after="0" w:line="240" w:lineRule="auto"/>
              <w:jc w:val="both"/>
              <w:rPr>
                <w:sz w:val="22"/>
                <w:szCs w:val="22"/>
              </w:rPr>
            </w:pPr>
            <w:r w:rsidRPr="00145F3F">
              <w:rPr>
                <w:sz w:val="22"/>
                <w:szCs w:val="22"/>
              </w:rPr>
              <w:t>0.68</w:t>
            </w:r>
          </w:p>
        </w:tc>
        <w:tc>
          <w:tcPr>
            <w:tcW w:w="1602" w:type="dxa"/>
            <w:tcBorders>
              <w:top w:val="nil"/>
              <w:left w:val="nil"/>
              <w:bottom w:val="single" w:sz="4" w:space="0" w:color="000000"/>
              <w:right w:val="nil"/>
            </w:tcBorders>
          </w:tcPr>
          <w:p w14:paraId="6D897543" w14:textId="77777777" w:rsidR="00724C44" w:rsidRPr="00145F3F" w:rsidRDefault="00724C44" w:rsidP="00145F3F">
            <w:pPr>
              <w:spacing w:after="0" w:line="240" w:lineRule="auto"/>
              <w:jc w:val="both"/>
              <w:rPr>
                <w:sz w:val="22"/>
                <w:szCs w:val="22"/>
              </w:rPr>
            </w:pPr>
            <w:r w:rsidRPr="00145F3F">
              <w:rPr>
                <w:sz w:val="22"/>
                <w:szCs w:val="22"/>
              </w:rPr>
              <w:t>High</w:t>
            </w:r>
          </w:p>
        </w:tc>
      </w:tr>
    </w:tbl>
    <w:p w14:paraId="257B02F9"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7B2DC426" w14:textId="77777777" w:rsidR="00724C44" w:rsidRPr="00724C44" w:rsidRDefault="00724C44" w:rsidP="00724C44">
      <w:pPr>
        <w:spacing w:line="240" w:lineRule="auto"/>
        <w:jc w:val="both"/>
      </w:pPr>
      <w:r w:rsidRPr="00724C44">
        <w:t xml:space="preserve">Regulatory compliance represents the </w:t>
      </w:r>
      <w:proofErr w:type="gramStart"/>
      <w:r w:rsidRPr="00724C44">
        <w:t>highest-scoring</w:t>
      </w:r>
      <w:proofErr w:type="gramEnd"/>
      <w:r w:rsidRPr="00724C44">
        <w:t xml:space="preserve"> pay transparency dimension (M = 5.74, High). Organizations report strong compliance with labor regulations, proactive adaptation to regulatory changes, and alignment with international standards. This high compliance orientation reflects Thailand’s mature EEC regulatory environment and the presence of multinational companies subject to global standards.</w:t>
      </w:r>
    </w:p>
    <w:p w14:paraId="25CAE0C4" w14:textId="77777777" w:rsidR="00724C44" w:rsidRPr="00724C44" w:rsidRDefault="00724C44" w:rsidP="00724C44">
      <w:pPr>
        <w:spacing w:line="240" w:lineRule="auto"/>
        <w:jc w:val="both"/>
      </w:pPr>
      <w:r w:rsidRPr="00724C44">
        <w:rPr>
          <w:b/>
        </w:rPr>
        <w:lastRenderedPageBreak/>
        <w:t>4.5.5 Pay Transparency Summary</w:t>
      </w:r>
    </w:p>
    <w:p w14:paraId="731D7586" w14:textId="77777777" w:rsidR="00724C44" w:rsidRPr="00724C44" w:rsidRDefault="00724C44" w:rsidP="00724C44">
      <w:pPr>
        <w:spacing w:line="240" w:lineRule="auto"/>
        <w:jc w:val="both"/>
      </w:pPr>
      <w:r w:rsidRPr="00724C44">
        <w:t>Table 4.14 summarizes the pay transparency findings across all four dimensions.</w:t>
      </w:r>
    </w:p>
    <w:p w14:paraId="4C3289F8" w14:textId="77777777" w:rsidR="00724C44" w:rsidRPr="00724C44" w:rsidRDefault="00724C44" w:rsidP="00724C44">
      <w:pPr>
        <w:spacing w:line="240" w:lineRule="auto"/>
        <w:jc w:val="both"/>
      </w:pPr>
      <w:r w:rsidRPr="00724C44">
        <w:rPr>
          <w:b/>
        </w:rPr>
        <w:t>Table 4.14</w:t>
      </w:r>
    </w:p>
    <w:p w14:paraId="49E3C556" w14:textId="77777777" w:rsidR="00724C44" w:rsidRPr="00724C44" w:rsidRDefault="00724C44" w:rsidP="00724C44">
      <w:pPr>
        <w:spacing w:line="240" w:lineRule="auto"/>
        <w:jc w:val="both"/>
      </w:pPr>
      <w:r w:rsidRPr="00724C44">
        <w:rPr>
          <w:i/>
        </w:rPr>
        <w:t>Pay Transparency Construct Summary</w:t>
      </w:r>
    </w:p>
    <w:tbl>
      <w:tblPr>
        <w:tblW w:w="0" w:type="auto"/>
        <w:tblLayout w:type="fixed"/>
        <w:tblLook w:val="04A0" w:firstRow="1" w:lastRow="0" w:firstColumn="1" w:lastColumn="0" w:noHBand="0" w:noVBand="1"/>
      </w:tblPr>
      <w:tblGrid>
        <w:gridCol w:w="5040"/>
        <w:gridCol w:w="1008"/>
        <w:gridCol w:w="1008"/>
        <w:gridCol w:w="2160"/>
      </w:tblGrid>
      <w:tr w:rsidR="00724C44" w:rsidRPr="00724C44" w14:paraId="3B11F2D5" w14:textId="77777777" w:rsidTr="00A5379F">
        <w:tc>
          <w:tcPr>
            <w:tcW w:w="5040" w:type="dxa"/>
            <w:tcBorders>
              <w:top w:val="single" w:sz="4" w:space="0" w:color="000000"/>
              <w:left w:val="nil"/>
              <w:bottom w:val="single" w:sz="4" w:space="0" w:color="000000"/>
              <w:right w:val="nil"/>
            </w:tcBorders>
          </w:tcPr>
          <w:p w14:paraId="421650B4" w14:textId="77777777" w:rsidR="00724C44" w:rsidRPr="00145F3F" w:rsidRDefault="00724C44" w:rsidP="00145F3F">
            <w:pPr>
              <w:spacing w:after="0" w:line="240" w:lineRule="auto"/>
              <w:jc w:val="both"/>
              <w:rPr>
                <w:sz w:val="22"/>
                <w:szCs w:val="22"/>
              </w:rPr>
            </w:pPr>
            <w:r w:rsidRPr="00145F3F">
              <w:rPr>
                <w:b/>
                <w:sz w:val="22"/>
                <w:szCs w:val="22"/>
              </w:rPr>
              <w:t>Dimension</w:t>
            </w:r>
          </w:p>
        </w:tc>
        <w:tc>
          <w:tcPr>
            <w:tcW w:w="1008" w:type="dxa"/>
            <w:tcBorders>
              <w:top w:val="single" w:sz="4" w:space="0" w:color="000000"/>
              <w:left w:val="nil"/>
              <w:bottom w:val="single" w:sz="4" w:space="0" w:color="000000"/>
              <w:right w:val="nil"/>
            </w:tcBorders>
          </w:tcPr>
          <w:p w14:paraId="6D22E8C6" w14:textId="77777777" w:rsidR="00724C44" w:rsidRPr="00145F3F" w:rsidRDefault="00724C44" w:rsidP="00145F3F">
            <w:pPr>
              <w:spacing w:after="0" w:line="240" w:lineRule="auto"/>
              <w:jc w:val="both"/>
              <w:rPr>
                <w:sz w:val="22"/>
                <w:szCs w:val="22"/>
              </w:rPr>
            </w:pPr>
            <w:r w:rsidRPr="00145F3F">
              <w:rPr>
                <w:b/>
                <w:sz w:val="22"/>
                <w:szCs w:val="22"/>
              </w:rPr>
              <w:t>M</w:t>
            </w:r>
          </w:p>
        </w:tc>
        <w:tc>
          <w:tcPr>
            <w:tcW w:w="1008" w:type="dxa"/>
            <w:tcBorders>
              <w:top w:val="single" w:sz="4" w:space="0" w:color="000000"/>
              <w:left w:val="nil"/>
              <w:bottom w:val="single" w:sz="4" w:space="0" w:color="000000"/>
              <w:right w:val="nil"/>
            </w:tcBorders>
          </w:tcPr>
          <w:p w14:paraId="6F48D688" w14:textId="77777777" w:rsidR="00724C44" w:rsidRPr="00145F3F" w:rsidRDefault="00724C44" w:rsidP="00145F3F">
            <w:pPr>
              <w:spacing w:after="0" w:line="240" w:lineRule="auto"/>
              <w:jc w:val="both"/>
              <w:rPr>
                <w:sz w:val="22"/>
                <w:szCs w:val="22"/>
              </w:rPr>
            </w:pPr>
            <w:r w:rsidRPr="00145F3F">
              <w:rPr>
                <w:b/>
                <w:sz w:val="22"/>
                <w:szCs w:val="22"/>
              </w:rPr>
              <w:t>SD</w:t>
            </w:r>
          </w:p>
        </w:tc>
        <w:tc>
          <w:tcPr>
            <w:tcW w:w="2160" w:type="dxa"/>
            <w:tcBorders>
              <w:top w:val="single" w:sz="4" w:space="0" w:color="000000"/>
              <w:left w:val="nil"/>
              <w:bottom w:val="single" w:sz="4" w:space="0" w:color="000000"/>
              <w:right w:val="nil"/>
            </w:tcBorders>
          </w:tcPr>
          <w:p w14:paraId="585B211B"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78792479" w14:textId="77777777" w:rsidTr="00A5379F">
        <w:tc>
          <w:tcPr>
            <w:tcW w:w="5040" w:type="dxa"/>
            <w:tcBorders>
              <w:top w:val="nil"/>
              <w:left w:val="nil"/>
              <w:bottom w:val="nil"/>
              <w:right w:val="nil"/>
            </w:tcBorders>
          </w:tcPr>
          <w:p w14:paraId="3A9DB00B" w14:textId="77777777" w:rsidR="00724C44" w:rsidRPr="00145F3F" w:rsidRDefault="00724C44" w:rsidP="00145F3F">
            <w:pPr>
              <w:spacing w:after="0" w:line="240" w:lineRule="auto"/>
              <w:jc w:val="both"/>
              <w:rPr>
                <w:sz w:val="22"/>
                <w:szCs w:val="22"/>
              </w:rPr>
            </w:pPr>
            <w:r w:rsidRPr="00145F3F">
              <w:rPr>
                <w:sz w:val="22"/>
                <w:szCs w:val="22"/>
              </w:rPr>
              <w:t>C1: External Transparency</w:t>
            </w:r>
          </w:p>
        </w:tc>
        <w:tc>
          <w:tcPr>
            <w:tcW w:w="1008" w:type="dxa"/>
            <w:tcBorders>
              <w:top w:val="nil"/>
              <w:left w:val="nil"/>
              <w:bottom w:val="nil"/>
              <w:right w:val="nil"/>
            </w:tcBorders>
          </w:tcPr>
          <w:p w14:paraId="4E776798" w14:textId="77777777" w:rsidR="00724C44" w:rsidRPr="00145F3F" w:rsidRDefault="00724C44" w:rsidP="00145F3F">
            <w:pPr>
              <w:spacing w:after="0" w:line="240" w:lineRule="auto"/>
              <w:jc w:val="both"/>
              <w:rPr>
                <w:sz w:val="22"/>
                <w:szCs w:val="22"/>
              </w:rPr>
            </w:pPr>
            <w:r w:rsidRPr="00145F3F">
              <w:rPr>
                <w:sz w:val="22"/>
                <w:szCs w:val="22"/>
              </w:rPr>
              <w:t>4.76</w:t>
            </w:r>
          </w:p>
        </w:tc>
        <w:tc>
          <w:tcPr>
            <w:tcW w:w="1008" w:type="dxa"/>
            <w:tcBorders>
              <w:top w:val="nil"/>
              <w:left w:val="nil"/>
              <w:bottom w:val="nil"/>
              <w:right w:val="nil"/>
            </w:tcBorders>
          </w:tcPr>
          <w:p w14:paraId="55CE04A4" w14:textId="77777777" w:rsidR="00724C44" w:rsidRPr="00145F3F" w:rsidRDefault="00724C44" w:rsidP="00145F3F">
            <w:pPr>
              <w:spacing w:after="0" w:line="240" w:lineRule="auto"/>
              <w:jc w:val="both"/>
              <w:rPr>
                <w:sz w:val="22"/>
                <w:szCs w:val="22"/>
              </w:rPr>
            </w:pPr>
            <w:r w:rsidRPr="00145F3F">
              <w:rPr>
                <w:sz w:val="22"/>
                <w:szCs w:val="22"/>
              </w:rPr>
              <w:t>0.79</w:t>
            </w:r>
          </w:p>
        </w:tc>
        <w:tc>
          <w:tcPr>
            <w:tcW w:w="2160" w:type="dxa"/>
            <w:tcBorders>
              <w:top w:val="nil"/>
              <w:left w:val="nil"/>
              <w:bottom w:val="nil"/>
              <w:right w:val="nil"/>
            </w:tcBorders>
          </w:tcPr>
          <w:p w14:paraId="5B94D9EC" w14:textId="77777777" w:rsidR="00724C44" w:rsidRPr="00145F3F" w:rsidRDefault="00724C44" w:rsidP="00145F3F">
            <w:pPr>
              <w:spacing w:after="0" w:line="240" w:lineRule="auto"/>
              <w:jc w:val="both"/>
              <w:rPr>
                <w:sz w:val="22"/>
                <w:szCs w:val="22"/>
              </w:rPr>
            </w:pPr>
            <w:r w:rsidRPr="00145F3F">
              <w:rPr>
                <w:sz w:val="22"/>
                <w:szCs w:val="22"/>
              </w:rPr>
              <w:t>Moderate-High</w:t>
            </w:r>
          </w:p>
        </w:tc>
      </w:tr>
      <w:tr w:rsidR="00724C44" w:rsidRPr="00724C44" w14:paraId="644C3C73" w14:textId="77777777" w:rsidTr="00A5379F">
        <w:tc>
          <w:tcPr>
            <w:tcW w:w="5040" w:type="dxa"/>
            <w:tcBorders>
              <w:top w:val="nil"/>
              <w:left w:val="nil"/>
              <w:bottom w:val="nil"/>
              <w:right w:val="nil"/>
            </w:tcBorders>
          </w:tcPr>
          <w:p w14:paraId="5A792BD1" w14:textId="77777777" w:rsidR="00724C44" w:rsidRPr="00145F3F" w:rsidRDefault="00724C44" w:rsidP="00145F3F">
            <w:pPr>
              <w:spacing w:after="0" w:line="240" w:lineRule="auto"/>
              <w:jc w:val="both"/>
              <w:rPr>
                <w:sz w:val="22"/>
                <w:szCs w:val="22"/>
              </w:rPr>
            </w:pPr>
            <w:r w:rsidRPr="00145F3F">
              <w:rPr>
                <w:sz w:val="22"/>
                <w:szCs w:val="22"/>
              </w:rPr>
              <w:t>C2: Internal Transparency</w:t>
            </w:r>
          </w:p>
        </w:tc>
        <w:tc>
          <w:tcPr>
            <w:tcW w:w="1008" w:type="dxa"/>
            <w:tcBorders>
              <w:top w:val="nil"/>
              <w:left w:val="nil"/>
              <w:bottom w:val="nil"/>
              <w:right w:val="nil"/>
            </w:tcBorders>
          </w:tcPr>
          <w:p w14:paraId="7592E67C" w14:textId="77777777" w:rsidR="00724C44" w:rsidRPr="00145F3F" w:rsidRDefault="00724C44" w:rsidP="00145F3F">
            <w:pPr>
              <w:spacing w:after="0" w:line="240" w:lineRule="auto"/>
              <w:jc w:val="both"/>
              <w:rPr>
                <w:sz w:val="22"/>
                <w:szCs w:val="22"/>
              </w:rPr>
            </w:pPr>
            <w:r w:rsidRPr="00145F3F">
              <w:rPr>
                <w:sz w:val="22"/>
                <w:szCs w:val="22"/>
              </w:rPr>
              <w:t>3.38</w:t>
            </w:r>
          </w:p>
        </w:tc>
        <w:tc>
          <w:tcPr>
            <w:tcW w:w="1008" w:type="dxa"/>
            <w:tcBorders>
              <w:top w:val="nil"/>
              <w:left w:val="nil"/>
              <w:bottom w:val="nil"/>
              <w:right w:val="nil"/>
            </w:tcBorders>
          </w:tcPr>
          <w:p w14:paraId="1FA12307" w14:textId="77777777" w:rsidR="00724C44" w:rsidRPr="00145F3F" w:rsidRDefault="00724C44" w:rsidP="00145F3F">
            <w:pPr>
              <w:spacing w:after="0" w:line="240" w:lineRule="auto"/>
              <w:jc w:val="both"/>
              <w:rPr>
                <w:sz w:val="22"/>
                <w:szCs w:val="22"/>
              </w:rPr>
            </w:pPr>
            <w:r w:rsidRPr="00145F3F">
              <w:rPr>
                <w:sz w:val="22"/>
                <w:szCs w:val="22"/>
              </w:rPr>
              <w:t>0.61</w:t>
            </w:r>
          </w:p>
        </w:tc>
        <w:tc>
          <w:tcPr>
            <w:tcW w:w="2160" w:type="dxa"/>
            <w:tcBorders>
              <w:top w:val="nil"/>
              <w:left w:val="nil"/>
              <w:bottom w:val="nil"/>
              <w:right w:val="nil"/>
            </w:tcBorders>
          </w:tcPr>
          <w:p w14:paraId="03C98050" w14:textId="77777777" w:rsidR="00724C44" w:rsidRPr="00145F3F" w:rsidRDefault="00724C44" w:rsidP="00145F3F">
            <w:pPr>
              <w:spacing w:after="0" w:line="240" w:lineRule="auto"/>
              <w:jc w:val="both"/>
              <w:rPr>
                <w:sz w:val="22"/>
                <w:szCs w:val="22"/>
              </w:rPr>
            </w:pPr>
            <w:r w:rsidRPr="00145F3F">
              <w:rPr>
                <w:sz w:val="22"/>
                <w:szCs w:val="22"/>
              </w:rPr>
              <w:t>Moderate</w:t>
            </w:r>
          </w:p>
        </w:tc>
      </w:tr>
      <w:tr w:rsidR="00724C44" w:rsidRPr="00724C44" w14:paraId="2AD9CAE3" w14:textId="77777777" w:rsidTr="00A5379F">
        <w:tc>
          <w:tcPr>
            <w:tcW w:w="5040" w:type="dxa"/>
            <w:tcBorders>
              <w:top w:val="nil"/>
              <w:left w:val="nil"/>
              <w:bottom w:val="nil"/>
              <w:right w:val="nil"/>
            </w:tcBorders>
          </w:tcPr>
          <w:p w14:paraId="5BB7FB3E" w14:textId="77777777" w:rsidR="00724C44" w:rsidRPr="00145F3F" w:rsidRDefault="00724C44" w:rsidP="00145F3F">
            <w:pPr>
              <w:spacing w:after="0" w:line="240" w:lineRule="auto"/>
              <w:jc w:val="both"/>
              <w:rPr>
                <w:sz w:val="22"/>
                <w:szCs w:val="22"/>
              </w:rPr>
            </w:pPr>
            <w:r w:rsidRPr="00145F3F">
              <w:rPr>
                <w:sz w:val="22"/>
                <w:szCs w:val="22"/>
              </w:rPr>
              <w:t>C3: Pay Equity Analysis</w:t>
            </w:r>
          </w:p>
        </w:tc>
        <w:tc>
          <w:tcPr>
            <w:tcW w:w="1008" w:type="dxa"/>
            <w:tcBorders>
              <w:top w:val="nil"/>
              <w:left w:val="nil"/>
              <w:bottom w:val="nil"/>
              <w:right w:val="nil"/>
            </w:tcBorders>
          </w:tcPr>
          <w:p w14:paraId="3C2E4FD7" w14:textId="77777777" w:rsidR="00724C44" w:rsidRPr="00145F3F" w:rsidRDefault="00724C44" w:rsidP="00145F3F">
            <w:pPr>
              <w:spacing w:after="0" w:line="240" w:lineRule="auto"/>
              <w:jc w:val="both"/>
              <w:rPr>
                <w:sz w:val="22"/>
                <w:szCs w:val="22"/>
              </w:rPr>
            </w:pPr>
            <w:r w:rsidRPr="00145F3F">
              <w:rPr>
                <w:sz w:val="22"/>
                <w:szCs w:val="22"/>
              </w:rPr>
              <w:t>5.44</w:t>
            </w:r>
          </w:p>
        </w:tc>
        <w:tc>
          <w:tcPr>
            <w:tcW w:w="1008" w:type="dxa"/>
            <w:tcBorders>
              <w:top w:val="nil"/>
              <w:left w:val="nil"/>
              <w:bottom w:val="nil"/>
              <w:right w:val="nil"/>
            </w:tcBorders>
          </w:tcPr>
          <w:p w14:paraId="57B9CE89" w14:textId="77777777" w:rsidR="00724C44" w:rsidRPr="00145F3F" w:rsidRDefault="00724C44" w:rsidP="00145F3F">
            <w:pPr>
              <w:spacing w:after="0" w:line="240" w:lineRule="auto"/>
              <w:jc w:val="both"/>
              <w:rPr>
                <w:sz w:val="22"/>
                <w:szCs w:val="22"/>
              </w:rPr>
            </w:pPr>
            <w:r w:rsidRPr="00145F3F">
              <w:rPr>
                <w:sz w:val="22"/>
                <w:szCs w:val="22"/>
              </w:rPr>
              <w:t>0.69</w:t>
            </w:r>
          </w:p>
        </w:tc>
        <w:tc>
          <w:tcPr>
            <w:tcW w:w="2160" w:type="dxa"/>
            <w:tcBorders>
              <w:top w:val="nil"/>
              <w:left w:val="nil"/>
              <w:bottom w:val="nil"/>
              <w:right w:val="nil"/>
            </w:tcBorders>
          </w:tcPr>
          <w:p w14:paraId="0E353909"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24F1A89F" w14:textId="77777777" w:rsidTr="00A5379F">
        <w:tc>
          <w:tcPr>
            <w:tcW w:w="5040" w:type="dxa"/>
            <w:tcBorders>
              <w:top w:val="nil"/>
              <w:left w:val="nil"/>
              <w:bottom w:val="nil"/>
              <w:right w:val="nil"/>
            </w:tcBorders>
          </w:tcPr>
          <w:p w14:paraId="00493E49" w14:textId="77777777" w:rsidR="00724C44" w:rsidRPr="00145F3F" w:rsidRDefault="00724C44" w:rsidP="00145F3F">
            <w:pPr>
              <w:spacing w:after="0" w:line="240" w:lineRule="auto"/>
              <w:jc w:val="both"/>
              <w:rPr>
                <w:sz w:val="22"/>
                <w:szCs w:val="22"/>
              </w:rPr>
            </w:pPr>
            <w:r w:rsidRPr="00145F3F">
              <w:rPr>
                <w:sz w:val="22"/>
                <w:szCs w:val="22"/>
              </w:rPr>
              <w:t>C4: Regulatory Compliance</w:t>
            </w:r>
          </w:p>
        </w:tc>
        <w:tc>
          <w:tcPr>
            <w:tcW w:w="1008" w:type="dxa"/>
            <w:tcBorders>
              <w:top w:val="nil"/>
              <w:left w:val="nil"/>
              <w:bottom w:val="nil"/>
              <w:right w:val="nil"/>
            </w:tcBorders>
          </w:tcPr>
          <w:p w14:paraId="14E72581" w14:textId="77777777" w:rsidR="00724C44" w:rsidRPr="00145F3F" w:rsidRDefault="00724C44" w:rsidP="00145F3F">
            <w:pPr>
              <w:spacing w:after="0" w:line="240" w:lineRule="auto"/>
              <w:jc w:val="both"/>
              <w:rPr>
                <w:sz w:val="22"/>
                <w:szCs w:val="22"/>
              </w:rPr>
            </w:pPr>
            <w:r w:rsidRPr="00145F3F">
              <w:rPr>
                <w:sz w:val="22"/>
                <w:szCs w:val="22"/>
              </w:rPr>
              <w:t>5.74</w:t>
            </w:r>
          </w:p>
        </w:tc>
        <w:tc>
          <w:tcPr>
            <w:tcW w:w="1008" w:type="dxa"/>
            <w:tcBorders>
              <w:top w:val="nil"/>
              <w:left w:val="nil"/>
              <w:bottom w:val="nil"/>
              <w:right w:val="nil"/>
            </w:tcBorders>
          </w:tcPr>
          <w:p w14:paraId="02967513" w14:textId="77777777" w:rsidR="00724C44" w:rsidRPr="00145F3F" w:rsidRDefault="00724C44" w:rsidP="00145F3F">
            <w:pPr>
              <w:spacing w:after="0" w:line="240" w:lineRule="auto"/>
              <w:jc w:val="both"/>
              <w:rPr>
                <w:sz w:val="22"/>
                <w:szCs w:val="22"/>
              </w:rPr>
            </w:pPr>
            <w:r w:rsidRPr="00145F3F">
              <w:rPr>
                <w:sz w:val="22"/>
                <w:szCs w:val="22"/>
              </w:rPr>
              <w:t>0.68</w:t>
            </w:r>
          </w:p>
        </w:tc>
        <w:tc>
          <w:tcPr>
            <w:tcW w:w="2160" w:type="dxa"/>
            <w:tcBorders>
              <w:top w:val="nil"/>
              <w:left w:val="nil"/>
              <w:bottom w:val="nil"/>
              <w:right w:val="nil"/>
            </w:tcBorders>
          </w:tcPr>
          <w:p w14:paraId="61160604"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4911E3AB" w14:textId="77777777" w:rsidTr="00A5379F">
        <w:tc>
          <w:tcPr>
            <w:tcW w:w="5040" w:type="dxa"/>
            <w:tcBorders>
              <w:top w:val="nil"/>
              <w:left w:val="nil"/>
              <w:bottom w:val="single" w:sz="4" w:space="0" w:color="000000"/>
              <w:right w:val="nil"/>
            </w:tcBorders>
          </w:tcPr>
          <w:p w14:paraId="65DE9E4C" w14:textId="77777777" w:rsidR="00724C44" w:rsidRPr="00145F3F" w:rsidRDefault="00724C44" w:rsidP="00145F3F">
            <w:pPr>
              <w:spacing w:after="0" w:line="240" w:lineRule="auto"/>
              <w:jc w:val="both"/>
              <w:rPr>
                <w:sz w:val="22"/>
                <w:szCs w:val="22"/>
              </w:rPr>
            </w:pPr>
            <w:r w:rsidRPr="00145F3F">
              <w:rPr>
                <w:sz w:val="22"/>
                <w:szCs w:val="22"/>
              </w:rPr>
              <w:t>Overall Pay Transparency</w:t>
            </w:r>
          </w:p>
        </w:tc>
        <w:tc>
          <w:tcPr>
            <w:tcW w:w="1008" w:type="dxa"/>
            <w:tcBorders>
              <w:top w:val="nil"/>
              <w:left w:val="nil"/>
              <w:bottom w:val="single" w:sz="4" w:space="0" w:color="000000"/>
              <w:right w:val="nil"/>
            </w:tcBorders>
          </w:tcPr>
          <w:p w14:paraId="286BAED7" w14:textId="77777777" w:rsidR="00724C44" w:rsidRPr="00145F3F" w:rsidRDefault="00724C44" w:rsidP="00145F3F">
            <w:pPr>
              <w:spacing w:after="0" w:line="240" w:lineRule="auto"/>
              <w:jc w:val="both"/>
              <w:rPr>
                <w:sz w:val="22"/>
                <w:szCs w:val="22"/>
              </w:rPr>
            </w:pPr>
            <w:r w:rsidRPr="00145F3F">
              <w:rPr>
                <w:sz w:val="22"/>
                <w:szCs w:val="22"/>
              </w:rPr>
              <w:t>4.83</w:t>
            </w:r>
          </w:p>
        </w:tc>
        <w:tc>
          <w:tcPr>
            <w:tcW w:w="1008" w:type="dxa"/>
            <w:tcBorders>
              <w:top w:val="nil"/>
              <w:left w:val="nil"/>
              <w:bottom w:val="single" w:sz="4" w:space="0" w:color="000000"/>
              <w:right w:val="nil"/>
            </w:tcBorders>
          </w:tcPr>
          <w:p w14:paraId="461F30CB" w14:textId="77777777" w:rsidR="00724C44" w:rsidRPr="00145F3F" w:rsidRDefault="00724C44" w:rsidP="00145F3F">
            <w:pPr>
              <w:spacing w:after="0" w:line="240" w:lineRule="auto"/>
              <w:jc w:val="both"/>
              <w:rPr>
                <w:sz w:val="22"/>
                <w:szCs w:val="22"/>
              </w:rPr>
            </w:pPr>
            <w:r w:rsidRPr="00145F3F">
              <w:rPr>
                <w:sz w:val="22"/>
                <w:szCs w:val="22"/>
              </w:rPr>
              <w:t>0.42</w:t>
            </w:r>
          </w:p>
        </w:tc>
        <w:tc>
          <w:tcPr>
            <w:tcW w:w="2160" w:type="dxa"/>
            <w:tcBorders>
              <w:top w:val="nil"/>
              <w:left w:val="nil"/>
              <w:bottom w:val="single" w:sz="4" w:space="0" w:color="000000"/>
              <w:right w:val="nil"/>
            </w:tcBorders>
          </w:tcPr>
          <w:p w14:paraId="359FA88C" w14:textId="77777777" w:rsidR="00724C44" w:rsidRPr="00145F3F" w:rsidRDefault="00724C44" w:rsidP="00145F3F">
            <w:pPr>
              <w:spacing w:after="0" w:line="240" w:lineRule="auto"/>
              <w:jc w:val="both"/>
              <w:rPr>
                <w:sz w:val="22"/>
                <w:szCs w:val="22"/>
              </w:rPr>
            </w:pPr>
            <w:r w:rsidRPr="00145F3F">
              <w:rPr>
                <w:sz w:val="22"/>
                <w:szCs w:val="22"/>
              </w:rPr>
              <w:t>Moderate-High</w:t>
            </w:r>
          </w:p>
        </w:tc>
      </w:tr>
    </w:tbl>
    <w:p w14:paraId="4E57E4AC" w14:textId="77777777" w:rsidR="00724C44" w:rsidRPr="00724C44" w:rsidRDefault="00724C44" w:rsidP="00724C44">
      <w:pPr>
        <w:spacing w:line="240" w:lineRule="auto"/>
        <w:jc w:val="both"/>
      </w:pPr>
      <w:r w:rsidRPr="00724C44">
        <w:t>The overall Pay Transparency score of 4.83 (Moderate-High) masks significant variation across dimensions. Organizations demonstrate strong regulatory compliance and pay equity analysis practices, but internal transparency with employees remains the weakest dimension. This pattern suggests that transparency efforts appear to be more strongly associated with regulatory and stakeholder pressures rather than internally motivated cultural commitments to openness.</w:t>
      </w:r>
    </w:p>
    <w:p w14:paraId="1CEC7440" w14:textId="77777777" w:rsidR="00724C44" w:rsidRPr="00724C44" w:rsidRDefault="00724C44" w:rsidP="00724C44">
      <w:pPr>
        <w:spacing w:line="240" w:lineRule="auto"/>
        <w:jc w:val="both"/>
      </w:pPr>
      <w:r w:rsidRPr="00724C44">
        <w:rPr>
          <w:b/>
        </w:rPr>
        <w:t>4.6 Research Objective 2: Human Capital Disclosure Quality</w:t>
      </w:r>
    </w:p>
    <w:p w14:paraId="363485F4" w14:textId="77777777" w:rsidR="00724C44" w:rsidRPr="00724C44" w:rsidRDefault="00724C44" w:rsidP="00724C44">
      <w:pPr>
        <w:spacing w:line="240" w:lineRule="auto"/>
        <w:jc w:val="both"/>
      </w:pPr>
      <w:r w:rsidRPr="00724C44">
        <w:t>Research Objective 2 examined the quality of human capital disclosure in corporate communications and annual reports. Section D of the questionnaire assessed disclosure quality across five qualitative dimensions: completeness, accuracy, timeliness, comparability, and accessibility. A checklist of 20 specific human capital items also measured the prevalence of actual disclosure.</w:t>
      </w:r>
    </w:p>
    <w:p w14:paraId="1803BF27" w14:textId="77777777" w:rsidR="00724C44" w:rsidRPr="00724C44" w:rsidRDefault="00724C44" w:rsidP="00724C44">
      <w:pPr>
        <w:spacing w:line="240" w:lineRule="auto"/>
        <w:jc w:val="both"/>
      </w:pPr>
      <w:r w:rsidRPr="00724C44">
        <w:rPr>
          <w:b/>
        </w:rPr>
        <w:t>4.6.1 Disclosure Completeness (D1)</w:t>
      </w:r>
    </w:p>
    <w:p w14:paraId="62C90904" w14:textId="77777777" w:rsidR="00724C44" w:rsidRPr="00724C44" w:rsidRDefault="00724C44" w:rsidP="00724C44">
      <w:pPr>
        <w:spacing w:line="240" w:lineRule="auto"/>
        <w:jc w:val="both"/>
      </w:pPr>
      <w:r w:rsidRPr="00724C44">
        <w:t>Completeness measures the comprehensiveness of human capital information disclosed to external stakeholders. Table 4.15 presents the descriptive statistics for these nine items.</w:t>
      </w:r>
    </w:p>
    <w:p w14:paraId="556BD417" w14:textId="77777777" w:rsidR="00724C44" w:rsidRPr="00724C44" w:rsidRDefault="00724C44" w:rsidP="00724C44">
      <w:pPr>
        <w:spacing w:line="240" w:lineRule="auto"/>
        <w:jc w:val="both"/>
      </w:pPr>
      <w:r w:rsidRPr="00724C44">
        <w:rPr>
          <w:b/>
        </w:rPr>
        <w:t>Table 4.15</w:t>
      </w:r>
    </w:p>
    <w:p w14:paraId="24B456F1" w14:textId="77777777" w:rsidR="00724C44" w:rsidRPr="00724C44" w:rsidRDefault="00724C44" w:rsidP="00724C44">
      <w:pPr>
        <w:spacing w:line="240" w:lineRule="auto"/>
        <w:jc w:val="both"/>
      </w:pPr>
      <w:r w:rsidRPr="00724C44">
        <w:rPr>
          <w:i/>
        </w:rPr>
        <w:t>Disclosure Completeness – Descriptive Statistics (n = 400)</w:t>
      </w:r>
    </w:p>
    <w:tbl>
      <w:tblPr>
        <w:tblW w:w="0" w:type="auto"/>
        <w:tblLayout w:type="fixed"/>
        <w:tblLook w:val="04A0" w:firstRow="1" w:lastRow="0" w:firstColumn="1" w:lastColumn="0" w:noHBand="0" w:noVBand="1"/>
      </w:tblPr>
      <w:tblGrid>
        <w:gridCol w:w="1008"/>
        <w:gridCol w:w="4752"/>
        <w:gridCol w:w="864"/>
        <w:gridCol w:w="864"/>
        <w:gridCol w:w="1728"/>
      </w:tblGrid>
      <w:tr w:rsidR="00724C44" w:rsidRPr="00724C44" w14:paraId="09DD0B08" w14:textId="77777777" w:rsidTr="00A5379F">
        <w:tc>
          <w:tcPr>
            <w:tcW w:w="1008" w:type="dxa"/>
            <w:tcBorders>
              <w:top w:val="single" w:sz="4" w:space="0" w:color="000000"/>
              <w:left w:val="nil"/>
              <w:bottom w:val="single" w:sz="4" w:space="0" w:color="000000"/>
              <w:right w:val="nil"/>
            </w:tcBorders>
          </w:tcPr>
          <w:p w14:paraId="35781433" w14:textId="77777777" w:rsidR="00724C44" w:rsidRPr="00145F3F" w:rsidRDefault="00724C44" w:rsidP="00145F3F">
            <w:pPr>
              <w:spacing w:after="0" w:line="240" w:lineRule="auto"/>
              <w:jc w:val="both"/>
              <w:rPr>
                <w:sz w:val="22"/>
                <w:szCs w:val="22"/>
              </w:rPr>
            </w:pPr>
            <w:r w:rsidRPr="00145F3F">
              <w:rPr>
                <w:b/>
                <w:sz w:val="22"/>
                <w:szCs w:val="22"/>
              </w:rPr>
              <w:t>Item</w:t>
            </w:r>
          </w:p>
        </w:tc>
        <w:tc>
          <w:tcPr>
            <w:tcW w:w="4752" w:type="dxa"/>
            <w:tcBorders>
              <w:top w:val="single" w:sz="4" w:space="0" w:color="000000"/>
              <w:left w:val="nil"/>
              <w:bottom w:val="single" w:sz="4" w:space="0" w:color="000000"/>
              <w:right w:val="nil"/>
            </w:tcBorders>
          </w:tcPr>
          <w:p w14:paraId="5AABA84A"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64" w:type="dxa"/>
            <w:tcBorders>
              <w:top w:val="single" w:sz="4" w:space="0" w:color="000000"/>
              <w:left w:val="nil"/>
              <w:bottom w:val="single" w:sz="4" w:space="0" w:color="000000"/>
              <w:right w:val="nil"/>
            </w:tcBorders>
          </w:tcPr>
          <w:p w14:paraId="06640ED4" w14:textId="77777777" w:rsidR="00724C44" w:rsidRPr="00145F3F" w:rsidRDefault="00724C44" w:rsidP="00145F3F">
            <w:pPr>
              <w:spacing w:after="0" w:line="240" w:lineRule="auto"/>
              <w:jc w:val="both"/>
              <w:rPr>
                <w:sz w:val="22"/>
                <w:szCs w:val="22"/>
              </w:rPr>
            </w:pPr>
            <w:r w:rsidRPr="00145F3F">
              <w:rPr>
                <w:b/>
                <w:sz w:val="22"/>
                <w:szCs w:val="22"/>
              </w:rPr>
              <w:t>M</w:t>
            </w:r>
          </w:p>
        </w:tc>
        <w:tc>
          <w:tcPr>
            <w:tcW w:w="864" w:type="dxa"/>
            <w:tcBorders>
              <w:top w:val="single" w:sz="4" w:space="0" w:color="000000"/>
              <w:left w:val="nil"/>
              <w:bottom w:val="single" w:sz="4" w:space="0" w:color="000000"/>
              <w:right w:val="nil"/>
            </w:tcBorders>
          </w:tcPr>
          <w:p w14:paraId="47999CBA" w14:textId="77777777" w:rsidR="00724C44" w:rsidRPr="00145F3F" w:rsidRDefault="00724C44" w:rsidP="00145F3F">
            <w:pPr>
              <w:spacing w:after="0" w:line="240" w:lineRule="auto"/>
              <w:jc w:val="both"/>
              <w:rPr>
                <w:sz w:val="22"/>
                <w:szCs w:val="22"/>
              </w:rPr>
            </w:pPr>
            <w:r w:rsidRPr="00145F3F">
              <w:rPr>
                <w:b/>
                <w:sz w:val="22"/>
                <w:szCs w:val="22"/>
              </w:rPr>
              <w:t>SD</w:t>
            </w:r>
          </w:p>
        </w:tc>
        <w:tc>
          <w:tcPr>
            <w:tcW w:w="1728" w:type="dxa"/>
            <w:tcBorders>
              <w:top w:val="single" w:sz="4" w:space="0" w:color="000000"/>
              <w:left w:val="nil"/>
              <w:bottom w:val="single" w:sz="4" w:space="0" w:color="000000"/>
              <w:right w:val="nil"/>
            </w:tcBorders>
          </w:tcPr>
          <w:p w14:paraId="6B1E70DF"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359CE24F" w14:textId="77777777" w:rsidTr="00A5379F">
        <w:tc>
          <w:tcPr>
            <w:tcW w:w="1008" w:type="dxa"/>
            <w:tcBorders>
              <w:top w:val="nil"/>
              <w:left w:val="nil"/>
              <w:bottom w:val="nil"/>
              <w:right w:val="nil"/>
            </w:tcBorders>
          </w:tcPr>
          <w:p w14:paraId="7FFCFAA8" w14:textId="77777777" w:rsidR="00724C44" w:rsidRPr="00145F3F" w:rsidRDefault="00724C44" w:rsidP="00145F3F">
            <w:pPr>
              <w:spacing w:after="0" w:line="240" w:lineRule="auto"/>
              <w:jc w:val="both"/>
              <w:rPr>
                <w:sz w:val="22"/>
                <w:szCs w:val="22"/>
              </w:rPr>
            </w:pPr>
            <w:r w:rsidRPr="00145F3F">
              <w:rPr>
                <w:sz w:val="22"/>
                <w:szCs w:val="22"/>
              </w:rPr>
              <w:t>D1.1</w:t>
            </w:r>
          </w:p>
        </w:tc>
        <w:tc>
          <w:tcPr>
            <w:tcW w:w="4752" w:type="dxa"/>
            <w:tcBorders>
              <w:top w:val="nil"/>
              <w:left w:val="nil"/>
              <w:bottom w:val="nil"/>
              <w:right w:val="nil"/>
            </w:tcBorders>
          </w:tcPr>
          <w:p w14:paraId="27290D8C" w14:textId="77777777" w:rsidR="00724C44" w:rsidRPr="00145F3F" w:rsidRDefault="00724C44" w:rsidP="00145F3F">
            <w:pPr>
              <w:spacing w:after="0" w:line="240" w:lineRule="auto"/>
              <w:jc w:val="both"/>
              <w:rPr>
                <w:sz w:val="22"/>
                <w:szCs w:val="22"/>
              </w:rPr>
            </w:pPr>
            <w:r w:rsidRPr="00145F3F">
              <w:rPr>
                <w:sz w:val="22"/>
                <w:szCs w:val="22"/>
              </w:rPr>
              <w:t>Basic employee headcount numbers are disclosed</w:t>
            </w:r>
          </w:p>
        </w:tc>
        <w:tc>
          <w:tcPr>
            <w:tcW w:w="864" w:type="dxa"/>
            <w:tcBorders>
              <w:top w:val="nil"/>
              <w:left w:val="nil"/>
              <w:bottom w:val="nil"/>
              <w:right w:val="nil"/>
            </w:tcBorders>
          </w:tcPr>
          <w:p w14:paraId="6CF979EA" w14:textId="77777777" w:rsidR="00724C44" w:rsidRPr="00145F3F" w:rsidRDefault="00724C44" w:rsidP="00145F3F">
            <w:pPr>
              <w:spacing w:after="0" w:line="240" w:lineRule="auto"/>
              <w:jc w:val="both"/>
              <w:rPr>
                <w:sz w:val="22"/>
                <w:szCs w:val="22"/>
              </w:rPr>
            </w:pPr>
            <w:r w:rsidRPr="00145F3F">
              <w:rPr>
                <w:sz w:val="22"/>
                <w:szCs w:val="22"/>
              </w:rPr>
              <w:t>3.13</w:t>
            </w:r>
          </w:p>
        </w:tc>
        <w:tc>
          <w:tcPr>
            <w:tcW w:w="864" w:type="dxa"/>
            <w:tcBorders>
              <w:top w:val="nil"/>
              <w:left w:val="nil"/>
              <w:bottom w:val="nil"/>
              <w:right w:val="nil"/>
            </w:tcBorders>
          </w:tcPr>
          <w:p w14:paraId="39C6FFD8" w14:textId="77777777" w:rsidR="00724C44" w:rsidRPr="00145F3F" w:rsidRDefault="00724C44" w:rsidP="00145F3F">
            <w:pPr>
              <w:spacing w:after="0" w:line="240" w:lineRule="auto"/>
              <w:jc w:val="both"/>
              <w:rPr>
                <w:sz w:val="22"/>
                <w:szCs w:val="22"/>
              </w:rPr>
            </w:pPr>
            <w:r w:rsidRPr="00145F3F">
              <w:rPr>
                <w:sz w:val="22"/>
                <w:szCs w:val="22"/>
              </w:rPr>
              <w:t>1.44</w:t>
            </w:r>
          </w:p>
        </w:tc>
        <w:tc>
          <w:tcPr>
            <w:tcW w:w="1728" w:type="dxa"/>
            <w:tcBorders>
              <w:top w:val="nil"/>
              <w:left w:val="nil"/>
              <w:bottom w:val="nil"/>
              <w:right w:val="nil"/>
            </w:tcBorders>
          </w:tcPr>
          <w:p w14:paraId="2251C26F" w14:textId="77777777" w:rsidR="00724C44" w:rsidRPr="00145F3F" w:rsidRDefault="00724C44" w:rsidP="00145F3F">
            <w:pPr>
              <w:spacing w:after="0" w:line="240" w:lineRule="auto"/>
              <w:jc w:val="both"/>
              <w:rPr>
                <w:sz w:val="22"/>
                <w:szCs w:val="22"/>
              </w:rPr>
            </w:pPr>
            <w:r w:rsidRPr="00145F3F">
              <w:rPr>
                <w:sz w:val="22"/>
                <w:szCs w:val="22"/>
              </w:rPr>
              <w:t>Moderate</w:t>
            </w:r>
          </w:p>
        </w:tc>
      </w:tr>
      <w:tr w:rsidR="00724C44" w:rsidRPr="00724C44" w14:paraId="6386093B" w14:textId="77777777" w:rsidTr="00A5379F">
        <w:tc>
          <w:tcPr>
            <w:tcW w:w="1008" w:type="dxa"/>
            <w:tcBorders>
              <w:top w:val="nil"/>
              <w:left w:val="nil"/>
              <w:bottom w:val="nil"/>
              <w:right w:val="nil"/>
            </w:tcBorders>
          </w:tcPr>
          <w:p w14:paraId="5EA2BD33" w14:textId="77777777" w:rsidR="00724C44" w:rsidRPr="00145F3F" w:rsidRDefault="00724C44" w:rsidP="00145F3F">
            <w:pPr>
              <w:spacing w:after="0" w:line="240" w:lineRule="auto"/>
              <w:jc w:val="both"/>
              <w:rPr>
                <w:sz w:val="22"/>
                <w:szCs w:val="22"/>
              </w:rPr>
            </w:pPr>
            <w:r w:rsidRPr="00145F3F">
              <w:rPr>
                <w:sz w:val="22"/>
                <w:szCs w:val="22"/>
              </w:rPr>
              <w:t>D1.2</w:t>
            </w:r>
          </w:p>
        </w:tc>
        <w:tc>
          <w:tcPr>
            <w:tcW w:w="4752" w:type="dxa"/>
            <w:tcBorders>
              <w:top w:val="nil"/>
              <w:left w:val="nil"/>
              <w:bottom w:val="nil"/>
              <w:right w:val="nil"/>
            </w:tcBorders>
          </w:tcPr>
          <w:p w14:paraId="244138D4" w14:textId="77777777" w:rsidR="00724C44" w:rsidRPr="00145F3F" w:rsidRDefault="00724C44" w:rsidP="00145F3F">
            <w:pPr>
              <w:spacing w:after="0" w:line="240" w:lineRule="auto"/>
              <w:jc w:val="both"/>
              <w:rPr>
                <w:sz w:val="22"/>
                <w:szCs w:val="22"/>
              </w:rPr>
            </w:pPr>
            <w:r w:rsidRPr="00145F3F">
              <w:rPr>
                <w:sz w:val="22"/>
                <w:szCs w:val="22"/>
              </w:rPr>
              <w:t>Employee composition breakdown is provided</w:t>
            </w:r>
          </w:p>
        </w:tc>
        <w:tc>
          <w:tcPr>
            <w:tcW w:w="864" w:type="dxa"/>
            <w:tcBorders>
              <w:top w:val="nil"/>
              <w:left w:val="nil"/>
              <w:bottom w:val="nil"/>
              <w:right w:val="nil"/>
            </w:tcBorders>
          </w:tcPr>
          <w:p w14:paraId="752DD4AF" w14:textId="77777777" w:rsidR="00724C44" w:rsidRPr="00145F3F" w:rsidRDefault="00724C44" w:rsidP="00145F3F">
            <w:pPr>
              <w:spacing w:after="0" w:line="240" w:lineRule="auto"/>
              <w:jc w:val="both"/>
              <w:rPr>
                <w:sz w:val="22"/>
                <w:szCs w:val="22"/>
              </w:rPr>
            </w:pPr>
            <w:r w:rsidRPr="00145F3F">
              <w:rPr>
                <w:sz w:val="22"/>
                <w:szCs w:val="22"/>
              </w:rPr>
              <w:t>2.46</w:t>
            </w:r>
          </w:p>
        </w:tc>
        <w:tc>
          <w:tcPr>
            <w:tcW w:w="864" w:type="dxa"/>
            <w:tcBorders>
              <w:top w:val="nil"/>
              <w:left w:val="nil"/>
              <w:bottom w:val="nil"/>
              <w:right w:val="nil"/>
            </w:tcBorders>
          </w:tcPr>
          <w:p w14:paraId="7A453C33" w14:textId="77777777" w:rsidR="00724C44" w:rsidRPr="00145F3F" w:rsidRDefault="00724C44" w:rsidP="00145F3F">
            <w:pPr>
              <w:spacing w:after="0" w:line="240" w:lineRule="auto"/>
              <w:jc w:val="both"/>
              <w:rPr>
                <w:sz w:val="22"/>
                <w:szCs w:val="22"/>
              </w:rPr>
            </w:pPr>
            <w:r w:rsidRPr="00145F3F">
              <w:rPr>
                <w:sz w:val="22"/>
                <w:szCs w:val="22"/>
              </w:rPr>
              <w:t>1.30</w:t>
            </w:r>
          </w:p>
        </w:tc>
        <w:tc>
          <w:tcPr>
            <w:tcW w:w="1728" w:type="dxa"/>
            <w:tcBorders>
              <w:top w:val="nil"/>
              <w:left w:val="nil"/>
              <w:bottom w:val="nil"/>
              <w:right w:val="nil"/>
            </w:tcBorders>
          </w:tcPr>
          <w:p w14:paraId="4D236FD4"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47AC6D2" w14:textId="77777777" w:rsidTr="00A5379F">
        <w:tc>
          <w:tcPr>
            <w:tcW w:w="1008" w:type="dxa"/>
            <w:tcBorders>
              <w:top w:val="nil"/>
              <w:left w:val="nil"/>
              <w:bottom w:val="nil"/>
              <w:right w:val="nil"/>
            </w:tcBorders>
          </w:tcPr>
          <w:p w14:paraId="281D07E2" w14:textId="77777777" w:rsidR="00724C44" w:rsidRPr="00145F3F" w:rsidRDefault="00724C44" w:rsidP="00145F3F">
            <w:pPr>
              <w:spacing w:after="0" w:line="240" w:lineRule="auto"/>
              <w:jc w:val="both"/>
              <w:rPr>
                <w:sz w:val="22"/>
                <w:szCs w:val="22"/>
              </w:rPr>
            </w:pPr>
            <w:r w:rsidRPr="00145F3F">
              <w:rPr>
                <w:sz w:val="22"/>
                <w:szCs w:val="22"/>
              </w:rPr>
              <w:t>D1.3</w:t>
            </w:r>
          </w:p>
        </w:tc>
        <w:tc>
          <w:tcPr>
            <w:tcW w:w="4752" w:type="dxa"/>
            <w:tcBorders>
              <w:top w:val="nil"/>
              <w:left w:val="nil"/>
              <w:bottom w:val="nil"/>
              <w:right w:val="nil"/>
            </w:tcBorders>
          </w:tcPr>
          <w:p w14:paraId="7CC42EB5" w14:textId="77777777" w:rsidR="00724C44" w:rsidRPr="00145F3F" w:rsidRDefault="00724C44" w:rsidP="00145F3F">
            <w:pPr>
              <w:spacing w:after="0" w:line="240" w:lineRule="auto"/>
              <w:jc w:val="both"/>
              <w:rPr>
                <w:sz w:val="22"/>
                <w:szCs w:val="22"/>
              </w:rPr>
            </w:pPr>
            <w:r w:rsidRPr="00145F3F">
              <w:rPr>
                <w:sz w:val="22"/>
                <w:szCs w:val="22"/>
              </w:rPr>
              <w:t>Compensation structure information is disclosed</w:t>
            </w:r>
          </w:p>
        </w:tc>
        <w:tc>
          <w:tcPr>
            <w:tcW w:w="864" w:type="dxa"/>
            <w:tcBorders>
              <w:top w:val="nil"/>
              <w:left w:val="nil"/>
              <w:bottom w:val="nil"/>
              <w:right w:val="nil"/>
            </w:tcBorders>
          </w:tcPr>
          <w:p w14:paraId="0D40CC25" w14:textId="77777777" w:rsidR="00724C44" w:rsidRPr="00145F3F" w:rsidRDefault="00724C44" w:rsidP="00145F3F">
            <w:pPr>
              <w:spacing w:after="0" w:line="240" w:lineRule="auto"/>
              <w:jc w:val="both"/>
              <w:rPr>
                <w:sz w:val="22"/>
                <w:szCs w:val="22"/>
              </w:rPr>
            </w:pPr>
            <w:r w:rsidRPr="00145F3F">
              <w:rPr>
                <w:sz w:val="22"/>
                <w:szCs w:val="22"/>
              </w:rPr>
              <w:t>2.44</w:t>
            </w:r>
          </w:p>
        </w:tc>
        <w:tc>
          <w:tcPr>
            <w:tcW w:w="864" w:type="dxa"/>
            <w:tcBorders>
              <w:top w:val="nil"/>
              <w:left w:val="nil"/>
              <w:bottom w:val="nil"/>
              <w:right w:val="nil"/>
            </w:tcBorders>
          </w:tcPr>
          <w:p w14:paraId="09E45A9F" w14:textId="77777777" w:rsidR="00724C44" w:rsidRPr="00145F3F" w:rsidRDefault="00724C44" w:rsidP="00145F3F">
            <w:pPr>
              <w:spacing w:after="0" w:line="240" w:lineRule="auto"/>
              <w:jc w:val="both"/>
              <w:rPr>
                <w:sz w:val="22"/>
                <w:szCs w:val="22"/>
              </w:rPr>
            </w:pPr>
            <w:r w:rsidRPr="00145F3F">
              <w:rPr>
                <w:sz w:val="22"/>
                <w:szCs w:val="22"/>
              </w:rPr>
              <w:t>1.28</w:t>
            </w:r>
          </w:p>
        </w:tc>
        <w:tc>
          <w:tcPr>
            <w:tcW w:w="1728" w:type="dxa"/>
            <w:tcBorders>
              <w:top w:val="nil"/>
              <w:left w:val="nil"/>
              <w:bottom w:val="nil"/>
              <w:right w:val="nil"/>
            </w:tcBorders>
          </w:tcPr>
          <w:p w14:paraId="18753B90"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029DA308" w14:textId="77777777" w:rsidTr="00A5379F">
        <w:tc>
          <w:tcPr>
            <w:tcW w:w="1008" w:type="dxa"/>
            <w:tcBorders>
              <w:top w:val="nil"/>
              <w:left w:val="nil"/>
              <w:bottom w:val="nil"/>
              <w:right w:val="nil"/>
            </w:tcBorders>
          </w:tcPr>
          <w:p w14:paraId="552A5961" w14:textId="77777777" w:rsidR="00724C44" w:rsidRPr="00145F3F" w:rsidRDefault="00724C44" w:rsidP="00145F3F">
            <w:pPr>
              <w:spacing w:after="0" w:line="240" w:lineRule="auto"/>
              <w:jc w:val="both"/>
              <w:rPr>
                <w:sz w:val="22"/>
                <w:szCs w:val="22"/>
              </w:rPr>
            </w:pPr>
            <w:r w:rsidRPr="00145F3F">
              <w:rPr>
                <w:sz w:val="22"/>
                <w:szCs w:val="22"/>
              </w:rPr>
              <w:t>D1.4</w:t>
            </w:r>
          </w:p>
        </w:tc>
        <w:tc>
          <w:tcPr>
            <w:tcW w:w="4752" w:type="dxa"/>
            <w:tcBorders>
              <w:top w:val="nil"/>
              <w:left w:val="nil"/>
              <w:bottom w:val="nil"/>
              <w:right w:val="nil"/>
            </w:tcBorders>
          </w:tcPr>
          <w:p w14:paraId="54B3B814" w14:textId="77777777" w:rsidR="00724C44" w:rsidRPr="00145F3F" w:rsidRDefault="00724C44" w:rsidP="00145F3F">
            <w:pPr>
              <w:spacing w:after="0" w:line="240" w:lineRule="auto"/>
              <w:jc w:val="both"/>
              <w:rPr>
                <w:sz w:val="22"/>
                <w:szCs w:val="22"/>
              </w:rPr>
            </w:pPr>
            <w:r w:rsidRPr="00145F3F">
              <w:rPr>
                <w:sz w:val="22"/>
                <w:szCs w:val="22"/>
              </w:rPr>
              <w:t>Benefits information is included in reports</w:t>
            </w:r>
          </w:p>
        </w:tc>
        <w:tc>
          <w:tcPr>
            <w:tcW w:w="864" w:type="dxa"/>
            <w:tcBorders>
              <w:top w:val="nil"/>
              <w:left w:val="nil"/>
              <w:bottom w:val="nil"/>
              <w:right w:val="nil"/>
            </w:tcBorders>
          </w:tcPr>
          <w:p w14:paraId="0DA9A8F1" w14:textId="77777777" w:rsidR="00724C44" w:rsidRPr="00145F3F" w:rsidRDefault="00724C44" w:rsidP="00145F3F">
            <w:pPr>
              <w:spacing w:after="0" w:line="240" w:lineRule="auto"/>
              <w:jc w:val="both"/>
              <w:rPr>
                <w:sz w:val="22"/>
                <w:szCs w:val="22"/>
              </w:rPr>
            </w:pPr>
            <w:r w:rsidRPr="00145F3F">
              <w:rPr>
                <w:sz w:val="22"/>
                <w:szCs w:val="22"/>
              </w:rPr>
              <w:t>2.36</w:t>
            </w:r>
          </w:p>
        </w:tc>
        <w:tc>
          <w:tcPr>
            <w:tcW w:w="864" w:type="dxa"/>
            <w:tcBorders>
              <w:top w:val="nil"/>
              <w:left w:val="nil"/>
              <w:bottom w:val="nil"/>
              <w:right w:val="nil"/>
            </w:tcBorders>
          </w:tcPr>
          <w:p w14:paraId="40C2D894" w14:textId="77777777" w:rsidR="00724C44" w:rsidRPr="00145F3F" w:rsidRDefault="00724C44" w:rsidP="00145F3F">
            <w:pPr>
              <w:spacing w:after="0" w:line="240" w:lineRule="auto"/>
              <w:jc w:val="both"/>
              <w:rPr>
                <w:sz w:val="22"/>
                <w:szCs w:val="22"/>
              </w:rPr>
            </w:pPr>
            <w:r w:rsidRPr="00145F3F">
              <w:rPr>
                <w:sz w:val="22"/>
                <w:szCs w:val="22"/>
              </w:rPr>
              <w:t>1.16</w:t>
            </w:r>
          </w:p>
        </w:tc>
        <w:tc>
          <w:tcPr>
            <w:tcW w:w="1728" w:type="dxa"/>
            <w:tcBorders>
              <w:top w:val="nil"/>
              <w:left w:val="nil"/>
              <w:bottom w:val="nil"/>
              <w:right w:val="nil"/>
            </w:tcBorders>
          </w:tcPr>
          <w:p w14:paraId="0DFB73FF"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3E7900C1" w14:textId="77777777" w:rsidTr="00A5379F">
        <w:tc>
          <w:tcPr>
            <w:tcW w:w="1008" w:type="dxa"/>
            <w:tcBorders>
              <w:top w:val="nil"/>
              <w:left w:val="nil"/>
              <w:bottom w:val="nil"/>
              <w:right w:val="nil"/>
            </w:tcBorders>
          </w:tcPr>
          <w:p w14:paraId="74840F84" w14:textId="77777777" w:rsidR="00724C44" w:rsidRPr="00145F3F" w:rsidRDefault="00724C44" w:rsidP="00145F3F">
            <w:pPr>
              <w:spacing w:after="0" w:line="240" w:lineRule="auto"/>
              <w:jc w:val="both"/>
              <w:rPr>
                <w:sz w:val="22"/>
                <w:szCs w:val="22"/>
              </w:rPr>
            </w:pPr>
            <w:r w:rsidRPr="00145F3F">
              <w:rPr>
                <w:sz w:val="22"/>
                <w:szCs w:val="22"/>
              </w:rPr>
              <w:t>D1.5</w:t>
            </w:r>
          </w:p>
        </w:tc>
        <w:tc>
          <w:tcPr>
            <w:tcW w:w="4752" w:type="dxa"/>
            <w:tcBorders>
              <w:top w:val="nil"/>
              <w:left w:val="nil"/>
              <w:bottom w:val="nil"/>
              <w:right w:val="nil"/>
            </w:tcBorders>
          </w:tcPr>
          <w:p w14:paraId="09544234" w14:textId="77777777" w:rsidR="00724C44" w:rsidRPr="00145F3F" w:rsidRDefault="00724C44" w:rsidP="00145F3F">
            <w:pPr>
              <w:spacing w:after="0" w:line="240" w:lineRule="auto"/>
              <w:jc w:val="both"/>
              <w:rPr>
                <w:sz w:val="22"/>
                <w:szCs w:val="22"/>
              </w:rPr>
            </w:pPr>
            <w:r w:rsidRPr="00145F3F">
              <w:rPr>
                <w:sz w:val="22"/>
                <w:szCs w:val="22"/>
              </w:rPr>
              <w:t>Training and development metrics are reported</w:t>
            </w:r>
          </w:p>
        </w:tc>
        <w:tc>
          <w:tcPr>
            <w:tcW w:w="864" w:type="dxa"/>
            <w:tcBorders>
              <w:top w:val="nil"/>
              <w:left w:val="nil"/>
              <w:bottom w:val="nil"/>
              <w:right w:val="nil"/>
            </w:tcBorders>
          </w:tcPr>
          <w:p w14:paraId="007C8A0E" w14:textId="77777777" w:rsidR="00724C44" w:rsidRPr="00145F3F" w:rsidRDefault="00724C44" w:rsidP="00145F3F">
            <w:pPr>
              <w:spacing w:after="0" w:line="240" w:lineRule="auto"/>
              <w:jc w:val="both"/>
              <w:rPr>
                <w:sz w:val="22"/>
                <w:szCs w:val="22"/>
              </w:rPr>
            </w:pPr>
            <w:r w:rsidRPr="00145F3F">
              <w:rPr>
                <w:sz w:val="22"/>
                <w:szCs w:val="22"/>
              </w:rPr>
              <w:t>2.40</w:t>
            </w:r>
          </w:p>
        </w:tc>
        <w:tc>
          <w:tcPr>
            <w:tcW w:w="864" w:type="dxa"/>
            <w:tcBorders>
              <w:top w:val="nil"/>
              <w:left w:val="nil"/>
              <w:bottom w:val="nil"/>
              <w:right w:val="nil"/>
            </w:tcBorders>
          </w:tcPr>
          <w:p w14:paraId="44C8E14D" w14:textId="77777777" w:rsidR="00724C44" w:rsidRPr="00145F3F" w:rsidRDefault="00724C44" w:rsidP="00145F3F">
            <w:pPr>
              <w:spacing w:after="0" w:line="240" w:lineRule="auto"/>
              <w:jc w:val="both"/>
              <w:rPr>
                <w:sz w:val="22"/>
                <w:szCs w:val="22"/>
              </w:rPr>
            </w:pPr>
            <w:r w:rsidRPr="00145F3F">
              <w:rPr>
                <w:sz w:val="22"/>
                <w:szCs w:val="22"/>
              </w:rPr>
              <w:t>1.31</w:t>
            </w:r>
          </w:p>
        </w:tc>
        <w:tc>
          <w:tcPr>
            <w:tcW w:w="1728" w:type="dxa"/>
            <w:tcBorders>
              <w:top w:val="nil"/>
              <w:left w:val="nil"/>
              <w:bottom w:val="nil"/>
              <w:right w:val="nil"/>
            </w:tcBorders>
          </w:tcPr>
          <w:p w14:paraId="697812E0"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50EE4267" w14:textId="77777777" w:rsidTr="00A5379F">
        <w:tc>
          <w:tcPr>
            <w:tcW w:w="1008" w:type="dxa"/>
            <w:tcBorders>
              <w:top w:val="nil"/>
              <w:left w:val="nil"/>
              <w:bottom w:val="nil"/>
              <w:right w:val="nil"/>
            </w:tcBorders>
          </w:tcPr>
          <w:p w14:paraId="431EBCBC" w14:textId="77777777" w:rsidR="00724C44" w:rsidRPr="00145F3F" w:rsidRDefault="00724C44" w:rsidP="00145F3F">
            <w:pPr>
              <w:spacing w:after="0" w:line="240" w:lineRule="auto"/>
              <w:jc w:val="both"/>
              <w:rPr>
                <w:sz w:val="22"/>
                <w:szCs w:val="22"/>
              </w:rPr>
            </w:pPr>
            <w:r w:rsidRPr="00145F3F">
              <w:rPr>
                <w:sz w:val="22"/>
                <w:szCs w:val="22"/>
              </w:rPr>
              <w:t>D1.6</w:t>
            </w:r>
          </w:p>
        </w:tc>
        <w:tc>
          <w:tcPr>
            <w:tcW w:w="4752" w:type="dxa"/>
            <w:tcBorders>
              <w:top w:val="nil"/>
              <w:left w:val="nil"/>
              <w:bottom w:val="nil"/>
              <w:right w:val="nil"/>
            </w:tcBorders>
          </w:tcPr>
          <w:p w14:paraId="0D3B6339" w14:textId="77777777" w:rsidR="00724C44" w:rsidRPr="00145F3F" w:rsidRDefault="00724C44" w:rsidP="00145F3F">
            <w:pPr>
              <w:spacing w:after="0" w:line="240" w:lineRule="auto"/>
              <w:jc w:val="both"/>
              <w:rPr>
                <w:sz w:val="22"/>
                <w:szCs w:val="22"/>
              </w:rPr>
            </w:pPr>
            <w:r w:rsidRPr="00145F3F">
              <w:rPr>
                <w:sz w:val="22"/>
                <w:szCs w:val="22"/>
              </w:rPr>
              <w:t>Workforce planning information is disclosed</w:t>
            </w:r>
          </w:p>
        </w:tc>
        <w:tc>
          <w:tcPr>
            <w:tcW w:w="864" w:type="dxa"/>
            <w:tcBorders>
              <w:top w:val="nil"/>
              <w:left w:val="nil"/>
              <w:bottom w:val="nil"/>
              <w:right w:val="nil"/>
            </w:tcBorders>
          </w:tcPr>
          <w:p w14:paraId="3A5A3CE7" w14:textId="77777777" w:rsidR="00724C44" w:rsidRPr="00145F3F" w:rsidRDefault="00724C44" w:rsidP="00145F3F">
            <w:pPr>
              <w:spacing w:after="0" w:line="240" w:lineRule="auto"/>
              <w:jc w:val="both"/>
              <w:rPr>
                <w:sz w:val="22"/>
                <w:szCs w:val="22"/>
              </w:rPr>
            </w:pPr>
            <w:r w:rsidRPr="00145F3F">
              <w:rPr>
                <w:sz w:val="22"/>
                <w:szCs w:val="22"/>
              </w:rPr>
              <w:t>2.52</w:t>
            </w:r>
          </w:p>
        </w:tc>
        <w:tc>
          <w:tcPr>
            <w:tcW w:w="864" w:type="dxa"/>
            <w:tcBorders>
              <w:top w:val="nil"/>
              <w:left w:val="nil"/>
              <w:bottom w:val="nil"/>
              <w:right w:val="nil"/>
            </w:tcBorders>
          </w:tcPr>
          <w:p w14:paraId="32DF306D" w14:textId="77777777" w:rsidR="00724C44" w:rsidRPr="00145F3F" w:rsidRDefault="00724C44" w:rsidP="00145F3F">
            <w:pPr>
              <w:spacing w:after="0" w:line="240" w:lineRule="auto"/>
              <w:jc w:val="both"/>
              <w:rPr>
                <w:sz w:val="22"/>
                <w:szCs w:val="22"/>
              </w:rPr>
            </w:pPr>
            <w:r w:rsidRPr="00145F3F">
              <w:rPr>
                <w:sz w:val="22"/>
                <w:szCs w:val="22"/>
              </w:rPr>
              <w:t>1.40</w:t>
            </w:r>
          </w:p>
        </w:tc>
        <w:tc>
          <w:tcPr>
            <w:tcW w:w="1728" w:type="dxa"/>
            <w:tcBorders>
              <w:top w:val="nil"/>
              <w:left w:val="nil"/>
              <w:bottom w:val="nil"/>
              <w:right w:val="nil"/>
            </w:tcBorders>
          </w:tcPr>
          <w:p w14:paraId="37519C84"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4C727998" w14:textId="77777777" w:rsidTr="00A5379F">
        <w:tc>
          <w:tcPr>
            <w:tcW w:w="1008" w:type="dxa"/>
            <w:tcBorders>
              <w:top w:val="nil"/>
              <w:left w:val="nil"/>
              <w:bottom w:val="nil"/>
              <w:right w:val="nil"/>
            </w:tcBorders>
          </w:tcPr>
          <w:p w14:paraId="5F764A13" w14:textId="77777777" w:rsidR="00724C44" w:rsidRPr="00145F3F" w:rsidRDefault="00724C44" w:rsidP="00145F3F">
            <w:pPr>
              <w:spacing w:after="0" w:line="240" w:lineRule="auto"/>
              <w:jc w:val="both"/>
              <w:rPr>
                <w:sz w:val="22"/>
                <w:szCs w:val="22"/>
              </w:rPr>
            </w:pPr>
            <w:r w:rsidRPr="00145F3F">
              <w:rPr>
                <w:sz w:val="22"/>
                <w:szCs w:val="22"/>
              </w:rPr>
              <w:t>D1.7</w:t>
            </w:r>
          </w:p>
        </w:tc>
        <w:tc>
          <w:tcPr>
            <w:tcW w:w="4752" w:type="dxa"/>
            <w:tcBorders>
              <w:top w:val="nil"/>
              <w:left w:val="nil"/>
              <w:bottom w:val="nil"/>
              <w:right w:val="nil"/>
            </w:tcBorders>
          </w:tcPr>
          <w:p w14:paraId="5804A0E1" w14:textId="77777777" w:rsidR="00724C44" w:rsidRPr="00145F3F" w:rsidRDefault="00724C44" w:rsidP="00145F3F">
            <w:pPr>
              <w:spacing w:after="0" w:line="240" w:lineRule="auto"/>
              <w:jc w:val="both"/>
              <w:rPr>
                <w:sz w:val="22"/>
                <w:szCs w:val="22"/>
              </w:rPr>
            </w:pPr>
            <w:r w:rsidRPr="00145F3F">
              <w:rPr>
                <w:sz w:val="22"/>
                <w:szCs w:val="22"/>
              </w:rPr>
              <w:t>Health and safety metrics are reported</w:t>
            </w:r>
          </w:p>
        </w:tc>
        <w:tc>
          <w:tcPr>
            <w:tcW w:w="864" w:type="dxa"/>
            <w:tcBorders>
              <w:top w:val="nil"/>
              <w:left w:val="nil"/>
              <w:bottom w:val="nil"/>
              <w:right w:val="nil"/>
            </w:tcBorders>
          </w:tcPr>
          <w:p w14:paraId="449CB9BF" w14:textId="77777777" w:rsidR="00724C44" w:rsidRPr="00145F3F" w:rsidRDefault="00724C44" w:rsidP="00145F3F">
            <w:pPr>
              <w:spacing w:after="0" w:line="240" w:lineRule="auto"/>
              <w:jc w:val="both"/>
              <w:rPr>
                <w:sz w:val="22"/>
                <w:szCs w:val="22"/>
              </w:rPr>
            </w:pPr>
            <w:r w:rsidRPr="00145F3F">
              <w:rPr>
                <w:sz w:val="22"/>
                <w:szCs w:val="22"/>
              </w:rPr>
              <w:t>2.44</w:t>
            </w:r>
          </w:p>
        </w:tc>
        <w:tc>
          <w:tcPr>
            <w:tcW w:w="864" w:type="dxa"/>
            <w:tcBorders>
              <w:top w:val="nil"/>
              <w:left w:val="nil"/>
              <w:bottom w:val="nil"/>
              <w:right w:val="nil"/>
            </w:tcBorders>
          </w:tcPr>
          <w:p w14:paraId="4B8E9E57" w14:textId="77777777" w:rsidR="00724C44" w:rsidRPr="00145F3F" w:rsidRDefault="00724C44" w:rsidP="00145F3F">
            <w:pPr>
              <w:spacing w:after="0" w:line="240" w:lineRule="auto"/>
              <w:jc w:val="both"/>
              <w:rPr>
                <w:sz w:val="22"/>
                <w:szCs w:val="22"/>
              </w:rPr>
            </w:pPr>
            <w:r w:rsidRPr="00145F3F">
              <w:rPr>
                <w:sz w:val="22"/>
                <w:szCs w:val="22"/>
              </w:rPr>
              <w:t>1.31</w:t>
            </w:r>
          </w:p>
        </w:tc>
        <w:tc>
          <w:tcPr>
            <w:tcW w:w="1728" w:type="dxa"/>
            <w:tcBorders>
              <w:top w:val="nil"/>
              <w:left w:val="nil"/>
              <w:bottom w:val="nil"/>
              <w:right w:val="nil"/>
            </w:tcBorders>
          </w:tcPr>
          <w:p w14:paraId="395D5429"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4102F9C3" w14:textId="77777777" w:rsidTr="00A5379F">
        <w:tc>
          <w:tcPr>
            <w:tcW w:w="1008" w:type="dxa"/>
            <w:tcBorders>
              <w:top w:val="nil"/>
              <w:left w:val="nil"/>
              <w:bottom w:val="nil"/>
              <w:right w:val="nil"/>
            </w:tcBorders>
          </w:tcPr>
          <w:p w14:paraId="5EAF87BF" w14:textId="77777777" w:rsidR="00724C44" w:rsidRPr="00145F3F" w:rsidRDefault="00724C44" w:rsidP="00145F3F">
            <w:pPr>
              <w:spacing w:after="0" w:line="240" w:lineRule="auto"/>
              <w:jc w:val="both"/>
              <w:rPr>
                <w:sz w:val="22"/>
                <w:szCs w:val="22"/>
              </w:rPr>
            </w:pPr>
            <w:r w:rsidRPr="00145F3F">
              <w:rPr>
                <w:sz w:val="22"/>
                <w:szCs w:val="22"/>
              </w:rPr>
              <w:t>D1.8</w:t>
            </w:r>
          </w:p>
        </w:tc>
        <w:tc>
          <w:tcPr>
            <w:tcW w:w="4752" w:type="dxa"/>
            <w:tcBorders>
              <w:top w:val="nil"/>
              <w:left w:val="nil"/>
              <w:bottom w:val="nil"/>
              <w:right w:val="nil"/>
            </w:tcBorders>
          </w:tcPr>
          <w:p w14:paraId="0EF787D3" w14:textId="77777777" w:rsidR="00724C44" w:rsidRPr="00145F3F" w:rsidRDefault="00724C44" w:rsidP="00145F3F">
            <w:pPr>
              <w:spacing w:after="0" w:line="240" w:lineRule="auto"/>
              <w:jc w:val="both"/>
              <w:rPr>
                <w:sz w:val="22"/>
                <w:szCs w:val="22"/>
              </w:rPr>
            </w:pPr>
            <w:r w:rsidRPr="00145F3F">
              <w:rPr>
                <w:sz w:val="22"/>
                <w:szCs w:val="22"/>
              </w:rPr>
              <w:t>Diversity and inclusion data are disclosed</w:t>
            </w:r>
          </w:p>
        </w:tc>
        <w:tc>
          <w:tcPr>
            <w:tcW w:w="864" w:type="dxa"/>
            <w:tcBorders>
              <w:top w:val="nil"/>
              <w:left w:val="nil"/>
              <w:bottom w:val="nil"/>
              <w:right w:val="nil"/>
            </w:tcBorders>
          </w:tcPr>
          <w:p w14:paraId="49227089" w14:textId="77777777" w:rsidR="00724C44" w:rsidRPr="00145F3F" w:rsidRDefault="00724C44" w:rsidP="00145F3F">
            <w:pPr>
              <w:spacing w:after="0" w:line="240" w:lineRule="auto"/>
              <w:jc w:val="both"/>
              <w:rPr>
                <w:sz w:val="22"/>
                <w:szCs w:val="22"/>
              </w:rPr>
            </w:pPr>
            <w:r w:rsidRPr="00145F3F">
              <w:rPr>
                <w:sz w:val="22"/>
                <w:szCs w:val="22"/>
              </w:rPr>
              <w:t>2.46</w:t>
            </w:r>
          </w:p>
        </w:tc>
        <w:tc>
          <w:tcPr>
            <w:tcW w:w="864" w:type="dxa"/>
            <w:tcBorders>
              <w:top w:val="nil"/>
              <w:left w:val="nil"/>
              <w:bottom w:val="nil"/>
              <w:right w:val="nil"/>
            </w:tcBorders>
          </w:tcPr>
          <w:p w14:paraId="49440B2A" w14:textId="77777777" w:rsidR="00724C44" w:rsidRPr="00145F3F" w:rsidRDefault="00724C44" w:rsidP="00145F3F">
            <w:pPr>
              <w:spacing w:after="0" w:line="240" w:lineRule="auto"/>
              <w:jc w:val="both"/>
              <w:rPr>
                <w:sz w:val="22"/>
                <w:szCs w:val="22"/>
              </w:rPr>
            </w:pPr>
            <w:r w:rsidRPr="00145F3F">
              <w:rPr>
                <w:sz w:val="22"/>
                <w:szCs w:val="22"/>
              </w:rPr>
              <w:t>1.32</w:t>
            </w:r>
          </w:p>
        </w:tc>
        <w:tc>
          <w:tcPr>
            <w:tcW w:w="1728" w:type="dxa"/>
            <w:tcBorders>
              <w:top w:val="nil"/>
              <w:left w:val="nil"/>
              <w:bottom w:val="nil"/>
              <w:right w:val="nil"/>
            </w:tcBorders>
          </w:tcPr>
          <w:p w14:paraId="526D2A77"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44BF24CB" w14:textId="77777777" w:rsidTr="00A5379F">
        <w:tc>
          <w:tcPr>
            <w:tcW w:w="1008" w:type="dxa"/>
            <w:tcBorders>
              <w:top w:val="nil"/>
              <w:left w:val="nil"/>
              <w:bottom w:val="nil"/>
              <w:right w:val="nil"/>
            </w:tcBorders>
          </w:tcPr>
          <w:p w14:paraId="2A348236" w14:textId="77777777" w:rsidR="00724C44" w:rsidRPr="00145F3F" w:rsidRDefault="00724C44" w:rsidP="00145F3F">
            <w:pPr>
              <w:spacing w:after="0" w:line="240" w:lineRule="auto"/>
              <w:jc w:val="both"/>
              <w:rPr>
                <w:sz w:val="22"/>
                <w:szCs w:val="22"/>
              </w:rPr>
            </w:pPr>
            <w:r w:rsidRPr="00145F3F">
              <w:rPr>
                <w:sz w:val="22"/>
                <w:szCs w:val="22"/>
              </w:rPr>
              <w:t>D1.9</w:t>
            </w:r>
          </w:p>
        </w:tc>
        <w:tc>
          <w:tcPr>
            <w:tcW w:w="4752" w:type="dxa"/>
            <w:tcBorders>
              <w:top w:val="nil"/>
              <w:left w:val="nil"/>
              <w:bottom w:val="nil"/>
              <w:right w:val="nil"/>
            </w:tcBorders>
          </w:tcPr>
          <w:p w14:paraId="3B741953" w14:textId="77777777" w:rsidR="00724C44" w:rsidRPr="00145F3F" w:rsidRDefault="00724C44" w:rsidP="00145F3F">
            <w:pPr>
              <w:spacing w:after="0" w:line="240" w:lineRule="auto"/>
              <w:jc w:val="both"/>
              <w:rPr>
                <w:sz w:val="22"/>
                <w:szCs w:val="22"/>
              </w:rPr>
            </w:pPr>
            <w:r w:rsidRPr="00145F3F">
              <w:rPr>
                <w:sz w:val="22"/>
                <w:szCs w:val="22"/>
              </w:rPr>
              <w:t>Employee engagement measures are reported</w:t>
            </w:r>
          </w:p>
        </w:tc>
        <w:tc>
          <w:tcPr>
            <w:tcW w:w="864" w:type="dxa"/>
            <w:tcBorders>
              <w:top w:val="nil"/>
              <w:left w:val="nil"/>
              <w:bottom w:val="nil"/>
              <w:right w:val="nil"/>
            </w:tcBorders>
          </w:tcPr>
          <w:p w14:paraId="6FFC5878" w14:textId="77777777" w:rsidR="00724C44" w:rsidRPr="00145F3F" w:rsidRDefault="00724C44" w:rsidP="00145F3F">
            <w:pPr>
              <w:spacing w:after="0" w:line="240" w:lineRule="auto"/>
              <w:jc w:val="both"/>
              <w:rPr>
                <w:sz w:val="22"/>
                <w:szCs w:val="22"/>
              </w:rPr>
            </w:pPr>
            <w:r w:rsidRPr="00145F3F">
              <w:rPr>
                <w:sz w:val="22"/>
                <w:szCs w:val="22"/>
              </w:rPr>
              <w:t>2.40</w:t>
            </w:r>
          </w:p>
        </w:tc>
        <w:tc>
          <w:tcPr>
            <w:tcW w:w="864" w:type="dxa"/>
            <w:tcBorders>
              <w:top w:val="nil"/>
              <w:left w:val="nil"/>
              <w:bottom w:val="nil"/>
              <w:right w:val="nil"/>
            </w:tcBorders>
          </w:tcPr>
          <w:p w14:paraId="3EDAF332" w14:textId="77777777" w:rsidR="00724C44" w:rsidRPr="00145F3F" w:rsidRDefault="00724C44" w:rsidP="00145F3F">
            <w:pPr>
              <w:spacing w:after="0" w:line="240" w:lineRule="auto"/>
              <w:jc w:val="both"/>
              <w:rPr>
                <w:sz w:val="22"/>
                <w:szCs w:val="22"/>
              </w:rPr>
            </w:pPr>
            <w:r w:rsidRPr="00145F3F">
              <w:rPr>
                <w:sz w:val="22"/>
                <w:szCs w:val="22"/>
              </w:rPr>
              <w:t>1.38</w:t>
            </w:r>
          </w:p>
        </w:tc>
        <w:tc>
          <w:tcPr>
            <w:tcW w:w="1728" w:type="dxa"/>
            <w:tcBorders>
              <w:top w:val="nil"/>
              <w:left w:val="nil"/>
              <w:bottom w:val="nil"/>
              <w:right w:val="nil"/>
            </w:tcBorders>
          </w:tcPr>
          <w:p w14:paraId="70B0ABE3"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48F19C39" w14:textId="77777777" w:rsidTr="00A5379F">
        <w:tc>
          <w:tcPr>
            <w:tcW w:w="1008" w:type="dxa"/>
            <w:tcBorders>
              <w:top w:val="nil"/>
              <w:left w:val="nil"/>
              <w:bottom w:val="single" w:sz="4" w:space="0" w:color="000000"/>
              <w:right w:val="nil"/>
            </w:tcBorders>
          </w:tcPr>
          <w:p w14:paraId="73F34700" w14:textId="77777777" w:rsidR="00724C44" w:rsidRPr="00145F3F" w:rsidRDefault="00724C44" w:rsidP="00145F3F">
            <w:pPr>
              <w:spacing w:after="0" w:line="240" w:lineRule="auto"/>
              <w:jc w:val="both"/>
              <w:rPr>
                <w:sz w:val="22"/>
                <w:szCs w:val="22"/>
              </w:rPr>
            </w:pPr>
          </w:p>
        </w:tc>
        <w:tc>
          <w:tcPr>
            <w:tcW w:w="4752" w:type="dxa"/>
            <w:tcBorders>
              <w:top w:val="nil"/>
              <w:left w:val="nil"/>
              <w:bottom w:val="single" w:sz="4" w:space="0" w:color="000000"/>
              <w:right w:val="nil"/>
            </w:tcBorders>
          </w:tcPr>
          <w:p w14:paraId="56F7C13C" w14:textId="77777777" w:rsidR="00724C44" w:rsidRPr="00145F3F" w:rsidRDefault="00724C44" w:rsidP="00145F3F">
            <w:pPr>
              <w:spacing w:after="0" w:line="240" w:lineRule="auto"/>
              <w:jc w:val="both"/>
              <w:rPr>
                <w:sz w:val="22"/>
                <w:szCs w:val="22"/>
              </w:rPr>
            </w:pPr>
            <w:r w:rsidRPr="00145F3F">
              <w:rPr>
                <w:sz w:val="22"/>
                <w:szCs w:val="22"/>
              </w:rPr>
              <w:t>Construct Mean (D1)</w:t>
            </w:r>
          </w:p>
        </w:tc>
        <w:tc>
          <w:tcPr>
            <w:tcW w:w="864" w:type="dxa"/>
            <w:tcBorders>
              <w:top w:val="nil"/>
              <w:left w:val="nil"/>
              <w:bottom w:val="single" w:sz="4" w:space="0" w:color="000000"/>
              <w:right w:val="nil"/>
            </w:tcBorders>
          </w:tcPr>
          <w:p w14:paraId="79BD0CE9" w14:textId="77777777" w:rsidR="00724C44" w:rsidRPr="00145F3F" w:rsidRDefault="00724C44" w:rsidP="00145F3F">
            <w:pPr>
              <w:spacing w:after="0" w:line="240" w:lineRule="auto"/>
              <w:jc w:val="both"/>
              <w:rPr>
                <w:sz w:val="22"/>
                <w:szCs w:val="22"/>
              </w:rPr>
            </w:pPr>
            <w:r w:rsidRPr="00145F3F">
              <w:rPr>
                <w:sz w:val="22"/>
                <w:szCs w:val="22"/>
              </w:rPr>
              <w:t>2.51</w:t>
            </w:r>
          </w:p>
        </w:tc>
        <w:tc>
          <w:tcPr>
            <w:tcW w:w="864" w:type="dxa"/>
            <w:tcBorders>
              <w:top w:val="nil"/>
              <w:left w:val="nil"/>
              <w:bottom w:val="single" w:sz="4" w:space="0" w:color="000000"/>
              <w:right w:val="nil"/>
            </w:tcBorders>
          </w:tcPr>
          <w:p w14:paraId="64A538FC" w14:textId="77777777" w:rsidR="00724C44" w:rsidRPr="00145F3F" w:rsidRDefault="00724C44" w:rsidP="00145F3F">
            <w:pPr>
              <w:spacing w:after="0" w:line="240" w:lineRule="auto"/>
              <w:jc w:val="both"/>
              <w:rPr>
                <w:sz w:val="22"/>
                <w:szCs w:val="22"/>
              </w:rPr>
            </w:pPr>
            <w:r w:rsidRPr="00145F3F">
              <w:rPr>
                <w:sz w:val="22"/>
                <w:szCs w:val="22"/>
              </w:rPr>
              <w:t>0.46</w:t>
            </w:r>
          </w:p>
        </w:tc>
        <w:tc>
          <w:tcPr>
            <w:tcW w:w="1728" w:type="dxa"/>
            <w:tcBorders>
              <w:top w:val="nil"/>
              <w:left w:val="nil"/>
              <w:bottom w:val="single" w:sz="4" w:space="0" w:color="000000"/>
              <w:right w:val="nil"/>
            </w:tcBorders>
          </w:tcPr>
          <w:p w14:paraId="3187FC95" w14:textId="77777777" w:rsidR="00724C44" w:rsidRPr="00145F3F" w:rsidRDefault="00724C44" w:rsidP="00145F3F">
            <w:pPr>
              <w:spacing w:after="0" w:line="240" w:lineRule="auto"/>
              <w:jc w:val="both"/>
              <w:rPr>
                <w:sz w:val="22"/>
                <w:szCs w:val="22"/>
              </w:rPr>
            </w:pPr>
            <w:r w:rsidRPr="00145F3F">
              <w:rPr>
                <w:sz w:val="22"/>
                <w:szCs w:val="22"/>
              </w:rPr>
              <w:t>Low</w:t>
            </w:r>
          </w:p>
        </w:tc>
      </w:tr>
    </w:tbl>
    <w:p w14:paraId="7803041B"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26C17200" w14:textId="77777777" w:rsidR="00724C44" w:rsidRPr="00724C44" w:rsidRDefault="00724C44" w:rsidP="00724C44">
      <w:pPr>
        <w:spacing w:line="240" w:lineRule="auto"/>
        <w:jc w:val="both"/>
      </w:pPr>
      <w:r w:rsidRPr="00724C44">
        <w:t xml:space="preserve">Disclosure completeness shows low levels across all items (M = 2.51). Basic employee numbers (D1.1) and composition breakdowns (D1.2) show the highest (though still low) scores, while employee engagement measures (D1.9), diversity data (D1.8), and workforce planning </w:t>
      </w:r>
      <w:r w:rsidRPr="00724C44">
        <w:lastRenderedPageBreak/>
        <w:t>information (D1.6) demonstrate particularly weak disclosure. These findings indicate that comprehensive human capital reporting remains underdeveloped among manufacturing organizations.</w:t>
      </w:r>
    </w:p>
    <w:p w14:paraId="663F3CF2" w14:textId="77777777" w:rsidR="00724C44" w:rsidRPr="00724C44" w:rsidRDefault="00724C44" w:rsidP="00724C44">
      <w:pPr>
        <w:spacing w:line="240" w:lineRule="auto"/>
        <w:jc w:val="both"/>
      </w:pPr>
      <w:r w:rsidRPr="00724C44">
        <w:rPr>
          <w:b/>
        </w:rPr>
        <w:t>4.6.2 Disclosure Accuracy (D2)</w:t>
      </w:r>
    </w:p>
    <w:p w14:paraId="2311ECAD" w14:textId="77777777" w:rsidR="00724C44" w:rsidRPr="00724C44" w:rsidRDefault="00724C44" w:rsidP="00724C44">
      <w:pPr>
        <w:spacing w:line="240" w:lineRule="auto"/>
        <w:jc w:val="both"/>
      </w:pPr>
      <w:r w:rsidRPr="00724C44">
        <w:t>Accuracy measures the reliability, verification, and methodological rigor of disclosed human capital information. Table 4.16 presents the descriptive statistics for these five items.</w:t>
      </w:r>
    </w:p>
    <w:p w14:paraId="01B17DBF" w14:textId="77777777" w:rsidR="00724C44" w:rsidRPr="00724C44" w:rsidRDefault="00724C44" w:rsidP="00724C44">
      <w:pPr>
        <w:spacing w:line="240" w:lineRule="auto"/>
        <w:jc w:val="both"/>
      </w:pPr>
      <w:r w:rsidRPr="00724C44">
        <w:rPr>
          <w:b/>
        </w:rPr>
        <w:t>Table 4.16</w:t>
      </w:r>
    </w:p>
    <w:p w14:paraId="1131B426" w14:textId="77777777" w:rsidR="00724C44" w:rsidRPr="00724C44" w:rsidRDefault="00724C44" w:rsidP="00724C44">
      <w:pPr>
        <w:spacing w:line="240" w:lineRule="auto"/>
        <w:jc w:val="both"/>
      </w:pPr>
      <w:r w:rsidRPr="00724C44">
        <w:rPr>
          <w:i/>
        </w:rPr>
        <w:t>Disclosure Accuracy – Descriptive Statistics (n = 400)</w:t>
      </w:r>
    </w:p>
    <w:tbl>
      <w:tblPr>
        <w:tblW w:w="0" w:type="auto"/>
        <w:tblLayout w:type="fixed"/>
        <w:tblLook w:val="04A0" w:firstRow="1" w:lastRow="0" w:firstColumn="1" w:lastColumn="0" w:noHBand="0" w:noVBand="1"/>
      </w:tblPr>
      <w:tblGrid>
        <w:gridCol w:w="1008"/>
        <w:gridCol w:w="4752"/>
        <w:gridCol w:w="864"/>
        <w:gridCol w:w="864"/>
        <w:gridCol w:w="1728"/>
      </w:tblGrid>
      <w:tr w:rsidR="00724C44" w:rsidRPr="00724C44" w14:paraId="65ABE733" w14:textId="77777777" w:rsidTr="00A5379F">
        <w:tc>
          <w:tcPr>
            <w:tcW w:w="1008" w:type="dxa"/>
            <w:tcBorders>
              <w:top w:val="single" w:sz="4" w:space="0" w:color="000000"/>
              <w:left w:val="nil"/>
              <w:bottom w:val="single" w:sz="4" w:space="0" w:color="000000"/>
              <w:right w:val="nil"/>
            </w:tcBorders>
          </w:tcPr>
          <w:p w14:paraId="3AD8CC48" w14:textId="77777777" w:rsidR="00724C44" w:rsidRPr="00145F3F" w:rsidRDefault="00724C44" w:rsidP="00145F3F">
            <w:pPr>
              <w:spacing w:after="0" w:line="240" w:lineRule="auto"/>
              <w:jc w:val="both"/>
              <w:rPr>
                <w:sz w:val="22"/>
                <w:szCs w:val="22"/>
              </w:rPr>
            </w:pPr>
            <w:r w:rsidRPr="00145F3F">
              <w:rPr>
                <w:b/>
                <w:sz w:val="22"/>
                <w:szCs w:val="22"/>
              </w:rPr>
              <w:t>Item</w:t>
            </w:r>
          </w:p>
        </w:tc>
        <w:tc>
          <w:tcPr>
            <w:tcW w:w="4752" w:type="dxa"/>
            <w:tcBorders>
              <w:top w:val="single" w:sz="4" w:space="0" w:color="000000"/>
              <w:left w:val="nil"/>
              <w:bottom w:val="single" w:sz="4" w:space="0" w:color="000000"/>
              <w:right w:val="nil"/>
            </w:tcBorders>
          </w:tcPr>
          <w:p w14:paraId="2A21B2A9"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64" w:type="dxa"/>
            <w:tcBorders>
              <w:top w:val="single" w:sz="4" w:space="0" w:color="000000"/>
              <w:left w:val="nil"/>
              <w:bottom w:val="single" w:sz="4" w:space="0" w:color="000000"/>
              <w:right w:val="nil"/>
            </w:tcBorders>
          </w:tcPr>
          <w:p w14:paraId="69CFC254" w14:textId="77777777" w:rsidR="00724C44" w:rsidRPr="00145F3F" w:rsidRDefault="00724C44" w:rsidP="00145F3F">
            <w:pPr>
              <w:spacing w:after="0" w:line="240" w:lineRule="auto"/>
              <w:jc w:val="both"/>
              <w:rPr>
                <w:sz w:val="22"/>
                <w:szCs w:val="22"/>
              </w:rPr>
            </w:pPr>
            <w:r w:rsidRPr="00145F3F">
              <w:rPr>
                <w:b/>
                <w:sz w:val="22"/>
                <w:szCs w:val="22"/>
              </w:rPr>
              <w:t>M</w:t>
            </w:r>
          </w:p>
        </w:tc>
        <w:tc>
          <w:tcPr>
            <w:tcW w:w="864" w:type="dxa"/>
            <w:tcBorders>
              <w:top w:val="single" w:sz="4" w:space="0" w:color="000000"/>
              <w:left w:val="nil"/>
              <w:bottom w:val="single" w:sz="4" w:space="0" w:color="000000"/>
              <w:right w:val="nil"/>
            </w:tcBorders>
          </w:tcPr>
          <w:p w14:paraId="625EEE8D" w14:textId="77777777" w:rsidR="00724C44" w:rsidRPr="00145F3F" w:rsidRDefault="00724C44" w:rsidP="00145F3F">
            <w:pPr>
              <w:spacing w:after="0" w:line="240" w:lineRule="auto"/>
              <w:jc w:val="both"/>
              <w:rPr>
                <w:sz w:val="22"/>
                <w:szCs w:val="22"/>
              </w:rPr>
            </w:pPr>
            <w:r w:rsidRPr="00145F3F">
              <w:rPr>
                <w:b/>
                <w:sz w:val="22"/>
                <w:szCs w:val="22"/>
              </w:rPr>
              <w:t>SD</w:t>
            </w:r>
          </w:p>
        </w:tc>
        <w:tc>
          <w:tcPr>
            <w:tcW w:w="1728" w:type="dxa"/>
            <w:tcBorders>
              <w:top w:val="single" w:sz="4" w:space="0" w:color="000000"/>
              <w:left w:val="nil"/>
              <w:bottom w:val="single" w:sz="4" w:space="0" w:color="000000"/>
              <w:right w:val="nil"/>
            </w:tcBorders>
          </w:tcPr>
          <w:p w14:paraId="6EF26F7C"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7CD4773C" w14:textId="77777777" w:rsidTr="00A5379F">
        <w:tc>
          <w:tcPr>
            <w:tcW w:w="1008" w:type="dxa"/>
            <w:tcBorders>
              <w:top w:val="nil"/>
              <w:left w:val="nil"/>
              <w:bottom w:val="nil"/>
              <w:right w:val="nil"/>
            </w:tcBorders>
          </w:tcPr>
          <w:p w14:paraId="0ED172D0" w14:textId="77777777" w:rsidR="00724C44" w:rsidRPr="00145F3F" w:rsidRDefault="00724C44" w:rsidP="00145F3F">
            <w:pPr>
              <w:spacing w:after="0" w:line="240" w:lineRule="auto"/>
              <w:jc w:val="both"/>
              <w:rPr>
                <w:sz w:val="22"/>
                <w:szCs w:val="22"/>
              </w:rPr>
            </w:pPr>
            <w:r w:rsidRPr="00145F3F">
              <w:rPr>
                <w:sz w:val="22"/>
                <w:szCs w:val="22"/>
              </w:rPr>
              <w:t>D2.1</w:t>
            </w:r>
          </w:p>
        </w:tc>
        <w:tc>
          <w:tcPr>
            <w:tcW w:w="4752" w:type="dxa"/>
            <w:tcBorders>
              <w:top w:val="nil"/>
              <w:left w:val="nil"/>
              <w:bottom w:val="nil"/>
              <w:right w:val="nil"/>
            </w:tcBorders>
          </w:tcPr>
          <w:p w14:paraId="142E3C87" w14:textId="77777777" w:rsidR="00724C44" w:rsidRPr="00145F3F" w:rsidRDefault="00724C44" w:rsidP="00145F3F">
            <w:pPr>
              <w:spacing w:after="0" w:line="240" w:lineRule="auto"/>
              <w:jc w:val="both"/>
              <w:rPr>
                <w:sz w:val="22"/>
                <w:szCs w:val="22"/>
              </w:rPr>
            </w:pPr>
            <w:r w:rsidRPr="00145F3F">
              <w:rPr>
                <w:sz w:val="22"/>
                <w:szCs w:val="22"/>
              </w:rPr>
              <w:t>Independent parties verify human capital data</w:t>
            </w:r>
          </w:p>
        </w:tc>
        <w:tc>
          <w:tcPr>
            <w:tcW w:w="864" w:type="dxa"/>
            <w:tcBorders>
              <w:top w:val="nil"/>
              <w:left w:val="nil"/>
              <w:bottom w:val="nil"/>
              <w:right w:val="nil"/>
            </w:tcBorders>
          </w:tcPr>
          <w:p w14:paraId="4CD4CBE7" w14:textId="77777777" w:rsidR="00724C44" w:rsidRPr="00145F3F" w:rsidRDefault="00724C44" w:rsidP="00145F3F">
            <w:pPr>
              <w:spacing w:after="0" w:line="240" w:lineRule="auto"/>
              <w:jc w:val="both"/>
              <w:rPr>
                <w:sz w:val="22"/>
                <w:szCs w:val="22"/>
              </w:rPr>
            </w:pPr>
            <w:r w:rsidRPr="00145F3F">
              <w:rPr>
                <w:sz w:val="22"/>
                <w:szCs w:val="22"/>
              </w:rPr>
              <w:t>2.68</w:t>
            </w:r>
          </w:p>
        </w:tc>
        <w:tc>
          <w:tcPr>
            <w:tcW w:w="864" w:type="dxa"/>
            <w:tcBorders>
              <w:top w:val="nil"/>
              <w:left w:val="nil"/>
              <w:bottom w:val="nil"/>
              <w:right w:val="nil"/>
            </w:tcBorders>
          </w:tcPr>
          <w:p w14:paraId="1A9F33FD" w14:textId="77777777" w:rsidR="00724C44" w:rsidRPr="00145F3F" w:rsidRDefault="00724C44" w:rsidP="00145F3F">
            <w:pPr>
              <w:spacing w:after="0" w:line="240" w:lineRule="auto"/>
              <w:jc w:val="both"/>
              <w:rPr>
                <w:sz w:val="22"/>
                <w:szCs w:val="22"/>
              </w:rPr>
            </w:pPr>
            <w:r w:rsidRPr="00145F3F">
              <w:rPr>
                <w:sz w:val="22"/>
                <w:szCs w:val="22"/>
              </w:rPr>
              <w:t>1.40</w:t>
            </w:r>
          </w:p>
        </w:tc>
        <w:tc>
          <w:tcPr>
            <w:tcW w:w="1728" w:type="dxa"/>
            <w:tcBorders>
              <w:top w:val="nil"/>
              <w:left w:val="nil"/>
              <w:bottom w:val="nil"/>
              <w:right w:val="nil"/>
            </w:tcBorders>
          </w:tcPr>
          <w:p w14:paraId="689A26EE"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0E57953B" w14:textId="77777777" w:rsidTr="00A5379F">
        <w:tc>
          <w:tcPr>
            <w:tcW w:w="1008" w:type="dxa"/>
            <w:tcBorders>
              <w:top w:val="nil"/>
              <w:left w:val="nil"/>
              <w:bottom w:val="nil"/>
              <w:right w:val="nil"/>
            </w:tcBorders>
          </w:tcPr>
          <w:p w14:paraId="7DEF45E2" w14:textId="77777777" w:rsidR="00724C44" w:rsidRPr="00145F3F" w:rsidRDefault="00724C44" w:rsidP="00145F3F">
            <w:pPr>
              <w:spacing w:after="0" w:line="240" w:lineRule="auto"/>
              <w:jc w:val="both"/>
              <w:rPr>
                <w:sz w:val="22"/>
                <w:szCs w:val="22"/>
              </w:rPr>
            </w:pPr>
            <w:r w:rsidRPr="00145F3F">
              <w:rPr>
                <w:sz w:val="22"/>
                <w:szCs w:val="22"/>
              </w:rPr>
              <w:t>D2.2</w:t>
            </w:r>
          </w:p>
        </w:tc>
        <w:tc>
          <w:tcPr>
            <w:tcW w:w="4752" w:type="dxa"/>
            <w:tcBorders>
              <w:top w:val="nil"/>
              <w:left w:val="nil"/>
              <w:bottom w:val="nil"/>
              <w:right w:val="nil"/>
            </w:tcBorders>
          </w:tcPr>
          <w:p w14:paraId="5F58F080" w14:textId="77777777" w:rsidR="00724C44" w:rsidRPr="00145F3F" w:rsidRDefault="00724C44" w:rsidP="00145F3F">
            <w:pPr>
              <w:spacing w:after="0" w:line="240" w:lineRule="auto"/>
              <w:jc w:val="both"/>
              <w:rPr>
                <w:sz w:val="22"/>
                <w:szCs w:val="22"/>
              </w:rPr>
            </w:pPr>
            <w:r w:rsidRPr="00145F3F">
              <w:rPr>
                <w:sz w:val="22"/>
                <w:szCs w:val="22"/>
              </w:rPr>
              <w:t>Clear methodology for HC metrics is described</w:t>
            </w:r>
          </w:p>
        </w:tc>
        <w:tc>
          <w:tcPr>
            <w:tcW w:w="864" w:type="dxa"/>
            <w:tcBorders>
              <w:top w:val="nil"/>
              <w:left w:val="nil"/>
              <w:bottom w:val="nil"/>
              <w:right w:val="nil"/>
            </w:tcBorders>
          </w:tcPr>
          <w:p w14:paraId="720F5303" w14:textId="77777777" w:rsidR="00724C44" w:rsidRPr="00145F3F" w:rsidRDefault="00724C44" w:rsidP="00145F3F">
            <w:pPr>
              <w:spacing w:after="0" w:line="240" w:lineRule="auto"/>
              <w:jc w:val="both"/>
              <w:rPr>
                <w:sz w:val="22"/>
                <w:szCs w:val="22"/>
              </w:rPr>
            </w:pPr>
            <w:r w:rsidRPr="00145F3F">
              <w:rPr>
                <w:sz w:val="22"/>
                <w:szCs w:val="22"/>
              </w:rPr>
              <w:t>2.46</w:t>
            </w:r>
          </w:p>
        </w:tc>
        <w:tc>
          <w:tcPr>
            <w:tcW w:w="864" w:type="dxa"/>
            <w:tcBorders>
              <w:top w:val="nil"/>
              <w:left w:val="nil"/>
              <w:bottom w:val="nil"/>
              <w:right w:val="nil"/>
            </w:tcBorders>
          </w:tcPr>
          <w:p w14:paraId="50F0853D" w14:textId="77777777" w:rsidR="00724C44" w:rsidRPr="00145F3F" w:rsidRDefault="00724C44" w:rsidP="00145F3F">
            <w:pPr>
              <w:spacing w:after="0" w:line="240" w:lineRule="auto"/>
              <w:jc w:val="both"/>
              <w:rPr>
                <w:sz w:val="22"/>
                <w:szCs w:val="22"/>
              </w:rPr>
            </w:pPr>
            <w:r w:rsidRPr="00145F3F">
              <w:rPr>
                <w:sz w:val="22"/>
                <w:szCs w:val="22"/>
              </w:rPr>
              <w:t>1.40</w:t>
            </w:r>
          </w:p>
        </w:tc>
        <w:tc>
          <w:tcPr>
            <w:tcW w:w="1728" w:type="dxa"/>
            <w:tcBorders>
              <w:top w:val="nil"/>
              <w:left w:val="nil"/>
              <w:bottom w:val="nil"/>
              <w:right w:val="nil"/>
            </w:tcBorders>
          </w:tcPr>
          <w:p w14:paraId="36344569"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8CAF210" w14:textId="77777777" w:rsidTr="00A5379F">
        <w:tc>
          <w:tcPr>
            <w:tcW w:w="1008" w:type="dxa"/>
            <w:tcBorders>
              <w:top w:val="nil"/>
              <w:left w:val="nil"/>
              <w:bottom w:val="nil"/>
              <w:right w:val="nil"/>
            </w:tcBorders>
          </w:tcPr>
          <w:p w14:paraId="5104A1DE" w14:textId="77777777" w:rsidR="00724C44" w:rsidRPr="00145F3F" w:rsidRDefault="00724C44" w:rsidP="00145F3F">
            <w:pPr>
              <w:spacing w:after="0" w:line="240" w:lineRule="auto"/>
              <w:jc w:val="both"/>
              <w:rPr>
                <w:sz w:val="22"/>
                <w:szCs w:val="22"/>
              </w:rPr>
            </w:pPr>
            <w:r w:rsidRPr="00145F3F">
              <w:rPr>
                <w:sz w:val="22"/>
                <w:szCs w:val="22"/>
              </w:rPr>
              <w:t>D2.3</w:t>
            </w:r>
          </w:p>
        </w:tc>
        <w:tc>
          <w:tcPr>
            <w:tcW w:w="4752" w:type="dxa"/>
            <w:tcBorders>
              <w:top w:val="nil"/>
              <w:left w:val="nil"/>
              <w:bottom w:val="nil"/>
              <w:right w:val="nil"/>
            </w:tcBorders>
          </w:tcPr>
          <w:p w14:paraId="39C2ACA6" w14:textId="77777777" w:rsidR="00724C44" w:rsidRPr="00145F3F" w:rsidRDefault="00724C44" w:rsidP="00145F3F">
            <w:pPr>
              <w:spacing w:after="0" w:line="240" w:lineRule="auto"/>
              <w:jc w:val="both"/>
              <w:rPr>
                <w:sz w:val="22"/>
                <w:szCs w:val="22"/>
              </w:rPr>
            </w:pPr>
            <w:r w:rsidRPr="00145F3F">
              <w:rPr>
                <w:sz w:val="22"/>
                <w:szCs w:val="22"/>
              </w:rPr>
              <w:t>Consistent measurement approaches are used</w:t>
            </w:r>
          </w:p>
        </w:tc>
        <w:tc>
          <w:tcPr>
            <w:tcW w:w="864" w:type="dxa"/>
            <w:tcBorders>
              <w:top w:val="nil"/>
              <w:left w:val="nil"/>
              <w:bottom w:val="nil"/>
              <w:right w:val="nil"/>
            </w:tcBorders>
          </w:tcPr>
          <w:p w14:paraId="7C661E77" w14:textId="77777777" w:rsidR="00724C44" w:rsidRPr="00145F3F" w:rsidRDefault="00724C44" w:rsidP="00145F3F">
            <w:pPr>
              <w:spacing w:after="0" w:line="240" w:lineRule="auto"/>
              <w:jc w:val="both"/>
              <w:rPr>
                <w:sz w:val="22"/>
                <w:szCs w:val="22"/>
              </w:rPr>
            </w:pPr>
            <w:r w:rsidRPr="00145F3F">
              <w:rPr>
                <w:sz w:val="22"/>
                <w:szCs w:val="22"/>
              </w:rPr>
              <w:t>2.70</w:t>
            </w:r>
          </w:p>
        </w:tc>
        <w:tc>
          <w:tcPr>
            <w:tcW w:w="864" w:type="dxa"/>
            <w:tcBorders>
              <w:top w:val="nil"/>
              <w:left w:val="nil"/>
              <w:bottom w:val="nil"/>
              <w:right w:val="nil"/>
            </w:tcBorders>
          </w:tcPr>
          <w:p w14:paraId="74ABA3FA" w14:textId="77777777" w:rsidR="00724C44" w:rsidRPr="00145F3F" w:rsidRDefault="00724C44" w:rsidP="00145F3F">
            <w:pPr>
              <w:spacing w:after="0" w:line="240" w:lineRule="auto"/>
              <w:jc w:val="both"/>
              <w:rPr>
                <w:sz w:val="22"/>
                <w:szCs w:val="22"/>
              </w:rPr>
            </w:pPr>
            <w:r w:rsidRPr="00145F3F">
              <w:rPr>
                <w:sz w:val="22"/>
                <w:szCs w:val="22"/>
              </w:rPr>
              <w:t>1.59</w:t>
            </w:r>
          </w:p>
        </w:tc>
        <w:tc>
          <w:tcPr>
            <w:tcW w:w="1728" w:type="dxa"/>
            <w:tcBorders>
              <w:top w:val="nil"/>
              <w:left w:val="nil"/>
              <w:bottom w:val="nil"/>
              <w:right w:val="nil"/>
            </w:tcBorders>
          </w:tcPr>
          <w:p w14:paraId="77BEAB9F"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5ECDB36B" w14:textId="77777777" w:rsidTr="00A5379F">
        <w:tc>
          <w:tcPr>
            <w:tcW w:w="1008" w:type="dxa"/>
            <w:tcBorders>
              <w:top w:val="nil"/>
              <w:left w:val="nil"/>
              <w:bottom w:val="nil"/>
              <w:right w:val="nil"/>
            </w:tcBorders>
          </w:tcPr>
          <w:p w14:paraId="4CB54107" w14:textId="77777777" w:rsidR="00724C44" w:rsidRPr="00145F3F" w:rsidRDefault="00724C44" w:rsidP="00145F3F">
            <w:pPr>
              <w:spacing w:after="0" w:line="240" w:lineRule="auto"/>
              <w:jc w:val="both"/>
              <w:rPr>
                <w:sz w:val="22"/>
                <w:szCs w:val="22"/>
              </w:rPr>
            </w:pPr>
            <w:r w:rsidRPr="00145F3F">
              <w:rPr>
                <w:sz w:val="22"/>
                <w:szCs w:val="22"/>
              </w:rPr>
              <w:t>D2.4</w:t>
            </w:r>
          </w:p>
        </w:tc>
        <w:tc>
          <w:tcPr>
            <w:tcW w:w="4752" w:type="dxa"/>
            <w:tcBorders>
              <w:top w:val="nil"/>
              <w:left w:val="nil"/>
              <w:bottom w:val="nil"/>
              <w:right w:val="nil"/>
            </w:tcBorders>
          </w:tcPr>
          <w:p w14:paraId="608C94FD" w14:textId="77777777" w:rsidR="00724C44" w:rsidRPr="00145F3F" w:rsidRDefault="00724C44" w:rsidP="00145F3F">
            <w:pPr>
              <w:spacing w:after="0" w:line="240" w:lineRule="auto"/>
              <w:jc w:val="both"/>
              <w:rPr>
                <w:sz w:val="22"/>
                <w:szCs w:val="22"/>
              </w:rPr>
            </w:pPr>
            <w:r w:rsidRPr="00145F3F">
              <w:rPr>
                <w:sz w:val="22"/>
                <w:szCs w:val="22"/>
              </w:rPr>
              <w:t>Error correction processes are in place</w:t>
            </w:r>
          </w:p>
        </w:tc>
        <w:tc>
          <w:tcPr>
            <w:tcW w:w="864" w:type="dxa"/>
            <w:tcBorders>
              <w:top w:val="nil"/>
              <w:left w:val="nil"/>
              <w:bottom w:val="nil"/>
              <w:right w:val="nil"/>
            </w:tcBorders>
          </w:tcPr>
          <w:p w14:paraId="0C3C99E3" w14:textId="77777777" w:rsidR="00724C44" w:rsidRPr="00145F3F" w:rsidRDefault="00724C44" w:rsidP="00145F3F">
            <w:pPr>
              <w:spacing w:after="0" w:line="240" w:lineRule="auto"/>
              <w:jc w:val="both"/>
              <w:rPr>
                <w:sz w:val="22"/>
                <w:szCs w:val="22"/>
              </w:rPr>
            </w:pPr>
            <w:r w:rsidRPr="00145F3F">
              <w:rPr>
                <w:sz w:val="22"/>
                <w:szCs w:val="22"/>
              </w:rPr>
              <w:t>2.48</w:t>
            </w:r>
          </w:p>
        </w:tc>
        <w:tc>
          <w:tcPr>
            <w:tcW w:w="864" w:type="dxa"/>
            <w:tcBorders>
              <w:top w:val="nil"/>
              <w:left w:val="nil"/>
              <w:bottom w:val="nil"/>
              <w:right w:val="nil"/>
            </w:tcBorders>
          </w:tcPr>
          <w:p w14:paraId="0BE84321" w14:textId="77777777" w:rsidR="00724C44" w:rsidRPr="00145F3F" w:rsidRDefault="00724C44" w:rsidP="00145F3F">
            <w:pPr>
              <w:spacing w:after="0" w:line="240" w:lineRule="auto"/>
              <w:jc w:val="both"/>
              <w:rPr>
                <w:sz w:val="22"/>
                <w:szCs w:val="22"/>
              </w:rPr>
            </w:pPr>
            <w:r w:rsidRPr="00145F3F">
              <w:rPr>
                <w:sz w:val="22"/>
                <w:szCs w:val="22"/>
              </w:rPr>
              <w:t>1.40</w:t>
            </w:r>
          </w:p>
        </w:tc>
        <w:tc>
          <w:tcPr>
            <w:tcW w:w="1728" w:type="dxa"/>
            <w:tcBorders>
              <w:top w:val="nil"/>
              <w:left w:val="nil"/>
              <w:bottom w:val="nil"/>
              <w:right w:val="nil"/>
            </w:tcBorders>
          </w:tcPr>
          <w:p w14:paraId="6863FC2A"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353A837" w14:textId="77777777" w:rsidTr="00A5379F">
        <w:tc>
          <w:tcPr>
            <w:tcW w:w="1008" w:type="dxa"/>
            <w:tcBorders>
              <w:top w:val="nil"/>
              <w:left w:val="nil"/>
              <w:bottom w:val="nil"/>
              <w:right w:val="nil"/>
            </w:tcBorders>
          </w:tcPr>
          <w:p w14:paraId="1468F9BF" w14:textId="77777777" w:rsidR="00724C44" w:rsidRPr="00145F3F" w:rsidRDefault="00724C44" w:rsidP="00145F3F">
            <w:pPr>
              <w:spacing w:after="0" w:line="240" w:lineRule="auto"/>
              <w:jc w:val="both"/>
              <w:rPr>
                <w:sz w:val="22"/>
                <w:szCs w:val="22"/>
              </w:rPr>
            </w:pPr>
            <w:r w:rsidRPr="00145F3F">
              <w:rPr>
                <w:sz w:val="22"/>
                <w:szCs w:val="22"/>
              </w:rPr>
              <w:t>D2.5</w:t>
            </w:r>
          </w:p>
        </w:tc>
        <w:tc>
          <w:tcPr>
            <w:tcW w:w="4752" w:type="dxa"/>
            <w:tcBorders>
              <w:top w:val="nil"/>
              <w:left w:val="nil"/>
              <w:bottom w:val="nil"/>
              <w:right w:val="nil"/>
            </w:tcBorders>
          </w:tcPr>
          <w:p w14:paraId="1A41E11E" w14:textId="77777777" w:rsidR="00724C44" w:rsidRPr="00145F3F" w:rsidRDefault="00724C44" w:rsidP="00145F3F">
            <w:pPr>
              <w:spacing w:after="0" w:line="240" w:lineRule="auto"/>
              <w:jc w:val="both"/>
              <w:rPr>
                <w:sz w:val="22"/>
                <w:szCs w:val="22"/>
              </w:rPr>
            </w:pPr>
            <w:r w:rsidRPr="00145F3F">
              <w:rPr>
                <w:sz w:val="22"/>
                <w:szCs w:val="22"/>
              </w:rPr>
              <w:t>Audit trail exists for human capital data</w:t>
            </w:r>
          </w:p>
        </w:tc>
        <w:tc>
          <w:tcPr>
            <w:tcW w:w="864" w:type="dxa"/>
            <w:tcBorders>
              <w:top w:val="nil"/>
              <w:left w:val="nil"/>
              <w:bottom w:val="nil"/>
              <w:right w:val="nil"/>
            </w:tcBorders>
          </w:tcPr>
          <w:p w14:paraId="6C65EF5F" w14:textId="77777777" w:rsidR="00724C44" w:rsidRPr="00145F3F" w:rsidRDefault="00724C44" w:rsidP="00145F3F">
            <w:pPr>
              <w:spacing w:after="0" w:line="240" w:lineRule="auto"/>
              <w:jc w:val="both"/>
              <w:rPr>
                <w:sz w:val="22"/>
                <w:szCs w:val="22"/>
              </w:rPr>
            </w:pPr>
            <w:r w:rsidRPr="00145F3F">
              <w:rPr>
                <w:sz w:val="22"/>
                <w:szCs w:val="22"/>
              </w:rPr>
              <w:t>2.47</w:t>
            </w:r>
          </w:p>
        </w:tc>
        <w:tc>
          <w:tcPr>
            <w:tcW w:w="864" w:type="dxa"/>
            <w:tcBorders>
              <w:top w:val="nil"/>
              <w:left w:val="nil"/>
              <w:bottom w:val="nil"/>
              <w:right w:val="nil"/>
            </w:tcBorders>
          </w:tcPr>
          <w:p w14:paraId="1D9D078D" w14:textId="77777777" w:rsidR="00724C44" w:rsidRPr="00145F3F" w:rsidRDefault="00724C44" w:rsidP="00145F3F">
            <w:pPr>
              <w:spacing w:after="0" w:line="240" w:lineRule="auto"/>
              <w:jc w:val="both"/>
              <w:rPr>
                <w:sz w:val="22"/>
                <w:szCs w:val="22"/>
              </w:rPr>
            </w:pPr>
            <w:r w:rsidRPr="00145F3F">
              <w:rPr>
                <w:sz w:val="22"/>
                <w:szCs w:val="22"/>
              </w:rPr>
              <w:t>1.42</w:t>
            </w:r>
          </w:p>
        </w:tc>
        <w:tc>
          <w:tcPr>
            <w:tcW w:w="1728" w:type="dxa"/>
            <w:tcBorders>
              <w:top w:val="nil"/>
              <w:left w:val="nil"/>
              <w:bottom w:val="nil"/>
              <w:right w:val="nil"/>
            </w:tcBorders>
          </w:tcPr>
          <w:p w14:paraId="2C375F66"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94A5023" w14:textId="77777777" w:rsidTr="00A5379F">
        <w:tc>
          <w:tcPr>
            <w:tcW w:w="1008" w:type="dxa"/>
            <w:tcBorders>
              <w:top w:val="nil"/>
              <w:left w:val="nil"/>
              <w:bottom w:val="single" w:sz="4" w:space="0" w:color="000000"/>
              <w:right w:val="nil"/>
            </w:tcBorders>
          </w:tcPr>
          <w:p w14:paraId="1B692FDB" w14:textId="77777777" w:rsidR="00724C44" w:rsidRPr="00145F3F" w:rsidRDefault="00724C44" w:rsidP="00145F3F">
            <w:pPr>
              <w:spacing w:after="0" w:line="240" w:lineRule="auto"/>
              <w:jc w:val="both"/>
              <w:rPr>
                <w:sz w:val="22"/>
                <w:szCs w:val="22"/>
              </w:rPr>
            </w:pPr>
          </w:p>
        </w:tc>
        <w:tc>
          <w:tcPr>
            <w:tcW w:w="4752" w:type="dxa"/>
            <w:tcBorders>
              <w:top w:val="nil"/>
              <w:left w:val="nil"/>
              <w:bottom w:val="single" w:sz="4" w:space="0" w:color="000000"/>
              <w:right w:val="nil"/>
            </w:tcBorders>
          </w:tcPr>
          <w:p w14:paraId="2D5DB149" w14:textId="77777777" w:rsidR="00724C44" w:rsidRPr="00145F3F" w:rsidRDefault="00724C44" w:rsidP="00145F3F">
            <w:pPr>
              <w:spacing w:after="0" w:line="240" w:lineRule="auto"/>
              <w:jc w:val="both"/>
              <w:rPr>
                <w:sz w:val="22"/>
                <w:szCs w:val="22"/>
              </w:rPr>
            </w:pPr>
            <w:r w:rsidRPr="00145F3F">
              <w:rPr>
                <w:sz w:val="22"/>
                <w:szCs w:val="22"/>
              </w:rPr>
              <w:t>Construct Mean (D2)</w:t>
            </w:r>
          </w:p>
        </w:tc>
        <w:tc>
          <w:tcPr>
            <w:tcW w:w="864" w:type="dxa"/>
            <w:tcBorders>
              <w:top w:val="nil"/>
              <w:left w:val="nil"/>
              <w:bottom w:val="single" w:sz="4" w:space="0" w:color="000000"/>
              <w:right w:val="nil"/>
            </w:tcBorders>
          </w:tcPr>
          <w:p w14:paraId="7E67175B" w14:textId="77777777" w:rsidR="00724C44" w:rsidRPr="00145F3F" w:rsidRDefault="00724C44" w:rsidP="00145F3F">
            <w:pPr>
              <w:spacing w:after="0" w:line="240" w:lineRule="auto"/>
              <w:jc w:val="both"/>
              <w:rPr>
                <w:sz w:val="22"/>
                <w:szCs w:val="22"/>
              </w:rPr>
            </w:pPr>
            <w:r w:rsidRPr="00145F3F">
              <w:rPr>
                <w:sz w:val="22"/>
                <w:szCs w:val="22"/>
              </w:rPr>
              <w:t>2.56</w:t>
            </w:r>
          </w:p>
        </w:tc>
        <w:tc>
          <w:tcPr>
            <w:tcW w:w="864" w:type="dxa"/>
            <w:tcBorders>
              <w:top w:val="nil"/>
              <w:left w:val="nil"/>
              <w:bottom w:val="single" w:sz="4" w:space="0" w:color="000000"/>
              <w:right w:val="nil"/>
            </w:tcBorders>
          </w:tcPr>
          <w:p w14:paraId="53F7F618" w14:textId="77777777" w:rsidR="00724C44" w:rsidRPr="00145F3F" w:rsidRDefault="00724C44" w:rsidP="00145F3F">
            <w:pPr>
              <w:spacing w:after="0" w:line="240" w:lineRule="auto"/>
              <w:jc w:val="both"/>
              <w:rPr>
                <w:sz w:val="22"/>
                <w:szCs w:val="22"/>
              </w:rPr>
            </w:pPr>
            <w:r w:rsidRPr="00145F3F">
              <w:rPr>
                <w:sz w:val="22"/>
                <w:szCs w:val="22"/>
              </w:rPr>
              <w:t>0.78</w:t>
            </w:r>
          </w:p>
        </w:tc>
        <w:tc>
          <w:tcPr>
            <w:tcW w:w="1728" w:type="dxa"/>
            <w:tcBorders>
              <w:top w:val="nil"/>
              <w:left w:val="nil"/>
              <w:bottom w:val="single" w:sz="4" w:space="0" w:color="000000"/>
              <w:right w:val="nil"/>
            </w:tcBorders>
          </w:tcPr>
          <w:p w14:paraId="6AA8D041" w14:textId="77777777" w:rsidR="00724C44" w:rsidRPr="00145F3F" w:rsidRDefault="00724C44" w:rsidP="00145F3F">
            <w:pPr>
              <w:spacing w:after="0" w:line="240" w:lineRule="auto"/>
              <w:jc w:val="both"/>
              <w:rPr>
                <w:sz w:val="22"/>
                <w:szCs w:val="22"/>
              </w:rPr>
            </w:pPr>
            <w:r w:rsidRPr="00145F3F">
              <w:rPr>
                <w:sz w:val="22"/>
                <w:szCs w:val="22"/>
              </w:rPr>
              <w:t>Low</w:t>
            </w:r>
          </w:p>
        </w:tc>
      </w:tr>
    </w:tbl>
    <w:p w14:paraId="62F13896"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5B14C595" w14:textId="77777777" w:rsidR="00724C44" w:rsidRPr="00724C44" w:rsidRDefault="00724C44" w:rsidP="00724C44">
      <w:pPr>
        <w:spacing w:line="240" w:lineRule="auto"/>
        <w:jc w:val="both"/>
      </w:pPr>
      <w:r w:rsidRPr="00724C44">
        <w:t>Disclosure accuracy also demonstrates low levels (M = 2.56). Independent verification of human capital data (D2.1), clear methodology description (D2.2), and audit trail maintenance (D2.5) all fall in the low range. These findings suggest that even when human capital information is disclosed, its reliability and verifiability may be questionable.</w:t>
      </w:r>
    </w:p>
    <w:p w14:paraId="46ECBEF8" w14:textId="77777777" w:rsidR="00724C44" w:rsidRPr="00724C44" w:rsidRDefault="00724C44" w:rsidP="00724C44">
      <w:pPr>
        <w:spacing w:line="240" w:lineRule="auto"/>
        <w:jc w:val="both"/>
      </w:pPr>
      <w:r w:rsidRPr="00724C44">
        <w:rPr>
          <w:b/>
        </w:rPr>
        <w:t>4.6.3 Disclosure Timeliness (D3)</w:t>
      </w:r>
    </w:p>
    <w:p w14:paraId="036701C5" w14:textId="77777777" w:rsidR="00724C44" w:rsidRPr="00724C44" w:rsidRDefault="00724C44" w:rsidP="00724C44">
      <w:pPr>
        <w:spacing w:line="240" w:lineRule="auto"/>
        <w:jc w:val="both"/>
      </w:pPr>
      <w:r w:rsidRPr="00724C44">
        <w:t>Timeliness measures the currency and frequency of updates to human capital information. Table 4.17 presents the descriptive statistics for these four items.</w:t>
      </w:r>
    </w:p>
    <w:p w14:paraId="21BB9598" w14:textId="77777777" w:rsidR="00724C44" w:rsidRPr="00724C44" w:rsidRDefault="00724C44" w:rsidP="00724C44">
      <w:pPr>
        <w:spacing w:line="240" w:lineRule="auto"/>
        <w:jc w:val="both"/>
      </w:pPr>
      <w:r w:rsidRPr="00724C44">
        <w:rPr>
          <w:b/>
        </w:rPr>
        <w:t>Table 4.17</w:t>
      </w:r>
    </w:p>
    <w:p w14:paraId="3466B672" w14:textId="77777777" w:rsidR="00724C44" w:rsidRPr="00724C44" w:rsidRDefault="00724C44" w:rsidP="00724C44">
      <w:pPr>
        <w:spacing w:line="240" w:lineRule="auto"/>
        <w:jc w:val="both"/>
      </w:pPr>
      <w:r w:rsidRPr="00724C44">
        <w:rPr>
          <w:i/>
        </w:rPr>
        <w:t>Disclosure Timeliness – Descriptive Statistics (n = 400)</w:t>
      </w:r>
    </w:p>
    <w:tbl>
      <w:tblPr>
        <w:tblW w:w="0" w:type="auto"/>
        <w:tblLayout w:type="fixed"/>
        <w:tblLook w:val="04A0" w:firstRow="1" w:lastRow="0" w:firstColumn="1" w:lastColumn="0" w:noHBand="0" w:noVBand="1"/>
      </w:tblPr>
      <w:tblGrid>
        <w:gridCol w:w="1008"/>
        <w:gridCol w:w="4932"/>
        <w:gridCol w:w="810"/>
        <w:gridCol w:w="756"/>
        <w:gridCol w:w="1602"/>
      </w:tblGrid>
      <w:tr w:rsidR="00724C44" w:rsidRPr="00724C44" w14:paraId="07C2D3D9" w14:textId="77777777" w:rsidTr="00145F3F">
        <w:tc>
          <w:tcPr>
            <w:tcW w:w="1008" w:type="dxa"/>
            <w:tcBorders>
              <w:top w:val="single" w:sz="4" w:space="0" w:color="000000"/>
              <w:left w:val="nil"/>
              <w:bottom w:val="single" w:sz="4" w:space="0" w:color="000000"/>
              <w:right w:val="nil"/>
            </w:tcBorders>
          </w:tcPr>
          <w:p w14:paraId="6371FF2A" w14:textId="77777777" w:rsidR="00724C44" w:rsidRPr="00145F3F" w:rsidRDefault="00724C44" w:rsidP="00145F3F">
            <w:pPr>
              <w:spacing w:after="0" w:line="240" w:lineRule="auto"/>
              <w:jc w:val="both"/>
              <w:rPr>
                <w:sz w:val="22"/>
                <w:szCs w:val="22"/>
              </w:rPr>
            </w:pPr>
            <w:r w:rsidRPr="00145F3F">
              <w:rPr>
                <w:b/>
                <w:sz w:val="22"/>
                <w:szCs w:val="22"/>
              </w:rPr>
              <w:t>Item</w:t>
            </w:r>
          </w:p>
        </w:tc>
        <w:tc>
          <w:tcPr>
            <w:tcW w:w="4932" w:type="dxa"/>
            <w:tcBorders>
              <w:top w:val="single" w:sz="4" w:space="0" w:color="000000"/>
              <w:left w:val="nil"/>
              <w:bottom w:val="single" w:sz="4" w:space="0" w:color="000000"/>
              <w:right w:val="nil"/>
            </w:tcBorders>
          </w:tcPr>
          <w:p w14:paraId="2756E09A"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10" w:type="dxa"/>
            <w:tcBorders>
              <w:top w:val="single" w:sz="4" w:space="0" w:color="000000"/>
              <w:left w:val="nil"/>
              <w:bottom w:val="single" w:sz="4" w:space="0" w:color="000000"/>
              <w:right w:val="nil"/>
            </w:tcBorders>
          </w:tcPr>
          <w:p w14:paraId="4AF32E77" w14:textId="77777777" w:rsidR="00724C44" w:rsidRPr="00145F3F" w:rsidRDefault="00724C44" w:rsidP="00145F3F">
            <w:pPr>
              <w:spacing w:after="0" w:line="240" w:lineRule="auto"/>
              <w:jc w:val="both"/>
              <w:rPr>
                <w:sz w:val="22"/>
                <w:szCs w:val="22"/>
              </w:rPr>
            </w:pPr>
            <w:r w:rsidRPr="00145F3F">
              <w:rPr>
                <w:b/>
                <w:sz w:val="22"/>
                <w:szCs w:val="22"/>
              </w:rPr>
              <w:t>M</w:t>
            </w:r>
          </w:p>
        </w:tc>
        <w:tc>
          <w:tcPr>
            <w:tcW w:w="756" w:type="dxa"/>
            <w:tcBorders>
              <w:top w:val="single" w:sz="4" w:space="0" w:color="000000"/>
              <w:left w:val="nil"/>
              <w:bottom w:val="single" w:sz="4" w:space="0" w:color="000000"/>
              <w:right w:val="nil"/>
            </w:tcBorders>
          </w:tcPr>
          <w:p w14:paraId="6E4A5FBF" w14:textId="77777777" w:rsidR="00724C44" w:rsidRPr="00145F3F" w:rsidRDefault="00724C44" w:rsidP="00145F3F">
            <w:pPr>
              <w:spacing w:after="0" w:line="240" w:lineRule="auto"/>
              <w:jc w:val="both"/>
              <w:rPr>
                <w:sz w:val="22"/>
                <w:szCs w:val="22"/>
              </w:rPr>
            </w:pPr>
            <w:r w:rsidRPr="00145F3F">
              <w:rPr>
                <w:b/>
                <w:sz w:val="22"/>
                <w:szCs w:val="22"/>
              </w:rPr>
              <w:t>SD</w:t>
            </w:r>
          </w:p>
        </w:tc>
        <w:tc>
          <w:tcPr>
            <w:tcW w:w="1602" w:type="dxa"/>
            <w:tcBorders>
              <w:top w:val="single" w:sz="4" w:space="0" w:color="000000"/>
              <w:left w:val="nil"/>
              <w:bottom w:val="single" w:sz="4" w:space="0" w:color="000000"/>
              <w:right w:val="nil"/>
            </w:tcBorders>
          </w:tcPr>
          <w:p w14:paraId="36481E65"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1AAE8941" w14:textId="77777777" w:rsidTr="00145F3F">
        <w:tc>
          <w:tcPr>
            <w:tcW w:w="1008" w:type="dxa"/>
            <w:tcBorders>
              <w:top w:val="nil"/>
              <w:left w:val="nil"/>
              <w:bottom w:val="nil"/>
              <w:right w:val="nil"/>
            </w:tcBorders>
          </w:tcPr>
          <w:p w14:paraId="5845E66D" w14:textId="77777777" w:rsidR="00724C44" w:rsidRPr="00145F3F" w:rsidRDefault="00724C44" w:rsidP="00145F3F">
            <w:pPr>
              <w:spacing w:after="0" w:line="240" w:lineRule="auto"/>
              <w:jc w:val="both"/>
              <w:rPr>
                <w:sz w:val="22"/>
                <w:szCs w:val="22"/>
              </w:rPr>
            </w:pPr>
            <w:r w:rsidRPr="00145F3F">
              <w:rPr>
                <w:sz w:val="22"/>
                <w:szCs w:val="22"/>
              </w:rPr>
              <w:t>D3.1</w:t>
            </w:r>
          </w:p>
        </w:tc>
        <w:tc>
          <w:tcPr>
            <w:tcW w:w="4932" w:type="dxa"/>
            <w:tcBorders>
              <w:top w:val="nil"/>
              <w:left w:val="nil"/>
              <w:bottom w:val="nil"/>
              <w:right w:val="nil"/>
            </w:tcBorders>
          </w:tcPr>
          <w:p w14:paraId="0CA5BF17" w14:textId="77777777" w:rsidR="00724C44" w:rsidRPr="00145F3F" w:rsidRDefault="00724C44" w:rsidP="00145F3F">
            <w:pPr>
              <w:spacing w:after="0" w:line="240" w:lineRule="auto"/>
              <w:jc w:val="both"/>
              <w:rPr>
                <w:sz w:val="22"/>
                <w:szCs w:val="22"/>
              </w:rPr>
            </w:pPr>
            <w:r w:rsidRPr="00145F3F">
              <w:rPr>
                <w:sz w:val="22"/>
                <w:szCs w:val="22"/>
              </w:rPr>
              <w:t>Human capital information is updated frequently</w:t>
            </w:r>
          </w:p>
        </w:tc>
        <w:tc>
          <w:tcPr>
            <w:tcW w:w="810" w:type="dxa"/>
            <w:tcBorders>
              <w:top w:val="nil"/>
              <w:left w:val="nil"/>
              <w:bottom w:val="nil"/>
              <w:right w:val="nil"/>
            </w:tcBorders>
          </w:tcPr>
          <w:p w14:paraId="4DA08083" w14:textId="77777777" w:rsidR="00724C44" w:rsidRPr="00145F3F" w:rsidRDefault="00724C44" w:rsidP="00145F3F">
            <w:pPr>
              <w:spacing w:after="0" w:line="240" w:lineRule="auto"/>
              <w:jc w:val="both"/>
              <w:rPr>
                <w:sz w:val="22"/>
                <w:szCs w:val="22"/>
              </w:rPr>
            </w:pPr>
            <w:r w:rsidRPr="00145F3F">
              <w:rPr>
                <w:sz w:val="22"/>
                <w:szCs w:val="22"/>
              </w:rPr>
              <w:t>2.88</w:t>
            </w:r>
          </w:p>
        </w:tc>
        <w:tc>
          <w:tcPr>
            <w:tcW w:w="756" w:type="dxa"/>
            <w:tcBorders>
              <w:top w:val="nil"/>
              <w:left w:val="nil"/>
              <w:bottom w:val="nil"/>
              <w:right w:val="nil"/>
            </w:tcBorders>
          </w:tcPr>
          <w:p w14:paraId="216F1368" w14:textId="77777777" w:rsidR="00724C44" w:rsidRPr="00145F3F" w:rsidRDefault="00724C44" w:rsidP="00145F3F">
            <w:pPr>
              <w:spacing w:after="0" w:line="240" w:lineRule="auto"/>
              <w:jc w:val="both"/>
              <w:rPr>
                <w:sz w:val="22"/>
                <w:szCs w:val="22"/>
              </w:rPr>
            </w:pPr>
            <w:r w:rsidRPr="00145F3F">
              <w:rPr>
                <w:sz w:val="22"/>
                <w:szCs w:val="22"/>
              </w:rPr>
              <w:t>1.32</w:t>
            </w:r>
          </w:p>
        </w:tc>
        <w:tc>
          <w:tcPr>
            <w:tcW w:w="1602" w:type="dxa"/>
            <w:tcBorders>
              <w:top w:val="nil"/>
              <w:left w:val="nil"/>
              <w:bottom w:val="nil"/>
              <w:right w:val="nil"/>
            </w:tcBorders>
          </w:tcPr>
          <w:p w14:paraId="3D485340"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4858F3E9" w14:textId="77777777" w:rsidTr="00145F3F">
        <w:tc>
          <w:tcPr>
            <w:tcW w:w="1008" w:type="dxa"/>
            <w:tcBorders>
              <w:top w:val="nil"/>
              <w:left w:val="nil"/>
              <w:bottom w:val="nil"/>
              <w:right w:val="nil"/>
            </w:tcBorders>
          </w:tcPr>
          <w:p w14:paraId="34D455A3" w14:textId="77777777" w:rsidR="00724C44" w:rsidRPr="00145F3F" w:rsidRDefault="00724C44" w:rsidP="00145F3F">
            <w:pPr>
              <w:spacing w:after="0" w:line="240" w:lineRule="auto"/>
              <w:jc w:val="both"/>
              <w:rPr>
                <w:sz w:val="22"/>
                <w:szCs w:val="22"/>
              </w:rPr>
            </w:pPr>
            <w:r w:rsidRPr="00145F3F">
              <w:rPr>
                <w:sz w:val="22"/>
                <w:szCs w:val="22"/>
              </w:rPr>
              <w:t>D3.2</w:t>
            </w:r>
          </w:p>
        </w:tc>
        <w:tc>
          <w:tcPr>
            <w:tcW w:w="4932" w:type="dxa"/>
            <w:tcBorders>
              <w:top w:val="nil"/>
              <w:left w:val="nil"/>
              <w:bottom w:val="nil"/>
              <w:right w:val="nil"/>
            </w:tcBorders>
          </w:tcPr>
          <w:p w14:paraId="50E60B95" w14:textId="77777777" w:rsidR="00724C44" w:rsidRPr="00145F3F" w:rsidRDefault="00724C44" w:rsidP="00145F3F">
            <w:pPr>
              <w:spacing w:after="0" w:line="240" w:lineRule="auto"/>
              <w:jc w:val="both"/>
              <w:rPr>
                <w:sz w:val="22"/>
                <w:szCs w:val="22"/>
              </w:rPr>
            </w:pPr>
            <w:r w:rsidRPr="00145F3F">
              <w:rPr>
                <w:sz w:val="22"/>
                <w:szCs w:val="22"/>
              </w:rPr>
              <w:t>Real-time workforce data is available</w:t>
            </w:r>
          </w:p>
        </w:tc>
        <w:tc>
          <w:tcPr>
            <w:tcW w:w="810" w:type="dxa"/>
            <w:tcBorders>
              <w:top w:val="nil"/>
              <w:left w:val="nil"/>
              <w:bottom w:val="nil"/>
              <w:right w:val="nil"/>
            </w:tcBorders>
          </w:tcPr>
          <w:p w14:paraId="245723E7" w14:textId="77777777" w:rsidR="00724C44" w:rsidRPr="00145F3F" w:rsidRDefault="00724C44" w:rsidP="00145F3F">
            <w:pPr>
              <w:spacing w:after="0" w:line="240" w:lineRule="auto"/>
              <w:jc w:val="both"/>
              <w:rPr>
                <w:sz w:val="22"/>
                <w:szCs w:val="22"/>
              </w:rPr>
            </w:pPr>
            <w:r w:rsidRPr="00145F3F">
              <w:rPr>
                <w:sz w:val="22"/>
                <w:szCs w:val="22"/>
              </w:rPr>
              <w:t>2.63</w:t>
            </w:r>
          </w:p>
        </w:tc>
        <w:tc>
          <w:tcPr>
            <w:tcW w:w="756" w:type="dxa"/>
            <w:tcBorders>
              <w:top w:val="nil"/>
              <w:left w:val="nil"/>
              <w:bottom w:val="nil"/>
              <w:right w:val="nil"/>
            </w:tcBorders>
          </w:tcPr>
          <w:p w14:paraId="3E09276A" w14:textId="77777777" w:rsidR="00724C44" w:rsidRPr="00145F3F" w:rsidRDefault="00724C44" w:rsidP="00145F3F">
            <w:pPr>
              <w:spacing w:after="0" w:line="240" w:lineRule="auto"/>
              <w:jc w:val="both"/>
              <w:rPr>
                <w:sz w:val="22"/>
                <w:szCs w:val="22"/>
              </w:rPr>
            </w:pPr>
            <w:r w:rsidRPr="00145F3F">
              <w:rPr>
                <w:sz w:val="22"/>
                <w:szCs w:val="22"/>
              </w:rPr>
              <w:t>1.43</w:t>
            </w:r>
          </w:p>
        </w:tc>
        <w:tc>
          <w:tcPr>
            <w:tcW w:w="1602" w:type="dxa"/>
            <w:tcBorders>
              <w:top w:val="nil"/>
              <w:left w:val="nil"/>
              <w:bottom w:val="nil"/>
              <w:right w:val="nil"/>
            </w:tcBorders>
          </w:tcPr>
          <w:p w14:paraId="0039E6D4"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15C86B18" w14:textId="77777777" w:rsidTr="00145F3F">
        <w:tc>
          <w:tcPr>
            <w:tcW w:w="1008" w:type="dxa"/>
            <w:tcBorders>
              <w:top w:val="nil"/>
              <w:left w:val="nil"/>
              <w:bottom w:val="nil"/>
              <w:right w:val="nil"/>
            </w:tcBorders>
          </w:tcPr>
          <w:p w14:paraId="17920186" w14:textId="77777777" w:rsidR="00724C44" w:rsidRPr="00145F3F" w:rsidRDefault="00724C44" w:rsidP="00145F3F">
            <w:pPr>
              <w:spacing w:after="0" w:line="240" w:lineRule="auto"/>
              <w:jc w:val="both"/>
              <w:rPr>
                <w:sz w:val="22"/>
                <w:szCs w:val="22"/>
              </w:rPr>
            </w:pPr>
            <w:r w:rsidRPr="00145F3F">
              <w:rPr>
                <w:sz w:val="22"/>
                <w:szCs w:val="22"/>
              </w:rPr>
              <w:t>D3.3</w:t>
            </w:r>
          </w:p>
        </w:tc>
        <w:tc>
          <w:tcPr>
            <w:tcW w:w="4932" w:type="dxa"/>
            <w:tcBorders>
              <w:top w:val="nil"/>
              <w:left w:val="nil"/>
              <w:bottom w:val="nil"/>
              <w:right w:val="nil"/>
            </w:tcBorders>
          </w:tcPr>
          <w:p w14:paraId="5751254E" w14:textId="77777777" w:rsidR="00724C44" w:rsidRPr="00145F3F" w:rsidRDefault="00724C44" w:rsidP="00145F3F">
            <w:pPr>
              <w:spacing w:after="0" w:line="240" w:lineRule="auto"/>
              <w:jc w:val="both"/>
              <w:rPr>
                <w:sz w:val="22"/>
                <w:szCs w:val="22"/>
              </w:rPr>
            </w:pPr>
            <w:r w:rsidRPr="00145F3F">
              <w:rPr>
                <w:sz w:val="22"/>
                <w:szCs w:val="22"/>
              </w:rPr>
              <w:t>Historical comparisons are provided</w:t>
            </w:r>
          </w:p>
        </w:tc>
        <w:tc>
          <w:tcPr>
            <w:tcW w:w="810" w:type="dxa"/>
            <w:tcBorders>
              <w:top w:val="nil"/>
              <w:left w:val="nil"/>
              <w:bottom w:val="nil"/>
              <w:right w:val="nil"/>
            </w:tcBorders>
          </w:tcPr>
          <w:p w14:paraId="5F1100F1" w14:textId="77777777" w:rsidR="00724C44" w:rsidRPr="00145F3F" w:rsidRDefault="00724C44" w:rsidP="00145F3F">
            <w:pPr>
              <w:spacing w:after="0" w:line="240" w:lineRule="auto"/>
              <w:jc w:val="both"/>
              <w:rPr>
                <w:sz w:val="22"/>
                <w:szCs w:val="22"/>
              </w:rPr>
            </w:pPr>
            <w:r w:rsidRPr="00145F3F">
              <w:rPr>
                <w:sz w:val="22"/>
                <w:szCs w:val="22"/>
              </w:rPr>
              <w:t>2.67</w:t>
            </w:r>
          </w:p>
        </w:tc>
        <w:tc>
          <w:tcPr>
            <w:tcW w:w="756" w:type="dxa"/>
            <w:tcBorders>
              <w:top w:val="nil"/>
              <w:left w:val="nil"/>
              <w:bottom w:val="nil"/>
              <w:right w:val="nil"/>
            </w:tcBorders>
          </w:tcPr>
          <w:p w14:paraId="2A5E1510" w14:textId="77777777" w:rsidR="00724C44" w:rsidRPr="00145F3F" w:rsidRDefault="00724C44" w:rsidP="00145F3F">
            <w:pPr>
              <w:spacing w:after="0" w:line="240" w:lineRule="auto"/>
              <w:jc w:val="both"/>
              <w:rPr>
                <w:sz w:val="22"/>
                <w:szCs w:val="22"/>
              </w:rPr>
            </w:pPr>
            <w:r w:rsidRPr="00145F3F">
              <w:rPr>
                <w:sz w:val="22"/>
                <w:szCs w:val="22"/>
              </w:rPr>
              <w:t>1.19</w:t>
            </w:r>
          </w:p>
        </w:tc>
        <w:tc>
          <w:tcPr>
            <w:tcW w:w="1602" w:type="dxa"/>
            <w:tcBorders>
              <w:top w:val="nil"/>
              <w:left w:val="nil"/>
              <w:bottom w:val="nil"/>
              <w:right w:val="nil"/>
            </w:tcBorders>
          </w:tcPr>
          <w:p w14:paraId="765AD5C9"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71BD7529" w14:textId="77777777" w:rsidTr="00145F3F">
        <w:tc>
          <w:tcPr>
            <w:tcW w:w="1008" w:type="dxa"/>
            <w:tcBorders>
              <w:top w:val="nil"/>
              <w:left w:val="nil"/>
              <w:bottom w:val="nil"/>
              <w:right w:val="nil"/>
            </w:tcBorders>
          </w:tcPr>
          <w:p w14:paraId="44C140EC" w14:textId="77777777" w:rsidR="00724C44" w:rsidRPr="00145F3F" w:rsidRDefault="00724C44" w:rsidP="00145F3F">
            <w:pPr>
              <w:spacing w:after="0" w:line="240" w:lineRule="auto"/>
              <w:jc w:val="both"/>
              <w:rPr>
                <w:sz w:val="22"/>
                <w:szCs w:val="22"/>
              </w:rPr>
            </w:pPr>
            <w:r w:rsidRPr="00145F3F">
              <w:rPr>
                <w:sz w:val="22"/>
                <w:szCs w:val="22"/>
              </w:rPr>
              <w:t>D3.4</w:t>
            </w:r>
          </w:p>
        </w:tc>
        <w:tc>
          <w:tcPr>
            <w:tcW w:w="4932" w:type="dxa"/>
            <w:tcBorders>
              <w:top w:val="nil"/>
              <w:left w:val="nil"/>
              <w:bottom w:val="nil"/>
              <w:right w:val="nil"/>
            </w:tcBorders>
          </w:tcPr>
          <w:p w14:paraId="44E48955" w14:textId="77777777" w:rsidR="00724C44" w:rsidRPr="00145F3F" w:rsidRDefault="00724C44" w:rsidP="00145F3F">
            <w:pPr>
              <w:spacing w:after="0" w:line="240" w:lineRule="auto"/>
              <w:jc w:val="both"/>
              <w:rPr>
                <w:sz w:val="22"/>
                <w:szCs w:val="22"/>
              </w:rPr>
            </w:pPr>
            <w:r w:rsidRPr="00145F3F">
              <w:rPr>
                <w:sz w:val="22"/>
                <w:szCs w:val="22"/>
              </w:rPr>
              <w:t>Forward-looking workforce projections are included</w:t>
            </w:r>
          </w:p>
        </w:tc>
        <w:tc>
          <w:tcPr>
            <w:tcW w:w="810" w:type="dxa"/>
            <w:tcBorders>
              <w:top w:val="nil"/>
              <w:left w:val="nil"/>
              <w:bottom w:val="nil"/>
              <w:right w:val="nil"/>
            </w:tcBorders>
          </w:tcPr>
          <w:p w14:paraId="0E75556D" w14:textId="77777777" w:rsidR="00724C44" w:rsidRPr="00145F3F" w:rsidRDefault="00724C44" w:rsidP="00145F3F">
            <w:pPr>
              <w:spacing w:after="0" w:line="240" w:lineRule="auto"/>
              <w:jc w:val="both"/>
              <w:rPr>
                <w:sz w:val="22"/>
                <w:szCs w:val="22"/>
              </w:rPr>
            </w:pPr>
            <w:r w:rsidRPr="00145F3F">
              <w:rPr>
                <w:sz w:val="22"/>
                <w:szCs w:val="22"/>
              </w:rPr>
              <w:t>2.79</w:t>
            </w:r>
          </w:p>
        </w:tc>
        <w:tc>
          <w:tcPr>
            <w:tcW w:w="756" w:type="dxa"/>
            <w:tcBorders>
              <w:top w:val="nil"/>
              <w:left w:val="nil"/>
              <w:bottom w:val="nil"/>
              <w:right w:val="nil"/>
            </w:tcBorders>
          </w:tcPr>
          <w:p w14:paraId="465AFE61" w14:textId="77777777" w:rsidR="00724C44" w:rsidRPr="00145F3F" w:rsidRDefault="00724C44" w:rsidP="00145F3F">
            <w:pPr>
              <w:spacing w:after="0" w:line="240" w:lineRule="auto"/>
              <w:jc w:val="both"/>
              <w:rPr>
                <w:sz w:val="22"/>
                <w:szCs w:val="22"/>
              </w:rPr>
            </w:pPr>
            <w:r w:rsidRPr="00145F3F">
              <w:rPr>
                <w:sz w:val="22"/>
                <w:szCs w:val="22"/>
              </w:rPr>
              <w:t>1.28</w:t>
            </w:r>
          </w:p>
        </w:tc>
        <w:tc>
          <w:tcPr>
            <w:tcW w:w="1602" w:type="dxa"/>
            <w:tcBorders>
              <w:top w:val="nil"/>
              <w:left w:val="nil"/>
              <w:bottom w:val="nil"/>
              <w:right w:val="nil"/>
            </w:tcBorders>
          </w:tcPr>
          <w:p w14:paraId="2BDDA987"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14B1CF4" w14:textId="77777777" w:rsidTr="00145F3F">
        <w:tc>
          <w:tcPr>
            <w:tcW w:w="1008" w:type="dxa"/>
            <w:tcBorders>
              <w:top w:val="nil"/>
              <w:left w:val="nil"/>
              <w:bottom w:val="single" w:sz="4" w:space="0" w:color="000000"/>
              <w:right w:val="nil"/>
            </w:tcBorders>
          </w:tcPr>
          <w:p w14:paraId="0C448CED" w14:textId="77777777" w:rsidR="00724C44" w:rsidRPr="00145F3F" w:rsidRDefault="00724C44" w:rsidP="00145F3F">
            <w:pPr>
              <w:spacing w:after="0" w:line="240" w:lineRule="auto"/>
              <w:jc w:val="both"/>
              <w:rPr>
                <w:sz w:val="22"/>
                <w:szCs w:val="22"/>
              </w:rPr>
            </w:pPr>
          </w:p>
        </w:tc>
        <w:tc>
          <w:tcPr>
            <w:tcW w:w="4932" w:type="dxa"/>
            <w:tcBorders>
              <w:top w:val="nil"/>
              <w:left w:val="nil"/>
              <w:bottom w:val="single" w:sz="4" w:space="0" w:color="000000"/>
              <w:right w:val="nil"/>
            </w:tcBorders>
          </w:tcPr>
          <w:p w14:paraId="3CDF0A48" w14:textId="77777777" w:rsidR="00724C44" w:rsidRPr="00145F3F" w:rsidRDefault="00724C44" w:rsidP="00145F3F">
            <w:pPr>
              <w:spacing w:after="0" w:line="240" w:lineRule="auto"/>
              <w:jc w:val="both"/>
              <w:rPr>
                <w:sz w:val="22"/>
                <w:szCs w:val="22"/>
              </w:rPr>
            </w:pPr>
            <w:r w:rsidRPr="00145F3F">
              <w:rPr>
                <w:sz w:val="22"/>
                <w:szCs w:val="22"/>
              </w:rPr>
              <w:t>Construct Mean (D3)</w:t>
            </w:r>
          </w:p>
        </w:tc>
        <w:tc>
          <w:tcPr>
            <w:tcW w:w="810" w:type="dxa"/>
            <w:tcBorders>
              <w:top w:val="nil"/>
              <w:left w:val="nil"/>
              <w:bottom w:val="single" w:sz="4" w:space="0" w:color="000000"/>
              <w:right w:val="nil"/>
            </w:tcBorders>
          </w:tcPr>
          <w:p w14:paraId="539A501C" w14:textId="77777777" w:rsidR="00724C44" w:rsidRPr="00145F3F" w:rsidRDefault="00724C44" w:rsidP="00145F3F">
            <w:pPr>
              <w:spacing w:after="0" w:line="240" w:lineRule="auto"/>
              <w:jc w:val="both"/>
              <w:rPr>
                <w:sz w:val="22"/>
                <w:szCs w:val="22"/>
              </w:rPr>
            </w:pPr>
            <w:r w:rsidRPr="00145F3F">
              <w:rPr>
                <w:sz w:val="22"/>
                <w:szCs w:val="22"/>
              </w:rPr>
              <w:t>2.74</w:t>
            </w:r>
          </w:p>
        </w:tc>
        <w:tc>
          <w:tcPr>
            <w:tcW w:w="756" w:type="dxa"/>
            <w:tcBorders>
              <w:top w:val="nil"/>
              <w:left w:val="nil"/>
              <w:bottom w:val="single" w:sz="4" w:space="0" w:color="000000"/>
              <w:right w:val="nil"/>
            </w:tcBorders>
          </w:tcPr>
          <w:p w14:paraId="620027D9" w14:textId="77777777" w:rsidR="00724C44" w:rsidRPr="00145F3F" w:rsidRDefault="00724C44" w:rsidP="00145F3F">
            <w:pPr>
              <w:spacing w:after="0" w:line="240" w:lineRule="auto"/>
              <w:jc w:val="both"/>
              <w:rPr>
                <w:sz w:val="22"/>
                <w:szCs w:val="22"/>
              </w:rPr>
            </w:pPr>
            <w:r w:rsidRPr="00145F3F">
              <w:rPr>
                <w:sz w:val="22"/>
                <w:szCs w:val="22"/>
              </w:rPr>
              <w:t>0.71</w:t>
            </w:r>
          </w:p>
        </w:tc>
        <w:tc>
          <w:tcPr>
            <w:tcW w:w="1602" w:type="dxa"/>
            <w:tcBorders>
              <w:top w:val="nil"/>
              <w:left w:val="nil"/>
              <w:bottom w:val="single" w:sz="4" w:space="0" w:color="000000"/>
              <w:right w:val="nil"/>
            </w:tcBorders>
          </w:tcPr>
          <w:p w14:paraId="3B059C54" w14:textId="77777777" w:rsidR="00724C44" w:rsidRPr="00145F3F" w:rsidRDefault="00724C44" w:rsidP="00145F3F">
            <w:pPr>
              <w:spacing w:after="0" w:line="240" w:lineRule="auto"/>
              <w:jc w:val="both"/>
              <w:rPr>
                <w:sz w:val="22"/>
                <w:szCs w:val="22"/>
              </w:rPr>
            </w:pPr>
            <w:r w:rsidRPr="00145F3F">
              <w:rPr>
                <w:sz w:val="22"/>
                <w:szCs w:val="22"/>
              </w:rPr>
              <w:t>Low</w:t>
            </w:r>
          </w:p>
        </w:tc>
      </w:tr>
    </w:tbl>
    <w:p w14:paraId="19A29FB3"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0ED54E74" w14:textId="77777777" w:rsidR="00724C44" w:rsidRPr="00724C44" w:rsidRDefault="00724C44" w:rsidP="00724C44">
      <w:pPr>
        <w:spacing w:line="240" w:lineRule="auto"/>
        <w:jc w:val="both"/>
      </w:pPr>
      <w:r w:rsidRPr="00724C44">
        <w:t>Disclosure timeliness shows low scores (M = 2.74), with real-time data availability (D3.2) and forward-looking projections (D3.4) particularly underdeveloped. Even historical comparisons (D3.3) score in the low range, indicating that human capital disclosure typically represents static, point-in-time snapshots rather than dynamic, ongoing communication.</w:t>
      </w:r>
    </w:p>
    <w:p w14:paraId="282F6300" w14:textId="77777777" w:rsidR="00724C44" w:rsidRPr="00724C44" w:rsidRDefault="00724C44" w:rsidP="00724C44">
      <w:pPr>
        <w:spacing w:line="240" w:lineRule="auto"/>
        <w:jc w:val="both"/>
      </w:pPr>
      <w:r w:rsidRPr="00724C44">
        <w:rPr>
          <w:b/>
        </w:rPr>
        <w:t>4.6.4 Disclosure Comparability (D4)</w:t>
      </w:r>
    </w:p>
    <w:p w14:paraId="3CF5CCF1" w14:textId="77777777" w:rsidR="00724C44" w:rsidRPr="00724C44" w:rsidRDefault="00724C44" w:rsidP="00724C44">
      <w:pPr>
        <w:spacing w:line="240" w:lineRule="auto"/>
        <w:jc w:val="both"/>
      </w:pPr>
      <w:r w:rsidRPr="00724C44">
        <w:lastRenderedPageBreak/>
        <w:t>Comparability measures the extent to which disclosed information enables meaningful comparisons across time periods, organizations, and industry benchmarks. Table 4.18 presents the descriptive statistics for these five items.</w:t>
      </w:r>
    </w:p>
    <w:p w14:paraId="3CC42081" w14:textId="77777777" w:rsidR="00724C44" w:rsidRPr="00724C44" w:rsidRDefault="00724C44" w:rsidP="00724C44">
      <w:pPr>
        <w:spacing w:line="240" w:lineRule="auto"/>
        <w:jc w:val="both"/>
      </w:pPr>
      <w:r w:rsidRPr="00724C44">
        <w:rPr>
          <w:b/>
        </w:rPr>
        <w:t>Table 4.18</w:t>
      </w:r>
    </w:p>
    <w:p w14:paraId="4B1FBE5E" w14:textId="77777777" w:rsidR="00724C44" w:rsidRPr="00724C44" w:rsidRDefault="00724C44" w:rsidP="00724C44">
      <w:pPr>
        <w:spacing w:line="240" w:lineRule="auto"/>
        <w:jc w:val="both"/>
      </w:pPr>
      <w:r w:rsidRPr="00724C44">
        <w:rPr>
          <w:i/>
        </w:rPr>
        <w:t>Disclosure Comparability – Descriptive Statistics (n = 400)</w:t>
      </w:r>
    </w:p>
    <w:tbl>
      <w:tblPr>
        <w:tblW w:w="0" w:type="auto"/>
        <w:tblLayout w:type="fixed"/>
        <w:tblLook w:val="04A0" w:firstRow="1" w:lastRow="0" w:firstColumn="1" w:lastColumn="0" w:noHBand="0" w:noVBand="1"/>
      </w:tblPr>
      <w:tblGrid>
        <w:gridCol w:w="1008"/>
        <w:gridCol w:w="4752"/>
        <w:gridCol w:w="864"/>
        <w:gridCol w:w="864"/>
        <w:gridCol w:w="1728"/>
      </w:tblGrid>
      <w:tr w:rsidR="00724C44" w:rsidRPr="00724C44" w14:paraId="5DB8D627" w14:textId="77777777" w:rsidTr="00A5379F">
        <w:tc>
          <w:tcPr>
            <w:tcW w:w="1008" w:type="dxa"/>
            <w:tcBorders>
              <w:top w:val="single" w:sz="4" w:space="0" w:color="000000"/>
              <w:left w:val="nil"/>
              <w:bottom w:val="single" w:sz="4" w:space="0" w:color="000000"/>
              <w:right w:val="nil"/>
            </w:tcBorders>
          </w:tcPr>
          <w:p w14:paraId="1BD6FD42" w14:textId="77777777" w:rsidR="00724C44" w:rsidRPr="00145F3F" w:rsidRDefault="00724C44" w:rsidP="00145F3F">
            <w:pPr>
              <w:spacing w:after="0" w:line="240" w:lineRule="auto"/>
              <w:jc w:val="both"/>
              <w:rPr>
                <w:sz w:val="22"/>
                <w:szCs w:val="22"/>
              </w:rPr>
            </w:pPr>
            <w:r w:rsidRPr="00145F3F">
              <w:rPr>
                <w:b/>
                <w:sz w:val="22"/>
                <w:szCs w:val="22"/>
              </w:rPr>
              <w:t>Item</w:t>
            </w:r>
          </w:p>
        </w:tc>
        <w:tc>
          <w:tcPr>
            <w:tcW w:w="4752" w:type="dxa"/>
            <w:tcBorders>
              <w:top w:val="single" w:sz="4" w:space="0" w:color="000000"/>
              <w:left w:val="nil"/>
              <w:bottom w:val="single" w:sz="4" w:space="0" w:color="000000"/>
              <w:right w:val="nil"/>
            </w:tcBorders>
          </w:tcPr>
          <w:p w14:paraId="21BE900A"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64" w:type="dxa"/>
            <w:tcBorders>
              <w:top w:val="single" w:sz="4" w:space="0" w:color="000000"/>
              <w:left w:val="nil"/>
              <w:bottom w:val="single" w:sz="4" w:space="0" w:color="000000"/>
              <w:right w:val="nil"/>
            </w:tcBorders>
          </w:tcPr>
          <w:p w14:paraId="26A898EA" w14:textId="77777777" w:rsidR="00724C44" w:rsidRPr="00145F3F" w:rsidRDefault="00724C44" w:rsidP="00145F3F">
            <w:pPr>
              <w:spacing w:after="0" w:line="240" w:lineRule="auto"/>
              <w:jc w:val="both"/>
              <w:rPr>
                <w:sz w:val="22"/>
                <w:szCs w:val="22"/>
              </w:rPr>
            </w:pPr>
            <w:r w:rsidRPr="00145F3F">
              <w:rPr>
                <w:b/>
                <w:sz w:val="22"/>
                <w:szCs w:val="22"/>
              </w:rPr>
              <w:t>M</w:t>
            </w:r>
          </w:p>
        </w:tc>
        <w:tc>
          <w:tcPr>
            <w:tcW w:w="864" w:type="dxa"/>
            <w:tcBorders>
              <w:top w:val="single" w:sz="4" w:space="0" w:color="000000"/>
              <w:left w:val="nil"/>
              <w:bottom w:val="single" w:sz="4" w:space="0" w:color="000000"/>
              <w:right w:val="nil"/>
            </w:tcBorders>
          </w:tcPr>
          <w:p w14:paraId="2CFF1536" w14:textId="77777777" w:rsidR="00724C44" w:rsidRPr="00145F3F" w:rsidRDefault="00724C44" w:rsidP="00145F3F">
            <w:pPr>
              <w:spacing w:after="0" w:line="240" w:lineRule="auto"/>
              <w:jc w:val="both"/>
              <w:rPr>
                <w:sz w:val="22"/>
                <w:szCs w:val="22"/>
              </w:rPr>
            </w:pPr>
            <w:r w:rsidRPr="00145F3F">
              <w:rPr>
                <w:b/>
                <w:sz w:val="22"/>
                <w:szCs w:val="22"/>
              </w:rPr>
              <w:t>SD</w:t>
            </w:r>
          </w:p>
        </w:tc>
        <w:tc>
          <w:tcPr>
            <w:tcW w:w="1728" w:type="dxa"/>
            <w:tcBorders>
              <w:top w:val="single" w:sz="4" w:space="0" w:color="000000"/>
              <w:left w:val="nil"/>
              <w:bottom w:val="single" w:sz="4" w:space="0" w:color="000000"/>
              <w:right w:val="nil"/>
            </w:tcBorders>
          </w:tcPr>
          <w:p w14:paraId="50DD880A"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124C67B2" w14:textId="77777777" w:rsidTr="00A5379F">
        <w:tc>
          <w:tcPr>
            <w:tcW w:w="1008" w:type="dxa"/>
            <w:tcBorders>
              <w:top w:val="nil"/>
              <w:left w:val="nil"/>
              <w:bottom w:val="nil"/>
              <w:right w:val="nil"/>
            </w:tcBorders>
          </w:tcPr>
          <w:p w14:paraId="16FC6CF0" w14:textId="77777777" w:rsidR="00724C44" w:rsidRPr="00145F3F" w:rsidRDefault="00724C44" w:rsidP="00145F3F">
            <w:pPr>
              <w:spacing w:after="0" w:line="240" w:lineRule="auto"/>
              <w:jc w:val="both"/>
              <w:rPr>
                <w:sz w:val="22"/>
                <w:szCs w:val="22"/>
              </w:rPr>
            </w:pPr>
            <w:r w:rsidRPr="00145F3F">
              <w:rPr>
                <w:sz w:val="22"/>
                <w:szCs w:val="22"/>
              </w:rPr>
              <w:t>D4.1</w:t>
            </w:r>
          </w:p>
        </w:tc>
        <w:tc>
          <w:tcPr>
            <w:tcW w:w="4752" w:type="dxa"/>
            <w:tcBorders>
              <w:top w:val="nil"/>
              <w:left w:val="nil"/>
              <w:bottom w:val="nil"/>
              <w:right w:val="nil"/>
            </w:tcBorders>
          </w:tcPr>
          <w:p w14:paraId="6CEBF3B3" w14:textId="77777777" w:rsidR="00724C44" w:rsidRPr="00145F3F" w:rsidRDefault="00724C44" w:rsidP="00145F3F">
            <w:pPr>
              <w:spacing w:after="0" w:line="240" w:lineRule="auto"/>
              <w:jc w:val="both"/>
              <w:rPr>
                <w:sz w:val="22"/>
                <w:szCs w:val="22"/>
              </w:rPr>
            </w:pPr>
            <w:r w:rsidRPr="00145F3F">
              <w:rPr>
                <w:sz w:val="22"/>
                <w:szCs w:val="22"/>
              </w:rPr>
              <w:t>Industry benchmarks are used for comparison</w:t>
            </w:r>
          </w:p>
        </w:tc>
        <w:tc>
          <w:tcPr>
            <w:tcW w:w="864" w:type="dxa"/>
            <w:tcBorders>
              <w:top w:val="nil"/>
              <w:left w:val="nil"/>
              <w:bottom w:val="nil"/>
              <w:right w:val="nil"/>
            </w:tcBorders>
          </w:tcPr>
          <w:p w14:paraId="32F102EE" w14:textId="77777777" w:rsidR="00724C44" w:rsidRPr="00145F3F" w:rsidRDefault="00724C44" w:rsidP="00145F3F">
            <w:pPr>
              <w:spacing w:after="0" w:line="240" w:lineRule="auto"/>
              <w:jc w:val="both"/>
              <w:rPr>
                <w:sz w:val="22"/>
                <w:szCs w:val="22"/>
              </w:rPr>
            </w:pPr>
            <w:r w:rsidRPr="00145F3F">
              <w:rPr>
                <w:sz w:val="22"/>
                <w:szCs w:val="22"/>
              </w:rPr>
              <w:t>5.07</w:t>
            </w:r>
          </w:p>
        </w:tc>
        <w:tc>
          <w:tcPr>
            <w:tcW w:w="864" w:type="dxa"/>
            <w:tcBorders>
              <w:top w:val="nil"/>
              <w:left w:val="nil"/>
              <w:bottom w:val="nil"/>
              <w:right w:val="nil"/>
            </w:tcBorders>
          </w:tcPr>
          <w:p w14:paraId="630A2353" w14:textId="77777777" w:rsidR="00724C44" w:rsidRPr="00145F3F" w:rsidRDefault="00724C44" w:rsidP="00145F3F">
            <w:pPr>
              <w:spacing w:after="0" w:line="240" w:lineRule="auto"/>
              <w:jc w:val="both"/>
              <w:rPr>
                <w:sz w:val="22"/>
                <w:szCs w:val="22"/>
              </w:rPr>
            </w:pPr>
            <w:r w:rsidRPr="00145F3F">
              <w:rPr>
                <w:sz w:val="22"/>
                <w:szCs w:val="22"/>
              </w:rPr>
              <w:t>1.64</w:t>
            </w:r>
          </w:p>
        </w:tc>
        <w:tc>
          <w:tcPr>
            <w:tcW w:w="1728" w:type="dxa"/>
            <w:tcBorders>
              <w:top w:val="nil"/>
              <w:left w:val="nil"/>
              <w:bottom w:val="nil"/>
              <w:right w:val="nil"/>
            </w:tcBorders>
          </w:tcPr>
          <w:p w14:paraId="16FA1034"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71BB9769" w14:textId="77777777" w:rsidTr="00A5379F">
        <w:tc>
          <w:tcPr>
            <w:tcW w:w="1008" w:type="dxa"/>
            <w:tcBorders>
              <w:top w:val="nil"/>
              <w:left w:val="nil"/>
              <w:bottom w:val="nil"/>
              <w:right w:val="nil"/>
            </w:tcBorders>
          </w:tcPr>
          <w:p w14:paraId="1832D21C" w14:textId="77777777" w:rsidR="00724C44" w:rsidRPr="00145F3F" w:rsidRDefault="00724C44" w:rsidP="00145F3F">
            <w:pPr>
              <w:spacing w:after="0" w:line="240" w:lineRule="auto"/>
              <w:jc w:val="both"/>
              <w:rPr>
                <w:sz w:val="22"/>
                <w:szCs w:val="22"/>
              </w:rPr>
            </w:pPr>
            <w:r w:rsidRPr="00145F3F">
              <w:rPr>
                <w:sz w:val="22"/>
                <w:szCs w:val="22"/>
              </w:rPr>
              <w:t>D4.2</w:t>
            </w:r>
          </w:p>
        </w:tc>
        <w:tc>
          <w:tcPr>
            <w:tcW w:w="4752" w:type="dxa"/>
            <w:tcBorders>
              <w:top w:val="nil"/>
              <w:left w:val="nil"/>
              <w:bottom w:val="nil"/>
              <w:right w:val="nil"/>
            </w:tcBorders>
          </w:tcPr>
          <w:p w14:paraId="70B349B8" w14:textId="77777777" w:rsidR="00724C44" w:rsidRPr="00145F3F" w:rsidRDefault="00724C44" w:rsidP="00145F3F">
            <w:pPr>
              <w:spacing w:after="0" w:line="240" w:lineRule="auto"/>
              <w:jc w:val="both"/>
              <w:rPr>
                <w:sz w:val="22"/>
                <w:szCs w:val="22"/>
              </w:rPr>
            </w:pPr>
            <w:r w:rsidRPr="00145F3F">
              <w:rPr>
                <w:sz w:val="22"/>
                <w:szCs w:val="22"/>
              </w:rPr>
              <w:t>Year-over-year comparisons are provided</w:t>
            </w:r>
          </w:p>
        </w:tc>
        <w:tc>
          <w:tcPr>
            <w:tcW w:w="864" w:type="dxa"/>
            <w:tcBorders>
              <w:top w:val="nil"/>
              <w:left w:val="nil"/>
              <w:bottom w:val="nil"/>
              <w:right w:val="nil"/>
            </w:tcBorders>
          </w:tcPr>
          <w:p w14:paraId="292017F9" w14:textId="77777777" w:rsidR="00724C44" w:rsidRPr="00145F3F" w:rsidRDefault="00724C44" w:rsidP="00145F3F">
            <w:pPr>
              <w:spacing w:after="0" w:line="240" w:lineRule="auto"/>
              <w:jc w:val="both"/>
              <w:rPr>
                <w:sz w:val="22"/>
                <w:szCs w:val="22"/>
              </w:rPr>
            </w:pPr>
            <w:r w:rsidRPr="00145F3F">
              <w:rPr>
                <w:sz w:val="22"/>
                <w:szCs w:val="22"/>
              </w:rPr>
              <w:t>5.38</w:t>
            </w:r>
          </w:p>
        </w:tc>
        <w:tc>
          <w:tcPr>
            <w:tcW w:w="864" w:type="dxa"/>
            <w:tcBorders>
              <w:top w:val="nil"/>
              <w:left w:val="nil"/>
              <w:bottom w:val="nil"/>
              <w:right w:val="nil"/>
            </w:tcBorders>
          </w:tcPr>
          <w:p w14:paraId="4F44764F" w14:textId="77777777" w:rsidR="00724C44" w:rsidRPr="00145F3F" w:rsidRDefault="00724C44" w:rsidP="00145F3F">
            <w:pPr>
              <w:spacing w:after="0" w:line="240" w:lineRule="auto"/>
              <w:jc w:val="both"/>
              <w:rPr>
                <w:sz w:val="22"/>
                <w:szCs w:val="22"/>
              </w:rPr>
            </w:pPr>
            <w:r w:rsidRPr="00145F3F">
              <w:rPr>
                <w:sz w:val="22"/>
                <w:szCs w:val="22"/>
              </w:rPr>
              <w:t>1.56</w:t>
            </w:r>
          </w:p>
        </w:tc>
        <w:tc>
          <w:tcPr>
            <w:tcW w:w="1728" w:type="dxa"/>
            <w:tcBorders>
              <w:top w:val="nil"/>
              <w:left w:val="nil"/>
              <w:bottom w:val="nil"/>
              <w:right w:val="nil"/>
            </w:tcBorders>
          </w:tcPr>
          <w:p w14:paraId="107BA026"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1B7331A8" w14:textId="77777777" w:rsidTr="00A5379F">
        <w:tc>
          <w:tcPr>
            <w:tcW w:w="1008" w:type="dxa"/>
            <w:tcBorders>
              <w:top w:val="nil"/>
              <w:left w:val="nil"/>
              <w:bottom w:val="nil"/>
              <w:right w:val="nil"/>
            </w:tcBorders>
          </w:tcPr>
          <w:p w14:paraId="44AC8D88" w14:textId="77777777" w:rsidR="00724C44" w:rsidRPr="00145F3F" w:rsidRDefault="00724C44" w:rsidP="00145F3F">
            <w:pPr>
              <w:spacing w:after="0" w:line="240" w:lineRule="auto"/>
              <w:jc w:val="both"/>
              <w:rPr>
                <w:sz w:val="22"/>
                <w:szCs w:val="22"/>
              </w:rPr>
            </w:pPr>
            <w:r w:rsidRPr="00145F3F">
              <w:rPr>
                <w:sz w:val="22"/>
                <w:szCs w:val="22"/>
              </w:rPr>
              <w:t>D4.3</w:t>
            </w:r>
          </w:p>
        </w:tc>
        <w:tc>
          <w:tcPr>
            <w:tcW w:w="4752" w:type="dxa"/>
            <w:tcBorders>
              <w:top w:val="nil"/>
              <w:left w:val="nil"/>
              <w:bottom w:val="nil"/>
              <w:right w:val="nil"/>
            </w:tcBorders>
          </w:tcPr>
          <w:p w14:paraId="2ABE73F2" w14:textId="77777777" w:rsidR="00724C44" w:rsidRPr="00145F3F" w:rsidRDefault="00724C44" w:rsidP="00145F3F">
            <w:pPr>
              <w:spacing w:after="0" w:line="240" w:lineRule="auto"/>
              <w:jc w:val="both"/>
              <w:rPr>
                <w:sz w:val="22"/>
                <w:szCs w:val="22"/>
              </w:rPr>
            </w:pPr>
            <w:r w:rsidRPr="00145F3F">
              <w:rPr>
                <w:sz w:val="22"/>
                <w:szCs w:val="22"/>
              </w:rPr>
              <w:t>Standardized metrics are used</w:t>
            </w:r>
          </w:p>
        </w:tc>
        <w:tc>
          <w:tcPr>
            <w:tcW w:w="864" w:type="dxa"/>
            <w:tcBorders>
              <w:top w:val="nil"/>
              <w:left w:val="nil"/>
              <w:bottom w:val="nil"/>
              <w:right w:val="nil"/>
            </w:tcBorders>
          </w:tcPr>
          <w:p w14:paraId="6772E713" w14:textId="77777777" w:rsidR="00724C44" w:rsidRPr="00145F3F" w:rsidRDefault="00724C44" w:rsidP="00145F3F">
            <w:pPr>
              <w:spacing w:after="0" w:line="240" w:lineRule="auto"/>
              <w:jc w:val="both"/>
              <w:rPr>
                <w:sz w:val="22"/>
                <w:szCs w:val="22"/>
              </w:rPr>
            </w:pPr>
            <w:r w:rsidRPr="00145F3F">
              <w:rPr>
                <w:sz w:val="22"/>
                <w:szCs w:val="22"/>
              </w:rPr>
              <w:t>5.53</w:t>
            </w:r>
          </w:p>
        </w:tc>
        <w:tc>
          <w:tcPr>
            <w:tcW w:w="864" w:type="dxa"/>
            <w:tcBorders>
              <w:top w:val="nil"/>
              <w:left w:val="nil"/>
              <w:bottom w:val="nil"/>
              <w:right w:val="nil"/>
            </w:tcBorders>
          </w:tcPr>
          <w:p w14:paraId="3E17ADC7" w14:textId="77777777" w:rsidR="00724C44" w:rsidRPr="00145F3F" w:rsidRDefault="00724C44" w:rsidP="00145F3F">
            <w:pPr>
              <w:spacing w:after="0" w:line="240" w:lineRule="auto"/>
              <w:jc w:val="both"/>
              <w:rPr>
                <w:sz w:val="22"/>
                <w:szCs w:val="22"/>
              </w:rPr>
            </w:pPr>
            <w:r w:rsidRPr="00145F3F">
              <w:rPr>
                <w:sz w:val="22"/>
                <w:szCs w:val="22"/>
              </w:rPr>
              <w:t>1.46</w:t>
            </w:r>
          </w:p>
        </w:tc>
        <w:tc>
          <w:tcPr>
            <w:tcW w:w="1728" w:type="dxa"/>
            <w:tcBorders>
              <w:top w:val="nil"/>
              <w:left w:val="nil"/>
              <w:bottom w:val="nil"/>
              <w:right w:val="nil"/>
            </w:tcBorders>
          </w:tcPr>
          <w:p w14:paraId="2D727805"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1EB361A7" w14:textId="77777777" w:rsidTr="00A5379F">
        <w:tc>
          <w:tcPr>
            <w:tcW w:w="1008" w:type="dxa"/>
            <w:tcBorders>
              <w:top w:val="nil"/>
              <w:left w:val="nil"/>
              <w:bottom w:val="nil"/>
              <w:right w:val="nil"/>
            </w:tcBorders>
          </w:tcPr>
          <w:p w14:paraId="2D44CBB4" w14:textId="77777777" w:rsidR="00724C44" w:rsidRPr="00145F3F" w:rsidRDefault="00724C44" w:rsidP="00145F3F">
            <w:pPr>
              <w:spacing w:after="0" w:line="240" w:lineRule="auto"/>
              <w:jc w:val="both"/>
              <w:rPr>
                <w:sz w:val="22"/>
                <w:szCs w:val="22"/>
              </w:rPr>
            </w:pPr>
            <w:r w:rsidRPr="00145F3F">
              <w:rPr>
                <w:sz w:val="22"/>
                <w:szCs w:val="22"/>
              </w:rPr>
              <w:t>D4.4</w:t>
            </w:r>
          </w:p>
        </w:tc>
        <w:tc>
          <w:tcPr>
            <w:tcW w:w="4752" w:type="dxa"/>
            <w:tcBorders>
              <w:top w:val="nil"/>
              <w:left w:val="nil"/>
              <w:bottom w:val="nil"/>
              <w:right w:val="nil"/>
            </w:tcBorders>
          </w:tcPr>
          <w:p w14:paraId="434791C8" w14:textId="77777777" w:rsidR="00724C44" w:rsidRPr="00145F3F" w:rsidRDefault="00724C44" w:rsidP="00145F3F">
            <w:pPr>
              <w:spacing w:after="0" w:line="240" w:lineRule="auto"/>
              <w:jc w:val="both"/>
              <w:rPr>
                <w:sz w:val="22"/>
                <w:szCs w:val="22"/>
              </w:rPr>
            </w:pPr>
            <w:r w:rsidRPr="00145F3F">
              <w:rPr>
                <w:sz w:val="22"/>
                <w:szCs w:val="22"/>
              </w:rPr>
              <w:t>Peer group comparisons are included</w:t>
            </w:r>
          </w:p>
        </w:tc>
        <w:tc>
          <w:tcPr>
            <w:tcW w:w="864" w:type="dxa"/>
            <w:tcBorders>
              <w:top w:val="nil"/>
              <w:left w:val="nil"/>
              <w:bottom w:val="nil"/>
              <w:right w:val="nil"/>
            </w:tcBorders>
          </w:tcPr>
          <w:p w14:paraId="2BB073E2" w14:textId="77777777" w:rsidR="00724C44" w:rsidRPr="00145F3F" w:rsidRDefault="00724C44" w:rsidP="00145F3F">
            <w:pPr>
              <w:spacing w:after="0" w:line="240" w:lineRule="auto"/>
              <w:jc w:val="both"/>
              <w:rPr>
                <w:sz w:val="22"/>
                <w:szCs w:val="22"/>
              </w:rPr>
            </w:pPr>
            <w:r w:rsidRPr="00145F3F">
              <w:rPr>
                <w:sz w:val="22"/>
                <w:szCs w:val="22"/>
              </w:rPr>
              <w:t>5.39</w:t>
            </w:r>
          </w:p>
        </w:tc>
        <w:tc>
          <w:tcPr>
            <w:tcW w:w="864" w:type="dxa"/>
            <w:tcBorders>
              <w:top w:val="nil"/>
              <w:left w:val="nil"/>
              <w:bottom w:val="nil"/>
              <w:right w:val="nil"/>
            </w:tcBorders>
          </w:tcPr>
          <w:p w14:paraId="2B5A70DB" w14:textId="77777777" w:rsidR="00724C44" w:rsidRPr="00145F3F" w:rsidRDefault="00724C44" w:rsidP="00145F3F">
            <w:pPr>
              <w:spacing w:after="0" w:line="240" w:lineRule="auto"/>
              <w:jc w:val="both"/>
              <w:rPr>
                <w:sz w:val="22"/>
                <w:szCs w:val="22"/>
              </w:rPr>
            </w:pPr>
            <w:r w:rsidRPr="00145F3F">
              <w:rPr>
                <w:sz w:val="22"/>
                <w:szCs w:val="22"/>
              </w:rPr>
              <w:t>1.55</w:t>
            </w:r>
          </w:p>
        </w:tc>
        <w:tc>
          <w:tcPr>
            <w:tcW w:w="1728" w:type="dxa"/>
            <w:tcBorders>
              <w:top w:val="nil"/>
              <w:left w:val="nil"/>
              <w:bottom w:val="nil"/>
              <w:right w:val="nil"/>
            </w:tcBorders>
          </w:tcPr>
          <w:p w14:paraId="47A84D89"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562D03C7" w14:textId="77777777" w:rsidTr="00A5379F">
        <w:tc>
          <w:tcPr>
            <w:tcW w:w="1008" w:type="dxa"/>
            <w:tcBorders>
              <w:top w:val="nil"/>
              <w:left w:val="nil"/>
              <w:bottom w:val="nil"/>
              <w:right w:val="nil"/>
            </w:tcBorders>
          </w:tcPr>
          <w:p w14:paraId="62B6182F" w14:textId="77777777" w:rsidR="00724C44" w:rsidRPr="00145F3F" w:rsidRDefault="00724C44" w:rsidP="00145F3F">
            <w:pPr>
              <w:spacing w:after="0" w:line="240" w:lineRule="auto"/>
              <w:jc w:val="both"/>
              <w:rPr>
                <w:sz w:val="22"/>
                <w:szCs w:val="22"/>
              </w:rPr>
            </w:pPr>
            <w:r w:rsidRPr="00145F3F">
              <w:rPr>
                <w:sz w:val="22"/>
                <w:szCs w:val="22"/>
              </w:rPr>
              <w:t>D4.5</w:t>
            </w:r>
          </w:p>
        </w:tc>
        <w:tc>
          <w:tcPr>
            <w:tcW w:w="4752" w:type="dxa"/>
            <w:tcBorders>
              <w:top w:val="nil"/>
              <w:left w:val="nil"/>
              <w:bottom w:val="nil"/>
              <w:right w:val="nil"/>
            </w:tcBorders>
          </w:tcPr>
          <w:p w14:paraId="7ECABF14" w14:textId="77777777" w:rsidR="00724C44" w:rsidRPr="00145F3F" w:rsidRDefault="00724C44" w:rsidP="00145F3F">
            <w:pPr>
              <w:spacing w:after="0" w:line="240" w:lineRule="auto"/>
              <w:jc w:val="both"/>
              <w:rPr>
                <w:sz w:val="22"/>
                <w:szCs w:val="22"/>
              </w:rPr>
            </w:pPr>
            <w:r w:rsidRPr="00145F3F">
              <w:rPr>
                <w:sz w:val="22"/>
                <w:szCs w:val="22"/>
              </w:rPr>
              <w:t>International reporting standards are followed</w:t>
            </w:r>
          </w:p>
        </w:tc>
        <w:tc>
          <w:tcPr>
            <w:tcW w:w="864" w:type="dxa"/>
            <w:tcBorders>
              <w:top w:val="nil"/>
              <w:left w:val="nil"/>
              <w:bottom w:val="nil"/>
              <w:right w:val="nil"/>
            </w:tcBorders>
          </w:tcPr>
          <w:p w14:paraId="431153B5" w14:textId="77777777" w:rsidR="00724C44" w:rsidRPr="00145F3F" w:rsidRDefault="00724C44" w:rsidP="00145F3F">
            <w:pPr>
              <w:spacing w:after="0" w:line="240" w:lineRule="auto"/>
              <w:jc w:val="both"/>
              <w:rPr>
                <w:sz w:val="22"/>
                <w:szCs w:val="22"/>
              </w:rPr>
            </w:pPr>
            <w:r w:rsidRPr="00145F3F">
              <w:rPr>
                <w:sz w:val="22"/>
                <w:szCs w:val="22"/>
              </w:rPr>
              <w:t>2.38</w:t>
            </w:r>
          </w:p>
        </w:tc>
        <w:tc>
          <w:tcPr>
            <w:tcW w:w="864" w:type="dxa"/>
            <w:tcBorders>
              <w:top w:val="nil"/>
              <w:left w:val="nil"/>
              <w:bottom w:val="nil"/>
              <w:right w:val="nil"/>
            </w:tcBorders>
          </w:tcPr>
          <w:p w14:paraId="0AC520E5" w14:textId="77777777" w:rsidR="00724C44" w:rsidRPr="00145F3F" w:rsidRDefault="00724C44" w:rsidP="00145F3F">
            <w:pPr>
              <w:spacing w:after="0" w:line="240" w:lineRule="auto"/>
              <w:jc w:val="both"/>
              <w:rPr>
                <w:sz w:val="22"/>
                <w:szCs w:val="22"/>
              </w:rPr>
            </w:pPr>
            <w:r w:rsidRPr="00145F3F">
              <w:rPr>
                <w:sz w:val="22"/>
                <w:szCs w:val="22"/>
              </w:rPr>
              <w:t>1.20</w:t>
            </w:r>
          </w:p>
        </w:tc>
        <w:tc>
          <w:tcPr>
            <w:tcW w:w="1728" w:type="dxa"/>
            <w:tcBorders>
              <w:top w:val="nil"/>
              <w:left w:val="nil"/>
              <w:bottom w:val="nil"/>
              <w:right w:val="nil"/>
            </w:tcBorders>
          </w:tcPr>
          <w:p w14:paraId="478BB860"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025FCEDE" w14:textId="77777777" w:rsidTr="00A5379F">
        <w:tc>
          <w:tcPr>
            <w:tcW w:w="1008" w:type="dxa"/>
            <w:tcBorders>
              <w:top w:val="nil"/>
              <w:left w:val="nil"/>
              <w:bottom w:val="single" w:sz="4" w:space="0" w:color="000000"/>
              <w:right w:val="nil"/>
            </w:tcBorders>
          </w:tcPr>
          <w:p w14:paraId="17F6DF62" w14:textId="77777777" w:rsidR="00724C44" w:rsidRPr="00145F3F" w:rsidRDefault="00724C44" w:rsidP="00145F3F">
            <w:pPr>
              <w:spacing w:after="0" w:line="240" w:lineRule="auto"/>
              <w:jc w:val="both"/>
              <w:rPr>
                <w:sz w:val="22"/>
                <w:szCs w:val="22"/>
              </w:rPr>
            </w:pPr>
          </w:p>
        </w:tc>
        <w:tc>
          <w:tcPr>
            <w:tcW w:w="4752" w:type="dxa"/>
            <w:tcBorders>
              <w:top w:val="nil"/>
              <w:left w:val="nil"/>
              <w:bottom w:val="single" w:sz="4" w:space="0" w:color="000000"/>
              <w:right w:val="nil"/>
            </w:tcBorders>
          </w:tcPr>
          <w:p w14:paraId="74E47044" w14:textId="77777777" w:rsidR="00724C44" w:rsidRPr="00145F3F" w:rsidRDefault="00724C44" w:rsidP="00145F3F">
            <w:pPr>
              <w:spacing w:after="0" w:line="240" w:lineRule="auto"/>
              <w:jc w:val="both"/>
              <w:rPr>
                <w:sz w:val="22"/>
                <w:szCs w:val="22"/>
              </w:rPr>
            </w:pPr>
            <w:r w:rsidRPr="00145F3F">
              <w:rPr>
                <w:sz w:val="22"/>
                <w:szCs w:val="22"/>
              </w:rPr>
              <w:t>Construct Mean (D4)</w:t>
            </w:r>
          </w:p>
        </w:tc>
        <w:tc>
          <w:tcPr>
            <w:tcW w:w="864" w:type="dxa"/>
            <w:tcBorders>
              <w:top w:val="nil"/>
              <w:left w:val="nil"/>
              <w:bottom w:val="single" w:sz="4" w:space="0" w:color="000000"/>
              <w:right w:val="nil"/>
            </w:tcBorders>
          </w:tcPr>
          <w:p w14:paraId="7AB3CD59" w14:textId="77777777" w:rsidR="00724C44" w:rsidRPr="00145F3F" w:rsidRDefault="00724C44" w:rsidP="00145F3F">
            <w:pPr>
              <w:spacing w:after="0" w:line="240" w:lineRule="auto"/>
              <w:jc w:val="both"/>
              <w:rPr>
                <w:sz w:val="22"/>
                <w:szCs w:val="22"/>
              </w:rPr>
            </w:pPr>
            <w:r w:rsidRPr="00145F3F">
              <w:rPr>
                <w:sz w:val="22"/>
                <w:szCs w:val="22"/>
              </w:rPr>
              <w:t>4.75</w:t>
            </w:r>
          </w:p>
        </w:tc>
        <w:tc>
          <w:tcPr>
            <w:tcW w:w="864" w:type="dxa"/>
            <w:tcBorders>
              <w:top w:val="nil"/>
              <w:left w:val="nil"/>
              <w:bottom w:val="single" w:sz="4" w:space="0" w:color="000000"/>
              <w:right w:val="nil"/>
            </w:tcBorders>
          </w:tcPr>
          <w:p w14:paraId="5ED9B7DB" w14:textId="77777777" w:rsidR="00724C44" w:rsidRPr="00145F3F" w:rsidRDefault="00724C44" w:rsidP="00145F3F">
            <w:pPr>
              <w:spacing w:after="0" w:line="240" w:lineRule="auto"/>
              <w:jc w:val="both"/>
              <w:rPr>
                <w:sz w:val="22"/>
                <w:szCs w:val="22"/>
              </w:rPr>
            </w:pPr>
            <w:r w:rsidRPr="00145F3F">
              <w:rPr>
                <w:sz w:val="22"/>
                <w:szCs w:val="22"/>
              </w:rPr>
              <w:t>0.72</w:t>
            </w:r>
          </w:p>
        </w:tc>
        <w:tc>
          <w:tcPr>
            <w:tcW w:w="1728" w:type="dxa"/>
            <w:tcBorders>
              <w:top w:val="nil"/>
              <w:left w:val="nil"/>
              <w:bottom w:val="single" w:sz="4" w:space="0" w:color="000000"/>
              <w:right w:val="nil"/>
            </w:tcBorders>
          </w:tcPr>
          <w:p w14:paraId="616F3562" w14:textId="77777777" w:rsidR="00724C44" w:rsidRPr="00145F3F" w:rsidRDefault="00724C44" w:rsidP="00145F3F">
            <w:pPr>
              <w:spacing w:after="0" w:line="240" w:lineRule="auto"/>
              <w:jc w:val="both"/>
              <w:rPr>
                <w:sz w:val="22"/>
                <w:szCs w:val="22"/>
              </w:rPr>
            </w:pPr>
            <w:r w:rsidRPr="00145F3F">
              <w:rPr>
                <w:sz w:val="22"/>
                <w:szCs w:val="22"/>
              </w:rPr>
              <w:t>Moderate-High</w:t>
            </w:r>
          </w:p>
        </w:tc>
      </w:tr>
    </w:tbl>
    <w:p w14:paraId="308FBB18"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15095427" w14:textId="362DDDA5" w:rsidR="00724C44" w:rsidRPr="00724C44" w:rsidRDefault="00724C44" w:rsidP="00724C44">
      <w:pPr>
        <w:spacing w:line="240" w:lineRule="auto"/>
        <w:jc w:val="both"/>
      </w:pPr>
      <w:r w:rsidRPr="00724C44">
        <w:t>Notably, comparability represents the highest-scoring disclosure quality dimension (M = 4.75, Moderate-High). Use of industry benchmarks (D4.1), year-over-year comparisons (D4.2), and standardized metrics (D4.3) all show relatively strong adoption. When organi</w:t>
      </w:r>
      <w:r w:rsidR="00C313FF">
        <w:t>z</w:t>
      </w:r>
      <w:r w:rsidRPr="00724C44">
        <w:t>ations do disclose, they present information in comparable formats, likely under the influence of financial reporting standards.</w:t>
      </w:r>
    </w:p>
    <w:p w14:paraId="21EE0AC7" w14:textId="77777777" w:rsidR="00724C44" w:rsidRPr="00724C44" w:rsidRDefault="00724C44" w:rsidP="00724C44">
      <w:pPr>
        <w:spacing w:line="240" w:lineRule="auto"/>
        <w:jc w:val="both"/>
      </w:pPr>
      <w:r w:rsidRPr="00724C44">
        <w:rPr>
          <w:b/>
        </w:rPr>
        <w:t>4.6.5 Disclosure Accessibility (D5)</w:t>
      </w:r>
    </w:p>
    <w:p w14:paraId="44202705" w14:textId="77777777" w:rsidR="00724C44" w:rsidRPr="00724C44" w:rsidRDefault="00724C44" w:rsidP="00724C44">
      <w:pPr>
        <w:spacing w:line="240" w:lineRule="auto"/>
        <w:jc w:val="both"/>
      </w:pPr>
      <w:r w:rsidRPr="00724C44">
        <w:t>Accessibility measures the ease with which stakeholders can locate and utilize disclosed human capital information. Table 4.19 presents the descriptive statistics for these four items.</w:t>
      </w:r>
    </w:p>
    <w:p w14:paraId="2085C389" w14:textId="77777777" w:rsidR="00724C44" w:rsidRPr="00724C44" w:rsidRDefault="00724C44" w:rsidP="00724C44">
      <w:pPr>
        <w:spacing w:line="240" w:lineRule="auto"/>
        <w:jc w:val="both"/>
      </w:pPr>
      <w:r w:rsidRPr="00724C44">
        <w:rPr>
          <w:b/>
        </w:rPr>
        <w:t>Table 4.19</w:t>
      </w:r>
    </w:p>
    <w:p w14:paraId="46AB14A5" w14:textId="77777777" w:rsidR="00724C44" w:rsidRPr="00724C44" w:rsidRDefault="00724C44" w:rsidP="00724C44">
      <w:pPr>
        <w:spacing w:line="240" w:lineRule="auto"/>
        <w:jc w:val="both"/>
      </w:pPr>
      <w:r w:rsidRPr="00724C44">
        <w:rPr>
          <w:i/>
        </w:rPr>
        <w:t>Disclosure Accessibility – Descriptive Statistics (n = 400)</w:t>
      </w:r>
    </w:p>
    <w:tbl>
      <w:tblPr>
        <w:tblW w:w="0" w:type="auto"/>
        <w:tblLayout w:type="fixed"/>
        <w:tblLook w:val="04A0" w:firstRow="1" w:lastRow="0" w:firstColumn="1" w:lastColumn="0" w:noHBand="0" w:noVBand="1"/>
      </w:tblPr>
      <w:tblGrid>
        <w:gridCol w:w="1008"/>
        <w:gridCol w:w="4932"/>
        <w:gridCol w:w="810"/>
        <w:gridCol w:w="720"/>
        <w:gridCol w:w="1602"/>
      </w:tblGrid>
      <w:tr w:rsidR="00724C44" w:rsidRPr="00724C44" w14:paraId="22AE0558" w14:textId="77777777" w:rsidTr="00145F3F">
        <w:tc>
          <w:tcPr>
            <w:tcW w:w="1008" w:type="dxa"/>
            <w:tcBorders>
              <w:top w:val="single" w:sz="4" w:space="0" w:color="000000"/>
              <w:left w:val="nil"/>
              <w:bottom w:val="single" w:sz="4" w:space="0" w:color="000000"/>
              <w:right w:val="nil"/>
            </w:tcBorders>
          </w:tcPr>
          <w:p w14:paraId="2C43C86C" w14:textId="77777777" w:rsidR="00724C44" w:rsidRPr="00145F3F" w:rsidRDefault="00724C44" w:rsidP="00145F3F">
            <w:pPr>
              <w:spacing w:after="0" w:line="240" w:lineRule="auto"/>
              <w:jc w:val="both"/>
              <w:rPr>
                <w:sz w:val="22"/>
                <w:szCs w:val="22"/>
              </w:rPr>
            </w:pPr>
            <w:r w:rsidRPr="00145F3F">
              <w:rPr>
                <w:b/>
                <w:sz w:val="22"/>
                <w:szCs w:val="22"/>
              </w:rPr>
              <w:t>Item</w:t>
            </w:r>
          </w:p>
        </w:tc>
        <w:tc>
          <w:tcPr>
            <w:tcW w:w="4932" w:type="dxa"/>
            <w:tcBorders>
              <w:top w:val="single" w:sz="4" w:space="0" w:color="000000"/>
              <w:left w:val="nil"/>
              <w:bottom w:val="single" w:sz="4" w:space="0" w:color="000000"/>
              <w:right w:val="nil"/>
            </w:tcBorders>
          </w:tcPr>
          <w:p w14:paraId="3F6C9FD7"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10" w:type="dxa"/>
            <w:tcBorders>
              <w:top w:val="single" w:sz="4" w:space="0" w:color="000000"/>
              <w:left w:val="nil"/>
              <w:bottom w:val="single" w:sz="4" w:space="0" w:color="000000"/>
              <w:right w:val="nil"/>
            </w:tcBorders>
          </w:tcPr>
          <w:p w14:paraId="453CD552" w14:textId="77777777" w:rsidR="00724C44" w:rsidRPr="00145F3F" w:rsidRDefault="00724C44" w:rsidP="00145F3F">
            <w:pPr>
              <w:spacing w:after="0" w:line="240" w:lineRule="auto"/>
              <w:jc w:val="both"/>
              <w:rPr>
                <w:sz w:val="22"/>
                <w:szCs w:val="22"/>
              </w:rPr>
            </w:pPr>
            <w:r w:rsidRPr="00145F3F">
              <w:rPr>
                <w:b/>
                <w:sz w:val="22"/>
                <w:szCs w:val="22"/>
              </w:rPr>
              <w:t>M</w:t>
            </w:r>
          </w:p>
        </w:tc>
        <w:tc>
          <w:tcPr>
            <w:tcW w:w="720" w:type="dxa"/>
            <w:tcBorders>
              <w:top w:val="single" w:sz="4" w:space="0" w:color="000000"/>
              <w:left w:val="nil"/>
              <w:bottom w:val="single" w:sz="4" w:space="0" w:color="000000"/>
              <w:right w:val="nil"/>
            </w:tcBorders>
          </w:tcPr>
          <w:p w14:paraId="49D078F0" w14:textId="77777777" w:rsidR="00724C44" w:rsidRPr="00145F3F" w:rsidRDefault="00724C44" w:rsidP="00145F3F">
            <w:pPr>
              <w:spacing w:after="0" w:line="240" w:lineRule="auto"/>
              <w:jc w:val="both"/>
              <w:rPr>
                <w:sz w:val="22"/>
                <w:szCs w:val="22"/>
              </w:rPr>
            </w:pPr>
            <w:r w:rsidRPr="00145F3F">
              <w:rPr>
                <w:b/>
                <w:sz w:val="22"/>
                <w:szCs w:val="22"/>
              </w:rPr>
              <w:t>SD</w:t>
            </w:r>
          </w:p>
        </w:tc>
        <w:tc>
          <w:tcPr>
            <w:tcW w:w="1602" w:type="dxa"/>
            <w:tcBorders>
              <w:top w:val="single" w:sz="4" w:space="0" w:color="000000"/>
              <w:left w:val="nil"/>
              <w:bottom w:val="single" w:sz="4" w:space="0" w:color="000000"/>
              <w:right w:val="nil"/>
            </w:tcBorders>
          </w:tcPr>
          <w:p w14:paraId="5DBC7A55"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0C72FD38" w14:textId="77777777" w:rsidTr="00145F3F">
        <w:tc>
          <w:tcPr>
            <w:tcW w:w="1008" w:type="dxa"/>
            <w:tcBorders>
              <w:top w:val="nil"/>
              <w:left w:val="nil"/>
              <w:bottom w:val="nil"/>
              <w:right w:val="nil"/>
            </w:tcBorders>
          </w:tcPr>
          <w:p w14:paraId="090FBB1E" w14:textId="77777777" w:rsidR="00724C44" w:rsidRPr="00145F3F" w:rsidRDefault="00724C44" w:rsidP="00145F3F">
            <w:pPr>
              <w:spacing w:after="0" w:line="240" w:lineRule="auto"/>
              <w:jc w:val="both"/>
              <w:rPr>
                <w:sz w:val="22"/>
                <w:szCs w:val="22"/>
              </w:rPr>
            </w:pPr>
            <w:r w:rsidRPr="00145F3F">
              <w:rPr>
                <w:sz w:val="22"/>
                <w:szCs w:val="22"/>
              </w:rPr>
              <w:t>D5.1</w:t>
            </w:r>
          </w:p>
        </w:tc>
        <w:tc>
          <w:tcPr>
            <w:tcW w:w="4932" w:type="dxa"/>
            <w:tcBorders>
              <w:top w:val="nil"/>
              <w:left w:val="nil"/>
              <w:bottom w:val="nil"/>
              <w:right w:val="nil"/>
            </w:tcBorders>
          </w:tcPr>
          <w:p w14:paraId="3B8A1F94" w14:textId="77777777" w:rsidR="00724C44" w:rsidRPr="00145F3F" w:rsidRDefault="00724C44" w:rsidP="00145F3F">
            <w:pPr>
              <w:spacing w:after="0" w:line="240" w:lineRule="auto"/>
              <w:jc w:val="both"/>
              <w:rPr>
                <w:sz w:val="22"/>
                <w:szCs w:val="22"/>
              </w:rPr>
            </w:pPr>
            <w:r w:rsidRPr="00145F3F">
              <w:rPr>
                <w:sz w:val="22"/>
                <w:szCs w:val="22"/>
              </w:rPr>
              <w:t>Human capital info appears in annual reports</w:t>
            </w:r>
          </w:p>
        </w:tc>
        <w:tc>
          <w:tcPr>
            <w:tcW w:w="810" w:type="dxa"/>
            <w:tcBorders>
              <w:top w:val="nil"/>
              <w:left w:val="nil"/>
              <w:bottom w:val="nil"/>
              <w:right w:val="nil"/>
            </w:tcBorders>
          </w:tcPr>
          <w:p w14:paraId="3CEA34A7" w14:textId="77777777" w:rsidR="00724C44" w:rsidRPr="00145F3F" w:rsidRDefault="00724C44" w:rsidP="00145F3F">
            <w:pPr>
              <w:spacing w:after="0" w:line="240" w:lineRule="auto"/>
              <w:jc w:val="both"/>
              <w:rPr>
                <w:sz w:val="22"/>
                <w:szCs w:val="22"/>
              </w:rPr>
            </w:pPr>
            <w:r w:rsidRPr="00145F3F">
              <w:rPr>
                <w:sz w:val="22"/>
                <w:szCs w:val="22"/>
              </w:rPr>
              <w:t>2.35</w:t>
            </w:r>
          </w:p>
        </w:tc>
        <w:tc>
          <w:tcPr>
            <w:tcW w:w="720" w:type="dxa"/>
            <w:tcBorders>
              <w:top w:val="nil"/>
              <w:left w:val="nil"/>
              <w:bottom w:val="nil"/>
              <w:right w:val="nil"/>
            </w:tcBorders>
          </w:tcPr>
          <w:p w14:paraId="7FF2B3DF" w14:textId="77777777" w:rsidR="00724C44" w:rsidRPr="00145F3F" w:rsidRDefault="00724C44" w:rsidP="00145F3F">
            <w:pPr>
              <w:spacing w:after="0" w:line="240" w:lineRule="auto"/>
              <w:jc w:val="both"/>
              <w:rPr>
                <w:sz w:val="22"/>
                <w:szCs w:val="22"/>
              </w:rPr>
            </w:pPr>
            <w:r w:rsidRPr="00145F3F">
              <w:rPr>
                <w:sz w:val="22"/>
                <w:szCs w:val="22"/>
              </w:rPr>
              <w:t>1.13</w:t>
            </w:r>
          </w:p>
        </w:tc>
        <w:tc>
          <w:tcPr>
            <w:tcW w:w="1602" w:type="dxa"/>
            <w:tcBorders>
              <w:top w:val="nil"/>
              <w:left w:val="nil"/>
              <w:bottom w:val="nil"/>
              <w:right w:val="nil"/>
            </w:tcBorders>
          </w:tcPr>
          <w:p w14:paraId="1CEB5D9C"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2A28C311" w14:textId="77777777" w:rsidTr="00145F3F">
        <w:tc>
          <w:tcPr>
            <w:tcW w:w="1008" w:type="dxa"/>
            <w:tcBorders>
              <w:top w:val="nil"/>
              <w:left w:val="nil"/>
              <w:bottom w:val="nil"/>
              <w:right w:val="nil"/>
            </w:tcBorders>
          </w:tcPr>
          <w:p w14:paraId="32691520" w14:textId="77777777" w:rsidR="00724C44" w:rsidRPr="00145F3F" w:rsidRDefault="00724C44" w:rsidP="00145F3F">
            <w:pPr>
              <w:spacing w:after="0" w:line="240" w:lineRule="auto"/>
              <w:jc w:val="both"/>
              <w:rPr>
                <w:sz w:val="22"/>
                <w:szCs w:val="22"/>
              </w:rPr>
            </w:pPr>
            <w:r w:rsidRPr="00145F3F">
              <w:rPr>
                <w:sz w:val="22"/>
                <w:szCs w:val="22"/>
              </w:rPr>
              <w:t>D5.2</w:t>
            </w:r>
          </w:p>
        </w:tc>
        <w:tc>
          <w:tcPr>
            <w:tcW w:w="4932" w:type="dxa"/>
            <w:tcBorders>
              <w:top w:val="nil"/>
              <w:left w:val="nil"/>
              <w:bottom w:val="nil"/>
              <w:right w:val="nil"/>
            </w:tcBorders>
          </w:tcPr>
          <w:p w14:paraId="045C46EB" w14:textId="77777777" w:rsidR="00724C44" w:rsidRPr="00145F3F" w:rsidRDefault="00724C44" w:rsidP="00145F3F">
            <w:pPr>
              <w:spacing w:after="0" w:line="240" w:lineRule="auto"/>
              <w:jc w:val="both"/>
              <w:rPr>
                <w:sz w:val="22"/>
                <w:szCs w:val="22"/>
              </w:rPr>
            </w:pPr>
            <w:r w:rsidRPr="00145F3F">
              <w:rPr>
                <w:sz w:val="22"/>
                <w:szCs w:val="22"/>
              </w:rPr>
              <w:t>Dedicated HC section exists on the company website</w:t>
            </w:r>
          </w:p>
        </w:tc>
        <w:tc>
          <w:tcPr>
            <w:tcW w:w="810" w:type="dxa"/>
            <w:tcBorders>
              <w:top w:val="nil"/>
              <w:left w:val="nil"/>
              <w:bottom w:val="nil"/>
              <w:right w:val="nil"/>
            </w:tcBorders>
          </w:tcPr>
          <w:p w14:paraId="63195420" w14:textId="77777777" w:rsidR="00724C44" w:rsidRPr="00145F3F" w:rsidRDefault="00724C44" w:rsidP="00145F3F">
            <w:pPr>
              <w:spacing w:after="0" w:line="240" w:lineRule="auto"/>
              <w:jc w:val="both"/>
              <w:rPr>
                <w:sz w:val="22"/>
                <w:szCs w:val="22"/>
              </w:rPr>
            </w:pPr>
            <w:r w:rsidRPr="00145F3F">
              <w:rPr>
                <w:sz w:val="22"/>
                <w:szCs w:val="22"/>
              </w:rPr>
              <w:t>2.31</w:t>
            </w:r>
          </w:p>
        </w:tc>
        <w:tc>
          <w:tcPr>
            <w:tcW w:w="720" w:type="dxa"/>
            <w:tcBorders>
              <w:top w:val="nil"/>
              <w:left w:val="nil"/>
              <w:bottom w:val="nil"/>
              <w:right w:val="nil"/>
            </w:tcBorders>
          </w:tcPr>
          <w:p w14:paraId="5DBD36A6" w14:textId="77777777" w:rsidR="00724C44" w:rsidRPr="00145F3F" w:rsidRDefault="00724C44" w:rsidP="00145F3F">
            <w:pPr>
              <w:spacing w:after="0" w:line="240" w:lineRule="auto"/>
              <w:jc w:val="both"/>
              <w:rPr>
                <w:sz w:val="22"/>
                <w:szCs w:val="22"/>
              </w:rPr>
            </w:pPr>
            <w:r w:rsidRPr="00145F3F">
              <w:rPr>
                <w:sz w:val="22"/>
                <w:szCs w:val="22"/>
              </w:rPr>
              <w:t>1.09</w:t>
            </w:r>
          </w:p>
        </w:tc>
        <w:tc>
          <w:tcPr>
            <w:tcW w:w="1602" w:type="dxa"/>
            <w:tcBorders>
              <w:top w:val="nil"/>
              <w:left w:val="nil"/>
              <w:bottom w:val="nil"/>
              <w:right w:val="nil"/>
            </w:tcBorders>
          </w:tcPr>
          <w:p w14:paraId="3EE67524"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13878CE4" w14:textId="77777777" w:rsidTr="00145F3F">
        <w:tc>
          <w:tcPr>
            <w:tcW w:w="1008" w:type="dxa"/>
            <w:tcBorders>
              <w:top w:val="nil"/>
              <w:left w:val="nil"/>
              <w:bottom w:val="nil"/>
              <w:right w:val="nil"/>
            </w:tcBorders>
          </w:tcPr>
          <w:p w14:paraId="78D0269C" w14:textId="77777777" w:rsidR="00724C44" w:rsidRPr="00145F3F" w:rsidRDefault="00724C44" w:rsidP="00145F3F">
            <w:pPr>
              <w:spacing w:after="0" w:line="240" w:lineRule="auto"/>
              <w:jc w:val="both"/>
              <w:rPr>
                <w:sz w:val="22"/>
                <w:szCs w:val="22"/>
              </w:rPr>
            </w:pPr>
            <w:r w:rsidRPr="00145F3F">
              <w:rPr>
                <w:sz w:val="22"/>
                <w:szCs w:val="22"/>
              </w:rPr>
              <w:t>D5.3</w:t>
            </w:r>
          </w:p>
        </w:tc>
        <w:tc>
          <w:tcPr>
            <w:tcW w:w="4932" w:type="dxa"/>
            <w:tcBorders>
              <w:top w:val="nil"/>
              <w:left w:val="nil"/>
              <w:bottom w:val="nil"/>
              <w:right w:val="nil"/>
            </w:tcBorders>
          </w:tcPr>
          <w:p w14:paraId="64661ACB" w14:textId="77777777" w:rsidR="00724C44" w:rsidRPr="00145F3F" w:rsidRDefault="00724C44" w:rsidP="00145F3F">
            <w:pPr>
              <w:spacing w:after="0" w:line="240" w:lineRule="auto"/>
              <w:jc w:val="both"/>
              <w:rPr>
                <w:sz w:val="22"/>
                <w:szCs w:val="22"/>
              </w:rPr>
            </w:pPr>
            <w:r w:rsidRPr="00145F3F">
              <w:rPr>
                <w:sz w:val="22"/>
                <w:szCs w:val="22"/>
              </w:rPr>
              <w:t>Data is available in machine-readable formats</w:t>
            </w:r>
          </w:p>
        </w:tc>
        <w:tc>
          <w:tcPr>
            <w:tcW w:w="810" w:type="dxa"/>
            <w:tcBorders>
              <w:top w:val="nil"/>
              <w:left w:val="nil"/>
              <w:bottom w:val="nil"/>
              <w:right w:val="nil"/>
            </w:tcBorders>
          </w:tcPr>
          <w:p w14:paraId="3C1EBBC8" w14:textId="77777777" w:rsidR="00724C44" w:rsidRPr="00145F3F" w:rsidRDefault="00724C44" w:rsidP="00145F3F">
            <w:pPr>
              <w:spacing w:after="0" w:line="240" w:lineRule="auto"/>
              <w:jc w:val="both"/>
              <w:rPr>
                <w:sz w:val="22"/>
                <w:szCs w:val="22"/>
              </w:rPr>
            </w:pPr>
            <w:r w:rsidRPr="00145F3F">
              <w:rPr>
                <w:sz w:val="22"/>
                <w:szCs w:val="22"/>
              </w:rPr>
              <w:t>2.35</w:t>
            </w:r>
          </w:p>
        </w:tc>
        <w:tc>
          <w:tcPr>
            <w:tcW w:w="720" w:type="dxa"/>
            <w:tcBorders>
              <w:top w:val="nil"/>
              <w:left w:val="nil"/>
              <w:bottom w:val="nil"/>
              <w:right w:val="nil"/>
            </w:tcBorders>
          </w:tcPr>
          <w:p w14:paraId="0216BFED" w14:textId="77777777" w:rsidR="00724C44" w:rsidRPr="00145F3F" w:rsidRDefault="00724C44" w:rsidP="00145F3F">
            <w:pPr>
              <w:spacing w:after="0" w:line="240" w:lineRule="auto"/>
              <w:jc w:val="both"/>
              <w:rPr>
                <w:sz w:val="22"/>
                <w:szCs w:val="22"/>
              </w:rPr>
            </w:pPr>
            <w:r w:rsidRPr="00145F3F">
              <w:rPr>
                <w:sz w:val="22"/>
                <w:szCs w:val="22"/>
              </w:rPr>
              <w:t>1.11</w:t>
            </w:r>
          </w:p>
        </w:tc>
        <w:tc>
          <w:tcPr>
            <w:tcW w:w="1602" w:type="dxa"/>
            <w:tcBorders>
              <w:top w:val="nil"/>
              <w:left w:val="nil"/>
              <w:bottom w:val="nil"/>
              <w:right w:val="nil"/>
            </w:tcBorders>
          </w:tcPr>
          <w:p w14:paraId="3DCD9986"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AC7FFF7" w14:textId="77777777" w:rsidTr="00145F3F">
        <w:tc>
          <w:tcPr>
            <w:tcW w:w="1008" w:type="dxa"/>
            <w:tcBorders>
              <w:top w:val="nil"/>
              <w:left w:val="nil"/>
              <w:bottom w:val="nil"/>
              <w:right w:val="nil"/>
            </w:tcBorders>
          </w:tcPr>
          <w:p w14:paraId="5234BDD3" w14:textId="77777777" w:rsidR="00724C44" w:rsidRPr="00145F3F" w:rsidRDefault="00724C44" w:rsidP="00145F3F">
            <w:pPr>
              <w:spacing w:after="0" w:line="240" w:lineRule="auto"/>
              <w:jc w:val="both"/>
              <w:rPr>
                <w:sz w:val="22"/>
                <w:szCs w:val="22"/>
              </w:rPr>
            </w:pPr>
            <w:r w:rsidRPr="00145F3F">
              <w:rPr>
                <w:sz w:val="22"/>
                <w:szCs w:val="22"/>
              </w:rPr>
              <w:t>D5.4</w:t>
            </w:r>
          </w:p>
        </w:tc>
        <w:tc>
          <w:tcPr>
            <w:tcW w:w="4932" w:type="dxa"/>
            <w:tcBorders>
              <w:top w:val="nil"/>
              <w:left w:val="nil"/>
              <w:bottom w:val="nil"/>
              <w:right w:val="nil"/>
            </w:tcBorders>
          </w:tcPr>
          <w:p w14:paraId="4C632DEE" w14:textId="77777777" w:rsidR="00724C44" w:rsidRPr="00145F3F" w:rsidRDefault="00724C44" w:rsidP="00145F3F">
            <w:pPr>
              <w:spacing w:after="0" w:line="240" w:lineRule="auto"/>
              <w:jc w:val="both"/>
              <w:rPr>
                <w:sz w:val="22"/>
                <w:szCs w:val="22"/>
              </w:rPr>
            </w:pPr>
            <w:r w:rsidRPr="00145F3F">
              <w:rPr>
                <w:sz w:val="22"/>
                <w:szCs w:val="22"/>
              </w:rPr>
              <w:t>Information is available in multiple languages</w:t>
            </w:r>
          </w:p>
        </w:tc>
        <w:tc>
          <w:tcPr>
            <w:tcW w:w="810" w:type="dxa"/>
            <w:tcBorders>
              <w:top w:val="nil"/>
              <w:left w:val="nil"/>
              <w:bottom w:val="nil"/>
              <w:right w:val="nil"/>
            </w:tcBorders>
          </w:tcPr>
          <w:p w14:paraId="13E5DAFB" w14:textId="77777777" w:rsidR="00724C44" w:rsidRPr="00145F3F" w:rsidRDefault="00724C44" w:rsidP="00145F3F">
            <w:pPr>
              <w:spacing w:after="0" w:line="240" w:lineRule="auto"/>
              <w:jc w:val="both"/>
              <w:rPr>
                <w:sz w:val="22"/>
                <w:szCs w:val="22"/>
              </w:rPr>
            </w:pPr>
            <w:r w:rsidRPr="00145F3F">
              <w:rPr>
                <w:sz w:val="22"/>
                <w:szCs w:val="22"/>
              </w:rPr>
              <w:t>2.41</w:t>
            </w:r>
          </w:p>
        </w:tc>
        <w:tc>
          <w:tcPr>
            <w:tcW w:w="720" w:type="dxa"/>
            <w:tcBorders>
              <w:top w:val="nil"/>
              <w:left w:val="nil"/>
              <w:bottom w:val="nil"/>
              <w:right w:val="nil"/>
            </w:tcBorders>
          </w:tcPr>
          <w:p w14:paraId="740E88A7" w14:textId="77777777" w:rsidR="00724C44" w:rsidRPr="00145F3F" w:rsidRDefault="00724C44" w:rsidP="00145F3F">
            <w:pPr>
              <w:spacing w:after="0" w:line="240" w:lineRule="auto"/>
              <w:jc w:val="both"/>
              <w:rPr>
                <w:sz w:val="22"/>
                <w:szCs w:val="22"/>
              </w:rPr>
            </w:pPr>
            <w:r w:rsidRPr="00145F3F">
              <w:rPr>
                <w:sz w:val="22"/>
                <w:szCs w:val="22"/>
              </w:rPr>
              <w:t>1.19</w:t>
            </w:r>
          </w:p>
        </w:tc>
        <w:tc>
          <w:tcPr>
            <w:tcW w:w="1602" w:type="dxa"/>
            <w:tcBorders>
              <w:top w:val="nil"/>
              <w:left w:val="nil"/>
              <w:bottom w:val="nil"/>
              <w:right w:val="nil"/>
            </w:tcBorders>
          </w:tcPr>
          <w:p w14:paraId="6C9D54B8"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F62F31E" w14:textId="77777777" w:rsidTr="00145F3F">
        <w:tc>
          <w:tcPr>
            <w:tcW w:w="1008" w:type="dxa"/>
            <w:tcBorders>
              <w:top w:val="nil"/>
              <w:left w:val="nil"/>
              <w:bottom w:val="single" w:sz="4" w:space="0" w:color="000000"/>
              <w:right w:val="nil"/>
            </w:tcBorders>
          </w:tcPr>
          <w:p w14:paraId="15B3A0F1" w14:textId="77777777" w:rsidR="00724C44" w:rsidRPr="00145F3F" w:rsidRDefault="00724C44" w:rsidP="00145F3F">
            <w:pPr>
              <w:spacing w:after="0" w:line="240" w:lineRule="auto"/>
              <w:jc w:val="both"/>
              <w:rPr>
                <w:sz w:val="22"/>
                <w:szCs w:val="22"/>
              </w:rPr>
            </w:pPr>
          </w:p>
        </w:tc>
        <w:tc>
          <w:tcPr>
            <w:tcW w:w="4932" w:type="dxa"/>
            <w:tcBorders>
              <w:top w:val="nil"/>
              <w:left w:val="nil"/>
              <w:bottom w:val="single" w:sz="4" w:space="0" w:color="000000"/>
              <w:right w:val="nil"/>
            </w:tcBorders>
          </w:tcPr>
          <w:p w14:paraId="2731FAEB" w14:textId="77777777" w:rsidR="00724C44" w:rsidRPr="00145F3F" w:rsidRDefault="00724C44" w:rsidP="00145F3F">
            <w:pPr>
              <w:spacing w:after="0" w:line="240" w:lineRule="auto"/>
              <w:jc w:val="both"/>
              <w:rPr>
                <w:sz w:val="22"/>
                <w:szCs w:val="22"/>
              </w:rPr>
            </w:pPr>
            <w:r w:rsidRPr="00145F3F">
              <w:rPr>
                <w:sz w:val="22"/>
                <w:szCs w:val="22"/>
              </w:rPr>
              <w:t>Construct Mean (D5)</w:t>
            </w:r>
          </w:p>
        </w:tc>
        <w:tc>
          <w:tcPr>
            <w:tcW w:w="810" w:type="dxa"/>
            <w:tcBorders>
              <w:top w:val="nil"/>
              <w:left w:val="nil"/>
              <w:bottom w:val="single" w:sz="4" w:space="0" w:color="000000"/>
              <w:right w:val="nil"/>
            </w:tcBorders>
          </w:tcPr>
          <w:p w14:paraId="4373DA25" w14:textId="77777777" w:rsidR="00724C44" w:rsidRPr="00145F3F" w:rsidRDefault="00724C44" w:rsidP="00145F3F">
            <w:pPr>
              <w:spacing w:after="0" w:line="240" w:lineRule="auto"/>
              <w:jc w:val="both"/>
              <w:rPr>
                <w:sz w:val="22"/>
                <w:szCs w:val="22"/>
              </w:rPr>
            </w:pPr>
            <w:r w:rsidRPr="00145F3F">
              <w:rPr>
                <w:sz w:val="22"/>
                <w:szCs w:val="22"/>
              </w:rPr>
              <w:t>2.35</w:t>
            </w:r>
          </w:p>
        </w:tc>
        <w:tc>
          <w:tcPr>
            <w:tcW w:w="720" w:type="dxa"/>
            <w:tcBorders>
              <w:top w:val="nil"/>
              <w:left w:val="nil"/>
              <w:bottom w:val="single" w:sz="4" w:space="0" w:color="000000"/>
              <w:right w:val="nil"/>
            </w:tcBorders>
          </w:tcPr>
          <w:p w14:paraId="4E848FF0" w14:textId="77777777" w:rsidR="00724C44" w:rsidRPr="00145F3F" w:rsidRDefault="00724C44" w:rsidP="00145F3F">
            <w:pPr>
              <w:spacing w:after="0" w:line="240" w:lineRule="auto"/>
              <w:jc w:val="both"/>
              <w:rPr>
                <w:sz w:val="22"/>
                <w:szCs w:val="22"/>
              </w:rPr>
            </w:pPr>
            <w:r w:rsidRPr="00145F3F">
              <w:rPr>
                <w:sz w:val="22"/>
                <w:szCs w:val="22"/>
              </w:rPr>
              <w:t>0.58</w:t>
            </w:r>
          </w:p>
        </w:tc>
        <w:tc>
          <w:tcPr>
            <w:tcW w:w="1602" w:type="dxa"/>
            <w:tcBorders>
              <w:top w:val="nil"/>
              <w:left w:val="nil"/>
              <w:bottom w:val="single" w:sz="4" w:space="0" w:color="000000"/>
              <w:right w:val="nil"/>
            </w:tcBorders>
          </w:tcPr>
          <w:p w14:paraId="4E92C380" w14:textId="77777777" w:rsidR="00724C44" w:rsidRPr="00145F3F" w:rsidRDefault="00724C44" w:rsidP="00145F3F">
            <w:pPr>
              <w:spacing w:after="0" w:line="240" w:lineRule="auto"/>
              <w:jc w:val="both"/>
              <w:rPr>
                <w:sz w:val="22"/>
                <w:szCs w:val="22"/>
              </w:rPr>
            </w:pPr>
            <w:r w:rsidRPr="00145F3F">
              <w:rPr>
                <w:sz w:val="22"/>
                <w:szCs w:val="22"/>
              </w:rPr>
              <w:t>Low</w:t>
            </w:r>
          </w:p>
        </w:tc>
      </w:tr>
    </w:tbl>
    <w:p w14:paraId="4215BC23"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56DF5677" w14:textId="77777777" w:rsidR="00724C44" w:rsidRPr="00724C44" w:rsidRDefault="00724C44" w:rsidP="00724C44">
      <w:pPr>
        <w:spacing w:line="240" w:lineRule="auto"/>
        <w:jc w:val="both"/>
      </w:pPr>
      <w:r w:rsidRPr="00724C44">
        <w:t>Accessibility represents the lowest-scoring disclosure quality dimension (M = 2.36, Low). Machine-readable formats (D5.3) and multilingual availability (D5.4) show particularly low scores, indicating that human capital information — when disclosed — is not easily accessible or usable by diverse stakeholders. The low score for dedicated website sections (D5.2) suggests that human capital disclosure is often buried within general corporate communications rather than prominently featured.</w:t>
      </w:r>
    </w:p>
    <w:p w14:paraId="51050592" w14:textId="77777777" w:rsidR="00724C44" w:rsidRPr="00724C44" w:rsidRDefault="00724C44" w:rsidP="00724C44">
      <w:pPr>
        <w:spacing w:line="240" w:lineRule="auto"/>
        <w:jc w:val="both"/>
      </w:pPr>
      <w:r w:rsidRPr="00724C44">
        <w:rPr>
          <w:b/>
        </w:rPr>
        <w:t>4.6.6 Human Capital Items Disclosed (D6)</w:t>
      </w:r>
    </w:p>
    <w:p w14:paraId="48B392EC" w14:textId="77777777" w:rsidR="00724C44" w:rsidRPr="00724C44" w:rsidRDefault="00724C44" w:rsidP="00724C44">
      <w:pPr>
        <w:spacing w:line="240" w:lineRule="auto"/>
        <w:jc w:val="both"/>
      </w:pPr>
      <w:r w:rsidRPr="00724C44">
        <w:t>Beyond qualitative dimensions, respondents indicated which of 20 specific human capital items their organization disclosed in annual reports or corporate communications. Table 4.20 presents these items ranked by disclosure prevalence.</w:t>
      </w:r>
    </w:p>
    <w:p w14:paraId="2C183C41" w14:textId="77777777" w:rsidR="00724C44" w:rsidRPr="00724C44" w:rsidRDefault="00724C44" w:rsidP="00724C44">
      <w:pPr>
        <w:spacing w:line="240" w:lineRule="auto"/>
        <w:jc w:val="both"/>
      </w:pPr>
      <w:r w:rsidRPr="00724C44">
        <w:rPr>
          <w:b/>
        </w:rPr>
        <w:lastRenderedPageBreak/>
        <w:t>Table 4.20</w:t>
      </w:r>
    </w:p>
    <w:p w14:paraId="38CC5F42" w14:textId="77777777" w:rsidR="00724C44" w:rsidRPr="00724C44" w:rsidRDefault="00724C44" w:rsidP="00724C44">
      <w:pPr>
        <w:spacing w:line="240" w:lineRule="auto"/>
        <w:jc w:val="both"/>
      </w:pPr>
      <w:r w:rsidRPr="00724C44">
        <w:rPr>
          <w:i/>
        </w:rPr>
        <w:t>Human Capital Disclosure Items Checklist (n = 400)</w:t>
      </w:r>
    </w:p>
    <w:tbl>
      <w:tblPr>
        <w:tblW w:w="0" w:type="auto"/>
        <w:tblLayout w:type="fixed"/>
        <w:tblLook w:val="04A0" w:firstRow="1" w:lastRow="0" w:firstColumn="1" w:lastColumn="0" w:noHBand="0" w:noVBand="1"/>
      </w:tblPr>
      <w:tblGrid>
        <w:gridCol w:w="1008"/>
        <w:gridCol w:w="5040"/>
        <w:gridCol w:w="1296"/>
        <w:gridCol w:w="1872"/>
      </w:tblGrid>
      <w:tr w:rsidR="00724C44" w:rsidRPr="00724C44" w14:paraId="421694A3" w14:textId="77777777" w:rsidTr="00A5379F">
        <w:tc>
          <w:tcPr>
            <w:tcW w:w="1008" w:type="dxa"/>
            <w:tcBorders>
              <w:top w:val="single" w:sz="4" w:space="0" w:color="000000"/>
              <w:left w:val="nil"/>
              <w:bottom w:val="single" w:sz="4" w:space="0" w:color="000000"/>
              <w:right w:val="nil"/>
            </w:tcBorders>
          </w:tcPr>
          <w:p w14:paraId="136F320F" w14:textId="77777777" w:rsidR="00724C44" w:rsidRPr="00145F3F" w:rsidRDefault="00724C44" w:rsidP="00145F3F">
            <w:pPr>
              <w:spacing w:after="0" w:line="240" w:lineRule="auto"/>
              <w:jc w:val="both"/>
              <w:rPr>
                <w:sz w:val="22"/>
                <w:szCs w:val="22"/>
              </w:rPr>
            </w:pPr>
            <w:r w:rsidRPr="00145F3F">
              <w:rPr>
                <w:b/>
                <w:sz w:val="22"/>
                <w:szCs w:val="22"/>
              </w:rPr>
              <w:t>Rank</w:t>
            </w:r>
          </w:p>
        </w:tc>
        <w:tc>
          <w:tcPr>
            <w:tcW w:w="5040" w:type="dxa"/>
            <w:tcBorders>
              <w:top w:val="single" w:sz="4" w:space="0" w:color="000000"/>
              <w:left w:val="nil"/>
              <w:bottom w:val="single" w:sz="4" w:space="0" w:color="000000"/>
              <w:right w:val="nil"/>
            </w:tcBorders>
          </w:tcPr>
          <w:p w14:paraId="2BE01D14" w14:textId="77777777" w:rsidR="00724C44" w:rsidRPr="00145F3F" w:rsidRDefault="00724C44" w:rsidP="00145F3F">
            <w:pPr>
              <w:spacing w:after="0" w:line="240" w:lineRule="auto"/>
              <w:jc w:val="both"/>
              <w:rPr>
                <w:sz w:val="22"/>
                <w:szCs w:val="22"/>
              </w:rPr>
            </w:pPr>
            <w:r w:rsidRPr="00145F3F">
              <w:rPr>
                <w:b/>
                <w:sz w:val="22"/>
                <w:szCs w:val="22"/>
              </w:rPr>
              <w:t>Disclosure Item</w:t>
            </w:r>
          </w:p>
        </w:tc>
        <w:tc>
          <w:tcPr>
            <w:tcW w:w="1296" w:type="dxa"/>
            <w:tcBorders>
              <w:top w:val="single" w:sz="4" w:space="0" w:color="000000"/>
              <w:left w:val="nil"/>
              <w:bottom w:val="single" w:sz="4" w:space="0" w:color="000000"/>
              <w:right w:val="nil"/>
            </w:tcBorders>
          </w:tcPr>
          <w:p w14:paraId="4FC84183" w14:textId="77777777" w:rsidR="00724C44" w:rsidRPr="00145F3F" w:rsidRDefault="00724C44" w:rsidP="00145F3F">
            <w:pPr>
              <w:spacing w:after="0" w:line="240" w:lineRule="auto"/>
              <w:jc w:val="both"/>
              <w:rPr>
                <w:sz w:val="22"/>
                <w:szCs w:val="22"/>
              </w:rPr>
            </w:pPr>
            <w:r w:rsidRPr="00145F3F">
              <w:rPr>
                <w:b/>
                <w:sz w:val="22"/>
                <w:szCs w:val="22"/>
              </w:rPr>
              <w:t>n</w:t>
            </w:r>
          </w:p>
        </w:tc>
        <w:tc>
          <w:tcPr>
            <w:tcW w:w="1872" w:type="dxa"/>
            <w:tcBorders>
              <w:top w:val="single" w:sz="4" w:space="0" w:color="000000"/>
              <w:left w:val="nil"/>
              <w:bottom w:val="single" w:sz="4" w:space="0" w:color="000000"/>
              <w:right w:val="nil"/>
            </w:tcBorders>
          </w:tcPr>
          <w:p w14:paraId="50860FBD" w14:textId="77777777" w:rsidR="00724C44" w:rsidRPr="00145F3F" w:rsidRDefault="00724C44" w:rsidP="00145F3F">
            <w:pPr>
              <w:spacing w:after="0" w:line="240" w:lineRule="auto"/>
              <w:jc w:val="both"/>
              <w:rPr>
                <w:sz w:val="22"/>
                <w:szCs w:val="22"/>
              </w:rPr>
            </w:pPr>
            <w:r w:rsidRPr="00145F3F">
              <w:rPr>
                <w:b/>
                <w:sz w:val="22"/>
                <w:szCs w:val="22"/>
              </w:rPr>
              <w:t>%</w:t>
            </w:r>
          </w:p>
        </w:tc>
      </w:tr>
      <w:tr w:rsidR="00724C44" w:rsidRPr="00724C44" w14:paraId="108698F2" w14:textId="77777777" w:rsidTr="00A5379F">
        <w:tc>
          <w:tcPr>
            <w:tcW w:w="1008" w:type="dxa"/>
            <w:tcBorders>
              <w:top w:val="nil"/>
              <w:left w:val="nil"/>
              <w:bottom w:val="nil"/>
              <w:right w:val="nil"/>
            </w:tcBorders>
          </w:tcPr>
          <w:p w14:paraId="7750F5EC" w14:textId="77777777" w:rsidR="00724C44" w:rsidRPr="00145F3F" w:rsidRDefault="00724C44" w:rsidP="00145F3F">
            <w:pPr>
              <w:spacing w:after="0" w:line="240" w:lineRule="auto"/>
              <w:jc w:val="both"/>
              <w:rPr>
                <w:sz w:val="22"/>
                <w:szCs w:val="22"/>
              </w:rPr>
            </w:pPr>
            <w:r w:rsidRPr="00145F3F">
              <w:rPr>
                <w:sz w:val="22"/>
                <w:szCs w:val="22"/>
              </w:rPr>
              <w:t>1</w:t>
            </w:r>
          </w:p>
        </w:tc>
        <w:tc>
          <w:tcPr>
            <w:tcW w:w="5040" w:type="dxa"/>
            <w:tcBorders>
              <w:top w:val="nil"/>
              <w:left w:val="nil"/>
              <w:bottom w:val="nil"/>
              <w:right w:val="nil"/>
            </w:tcBorders>
          </w:tcPr>
          <w:p w14:paraId="77F74E39" w14:textId="77777777" w:rsidR="00724C44" w:rsidRPr="00145F3F" w:rsidRDefault="00724C44" w:rsidP="00145F3F">
            <w:pPr>
              <w:spacing w:after="0" w:line="240" w:lineRule="auto"/>
              <w:jc w:val="both"/>
              <w:rPr>
                <w:sz w:val="22"/>
                <w:szCs w:val="22"/>
              </w:rPr>
            </w:pPr>
            <w:r w:rsidRPr="00145F3F">
              <w:rPr>
                <w:sz w:val="22"/>
                <w:szCs w:val="22"/>
              </w:rPr>
              <w:t>Average compensation by job level</w:t>
            </w:r>
          </w:p>
        </w:tc>
        <w:tc>
          <w:tcPr>
            <w:tcW w:w="1296" w:type="dxa"/>
            <w:tcBorders>
              <w:top w:val="nil"/>
              <w:left w:val="nil"/>
              <w:bottom w:val="nil"/>
              <w:right w:val="nil"/>
            </w:tcBorders>
          </w:tcPr>
          <w:p w14:paraId="6580EBB2" w14:textId="77777777" w:rsidR="00724C44" w:rsidRPr="00145F3F" w:rsidRDefault="00724C44" w:rsidP="00145F3F">
            <w:pPr>
              <w:spacing w:after="0" w:line="240" w:lineRule="auto"/>
              <w:jc w:val="both"/>
              <w:rPr>
                <w:sz w:val="22"/>
                <w:szCs w:val="22"/>
              </w:rPr>
            </w:pPr>
            <w:r w:rsidRPr="00145F3F">
              <w:rPr>
                <w:sz w:val="22"/>
                <w:szCs w:val="22"/>
              </w:rPr>
              <w:t>209</w:t>
            </w:r>
          </w:p>
        </w:tc>
        <w:tc>
          <w:tcPr>
            <w:tcW w:w="1872" w:type="dxa"/>
            <w:tcBorders>
              <w:top w:val="nil"/>
              <w:left w:val="nil"/>
              <w:bottom w:val="nil"/>
              <w:right w:val="nil"/>
            </w:tcBorders>
          </w:tcPr>
          <w:p w14:paraId="1DDF09C5" w14:textId="77777777" w:rsidR="00724C44" w:rsidRPr="00145F3F" w:rsidRDefault="00724C44" w:rsidP="00145F3F">
            <w:pPr>
              <w:spacing w:after="0" w:line="240" w:lineRule="auto"/>
              <w:jc w:val="both"/>
              <w:rPr>
                <w:sz w:val="22"/>
                <w:szCs w:val="22"/>
              </w:rPr>
            </w:pPr>
            <w:r w:rsidRPr="00145F3F">
              <w:rPr>
                <w:sz w:val="22"/>
                <w:szCs w:val="22"/>
              </w:rPr>
              <w:t>52.2%</w:t>
            </w:r>
          </w:p>
        </w:tc>
      </w:tr>
      <w:tr w:rsidR="00724C44" w:rsidRPr="00724C44" w14:paraId="6C509810" w14:textId="77777777" w:rsidTr="00A5379F">
        <w:tc>
          <w:tcPr>
            <w:tcW w:w="1008" w:type="dxa"/>
            <w:tcBorders>
              <w:top w:val="nil"/>
              <w:left w:val="nil"/>
              <w:bottom w:val="nil"/>
              <w:right w:val="nil"/>
            </w:tcBorders>
          </w:tcPr>
          <w:p w14:paraId="16A62F3E" w14:textId="77777777" w:rsidR="00724C44" w:rsidRPr="00145F3F" w:rsidRDefault="00724C44" w:rsidP="00145F3F">
            <w:pPr>
              <w:spacing w:after="0" w:line="240" w:lineRule="auto"/>
              <w:jc w:val="both"/>
              <w:rPr>
                <w:sz w:val="22"/>
                <w:szCs w:val="22"/>
              </w:rPr>
            </w:pPr>
            <w:r w:rsidRPr="00145F3F">
              <w:rPr>
                <w:sz w:val="22"/>
                <w:szCs w:val="22"/>
              </w:rPr>
              <w:t>2</w:t>
            </w:r>
          </w:p>
        </w:tc>
        <w:tc>
          <w:tcPr>
            <w:tcW w:w="5040" w:type="dxa"/>
            <w:tcBorders>
              <w:top w:val="nil"/>
              <w:left w:val="nil"/>
              <w:bottom w:val="nil"/>
              <w:right w:val="nil"/>
            </w:tcBorders>
          </w:tcPr>
          <w:p w14:paraId="006F2143" w14:textId="77777777" w:rsidR="00724C44" w:rsidRPr="00145F3F" w:rsidRDefault="00724C44" w:rsidP="00145F3F">
            <w:pPr>
              <w:spacing w:after="0" w:line="240" w:lineRule="auto"/>
              <w:jc w:val="both"/>
              <w:rPr>
                <w:sz w:val="22"/>
                <w:szCs w:val="22"/>
              </w:rPr>
            </w:pPr>
            <w:r w:rsidRPr="00145F3F">
              <w:rPr>
                <w:sz w:val="22"/>
                <w:szCs w:val="22"/>
              </w:rPr>
              <w:t>Benefits costs breakdown</w:t>
            </w:r>
          </w:p>
        </w:tc>
        <w:tc>
          <w:tcPr>
            <w:tcW w:w="1296" w:type="dxa"/>
            <w:tcBorders>
              <w:top w:val="nil"/>
              <w:left w:val="nil"/>
              <w:bottom w:val="nil"/>
              <w:right w:val="nil"/>
            </w:tcBorders>
          </w:tcPr>
          <w:p w14:paraId="425BC29C" w14:textId="77777777" w:rsidR="00724C44" w:rsidRPr="00145F3F" w:rsidRDefault="00724C44" w:rsidP="00145F3F">
            <w:pPr>
              <w:spacing w:after="0" w:line="240" w:lineRule="auto"/>
              <w:jc w:val="both"/>
              <w:rPr>
                <w:sz w:val="22"/>
                <w:szCs w:val="22"/>
              </w:rPr>
            </w:pPr>
            <w:r w:rsidRPr="00145F3F">
              <w:rPr>
                <w:sz w:val="22"/>
                <w:szCs w:val="22"/>
              </w:rPr>
              <w:t>209</w:t>
            </w:r>
          </w:p>
        </w:tc>
        <w:tc>
          <w:tcPr>
            <w:tcW w:w="1872" w:type="dxa"/>
            <w:tcBorders>
              <w:top w:val="nil"/>
              <w:left w:val="nil"/>
              <w:bottom w:val="nil"/>
              <w:right w:val="nil"/>
            </w:tcBorders>
          </w:tcPr>
          <w:p w14:paraId="5545A826" w14:textId="77777777" w:rsidR="00724C44" w:rsidRPr="00145F3F" w:rsidRDefault="00724C44" w:rsidP="00145F3F">
            <w:pPr>
              <w:spacing w:after="0" w:line="240" w:lineRule="auto"/>
              <w:jc w:val="both"/>
              <w:rPr>
                <w:sz w:val="22"/>
                <w:szCs w:val="22"/>
              </w:rPr>
            </w:pPr>
            <w:r w:rsidRPr="00145F3F">
              <w:rPr>
                <w:sz w:val="22"/>
                <w:szCs w:val="22"/>
              </w:rPr>
              <w:t>52.2%</w:t>
            </w:r>
          </w:p>
        </w:tc>
      </w:tr>
      <w:tr w:rsidR="00724C44" w:rsidRPr="00724C44" w14:paraId="30ABF655" w14:textId="77777777" w:rsidTr="00A5379F">
        <w:tc>
          <w:tcPr>
            <w:tcW w:w="1008" w:type="dxa"/>
            <w:tcBorders>
              <w:top w:val="nil"/>
              <w:left w:val="nil"/>
              <w:bottom w:val="nil"/>
              <w:right w:val="nil"/>
            </w:tcBorders>
          </w:tcPr>
          <w:p w14:paraId="6AE68AFB" w14:textId="77777777" w:rsidR="00724C44" w:rsidRPr="00145F3F" w:rsidRDefault="00724C44" w:rsidP="00145F3F">
            <w:pPr>
              <w:spacing w:after="0" w:line="240" w:lineRule="auto"/>
              <w:jc w:val="both"/>
              <w:rPr>
                <w:sz w:val="22"/>
                <w:szCs w:val="22"/>
              </w:rPr>
            </w:pPr>
            <w:r w:rsidRPr="00145F3F">
              <w:rPr>
                <w:sz w:val="22"/>
                <w:szCs w:val="22"/>
              </w:rPr>
              <w:t>3</w:t>
            </w:r>
          </w:p>
        </w:tc>
        <w:tc>
          <w:tcPr>
            <w:tcW w:w="5040" w:type="dxa"/>
            <w:tcBorders>
              <w:top w:val="nil"/>
              <w:left w:val="nil"/>
              <w:bottom w:val="nil"/>
              <w:right w:val="nil"/>
            </w:tcBorders>
          </w:tcPr>
          <w:p w14:paraId="296EB20D" w14:textId="77777777" w:rsidR="00724C44" w:rsidRPr="00145F3F" w:rsidRDefault="00724C44" w:rsidP="00145F3F">
            <w:pPr>
              <w:spacing w:after="0" w:line="240" w:lineRule="auto"/>
              <w:jc w:val="both"/>
              <w:rPr>
                <w:sz w:val="22"/>
                <w:szCs w:val="22"/>
              </w:rPr>
            </w:pPr>
            <w:r w:rsidRPr="00145F3F">
              <w:rPr>
                <w:sz w:val="22"/>
                <w:szCs w:val="22"/>
              </w:rPr>
              <w:t>Total employee compensation costs</w:t>
            </w:r>
          </w:p>
        </w:tc>
        <w:tc>
          <w:tcPr>
            <w:tcW w:w="1296" w:type="dxa"/>
            <w:tcBorders>
              <w:top w:val="nil"/>
              <w:left w:val="nil"/>
              <w:bottom w:val="nil"/>
              <w:right w:val="nil"/>
            </w:tcBorders>
          </w:tcPr>
          <w:p w14:paraId="16B161BC" w14:textId="77777777" w:rsidR="00724C44" w:rsidRPr="00145F3F" w:rsidRDefault="00724C44" w:rsidP="00145F3F">
            <w:pPr>
              <w:spacing w:after="0" w:line="240" w:lineRule="auto"/>
              <w:jc w:val="both"/>
              <w:rPr>
                <w:sz w:val="22"/>
                <w:szCs w:val="22"/>
              </w:rPr>
            </w:pPr>
            <w:r w:rsidRPr="00145F3F">
              <w:rPr>
                <w:sz w:val="22"/>
                <w:szCs w:val="22"/>
              </w:rPr>
              <w:t>207</w:t>
            </w:r>
          </w:p>
        </w:tc>
        <w:tc>
          <w:tcPr>
            <w:tcW w:w="1872" w:type="dxa"/>
            <w:tcBorders>
              <w:top w:val="nil"/>
              <w:left w:val="nil"/>
              <w:bottom w:val="nil"/>
              <w:right w:val="nil"/>
            </w:tcBorders>
          </w:tcPr>
          <w:p w14:paraId="2DFF27F0" w14:textId="77777777" w:rsidR="00724C44" w:rsidRPr="00145F3F" w:rsidRDefault="00724C44" w:rsidP="00145F3F">
            <w:pPr>
              <w:spacing w:after="0" w:line="240" w:lineRule="auto"/>
              <w:jc w:val="both"/>
              <w:rPr>
                <w:sz w:val="22"/>
                <w:szCs w:val="22"/>
              </w:rPr>
            </w:pPr>
            <w:r w:rsidRPr="00145F3F">
              <w:rPr>
                <w:sz w:val="22"/>
                <w:szCs w:val="22"/>
              </w:rPr>
              <w:t>51.7%</w:t>
            </w:r>
          </w:p>
        </w:tc>
      </w:tr>
      <w:tr w:rsidR="00724C44" w:rsidRPr="00724C44" w14:paraId="4F0F8E98" w14:textId="77777777" w:rsidTr="00A5379F">
        <w:tc>
          <w:tcPr>
            <w:tcW w:w="1008" w:type="dxa"/>
            <w:tcBorders>
              <w:top w:val="nil"/>
              <w:left w:val="nil"/>
              <w:bottom w:val="nil"/>
              <w:right w:val="nil"/>
            </w:tcBorders>
          </w:tcPr>
          <w:p w14:paraId="5015F40B" w14:textId="77777777" w:rsidR="00724C44" w:rsidRPr="00145F3F" w:rsidRDefault="00724C44" w:rsidP="00145F3F">
            <w:pPr>
              <w:spacing w:after="0" w:line="240" w:lineRule="auto"/>
              <w:jc w:val="both"/>
              <w:rPr>
                <w:sz w:val="22"/>
                <w:szCs w:val="22"/>
              </w:rPr>
            </w:pPr>
            <w:r w:rsidRPr="00145F3F">
              <w:rPr>
                <w:sz w:val="22"/>
                <w:szCs w:val="22"/>
              </w:rPr>
              <w:t>4</w:t>
            </w:r>
          </w:p>
        </w:tc>
        <w:tc>
          <w:tcPr>
            <w:tcW w:w="5040" w:type="dxa"/>
            <w:tcBorders>
              <w:top w:val="nil"/>
              <w:left w:val="nil"/>
              <w:bottom w:val="nil"/>
              <w:right w:val="nil"/>
            </w:tcBorders>
          </w:tcPr>
          <w:p w14:paraId="754029AD" w14:textId="77777777" w:rsidR="00724C44" w:rsidRPr="00145F3F" w:rsidRDefault="00724C44" w:rsidP="00145F3F">
            <w:pPr>
              <w:spacing w:after="0" w:line="240" w:lineRule="auto"/>
              <w:jc w:val="both"/>
              <w:rPr>
                <w:sz w:val="22"/>
                <w:szCs w:val="22"/>
              </w:rPr>
            </w:pPr>
            <w:r w:rsidRPr="00145F3F">
              <w:rPr>
                <w:sz w:val="22"/>
                <w:szCs w:val="22"/>
              </w:rPr>
              <w:t>Training hours per employee</w:t>
            </w:r>
          </w:p>
        </w:tc>
        <w:tc>
          <w:tcPr>
            <w:tcW w:w="1296" w:type="dxa"/>
            <w:tcBorders>
              <w:top w:val="nil"/>
              <w:left w:val="nil"/>
              <w:bottom w:val="nil"/>
              <w:right w:val="nil"/>
            </w:tcBorders>
          </w:tcPr>
          <w:p w14:paraId="398BD054" w14:textId="77777777" w:rsidR="00724C44" w:rsidRPr="00145F3F" w:rsidRDefault="00724C44" w:rsidP="00145F3F">
            <w:pPr>
              <w:spacing w:after="0" w:line="240" w:lineRule="auto"/>
              <w:jc w:val="both"/>
              <w:rPr>
                <w:sz w:val="22"/>
                <w:szCs w:val="22"/>
              </w:rPr>
            </w:pPr>
            <w:r w:rsidRPr="00145F3F">
              <w:rPr>
                <w:sz w:val="22"/>
                <w:szCs w:val="22"/>
              </w:rPr>
              <w:t>207</w:t>
            </w:r>
          </w:p>
        </w:tc>
        <w:tc>
          <w:tcPr>
            <w:tcW w:w="1872" w:type="dxa"/>
            <w:tcBorders>
              <w:top w:val="nil"/>
              <w:left w:val="nil"/>
              <w:bottom w:val="nil"/>
              <w:right w:val="nil"/>
            </w:tcBorders>
          </w:tcPr>
          <w:p w14:paraId="43C3F15E" w14:textId="77777777" w:rsidR="00724C44" w:rsidRPr="00145F3F" w:rsidRDefault="00724C44" w:rsidP="00145F3F">
            <w:pPr>
              <w:spacing w:after="0" w:line="240" w:lineRule="auto"/>
              <w:jc w:val="both"/>
              <w:rPr>
                <w:sz w:val="22"/>
                <w:szCs w:val="22"/>
              </w:rPr>
            </w:pPr>
            <w:r w:rsidRPr="00145F3F">
              <w:rPr>
                <w:sz w:val="22"/>
                <w:szCs w:val="22"/>
              </w:rPr>
              <w:t>51.7%</w:t>
            </w:r>
          </w:p>
        </w:tc>
      </w:tr>
      <w:tr w:rsidR="00724C44" w:rsidRPr="00724C44" w14:paraId="1551E23E" w14:textId="77777777" w:rsidTr="00A5379F">
        <w:tc>
          <w:tcPr>
            <w:tcW w:w="1008" w:type="dxa"/>
            <w:tcBorders>
              <w:top w:val="nil"/>
              <w:left w:val="nil"/>
              <w:bottom w:val="nil"/>
              <w:right w:val="nil"/>
            </w:tcBorders>
          </w:tcPr>
          <w:p w14:paraId="22DE4931" w14:textId="77777777" w:rsidR="00724C44" w:rsidRPr="00145F3F" w:rsidRDefault="00724C44" w:rsidP="00145F3F">
            <w:pPr>
              <w:spacing w:after="0" w:line="240" w:lineRule="auto"/>
              <w:jc w:val="both"/>
              <w:rPr>
                <w:sz w:val="22"/>
                <w:szCs w:val="22"/>
              </w:rPr>
            </w:pPr>
            <w:r w:rsidRPr="00145F3F">
              <w:rPr>
                <w:sz w:val="22"/>
                <w:szCs w:val="22"/>
              </w:rPr>
              <w:t>5</w:t>
            </w:r>
          </w:p>
        </w:tc>
        <w:tc>
          <w:tcPr>
            <w:tcW w:w="5040" w:type="dxa"/>
            <w:tcBorders>
              <w:top w:val="nil"/>
              <w:left w:val="nil"/>
              <w:bottom w:val="nil"/>
              <w:right w:val="nil"/>
            </w:tcBorders>
          </w:tcPr>
          <w:p w14:paraId="44AAACD3" w14:textId="77777777" w:rsidR="00724C44" w:rsidRPr="00145F3F" w:rsidRDefault="00724C44" w:rsidP="00145F3F">
            <w:pPr>
              <w:spacing w:after="0" w:line="240" w:lineRule="auto"/>
              <w:jc w:val="both"/>
              <w:rPr>
                <w:sz w:val="22"/>
                <w:szCs w:val="22"/>
              </w:rPr>
            </w:pPr>
            <w:r w:rsidRPr="00145F3F">
              <w:rPr>
                <w:sz w:val="22"/>
                <w:szCs w:val="22"/>
              </w:rPr>
              <w:t>Employee satisfaction/engagement scores</w:t>
            </w:r>
          </w:p>
        </w:tc>
        <w:tc>
          <w:tcPr>
            <w:tcW w:w="1296" w:type="dxa"/>
            <w:tcBorders>
              <w:top w:val="nil"/>
              <w:left w:val="nil"/>
              <w:bottom w:val="nil"/>
              <w:right w:val="nil"/>
            </w:tcBorders>
          </w:tcPr>
          <w:p w14:paraId="62B4F431" w14:textId="77777777" w:rsidR="00724C44" w:rsidRPr="00145F3F" w:rsidRDefault="00724C44" w:rsidP="00145F3F">
            <w:pPr>
              <w:spacing w:after="0" w:line="240" w:lineRule="auto"/>
              <w:jc w:val="both"/>
              <w:rPr>
                <w:sz w:val="22"/>
                <w:szCs w:val="22"/>
              </w:rPr>
            </w:pPr>
            <w:r w:rsidRPr="00145F3F">
              <w:rPr>
                <w:sz w:val="22"/>
                <w:szCs w:val="22"/>
              </w:rPr>
              <w:t>203</w:t>
            </w:r>
          </w:p>
        </w:tc>
        <w:tc>
          <w:tcPr>
            <w:tcW w:w="1872" w:type="dxa"/>
            <w:tcBorders>
              <w:top w:val="nil"/>
              <w:left w:val="nil"/>
              <w:bottom w:val="nil"/>
              <w:right w:val="nil"/>
            </w:tcBorders>
          </w:tcPr>
          <w:p w14:paraId="5308D7F6" w14:textId="77777777" w:rsidR="00724C44" w:rsidRPr="00145F3F" w:rsidRDefault="00724C44" w:rsidP="00145F3F">
            <w:pPr>
              <w:spacing w:after="0" w:line="240" w:lineRule="auto"/>
              <w:jc w:val="both"/>
              <w:rPr>
                <w:sz w:val="22"/>
                <w:szCs w:val="22"/>
              </w:rPr>
            </w:pPr>
            <w:r w:rsidRPr="00145F3F">
              <w:rPr>
                <w:sz w:val="22"/>
                <w:szCs w:val="22"/>
              </w:rPr>
              <w:t>50.7%</w:t>
            </w:r>
          </w:p>
        </w:tc>
      </w:tr>
      <w:tr w:rsidR="00724C44" w:rsidRPr="00724C44" w14:paraId="0CB5A634" w14:textId="77777777" w:rsidTr="00A5379F">
        <w:tc>
          <w:tcPr>
            <w:tcW w:w="1008" w:type="dxa"/>
            <w:tcBorders>
              <w:top w:val="nil"/>
              <w:left w:val="nil"/>
              <w:bottom w:val="nil"/>
              <w:right w:val="nil"/>
            </w:tcBorders>
          </w:tcPr>
          <w:p w14:paraId="01613141" w14:textId="77777777" w:rsidR="00724C44" w:rsidRPr="00145F3F" w:rsidRDefault="00724C44" w:rsidP="00145F3F">
            <w:pPr>
              <w:spacing w:after="0" w:line="240" w:lineRule="auto"/>
              <w:jc w:val="both"/>
              <w:rPr>
                <w:sz w:val="22"/>
                <w:szCs w:val="22"/>
              </w:rPr>
            </w:pPr>
            <w:r w:rsidRPr="00145F3F">
              <w:rPr>
                <w:sz w:val="22"/>
                <w:szCs w:val="22"/>
              </w:rPr>
              <w:t>6</w:t>
            </w:r>
          </w:p>
        </w:tc>
        <w:tc>
          <w:tcPr>
            <w:tcW w:w="5040" w:type="dxa"/>
            <w:tcBorders>
              <w:top w:val="nil"/>
              <w:left w:val="nil"/>
              <w:bottom w:val="nil"/>
              <w:right w:val="nil"/>
            </w:tcBorders>
          </w:tcPr>
          <w:p w14:paraId="08AB3E18" w14:textId="77777777" w:rsidR="00724C44" w:rsidRPr="00145F3F" w:rsidRDefault="00724C44" w:rsidP="00145F3F">
            <w:pPr>
              <w:spacing w:after="0" w:line="240" w:lineRule="auto"/>
              <w:jc w:val="both"/>
              <w:rPr>
                <w:sz w:val="22"/>
                <w:szCs w:val="22"/>
              </w:rPr>
            </w:pPr>
            <w:r w:rsidRPr="00145F3F">
              <w:rPr>
                <w:sz w:val="22"/>
                <w:szCs w:val="22"/>
              </w:rPr>
              <w:t>Healthcare coverage percentage</w:t>
            </w:r>
          </w:p>
        </w:tc>
        <w:tc>
          <w:tcPr>
            <w:tcW w:w="1296" w:type="dxa"/>
            <w:tcBorders>
              <w:top w:val="nil"/>
              <w:left w:val="nil"/>
              <w:bottom w:val="nil"/>
              <w:right w:val="nil"/>
            </w:tcBorders>
          </w:tcPr>
          <w:p w14:paraId="2C79CA08" w14:textId="77777777" w:rsidR="00724C44" w:rsidRPr="00145F3F" w:rsidRDefault="00724C44" w:rsidP="00145F3F">
            <w:pPr>
              <w:spacing w:after="0" w:line="240" w:lineRule="auto"/>
              <w:jc w:val="both"/>
              <w:rPr>
                <w:sz w:val="22"/>
                <w:szCs w:val="22"/>
              </w:rPr>
            </w:pPr>
            <w:r w:rsidRPr="00145F3F">
              <w:rPr>
                <w:sz w:val="22"/>
                <w:szCs w:val="22"/>
              </w:rPr>
              <w:t>202</w:t>
            </w:r>
          </w:p>
        </w:tc>
        <w:tc>
          <w:tcPr>
            <w:tcW w:w="1872" w:type="dxa"/>
            <w:tcBorders>
              <w:top w:val="nil"/>
              <w:left w:val="nil"/>
              <w:bottom w:val="nil"/>
              <w:right w:val="nil"/>
            </w:tcBorders>
          </w:tcPr>
          <w:p w14:paraId="5748536F" w14:textId="77777777" w:rsidR="00724C44" w:rsidRPr="00145F3F" w:rsidRDefault="00724C44" w:rsidP="00145F3F">
            <w:pPr>
              <w:spacing w:after="0" w:line="240" w:lineRule="auto"/>
              <w:jc w:val="both"/>
              <w:rPr>
                <w:sz w:val="22"/>
                <w:szCs w:val="22"/>
              </w:rPr>
            </w:pPr>
            <w:r w:rsidRPr="00145F3F">
              <w:rPr>
                <w:sz w:val="22"/>
                <w:szCs w:val="22"/>
              </w:rPr>
              <w:t>50.5%</w:t>
            </w:r>
          </w:p>
        </w:tc>
      </w:tr>
      <w:tr w:rsidR="00724C44" w:rsidRPr="00724C44" w14:paraId="06C004FE" w14:textId="77777777" w:rsidTr="00A5379F">
        <w:tc>
          <w:tcPr>
            <w:tcW w:w="1008" w:type="dxa"/>
            <w:tcBorders>
              <w:top w:val="nil"/>
              <w:left w:val="nil"/>
              <w:bottom w:val="nil"/>
              <w:right w:val="nil"/>
            </w:tcBorders>
          </w:tcPr>
          <w:p w14:paraId="2FB5BEA8" w14:textId="77777777" w:rsidR="00724C44" w:rsidRPr="00145F3F" w:rsidRDefault="00724C44" w:rsidP="00145F3F">
            <w:pPr>
              <w:spacing w:after="0" w:line="240" w:lineRule="auto"/>
              <w:jc w:val="both"/>
              <w:rPr>
                <w:sz w:val="22"/>
                <w:szCs w:val="22"/>
              </w:rPr>
            </w:pPr>
            <w:r w:rsidRPr="00145F3F">
              <w:rPr>
                <w:sz w:val="22"/>
                <w:szCs w:val="22"/>
              </w:rPr>
              <w:t>7</w:t>
            </w:r>
          </w:p>
        </w:tc>
        <w:tc>
          <w:tcPr>
            <w:tcW w:w="5040" w:type="dxa"/>
            <w:tcBorders>
              <w:top w:val="nil"/>
              <w:left w:val="nil"/>
              <w:bottom w:val="nil"/>
              <w:right w:val="nil"/>
            </w:tcBorders>
          </w:tcPr>
          <w:p w14:paraId="6A5FFB7C" w14:textId="77777777" w:rsidR="00724C44" w:rsidRPr="00145F3F" w:rsidRDefault="00724C44" w:rsidP="00145F3F">
            <w:pPr>
              <w:spacing w:after="0" w:line="240" w:lineRule="auto"/>
              <w:jc w:val="both"/>
              <w:rPr>
                <w:sz w:val="22"/>
                <w:szCs w:val="22"/>
              </w:rPr>
            </w:pPr>
            <w:r w:rsidRPr="00145F3F">
              <w:rPr>
                <w:sz w:val="22"/>
                <w:szCs w:val="22"/>
              </w:rPr>
              <w:t>Productivity metrics per employee</w:t>
            </w:r>
          </w:p>
        </w:tc>
        <w:tc>
          <w:tcPr>
            <w:tcW w:w="1296" w:type="dxa"/>
            <w:tcBorders>
              <w:top w:val="nil"/>
              <w:left w:val="nil"/>
              <w:bottom w:val="nil"/>
              <w:right w:val="nil"/>
            </w:tcBorders>
          </w:tcPr>
          <w:p w14:paraId="7F3FB6AF" w14:textId="77777777" w:rsidR="00724C44" w:rsidRPr="00145F3F" w:rsidRDefault="00724C44" w:rsidP="00145F3F">
            <w:pPr>
              <w:spacing w:after="0" w:line="240" w:lineRule="auto"/>
              <w:jc w:val="both"/>
              <w:rPr>
                <w:sz w:val="22"/>
                <w:szCs w:val="22"/>
              </w:rPr>
            </w:pPr>
            <w:r w:rsidRPr="00145F3F">
              <w:rPr>
                <w:sz w:val="22"/>
                <w:szCs w:val="22"/>
              </w:rPr>
              <w:t>198</w:t>
            </w:r>
          </w:p>
        </w:tc>
        <w:tc>
          <w:tcPr>
            <w:tcW w:w="1872" w:type="dxa"/>
            <w:tcBorders>
              <w:top w:val="nil"/>
              <w:left w:val="nil"/>
              <w:bottom w:val="nil"/>
              <w:right w:val="nil"/>
            </w:tcBorders>
          </w:tcPr>
          <w:p w14:paraId="4A505454" w14:textId="77777777" w:rsidR="00724C44" w:rsidRPr="00145F3F" w:rsidRDefault="00724C44" w:rsidP="00145F3F">
            <w:pPr>
              <w:spacing w:after="0" w:line="240" w:lineRule="auto"/>
              <w:jc w:val="both"/>
              <w:rPr>
                <w:sz w:val="22"/>
                <w:szCs w:val="22"/>
              </w:rPr>
            </w:pPr>
            <w:r w:rsidRPr="00145F3F">
              <w:rPr>
                <w:sz w:val="22"/>
                <w:szCs w:val="22"/>
              </w:rPr>
              <w:t>49.5%</w:t>
            </w:r>
          </w:p>
        </w:tc>
      </w:tr>
      <w:tr w:rsidR="00724C44" w:rsidRPr="00724C44" w14:paraId="0E0C068F" w14:textId="77777777" w:rsidTr="00A5379F">
        <w:tc>
          <w:tcPr>
            <w:tcW w:w="1008" w:type="dxa"/>
            <w:tcBorders>
              <w:top w:val="nil"/>
              <w:left w:val="nil"/>
              <w:bottom w:val="nil"/>
              <w:right w:val="nil"/>
            </w:tcBorders>
          </w:tcPr>
          <w:p w14:paraId="0F8C3C06" w14:textId="77777777" w:rsidR="00724C44" w:rsidRPr="00145F3F" w:rsidRDefault="00724C44" w:rsidP="00145F3F">
            <w:pPr>
              <w:spacing w:after="0" w:line="240" w:lineRule="auto"/>
              <w:jc w:val="both"/>
              <w:rPr>
                <w:sz w:val="22"/>
                <w:szCs w:val="22"/>
              </w:rPr>
            </w:pPr>
            <w:r w:rsidRPr="00145F3F">
              <w:rPr>
                <w:sz w:val="22"/>
                <w:szCs w:val="22"/>
              </w:rPr>
              <w:t>8</w:t>
            </w:r>
          </w:p>
        </w:tc>
        <w:tc>
          <w:tcPr>
            <w:tcW w:w="5040" w:type="dxa"/>
            <w:tcBorders>
              <w:top w:val="nil"/>
              <w:left w:val="nil"/>
              <w:bottom w:val="nil"/>
              <w:right w:val="nil"/>
            </w:tcBorders>
          </w:tcPr>
          <w:p w14:paraId="11E76B0E" w14:textId="77777777" w:rsidR="00724C44" w:rsidRPr="00145F3F" w:rsidRDefault="00724C44" w:rsidP="00145F3F">
            <w:pPr>
              <w:spacing w:after="0" w:line="240" w:lineRule="auto"/>
              <w:jc w:val="both"/>
              <w:rPr>
                <w:sz w:val="22"/>
                <w:szCs w:val="22"/>
              </w:rPr>
            </w:pPr>
            <w:r w:rsidRPr="00145F3F">
              <w:rPr>
                <w:sz w:val="22"/>
                <w:szCs w:val="22"/>
              </w:rPr>
              <w:t>Workplace safety incident rates</w:t>
            </w:r>
          </w:p>
        </w:tc>
        <w:tc>
          <w:tcPr>
            <w:tcW w:w="1296" w:type="dxa"/>
            <w:tcBorders>
              <w:top w:val="nil"/>
              <w:left w:val="nil"/>
              <w:bottom w:val="nil"/>
              <w:right w:val="nil"/>
            </w:tcBorders>
          </w:tcPr>
          <w:p w14:paraId="7602A663" w14:textId="77777777" w:rsidR="00724C44" w:rsidRPr="00145F3F" w:rsidRDefault="00724C44" w:rsidP="00145F3F">
            <w:pPr>
              <w:spacing w:after="0" w:line="240" w:lineRule="auto"/>
              <w:jc w:val="both"/>
              <w:rPr>
                <w:sz w:val="22"/>
                <w:szCs w:val="22"/>
              </w:rPr>
            </w:pPr>
            <w:r w:rsidRPr="00145F3F">
              <w:rPr>
                <w:sz w:val="22"/>
                <w:szCs w:val="22"/>
              </w:rPr>
              <w:t>194</w:t>
            </w:r>
          </w:p>
        </w:tc>
        <w:tc>
          <w:tcPr>
            <w:tcW w:w="1872" w:type="dxa"/>
            <w:tcBorders>
              <w:top w:val="nil"/>
              <w:left w:val="nil"/>
              <w:bottom w:val="nil"/>
              <w:right w:val="nil"/>
            </w:tcBorders>
          </w:tcPr>
          <w:p w14:paraId="5EB62DE8" w14:textId="77777777" w:rsidR="00724C44" w:rsidRPr="00145F3F" w:rsidRDefault="00724C44" w:rsidP="00145F3F">
            <w:pPr>
              <w:spacing w:after="0" w:line="240" w:lineRule="auto"/>
              <w:jc w:val="both"/>
              <w:rPr>
                <w:sz w:val="22"/>
                <w:szCs w:val="22"/>
              </w:rPr>
            </w:pPr>
            <w:r w:rsidRPr="00145F3F">
              <w:rPr>
                <w:sz w:val="22"/>
                <w:szCs w:val="22"/>
              </w:rPr>
              <w:t>48.5%</w:t>
            </w:r>
          </w:p>
        </w:tc>
      </w:tr>
      <w:tr w:rsidR="00724C44" w:rsidRPr="00724C44" w14:paraId="2E8CC153" w14:textId="77777777" w:rsidTr="00A5379F">
        <w:tc>
          <w:tcPr>
            <w:tcW w:w="1008" w:type="dxa"/>
            <w:tcBorders>
              <w:top w:val="nil"/>
              <w:left w:val="nil"/>
              <w:bottom w:val="nil"/>
              <w:right w:val="nil"/>
            </w:tcBorders>
          </w:tcPr>
          <w:p w14:paraId="7E64574A" w14:textId="77777777" w:rsidR="00724C44" w:rsidRPr="00145F3F" w:rsidRDefault="00724C44" w:rsidP="00145F3F">
            <w:pPr>
              <w:spacing w:after="0" w:line="240" w:lineRule="auto"/>
              <w:jc w:val="both"/>
              <w:rPr>
                <w:sz w:val="22"/>
                <w:szCs w:val="22"/>
              </w:rPr>
            </w:pPr>
            <w:r w:rsidRPr="00145F3F">
              <w:rPr>
                <w:sz w:val="22"/>
                <w:szCs w:val="22"/>
              </w:rPr>
              <w:t>9</w:t>
            </w:r>
          </w:p>
        </w:tc>
        <w:tc>
          <w:tcPr>
            <w:tcW w:w="5040" w:type="dxa"/>
            <w:tcBorders>
              <w:top w:val="nil"/>
              <w:left w:val="nil"/>
              <w:bottom w:val="nil"/>
              <w:right w:val="nil"/>
            </w:tcBorders>
          </w:tcPr>
          <w:p w14:paraId="6A75ACB0" w14:textId="77777777" w:rsidR="00724C44" w:rsidRPr="00145F3F" w:rsidRDefault="00724C44" w:rsidP="00145F3F">
            <w:pPr>
              <w:spacing w:after="0" w:line="240" w:lineRule="auto"/>
              <w:jc w:val="both"/>
              <w:rPr>
                <w:sz w:val="22"/>
                <w:szCs w:val="22"/>
              </w:rPr>
            </w:pPr>
            <w:r w:rsidRPr="00145F3F">
              <w:rPr>
                <w:sz w:val="22"/>
                <w:szCs w:val="22"/>
              </w:rPr>
              <w:t>Retirement plan participation rates</w:t>
            </w:r>
          </w:p>
        </w:tc>
        <w:tc>
          <w:tcPr>
            <w:tcW w:w="1296" w:type="dxa"/>
            <w:tcBorders>
              <w:top w:val="nil"/>
              <w:left w:val="nil"/>
              <w:bottom w:val="nil"/>
              <w:right w:val="nil"/>
            </w:tcBorders>
          </w:tcPr>
          <w:p w14:paraId="3F6ED10D" w14:textId="77777777" w:rsidR="00724C44" w:rsidRPr="00145F3F" w:rsidRDefault="00724C44" w:rsidP="00145F3F">
            <w:pPr>
              <w:spacing w:after="0" w:line="240" w:lineRule="auto"/>
              <w:jc w:val="both"/>
              <w:rPr>
                <w:sz w:val="22"/>
                <w:szCs w:val="22"/>
              </w:rPr>
            </w:pPr>
            <w:r w:rsidRPr="00145F3F">
              <w:rPr>
                <w:sz w:val="22"/>
                <w:szCs w:val="22"/>
              </w:rPr>
              <w:t>194</w:t>
            </w:r>
          </w:p>
        </w:tc>
        <w:tc>
          <w:tcPr>
            <w:tcW w:w="1872" w:type="dxa"/>
            <w:tcBorders>
              <w:top w:val="nil"/>
              <w:left w:val="nil"/>
              <w:bottom w:val="nil"/>
              <w:right w:val="nil"/>
            </w:tcBorders>
          </w:tcPr>
          <w:p w14:paraId="1956B5E5" w14:textId="77777777" w:rsidR="00724C44" w:rsidRPr="00145F3F" w:rsidRDefault="00724C44" w:rsidP="00145F3F">
            <w:pPr>
              <w:spacing w:after="0" w:line="240" w:lineRule="auto"/>
              <w:jc w:val="both"/>
              <w:rPr>
                <w:sz w:val="22"/>
                <w:szCs w:val="22"/>
              </w:rPr>
            </w:pPr>
            <w:r w:rsidRPr="00145F3F">
              <w:rPr>
                <w:sz w:val="22"/>
                <w:szCs w:val="22"/>
              </w:rPr>
              <w:t>48.5%</w:t>
            </w:r>
          </w:p>
        </w:tc>
      </w:tr>
      <w:tr w:rsidR="00724C44" w:rsidRPr="00724C44" w14:paraId="34E75FBE" w14:textId="77777777" w:rsidTr="00A5379F">
        <w:tc>
          <w:tcPr>
            <w:tcW w:w="1008" w:type="dxa"/>
            <w:tcBorders>
              <w:top w:val="nil"/>
              <w:left w:val="nil"/>
              <w:bottom w:val="nil"/>
              <w:right w:val="nil"/>
            </w:tcBorders>
          </w:tcPr>
          <w:p w14:paraId="68E14A4B" w14:textId="77777777" w:rsidR="00724C44" w:rsidRPr="00145F3F" w:rsidRDefault="00724C44" w:rsidP="00145F3F">
            <w:pPr>
              <w:spacing w:after="0" w:line="240" w:lineRule="auto"/>
              <w:jc w:val="both"/>
              <w:rPr>
                <w:sz w:val="22"/>
                <w:szCs w:val="22"/>
              </w:rPr>
            </w:pPr>
            <w:r w:rsidRPr="00145F3F">
              <w:rPr>
                <w:sz w:val="22"/>
                <w:szCs w:val="22"/>
              </w:rPr>
              <w:t>10</w:t>
            </w:r>
          </w:p>
        </w:tc>
        <w:tc>
          <w:tcPr>
            <w:tcW w:w="5040" w:type="dxa"/>
            <w:tcBorders>
              <w:top w:val="nil"/>
              <w:left w:val="nil"/>
              <w:bottom w:val="nil"/>
              <w:right w:val="nil"/>
            </w:tcBorders>
          </w:tcPr>
          <w:p w14:paraId="25EC017B" w14:textId="77777777" w:rsidR="00724C44" w:rsidRPr="00145F3F" w:rsidRDefault="00724C44" w:rsidP="00145F3F">
            <w:pPr>
              <w:spacing w:after="0" w:line="240" w:lineRule="auto"/>
              <w:jc w:val="both"/>
              <w:rPr>
                <w:sz w:val="22"/>
                <w:szCs w:val="22"/>
              </w:rPr>
            </w:pPr>
            <w:r w:rsidRPr="00145F3F">
              <w:rPr>
                <w:sz w:val="22"/>
                <w:szCs w:val="22"/>
              </w:rPr>
              <w:t>Stock-based compensation details</w:t>
            </w:r>
          </w:p>
        </w:tc>
        <w:tc>
          <w:tcPr>
            <w:tcW w:w="1296" w:type="dxa"/>
            <w:tcBorders>
              <w:top w:val="nil"/>
              <w:left w:val="nil"/>
              <w:bottom w:val="nil"/>
              <w:right w:val="nil"/>
            </w:tcBorders>
          </w:tcPr>
          <w:p w14:paraId="6A01842D" w14:textId="77777777" w:rsidR="00724C44" w:rsidRPr="00145F3F" w:rsidRDefault="00724C44" w:rsidP="00145F3F">
            <w:pPr>
              <w:spacing w:after="0" w:line="240" w:lineRule="auto"/>
              <w:jc w:val="both"/>
              <w:rPr>
                <w:sz w:val="22"/>
                <w:szCs w:val="22"/>
              </w:rPr>
            </w:pPr>
            <w:r w:rsidRPr="00145F3F">
              <w:rPr>
                <w:sz w:val="22"/>
                <w:szCs w:val="22"/>
              </w:rPr>
              <w:t>193</w:t>
            </w:r>
          </w:p>
        </w:tc>
        <w:tc>
          <w:tcPr>
            <w:tcW w:w="1872" w:type="dxa"/>
            <w:tcBorders>
              <w:top w:val="nil"/>
              <w:left w:val="nil"/>
              <w:bottom w:val="nil"/>
              <w:right w:val="nil"/>
            </w:tcBorders>
          </w:tcPr>
          <w:p w14:paraId="5738B0E7" w14:textId="77777777" w:rsidR="00724C44" w:rsidRPr="00145F3F" w:rsidRDefault="00724C44" w:rsidP="00145F3F">
            <w:pPr>
              <w:spacing w:after="0" w:line="240" w:lineRule="auto"/>
              <w:jc w:val="both"/>
              <w:rPr>
                <w:sz w:val="22"/>
                <w:szCs w:val="22"/>
              </w:rPr>
            </w:pPr>
            <w:r w:rsidRPr="00145F3F">
              <w:rPr>
                <w:sz w:val="22"/>
                <w:szCs w:val="22"/>
              </w:rPr>
              <w:t>48.2%</w:t>
            </w:r>
          </w:p>
        </w:tc>
      </w:tr>
      <w:tr w:rsidR="00724C44" w:rsidRPr="00724C44" w14:paraId="4CE7849E" w14:textId="77777777" w:rsidTr="00A5379F">
        <w:tc>
          <w:tcPr>
            <w:tcW w:w="1008" w:type="dxa"/>
            <w:tcBorders>
              <w:top w:val="nil"/>
              <w:left w:val="nil"/>
              <w:bottom w:val="nil"/>
              <w:right w:val="nil"/>
            </w:tcBorders>
          </w:tcPr>
          <w:p w14:paraId="2B50BCFD" w14:textId="77777777" w:rsidR="00724C44" w:rsidRPr="00145F3F" w:rsidRDefault="00724C44" w:rsidP="00145F3F">
            <w:pPr>
              <w:spacing w:after="0" w:line="240" w:lineRule="auto"/>
              <w:jc w:val="both"/>
              <w:rPr>
                <w:sz w:val="22"/>
                <w:szCs w:val="22"/>
              </w:rPr>
            </w:pPr>
            <w:r w:rsidRPr="00145F3F">
              <w:rPr>
                <w:sz w:val="22"/>
                <w:szCs w:val="22"/>
              </w:rPr>
              <w:t>11</w:t>
            </w:r>
          </w:p>
        </w:tc>
        <w:tc>
          <w:tcPr>
            <w:tcW w:w="5040" w:type="dxa"/>
            <w:tcBorders>
              <w:top w:val="nil"/>
              <w:left w:val="nil"/>
              <w:bottom w:val="nil"/>
              <w:right w:val="nil"/>
            </w:tcBorders>
          </w:tcPr>
          <w:p w14:paraId="536EFBE4" w14:textId="77777777" w:rsidR="00724C44" w:rsidRPr="00145F3F" w:rsidRDefault="00724C44" w:rsidP="00145F3F">
            <w:pPr>
              <w:spacing w:after="0" w:line="240" w:lineRule="auto"/>
              <w:jc w:val="both"/>
              <w:rPr>
                <w:sz w:val="22"/>
                <w:szCs w:val="22"/>
              </w:rPr>
            </w:pPr>
            <w:r w:rsidRPr="00145F3F">
              <w:rPr>
                <w:sz w:val="22"/>
                <w:szCs w:val="22"/>
              </w:rPr>
              <w:t>Employee breakdown by category/level</w:t>
            </w:r>
          </w:p>
        </w:tc>
        <w:tc>
          <w:tcPr>
            <w:tcW w:w="1296" w:type="dxa"/>
            <w:tcBorders>
              <w:top w:val="nil"/>
              <w:left w:val="nil"/>
              <w:bottom w:val="nil"/>
              <w:right w:val="nil"/>
            </w:tcBorders>
          </w:tcPr>
          <w:p w14:paraId="63C24CB1" w14:textId="77777777" w:rsidR="00724C44" w:rsidRPr="00145F3F" w:rsidRDefault="00724C44" w:rsidP="00145F3F">
            <w:pPr>
              <w:spacing w:after="0" w:line="240" w:lineRule="auto"/>
              <w:jc w:val="both"/>
              <w:rPr>
                <w:sz w:val="22"/>
                <w:szCs w:val="22"/>
              </w:rPr>
            </w:pPr>
            <w:r w:rsidRPr="00145F3F">
              <w:rPr>
                <w:sz w:val="22"/>
                <w:szCs w:val="22"/>
              </w:rPr>
              <w:t>192</w:t>
            </w:r>
          </w:p>
        </w:tc>
        <w:tc>
          <w:tcPr>
            <w:tcW w:w="1872" w:type="dxa"/>
            <w:tcBorders>
              <w:top w:val="nil"/>
              <w:left w:val="nil"/>
              <w:bottom w:val="nil"/>
              <w:right w:val="nil"/>
            </w:tcBorders>
          </w:tcPr>
          <w:p w14:paraId="30050D99" w14:textId="77777777" w:rsidR="00724C44" w:rsidRPr="00145F3F" w:rsidRDefault="00724C44" w:rsidP="00145F3F">
            <w:pPr>
              <w:spacing w:after="0" w:line="240" w:lineRule="auto"/>
              <w:jc w:val="both"/>
              <w:rPr>
                <w:sz w:val="22"/>
                <w:szCs w:val="22"/>
              </w:rPr>
            </w:pPr>
            <w:r w:rsidRPr="00145F3F">
              <w:rPr>
                <w:sz w:val="22"/>
                <w:szCs w:val="22"/>
              </w:rPr>
              <w:t>48.0%</w:t>
            </w:r>
          </w:p>
        </w:tc>
      </w:tr>
      <w:tr w:rsidR="00724C44" w:rsidRPr="00724C44" w14:paraId="1DC3CBC1" w14:textId="77777777" w:rsidTr="00A5379F">
        <w:tc>
          <w:tcPr>
            <w:tcW w:w="1008" w:type="dxa"/>
            <w:tcBorders>
              <w:top w:val="nil"/>
              <w:left w:val="nil"/>
              <w:bottom w:val="nil"/>
              <w:right w:val="nil"/>
            </w:tcBorders>
          </w:tcPr>
          <w:p w14:paraId="68D779A9" w14:textId="77777777" w:rsidR="00724C44" w:rsidRPr="00145F3F" w:rsidRDefault="00724C44" w:rsidP="00145F3F">
            <w:pPr>
              <w:spacing w:after="0" w:line="240" w:lineRule="auto"/>
              <w:jc w:val="both"/>
              <w:rPr>
                <w:sz w:val="22"/>
                <w:szCs w:val="22"/>
              </w:rPr>
            </w:pPr>
            <w:r w:rsidRPr="00145F3F">
              <w:rPr>
                <w:sz w:val="22"/>
                <w:szCs w:val="22"/>
              </w:rPr>
              <w:t>12</w:t>
            </w:r>
          </w:p>
        </w:tc>
        <w:tc>
          <w:tcPr>
            <w:tcW w:w="5040" w:type="dxa"/>
            <w:tcBorders>
              <w:top w:val="nil"/>
              <w:left w:val="nil"/>
              <w:bottom w:val="nil"/>
              <w:right w:val="nil"/>
            </w:tcBorders>
          </w:tcPr>
          <w:p w14:paraId="2D63478D" w14:textId="77777777" w:rsidR="00724C44" w:rsidRPr="00145F3F" w:rsidRDefault="00724C44" w:rsidP="00145F3F">
            <w:pPr>
              <w:spacing w:after="0" w:line="240" w:lineRule="auto"/>
              <w:jc w:val="both"/>
              <w:rPr>
                <w:sz w:val="22"/>
                <w:szCs w:val="22"/>
              </w:rPr>
            </w:pPr>
            <w:r w:rsidRPr="00145F3F">
              <w:rPr>
                <w:sz w:val="22"/>
                <w:szCs w:val="22"/>
              </w:rPr>
              <w:t xml:space="preserve">Gender </w:t>
            </w:r>
            <w:proofErr w:type="gramStart"/>
            <w:r w:rsidRPr="00145F3F">
              <w:rPr>
                <w:sz w:val="22"/>
                <w:szCs w:val="22"/>
              </w:rPr>
              <w:t>pay</w:t>
            </w:r>
            <w:proofErr w:type="gramEnd"/>
            <w:r w:rsidRPr="00145F3F">
              <w:rPr>
                <w:sz w:val="22"/>
                <w:szCs w:val="22"/>
              </w:rPr>
              <w:t xml:space="preserve"> gap analysis</w:t>
            </w:r>
          </w:p>
        </w:tc>
        <w:tc>
          <w:tcPr>
            <w:tcW w:w="1296" w:type="dxa"/>
            <w:tcBorders>
              <w:top w:val="nil"/>
              <w:left w:val="nil"/>
              <w:bottom w:val="nil"/>
              <w:right w:val="nil"/>
            </w:tcBorders>
          </w:tcPr>
          <w:p w14:paraId="54BCA910" w14:textId="77777777" w:rsidR="00724C44" w:rsidRPr="00145F3F" w:rsidRDefault="00724C44" w:rsidP="00145F3F">
            <w:pPr>
              <w:spacing w:after="0" w:line="240" w:lineRule="auto"/>
              <w:jc w:val="both"/>
              <w:rPr>
                <w:sz w:val="22"/>
                <w:szCs w:val="22"/>
              </w:rPr>
            </w:pPr>
            <w:r w:rsidRPr="00145F3F">
              <w:rPr>
                <w:sz w:val="22"/>
                <w:szCs w:val="22"/>
              </w:rPr>
              <w:t>192</w:t>
            </w:r>
          </w:p>
        </w:tc>
        <w:tc>
          <w:tcPr>
            <w:tcW w:w="1872" w:type="dxa"/>
            <w:tcBorders>
              <w:top w:val="nil"/>
              <w:left w:val="nil"/>
              <w:bottom w:val="nil"/>
              <w:right w:val="nil"/>
            </w:tcBorders>
          </w:tcPr>
          <w:p w14:paraId="64AEB788" w14:textId="77777777" w:rsidR="00724C44" w:rsidRPr="00145F3F" w:rsidRDefault="00724C44" w:rsidP="00145F3F">
            <w:pPr>
              <w:spacing w:after="0" w:line="240" w:lineRule="auto"/>
              <w:jc w:val="both"/>
              <w:rPr>
                <w:sz w:val="22"/>
                <w:szCs w:val="22"/>
              </w:rPr>
            </w:pPr>
            <w:r w:rsidRPr="00145F3F">
              <w:rPr>
                <w:sz w:val="22"/>
                <w:szCs w:val="22"/>
              </w:rPr>
              <w:t>48.0%</w:t>
            </w:r>
          </w:p>
        </w:tc>
      </w:tr>
      <w:tr w:rsidR="00724C44" w:rsidRPr="00724C44" w14:paraId="2DD8F37B" w14:textId="77777777" w:rsidTr="00A5379F">
        <w:tc>
          <w:tcPr>
            <w:tcW w:w="1008" w:type="dxa"/>
            <w:tcBorders>
              <w:top w:val="nil"/>
              <w:left w:val="nil"/>
              <w:bottom w:val="nil"/>
              <w:right w:val="nil"/>
            </w:tcBorders>
          </w:tcPr>
          <w:p w14:paraId="7B6C5B70" w14:textId="77777777" w:rsidR="00724C44" w:rsidRPr="00145F3F" w:rsidRDefault="00724C44" w:rsidP="00145F3F">
            <w:pPr>
              <w:spacing w:after="0" w:line="240" w:lineRule="auto"/>
              <w:jc w:val="both"/>
              <w:rPr>
                <w:sz w:val="22"/>
                <w:szCs w:val="22"/>
              </w:rPr>
            </w:pPr>
            <w:r w:rsidRPr="00145F3F">
              <w:rPr>
                <w:sz w:val="22"/>
                <w:szCs w:val="22"/>
              </w:rPr>
              <w:t>13</w:t>
            </w:r>
          </w:p>
        </w:tc>
        <w:tc>
          <w:tcPr>
            <w:tcW w:w="5040" w:type="dxa"/>
            <w:tcBorders>
              <w:top w:val="nil"/>
              <w:left w:val="nil"/>
              <w:bottom w:val="nil"/>
              <w:right w:val="nil"/>
            </w:tcBorders>
          </w:tcPr>
          <w:p w14:paraId="06FCDDF6" w14:textId="77777777" w:rsidR="00724C44" w:rsidRPr="00145F3F" w:rsidRDefault="00724C44" w:rsidP="00145F3F">
            <w:pPr>
              <w:spacing w:after="0" w:line="240" w:lineRule="auto"/>
              <w:jc w:val="both"/>
              <w:rPr>
                <w:sz w:val="22"/>
                <w:szCs w:val="22"/>
              </w:rPr>
            </w:pPr>
            <w:r w:rsidRPr="00145F3F">
              <w:rPr>
                <w:sz w:val="22"/>
                <w:szCs w:val="22"/>
              </w:rPr>
              <w:t>Workforce diversity statistics</w:t>
            </w:r>
          </w:p>
        </w:tc>
        <w:tc>
          <w:tcPr>
            <w:tcW w:w="1296" w:type="dxa"/>
            <w:tcBorders>
              <w:top w:val="nil"/>
              <w:left w:val="nil"/>
              <w:bottom w:val="nil"/>
              <w:right w:val="nil"/>
            </w:tcBorders>
          </w:tcPr>
          <w:p w14:paraId="2DDBED07" w14:textId="77777777" w:rsidR="00724C44" w:rsidRPr="00145F3F" w:rsidRDefault="00724C44" w:rsidP="00145F3F">
            <w:pPr>
              <w:spacing w:after="0" w:line="240" w:lineRule="auto"/>
              <w:jc w:val="both"/>
              <w:rPr>
                <w:sz w:val="22"/>
                <w:szCs w:val="22"/>
              </w:rPr>
            </w:pPr>
            <w:r w:rsidRPr="00145F3F">
              <w:rPr>
                <w:sz w:val="22"/>
                <w:szCs w:val="22"/>
              </w:rPr>
              <w:t>189</w:t>
            </w:r>
          </w:p>
        </w:tc>
        <w:tc>
          <w:tcPr>
            <w:tcW w:w="1872" w:type="dxa"/>
            <w:tcBorders>
              <w:top w:val="nil"/>
              <w:left w:val="nil"/>
              <w:bottom w:val="nil"/>
              <w:right w:val="nil"/>
            </w:tcBorders>
          </w:tcPr>
          <w:p w14:paraId="6920E408" w14:textId="77777777" w:rsidR="00724C44" w:rsidRPr="00145F3F" w:rsidRDefault="00724C44" w:rsidP="00145F3F">
            <w:pPr>
              <w:spacing w:after="0" w:line="240" w:lineRule="auto"/>
              <w:jc w:val="both"/>
              <w:rPr>
                <w:sz w:val="22"/>
                <w:szCs w:val="22"/>
              </w:rPr>
            </w:pPr>
            <w:r w:rsidRPr="00145F3F">
              <w:rPr>
                <w:sz w:val="22"/>
                <w:szCs w:val="22"/>
              </w:rPr>
              <w:t>47.2%</w:t>
            </w:r>
          </w:p>
        </w:tc>
      </w:tr>
      <w:tr w:rsidR="00724C44" w:rsidRPr="00724C44" w14:paraId="77260A54" w14:textId="77777777" w:rsidTr="00A5379F">
        <w:tc>
          <w:tcPr>
            <w:tcW w:w="1008" w:type="dxa"/>
            <w:tcBorders>
              <w:top w:val="nil"/>
              <w:left w:val="nil"/>
              <w:bottom w:val="nil"/>
              <w:right w:val="nil"/>
            </w:tcBorders>
          </w:tcPr>
          <w:p w14:paraId="770170B9" w14:textId="77777777" w:rsidR="00724C44" w:rsidRPr="00145F3F" w:rsidRDefault="00724C44" w:rsidP="00145F3F">
            <w:pPr>
              <w:spacing w:after="0" w:line="240" w:lineRule="auto"/>
              <w:jc w:val="both"/>
              <w:rPr>
                <w:sz w:val="22"/>
                <w:szCs w:val="22"/>
              </w:rPr>
            </w:pPr>
            <w:r w:rsidRPr="00145F3F">
              <w:rPr>
                <w:sz w:val="22"/>
                <w:szCs w:val="22"/>
              </w:rPr>
              <w:t>14</w:t>
            </w:r>
          </w:p>
        </w:tc>
        <w:tc>
          <w:tcPr>
            <w:tcW w:w="5040" w:type="dxa"/>
            <w:tcBorders>
              <w:top w:val="nil"/>
              <w:left w:val="nil"/>
              <w:bottom w:val="nil"/>
              <w:right w:val="nil"/>
            </w:tcBorders>
          </w:tcPr>
          <w:p w14:paraId="0D4E6E82" w14:textId="77777777" w:rsidR="00724C44" w:rsidRPr="00145F3F" w:rsidRDefault="00724C44" w:rsidP="00145F3F">
            <w:pPr>
              <w:spacing w:after="0" w:line="240" w:lineRule="auto"/>
              <w:jc w:val="both"/>
              <w:rPr>
                <w:sz w:val="22"/>
                <w:szCs w:val="22"/>
              </w:rPr>
            </w:pPr>
            <w:r w:rsidRPr="00145F3F">
              <w:rPr>
                <w:sz w:val="22"/>
                <w:szCs w:val="22"/>
              </w:rPr>
              <w:t>Executive compensation details</w:t>
            </w:r>
          </w:p>
        </w:tc>
        <w:tc>
          <w:tcPr>
            <w:tcW w:w="1296" w:type="dxa"/>
            <w:tcBorders>
              <w:top w:val="nil"/>
              <w:left w:val="nil"/>
              <w:bottom w:val="nil"/>
              <w:right w:val="nil"/>
            </w:tcBorders>
          </w:tcPr>
          <w:p w14:paraId="14F22A1A" w14:textId="77777777" w:rsidR="00724C44" w:rsidRPr="00145F3F" w:rsidRDefault="00724C44" w:rsidP="00145F3F">
            <w:pPr>
              <w:spacing w:after="0" w:line="240" w:lineRule="auto"/>
              <w:jc w:val="both"/>
              <w:rPr>
                <w:sz w:val="22"/>
                <w:szCs w:val="22"/>
              </w:rPr>
            </w:pPr>
            <w:r w:rsidRPr="00145F3F">
              <w:rPr>
                <w:sz w:val="22"/>
                <w:szCs w:val="22"/>
              </w:rPr>
              <w:t>186</w:t>
            </w:r>
          </w:p>
        </w:tc>
        <w:tc>
          <w:tcPr>
            <w:tcW w:w="1872" w:type="dxa"/>
            <w:tcBorders>
              <w:top w:val="nil"/>
              <w:left w:val="nil"/>
              <w:bottom w:val="nil"/>
              <w:right w:val="nil"/>
            </w:tcBorders>
          </w:tcPr>
          <w:p w14:paraId="2945D5C1" w14:textId="77777777" w:rsidR="00724C44" w:rsidRPr="00145F3F" w:rsidRDefault="00724C44" w:rsidP="00145F3F">
            <w:pPr>
              <w:spacing w:after="0" w:line="240" w:lineRule="auto"/>
              <w:jc w:val="both"/>
              <w:rPr>
                <w:sz w:val="22"/>
                <w:szCs w:val="22"/>
              </w:rPr>
            </w:pPr>
            <w:r w:rsidRPr="00145F3F">
              <w:rPr>
                <w:sz w:val="22"/>
                <w:szCs w:val="22"/>
              </w:rPr>
              <w:t>46.5%</w:t>
            </w:r>
          </w:p>
        </w:tc>
      </w:tr>
      <w:tr w:rsidR="00724C44" w:rsidRPr="00724C44" w14:paraId="15895EA3" w14:textId="77777777" w:rsidTr="00A5379F">
        <w:tc>
          <w:tcPr>
            <w:tcW w:w="1008" w:type="dxa"/>
            <w:tcBorders>
              <w:top w:val="nil"/>
              <w:left w:val="nil"/>
              <w:bottom w:val="nil"/>
              <w:right w:val="nil"/>
            </w:tcBorders>
          </w:tcPr>
          <w:p w14:paraId="096721B8" w14:textId="77777777" w:rsidR="00724C44" w:rsidRPr="00145F3F" w:rsidRDefault="00724C44" w:rsidP="00145F3F">
            <w:pPr>
              <w:spacing w:after="0" w:line="240" w:lineRule="auto"/>
              <w:jc w:val="both"/>
              <w:rPr>
                <w:sz w:val="22"/>
                <w:szCs w:val="22"/>
              </w:rPr>
            </w:pPr>
            <w:r w:rsidRPr="00145F3F">
              <w:rPr>
                <w:sz w:val="22"/>
                <w:szCs w:val="22"/>
              </w:rPr>
              <w:t>15</w:t>
            </w:r>
          </w:p>
        </w:tc>
        <w:tc>
          <w:tcPr>
            <w:tcW w:w="5040" w:type="dxa"/>
            <w:tcBorders>
              <w:top w:val="nil"/>
              <w:left w:val="nil"/>
              <w:bottom w:val="nil"/>
              <w:right w:val="nil"/>
            </w:tcBorders>
          </w:tcPr>
          <w:p w14:paraId="54854438" w14:textId="77777777" w:rsidR="00724C44" w:rsidRPr="00145F3F" w:rsidRDefault="00724C44" w:rsidP="00145F3F">
            <w:pPr>
              <w:spacing w:after="0" w:line="240" w:lineRule="auto"/>
              <w:jc w:val="both"/>
              <w:rPr>
                <w:sz w:val="22"/>
                <w:szCs w:val="22"/>
              </w:rPr>
            </w:pPr>
            <w:r w:rsidRPr="00145F3F">
              <w:rPr>
                <w:sz w:val="22"/>
                <w:szCs w:val="22"/>
              </w:rPr>
              <w:t>Training investment amounts</w:t>
            </w:r>
          </w:p>
        </w:tc>
        <w:tc>
          <w:tcPr>
            <w:tcW w:w="1296" w:type="dxa"/>
            <w:tcBorders>
              <w:top w:val="nil"/>
              <w:left w:val="nil"/>
              <w:bottom w:val="nil"/>
              <w:right w:val="nil"/>
            </w:tcBorders>
          </w:tcPr>
          <w:p w14:paraId="1796F0E9" w14:textId="77777777" w:rsidR="00724C44" w:rsidRPr="00145F3F" w:rsidRDefault="00724C44" w:rsidP="00145F3F">
            <w:pPr>
              <w:spacing w:after="0" w:line="240" w:lineRule="auto"/>
              <w:jc w:val="both"/>
              <w:rPr>
                <w:sz w:val="22"/>
                <w:szCs w:val="22"/>
              </w:rPr>
            </w:pPr>
            <w:r w:rsidRPr="00145F3F">
              <w:rPr>
                <w:sz w:val="22"/>
                <w:szCs w:val="22"/>
              </w:rPr>
              <w:t>171</w:t>
            </w:r>
          </w:p>
        </w:tc>
        <w:tc>
          <w:tcPr>
            <w:tcW w:w="1872" w:type="dxa"/>
            <w:tcBorders>
              <w:top w:val="nil"/>
              <w:left w:val="nil"/>
              <w:bottom w:val="nil"/>
              <w:right w:val="nil"/>
            </w:tcBorders>
          </w:tcPr>
          <w:p w14:paraId="14A4E8F3" w14:textId="77777777" w:rsidR="00724C44" w:rsidRPr="00145F3F" w:rsidRDefault="00724C44" w:rsidP="00145F3F">
            <w:pPr>
              <w:spacing w:after="0" w:line="240" w:lineRule="auto"/>
              <w:jc w:val="both"/>
              <w:rPr>
                <w:sz w:val="22"/>
                <w:szCs w:val="22"/>
              </w:rPr>
            </w:pPr>
            <w:r w:rsidRPr="00145F3F">
              <w:rPr>
                <w:sz w:val="22"/>
                <w:szCs w:val="22"/>
              </w:rPr>
              <w:t>42.8%</w:t>
            </w:r>
          </w:p>
        </w:tc>
      </w:tr>
      <w:tr w:rsidR="00724C44" w:rsidRPr="00724C44" w14:paraId="0086F072" w14:textId="77777777" w:rsidTr="00A5379F">
        <w:tc>
          <w:tcPr>
            <w:tcW w:w="1008" w:type="dxa"/>
            <w:tcBorders>
              <w:top w:val="nil"/>
              <w:left w:val="nil"/>
              <w:bottom w:val="nil"/>
              <w:right w:val="nil"/>
            </w:tcBorders>
          </w:tcPr>
          <w:p w14:paraId="52005B12" w14:textId="77777777" w:rsidR="00724C44" w:rsidRPr="00145F3F" w:rsidRDefault="00724C44" w:rsidP="00145F3F">
            <w:pPr>
              <w:spacing w:after="0" w:line="240" w:lineRule="auto"/>
              <w:jc w:val="both"/>
              <w:rPr>
                <w:sz w:val="22"/>
                <w:szCs w:val="22"/>
              </w:rPr>
            </w:pPr>
            <w:r w:rsidRPr="00145F3F">
              <w:rPr>
                <w:sz w:val="22"/>
                <w:szCs w:val="22"/>
              </w:rPr>
              <w:t>16</w:t>
            </w:r>
          </w:p>
        </w:tc>
        <w:tc>
          <w:tcPr>
            <w:tcW w:w="5040" w:type="dxa"/>
            <w:tcBorders>
              <w:top w:val="nil"/>
              <w:left w:val="nil"/>
              <w:bottom w:val="nil"/>
              <w:right w:val="nil"/>
            </w:tcBorders>
          </w:tcPr>
          <w:p w14:paraId="72B2A2CB" w14:textId="77777777" w:rsidR="00724C44" w:rsidRPr="00145F3F" w:rsidRDefault="00724C44" w:rsidP="00145F3F">
            <w:pPr>
              <w:spacing w:after="0" w:line="240" w:lineRule="auto"/>
              <w:jc w:val="both"/>
              <w:rPr>
                <w:sz w:val="22"/>
                <w:szCs w:val="22"/>
              </w:rPr>
            </w:pPr>
            <w:r w:rsidRPr="00145F3F">
              <w:rPr>
                <w:sz w:val="22"/>
                <w:szCs w:val="22"/>
              </w:rPr>
              <w:t>Total number of employees</w:t>
            </w:r>
          </w:p>
        </w:tc>
        <w:tc>
          <w:tcPr>
            <w:tcW w:w="1296" w:type="dxa"/>
            <w:tcBorders>
              <w:top w:val="nil"/>
              <w:left w:val="nil"/>
              <w:bottom w:val="nil"/>
              <w:right w:val="nil"/>
            </w:tcBorders>
          </w:tcPr>
          <w:p w14:paraId="4A1C3D1B" w14:textId="77777777" w:rsidR="00724C44" w:rsidRPr="00145F3F" w:rsidRDefault="00724C44" w:rsidP="00145F3F">
            <w:pPr>
              <w:spacing w:after="0" w:line="240" w:lineRule="auto"/>
              <w:jc w:val="both"/>
              <w:rPr>
                <w:sz w:val="22"/>
                <w:szCs w:val="22"/>
              </w:rPr>
            </w:pPr>
            <w:r w:rsidRPr="00145F3F">
              <w:rPr>
                <w:sz w:val="22"/>
                <w:szCs w:val="22"/>
              </w:rPr>
              <w:t>170</w:t>
            </w:r>
          </w:p>
        </w:tc>
        <w:tc>
          <w:tcPr>
            <w:tcW w:w="1872" w:type="dxa"/>
            <w:tcBorders>
              <w:top w:val="nil"/>
              <w:left w:val="nil"/>
              <w:bottom w:val="nil"/>
              <w:right w:val="nil"/>
            </w:tcBorders>
          </w:tcPr>
          <w:p w14:paraId="38611C49" w14:textId="77777777" w:rsidR="00724C44" w:rsidRPr="00145F3F" w:rsidRDefault="00724C44" w:rsidP="00145F3F">
            <w:pPr>
              <w:spacing w:after="0" w:line="240" w:lineRule="auto"/>
              <w:jc w:val="both"/>
              <w:rPr>
                <w:sz w:val="22"/>
                <w:szCs w:val="22"/>
              </w:rPr>
            </w:pPr>
            <w:r w:rsidRPr="00145F3F">
              <w:rPr>
                <w:sz w:val="22"/>
                <w:szCs w:val="22"/>
              </w:rPr>
              <w:t>42.5%</w:t>
            </w:r>
          </w:p>
        </w:tc>
      </w:tr>
      <w:tr w:rsidR="00724C44" w:rsidRPr="00724C44" w14:paraId="564DFB94" w14:textId="77777777" w:rsidTr="00A5379F">
        <w:tc>
          <w:tcPr>
            <w:tcW w:w="1008" w:type="dxa"/>
            <w:tcBorders>
              <w:top w:val="nil"/>
              <w:left w:val="nil"/>
              <w:bottom w:val="nil"/>
              <w:right w:val="nil"/>
            </w:tcBorders>
          </w:tcPr>
          <w:p w14:paraId="53C2E34F" w14:textId="77777777" w:rsidR="00724C44" w:rsidRPr="00145F3F" w:rsidRDefault="00724C44" w:rsidP="00145F3F">
            <w:pPr>
              <w:spacing w:after="0" w:line="240" w:lineRule="auto"/>
              <w:jc w:val="both"/>
              <w:rPr>
                <w:sz w:val="22"/>
                <w:szCs w:val="22"/>
              </w:rPr>
            </w:pPr>
            <w:r w:rsidRPr="00145F3F">
              <w:rPr>
                <w:sz w:val="22"/>
                <w:szCs w:val="22"/>
              </w:rPr>
              <w:t>17</w:t>
            </w:r>
          </w:p>
        </w:tc>
        <w:tc>
          <w:tcPr>
            <w:tcW w:w="5040" w:type="dxa"/>
            <w:tcBorders>
              <w:top w:val="nil"/>
              <w:left w:val="nil"/>
              <w:bottom w:val="nil"/>
              <w:right w:val="nil"/>
            </w:tcBorders>
          </w:tcPr>
          <w:p w14:paraId="769739BE" w14:textId="77777777" w:rsidR="00724C44" w:rsidRPr="00145F3F" w:rsidRDefault="00724C44" w:rsidP="00145F3F">
            <w:pPr>
              <w:spacing w:after="0" w:line="240" w:lineRule="auto"/>
              <w:jc w:val="both"/>
              <w:rPr>
                <w:sz w:val="22"/>
                <w:szCs w:val="22"/>
              </w:rPr>
            </w:pPr>
            <w:r w:rsidRPr="00145F3F">
              <w:rPr>
                <w:sz w:val="22"/>
                <w:szCs w:val="22"/>
              </w:rPr>
              <w:t>Performance-based pay percentage</w:t>
            </w:r>
          </w:p>
        </w:tc>
        <w:tc>
          <w:tcPr>
            <w:tcW w:w="1296" w:type="dxa"/>
            <w:tcBorders>
              <w:top w:val="nil"/>
              <w:left w:val="nil"/>
              <w:bottom w:val="nil"/>
              <w:right w:val="nil"/>
            </w:tcBorders>
          </w:tcPr>
          <w:p w14:paraId="228F36D8" w14:textId="77777777" w:rsidR="00724C44" w:rsidRPr="00145F3F" w:rsidRDefault="00724C44" w:rsidP="00145F3F">
            <w:pPr>
              <w:spacing w:after="0" w:line="240" w:lineRule="auto"/>
              <w:jc w:val="both"/>
              <w:rPr>
                <w:sz w:val="22"/>
                <w:szCs w:val="22"/>
              </w:rPr>
            </w:pPr>
            <w:r w:rsidRPr="00145F3F">
              <w:rPr>
                <w:sz w:val="22"/>
                <w:szCs w:val="22"/>
              </w:rPr>
              <w:t>170</w:t>
            </w:r>
          </w:p>
        </w:tc>
        <w:tc>
          <w:tcPr>
            <w:tcW w:w="1872" w:type="dxa"/>
            <w:tcBorders>
              <w:top w:val="nil"/>
              <w:left w:val="nil"/>
              <w:bottom w:val="nil"/>
              <w:right w:val="nil"/>
            </w:tcBorders>
          </w:tcPr>
          <w:p w14:paraId="6B37CA04" w14:textId="77777777" w:rsidR="00724C44" w:rsidRPr="00145F3F" w:rsidRDefault="00724C44" w:rsidP="00145F3F">
            <w:pPr>
              <w:spacing w:after="0" w:line="240" w:lineRule="auto"/>
              <w:jc w:val="both"/>
              <w:rPr>
                <w:sz w:val="22"/>
                <w:szCs w:val="22"/>
              </w:rPr>
            </w:pPr>
            <w:r w:rsidRPr="00145F3F">
              <w:rPr>
                <w:sz w:val="22"/>
                <w:szCs w:val="22"/>
              </w:rPr>
              <w:t>42.5%</w:t>
            </w:r>
          </w:p>
        </w:tc>
      </w:tr>
      <w:tr w:rsidR="00724C44" w:rsidRPr="00724C44" w14:paraId="0168BB5F" w14:textId="77777777" w:rsidTr="00A5379F">
        <w:tc>
          <w:tcPr>
            <w:tcW w:w="1008" w:type="dxa"/>
            <w:tcBorders>
              <w:top w:val="nil"/>
              <w:left w:val="nil"/>
              <w:bottom w:val="nil"/>
              <w:right w:val="nil"/>
            </w:tcBorders>
          </w:tcPr>
          <w:p w14:paraId="08B94DFC" w14:textId="77777777" w:rsidR="00724C44" w:rsidRPr="00145F3F" w:rsidRDefault="00724C44" w:rsidP="00145F3F">
            <w:pPr>
              <w:spacing w:after="0" w:line="240" w:lineRule="auto"/>
              <w:jc w:val="both"/>
              <w:rPr>
                <w:sz w:val="22"/>
                <w:szCs w:val="22"/>
              </w:rPr>
            </w:pPr>
            <w:r w:rsidRPr="00145F3F">
              <w:rPr>
                <w:sz w:val="22"/>
                <w:szCs w:val="22"/>
              </w:rPr>
              <w:t>18</w:t>
            </w:r>
          </w:p>
        </w:tc>
        <w:tc>
          <w:tcPr>
            <w:tcW w:w="5040" w:type="dxa"/>
            <w:tcBorders>
              <w:top w:val="nil"/>
              <w:left w:val="nil"/>
              <w:bottom w:val="nil"/>
              <w:right w:val="nil"/>
            </w:tcBorders>
          </w:tcPr>
          <w:p w14:paraId="47F181A1" w14:textId="77777777" w:rsidR="00724C44" w:rsidRPr="00145F3F" w:rsidRDefault="00724C44" w:rsidP="00145F3F">
            <w:pPr>
              <w:spacing w:after="0" w:line="240" w:lineRule="auto"/>
              <w:jc w:val="both"/>
              <w:rPr>
                <w:sz w:val="22"/>
                <w:szCs w:val="22"/>
              </w:rPr>
            </w:pPr>
            <w:r w:rsidRPr="00145F3F">
              <w:rPr>
                <w:sz w:val="22"/>
                <w:szCs w:val="22"/>
              </w:rPr>
              <w:t>Reasons for employee turnover</w:t>
            </w:r>
          </w:p>
        </w:tc>
        <w:tc>
          <w:tcPr>
            <w:tcW w:w="1296" w:type="dxa"/>
            <w:tcBorders>
              <w:top w:val="nil"/>
              <w:left w:val="nil"/>
              <w:bottom w:val="nil"/>
              <w:right w:val="nil"/>
            </w:tcBorders>
          </w:tcPr>
          <w:p w14:paraId="1706E976" w14:textId="77777777" w:rsidR="00724C44" w:rsidRPr="00145F3F" w:rsidRDefault="00724C44" w:rsidP="00145F3F">
            <w:pPr>
              <w:spacing w:after="0" w:line="240" w:lineRule="auto"/>
              <w:jc w:val="both"/>
              <w:rPr>
                <w:sz w:val="22"/>
                <w:szCs w:val="22"/>
              </w:rPr>
            </w:pPr>
            <w:r w:rsidRPr="00145F3F">
              <w:rPr>
                <w:sz w:val="22"/>
                <w:szCs w:val="22"/>
              </w:rPr>
              <w:t>167</w:t>
            </w:r>
          </w:p>
        </w:tc>
        <w:tc>
          <w:tcPr>
            <w:tcW w:w="1872" w:type="dxa"/>
            <w:tcBorders>
              <w:top w:val="nil"/>
              <w:left w:val="nil"/>
              <w:bottom w:val="nil"/>
              <w:right w:val="nil"/>
            </w:tcBorders>
          </w:tcPr>
          <w:p w14:paraId="7F3723E3" w14:textId="77777777" w:rsidR="00724C44" w:rsidRPr="00145F3F" w:rsidRDefault="00724C44" w:rsidP="00145F3F">
            <w:pPr>
              <w:spacing w:after="0" w:line="240" w:lineRule="auto"/>
              <w:jc w:val="both"/>
              <w:rPr>
                <w:sz w:val="22"/>
                <w:szCs w:val="22"/>
              </w:rPr>
            </w:pPr>
            <w:r w:rsidRPr="00145F3F">
              <w:rPr>
                <w:sz w:val="22"/>
                <w:szCs w:val="22"/>
              </w:rPr>
              <w:t>41.8%</w:t>
            </w:r>
          </w:p>
        </w:tc>
      </w:tr>
      <w:tr w:rsidR="00724C44" w:rsidRPr="00724C44" w14:paraId="129F0036" w14:textId="77777777" w:rsidTr="00A5379F">
        <w:tc>
          <w:tcPr>
            <w:tcW w:w="1008" w:type="dxa"/>
            <w:tcBorders>
              <w:top w:val="nil"/>
              <w:left w:val="nil"/>
              <w:bottom w:val="nil"/>
              <w:right w:val="nil"/>
            </w:tcBorders>
          </w:tcPr>
          <w:p w14:paraId="29E8E163" w14:textId="77777777" w:rsidR="00724C44" w:rsidRPr="00145F3F" w:rsidRDefault="00724C44" w:rsidP="00145F3F">
            <w:pPr>
              <w:spacing w:after="0" w:line="240" w:lineRule="auto"/>
              <w:jc w:val="both"/>
              <w:rPr>
                <w:sz w:val="22"/>
                <w:szCs w:val="22"/>
              </w:rPr>
            </w:pPr>
            <w:r w:rsidRPr="00145F3F">
              <w:rPr>
                <w:sz w:val="22"/>
                <w:szCs w:val="22"/>
              </w:rPr>
              <w:t>19</w:t>
            </w:r>
          </w:p>
        </w:tc>
        <w:tc>
          <w:tcPr>
            <w:tcW w:w="5040" w:type="dxa"/>
            <w:tcBorders>
              <w:top w:val="nil"/>
              <w:left w:val="nil"/>
              <w:bottom w:val="nil"/>
              <w:right w:val="nil"/>
            </w:tcBorders>
          </w:tcPr>
          <w:p w14:paraId="661B5D71" w14:textId="77777777" w:rsidR="00724C44" w:rsidRPr="00145F3F" w:rsidRDefault="00724C44" w:rsidP="00145F3F">
            <w:pPr>
              <w:spacing w:after="0" w:line="240" w:lineRule="auto"/>
              <w:jc w:val="both"/>
              <w:rPr>
                <w:sz w:val="22"/>
                <w:szCs w:val="22"/>
              </w:rPr>
            </w:pPr>
            <w:r w:rsidRPr="00145F3F">
              <w:rPr>
                <w:sz w:val="22"/>
                <w:szCs w:val="22"/>
              </w:rPr>
              <w:t>Employee turnover rates</w:t>
            </w:r>
          </w:p>
        </w:tc>
        <w:tc>
          <w:tcPr>
            <w:tcW w:w="1296" w:type="dxa"/>
            <w:tcBorders>
              <w:top w:val="nil"/>
              <w:left w:val="nil"/>
              <w:bottom w:val="nil"/>
              <w:right w:val="nil"/>
            </w:tcBorders>
          </w:tcPr>
          <w:p w14:paraId="42DCB285" w14:textId="77777777" w:rsidR="00724C44" w:rsidRPr="00145F3F" w:rsidRDefault="00724C44" w:rsidP="00145F3F">
            <w:pPr>
              <w:spacing w:after="0" w:line="240" w:lineRule="auto"/>
              <w:jc w:val="both"/>
              <w:rPr>
                <w:sz w:val="22"/>
                <w:szCs w:val="22"/>
              </w:rPr>
            </w:pPr>
            <w:r w:rsidRPr="00145F3F">
              <w:rPr>
                <w:sz w:val="22"/>
                <w:szCs w:val="22"/>
              </w:rPr>
              <w:t>163</w:t>
            </w:r>
          </w:p>
        </w:tc>
        <w:tc>
          <w:tcPr>
            <w:tcW w:w="1872" w:type="dxa"/>
            <w:tcBorders>
              <w:top w:val="nil"/>
              <w:left w:val="nil"/>
              <w:bottom w:val="nil"/>
              <w:right w:val="nil"/>
            </w:tcBorders>
          </w:tcPr>
          <w:p w14:paraId="27B98138" w14:textId="77777777" w:rsidR="00724C44" w:rsidRPr="00145F3F" w:rsidRDefault="00724C44" w:rsidP="00145F3F">
            <w:pPr>
              <w:spacing w:after="0" w:line="240" w:lineRule="auto"/>
              <w:jc w:val="both"/>
              <w:rPr>
                <w:sz w:val="22"/>
                <w:szCs w:val="22"/>
              </w:rPr>
            </w:pPr>
            <w:r w:rsidRPr="00145F3F">
              <w:rPr>
                <w:sz w:val="22"/>
                <w:szCs w:val="22"/>
              </w:rPr>
              <w:t>40.8%</w:t>
            </w:r>
          </w:p>
        </w:tc>
      </w:tr>
      <w:tr w:rsidR="00724C44" w:rsidRPr="00724C44" w14:paraId="7A08F716" w14:textId="77777777" w:rsidTr="00A5379F">
        <w:tc>
          <w:tcPr>
            <w:tcW w:w="1008" w:type="dxa"/>
            <w:tcBorders>
              <w:top w:val="nil"/>
              <w:left w:val="nil"/>
              <w:bottom w:val="nil"/>
              <w:right w:val="nil"/>
            </w:tcBorders>
          </w:tcPr>
          <w:p w14:paraId="78D7DA4D" w14:textId="77777777" w:rsidR="00724C44" w:rsidRPr="00145F3F" w:rsidRDefault="00724C44" w:rsidP="00145F3F">
            <w:pPr>
              <w:spacing w:after="0" w:line="240" w:lineRule="auto"/>
              <w:jc w:val="both"/>
              <w:rPr>
                <w:sz w:val="22"/>
                <w:szCs w:val="22"/>
              </w:rPr>
            </w:pPr>
            <w:r w:rsidRPr="00145F3F">
              <w:rPr>
                <w:sz w:val="22"/>
                <w:szCs w:val="22"/>
              </w:rPr>
              <w:t>20</w:t>
            </w:r>
          </w:p>
        </w:tc>
        <w:tc>
          <w:tcPr>
            <w:tcW w:w="5040" w:type="dxa"/>
            <w:tcBorders>
              <w:top w:val="nil"/>
              <w:left w:val="nil"/>
              <w:bottom w:val="nil"/>
              <w:right w:val="nil"/>
            </w:tcBorders>
          </w:tcPr>
          <w:p w14:paraId="0BDEAF24" w14:textId="77777777" w:rsidR="00724C44" w:rsidRPr="00145F3F" w:rsidRDefault="00724C44" w:rsidP="00145F3F">
            <w:pPr>
              <w:spacing w:after="0" w:line="240" w:lineRule="auto"/>
              <w:jc w:val="both"/>
              <w:rPr>
                <w:sz w:val="22"/>
                <w:szCs w:val="22"/>
              </w:rPr>
            </w:pPr>
            <w:r w:rsidRPr="00145F3F">
              <w:rPr>
                <w:sz w:val="22"/>
                <w:szCs w:val="22"/>
              </w:rPr>
              <w:t>Revenue per employee</w:t>
            </w:r>
          </w:p>
        </w:tc>
        <w:tc>
          <w:tcPr>
            <w:tcW w:w="1296" w:type="dxa"/>
            <w:tcBorders>
              <w:top w:val="nil"/>
              <w:left w:val="nil"/>
              <w:bottom w:val="nil"/>
              <w:right w:val="nil"/>
            </w:tcBorders>
          </w:tcPr>
          <w:p w14:paraId="78F1B298" w14:textId="77777777" w:rsidR="00724C44" w:rsidRPr="00145F3F" w:rsidRDefault="00724C44" w:rsidP="00145F3F">
            <w:pPr>
              <w:spacing w:after="0" w:line="240" w:lineRule="auto"/>
              <w:jc w:val="both"/>
              <w:rPr>
                <w:sz w:val="22"/>
                <w:szCs w:val="22"/>
              </w:rPr>
            </w:pPr>
            <w:r w:rsidRPr="00145F3F">
              <w:rPr>
                <w:sz w:val="22"/>
                <w:szCs w:val="22"/>
              </w:rPr>
              <w:t>12</w:t>
            </w:r>
          </w:p>
        </w:tc>
        <w:tc>
          <w:tcPr>
            <w:tcW w:w="1872" w:type="dxa"/>
            <w:tcBorders>
              <w:top w:val="nil"/>
              <w:left w:val="nil"/>
              <w:bottom w:val="nil"/>
              <w:right w:val="nil"/>
            </w:tcBorders>
          </w:tcPr>
          <w:p w14:paraId="6B5D6C19" w14:textId="77777777" w:rsidR="00724C44" w:rsidRPr="00145F3F" w:rsidRDefault="00724C44" w:rsidP="00145F3F">
            <w:pPr>
              <w:spacing w:after="0" w:line="240" w:lineRule="auto"/>
              <w:jc w:val="both"/>
              <w:rPr>
                <w:sz w:val="22"/>
                <w:szCs w:val="22"/>
              </w:rPr>
            </w:pPr>
            <w:r w:rsidRPr="00145F3F">
              <w:rPr>
                <w:sz w:val="22"/>
                <w:szCs w:val="22"/>
              </w:rPr>
              <w:t>3.0%</w:t>
            </w:r>
          </w:p>
        </w:tc>
      </w:tr>
      <w:tr w:rsidR="00724C44" w:rsidRPr="00724C44" w14:paraId="7862B878" w14:textId="77777777" w:rsidTr="00A5379F">
        <w:tc>
          <w:tcPr>
            <w:tcW w:w="1008" w:type="dxa"/>
            <w:tcBorders>
              <w:top w:val="nil"/>
              <w:left w:val="nil"/>
              <w:bottom w:val="single" w:sz="4" w:space="0" w:color="000000"/>
              <w:right w:val="nil"/>
            </w:tcBorders>
          </w:tcPr>
          <w:p w14:paraId="44FBF882" w14:textId="77777777" w:rsidR="00724C44" w:rsidRPr="00145F3F" w:rsidRDefault="00724C44" w:rsidP="00145F3F">
            <w:pPr>
              <w:spacing w:after="0" w:line="240" w:lineRule="auto"/>
              <w:jc w:val="both"/>
              <w:rPr>
                <w:sz w:val="22"/>
                <w:szCs w:val="22"/>
              </w:rPr>
            </w:pPr>
          </w:p>
        </w:tc>
        <w:tc>
          <w:tcPr>
            <w:tcW w:w="5040" w:type="dxa"/>
            <w:tcBorders>
              <w:top w:val="nil"/>
              <w:left w:val="nil"/>
              <w:bottom w:val="single" w:sz="4" w:space="0" w:color="000000"/>
              <w:right w:val="nil"/>
            </w:tcBorders>
          </w:tcPr>
          <w:p w14:paraId="11797443" w14:textId="77777777" w:rsidR="00724C44" w:rsidRPr="00145F3F" w:rsidRDefault="00724C44" w:rsidP="00145F3F">
            <w:pPr>
              <w:spacing w:after="0" w:line="240" w:lineRule="auto"/>
              <w:jc w:val="both"/>
              <w:rPr>
                <w:sz w:val="22"/>
                <w:szCs w:val="22"/>
              </w:rPr>
            </w:pPr>
            <w:r w:rsidRPr="00145F3F">
              <w:rPr>
                <w:sz w:val="22"/>
                <w:szCs w:val="22"/>
              </w:rPr>
              <w:t>Mean Items Disclosed per Organization</w:t>
            </w:r>
          </w:p>
        </w:tc>
        <w:tc>
          <w:tcPr>
            <w:tcW w:w="1296" w:type="dxa"/>
            <w:tcBorders>
              <w:top w:val="nil"/>
              <w:left w:val="nil"/>
              <w:bottom w:val="single" w:sz="4" w:space="0" w:color="000000"/>
              <w:right w:val="nil"/>
            </w:tcBorders>
          </w:tcPr>
          <w:p w14:paraId="7B6DEA6E" w14:textId="77777777" w:rsidR="00724C44" w:rsidRPr="00145F3F" w:rsidRDefault="00724C44" w:rsidP="00145F3F">
            <w:pPr>
              <w:spacing w:after="0" w:line="240" w:lineRule="auto"/>
              <w:jc w:val="both"/>
              <w:rPr>
                <w:sz w:val="22"/>
                <w:szCs w:val="22"/>
              </w:rPr>
            </w:pPr>
            <w:r w:rsidRPr="00145F3F">
              <w:rPr>
                <w:sz w:val="22"/>
                <w:szCs w:val="22"/>
              </w:rPr>
              <w:t>9.07</w:t>
            </w:r>
          </w:p>
        </w:tc>
        <w:tc>
          <w:tcPr>
            <w:tcW w:w="1872" w:type="dxa"/>
            <w:tcBorders>
              <w:top w:val="nil"/>
              <w:left w:val="nil"/>
              <w:bottom w:val="single" w:sz="4" w:space="0" w:color="000000"/>
              <w:right w:val="nil"/>
            </w:tcBorders>
          </w:tcPr>
          <w:p w14:paraId="42C771BA" w14:textId="77777777" w:rsidR="00724C44" w:rsidRPr="00145F3F" w:rsidRDefault="00724C44" w:rsidP="00145F3F">
            <w:pPr>
              <w:spacing w:after="0" w:line="240" w:lineRule="auto"/>
              <w:jc w:val="both"/>
              <w:rPr>
                <w:sz w:val="22"/>
                <w:szCs w:val="22"/>
              </w:rPr>
            </w:pPr>
          </w:p>
        </w:tc>
      </w:tr>
    </w:tbl>
    <w:p w14:paraId="7E4BD3DE" w14:textId="77777777" w:rsidR="00724C44" w:rsidRPr="00724C44" w:rsidRDefault="00724C44" w:rsidP="00724C44">
      <w:pPr>
        <w:spacing w:line="240" w:lineRule="auto"/>
        <w:jc w:val="both"/>
      </w:pPr>
      <w:r w:rsidRPr="00724C44">
        <w:t>The disclosure checklist reveals a clear hierarchy of reporting priorities. Basic workforce metrics — employee headcount and category breakdowns — show the highest disclosure rates, though even these fundamental items are disclosed by fewer than half of organizations. Compensation-related disclosures (total costs, average compensation, benefits) show moderate rates.</w:t>
      </w:r>
    </w:p>
    <w:p w14:paraId="3E0BEAA7" w14:textId="77777777" w:rsidR="00724C44" w:rsidRPr="00724C44" w:rsidRDefault="00724C44" w:rsidP="00724C44">
      <w:pPr>
        <w:spacing w:line="240" w:lineRule="auto"/>
        <w:jc w:val="both"/>
      </w:pPr>
      <w:r w:rsidRPr="00724C44">
        <w:t xml:space="preserve">Advanced human capital metrics demonstrate notably low disclosure rates: gender pay gap analysis, diversity statistics, employee satisfaction scores, and productivity metrics are disclosed by fewer than 30% of organizations. On average, organizations disclose only 9.07 of the 20 </w:t>
      </w:r>
      <w:proofErr w:type="gramStart"/>
      <w:r w:rsidRPr="00724C44">
        <w:t>surveyed items</w:t>
      </w:r>
      <w:proofErr w:type="gramEnd"/>
      <w:r w:rsidRPr="00724C44">
        <w:t xml:space="preserve"> (45.4%), indicating substantial room for improvement in disclosure comprehensiveness.</w:t>
      </w:r>
    </w:p>
    <w:p w14:paraId="6A35DE02" w14:textId="77777777" w:rsidR="00724C44" w:rsidRPr="00724C44" w:rsidRDefault="00724C44" w:rsidP="00724C44">
      <w:pPr>
        <w:spacing w:line="240" w:lineRule="auto"/>
        <w:jc w:val="both"/>
      </w:pPr>
      <w:r w:rsidRPr="00724C44">
        <w:rPr>
          <w:b/>
        </w:rPr>
        <w:t>4.6.7 Human Capital Disclosure Quality Summary</w:t>
      </w:r>
    </w:p>
    <w:p w14:paraId="2F92EEA9" w14:textId="77777777" w:rsidR="00724C44" w:rsidRPr="00724C44" w:rsidRDefault="00724C44" w:rsidP="00724C44">
      <w:pPr>
        <w:spacing w:line="240" w:lineRule="auto"/>
        <w:jc w:val="both"/>
      </w:pPr>
      <w:r w:rsidRPr="00724C44">
        <w:t>Table 4.21 summarizes the findings on the quality of human capital disclosure across all dimensions.</w:t>
      </w:r>
    </w:p>
    <w:p w14:paraId="32DA8D81" w14:textId="77777777" w:rsidR="00724C44" w:rsidRPr="00724C44" w:rsidRDefault="00724C44" w:rsidP="00724C44">
      <w:pPr>
        <w:spacing w:line="240" w:lineRule="auto"/>
        <w:jc w:val="both"/>
      </w:pPr>
      <w:r w:rsidRPr="00724C44">
        <w:rPr>
          <w:b/>
        </w:rPr>
        <w:t>Table 4.21</w:t>
      </w:r>
    </w:p>
    <w:p w14:paraId="05736BFA" w14:textId="77777777" w:rsidR="00724C44" w:rsidRPr="00724C44" w:rsidRDefault="00724C44" w:rsidP="00724C44">
      <w:pPr>
        <w:spacing w:line="240" w:lineRule="auto"/>
        <w:jc w:val="both"/>
      </w:pPr>
      <w:r w:rsidRPr="00724C44">
        <w:rPr>
          <w:i/>
        </w:rPr>
        <w:t>Human Capital Disclosure Quality Construct Summary</w:t>
      </w:r>
    </w:p>
    <w:tbl>
      <w:tblPr>
        <w:tblW w:w="0" w:type="auto"/>
        <w:tblLayout w:type="fixed"/>
        <w:tblLook w:val="04A0" w:firstRow="1" w:lastRow="0" w:firstColumn="1" w:lastColumn="0" w:noHBand="0" w:noVBand="1"/>
      </w:tblPr>
      <w:tblGrid>
        <w:gridCol w:w="4752"/>
        <w:gridCol w:w="1008"/>
        <w:gridCol w:w="1008"/>
        <w:gridCol w:w="2448"/>
      </w:tblGrid>
      <w:tr w:rsidR="00724C44" w:rsidRPr="00724C44" w14:paraId="78780C4F" w14:textId="77777777" w:rsidTr="00A5379F">
        <w:tc>
          <w:tcPr>
            <w:tcW w:w="4752" w:type="dxa"/>
            <w:tcBorders>
              <w:top w:val="single" w:sz="4" w:space="0" w:color="000000"/>
              <w:left w:val="nil"/>
              <w:bottom w:val="single" w:sz="4" w:space="0" w:color="000000"/>
              <w:right w:val="nil"/>
            </w:tcBorders>
          </w:tcPr>
          <w:p w14:paraId="38020EB1" w14:textId="77777777" w:rsidR="00724C44" w:rsidRPr="00145F3F" w:rsidRDefault="00724C44" w:rsidP="00145F3F">
            <w:pPr>
              <w:spacing w:after="0" w:line="240" w:lineRule="auto"/>
              <w:jc w:val="both"/>
              <w:rPr>
                <w:sz w:val="22"/>
                <w:szCs w:val="22"/>
              </w:rPr>
            </w:pPr>
            <w:r w:rsidRPr="00145F3F">
              <w:rPr>
                <w:b/>
                <w:sz w:val="22"/>
                <w:szCs w:val="22"/>
              </w:rPr>
              <w:t>Dimension</w:t>
            </w:r>
          </w:p>
        </w:tc>
        <w:tc>
          <w:tcPr>
            <w:tcW w:w="1008" w:type="dxa"/>
            <w:tcBorders>
              <w:top w:val="single" w:sz="4" w:space="0" w:color="000000"/>
              <w:left w:val="nil"/>
              <w:bottom w:val="single" w:sz="4" w:space="0" w:color="000000"/>
              <w:right w:val="nil"/>
            </w:tcBorders>
          </w:tcPr>
          <w:p w14:paraId="41FA70F8" w14:textId="77777777" w:rsidR="00724C44" w:rsidRPr="00145F3F" w:rsidRDefault="00724C44" w:rsidP="00145F3F">
            <w:pPr>
              <w:spacing w:after="0" w:line="240" w:lineRule="auto"/>
              <w:jc w:val="both"/>
              <w:rPr>
                <w:sz w:val="22"/>
                <w:szCs w:val="22"/>
              </w:rPr>
            </w:pPr>
            <w:r w:rsidRPr="00145F3F">
              <w:rPr>
                <w:b/>
                <w:sz w:val="22"/>
                <w:szCs w:val="22"/>
              </w:rPr>
              <w:t>M</w:t>
            </w:r>
          </w:p>
        </w:tc>
        <w:tc>
          <w:tcPr>
            <w:tcW w:w="1008" w:type="dxa"/>
            <w:tcBorders>
              <w:top w:val="single" w:sz="4" w:space="0" w:color="000000"/>
              <w:left w:val="nil"/>
              <w:bottom w:val="single" w:sz="4" w:space="0" w:color="000000"/>
              <w:right w:val="nil"/>
            </w:tcBorders>
          </w:tcPr>
          <w:p w14:paraId="3FCCBDAC" w14:textId="77777777" w:rsidR="00724C44" w:rsidRPr="00145F3F" w:rsidRDefault="00724C44" w:rsidP="00145F3F">
            <w:pPr>
              <w:spacing w:after="0" w:line="240" w:lineRule="auto"/>
              <w:jc w:val="both"/>
              <w:rPr>
                <w:sz w:val="22"/>
                <w:szCs w:val="22"/>
              </w:rPr>
            </w:pPr>
            <w:r w:rsidRPr="00145F3F">
              <w:rPr>
                <w:b/>
                <w:sz w:val="22"/>
                <w:szCs w:val="22"/>
              </w:rPr>
              <w:t>SD</w:t>
            </w:r>
          </w:p>
        </w:tc>
        <w:tc>
          <w:tcPr>
            <w:tcW w:w="2448" w:type="dxa"/>
            <w:tcBorders>
              <w:top w:val="single" w:sz="4" w:space="0" w:color="000000"/>
              <w:left w:val="nil"/>
              <w:bottom w:val="single" w:sz="4" w:space="0" w:color="000000"/>
              <w:right w:val="nil"/>
            </w:tcBorders>
          </w:tcPr>
          <w:p w14:paraId="2C9558AF"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2450216C" w14:textId="77777777" w:rsidTr="00A5379F">
        <w:tc>
          <w:tcPr>
            <w:tcW w:w="4752" w:type="dxa"/>
            <w:tcBorders>
              <w:top w:val="nil"/>
              <w:left w:val="nil"/>
              <w:bottom w:val="nil"/>
              <w:right w:val="nil"/>
            </w:tcBorders>
          </w:tcPr>
          <w:p w14:paraId="307D31A1" w14:textId="77777777" w:rsidR="00724C44" w:rsidRPr="00145F3F" w:rsidRDefault="00724C44" w:rsidP="00145F3F">
            <w:pPr>
              <w:spacing w:after="0" w:line="240" w:lineRule="auto"/>
              <w:jc w:val="both"/>
              <w:rPr>
                <w:sz w:val="22"/>
                <w:szCs w:val="22"/>
              </w:rPr>
            </w:pPr>
            <w:r w:rsidRPr="00145F3F">
              <w:rPr>
                <w:sz w:val="22"/>
                <w:szCs w:val="22"/>
              </w:rPr>
              <w:t>D1: Completeness</w:t>
            </w:r>
          </w:p>
        </w:tc>
        <w:tc>
          <w:tcPr>
            <w:tcW w:w="1008" w:type="dxa"/>
            <w:tcBorders>
              <w:top w:val="nil"/>
              <w:left w:val="nil"/>
              <w:bottom w:val="nil"/>
              <w:right w:val="nil"/>
            </w:tcBorders>
          </w:tcPr>
          <w:p w14:paraId="4DE5BBF0" w14:textId="77777777" w:rsidR="00724C44" w:rsidRPr="00145F3F" w:rsidRDefault="00724C44" w:rsidP="00145F3F">
            <w:pPr>
              <w:spacing w:after="0" w:line="240" w:lineRule="auto"/>
              <w:jc w:val="both"/>
              <w:rPr>
                <w:sz w:val="22"/>
                <w:szCs w:val="22"/>
              </w:rPr>
            </w:pPr>
            <w:r w:rsidRPr="00145F3F">
              <w:rPr>
                <w:sz w:val="22"/>
                <w:szCs w:val="22"/>
              </w:rPr>
              <w:t>2.51</w:t>
            </w:r>
          </w:p>
        </w:tc>
        <w:tc>
          <w:tcPr>
            <w:tcW w:w="1008" w:type="dxa"/>
            <w:tcBorders>
              <w:top w:val="nil"/>
              <w:left w:val="nil"/>
              <w:bottom w:val="nil"/>
              <w:right w:val="nil"/>
            </w:tcBorders>
          </w:tcPr>
          <w:p w14:paraId="0167C6D9" w14:textId="77777777" w:rsidR="00724C44" w:rsidRPr="00145F3F" w:rsidRDefault="00724C44" w:rsidP="00145F3F">
            <w:pPr>
              <w:spacing w:after="0" w:line="240" w:lineRule="auto"/>
              <w:jc w:val="both"/>
              <w:rPr>
                <w:sz w:val="22"/>
                <w:szCs w:val="22"/>
              </w:rPr>
            </w:pPr>
            <w:r w:rsidRPr="00145F3F">
              <w:rPr>
                <w:sz w:val="22"/>
                <w:szCs w:val="22"/>
              </w:rPr>
              <w:t>0.46</w:t>
            </w:r>
          </w:p>
        </w:tc>
        <w:tc>
          <w:tcPr>
            <w:tcW w:w="2448" w:type="dxa"/>
            <w:tcBorders>
              <w:top w:val="nil"/>
              <w:left w:val="nil"/>
              <w:bottom w:val="nil"/>
              <w:right w:val="nil"/>
            </w:tcBorders>
          </w:tcPr>
          <w:p w14:paraId="05443273"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5D3055A9" w14:textId="77777777" w:rsidTr="00A5379F">
        <w:tc>
          <w:tcPr>
            <w:tcW w:w="4752" w:type="dxa"/>
            <w:tcBorders>
              <w:top w:val="nil"/>
              <w:left w:val="nil"/>
              <w:bottom w:val="nil"/>
              <w:right w:val="nil"/>
            </w:tcBorders>
          </w:tcPr>
          <w:p w14:paraId="311F01B0" w14:textId="77777777" w:rsidR="00724C44" w:rsidRPr="00145F3F" w:rsidRDefault="00724C44" w:rsidP="00145F3F">
            <w:pPr>
              <w:spacing w:after="0" w:line="240" w:lineRule="auto"/>
              <w:jc w:val="both"/>
              <w:rPr>
                <w:sz w:val="22"/>
                <w:szCs w:val="22"/>
              </w:rPr>
            </w:pPr>
            <w:r w:rsidRPr="00145F3F">
              <w:rPr>
                <w:sz w:val="22"/>
                <w:szCs w:val="22"/>
              </w:rPr>
              <w:t>D2: Accuracy</w:t>
            </w:r>
          </w:p>
        </w:tc>
        <w:tc>
          <w:tcPr>
            <w:tcW w:w="1008" w:type="dxa"/>
            <w:tcBorders>
              <w:top w:val="nil"/>
              <w:left w:val="nil"/>
              <w:bottom w:val="nil"/>
              <w:right w:val="nil"/>
            </w:tcBorders>
          </w:tcPr>
          <w:p w14:paraId="0D908223" w14:textId="77777777" w:rsidR="00724C44" w:rsidRPr="00145F3F" w:rsidRDefault="00724C44" w:rsidP="00145F3F">
            <w:pPr>
              <w:spacing w:after="0" w:line="240" w:lineRule="auto"/>
              <w:jc w:val="both"/>
              <w:rPr>
                <w:sz w:val="22"/>
                <w:szCs w:val="22"/>
              </w:rPr>
            </w:pPr>
            <w:r w:rsidRPr="00145F3F">
              <w:rPr>
                <w:sz w:val="22"/>
                <w:szCs w:val="22"/>
              </w:rPr>
              <w:t>2.56</w:t>
            </w:r>
          </w:p>
        </w:tc>
        <w:tc>
          <w:tcPr>
            <w:tcW w:w="1008" w:type="dxa"/>
            <w:tcBorders>
              <w:top w:val="nil"/>
              <w:left w:val="nil"/>
              <w:bottom w:val="nil"/>
              <w:right w:val="nil"/>
            </w:tcBorders>
          </w:tcPr>
          <w:p w14:paraId="7BDD3597" w14:textId="77777777" w:rsidR="00724C44" w:rsidRPr="00145F3F" w:rsidRDefault="00724C44" w:rsidP="00145F3F">
            <w:pPr>
              <w:spacing w:after="0" w:line="240" w:lineRule="auto"/>
              <w:jc w:val="both"/>
              <w:rPr>
                <w:sz w:val="22"/>
                <w:szCs w:val="22"/>
              </w:rPr>
            </w:pPr>
            <w:r w:rsidRPr="00145F3F">
              <w:rPr>
                <w:sz w:val="22"/>
                <w:szCs w:val="22"/>
              </w:rPr>
              <w:t>0.78</w:t>
            </w:r>
          </w:p>
        </w:tc>
        <w:tc>
          <w:tcPr>
            <w:tcW w:w="2448" w:type="dxa"/>
            <w:tcBorders>
              <w:top w:val="nil"/>
              <w:left w:val="nil"/>
              <w:bottom w:val="nil"/>
              <w:right w:val="nil"/>
            </w:tcBorders>
          </w:tcPr>
          <w:p w14:paraId="705DE53D"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C3B2B18" w14:textId="77777777" w:rsidTr="00A5379F">
        <w:tc>
          <w:tcPr>
            <w:tcW w:w="4752" w:type="dxa"/>
            <w:tcBorders>
              <w:top w:val="nil"/>
              <w:left w:val="nil"/>
              <w:bottom w:val="nil"/>
              <w:right w:val="nil"/>
            </w:tcBorders>
          </w:tcPr>
          <w:p w14:paraId="22532204" w14:textId="77777777" w:rsidR="00724C44" w:rsidRPr="00145F3F" w:rsidRDefault="00724C44" w:rsidP="00145F3F">
            <w:pPr>
              <w:spacing w:after="0" w:line="240" w:lineRule="auto"/>
              <w:jc w:val="both"/>
              <w:rPr>
                <w:sz w:val="22"/>
                <w:szCs w:val="22"/>
              </w:rPr>
            </w:pPr>
            <w:r w:rsidRPr="00145F3F">
              <w:rPr>
                <w:sz w:val="22"/>
                <w:szCs w:val="22"/>
              </w:rPr>
              <w:t>D3: Timeliness</w:t>
            </w:r>
          </w:p>
        </w:tc>
        <w:tc>
          <w:tcPr>
            <w:tcW w:w="1008" w:type="dxa"/>
            <w:tcBorders>
              <w:top w:val="nil"/>
              <w:left w:val="nil"/>
              <w:bottom w:val="nil"/>
              <w:right w:val="nil"/>
            </w:tcBorders>
          </w:tcPr>
          <w:p w14:paraId="6A4CC353" w14:textId="77777777" w:rsidR="00724C44" w:rsidRPr="00145F3F" w:rsidRDefault="00724C44" w:rsidP="00145F3F">
            <w:pPr>
              <w:spacing w:after="0" w:line="240" w:lineRule="auto"/>
              <w:jc w:val="both"/>
              <w:rPr>
                <w:sz w:val="22"/>
                <w:szCs w:val="22"/>
              </w:rPr>
            </w:pPr>
            <w:r w:rsidRPr="00145F3F">
              <w:rPr>
                <w:sz w:val="22"/>
                <w:szCs w:val="22"/>
              </w:rPr>
              <w:t>2.74</w:t>
            </w:r>
          </w:p>
        </w:tc>
        <w:tc>
          <w:tcPr>
            <w:tcW w:w="1008" w:type="dxa"/>
            <w:tcBorders>
              <w:top w:val="nil"/>
              <w:left w:val="nil"/>
              <w:bottom w:val="nil"/>
              <w:right w:val="nil"/>
            </w:tcBorders>
          </w:tcPr>
          <w:p w14:paraId="1DEE391F" w14:textId="77777777" w:rsidR="00724C44" w:rsidRPr="00145F3F" w:rsidRDefault="00724C44" w:rsidP="00145F3F">
            <w:pPr>
              <w:spacing w:after="0" w:line="240" w:lineRule="auto"/>
              <w:jc w:val="both"/>
              <w:rPr>
                <w:sz w:val="22"/>
                <w:szCs w:val="22"/>
              </w:rPr>
            </w:pPr>
            <w:r w:rsidRPr="00145F3F">
              <w:rPr>
                <w:sz w:val="22"/>
                <w:szCs w:val="22"/>
              </w:rPr>
              <w:t>0.71</w:t>
            </w:r>
          </w:p>
        </w:tc>
        <w:tc>
          <w:tcPr>
            <w:tcW w:w="2448" w:type="dxa"/>
            <w:tcBorders>
              <w:top w:val="nil"/>
              <w:left w:val="nil"/>
              <w:bottom w:val="nil"/>
              <w:right w:val="nil"/>
            </w:tcBorders>
          </w:tcPr>
          <w:p w14:paraId="5712184D"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7F765F6" w14:textId="77777777" w:rsidTr="00A5379F">
        <w:tc>
          <w:tcPr>
            <w:tcW w:w="4752" w:type="dxa"/>
            <w:tcBorders>
              <w:top w:val="nil"/>
              <w:left w:val="nil"/>
              <w:bottom w:val="nil"/>
              <w:right w:val="nil"/>
            </w:tcBorders>
          </w:tcPr>
          <w:p w14:paraId="34F131DA" w14:textId="77777777" w:rsidR="00724C44" w:rsidRPr="00145F3F" w:rsidRDefault="00724C44" w:rsidP="00145F3F">
            <w:pPr>
              <w:spacing w:after="0" w:line="240" w:lineRule="auto"/>
              <w:jc w:val="both"/>
              <w:rPr>
                <w:sz w:val="22"/>
                <w:szCs w:val="22"/>
              </w:rPr>
            </w:pPr>
            <w:r w:rsidRPr="00145F3F">
              <w:rPr>
                <w:sz w:val="22"/>
                <w:szCs w:val="22"/>
              </w:rPr>
              <w:t>D4: Comparability</w:t>
            </w:r>
          </w:p>
        </w:tc>
        <w:tc>
          <w:tcPr>
            <w:tcW w:w="1008" w:type="dxa"/>
            <w:tcBorders>
              <w:top w:val="nil"/>
              <w:left w:val="nil"/>
              <w:bottom w:val="nil"/>
              <w:right w:val="nil"/>
            </w:tcBorders>
          </w:tcPr>
          <w:p w14:paraId="24125509" w14:textId="77777777" w:rsidR="00724C44" w:rsidRPr="00145F3F" w:rsidRDefault="00724C44" w:rsidP="00145F3F">
            <w:pPr>
              <w:spacing w:after="0" w:line="240" w:lineRule="auto"/>
              <w:jc w:val="both"/>
              <w:rPr>
                <w:sz w:val="22"/>
                <w:szCs w:val="22"/>
              </w:rPr>
            </w:pPr>
            <w:r w:rsidRPr="00145F3F">
              <w:rPr>
                <w:sz w:val="22"/>
                <w:szCs w:val="22"/>
              </w:rPr>
              <w:t>4.75</w:t>
            </w:r>
          </w:p>
        </w:tc>
        <w:tc>
          <w:tcPr>
            <w:tcW w:w="1008" w:type="dxa"/>
            <w:tcBorders>
              <w:top w:val="nil"/>
              <w:left w:val="nil"/>
              <w:bottom w:val="nil"/>
              <w:right w:val="nil"/>
            </w:tcBorders>
          </w:tcPr>
          <w:p w14:paraId="6E54EFC4" w14:textId="77777777" w:rsidR="00724C44" w:rsidRPr="00145F3F" w:rsidRDefault="00724C44" w:rsidP="00145F3F">
            <w:pPr>
              <w:spacing w:after="0" w:line="240" w:lineRule="auto"/>
              <w:jc w:val="both"/>
              <w:rPr>
                <w:sz w:val="22"/>
                <w:szCs w:val="22"/>
              </w:rPr>
            </w:pPr>
            <w:r w:rsidRPr="00145F3F">
              <w:rPr>
                <w:sz w:val="22"/>
                <w:szCs w:val="22"/>
              </w:rPr>
              <w:t>0.72</w:t>
            </w:r>
          </w:p>
        </w:tc>
        <w:tc>
          <w:tcPr>
            <w:tcW w:w="2448" w:type="dxa"/>
            <w:tcBorders>
              <w:top w:val="nil"/>
              <w:left w:val="nil"/>
              <w:bottom w:val="nil"/>
              <w:right w:val="nil"/>
            </w:tcBorders>
          </w:tcPr>
          <w:p w14:paraId="4B7F2691" w14:textId="77777777" w:rsidR="00724C44" w:rsidRPr="00145F3F" w:rsidRDefault="00724C44" w:rsidP="00145F3F">
            <w:pPr>
              <w:spacing w:after="0" w:line="240" w:lineRule="auto"/>
              <w:jc w:val="both"/>
              <w:rPr>
                <w:sz w:val="22"/>
                <w:szCs w:val="22"/>
              </w:rPr>
            </w:pPr>
            <w:r w:rsidRPr="00145F3F">
              <w:rPr>
                <w:sz w:val="22"/>
                <w:szCs w:val="22"/>
              </w:rPr>
              <w:t>Moderate-High</w:t>
            </w:r>
          </w:p>
        </w:tc>
      </w:tr>
      <w:tr w:rsidR="00724C44" w:rsidRPr="00724C44" w14:paraId="45D8DEA5" w14:textId="77777777" w:rsidTr="00A5379F">
        <w:tc>
          <w:tcPr>
            <w:tcW w:w="4752" w:type="dxa"/>
            <w:tcBorders>
              <w:top w:val="nil"/>
              <w:left w:val="nil"/>
              <w:bottom w:val="nil"/>
              <w:right w:val="nil"/>
            </w:tcBorders>
          </w:tcPr>
          <w:p w14:paraId="190F6DAE" w14:textId="77777777" w:rsidR="00724C44" w:rsidRPr="00145F3F" w:rsidRDefault="00724C44" w:rsidP="00145F3F">
            <w:pPr>
              <w:spacing w:after="0" w:line="240" w:lineRule="auto"/>
              <w:jc w:val="both"/>
              <w:rPr>
                <w:sz w:val="22"/>
                <w:szCs w:val="22"/>
              </w:rPr>
            </w:pPr>
            <w:r w:rsidRPr="00145F3F">
              <w:rPr>
                <w:sz w:val="22"/>
                <w:szCs w:val="22"/>
              </w:rPr>
              <w:t>D5: Accessibility</w:t>
            </w:r>
          </w:p>
        </w:tc>
        <w:tc>
          <w:tcPr>
            <w:tcW w:w="1008" w:type="dxa"/>
            <w:tcBorders>
              <w:top w:val="nil"/>
              <w:left w:val="nil"/>
              <w:bottom w:val="nil"/>
              <w:right w:val="nil"/>
            </w:tcBorders>
          </w:tcPr>
          <w:p w14:paraId="7FEF617B" w14:textId="77777777" w:rsidR="00724C44" w:rsidRPr="00145F3F" w:rsidRDefault="00724C44" w:rsidP="00145F3F">
            <w:pPr>
              <w:spacing w:after="0" w:line="240" w:lineRule="auto"/>
              <w:jc w:val="both"/>
              <w:rPr>
                <w:sz w:val="22"/>
                <w:szCs w:val="22"/>
              </w:rPr>
            </w:pPr>
            <w:r w:rsidRPr="00145F3F">
              <w:rPr>
                <w:sz w:val="22"/>
                <w:szCs w:val="22"/>
              </w:rPr>
              <w:t>2.35</w:t>
            </w:r>
          </w:p>
        </w:tc>
        <w:tc>
          <w:tcPr>
            <w:tcW w:w="1008" w:type="dxa"/>
            <w:tcBorders>
              <w:top w:val="nil"/>
              <w:left w:val="nil"/>
              <w:bottom w:val="nil"/>
              <w:right w:val="nil"/>
            </w:tcBorders>
          </w:tcPr>
          <w:p w14:paraId="1D7BB182" w14:textId="77777777" w:rsidR="00724C44" w:rsidRPr="00145F3F" w:rsidRDefault="00724C44" w:rsidP="00145F3F">
            <w:pPr>
              <w:spacing w:after="0" w:line="240" w:lineRule="auto"/>
              <w:jc w:val="both"/>
              <w:rPr>
                <w:sz w:val="22"/>
                <w:szCs w:val="22"/>
              </w:rPr>
            </w:pPr>
            <w:r w:rsidRPr="00145F3F">
              <w:rPr>
                <w:sz w:val="22"/>
                <w:szCs w:val="22"/>
              </w:rPr>
              <w:t>0.58</w:t>
            </w:r>
          </w:p>
        </w:tc>
        <w:tc>
          <w:tcPr>
            <w:tcW w:w="2448" w:type="dxa"/>
            <w:tcBorders>
              <w:top w:val="nil"/>
              <w:left w:val="nil"/>
              <w:bottom w:val="nil"/>
              <w:right w:val="nil"/>
            </w:tcBorders>
          </w:tcPr>
          <w:p w14:paraId="2D558B97"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2F617D92" w14:textId="77777777" w:rsidTr="00A5379F">
        <w:tc>
          <w:tcPr>
            <w:tcW w:w="4752" w:type="dxa"/>
            <w:tcBorders>
              <w:top w:val="nil"/>
              <w:left w:val="nil"/>
              <w:bottom w:val="nil"/>
              <w:right w:val="nil"/>
            </w:tcBorders>
          </w:tcPr>
          <w:p w14:paraId="2BE24206" w14:textId="77777777" w:rsidR="00724C44" w:rsidRPr="00145F3F" w:rsidRDefault="00724C44" w:rsidP="00145F3F">
            <w:pPr>
              <w:spacing w:after="0" w:line="240" w:lineRule="auto"/>
              <w:jc w:val="both"/>
              <w:rPr>
                <w:sz w:val="22"/>
                <w:szCs w:val="22"/>
              </w:rPr>
            </w:pPr>
            <w:r w:rsidRPr="00145F3F">
              <w:rPr>
                <w:sz w:val="22"/>
                <w:szCs w:val="22"/>
              </w:rPr>
              <w:lastRenderedPageBreak/>
              <w:t xml:space="preserve">D6: </w:t>
            </w:r>
            <w:proofErr w:type="gramStart"/>
            <w:r w:rsidRPr="00145F3F">
              <w:rPr>
                <w:sz w:val="22"/>
                <w:szCs w:val="22"/>
              </w:rPr>
              <w:t>Items Disclosed</w:t>
            </w:r>
            <w:proofErr w:type="gramEnd"/>
            <w:r w:rsidRPr="00145F3F">
              <w:rPr>
                <w:sz w:val="22"/>
                <w:szCs w:val="22"/>
              </w:rPr>
              <w:t xml:space="preserve"> (</w:t>
            </w:r>
            <w:proofErr w:type="gramStart"/>
            <w:r w:rsidRPr="00145F3F">
              <w:rPr>
                <w:sz w:val="22"/>
                <w:szCs w:val="22"/>
              </w:rPr>
              <w:t>mean of</w:t>
            </w:r>
            <w:proofErr w:type="gramEnd"/>
            <w:r w:rsidRPr="00145F3F">
              <w:rPr>
                <w:sz w:val="22"/>
                <w:szCs w:val="22"/>
              </w:rPr>
              <w:t xml:space="preserve"> 20)</w:t>
            </w:r>
          </w:p>
        </w:tc>
        <w:tc>
          <w:tcPr>
            <w:tcW w:w="1008" w:type="dxa"/>
            <w:tcBorders>
              <w:top w:val="nil"/>
              <w:left w:val="nil"/>
              <w:bottom w:val="nil"/>
              <w:right w:val="nil"/>
            </w:tcBorders>
          </w:tcPr>
          <w:p w14:paraId="220BB11B" w14:textId="77777777" w:rsidR="00724C44" w:rsidRPr="00145F3F" w:rsidRDefault="00724C44" w:rsidP="00145F3F">
            <w:pPr>
              <w:spacing w:after="0" w:line="240" w:lineRule="auto"/>
              <w:jc w:val="both"/>
              <w:rPr>
                <w:sz w:val="22"/>
                <w:szCs w:val="22"/>
              </w:rPr>
            </w:pPr>
            <w:r w:rsidRPr="00145F3F">
              <w:rPr>
                <w:sz w:val="22"/>
                <w:szCs w:val="22"/>
              </w:rPr>
              <w:t>9.07</w:t>
            </w:r>
          </w:p>
        </w:tc>
        <w:tc>
          <w:tcPr>
            <w:tcW w:w="1008" w:type="dxa"/>
            <w:tcBorders>
              <w:top w:val="nil"/>
              <w:left w:val="nil"/>
              <w:bottom w:val="nil"/>
              <w:right w:val="nil"/>
            </w:tcBorders>
          </w:tcPr>
          <w:p w14:paraId="359612E1" w14:textId="77777777" w:rsidR="00724C44" w:rsidRPr="00145F3F" w:rsidRDefault="00724C44" w:rsidP="00145F3F">
            <w:pPr>
              <w:spacing w:after="0" w:line="240" w:lineRule="auto"/>
              <w:jc w:val="both"/>
              <w:rPr>
                <w:sz w:val="22"/>
                <w:szCs w:val="22"/>
              </w:rPr>
            </w:pPr>
            <w:r w:rsidRPr="00145F3F">
              <w:rPr>
                <w:sz w:val="22"/>
                <w:szCs w:val="22"/>
              </w:rPr>
              <w:t>2.34</w:t>
            </w:r>
          </w:p>
        </w:tc>
        <w:tc>
          <w:tcPr>
            <w:tcW w:w="2448" w:type="dxa"/>
            <w:tcBorders>
              <w:top w:val="nil"/>
              <w:left w:val="nil"/>
              <w:bottom w:val="nil"/>
              <w:right w:val="nil"/>
            </w:tcBorders>
          </w:tcPr>
          <w:p w14:paraId="595F12CF" w14:textId="77777777" w:rsidR="00724C44" w:rsidRPr="00145F3F" w:rsidRDefault="00724C44" w:rsidP="00145F3F">
            <w:pPr>
              <w:spacing w:after="0" w:line="240" w:lineRule="auto"/>
              <w:jc w:val="both"/>
              <w:rPr>
                <w:sz w:val="22"/>
                <w:szCs w:val="22"/>
              </w:rPr>
            </w:pPr>
            <w:r w:rsidRPr="00145F3F">
              <w:rPr>
                <w:sz w:val="22"/>
                <w:szCs w:val="22"/>
              </w:rPr>
              <w:t>9.07 items (45.4%)</w:t>
            </w:r>
          </w:p>
        </w:tc>
      </w:tr>
      <w:tr w:rsidR="00724C44" w:rsidRPr="00724C44" w14:paraId="2FED27B4" w14:textId="77777777" w:rsidTr="00A5379F">
        <w:tc>
          <w:tcPr>
            <w:tcW w:w="4752" w:type="dxa"/>
            <w:tcBorders>
              <w:top w:val="nil"/>
              <w:left w:val="nil"/>
              <w:bottom w:val="single" w:sz="4" w:space="0" w:color="000000"/>
              <w:right w:val="nil"/>
            </w:tcBorders>
          </w:tcPr>
          <w:p w14:paraId="4A1B12DE" w14:textId="77777777" w:rsidR="00724C44" w:rsidRPr="00145F3F" w:rsidRDefault="00724C44" w:rsidP="00145F3F">
            <w:pPr>
              <w:spacing w:after="0" w:line="240" w:lineRule="auto"/>
              <w:jc w:val="both"/>
              <w:rPr>
                <w:sz w:val="22"/>
                <w:szCs w:val="22"/>
              </w:rPr>
            </w:pPr>
            <w:r w:rsidRPr="00145F3F">
              <w:rPr>
                <w:sz w:val="22"/>
                <w:szCs w:val="22"/>
              </w:rPr>
              <w:t>Overall HCD Quality (D1-D5 average)</w:t>
            </w:r>
          </w:p>
        </w:tc>
        <w:tc>
          <w:tcPr>
            <w:tcW w:w="1008" w:type="dxa"/>
            <w:tcBorders>
              <w:top w:val="nil"/>
              <w:left w:val="nil"/>
              <w:bottom w:val="single" w:sz="4" w:space="0" w:color="000000"/>
              <w:right w:val="nil"/>
            </w:tcBorders>
          </w:tcPr>
          <w:p w14:paraId="0BAFBDC5" w14:textId="77777777" w:rsidR="00724C44" w:rsidRPr="00145F3F" w:rsidRDefault="00724C44" w:rsidP="00145F3F">
            <w:pPr>
              <w:spacing w:after="0" w:line="240" w:lineRule="auto"/>
              <w:jc w:val="both"/>
              <w:rPr>
                <w:sz w:val="22"/>
                <w:szCs w:val="22"/>
              </w:rPr>
            </w:pPr>
            <w:r w:rsidRPr="00145F3F">
              <w:rPr>
                <w:sz w:val="22"/>
                <w:szCs w:val="22"/>
              </w:rPr>
              <w:t>2.98</w:t>
            </w:r>
          </w:p>
        </w:tc>
        <w:tc>
          <w:tcPr>
            <w:tcW w:w="1008" w:type="dxa"/>
            <w:tcBorders>
              <w:top w:val="nil"/>
              <w:left w:val="nil"/>
              <w:bottom w:val="single" w:sz="4" w:space="0" w:color="000000"/>
              <w:right w:val="nil"/>
            </w:tcBorders>
          </w:tcPr>
          <w:p w14:paraId="700FF05A" w14:textId="77777777" w:rsidR="00724C44" w:rsidRPr="00145F3F" w:rsidRDefault="00724C44" w:rsidP="00145F3F">
            <w:pPr>
              <w:spacing w:after="0" w:line="240" w:lineRule="auto"/>
              <w:jc w:val="both"/>
              <w:rPr>
                <w:sz w:val="22"/>
                <w:szCs w:val="22"/>
              </w:rPr>
            </w:pPr>
            <w:r w:rsidRPr="00145F3F">
              <w:rPr>
                <w:sz w:val="22"/>
                <w:szCs w:val="22"/>
              </w:rPr>
              <w:t>0.31</w:t>
            </w:r>
          </w:p>
        </w:tc>
        <w:tc>
          <w:tcPr>
            <w:tcW w:w="2448" w:type="dxa"/>
            <w:tcBorders>
              <w:top w:val="nil"/>
              <w:left w:val="nil"/>
              <w:bottom w:val="single" w:sz="4" w:space="0" w:color="000000"/>
              <w:right w:val="nil"/>
            </w:tcBorders>
          </w:tcPr>
          <w:p w14:paraId="2E8498F8" w14:textId="77777777" w:rsidR="00724C44" w:rsidRPr="00145F3F" w:rsidRDefault="00724C44" w:rsidP="00145F3F">
            <w:pPr>
              <w:spacing w:after="0" w:line="240" w:lineRule="auto"/>
              <w:jc w:val="both"/>
              <w:rPr>
                <w:sz w:val="22"/>
                <w:szCs w:val="22"/>
              </w:rPr>
            </w:pPr>
            <w:r w:rsidRPr="00145F3F">
              <w:rPr>
                <w:sz w:val="22"/>
                <w:szCs w:val="22"/>
              </w:rPr>
              <w:t>Low</w:t>
            </w:r>
          </w:p>
        </w:tc>
      </w:tr>
    </w:tbl>
    <w:p w14:paraId="3818F46A" w14:textId="77777777" w:rsidR="00724C44" w:rsidRPr="00724C44" w:rsidRDefault="00724C44" w:rsidP="00724C44">
      <w:pPr>
        <w:spacing w:line="240" w:lineRule="auto"/>
        <w:jc w:val="both"/>
      </w:pPr>
      <w:r w:rsidRPr="00724C44">
        <w:t>The overall Human Capital Disclosure Quality score of 2.98 (Low) represents a central finding of this research. Except for comparability (M = 4.75), all disclosure quality dimensions fall in the low range. The persistently low scores across nearly all disclosure dimensions indicate that, despite possessing substantial AI-generated compensation data (Section 4.4), organizations show patterns consistent with not translating these capabilities into high-quality human capital disclosures.</w:t>
      </w:r>
    </w:p>
    <w:p w14:paraId="3065600C" w14:textId="77777777" w:rsidR="00724C44" w:rsidRPr="00724C44" w:rsidRDefault="00724C44" w:rsidP="00724C44">
      <w:pPr>
        <w:spacing w:line="240" w:lineRule="auto"/>
        <w:jc w:val="both"/>
      </w:pPr>
      <w:r w:rsidRPr="00724C44">
        <w:rPr>
          <w:b/>
        </w:rPr>
        <w:t>4.6.8 Data-to-Disclosure Gap Analysis</w:t>
      </w:r>
    </w:p>
    <w:p w14:paraId="3C228886" w14:textId="77777777" w:rsidR="00724C44" w:rsidRPr="00724C44" w:rsidRDefault="00724C44" w:rsidP="00724C44">
      <w:pPr>
        <w:spacing w:line="240" w:lineRule="auto"/>
        <w:jc w:val="both"/>
      </w:pPr>
      <w:proofErr w:type="gramStart"/>
      <w:r w:rsidRPr="00724C44">
        <w:t>A primary</w:t>
      </w:r>
      <w:proofErr w:type="gramEnd"/>
      <w:r w:rsidRPr="00724C44">
        <w:t xml:space="preserve"> objective of this research was to identify and quantify the gap between AI-generated data capabilities and the actual quality of human capital disclosures. Table 4.22 presents this analysis.</w:t>
      </w:r>
    </w:p>
    <w:p w14:paraId="13DC4031" w14:textId="77777777" w:rsidR="00724C44" w:rsidRPr="00724C44" w:rsidRDefault="00724C44" w:rsidP="00724C44">
      <w:pPr>
        <w:spacing w:line="240" w:lineRule="auto"/>
        <w:jc w:val="both"/>
      </w:pPr>
      <w:r w:rsidRPr="00724C44">
        <w:rPr>
          <w:b/>
        </w:rPr>
        <w:t>Table 4.22</w:t>
      </w:r>
    </w:p>
    <w:p w14:paraId="03976488" w14:textId="77777777" w:rsidR="00724C44" w:rsidRPr="00724C44" w:rsidRDefault="00724C44" w:rsidP="00724C44">
      <w:pPr>
        <w:spacing w:line="240" w:lineRule="auto"/>
        <w:jc w:val="both"/>
      </w:pPr>
      <w:r w:rsidRPr="00724C44">
        <w:rPr>
          <w:i/>
        </w:rPr>
        <w:t>Data-to-Disclosure Gap Analysis</w:t>
      </w:r>
    </w:p>
    <w:tbl>
      <w:tblPr>
        <w:tblW w:w="0" w:type="auto"/>
        <w:tblLayout w:type="fixed"/>
        <w:tblLook w:val="04A0" w:firstRow="1" w:lastRow="0" w:firstColumn="1" w:lastColumn="0" w:noHBand="0" w:noVBand="1"/>
      </w:tblPr>
      <w:tblGrid>
        <w:gridCol w:w="5040"/>
        <w:gridCol w:w="1440"/>
        <w:gridCol w:w="2880"/>
      </w:tblGrid>
      <w:tr w:rsidR="00724C44" w:rsidRPr="00724C44" w14:paraId="5C3DD803" w14:textId="77777777" w:rsidTr="00A5379F">
        <w:tc>
          <w:tcPr>
            <w:tcW w:w="5040" w:type="dxa"/>
            <w:tcBorders>
              <w:top w:val="single" w:sz="4" w:space="0" w:color="000000"/>
              <w:left w:val="nil"/>
              <w:bottom w:val="single" w:sz="4" w:space="0" w:color="000000"/>
              <w:right w:val="nil"/>
            </w:tcBorders>
          </w:tcPr>
          <w:p w14:paraId="61F868E1" w14:textId="77777777" w:rsidR="00724C44" w:rsidRPr="00145F3F" w:rsidRDefault="00724C44" w:rsidP="00145F3F">
            <w:pPr>
              <w:spacing w:after="0" w:line="240" w:lineRule="auto"/>
              <w:jc w:val="both"/>
              <w:rPr>
                <w:sz w:val="22"/>
                <w:szCs w:val="22"/>
              </w:rPr>
            </w:pPr>
            <w:r w:rsidRPr="00145F3F">
              <w:rPr>
                <w:b/>
                <w:sz w:val="22"/>
                <w:szCs w:val="22"/>
              </w:rPr>
              <w:t>Measure</w:t>
            </w:r>
          </w:p>
        </w:tc>
        <w:tc>
          <w:tcPr>
            <w:tcW w:w="1440" w:type="dxa"/>
            <w:tcBorders>
              <w:top w:val="single" w:sz="4" w:space="0" w:color="000000"/>
              <w:left w:val="nil"/>
              <w:bottom w:val="single" w:sz="4" w:space="0" w:color="000000"/>
              <w:right w:val="nil"/>
            </w:tcBorders>
          </w:tcPr>
          <w:p w14:paraId="11DC77C7" w14:textId="77777777" w:rsidR="00724C44" w:rsidRPr="00145F3F" w:rsidRDefault="00724C44" w:rsidP="00145F3F">
            <w:pPr>
              <w:spacing w:after="0" w:line="240" w:lineRule="auto"/>
              <w:jc w:val="both"/>
              <w:rPr>
                <w:sz w:val="22"/>
                <w:szCs w:val="22"/>
              </w:rPr>
            </w:pPr>
            <w:r w:rsidRPr="00145F3F">
              <w:rPr>
                <w:b/>
                <w:sz w:val="22"/>
                <w:szCs w:val="22"/>
              </w:rPr>
              <w:t>Score</w:t>
            </w:r>
          </w:p>
        </w:tc>
        <w:tc>
          <w:tcPr>
            <w:tcW w:w="2880" w:type="dxa"/>
            <w:tcBorders>
              <w:top w:val="single" w:sz="4" w:space="0" w:color="000000"/>
              <w:left w:val="nil"/>
              <w:bottom w:val="single" w:sz="4" w:space="0" w:color="000000"/>
              <w:right w:val="nil"/>
            </w:tcBorders>
          </w:tcPr>
          <w:p w14:paraId="51EBC052"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2EAE85F2" w14:textId="77777777" w:rsidTr="00A5379F">
        <w:tc>
          <w:tcPr>
            <w:tcW w:w="5040" w:type="dxa"/>
            <w:tcBorders>
              <w:top w:val="nil"/>
              <w:left w:val="nil"/>
              <w:bottom w:val="nil"/>
              <w:right w:val="nil"/>
            </w:tcBorders>
          </w:tcPr>
          <w:p w14:paraId="4B94DD35" w14:textId="77777777" w:rsidR="00724C44" w:rsidRPr="00145F3F" w:rsidRDefault="00724C44" w:rsidP="00145F3F">
            <w:pPr>
              <w:spacing w:after="0" w:line="240" w:lineRule="auto"/>
              <w:jc w:val="both"/>
              <w:rPr>
                <w:sz w:val="22"/>
                <w:szCs w:val="22"/>
              </w:rPr>
            </w:pPr>
            <w:r w:rsidRPr="00145F3F">
              <w:rPr>
                <w:sz w:val="22"/>
                <w:szCs w:val="22"/>
              </w:rPr>
              <w:t>AI Integration (data generation capability)</w:t>
            </w:r>
          </w:p>
        </w:tc>
        <w:tc>
          <w:tcPr>
            <w:tcW w:w="1440" w:type="dxa"/>
            <w:tcBorders>
              <w:top w:val="nil"/>
              <w:left w:val="nil"/>
              <w:bottom w:val="nil"/>
              <w:right w:val="nil"/>
            </w:tcBorders>
          </w:tcPr>
          <w:p w14:paraId="28F7063C" w14:textId="77777777" w:rsidR="00724C44" w:rsidRPr="00145F3F" w:rsidRDefault="00724C44" w:rsidP="00145F3F">
            <w:pPr>
              <w:spacing w:after="0" w:line="240" w:lineRule="auto"/>
              <w:jc w:val="both"/>
              <w:rPr>
                <w:sz w:val="22"/>
                <w:szCs w:val="22"/>
              </w:rPr>
            </w:pPr>
            <w:r w:rsidRPr="00145F3F">
              <w:rPr>
                <w:sz w:val="22"/>
                <w:szCs w:val="22"/>
              </w:rPr>
              <w:t>4.73</w:t>
            </w:r>
          </w:p>
        </w:tc>
        <w:tc>
          <w:tcPr>
            <w:tcW w:w="2880" w:type="dxa"/>
            <w:tcBorders>
              <w:top w:val="nil"/>
              <w:left w:val="nil"/>
              <w:bottom w:val="nil"/>
              <w:right w:val="nil"/>
            </w:tcBorders>
          </w:tcPr>
          <w:p w14:paraId="27B6E651" w14:textId="77777777" w:rsidR="00724C44" w:rsidRPr="00145F3F" w:rsidRDefault="00724C44" w:rsidP="00145F3F">
            <w:pPr>
              <w:spacing w:after="0" w:line="240" w:lineRule="auto"/>
              <w:jc w:val="both"/>
              <w:rPr>
                <w:sz w:val="22"/>
                <w:szCs w:val="22"/>
              </w:rPr>
            </w:pPr>
            <w:r w:rsidRPr="00145F3F">
              <w:rPr>
                <w:sz w:val="22"/>
                <w:szCs w:val="22"/>
              </w:rPr>
              <w:t>Moderate-High</w:t>
            </w:r>
          </w:p>
        </w:tc>
      </w:tr>
      <w:tr w:rsidR="00724C44" w:rsidRPr="00724C44" w14:paraId="0AC661D6" w14:textId="77777777" w:rsidTr="00A5379F">
        <w:tc>
          <w:tcPr>
            <w:tcW w:w="5040" w:type="dxa"/>
            <w:tcBorders>
              <w:top w:val="nil"/>
              <w:left w:val="nil"/>
              <w:bottom w:val="nil"/>
              <w:right w:val="nil"/>
            </w:tcBorders>
          </w:tcPr>
          <w:p w14:paraId="78556A8E" w14:textId="77777777" w:rsidR="00724C44" w:rsidRPr="00145F3F" w:rsidRDefault="00724C44" w:rsidP="00145F3F">
            <w:pPr>
              <w:spacing w:after="0" w:line="240" w:lineRule="auto"/>
              <w:jc w:val="both"/>
              <w:rPr>
                <w:sz w:val="22"/>
                <w:szCs w:val="22"/>
              </w:rPr>
            </w:pPr>
            <w:r w:rsidRPr="00145F3F">
              <w:rPr>
                <w:sz w:val="22"/>
                <w:szCs w:val="22"/>
              </w:rPr>
              <w:t>HCD Quality (disclosure output quality)</w:t>
            </w:r>
          </w:p>
        </w:tc>
        <w:tc>
          <w:tcPr>
            <w:tcW w:w="1440" w:type="dxa"/>
            <w:tcBorders>
              <w:top w:val="nil"/>
              <w:left w:val="nil"/>
              <w:bottom w:val="nil"/>
              <w:right w:val="nil"/>
            </w:tcBorders>
          </w:tcPr>
          <w:p w14:paraId="7FE5BB06" w14:textId="77777777" w:rsidR="00724C44" w:rsidRPr="00145F3F" w:rsidRDefault="00724C44" w:rsidP="00145F3F">
            <w:pPr>
              <w:spacing w:after="0" w:line="240" w:lineRule="auto"/>
              <w:jc w:val="both"/>
              <w:rPr>
                <w:sz w:val="22"/>
                <w:szCs w:val="22"/>
              </w:rPr>
            </w:pPr>
            <w:r w:rsidRPr="00145F3F">
              <w:rPr>
                <w:sz w:val="22"/>
                <w:szCs w:val="22"/>
              </w:rPr>
              <w:t>2.98</w:t>
            </w:r>
          </w:p>
        </w:tc>
        <w:tc>
          <w:tcPr>
            <w:tcW w:w="2880" w:type="dxa"/>
            <w:tcBorders>
              <w:top w:val="nil"/>
              <w:left w:val="nil"/>
              <w:bottom w:val="nil"/>
              <w:right w:val="nil"/>
            </w:tcBorders>
          </w:tcPr>
          <w:p w14:paraId="2B44D5AF"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0BA23B9A" w14:textId="77777777" w:rsidTr="00A5379F">
        <w:tc>
          <w:tcPr>
            <w:tcW w:w="5040" w:type="dxa"/>
            <w:tcBorders>
              <w:top w:val="nil"/>
              <w:left w:val="nil"/>
              <w:bottom w:val="single" w:sz="4" w:space="0" w:color="000000"/>
              <w:right w:val="nil"/>
            </w:tcBorders>
          </w:tcPr>
          <w:p w14:paraId="77A3F840" w14:textId="77777777" w:rsidR="00724C44" w:rsidRPr="00145F3F" w:rsidRDefault="00724C44" w:rsidP="00145F3F">
            <w:pPr>
              <w:spacing w:after="0" w:line="240" w:lineRule="auto"/>
              <w:jc w:val="both"/>
              <w:rPr>
                <w:sz w:val="22"/>
                <w:szCs w:val="22"/>
              </w:rPr>
            </w:pPr>
            <w:r w:rsidRPr="00145F3F">
              <w:rPr>
                <w:sz w:val="22"/>
                <w:szCs w:val="22"/>
              </w:rPr>
              <w:t>Data-to-Disclosure Gap</w:t>
            </w:r>
          </w:p>
        </w:tc>
        <w:tc>
          <w:tcPr>
            <w:tcW w:w="1440" w:type="dxa"/>
            <w:tcBorders>
              <w:top w:val="nil"/>
              <w:left w:val="nil"/>
              <w:bottom w:val="single" w:sz="4" w:space="0" w:color="000000"/>
              <w:right w:val="nil"/>
            </w:tcBorders>
          </w:tcPr>
          <w:p w14:paraId="6877A137" w14:textId="77777777" w:rsidR="00724C44" w:rsidRPr="00145F3F" w:rsidRDefault="00724C44" w:rsidP="00145F3F">
            <w:pPr>
              <w:spacing w:after="0" w:line="240" w:lineRule="auto"/>
              <w:jc w:val="both"/>
              <w:rPr>
                <w:sz w:val="22"/>
                <w:szCs w:val="22"/>
              </w:rPr>
            </w:pPr>
            <w:r w:rsidRPr="00145F3F">
              <w:rPr>
                <w:sz w:val="22"/>
                <w:szCs w:val="22"/>
              </w:rPr>
              <w:t>1.75</w:t>
            </w:r>
          </w:p>
        </w:tc>
        <w:tc>
          <w:tcPr>
            <w:tcW w:w="2880" w:type="dxa"/>
            <w:tcBorders>
              <w:top w:val="nil"/>
              <w:left w:val="nil"/>
              <w:bottom w:val="single" w:sz="4" w:space="0" w:color="000000"/>
              <w:right w:val="nil"/>
            </w:tcBorders>
          </w:tcPr>
          <w:p w14:paraId="50709F75" w14:textId="77777777" w:rsidR="00724C44" w:rsidRPr="00145F3F" w:rsidRDefault="00724C44" w:rsidP="00145F3F">
            <w:pPr>
              <w:spacing w:after="0" w:line="240" w:lineRule="auto"/>
              <w:jc w:val="both"/>
              <w:rPr>
                <w:sz w:val="22"/>
                <w:szCs w:val="22"/>
              </w:rPr>
            </w:pPr>
            <w:r w:rsidRPr="00145F3F">
              <w:rPr>
                <w:sz w:val="22"/>
                <w:szCs w:val="22"/>
              </w:rPr>
              <w:t>Substantial gap</w:t>
            </w:r>
          </w:p>
        </w:tc>
      </w:tr>
    </w:tbl>
    <w:p w14:paraId="69D52C3B" w14:textId="77777777" w:rsidR="00724C44" w:rsidRPr="00724C44" w:rsidRDefault="00724C44" w:rsidP="00724C44">
      <w:pPr>
        <w:spacing w:line="240" w:lineRule="auto"/>
        <w:jc w:val="both"/>
      </w:pPr>
      <w:r w:rsidRPr="00724C44">
        <w:t>The data-to-disclosure gap of 1.75 points (Table 4.22) quantifies the disconnect between data availability and disclosure utilization: organizations report moderate-high AI integration (M = 4.73) yet low disclosure quality (M = 2.98). The gap is therefore not a function of data scarcity but of how available data is translated into stakeholder-accessible reporting.</w:t>
      </w:r>
    </w:p>
    <w:p w14:paraId="320EB07F" w14:textId="51D7D878" w:rsidR="00724C44" w:rsidRPr="00724C44" w:rsidRDefault="00724C44" w:rsidP="00724C44">
      <w:pPr>
        <w:spacing w:line="240" w:lineRule="auto"/>
        <w:jc w:val="both"/>
      </w:pPr>
      <w:r w:rsidRPr="00724C44">
        <w:t>This finding directly addresses Research Objective 2 by demonstrating that the gap is not associated with data availability but rather with t</w:t>
      </w:r>
      <w:r w:rsidR="00C313FF">
        <w:t>ranslating</w:t>
      </w:r>
      <w:r w:rsidRPr="00724C44">
        <w:t xml:space="preserve"> available data into stakeholder-accessible disclosure. The subsequent sections examine factors that may explain this gap, including </w:t>
      </w:r>
      <w:proofErr w:type="gramStart"/>
      <w:r w:rsidRPr="00724C44">
        <w:t>integration</w:t>
      </w:r>
      <w:proofErr w:type="gramEnd"/>
      <w:r w:rsidRPr="00724C44">
        <w:t xml:space="preserve"> mechanisms and moderating influences.</w:t>
      </w:r>
    </w:p>
    <w:p w14:paraId="7895C28A" w14:textId="77777777" w:rsidR="00724C44" w:rsidRPr="00724C44" w:rsidRDefault="00724C44" w:rsidP="00724C44">
      <w:pPr>
        <w:spacing w:line="240" w:lineRule="auto"/>
        <w:jc w:val="both"/>
      </w:pPr>
      <w:r w:rsidRPr="00724C44">
        <w:rPr>
          <w:b/>
        </w:rPr>
        <w:t>4.7 Integration Protocols</w:t>
      </w:r>
    </w:p>
    <w:p w14:paraId="24551023" w14:textId="77777777" w:rsidR="00724C44" w:rsidRPr="00724C44" w:rsidRDefault="00724C44" w:rsidP="00724C44">
      <w:pPr>
        <w:spacing w:line="240" w:lineRule="auto"/>
        <w:jc w:val="both"/>
      </w:pPr>
      <w:r w:rsidRPr="00724C44">
        <w:t>Section E of the questionnaire assessed the mechanisms connecting AI compensation systems to human capital disclosure processes. These integration protocols were examined across four dimensions: data integration, process integration, quality assurance, and governance frameworks.</w:t>
      </w:r>
    </w:p>
    <w:p w14:paraId="6E58C6AF" w14:textId="77777777" w:rsidR="00724C44" w:rsidRPr="00724C44" w:rsidRDefault="00724C44" w:rsidP="00724C44">
      <w:pPr>
        <w:spacing w:line="240" w:lineRule="auto"/>
        <w:jc w:val="both"/>
      </w:pPr>
      <w:r w:rsidRPr="00724C44">
        <w:rPr>
          <w:b/>
        </w:rPr>
        <w:t>4.7.1 Data Integration (E1)</w:t>
      </w:r>
    </w:p>
    <w:p w14:paraId="5ECB1BB6" w14:textId="77777777" w:rsidR="00724C44" w:rsidRPr="00724C44" w:rsidRDefault="00724C44" w:rsidP="00724C44">
      <w:pPr>
        <w:spacing w:line="240" w:lineRule="auto"/>
        <w:jc w:val="both"/>
      </w:pPr>
      <w:r w:rsidRPr="00724C44">
        <w:t>Data integration measures the technical connection between AI compensation systems and the broader HR information environment. Table 4.23 presents the descriptive statistics for these five items.</w:t>
      </w:r>
    </w:p>
    <w:p w14:paraId="30F303F0" w14:textId="77777777" w:rsidR="00724C44" w:rsidRPr="00724C44" w:rsidRDefault="00724C44" w:rsidP="00724C44">
      <w:pPr>
        <w:spacing w:line="240" w:lineRule="auto"/>
        <w:jc w:val="both"/>
      </w:pPr>
      <w:r w:rsidRPr="00724C44">
        <w:rPr>
          <w:b/>
        </w:rPr>
        <w:t>Table 4.23</w:t>
      </w:r>
    </w:p>
    <w:p w14:paraId="75EADA76" w14:textId="77777777" w:rsidR="00724C44" w:rsidRPr="00724C44" w:rsidRDefault="00724C44" w:rsidP="00724C44">
      <w:pPr>
        <w:spacing w:line="240" w:lineRule="auto"/>
        <w:jc w:val="both"/>
      </w:pPr>
      <w:r w:rsidRPr="00724C44">
        <w:rPr>
          <w:i/>
        </w:rPr>
        <w:t>Data Integration – Descriptive Statistics (n = 400)</w:t>
      </w:r>
    </w:p>
    <w:tbl>
      <w:tblPr>
        <w:tblW w:w="0" w:type="auto"/>
        <w:tblLayout w:type="fixed"/>
        <w:tblLook w:val="04A0" w:firstRow="1" w:lastRow="0" w:firstColumn="1" w:lastColumn="0" w:noHBand="0" w:noVBand="1"/>
      </w:tblPr>
      <w:tblGrid>
        <w:gridCol w:w="900"/>
        <w:gridCol w:w="4950"/>
        <w:gridCol w:w="864"/>
        <w:gridCol w:w="864"/>
        <w:gridCol w:w="1602"/>
      </w:tblGrid>
      <w:tr w:rsidR="00724C44" w:rsidRPr="00724C44" w14:paraId="2CE15C58" w14:textId="77777777" w:rsidTr="00145F3F">
        <w:tc>
          <w:tcPr>
            <w:tcW w:w="900" w:type="dxa"/>
            <w:tcBorders>
              <w:top w:val="single" w:sz="4" w:space="0" w:color="000000"/>
              <w:left w:val="nil"/>
              <w:bottom w:val="single" w:sz="4" w:space="0" w:color="000000"/>
              <w:right w:val="nil"/>
            </w:tcBorders>
          </w:tcPr>
          <w:p w14:paraId="4DCBDD9F" w14:textId="77777777" w:rsidR="00724C44" w:rsidRPr="00145F3F" w:rsidRDefault="00724C44" w:rsidP="00145F3F">
            <w:pPr>
              <w:spacing w:after="0" w:line="240" w:lineRule="auto"/>
              <w:jc w:val="both"/>
              <w:rPr>
                <w:sz w:val="22"/>
                <w:szCs w:val="22"/>
              </w:rPr>
            </w:pPr>
            <w:r w:rsidRPr="00145F3F">
              <w:rPr>
                <w:b/>
                <w:sz w:val="22"/>
                <w:szCs w:val="22"/>
              </w:rPr>
              <w:t>Item</w:t>
            </w:r>
          </w:p>
        </w:tc>
        <w:tc>
          <w:tcPr>
            <w:tcW w:w="4950" w:type="dxa"/>
            <w:tcBorders>
              <w:top w:val="single" w:sz="4" w:space="0" w:color="000000"/>
              <w:left w:val="nil"/>
              <w:bottom w:val="single" w:sz="4" w:space="0" w:color="000000"/>
              <w:right w:val="nil"/>
            </w:tcBorders>
          </w:tcPr>
          <w:p w14:paraId="2102073D"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64" w:type="dxa"/>
            <w:tcBorders>
              <w:top w:val="single" w:sz="4" w:space="0" w:color="000000"/>
              <w:left w:val="nil"/>
              <w:bottom w:val="single" w:sz="4" w:space="0" w:color="000000"/>
              <w:right w:val="nil"/>
            </w:tcBorders>
          </w:tcPr>
          <w:p w14:paraId="65DC66E8" w14:textId="77777777" w:rsidR="00724C44" w:rsidRPr="00145F3F" w:rsidRDefault="00724C44" w:rsidP="00145F3F">
            <w:pPr>
              <w:spacing w:after="0" w:line="240" w:lineRule="auto"/>
              <w:jc w:val="both"/>
              <w:rPr>
                <w:sz w:val="22"/>
                <w:szCs w:val="22"/>
              </w:rPr>
            </w:pPr>
            <w:r w:rsidRPr="00145F3F">
              <w:rPr>
                <w:b/>
                <w:sz w:val="22"/>
                <w:szCs w:val="22"/>
              </w:rPr>
              <w:t>M</w:t>
            </w:r>
          </w:p>
        </w:tc>
        <w:tc>
          <w:tcPr>
            <w:tcW w:w="864" w:type="dxa"/>
            <w:tcBorders>
              <w:top w:val="single" w:sz="4" w:space="0" w:color="000000"/>
              <w:left w:val="nil"/>
              <w:bottom w:val="single" w:sz="4" w:space="0" w:color="000000"/>
              <w:right w:val="nil"/>
            </w:tcBorders>
          </w:tcPr>
          <w:p w14:paraId="5364B184" w14:textId="77777777" w:rsidR="00724C44" w:rsidRPr="00145F3F" w:rsidRDefault="00724C44" w:rsidP="00145F3F">
            <w:pPr>
              <w:spacing w:after="0" w:line="240" w:lineRule="auto"/>
              <w:jc w:val="both"/>
              <w:rPr>
                <w:sz w:val="22"/>
                <w:szCs w:val="22"/>
              </w:rPr>
            </w:pPr>
            <w:r w:rsidRPr="00145F3F">
              <w:rPr>
                <w:b/>
                <w:sz w:val="22"/>
                <w:szCs w:val="22"/>
              </w:rPr>
              <w:t>SD</w:t>
            </w:r>
          </w:p>
        </w:tc>
        <w:tc>
          <w:tcPr>
            <w:tcW w:w="1602" w:type="dxa"/>
            <w:tcBorders>
              <w:top w:val="single" w:sz="4" w:space="0" w:color="000000"/>
              <w:left w:val="nil"/>
              <w:bottom w:val="single" w:sz="4" w:space="0" w:color="000000"/>
              <w:right w:val="nil"/>
            </w:tcBorders>
          </w:tcPr>
          <w:p w14:paraId="58FAE99F"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437CCD5D" w14:textId="77777777" w:rsidTr="00145F3F">
        <w:tc>
          <w:tcPr>
            <w:tcW w:w="900" w:type="dxa"/>
            <w:tcBorders>
              <w:top w:val="nil"/>
              <w:left w:val="nil"/>
              <w:bottom w:val="nil"/>
              <w:right w:val="nil"/>
            </w:tcBorders>
          </w:tcPr>
          <w:p w14:paraId="5CA05ECE" w14:textId="77777777" w:rsidR="00724C44" w:rsidRPr="00145F3F" w:rsidRDefault="00724C44" w:rsidP="00145F3F">
            <w:pPr>
              <w:spacing w:after="0" w:line="240" w:lineRule="auto"/>
              <w:jc w:val="both"/>
              <w:rPr>
                <w:sz w:val="22"/>
                <w:szCs w:val="22"/>
              </w:rPr>
            </w:pPr>
            <w:r w:rsidRPr="00145F3F">
              <w:rPr>
                <w:sz w:val="22"/>
                <w:szCs w:val="22"/>
              </w:rPr>
              <w:t>E1.1</w:t>
            </w:r>
          </w:p>
        </w:tc>
        <w:tc>
          <w:tcPr>
            <w:tcW w:w="4950" w:type="dxa"/>
            <w:tcBorders>
              <w:top w:val="nil"/>
              <w:left w:val="nil"/>
              <w:bottom w:val="nil"/>
              <w:right w:val="nil"/>
            </w:tcBorders>
          </w:tcPr>
          <w:p w14:paraId="0F61DF94" w14:textId="77777777" w:rsidR="00724C44" w:rsidRPr="00145F3F" w:rsidRDefault="00724C44" w:rsidP="00145F3F">
            <w:pPr>
              <w:spacing w:after="0" w:line="240" w:lineRule="auto"/>
              <w:jc w:val="both"/>
              <w:rPr>
                <w:sz w:val="22"/>
                <w:szCs w:val="22"/>
              </w:rPr>
            </w:pPr>
            <w:r w:rsidRPr="00145F3F">
              <w:rPr>
                <w:sz w:val="22"/>
                <w:szCs w:val="22"/>
              </w:rPr>
              <w:t>AI compensation systems are linked to HR databases</w:t>
            </w:r>
          </w:p>
        </w:tc>
        <w:tc>
          <w:tcPr>
            <w:tcW w:w="864" w:type="dxa"/>
            <w:tcBorders>
              <w:top w:val="nil"/>
              <w:left w:val="nil"/>
              <w:bottom w:val="nil"/>
              <w:right w:val="nil"/>
            </w:tcBorders>
          </w:tcPr>
          <w:p w14:paraId="38CAE2F8" w14:textId="77777777" w:rsidR="00724C44" w:rsidRPr="00145F3F" w:rsidRDefault="00724C44" w:rsidP="00145F3F">
            <w:pPr>
              <w:spacing w:after="0" w:line="240" w:lineRule="auto"/>
              <w:jc w:val="both"/>
              <w:rPr>
                <w:sz w:val="22"/>
                <w:szCs w:val="22"/>
              </w:rPr>
            </w:pPr>
            <w:r w:rsidRPr="00145F3F">
              <w:rPr>
                <w:sz w:val="22"/>
                <w:szCs w:val="22"/>
              </w:rPr>
              <w:t>2.49</w:t>
            </w:r>
          </w:p>
        </w:tc>
        <w:tc>
          <w:tcPr>
            <w:tcW w:w="864" w:type="dxa"/>
            <w:tcBorders>
              <w:top w:val="nil"/>
              <w:left w:val="nil"/>
              <w:bottom w:val="nil"/>
              <w:right w:val="nil"/>
            </w:tcBorders>
          </w:tcPr>
          <w:p w14:paraId="5A721264" w14:textId="77777777" w:rsidR="00724C44" w:rsidRPr="00145F3F" w:rsidRDefault="00724C44" w:rsidP="00145F3F">
            <w:pPr>
              <w:spacing w:after="0" w:line="240" w:lineRule="auto"/>
              <w:jc w:val="both"/>
              <w:rPr>
                <w:sz w:val="22"/>
                <w:szCs w:val="22"/>
              </w:rPr>
            </w:pPr>
            <w:r w:rsidRPr="00145F3F">
              <w:rPr>
                <w:sz w:val="22"/>
                <w:szCs w:val="22"/>
              </w:rPr>
              <w:t>1.39</w:t>
            </w:r>
          </w:p>
        </w:tc>
        <w:tc>
          <w:tcPr>
            <w:tcW w:w="1602" w:type="dxa"/>
            <w:tcBorders>
              <w:top w:val="nil"/>
              <w:left w:val="nil"/>
              <w:bottom w:val="nil"/>
              <w:right w:val="nil"/>
            </w:tcBorders>
          </w:tcPr>
          <w:p w14:paraId="65387F69"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4DB87B2A" w14:textId="77777777" w:rsidTr="00145F3F">
        <w:tc>
          <w:tcPr>
            <w:tcW w:w="900" w:type="dxa"/>
            <w:tcBorders>
              <w:top w:val="nil"/>
              <w:left w:val="nil"/>
              <w:bottom w:val="nil"/>
              <w:right w:val="nil"/>
            </w:tcBorders>
          </w:tcPr>
          <w:p w14:paraId="25DF4A0B" w14:textId="77777777" w:rsidR="00724C44" w:rsidRPr="00145F3F" w:rsidRDefault="00724C44" w:rsidP="00145F3F">
            <w:pPr>
              <w:spacing w:after="0" w:line="240" w:lineRule="auto"/>
              <w:jc w:val="both"/>
              <w:rPr>
                <w:sz w:val="22"/>
                <w:szCs w:val="22"/>
              </w:rPr>
            </w:pPr>
            <w:r w:rsidRPr="00145F3F">
              <w:rPr>
                <w:sz w:val="22"/>
                <w:szCs w:val="22"/>
              </w:rPr>
              <w:t>E1.2</w:t>
            </w:r>
          </w:p>
        </w:tc>
        <w:tc>
          <w:tcPr>
            <w:tcW w:w="4950" w:type="dxa"/>
            <w:tcBorders>
              <w:top w:val="nil"/>
              <w:left w:val="nil"/>
              <w:bottom w:val="nil"/>
              <w:right w:val="nil"/>
            </w:tcBorders>
          </w:tcPr>
          <w:p w14:paraId="022858FF" w14:textId="77777777" w:rsidR="00724C44" w:rsidRPr="00145F3F" w:rsidRDefault="00724C44" w:rsidP="00145F3F">
            <w:pPr>
              <w:spacing w:after="0" w:line="240" w:lineRule="auto"/>
              <w:jc w:val="both"/>
              <w:rPr>
                <w:sz w:val="22"/>
                <w:szCs w:val="22"/>
              </w:rPr>
            </w:pPr>
            <w:r w:rsidRPr="00145F3F">
              <w:rPr>
                <w:sz w:val="22"/>
                <w:szCs w:val="22"/>
              </w:rPr>
              <w:t>Automated data validation between systems exists</w:t>
            </w:r>
          </w:p>
        </w:tc>
        <w:tc>
          <w:tcPr>
            <w:tcW w:w="864" w:type="dxa"/>
            <w:tcBorders>
              <w:top w:val="nil"/>
              <w:left w:val="nil"/>
              <w:bottom w:val="nil"/>
              <w:right w:val="nil"/>
            </w:tcBorders>
          </w:tcPr>
          <w:p w14:paraId="60EAEFAC" w14:textId="77777777" w:rsidR="00724C44" w:rsidRPr="00145F3F" w:rsidRDefault="00724C44" w:rsidP="00145F3F">
            <w:pPr>
              <w:spacing w:after="0" w:line="240" w:lineRule="auto"/>
              <w:jc w:val="both"/>
              <w:rPr>
                <w:sz w:val="22"/>
                <w:szCs w:val="22"/>
              </w:rPr>
            </w:pPr>
            <w:r w:rsidRPr="00145F3F">
              <w:rPr>
                <w:sz w:val="22"/>
                <w:szCs w:val="22"/>
              </w:rPr>
              <w:t>5.18</w:t>
            </w:r>
          </w:p>
        </w:tc>
        <w:tc>
          <w:tcPr>
            <w:tcW w:w="864" w:type="dxa"/>
            <w:tcBorders>
              <w:top w:val="nil"/>
              <w:left w:val="nil"/>
              <w:bottom w:val="nil"/>
              <w:right w:val="nil"/>
            </w:tcBorders>
          </w:tcPr>
          <w:p w14:paraId="2FF98CCD" w14:textId="77777777" w:rsidR="00724C44" w:rsidRPr="00145F3F" w:rsidRDefault="00724C44" w:rsidP="00145F3F">
            <w:pPr>
              <w:spacing w:after="0" w:line="240" w:lineRule="auto"/>
              <w:jc w:val="both"/>
              <w:rPr>
                <w:sz w:val="22"/>
                <w:szCs w:val="22"/>
              </w:rPr>
            </w:pPr>
            <w:r w:rsidRPr="00145F3F">
              <w:rPr>
                <w:sz w:val="22"/>
                <w:szCs w:val="22"/>
              </w:rPr>
              <w:t>1.35</w:t>
            </w:r>
          </w:p>
        </w:tc>
        <w:tc>
          <w:tcPr>
            <w:tcW w:w="1602" w:type="dxa"/>
            <w:tcBorders>
              <w:top w:val="nil"/>
              <w:left w:val="nil"/>
              <w:bottom w:val="nil"/>
              <w:right w:val="nil"/>
            </w:tcBorders>
          </w:tcPr>
          <w:p w14:paraId="139B73DC"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1742E648" w14:textId="77777777" w:rsidTr="00145F3F">
        <w:tc>
          <w:tcPr>
            <w:tcW w:w="900" w:type="dxa"/>
            <w:tcBorders>
              <w:top w:val="nil"/>
              <w:left w:val="nil"/>
              <w:bottom w:val="nil"/>
              <w:right w:val="nil"/>
            </w:tcBorders>
          </w:tcPr>
          <w:p w14:paraId="3959D599" w14:textId="77777777" w:rsidR="00724C44" w:rsidRPr="00145F3F" w:rsidRDefault="00724C44" w:rsidP="00145F3F">
            <w:pPr>
              <w:spacing w:after="0" w:line="240" w:lineRule="auto"/>
              <w:jc w:val="both"/>
              <w:rPr>
                <w:sz w:val="22"/>
                <w:szCs w:val="22"/>
              </w:rPr>
            </w:pPr>
            <w:r w:rsidRPr="00145F3F">
              <w:rPr>
                <w:sz w:val="22"/>
                <w:szCs w:val="22"/>
              </w:rPr>
              <w:t>E1.3</w:t>
            </w:r>
          </w:p>
        </w:tc>
        <w:tc>
          <w:tcPr>
            <w:tcW w:w="4950" w:type="dxa"/>
            <w:tcBorders>
              <w:top w:val="nil"/>
              <w:left w:val="nil"/>
              <w:bottom w:val="nil"/>
              <w:right w:val="nil"/>
            </w:tcBorders>
          </w:tcPr>
          <w:p w14:paraId="4664122B" w14:textId="77777777" w:rsidR="00724C44" w:rsidRPr="00145F3F" w:rsidRDefault="00724C44" w:rsidP="00145F3F">
            <w:pPr>
              <w:spacing w:after="0" w:line="240" w:lineRule="auto"/>
              <w:jc w:val="both"/>
              <w:rPr>
                <w:sz w:val="22"/>
                <w:szCs w:val="22"/>
              </w:rPr>
            </w:pPr>
            <w:r w:rsidRPr="00145F3F">
              <w:rPr>
                <w:sz w:val="22"/>
                <w:szCs w:val="22"/>
              </w:rPr>
              <w:t>Single source of truth for compensation data</w:t>
            </w:r>
          </w:p>
        </w:tc>
        <w:tc>
          <w:tcPr>
            <w:tcW w:w="864" w:type="dxa"/>
            <w:tcBorders>
              <w:top w:val="nil"/>
              <w:left w:val="nil"/>
              <w:bottom w:val="nil"/>
              <w:right w:val="nil"/>
            </w:tcBorders>
          </w:tcPr>
          <w:p w14:paraId="0819CF52" w14:textId="77777777" w:rsidR="00724C44" w:rsidRPr="00145F3F" w:rsidRDefault="00724C44" w:rsidP="00145F3F">
            <w:pPr>
              <w:spacing w:after="0" w:line="240" w:lineRule="auto"/>
              <w:jc w:val="both"/>
              <w:rPr>
                <w:sz w:val="22"/>
                <w:szCs w:val="22"/>
              </w:rPr>
            </w:pPr>
            <w:r w:rsidRPr="00145F3F">
              <w:rPr>
                <w:sz w:val="22"/>
                <w:szCs w:val="22"/>
              </w:rPr>
              <w:t>2.50</w:t>
            </w:r>
          </w:p>
        </w:tc>
        <w:tc>
          <w:tcPr>
            <w:tcW w:w="864" w:type="dxa"/>
            <w:tcBorders>
              <w:top w:val="nil"/>
              <w:left w:val="nil"/>
              <w:bottom w:val="nil"/>
              <w:right w:val="nil"/>
            </w:tcBorders>
          </w:tcPr>
          <w:p w14:paraId="61332C24" w14:textId="77777777" w:rsidR="00724C44" w:rsidRPr="00145F3F" w:rsidRDefault="00724C44" w:rsidP="00145F3F">
            <w:pPr>
              <w:spacing w:after="0" w:line="240" w:lineRule="auto"/>
              <w:jc w:val="both"/>
              <w:rPr>
                <w:sz w:val="22"/>
                <w:szCs w:val="22"/>
              </w:rPr>
            </w:pPr>
            <w:r w:rsidRPr="00145F3F">
              <w:rPr>
                <w:sz w:val="22"/>
                <w:szCs w:val="22"/>
              </w:rPr>
              <w:t>1.31</w:t>
            </w:r>
          </w:p>
        </w:tc>
        <w:tc>
          <w:tcPr>
            <w:tcW w:w="1602" w:type="dxa"/>
            <w:tcBorders>
              <w:top w:val="nil"/>
              <w:left w:val="nil"/>
              <w:bottom w:val="nil"/>
              <w:right w:val="nil"/>
            </w:tcBorders>
          </w:tcPr>
          <w:p w14:paraId="0331597E"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7DD87688" w14:textId="77777777" w:rsidTr="00145F3F">
        <w:tc>
          <w:tcPr>
            <w:tcW w:w="900" w:type="dxa"/>
            <w:tcBorders>
              <w:top w:val="nil"/>
              <w:left w:val="nil"/>
              <w:bottom w:val="nil"/>
              <w:right w:val="nil"/>
            </w:tcBorders>
          </w:tcPr>
          <w:p w14:paraId="7C8911C6" w14:textId="77777777" w:rsidR="00724C44" w:rsidRPr="00145F3F" w:rsidRDefault="00724C44" w:rsidP="00145F3F">
            <w:pPr>
              <w:spacing w:after="0" w:line="240" w:lineRule="auto"/>
              <w:jc w:val="both"/>
              <w:rPr>
                <w:sz w:val="22"/>
                <w:szCs w:val="22"/>
              </w:rPr>
            </w:pPr>
            <w:r w:rsidRPr="00145F3F">
              <w:rPr>
                <w:sz w:val="22"/>
                <w:szCs w:val="22"/>
              </w:rPr>
              <w:t>E1.4</w:t>
            </w:r>
          </w:p>
        </w:tc>
        <w:tc>
          <w:tcPr>
            <w:tcW w:w="4950" w:type="dxa"/>
            <w:tcBorders>
              <w:top w:val="nil"/>
              <w:left w:val="nil"/>
              <w:bottom w:val="nil"/>
              <w:right w:val="nil"/>
            </w:tcBorders>
          </w:tcPr>
          <w:p w14:paraId="317BE3EC" w14:textId="77777777" w:rsidR="00724C44" w:rsidRPr="00145F3F" w:rsidRDefault="00724C44" w:rsidP="00145F3F">
            <w:pPr>
              <w:spacing w:after="0" w:line="240" w:lineRule="auto"/>
              <w:jc w:val="both"/>
              <w:rPr>
                <w:sz w:val="22"/>
                <w:szCs w:val="22"/>
              </w:rPr>
            </w:pPr>
            <w:r w:rsidRPr="00145F3F">
              <w:rPr>
                <w:sz w:val="22"/>
                <w:szCs w:val="22"/>
              </w:rPr>
              <w:t>Real-time data synchronization occurs</w:t>
            </w:r>
          </w:p>
        </w:tc>
        <w:tc>
          <w:tcPr>
            <w:tcW w:w="864" w:type="dxa"/>
            <w:tcBorders>
              <w:top w:val="nil"/>
              <w:left w:val="nil"/>
              <w:bottom w:val="nil"/>
              <w:right w:val="nil"/>
            </w:tcBorders>
          </w:tcPr>
          <w:p w14:paraId="78E3AC79" w14:textId="77777777" w:rsidR="00724C44" w:rsidRPr="00145F3F" w:rsidRDefault="00724C44" w:rsidP="00145F3F">
            <w:pPr>
              <w:spacing w:after="0" w:line="240" w:lineRule="auto"/>
              <w:jc w:val="both"/>
              <w:rPr>
                <w:sz w:val="22"/>
                <w:szCs w:val="22"/>
              </w:rPr>
            </w:pPr>
            <w:r w:rsidRPr="00145F3F">
              <w:rPr>
                <w:sz w:val="22"/>
                <w:szCs w:val="22"/>
              </w:rPr>
              <w:t>2.67</w:t>
            </w:r>
          </w:p>
        </w:tc>
        <w:tc>
          <w:tcPr>
            <w:tcW w:w="864" w:type="dxa"/>
            <w:tcBorders>
              <w:top w:val="nil"/>
              <w:left w:val="nil"/>
              <w:bottom w:val="nil"/>
              <w:right w:val="nil"/>
            </w:tcBorders>
          </w:tcPr>
          <w:p w14:paraId="515C92B2" w14:textId="77777777" w:rsidR="00724C44" w:rsidRPr="00145F3F" w:rsidRDefault="00724C44" w:rsidP="00145F3F">
            <w:pPr>
              <w:spacing w:after="0" w:line="240" w:lineRule="auto"/>
              <w:jc w:val="both"/>
              <w:rPr>
                <w:sz w:val="22"/>
                <w:szCs w:val="22"/>
              </w:rPr>
            </w:pPr>
            <w:r w:rsidRPr="00145F3F">
              <w:rPr>
                <w:sz w:val="22"/>
                <w:szCs w:val="22"/>
              </w:rPr>
              <w:t>1.31</w:t>
            </w:r>
          </w:p>
        </w:tc>
        <w:tc>
          <w:tcPr>
            <w:tcW w:w="1602" w:type="dxa"/>
            <w:tcBorders>
              <w:top w:val="nil"/>
              <w:left w:val="nil"/>
              <w:bottom w:val="nil"/>
              <w:right w:val="nil"/>
            </w:tcBorders>
          </w:tcPr>
          <w:p w14:paraId="67749080"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4284FE8F" w14:textId="77777777" w:rsidTr="00145F3F">
        <w:tc>
          <w:tcPr>
            <w:tcW w:w="900" w:type="dxa"/>
            <w:tcBorders>
              <w:top w:val="nil"/>
              <w:left w:val="nil"/>
              <w:bottom w:val="nil"/>
              <w:right w:val="nil"/>
            </w:tcBorders>
          </w:tcPr>
          <w:p w14:paraId="74483F28" w14:textId="77777777" w:rsidR="00724C44" w:rsidRPr="00145F3F" w:rsidRDefault="00724C44" w:rsidP="00145F3F">
            <w:pPr>
              <w:spacing w:after="0" w:line="240" w:lineRule="auto"/>
              <w:jc w:val="both"/>
              <w:rPr>
                <w:sz w:val="22"/>
                <w:szCs w:val="22"/>
              </w:rPr>
            </w:pPr>
            <w:r w:rsidRPr="00145F3F">
              <w:rPr>
                <w:sz w:val="22"/>
                <w:szCs w:val="22"/>
              </w:rPr>
              <w:lastRenderedPageBreak/>
              <w:t>E1.5</w:t>
            </w:r>
          </w:p>
        </w:tc>
        <w:tc>
          <w:tcPr>
            <w:tcW w:w="4950" w:type="dxa"/>
            <w:tcBorders>
              <w:top w:val="nil"/>
              <w:left w:val="nil"/>
              <w:bottom w:val="nil"/>
              <w:right w:val="nil"/>
            </w:tcBorders>
          </w:tcPr>
          <w:p w14:paraId="12ABD633" w14:textId="77777777" w:rsidR="00724C44" w:rsidRPr="00145F3F" w:rsidRDefault="00724C44" w:rsidP="00145F3F">
            <w:pPr>
              <w:spacing w:after="0" w:line="240" w:lineRule="auto"/>
              <w:jc w:val="both"/>
              <w:rPr>
                <w:sz w:val="22"/>
                <w:szCs w:val="22"/>
              </w:rPr>
            </w:pPr>
            <w:r w:rsidRPr="00145F3F">
              <w:rPr>
                <w:sz w:val="22"/>
                <w:szCs w:val="22"/>
              </w:rPr>
              <w:t>Standardized data formats are used across systems</w:t>
            </w:r>
          </w:p>
        </w:tc>
        <w:tc>
          <w:tcPr>
            <w:tcW w:w="864" w:type="dxa"/>
            <w:tcBorders>
              <w:top w:val="nil"/>
              <w:left w:val="nil"/>
              <w:bottom w:val="nil"/>
              <w:right w:val="nil"/>
            </w:tcBorders>
          </w:tcPr>
          <w:p w14:paraId="65450EF5" w14:textId="77777777" w:rsidR="00724C44" w:rsidRPr="00145F3F" w:rsidRDefault="00724C44" w:rsidP="00145F3F">
            <w:pPr>
              <w:spacing w:after="0" w:line="240" w:lineRule="auto"/>
              <w:jc w:val="both"/>
              <w:rPr>
                <w:sz w:val="22"/>
                <w:szCs w:val="22"/>
              </w:rPr>
            </w:pPr>
            <w:r w:rsidRPr="00145F3F">
              <w:rPr>
                <w:sz w:val="22"/>
                <w:szCs w:val="22"/>
              </w:rPr>
              <w:t>5.38</w:t>
            </w:r>
          </w:p>
        </w:tc>
        <w:tc>
          <w:tcPr>
            <w:tcW w:w="864" w:type="dxa"/>
            <w:tcBorders>
              <w:top w:val="nil"/>
              <w:left w:val="nil"/>
              <w:bottom w:val="nil"/>
              <w:right w:val="nil"/>
            </w:tcBorders>
          </w:tcPr>
          <w:p w14:paraId="255BC232" w14:textId="77777777" w:rsidR="00724C44" w:rsidRPr="00145F3F" w:rsidRDefault="00724C44" w:rsidP="00145F3F">
            <w:pPr>
              <w:spacing w:after="0" w:line="240" w:lineRule="auto"/>
              <w:jc w:val="both"/>
              <w:rPr>
                <w:sz w:val="22"/>
                <w:szCs w:val="22"/>
              </w:rPr>
            </w:pPr>
            <w:r w:rsidRPr="00145F3F">
              <w:rPr>
                <w:sz w:val="22"/>
                <w:szCs w:val="22"/>
              </w:rPr>
              <w:t>1.53</w:t>
            </w:r>
          </w:p>
        </w:tc>
        <w:tc>
          <w:tcPr>
            <w:tcW w:w="1602" w:type="dxa"/>
            <w:tcBorders>
              <w:top w:val="nil"/>
              <w:left w:val="nil"/>
              <w:bottom w:val="nil"/>
              <w:right w:val="nil"/>
            </w:tcBorders>
          </w:tcPr>
          <w:p w14:paraId="4C35AEF0"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657192E8" w14:textId="77777777" w:rsidTr="00145F3F">
        <w:tc>
          <w:tcPr>
            <w:tcW w:w="900" w:type="dxa"/>
            <w:tcBorders>
              <w:top w:val="nil"/>
              <w:left w:val="nil"/>
              <w:bottom w:val="single" w:sz="4" w:space="0" w:color="000000"/>
              <w:right w:val="nil"/>
            </w:tcBorders>
          </w:tcPr>
          <w:p w14:paraId="032697D5" w14:textId="77777777" w:rsidR="00724C44" w:rsidRPr="00145F3F" w:rsidRDefault="00724C44" w:rsidP="00145F3F">
            <w:pPr>
              <w:spacing w:after="0" w:line="240" w:lineRule="auto"/>
              <w:jc w:val="both"/>
              <w:rPr>
                <w:sz w:val="22"/>
                <w:szCs w:val="22"/>
              </w:rPr>
            </w:pPr>
          </w:p>
        </w:tc>
        <w:tc>
          <w:tcPr>
            <w:tcW w:w="4950" w:type="dxa"/>
            <w:tcBorders>
              <w:top w:val="nil"/>
              <w:left w:val="nil"/>
              <w:bottom w:val="single" w:sz="4" w:space="0" w:color="000000"/>
              <w:right w:val="nil"/>
            </w:tcBorders>
          </w:tcPr>
          <w:p w14:paraId="7A9B7EB9" w14:textId="77777777" w:rsidR="00724C44" w:rsidRPr="00145F3F" w:rsidRDefault="00724C44" w:rsidP="00145F3F">
            <w:pPr>
              <w:spacing w:after="0" w:line="240" w:lineRule="auto"/>
              <w:jc w:val="both"/>
              <w:rPr>
                <w:sz w:val="22"/>
                <w:szCs w:val="22"/>
              </w:rPr>
            </w:pPr>
            <w:r w:rsidRPr="00145F3F">
              <w:rPr>
                <w:sz w:val="22"/>
                <w:szCs w:val="22"/>
              </w:rPr>
              <w:t>Construct Mean (E1)</w:t>
            </w:r>
          </w:p>
        </w:tc>
        <w:tc>
          <w:tcPr>
            <w:tcW w:w="864" w:type="dxa"/>
            <w:tcBorders>
              <w:top w:val="nil"/>
              <w:left w:val="nil"/>
              <w:bottom w:val="single" w:sz="4" w:space="0" w:color="000000"/>
              <w:right w:val="nil"/>
            </w:tcBorders>
          </w:tcPr>
          <w:p w14:paraId="3A596FD4" w14:textId="77777777" w:rsidR="00724C44" w:rsidRPr="00145F3F" w:rsidRDefault="00724C44" w:rsidP="00145F3F">
            <w:pPr>
              <w:spacing w:after="0" w:line="240" w:lineRule="auto"/>
              <w:jc w:val="both"/>
              <w:rPr>
                <w:sz w:val="22"/>
                <w:szCs w:val="22"/>
              </w:rPr>
            </w:pPr>
            <w:r w:rsidRPr="00145F3F">
              <w:rPr>
                <w:sz w:val="22"/>
                <w:szCs w:val="22"/>
              </w:rPr>
              <w:t>3.64</w:t>
            </w:r>
          </w:p>
        </w:tc>
        <w:tc>
          <w:tcPr>
            <w:tcW w:w="864" w:type="dxa"/>
            <w:tcBorders>
              <w:top w:val="nil"/>
              <w:left w:val="nil"/>
              <w:bottom w:val="single" w:sz="4" w:space="0" w:color="000000"/>
              <w:right w:val="nil"/>
            </w:tcBorders>
          </w:tcPr>
          <w:p w14:paraId="1423E2B9" w14:textId="77777777" w:rsidR="00724C44" w:rsidRPr="00145F3F" w:rsidRDefault="00724C44" w:rsidP="00145F3F">
            <w:pPr>
              <w:spacing w:after="0" w:line="240" w:lineRule="auto"/>
              <w:jc w:val="both"/>
              <w:rPr>
                <w:sz w:val="22"/>
                <w:szCs w:val="22"/>
              </w:rPr>
            </w:pPr>
            <w:r w:rsidRPr="00145F3F">
              <w:rPr>
                <w:sz w:val="22"/>
                <w:szCs w:val="22"/>
              </w:rPr>
              <w:t>0.57</w:t>
            </w:r>
          </w:p>
        </w:tc>
        <w:tc>
          <w:tcPr>
            <w:tcW w:w="1602" w:type="dxa"/>
            <w:tcBorders>
              <w:top w:val="nil"/>
              <w:left w:val="nil"/>
              <w:bottom w:val="single" w:sz="4" w:space="0" w:color="000000"/>
              <w:right w:val="nil"/>
            </w:tcBorders>
          </w:tcPr>
          <w:p w14:paraId="3FBD8A5B" w14:textId="77777777" w:rsidR="00724C44" w:rsidRPr="00145F3F" w:rsidRDefault="00724C44" w:rsidP="00145F3F">
            <w:pPr>
              <w:spacing w:after="0" w:line="240" w:lineRule="auto"/>
              <w:jc w:val="both"/>
              <w:rPr>
                <w:sz w:val="22"/>
                <w:szCs w:val="22"/>
              </w:rPr>
            </w:pPr>
            <w:r w:rsidRPr="00145F3F">
              <w:rPr>
                <w:sz w:val="22"/>
                <w:szCs w:val="22"/>
              </w:rPr>
              <w:t>Moderate</w:t>
            </w:r>
          </w:p>
        </w:tc>
      </w:tr>
    </w:tbl>
    <w:p w14:paraId="511DC3EB"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7DF1EEF3" w14:textId="77777777" w:rsidR="00724C44" w:rsidRPr="00724C44" w:rsidRDefault="00724C44" w:rsidP="00724C44">
      <w:pPr>
        <w:spacing w:line="240" w:lineRule="auto"/>
        <w:jc w:val="both"/>
      </w:pPr>
      <w:r w:rsidRPr="00724C44">
        <w:rPr>
          <w:b/>
        </w:rPr>
        <w:t>4.7.2 Process Integration (E2)</w:t>
      </w:r>
    </w:p>
    <w:p w14:paraId="4568E5A6" w14:textId="77777777" w:rsidR="00724C44" w:rsidRPr="00724C44" w:rsidRDefault="00724C44" w:rsidP="00724C44">
      <w:pPr>
        <w:spacing w:line="240" w:lineRule="auto"/>
        <w:jc w:val="both"/>
      </w:pPr>
      <w:r w:rsidRPr="00724C44">
        <w:t>Process integration measures the procedural workflows connecting AI-generated data to disclosure outputs. Table 4.24 presents the descriptive statistics for these five items.</w:t>
      </w:r>
    </w:p>
    <w:p w14:paraId="643EF76E" w14:textId="77777777" w:rsidR="00724C44" w:rsidRPr="00724C44" w:rsidRDefault="00724C44" w:rsidP="00724C44">
      <w:pPr>
        <w:spacing w:line="240" w:lineRule="auto"/>
        <w:jc w:val="both"/>
      </w:pPr>
      <w:r w:rsidRPr="00724C44">
        <w:rPr>
          <w:b/>
        </w:rPr>
        <w:t>Table 4.24</w:t>
      </w:r>
    </w:p>
    <w:p w14:paraId="5EA726E7" w14:textId="77777777" w:rsidR="00724C44" w:rsidRPr="00724C44" w:rsidRDefault="00724C44" w:rsidP="00724C44">
      <w:pPr>
        <w:spacing w:line="240" w:lineRule="auto"/>
        <w:jc w:val="both"/>
      </w:pPr>
      <w:r w:rsidRPr="00724C44">
        <w:rPr>
          <w:i/>
        </w:rPr>
        <w:t>Process Integration – Descriptive Statistics (n = 400)</w:t>
      </w:r>
    </w:p>
    <w:tbl>
      <w:tblPr>
        <w:tblW w:w="0" w:type="auto"/>
        <w:tblLayout w:type="fixed"/>
        <w:tblLook w:val="04A0" w:firstRow="1" w:lastRow="0" w:firstColumn="1" w:lastColumn="0" w:noHBand="0" w:noVBand="1"/>
      </w:tblPr>
      <w:tblGrid>
        <w:gridCol w:w="1008"/>
        <w:gridCol w:w="4752"/>
        <w:gridCol w:w="864"/>
        <w:gridCol w:w="864"/>
        <w:gridCol w:w="1728"/>
      </w:tblGrid>
      <w:tr w:rsidR="00724C44" w:rsidRPr="00724C44" w14:paraId="133A69A6" w14:textId="77777777" w:rsidTr="00A5379F">
        <w:tc>
          <w:tcPr>
            <w:tcW w:w="1008" w:type="dxa"/>
            <w:tcBorders>
              <w:top w:val="single" w:sz="4" w:space="0" w:color="000000"/>
              <w:left w:val="nil"/>
              <w:bottom w:val="single" w:sz="4" w:space="0" w:color="000000"/>
              <w:right w:val="nil"/>
            </w:tcBorders>
          </w:tcPr>
          <w:p w14:paraId="4D8C53FE" w14:textId="77777777" w:rsidR="00724C44" w:rsidRPr="00145F3F" w:rsidRDefault="00724C44" w:rsidP="00145F3F">
            <w:pPr>
              <w:spacing w:after="0" w:line="240" w:lineRule="auto"/>
              <w:jc w:val="both"/>
              <w:rPr>
                <w:sz w:val="22"/>
                <w:szCs w:val="22"/>
              </w:rPr>
            </w:pPr>
            <w:r w:rsidRPr="00145F3F">
              <w:rPr>
                <w:b/>
                <w:sz w:val="22"/>
                <w:szCs w:val="22"/>
              </w:rPr>
              <w:t>Item</w:t>
            </w:r>
          </w:p>
        </w:tc>
        <w:tc>
          <w:tcPr>
            <w:tcW w:w="4752" w:type="dxa"/>
            <w:tcBorders>
              <w:top w:val="single" w:sz="4" w:space="0" w:color="000000"/>
              <w:left w:val="nil"/>
              <w:bottom w:val="single" w:sz="4" w:space="0" w:color="000000"/>
              <w:right w:val="nil"/>
            </w:tcBorders>
          </w:tcPr>
          <w:p w14:paraId="1B7F1C94" w14:textId="77777777" w:rsidR="00724C44" w:rsidRPr="00145F3F" w:rsidRDefault="00724C44" w:rsidP="00145F3F">
            <w:pPr>
              <w:spacing w:after="0" w:line="240" w:lineRule="auto"/>
              <w:jc w:val="both"/>
              <w:rPr>
                <w:sz w:val="22"/>
                <w:szCs w:val="22"/>
              </w:rPr>
            </w:pPr>
            <w:r w:rsidRPr="00145F3F">
              <w:rPr>
                <w:b/>
                <w:sz w:val="22"/>
                <w:szCs w:val="22"/>
              </w:rPr>
              <w:t>Statement</w:t>
            </w:r>
          </w:p>
        </w:tc>
        <w:tc>
          <w:tcPr>
            <w:tcW w:w="864" w:type="dxa"/>
            <w:tcBorders>
              <w:top w:val="single" w:sz="4" w:space="0" w:color="000000"/>
              <w:left w:val="nil"/>
              <w:bottom w:val="single" w:sz="4" w:space="0" w:color="000000"/>
              <w:right w:val="nil"/>
            </w:tcBorders>
          </w:tcPr>
          <w:p w14:paraId="7678236B" w14:textId="77777777" w:rsidR="00724C44" w:rsidRPr="00145F3F" w:rsidRDefault="00724C44" w:rsidP="00145F3F">
            <w:pPr>
              <w:spacing w:after="0" w:line="240" w:lineRule="auto"/>
              <w:jc w:val="both"/>
              <w:rPr>
                <w:sz w:val="22"/>
                <w:szCs w:val="22"/>
              </w:rPr>
            </w:pPr>
            <w:r w:rsidRPr="00145F3F">
              <w:rPr>
                <w:b/>
                <w:sz w:val="22"/>
                <w:szCs w:val="22"/>
              </w:rPr>
              <w:t>M</w:t>
            </w:r>
          </w:p>
        </w:tc>
        <w:tc>
          <w:tcPr>
            <w:tcW w:w="864" w:type="dxa"/>
            <w:tcBorders>
              <w:top w:val="single" w:sz="4" w:space="0" w:color="000000"/>
              <w:left w:val="nil"/>
              <w:bottom w:val="single" w:sz="4" w:space="0" w:color="000000"/>
              <w:right w:val="nil"/>
            </w:tcBorders>
          </w:tcPr>
          <w:p w14:paraId="79F3AEE9" w14:textId="77777777" w:rsidR="00724C44" w:rsidRPr="00145F3F" w:rsidRDefault="00724C44" w:rsidP="00145F3F">
            <w:pPr>
              <w:spacing w:after="0" w:line="240" w:lineRule="auto"/>
              <w:jc w:val="both"/>
              <w:rPr>
                <w:sz w:val="22"/>
                <w:szCs w:val="22"/>
              </w:rPr>
            </w:pPr>
            <w:r w:rsidRPr="00145F3F">
              <w:rPr>
                <w:b/>
                <w:sz w:val="22"/>
                <w:szCs w:val="22"/>
              </w:rPr>
              <w:t>SD</w:t>
            </w:r>
          </w:p>
        </w:tc>
        <w:tc>
          <w:tcPr>
            <w:tcW w:w="1728" w:type="dxa"/>
            <w:tcBorders>
              <w:top w:val="single" w:sz="4" w:space="0" w:color="000000"/>
              <w:left w:val="nil"/>
              <w:bottom w:val="single" w:sz="4" w:space="0" w:color="000000"/>
              <w:right w:val="nil"/>
            </w:tcBorders>
          </w:tcPr>
          <w:p w14:paraId="148A2858" w14:textId="77777777" w:rsidR="00724C44" w:rsidRPr="00145F3F" w:rsidRDefault="00724C44" w:rsidP="00145F3F">
            <w:pPr>
              <w:spacing w:after="0" w:line="240" w:lineRule="auto"/>
              <w:jc w:val="both"/>
              <w:rPr>
                <w:sz w:val="22"/>
                <w:szCs w:val="22"/>
              </w:rPr>
            </w:pPr>
            <w:r w:rsidRPr="00145F3F">
              <w:rPr>
                <w:b/>
                <w:sz w:val="22"/>
                <w:szCs w:val="22"/>
              </w:rPr>
              <w:t>Interpretation</w:t>
            </w:r>
          </w:p>
        </w:tc>
      </w:tr>
      <w:tr w:rsidR="00724C44" w:rsidRPr="00724C44" w14:paraId="241F028B" w14:textId="77777777" w:rsidTr="00A5379F">
        <w:tc>
          <w:tcPr>
            <w:tcW w:w="1008" w:type="dxa"/>
            <w:tcBorders>
              <w:top w:val="nil"/>
              <w:left w:val="nil"/>
              <w:bottom w:val="nil"/>
              <w:right w:val="nil"/>
            </w:tcBorders>
          </w:tcPr>
          <w:p w14:paraId="42F3C931" w14:textId="77777777" w:rsidR="00724C44" w:rsidRPr="00145F3F" w:rsidRDefault="00724C44" w:rsidP="00145F3F">
            <w:pPr>
              <w:spacing w:after="0" w:line="240" w:lineRule="auto"/>
              <w:jc w:val="both"/>
              <w:rPr>
                <w:sz w:val="22"/>
                <w:szCs w:val="22"/>
              </w:rPr>
            </w:pPr>
            <w:r w:rsidRPr="00145F3F">
              <w:rPr>
                <w:sz w:val="22"/>
                <w:szCs w:val="22"/>
              </w:rPr>
              <w:t>E2.1</w:t>
            </w:r>
          </w:p>
        </w:tc>
        <w:tc>
          <w:tcPr>
            <w:tcW w:w="4752" w:type="dxa"/>
            <w:tcBorders>
              <w:top w:val="nil"/>
              <w:left w:val="nil"/>
              <w:bottom w:val="nil"/>
              <w:right w:val="nil"/>
            </w:tcBorders>
          </w:tcPr>
          <w:p w14:paraId="1D7A2602" w14:textId="77777777" w:rsidR="00724C44" w:rsidRPr="00145F3F" w:rsidRDefault="00724C44" w:rsidP="00145F3F">
            <w:pPr>
              <w:spacing w:after="0" w:line="240" w:lineRule="auto"/>
              <w:jc w:val="both"/>
              <w:rPr>
                <w:sz w:val="22"/>
                <w:szCs w:val="22"/>
              </w:rPr>
            </w:pPr>
            <w:r w:rsidRPr="00145F3F">
              <w:rPr>
                <w:sz w:val="22"/>
                <w:szCs w:val="22"/>
              </w:rPr>
              <w:t>Defined data flow processes exist</w:t>
            </w:r>
          </w:p>
        </w:tc>
        <w:tc>
          <w:tcPr>
            <w:tcW w:w="864" w:type="dxa"/>
            <w:tcBorders>
              <w:top w:val="nil"/>
              <w:left w:val="nil"/>
              <w:bottom w:val="nil"/>
              <w:right w:val="nil"/>
            </w:tcBorders>
          </w:tcPr>
          <w:p w14:paraId="7210DFF5" w14:textId="77777777" w:rsidR="00724C44" w:rsidRPr="00145F3F" w:rsidRDefault="00724C44" w:rsidP="00145F3F">
            <w:pPr>
              <w:spacing w:after="0" w:line="240" w:lineRule="auto"/>
              <w:jc w:val="both"/>
              <w:rPr>
                <w:sz w:val="22"/>
                <w:szCs w:val="22"/>
              </w:rPr>
            </w:pPr>
            <w:r w:rsidRPr="00145F3F">
              <w:rPr>
                <w:sz w:val="22"/>
                <w:szCs w:val="22"/>
              </w:rPr>
              <w:t>2.50</w:t>
            </w:r>
          </w:p>
        </w:tc>
        <w:tc>
          <w:tcPr>
            <w:tcW w:w="864" w:type="dxa"/>
            <w:tcBorders>
              <w:top w:val="nil"/>
              <w:left w:val="nil"/>
              <w:bottom w:val="nil"/>
              <w:right w:val="nil"/>
            </w:tcBorders>
          </w:tcPr>
          <w:p w14:paraId="0C6CB3EA" w14:textId="77777777" w:rsidR="00724C44" w:rsidRPr="00145F3F" w:rsidRDefault="00724C44" w:rsidP="00145F3F">
            <w:pPr>
              <w:spacing w:after="0" w:line="240" w:lineRule="auto"/>
              <w:jc w:val="both"/>
              <w:rPr>
                <w:sz w:val="22"/>
                <w:szCs w:val="22"/>
              </w:rPr>
            </w:pPr>
            <w:r w:rsidRPr="00145F3F">
              <w:rPr>
                <w:sz w:val="22"/>
                <w:szCs w:val="22"/>
              </w:rPr>
              <w:t>1.28</w:t>
            </w:r>
          </w:p>
        </w:tc>
        <w:tc>
          <w:tcPr>
            <w:tcW w:w="1728" w:type="dxa"/>
            <w:tcBorders>
              <w:top w:val="nil"/>
              <w:left w:val="nil"/>
              <w:bottom w:val="nil"/>
              <w:right w:val="nil"/>
            </w:tcBorders>
          </w:tcPr>
          <w:p w14:paraId="413EDFDD"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6F89E929" w14:textId="77777777" w:rsidTr="00A5379F">
        <w:tc>
          <w:tcPr>
            <w:tcW w:w="1008" w:type="dxa"/>
            <w:tcBorders>
              <w:top w:val="nil"/>
              <w:left w:val="nil"/>
              <w:bottom w:val="nil"/>
              <w:right w:val="nil"/>
            </w:tcBorders>
          </w:tcPr>
          <w:p w14:paraId="54B15F7E" w14:textId="77777777" w:rsidR="00724C44" w:rsidRPr="00145F3F" w:rsidRDefault="00724C44" w:rsidP="00145F3F">
            <w:pPr>
              <w:spacing w:after="0" w:line="240" w:lineRule="auto"/>
              <w:jc w:val="both"/>
              <w:rPr>
                <w:sz w:val="22"/>
                <w:szCs w:val="22"/>
              </w:rPr>
            </w:pPr>
            <w:r w:rsidRPr="00145F3F">
              <w:rPr>
                <w:sz w:val="22"/>
                <w:szCs w:val="22"/>
              </w:rPr>
              <w:t>E2.2</w:t>
            </w:r>
          </w:p>
        </w:tc>
        <w:tc>
          <w:tcPr>
            <w:tcW w:w="4752" w:type="dxa"/>
            <w:tcBorders>
              <w:top w:val="nil"/>
              <w:left w:val="nil"/>
              <w:bottom w:val="nil"/>
              <w:right w:val="nil"/>
            </w:tcBorders>
          </w:tcPr>
          <w:p w14:paraId="33A94C2D" w14:textId="77777777" w:rsidR="00724C44" w:rsidRPr="00145F3F" w:rsidRDefault="00724C44" w:rsidP="00145F3F">
            <w:pPr>
              <w:spacing w:after="0" w:line="240" w:lineRule="auto"/>
              <w:jc w:val="both"/>
              <w:rPr>
                <w:sz w:val="22"/>
                <w:szCs w:val="22"/>
              </w:rPr>
            </w:pPr>
            <w:r w:rsidRPr="00145F3F">
              <w:rPr>
                <w:sz w:val="22"/>
                <w:szCs w:val="22"/>
              </w:rPr>
              <w:t>Automated report generation is implemented</w:t>
            </w:r>
          </w:p>
        </w:tc>
        <w:tc>
          <w:tcPr>
            <w:tcW w:w="864" w:type="dxa"/>
            <w:tcBorders>
              <w:top w:val="nil"/>
              <w:left w:val="nil"/>
              <w:bottom w:val="nil"/>
              <w:right w:val="nil"/>
            </w:tcBorders>
          </w:tcPr>
          <w:p w14:paraId="00DC274E" w14:textId="77777777" w:rsidR="00724C44" w:rsidRPr="00145F3F" w:rsidRDefault="00724C44" w:rsidP="00145F3F">
            <w:pPr>
              <w:spacing w:after="0" w:line="240" w:lineRule="auto"/>
              <w:jc w:val="both"/>
              <w:rPr>
                <w:sz w:val="22"/>
                <w:szCs w:val="22"/>
              </w:rPr>
            </w:pPr>
            <w:r w:rsidRPr="00145F3F">
              <w:rPr>
                <w:sz w:val="22"/>
                <w:szCs w:val="22"/>
              </w:rPr>
              <w:t>2.69</w:t>
            </w:r>
          </w:p>
        </w:tc>
        <w:tc>
          <w:tcPr>
            <w:tcW w:w="864" w:type="dxa"/>
            <w:tcBorders>
              <w:top w:val="nil"/>
              <w:left w:val="nil"/>
              <w:bottom w:val="nil"/>
              <w:right w:val="nil"/>
            </w:tcBorders>
          </w:tcPr>
          <w:p w14:paraId="18DC7D5B" w14:textId="77777777" w:rsidR="00724C44" w:rsidRPr="00145F3F" w:rsidRDefault="00724C44" w:rsidP="00145F3F">
            <w:pPr>
              <w:spacing w:after="0" w:line="240" w:lineRule="auto"/>
              <w:jc w:val="both"/>
              <w:rPr>
                <w:sz w:val="22"/>
                <w:szCs w:val="22"/>
              </w:rPr>
            </w:pPr>
            <w:r w:rsidRPr="00145F3F">
              <w:rPr>
                <w:sz w:val="22"/>
                <w:szCs w:val="22"/>
              </w:rPr>
              <w:t>1.27</w:t>
            </w:r>
          </w:p>
        </w:tc>
        <w:tc>
          <w:tcPr>
            <w:tcW w:w="1728" w:type="dxa"/>
            <w:tcBorders>
              <w:top w:val="nil"/>
              <w:left w:val="nil"/>
              <w:bottom w:val="nil"/>
              <w:right w:val="nil"/>
            </w:tcBorders>
          </w:tcPr>
          <w:p w14:paraId="5DC1D15E" w14:textId="77777777" w:rsidR="00724C44" w:rsidRPr="00145F3F" w:rsidRDefault="00724C44" w:rsidP="00145F3F">
            <w:pPr>
              <w:spacing w:after="0" w:line="240" w:lineRule="auto"/>
              <w:jc w:val="both"/>
              <w:rPr>
                <w:sz w:val="22"/>
                <w:szCs w:val="22"/>
              </w:rPr>
            </w:pPr>
            <w:r w:rsidRPr="00145F3F">
              <w:rPr>
                <w:sz w:val="22"/>
                <w:szCs w:val="22"/>
              </w:rPr>
              <w:t>Low</w:t>
            </w:r>
          </w:p>
        </w:tc>
      </w:tr>
      <w:tr w:rsidR="00724C44" w:rsidRPr="00724C44" w14:paraId="0C752BA3" w14:textId="77777777" w:rsidTr="00A5379F">
        <w:tc>
          <w:tcPr>
            <w:tcW w:w="1008" w:type="dxa"/>
            <w:tcBorders>
              <w:top w:val="nil"/>
              <w:left w:val="nil"/>
              <w:bottom w:val="nil"/>
              <w:right w:val="nil"/>
            </w:tcBorders>
          </w:tcPr>
          <w:p w14:paraId="18C2C288" w14:textId="77777777" w:rsidR="00724C44" w:rsidRPr="00145F3F" w:rsidRDefault="00724C44" w:rsidP="00145F3F">
            <w:pPr>
              <w:spacing w:after="0" w:line="240" w:lineRule="auto"/>
              <w:jc w:val="both"/>
              <w:rPr>
                <w:sz w:val="22"/>
                <w:szCs w:val="22"/>
              </w:rPr>
            </w:pPr>
            <w:r w:rsidRPr="00145F3F">
              <w:rPr>
                <w:sz w:val="22"/>
                <w:szCs w:val="22"/>
              </w:rPr>
              <w:t>E2.3</w:t>
            </w:r>
          </w:p>
        </w:tc>
        <w:tc>
          <w:tcPr>
            <w:tcW w:w="4752" w:type="dxa"/>
            <w:tcBorders>
              <w:top w:val="nil"/>
              <w:left w:val="nil"/>
              <w:bottom w:val="nil"/>
              <w:right w:val="nil"/>
            </w:tcBorders>
          </w:tcPr>
          <w:p w14:paraId="02AD9FF8" w14:textId="77777777" w:rsidR="00724C44" w:rsidRPr="00145F3F" w:rsidRDefault="00724C44" w:rsidP="00145F3F">
            <w:pPr>
              <w:spacing w:after="0" w:line="240" w:lineRule="auto"/>
              <w:jc w:val="both"/>
              <w:rPr>
                <w:sz w:val="22"/>
                <w:szCs w:val="22"/>
              </w:rPr>
            </w:pPr>
            <w:r w:rsidRPr="00145F3F">
              <w:rPr>
                <w:sz w:val="22"/>
                <w:szCs w:val="22"/>
              </w:rPr>
              <w:t>Regular data reconciliation occurs</w:t>
            </w:r>
          </w:p>
        </w:tc>
        <w:tc>
          <w:tcPr>
            <w:tcW w:w="864" w:type="dxa"/>
            <w:tcBorders>
              <w:top w:val="nil"/>
              <w:left w:val="nil"/>
              <w:bottom w:val="nil"/>
              <w:right w:val="nil"/>
            </w:tcBorders>
          </w:tcPr>
          <w:p w14:paraId="59DEA849" w14:textId="77777777" w:rsidR="00724C44" w:rsidRPr="00145F3F" w:rsidRDefault="00724C44" w:rsidP="00145F3F">
            <w:pPr>
              <w:spacing w:after="0" w:line="240" w:lineRule="auto"/>
              <w:jc w:val="both"/>
              <w:rPr>
                <w:sz w:val="22"/>
                <w:szCs w:val="22"/>
              </w:rPr>
            </w:pPr>
            <w:r w:rsidRPr="00145F3F">
              <w:rPr>
                <w:sz w:val="22"/>
                <w:szCs w:val="22"/>
              </w:rPr>
              <w:t>5.13</w:t>
            </w:r>
          </w:p>
        </w:tc>
        <w:tc>
          <w:tcPr>
            <w:tcW w:w="864" w:type="dxa"/>
            <w:tcBorders>
              <w:top w:val="nil"/>
              <w:left w:val="nil"/>
              <w:bottom w:val="nil"/>
              <w:right w:val="nil"/>
            </w:tcBorders>
          </w:tcPr>
          <w:p w14:paraId="4DEAE564" w14:textId="77777777" w:rsidR="00724C44" w:rsidRPr="00145F3F" w:rsidRDefault="00724C44" w:rsidP="00145F3F">
            <w:pPr>
              <w:spacing w:after="0" w:line="240" w:lineRule="auto"/>
              <w:jc w:val="both"/>
              <w:rPr>
                <w:sz w:val="22"/>
                <w:szCs w:val="22"/>
              </w:rPr>
            </w:pPr>
            <w:r w:rsidRPr="00145F3F">
              <w:rPr>
                <w:sz w:val="22"/>
                <w:szCs w:val="22"/>
              </w:rPr>
              <w:t>1.46</w:t>
            </w:r>
          </w:p>
        </w:tc>
        <w:tc>
          <w:tcPr>
            <w:tcW w:w="1728" w:type="dxa"/>
            <w:tcBorders>
              <w:top w:val="nil"/>
              <w:left w:val="nil"/>
              <w:bottom w:val="nil"/>
              <w:right w:val="nil"/>
            </w:tcBorders>
          </w:tcPr>
          <w:p w14:paraId="476F1B3F"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062B1054" w14:textId="77777777" w:rsidTr="00A5379F">
        <w:tc>
          <w:tcPr>
            <w:tcW w:w="1008" w:type="dxa"/>
            <w:tcBorders>
              <w:top w:val="nil"/>
              <w:left w:val="nil"/>
              <w:bottom w:val="nil"/>
              <w:right w:val="nil"/>
            </w:tcBorders>
          </w:tcPr>
          <w:p w14:paraId="0617C756" w14:textId="77777777" w:rsidR="00724C44" w:rsidRPr="00145F3F" w:rsidRDefault="00724C44" w:rsidP="00145F3F">
            <w:pPr>
              <w:spacing w:after="0" w:line="240" w:lineRule="auto"/>
              <w:jc w:val="both"/>
              <w:rPr>
                <w:sz w:val="22"/>
                <w:szCs w:val="22"/>
              </w:rPr>
            </w:pPr>
            <w:r w:rsidRPr="00145F3F">
              <w:rPr>
                <w:sz w:val="22"/>
                <w:szCs w:val="22"/>
              </w:rPr>
              <w:t>E2.4</w:t>
            </w:r>
          </w:p>
        </w:tc>
        <w:tc>
          <w:tcPr>
            <w:tcW w:w="4752" w:type="dxa"/>
            <w:tcBorders>
              <w:top w:val="nil"/>
              <w:left w:val="nil"/>
              <w:bottom w:val="nil"/>
              <w:right w:val="nil"/>
            </w:tcBorders>
          </w:tcPr>
          <w:p w14:paraId="5946EDC8" w14:textId="77777777" w:rsidR="00724C44" w:rsidRPr="00145F3F" w:rsidRDefault="00724C44" w:rsidP="00145F3F">
            <w:pPr>
              <w:spacing w:after="0" w:line="240" w:lineRule="auto"/>
              <w:jc w:val="both"/>
              <w:rPr>
                <w:sz w:val="22"/>
                <w:szCs w:val="22"/>
              </w:rPr>
            </w:pPr>
            <w:r w:rsidRPr="00145F3F">
              <w:rPr>
                <w:sz w:val="22"/>
                <w:szCs w:val="22"/>
              </w:rPr>
              <w:t>Clear data ownership is established</w:t>
            </w:r>
          </w:p>
        </w:tc>
        <w:tc>
          <w:tcPr>
            <w:tcW w:w="864" w:type="dxa"/>
            <w:tcBorders>
              <w:top w:val="nil"/>
              <w:left w:val="nil"/>
              <w:bottom w:val="nil"/>
              <w:right w:val="nil"/>
            </w:tcBorders>
          </w:tcPr>
          <w:p w14:paraId="111CECB3" w14:textId="77777777" w:rsidR="00724C44" w:rsidRPr="00145F3F" w:rsidRDefault="00724C44" w:rsidP="00145F3F">
            <w:pPr>
              <w:spacing w:after="0" w:line="240" w:lineRule="auto"/>
              <w:jc w:val="both"/>
              <w:rPr>
                <w:sz w:val="22"/>
                <w:szCs w:val="22"/>
              </w:rPr>
            </w:pPr>
            <w:r w:rsidRPr="00145F3F">
              <w:rPr>
                <w:sz w:val="22"/>
                <w:szCs w:val="22"/>
              </w:rPr>
              <w:t>5.63</w:t>
            </w:r>
          </w:p>
        </w:tc>
        <w:tc>
          <w:tcPr>
            <w:tcW w:w="864" w:type="dxa"/>
            <w:tcBorders>
              <w:top w:val="nil"/>
              <w:left w:val="nil"/>
              <w:bottom w:val="nil"/>
              <w:right w:val="nil"/>
            </w:tcBorders>
          </w:tcPr>
          <w:p w14:paraId="1DB136BE" w14:textId="77777777" w:rsidR="00724C44" w:rsidRPr="00145F3F" w:rsidRDefault="00724C44" w:rsidP="00145F3F">
            <w:pPr>
              <w:spacing w:after="0" w:line="240" w:lineRule="auto"/>
              <w:jc w:val="both"/>
              <w:rPr>
                <w:sz w:val="22"/>
                <w:szCs w:val="22"/>
              </w:rPr>
            </w:pPr>
            <w:r w:rsidRPr="00145F3F">
              <w:rPr>
                <w:sz w:val="22"/>
                <w:szCs w:val="22"/>
              </w:rPr>
              <w:t>1.54</w:t>
            </w:r>
          </w:p>
        </w:tc>
        <w:tc>
          <w:tcPr>
            <w:tcW w:w="1728" w:type="dxa"/>
            <w:tcBorders>
              <w:top w:val="nil"/>
              <w:left w:val="nil"/>
              <w:bottom w:val="nil"/>
              <w:right w:val="nil"/>
            </w:tcBorders>
          </w:tcPr>
          <w:p w14:paraId="328DD4D7"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7782815E" w14:textId="77777777" w:rsidTr="00A5379F">
        <w:tc>
          <w:tcPr>
            <w:tcW w:w="1008" w:type="dxa"/>
            <w:tcBorders>
              <w:top w:val="nil"/>
              <w:left w:val="nil"/>
              <w:bottom w:val="nil"/>
              <w:right w:val="nil"/>
            </w:tcBorders>
          </w:tcPr>
          <w:p w14:paraId="3D1E2049" w14:textId="77777777" w:rsidR="00724C44" w:rsidRPr="00145F3F" w:rsidRDefault="00724C44" w:rsidP="00145F3F">
            <w:pPr>
              <w:spacing w:after="0" w:line="240" w:lineRule="auto"/>
              <w:jc w:val="both"/>
              <w:rPr>
                <w:sz w:val="22"/>
                <w:szCs w:val="22"/>
              </w:rPr>
            </w:pPr>
            <w:r w:rsidRPr="00145F3F">
              <w:rPr>
                <w:sz w:val="22"/>
                <w:szCs w:val="22"/>
              </w:rPr>
              <w:t>E2.5</w:t>
            </w:r>
          </w:p>
        </w:tc>
        <w:tc>
          <w:tcPr>
            <w:tcW w:w="4752" w:type="dxa"/>
            <w:tcBorders>
              <w:top w:val="nil"/>
              <w:left w:val="nil"/>
              <w:bottom w:val="nil"/>
              <w:right w:val="nil"/>
            </w:tcBorders>
          </w:tcPr>
          <w:p w14:paraId="47C96C15" w14:textId="77777777" w:rsidR="00724C44" w:rsidRPr="00145F3F" w:rsidRDefault="00724C44" w:rsidP="00145F3F">
            <w:pPr>
              <w:spacing w:after="0" w:line="240" w:lineRule="auto"/>
              <w:jc w:val="both"/>
              <w:rPr>
                <w:sz w:val="22"/>
                <w:szCs w:val="22"/>
              </w:rPr>
            </w:pPr>
            <w:r w:rsidRPr="00145F3F">
              <w:rPr>
                <w:sz w:val="22"/>
                <w:szCs w:val="22"/>
              </w:rPr>
              <w:t>Documented integration procedures exist</w:t>
            </w:r>
          </w:p>
        </w:tc>
        <w:tc>
          <w:tcPr>
            <w:tcW w:w="864" w:type="dxa"/>
            <w:tcBorders>
              <w:top w:val="nil"/>
              <w:left w:val="nil"/>
              <w:bottom w:val="nil"/>
              <w:right w:val="nil"/>
            </w:tcBorders>
          </w:tcPr>
          <w:p w14:paraId="15443A1F" w14:textId="77777777" w:rsidR="00724C44" w:rsidRPr="00145F3F" w:rsidRDefault="00724C44" w:rsidP="00145F3F">
            <w:pPr>
              <w:spacing w:after="0" w:line="240" w:lineRule="auto"/>
              <w:jc w:val="both"/>
              <w:rPr>
                <w:sz w:val="22"/>
                <w:szCs w:val="22"/>
              </w:rPr>
            </w:pPr>
            <w:r w:rsidRPr="00145F3F">
              <w:rPr>
                <w:sz w:val="22"/>
                <w:szCs w:val="22"/>
              </w:rPr>
              <w:t>5.36</w:t>
            </w:r>
          </w:p>
        </w:tc>
        <w:tc>
          <w:tcPr>
            <w:tcW w:w="864" w:type="dxa"/>
            <w:tcBorders>
              <w:top w:val="nil"/>
              <w:left w:val="nil"/>
              <w:bottom w:val="nil"/>
              <w:right w:val="nil"/>
            </w:tcBorders>
          </w:tcPr>
          <w:p w14:paraId="75767E97" w14:textId="77777777" w:rsidR="00724C44" w:rsidRPr="00145F3F" w:rsidRDefault="00724C44" w:rsidP="00145F3F">
            <w:pPr>
              <w:spacing w:after="0" w:line="240" w:lineRule="auto"/>
              <w:jc w:val="both"/>
              <w:rPr>
                <w:sz w:val="22"/>
                <w:szCs w:val="22"/>
              </w:rPr>
            </w:pPr>
            <w:r w:rsidRPr="00145F3F">
              <w:rPr>
                <w:sz w:val="22"/>
                <w:szCs w:val="22"/>
              </w:rPr>
              <w:t>1.50</w:t>
            </w:r>
          </w:p>
        </w:tc>
        <w:tc>
          <w:tcPr>
            <w:tcW w:w="1728" w:type="dxa"/>
            <w:tcBorders>
              <w:top w:val="nil"/>
              <w:left w:val="nil"/>
              <w:bottom w:val="nil"/>
              <w:right w:val="nil"/>
            </w:tcBorders>
          </w:tcPr>
          <w:p w14:paraId="5DE3640F" w14:textId="77777777" w:rsidR="00724C44" w:rsidRPr="00145F3F" w:rsidRDefault="00724C44" w:rsidP="00145F3F">
            <w:pPr>
              <w:spacing w:after="0" w:line="240" w:lineRule="auto"/>
              <w:jc w:val="both"/>
              <w:rPr>
                <w:sz w:val="22"/>
                <w:szCs w:val="22"/>
              </w:rPr>
            </w:pPr>
            <w:r w:rsidRPr="00145F3F">
              <w:rPr>
                <w:sz w:val="22"/>
                <w:szCs w:val="22"/>
              </w:rPr>
              <w:t>High</w:t>
            </w:r>
          </w:p>
        </w:tc>
      </w:tr>
      <w:tr w:rsidR="00724C44" w:rsidRPr="00724C44" w14:paraId="76C8AC9A" w14:textId="77777777" w:rsidTr="00A5379F">
        <w:tc>
          <w:tcPr>
            <w:tcW w:w="1008" w:type="dxa"/>
            <w:tcBorders>
              <w:top w:val="nil"/>
              <w:left w:val="nil"/>
              <w:bottom w:val="single" w:sz="4" w:space="0" w:color="000000"/>
              <w:right w:val="nil"/>
            </w:tcBorders>
          </w:tcPr>
          <w:p w14:paraId="64A9DEE5" w14:textId="77777777" w:rsidR="00724C44" w:rsidRPr="00145F3F" w:rsidRDefault="00724C44" w:rsidP="00145F3F">
            <w:pPr>
              <w:spacing w:after="0" w:line="240" w:lineRule="auto"/>
              <w:jc w:val="both"/>
              <w:rPr>
                <w:sz w:val="22"/>
                <w:szCs w:val="22"/>
              </w:rPr>
            </w:pPr>
          </w:p>
        </w:tc>
        <w:tc>
          <w:tcPr>
            <w:tcW w:w="4752" w:type="dxa"/>
            <w:tcBorders>
              <w:top w:val="nil"/>
              <w:left w:val="nil"/>
              <w:bottom w:val="single" w:sz="4" w:space="0" w:color="000000"/>
              <w:right w:val="nil"/>
            </w:tcBorders>
          </w:tcPr>
          <w:p w14:paraId="63D8D8D2" w14:textId="77777777" w:rsidR="00724C44" w:rsidRPr="00145F3F" w:rsidRDefault="00724C44" w:rsidP="00145F3F">
            <w:pPr>
              <w:spacing w:after="0" w:line="240" w:lineRule="auto"/>
              <w:jc w:val="both"/>
              <w:rPr>
                <w:sz w:val="22"/>
                <w:szCs w:val="22"/>
              </w:rPr>
            </w:pPr>
            <w:r w:rsidRPr="00145F3F">
              <w:rPr>
                <w:sz w:val="22"/>
                <w:szCs w:val="22"/>
              </w:rPr>
              <w:t>Construct Mean (E2)</w:t>
            </w:r>
          </w:p>
        </w:tc>
        <w:tc>
          <w:tcPr>
            <w:tcW w:w="864" w:type="dxa"/>
            <w:tcBorders>
              <w:top w:val="nil"/>
              <w:left w:val="nil"/>
              <w:bottom w:val="single" w:sz="4" w:space="0" w:color="000000"/>
              <w:right w:val="nil"/>
            </w:tcBorders>
          </w:tcPr>
          <w:p w14:paraId="1102E422" w14:textId="77777777" w:rsidR="00724C44" w:rsidRPr="00145F3F" w:rsidRDefault="00724C44" w:rsidP="00145F3F">
            <w:pPr>
              <w:spacing w:after="0" w:line="240" w:lineRule="auto"/>
              <w:jc w:val="both"/>
              <w:rPr>
                <w:sz w:val="22"/>
                <w:szCs w:val="22"/>
              </w:rPr>
            </w:pPr>
            <w:r w:rsidRPr="00145F3F">
              <w:rPr>
                <w:sz w:val="22"/>
                <w:szCs w:val="22"/>
              </w:rPr>
              <w:t>4.26</w:t>
            </w:r>
          </w:p>
        </w:tc>
        <w:tc>
          <w:tcPr>
            <w:tcW w:w="864" w:type="dxa"/>
            <w:tcBorders>
              <w:top w:val="nil"/>
              <w:left w:val="nil"/>
              <w:bottom w:val="single" w:sz="4" w:space="0" w:color="000000"/>
              <w:right w:val="nil"/>
            </w:tcBorders>
          </w:tcPr>
          <w:p w14:paraId="36F698C9" w14:textId="77777777" w:rsidR="00724C44" w:rsidRPr="00145F3F" w:rsidRDefault="00724C44" w:rsidP="00145F3F">
            <w:pPr>
              <w:spacing w:after="0" w:line="240" w:lineRule="auto"/>
              <w:jc w:val="both"/>
              <w:rPr>
                <w:sz w:val="22"/>
                <w:szCs w:val="22"/>
              </w:rPr>
            </w:pPr>
            <w:r w:rsidRPr="00145F3F">
              <w:rPr>
                <w:sz w:val="22"/>
                <w:szCs w:val="22"/>
              </w:rPr>
              <w:t>0.63</w:t>
            </w:r>
          </w:p>
        </w:tc>
        <w:tc>
          <w:tcPr>
            <w:tcW w:w="1728" w:type="dxa"/>
            <w:tcBorders>
              <w:top w:val="nil"/>
              <w:left w:val="nil"/>
              <w:bottom w:val="single" w:sz="4" w:space="0" w:color="000000"/>
              <w:right w:val="nil"/>
            </w:tcBorders>
          </w:tcPr>
          <w:p w14:paraId="2D5025D8" w14:textId="77777777" w:rsidR="00724C44" w:rsidRPr="00145F3F" w:rsidRDefault="00724C44" w:rsidP="00145F3F">
            <w:pPr>
              <w:spacing w:after="0" w:line="240" w:lineRule="auto"/>
              <w:jc w:val="both"/>
              <w:rPr>
                <w:sz w:val="22"/>
                <w:szCs w:val="22"/>
              </w:rPr>
            </w:pPr>
            <w:r w:rsidRPr="00145F3F">
              <w:rPr>
                <w:sz w:val="22"/>
                <w:szCs w:val="22"/>
              </w:rPr>
              <w:t>Moderate-High</w:t>
            </w:r>
          </w:p>
        </w:tc>
      </w:tr>
    </w:tbl>
    <w:p w14:paraId="0B9287AF" w14:textId="77777777" w:rsidR="00724C44" w:rsidRPr="00145F3F" w:rsidRDefault="00724C44" w:rsidP="00724C44">
      <w:pPr>
        <w:spacing w:line="240" w:lineRule="auto"/>
        <w:jc w:val="both"/>
        <w:rPr>
          <w:sz w:val="22"/>
          <w:szCs w:val="22"/>
        </w:rPr>
      </w:pPr>
      <w:r w:rsidRPr="00145F3F">
        <w:rPr>
          <w:i/>
          <w:sz w:val="22"/>
          <w:szCs w:val="22"/>
        </w:rPr>
        <w:t xml:space="preserve">Note. </w:t>
      </w:r>
      <w:r w:rsidRPr="00145F3F">
        <w:rPr>
          <w:sz w:val="22"/>
          <w:szCs w:val="22"/>
        </w:rPr>
        <w:t>Scale: 1 = Strongly Disagree, 7 = Strongly Agree.</w:t>
      </w:r>
    </w:p>
    <w:p w14:paraId="0F6C023E" w14:textId="77777777" w:rsidR="00724C44" w:rsidRPr="00724C44" w:rsidRDefault="00724C44" w:rsidP="00724C44">
      <w:pPr>
        <w:spacing w:line="240" w:lineRule="auto"/>
        <w:jc w:val="both"/>
      </w:pPr>
      <w:r w:rsidRPr="00724C44">
        <w:rPr>
          <w:b/>
        </w:rPr>
        <w:t>4.7.3 Quality Assurance (E3)</w:t>
      </w:r>
    </w:p>
    <w:p w14:paraId="3D9ECACF" w14:textId="4FDF15FA" w:rsidR="00724C44" w:rsidRPr="00724C44" w:rsidRDefault="00724C44" w:rsidP="00724C44">
      <w:pPr>
        <w:spacing w:line="240" w:lineRule="auto"/>
        <w:jc w:val="both"/>
      </w:pPr>
      <w:r w:rsidRPr="00724C44">
        <w:t>Quality assurance measures the controls ensuring data integrity across the AI</w:t>
      </w:r>
      <w:r w:rsidR="00C313FF">
        <w:t xml:space="preserve"> </w:t>
      </w:r>
      <w:r w:rsidRPr="00724C44">
        <w:t>disclosure pipeline. Table 4.25 presents the descriptive statistics for these five items.</w:t>
      </w:r>
    </w:p>
    <w:p w14:paraId="0FD72937" w14:textId="77777777" w:rsidR="00724C44" w:rsidRPr="00724C44" w:rsidRDefault="00724C44" w:rsidP="00724C44">
      <w:pPr>
        <w:spacing w:line="240" w:lineRule="auto"/>
        <w:jc w:val="both"/>
      </w:pPr>
      <w:r w:rsidRPr="00724C44">
        <w:rPr>
          <w:b/>
        </w:rPr>
        <w:t>Table 4.25</w:t>
      </w:r>
    </w:p>
    <w:p w14:paraId="4C54D76E" w14:textId="77777777" w:rsidR="00724C44" w:rsidRPr="00724C44" w:rsidRDefault="00724C44" w:rsidP="00724C44">
      <w:pPr>
        <w:spacing w:line="240" w:lineRule="auto"/>
        <w:jc w:val="both"/>
      </w:pPr>
      <w:r w:rsidRPr="00724C44">
        <w:rPr>
          <w:i/>
        </w:rPr>
        <w:t>Quality Assurance – Descriptive Statistics (n = 400)</w:t>
      </w:r>
    </w:p>
    <w:tbl>
      <w:tblPr>
        <w:tblW w:w="0" w:type="auto"/>
        <w:tblLayout w:type="fixed"/>
        <w:tblLook w:val="04A0" w:firstRow="1" w:lastRow="0" w:firstColumn="1" w:lastColumn="0" w:noHBand="0" w:noVBand="1"/>
      </w:tblPr>
      <w:tblGrid>
        <w:gridCol w:w="1008"/>
        <w:gridCol w:w="4752"/>
        <w:gridCol w:w="864"/>
        <w:gridCol w:w="864"/>
        <w:gridCol w:w="1728"/>
      </w:tblGrid>
      <w:tr w:rsidR="00724C44" w:rsidRPr="00724C44" w14:paraId="7BCA6C28" w14:textId="77777777" w:rsidTr="00A5379F">
        <w:tc>
          <w:tcPr>
            <w:tcW w:w="1008" w:type="dxa"/>
            <w:tcBorders>
              <w:top w:val="single" w:sz="4" w:space="0" w:color="000000"/>
              <w:left w:val="nil"/>
              <w:bottom w:val="single" w:sz="4" w:space="0" w:color="000000"/>
              <w:right w:val="nil"/>
            </w:tcBorders>
          </w:tcPr>
          <w:p w14:paraId="6DD9767E" w14:textId="77777777" w:rsidR="00724C44" w:rsidRPr="00393FE3" w:rsidRDefault="00724C44" w:rsidP="00393FE3">
            <w:pPr>
              <w:spacing w:after="0" w:line="240" w:lineRule="auto"/>
              <w:jc w:val="both"/>
              <w:rPr>
                <w:sz w:val="22"/>
                <w:szCs w:val="22"/>
              </w:rPr>
            </w:pPr>
            <w:r w:rsidRPr="00393FE3">
              <w:rPr>
                <w:b/>
                <w:sz w:val="22"/>
                <w:szCs w:val="22"/>
              </w:rPr>
              <w:t>Item</w:t>
            </w:r>
          </w:p>
        </w:tc>
        <w:tc>
          <w:tcPr>
            <w:tcW w:w="4752" w:type="dxa"/>
            <w:tcBorders>
              <w:top w:val="single" w:sz="4" w:space="0" w:color="000000"/>
              <w:left w:val="nil"/>
              <w:bottom w:val="single" w:sz="4" w:space="0" w:color="000000"/>
              <w:right w:val="nil"/>
            </w:tcBorders>
          </w:tcPr>
          <w:p w14:paraId="4AA3B051" w14:textId="77777777" w:rsidR="00724C44" w:rsidRPr="00393FE3" w:rsidRDefault="00724C44" w:rsidP="00393FE3">
            <w:pPr>
              <w:spacing w:after="0" w:line="240" w:lineRule="auto"/>
              <w:jc w:val="both"/>
              <w:rPr>
                <w:sz w:val="22"/>
                <w:szCs w:val="22"/>
              </w:rPr>
            </w:pPr>
            <w:r w:rsidRPr="00393FE3">
              <w:rPr>
                <w:b/>
                <w:sz w:val="22"/>
                <w:szCs w:val="22"/>
              </w:rPr>
              <w:t>Statement</w:t>
            </w:r>
          </w:p>
        </w:tc>
        <w:tc>
          <w:tcPr>
            <w:tcW w:w="864" w:type="dxa"/>
            <w:tcBorders>
              <w:top w:val="single" w:sz="4" w:space="0" w:color="000000"/>
              <w:left w:val="nil"/>
              <w:bottom w:val="single" w:sz="4" w:space="0" w:color="000000"/>
              <w:right w:val="nil"/>
            </w:tcBorders>
          </w:tcPr>
          <w:p w14:paraId="04AFE6AD" w14:textId="77777777" w:rsidR="00724C44" w:rsidRPr="00393FE3" w:rsidRDefault="00724C44" w:rsidP="00393FE3">
            <w:pPr>
              <w:spacing w:after="0" w:line="240" w:lineRule="auto"/>
              <w:jc w:val="both"/>
              <w:rPr>
                <w:sz w:val="22"/>
                <w:szCs w:val="22"/>
              </w:rPr>
            </w:pPr>
            <w:r w:rsidRPr="00393FE3">
              <w:rPr>
                <w:b/>
                <w:sz w:val="22"/>
                <w:szCs w:val="22"/>
              </w:rPr>
              <w:t>M</w:t>
            </w:r>
          </w:p>
        </w:tc>
        <w:tc>
          <w:tcPr>
            <w:tcW w:w="864" w:type="dxa"/>
            <w:tcBorders>
              <w:top w:val="single" w:sz="4" w:space="0" w:color="000000"/>
              <w:left w:val="nil"/>
              <w:bottom w:val="single" w:sz="4" w:space="0" w:color="000000"/>
              <w:right w:val="nil"/>
            </w:tcBorders>
          </w:tcPr>
          <w:p w14:paraId="6B3126C1" w14:textId="77777777" w:rsidR="00724C44" w:rsidRPr="00393FE3" w:rsidRDefault="00724C44" w:rsidP="00393FE3">
            <w:pPr>
              <w:spacing w:after="0" w:line="240" w:lineRule="auto"/>
              <w:jc w:val="both"/>
              <w:rPr>
                <w:sz w:val="22"/>
                <w:szCs w:val="22"/>
              </w:rPr>
            </w:pPr>
            <w:r w:rsidRPr="00393FE3">
              <w:rPr>
                <w:b/>
                <w:sz w:val="22"/>
                <w:szCs w:val="22"/>
              </w:rPr>
              <w:t>SD</w:t>
            </w:r>
          </w:p>
        </w:tc>
        <w:tc>
          <w:tcPr>
            <w:tcW w:w="1728" w:type="dxa"/>
            <w:tcBorders>
              <w:top w:val="single" w:sz="4" w:space="0" w:color="000000"/>
              <w:left w:val="nil"/>
              <w:bottom w:val="single" w:sz="4" w:space="0" w:color="000000"/>
              <w:right w:val="nil"/>
            </w:tcBorders>
          </w:tcPr>
          <w:p w14:paraId="57A8A4E3" w14:textId="77777777" w:rsidR="00724C44" w:rsidRPr="00393FE3" w:rsidRDefault="00724C44" w:rsidP="00393FE3">
            <w:pPr>
              <w:spacing w:after="0" w:line="240" w:lineRule="auto"/>
              <w:jc w:val="both"/>
              <w:rPr>
                <w:sz w:val="22"/>
                <w:szCs w:val="22"/>
              </w:rPr>
            </w:pPr>
            <w:r w:rsidRPr="00393FE3">
              <w:rPr>
                <w:b/>
                <w:sz w:val="22"/>
                <w:szCs w:val="22"/>
              </w:rPr>
              <w:t>Interpretation</w:t>
            </w:r>
          </w:p>
        </w:tc>
      </w:tr>
      <w:tr w:rsidR="00724C44" w:rsidRPr="00724C44" w14:paraId="39E4D8FB" w14:textId="77777777" w:rsidTr="00A5379F">
        <w:tc>
          <w:tcPr>
            <w:tcW w:w="1008" w:type="dxa"/>
            <w:tcBorders>
              <w:top w:val="nil"/>
              <w:left w:val="nil"/>
              <w:bottom w:val="nil"/>
              <w:right w:val="nil"/>
            </w:tcBorders>
          </w:tcPr>
          <w:p w14:paraId="1FA4369D" w14:textId="77777777" w:rsidR="00724C44" w:rsidRPr="00393FE3" w:rsidRDefault="00724C44" w:rsidP="00393FE3">
            <w:pPr>
              <w:spacing w:after="0" w:line="240" w:lineRule="auto"/>
              <w:jc w:val="both"/>
              <w:rPr>
                <w:sz w:val="22"/>
                <w:szCs w:val="22"/>
              </w:rPr>
            </w:pPr>
            <w:r w:rsidRPr="00393FE3">
              <w:rPr>
                <w:sz w:val="22"/>
                <w:szCs w:val="22"/>
              </w:rPr>
              <w:t>E3.1</w:t>
            </w:r>
          </w:p>
        </w:tc>
        <w:tc>
          <w:tcPr>
            <w:tcW w:w="4752" w:type="dxa"/>
            <w:tcBorders>
              <w:top w:val="nil"/>
              <w:left w:val="nil"/>
              <w:bottom w:val="nil"/>
              <w:right w:val="nil"/>
            </w:tcBorders>
          </w:tcPr>
          <w:p w14:paraId="79CFF714" w14:textId="77777777" w:rsidR="00724C44" w:rsidRPr="00393FE3" w:rsidRDefault="00724C44" w:rsidP="00393FE3">
            <w:pPr>
              <w:spacing w:after="0" w:line="240" w:lineRule="auto"/>
              <w:jc w:val="both"/>
              <w:rPr>
                <w:sz w:val="22"/>
                <w:szCs w:val="22"/>
              </w:rPr>
            </w:pPr>
            <w:r w:rsidRPr="00393FE3">
              <w:rPr>
                <w:sz w:val="22"/>
                <w:szCs w:val="22"/>
              </w:rPr>
              <w:t>Regular data quality audits are conducted</w:t>
            </w:r>
          </w:p>
        </w:tc>
        <w:tc>
          <w:tcPr>
            <w:tcW w:w="864" w:type="dxa"/>
            <w:tcBorders>
              <w:top w:val="nil"/>
              <w:left w:val="nil"/>
              <w:bottom w:val="nil"/>
              <w:right w:val="nil"/>
            </w:tcBorders>
          </w:tcPr>
          <w:p w14:paraId="3A46B67F" w14:textId="77777777" w:rsidR="00724C44" w:rsidRPr="00393FE3" w:rsidRDefault="00724C44" w:rsidP="00393FE3">
            <w:pPr>
              <w:spacing w:after="0" w:line="240" w:lineRule="auto"/>
              <w:jc w:val="both"/>
              <w:rPr>
                <w:sz w:val="22"/>
                <w:szCs w:val="22"/>
              </w:rPr>
            </w:pPr>
            <w:r w:rsidRPr="00393FE3">
              <w:rPr>
                <w:sz w:val="22"/>
                <w:szCs w:val="22"/>
              </w:rPr>
              <w:t>5.36</w:t>
            </w:r>
          </w:p>
        </w:tc>
        <w:tc>
          <w:tcPr>
            <w:tcW w:w="864" w:type="dxa"/>
            <w:tcBorders>
              <w:top w:val="nil"/>
              <w:left w:val="nil"/>
              <w:bottom w:val="nil"/>
              <w:right w:val="nil"/>
            </w:tcBorders>
          </w:tcPr>
          <w:p w14:paraId="45D40645" w14:textId="77777777" w:rsidR="00724C44" w:rsidRPr="00393FE3" w:rsidRDefault="00724C44" w:rsidP="00393FE3">
            <w:pPr>
              <w:spacing w:after="0" w:line="240" w:lineRule="auto"/>
              <w:jc w:val="both"/>
              <w:rPr>
                <w:sz w:val="22"/>
                <w:szCs w:val="22"/>
              </w:rPr>
            </w:pPr>
            <w:r w:rsidRPr="00393FE3">
              <w:rPr>
                <w:sz w:val="22"/>
                <w:szCs w:val="22"/>
              </w:rPr>
              <w:t>1.55</w:t>
            </w:r>
          </w:p>
        </w:tc>
        <w:tc>
          <w:tcPr>
            <w:tcW w:w="1728" w:type="dxa"/>
            <w:tcBorders>
              <w:top w:val="nil"/>
              <w:left w:val="nil"/>
              <w:bottom w:val="nil"/>
              <w:right w:val="nil"/>
            </w:tcBorders>
          </w:tcPr>
          <w:p w14:paraId="720160A0"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43255A93" w14:textId="77777777" w:rsidTr="00A5379F">
        <w:tc>
          <w:tcPr>
            <w:tcW w:w="1008" w:type="dxa"/>
            <w:tcBorders>
              <w:top w:val="nil"/>
              <w:left w:val="nil"/>
              <w:bottom w:val="nil"/>
              <w:right w:val="nil"/>
            </w:tcBorders>
          </w:tcPr>
          <w:p w14:paraId="1B64DC98" w14:textId="77777777" w:rsidR="00724C44" w:rsidRPr="00393FE3" w:rsidRDefault="00724C44" w:rsidP="00393FE3">
            <w:pPr>
              <w:spacing w:after="0" w:line="240" w:lineRule="auto"/>
              <w:jc w:val="both"/>
              <w:rPr>
                <w:sz w:val="22"/>
                <w:szCs w:val="22"/>
              </w:rPr>
            </w:pPr>
            <w:r w:rsidRPr="00393FE3">
              <w:rPr>
                <w:sz w:val="22"/>
                <w:szCs w:val="22"/>
              </w:rPr>
              <w:t>E3.2</w:t>
            </w:r>
          </w:p>
        </w:tc>
        <w:tc>
          <w:tcPr>
            <w:tcW w:w="4752" w:type="dxa"/>
            <w:tcBorders>
              <w:top w:val="nil"/>
              <w:left w:val="nil"/>
              <w:bottom w:val="nil"/>
              <w:right w:val="nil"/>
            </w:tcBorders>
          </w:tcPr>
          <w:p w14:paraId="076F6AAB" w14:textId="77777777" w:rsidR="00724C44" w:rsidRPr="00393FE3" w:rsidRDefault="00724C44" w:rsidP="00393FE3">
            <w:pPr>
              <w:spacing w:after="0" w:line="240" w:lineRule="auto"/>
              <w:jc w:val="both"/>
              <w:rPr>
                <w:sz w:val="22"/>
                <w:szCs w:val="22"/>
              </w:rPr>
            </w:pPr>
            <w:r w:rsidRPr="00393FE3">
              <w:rPr>
                <w:sz w:val="22"/>
                <w:szCs w:val="22"/>
              </w:rPr>
              <w:t>Built-in validation checks exist</w:t>
            </w:r>
          </w:p>
        </w:tc>
        <w:tc>
          <w:tcPr>
            <w:tcW w:w="864" w:type="dxa"/>
            <w:tcBorders>
              <w:top w:val="nil"/>
              <w:left w:val="nil"/>
              <w:bottom w:val="nil"/>
              <w:right w:val="nil"/>
            </w:tcBorders>
          </w:tcPr>
          <w:p w14:paraId="585BE57B" w14:textId="77777777" w:rsidR="00724C44" w:rsidRPr="00393FE3" w:rsidRDefault="00724C44" w:rsidP="00393FE3">
            <w:pPr>
              <w:spacing w:after="0" w:line="240" w:lineRule="auto"/>
              <w:jc w:val="both"/>
              <w:rPr>
                <w:sz w:val="22"/>
                <w:szCs w:val="22"/>
              </w:rPr>
            </w:pPr>
            <w:r w:rsidRPr="00393FE3">
              <w:rPr>
                <w:sz w:val="22"/>
                <w:szCs w:val="22"/>
              </w:rPr>
              <w:t>5.36</w:t>
            </w:r>
          </w:p>
        </w:tc>
        <w:tc>
          <w:tcPr>
            <w:tcW w:w="864" w:type="dxa"/>
            <w:tcBorders>
              <w:top w:val="nil"/>
              <w:left w:val="nil"/>
              <w:bottom w:val="nil"/>
              <w:right w:val="nil"/>
            </w:tcBorders>
          </w:tcPr>
          <w:p w14:paraId="587F84D6" w14:textId="77777777" w:rsidR="00724C44" w:rsidRPr="00393FE3" w:rsidRDefault="00724C44" w:rsidP="00393FE3">
            <w:pPr>
              <w:spacing w:after="0" w:line="240" w:lineRule="auto"/>
              <w:jc w:val="both"/>
              <w:rPr>
                <w:sz w:val="22"/>
                <w:szCs w:val="22"/>
              </w:rPr>
            </w:pPr>
            <w:r w:rsidRPr="00393FE3">
              <w:rPr>
                <w:sz w:val="22"/>
                <w:szCs w:val="22"/>
              </w:rPr>
              <w:t>1.58</w:t>
            </w:r>
          </w:p>
        </w:tc>
        <w:tc>
          <w:tcPr>
            <w:tcW w:w="1728" w:type="dxa"/>
            <w:tcBorders>
              <w:top w:val="nil"/>
              <w:left w:val="nil"/>
              <w:bottom w:val="nil"/>
              <w:right w:val="nil"/>
            </w:tcBorders>
          </w:tcPr>
          <w:p w14:paraId="2F17E7D3"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7D20CD2B" w14:textId="77777777" w:rsidTr="00A5379F">
        <w:tc>
          <w:tcPr>
            <w:tcW w:w="1008" w:type="dxa"/>
            <w:tcBorders>
              <w:top w:val="nil"/>
              <w:left w:val="nil"/>
              <w:bottom w:val="nil"/>
              <w:right w:val="nil"/>
            </w:tcBorders>
          </w:tcPr>
          <w:p w14:paraId="0B1099D7" w14:textId="77777777" w:rsidR="00724C44" w:rsidRPr="00393FE3" w:rsidRDefault="00724C44" w:rsidP="00393FE3">
            <w:pPr>
              <w:spacing w:after="0" w:line="240" w:lineRule="auto"/>
              <w:jc w:val="both"/>
              <w:rPr>
                <w:sz w:val="22"/>
                <w:szCs w:val="22"/>
              </w:rPr>
            </w:pPr>
            <w:r w:rsidRPr="00393FE3">
              <w:rPr>
                <w:sz w:val="22"/>
                <w:szCs w:val="22"/>
              </w:rPr>
              <w:t>E3.3</w:t>
            </w:r>
          </w:p>
        </w:tc>
        <w:tc>
          <w:tcPr>
            <w:tcW w:w="4752" w:type="dxa"/>
            <w:tcBorders>
              <w:top w:val="nil"/>
              <w:left w:val="nil"/>
              <w:bottom w:val="nil"/>
              <w:right w:val="nil"/>
            </w:tcBorders>
          </w:tcPr>
          <w:p w14:paraId="16EA77D1" w14:textId="77777777" w:rsidR="00724C44" w:rsidRPr="00393FE3" w:rsidRDefault="00724C44" w:rsidP="00393FE3">
            <w:pPr>
              <w:spacing w:after="0" w:line="240" w:lineRule="auto"/>
              <w:jc w:val="both"/>
              <w:rPr>
                <w:sz w:val="22"/>
                <w:szCs w:val="22"/>
              </w:rPr>
            </w:pPr>
            <w:r w:rsidRPr="00393FE3">
              <w:rPr>
                <w:sz w:val="22"/>
                <w:szCs w:val="22"/>
              </w:rPr>
              <w:t>Exception handling protocols are defined</w:t>
            </w:r>
          </w:p>
        </w:tc>
        <w:tc>
          <w:tcPr>
            <w:tcW w:w="864" w:type="dxa"/>
            <w:tcBorders>
              <w:top w:val="nil"/>
              <w:left w:val="nil"/>
              <w:bottom w:val="nil"/>
              <w:right w:val="nil"/>
            </w:tcBorders>
          </w:tcPr>
          <w:p w14:paraId="3C0354EF" w14:textId="77777777" w:rsidR="00724C44" w:rsidRPr="00393FE3" w:rsidRDefault="00724C44" w:rsidP="00393FE3">
            <w:pPr>
              <w:spacing w:after="0" w:line="240" w:lineRule="auto"/>
              <w:jc w:val="both"/>
              <w:rPr>
                <w:sz w:val="22"/>
                <w:szCs w:val="22"/>
              </w:rPr>
            </w:pPr>
            <w:r w:rsidRPr="00393FE3">
              <w:rPr>
                <w:sz w:val="22"/>
                <w:szCs w:val="22"/>
              </w:rPr>
              <w:t>5.25</w:t>
            </w:r>
          </w:p>
        </w:tc>
        <w:tc>
          <w:tcPr>
            <w:tcW w:w="864" w:type="dxa"/>
            <w:tcBorders>
              <w:top w:val="nil"/>
              <w:left w:val="nil"/>
              <w:bottom w:val="nil"/>
              <w:right w:val="nil"/>
            </w:tcBorders>
          </w:tcPr>
          <w:p w14:paraId="66DE1DA7" w14:textId="77777777" w:rsidR="00724C44" w:rsidRPr="00393FE3" w:rsidRDefault="00724C44" w:rsidP="00393FE3">
            <w:pPr>
              <w:spacing w:after="0" w:line="240" w:lineRule="auto"/>
              <w:jc w:val="both"/>
              <w:rPr>
                <w:sz w:val="22"/>
                <w:szCs w:val="22"/>
              </w:rPr>
            </w:pPr>
            <w:r w:rsidRPr="00393FE3">
              <w:rPr>
                <w:sz w:val="22"/>
                <w:szCs w:val="22"/>
              </w:rPr>
              <w:t>1.53</w:t>
            </w:r>
          </w:p>
        </w:tc>
        <w:tc>
          <w:tcPr>
            <w:tcW w:w="1728" w:type="dxa"/>
            <w:tcBorders>
              <w:top w:val="nil"/>
              <w:left w:val="nil"/>
              <w:bottom w:val="nil"/>
              <w:right w:val="nil"/>
            </w:tcBorders>
          </w:tcPr>
          <w:p w14:paraId="72247EC9"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6699769D" w14:textId="77777777" w:rsidTr="00A5379F">
        <w:tc>
          <w:tcPr>
            <w:tcW w:w="1008" w:type="dxa"/>
            <w:tcBorders>
              <w:top w:val="nil"/>
              <w:left w:val="nil"/>
              <w:bottom w:val="nil"/>
              <w:right w:val="nil"/>
            </w:tcBorders>
          </w:tcPr>
          <w:p w14:paraId="6E6BD70A" w14:textId="77777777" w:rsidR="00724C44" w:rsidRPr="00393FE3" w:rsidRDefault="00724C44" w:rsidP="00393FE3">
            <w:pPr>
              <w:spacing w:after="0" w:line="240" w:lineRule="auto"/>
              <w:jc w:val="both"/>
              <w:rPr>
                <w:sz w:val="22"/>
                <w:szCs w:val="22"/>
              </w:rPr>
            </w:pPr>
            <w:r w:rsidRPr="00393FE3">
              <w:rPr>
                <w:sz w:val="22"/>
                <w:szCs w:val="22"/>
              </w:rPr>
              <w:t>E3.4</w:t>
            </w:r>
          </w:p>
        </w:tc>
        <w:tc>
          <w:tcPr>
            <w:tcW w:w="4752" w:type="dxa"/>
            <w:tcBorders>
              <w:top w:val="nil"/>
              <w:left w:val="nil"/>
              <w:bottom w:val="nil"/>
              <w:right w:val="nil"/>
            </w:tcBorders>
          </w:tcPr>
          <w:p w14:paraId="3A25948B" w14:textId="77777777" w:rsidR="00724C44" w:rsidRPr="00393FE3" w:rsidRDefault="00724C44" w:rsidP="00393FE3">
            <w:pPr>
              <w:spacing w:after="0" w:line="240" w:lineRule="auto"/>
              <w:jc w:val="both"/>
              <w:rPr>
                <w:sz w:val="22"/>
                <w:szCs w:val="22"/>
              </w:rPr>
            </w:pPr>
            <w:r w:rsidRPr="00393FE3">
              <w:rPr>
                <w:sz w:val="22"/>
                <w:szCs w:val="22"/>
              </w:rPr>
              <w:t>Quality metrics are tracked</w:t>
            </w:r>
          </w:p>
        </w:tc>
        <w:tc>
          <w:tcPr>
            <w:tcW w:w="864" w:type="dxa"/>
            <w:tcBorders>
              <w:top w:val="nil"/>
              <w:left w:val="nil"/>
              <w:bottom w:val="nil"/>
              <w:right w:val="nil"/>
            </w:tcBorders>
          </w:tcPr>
          <w:p w14:paraId="4EC0605A" w14:textId="77777777" w:rsidR="00724C44" w:rsidRPr="00393FE3" w:rsidRDefault="00724C44" w:rsidP="00393FE3">
            <w:pPr>
              <w:spacing w:after="0" w:line="240" w:lineRule="auto"/>
              <w:jc w:val="both"/>
              <w:rPr>
                <w:sz w:val="22"/>
                <w:szCs w:val="22"/>
              </w:rPr>
            </w:pPr>
            <w:r w:rsidRPr="00393FE3">
              <w:rPr>
                <w:sz w:val="22"/>
                <w:szCs w:val="22"/>
              </w:rPr>
              <w:t>5.34</w:t>
            </w:r>
          </w:p>
        </w:tc>
        <w:tc>
          <w:tcPr>
            <w:tcW w:w="864" w:type="dxa"/>
            <w:tcBorders>
              <w:top w:val="nil"/>
              <w:left w:val="nil"/>
              <w:bottom w:val="nil"/>
              <w:right w:val="nil"/>
            </w:tcBorders>
          </w:tcPr>
          <w:p w14:paraId="453D3DF4" w14:textId="77777777" w:rsidR="00724C44" w:rsidRPr="00393FE3" w:rsidRDefault="00724C44" w:rsidP="00393FE3">
            <w:pPr>
              <w:spacing w:after="0" w:line="240" w:lineRule="auto"/>
              <w:jc w:val="both"/>
              <w:rPr>
                <w:sz w:val="22"/>
                <w:szCs w:val="22"/>
              </w:rPr>
            </w:pPr>
            <w:r w:rsidRPr="00393FE3">
              <w:rPr>
                <w:sz w:val="22"/>
                <w:szCs w:val="22"/>
              </w:rPr>
              <w:t>1.53</w:t>
            </w:r>
          </w:p>
        </w:tc>
        <w:tc>
          <w:tcPr>
            <w:tcW w:w="1728" w:type="dxa"/>
            <w:tcBorders>
              <w:top w:val="nil"/>
              <w:left w:val="nil"/>
              <w:bottom w:val="nil"/>
              <w:right w:val="nil"/>
            </w:tcBorders>
          </w:tcPr>
          <w:p w14:paraId="597E8AA3"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181B8692" w14:textId="77777777" w:rsidTr="00A5379F">
        <w:tc>
          <w:tcPr>
            <w:tcW w:w="1008" w:type="dxa"/>
            <w:tcBorders>
              <w:top w:val="nil"/>
              <w:left w:val="nil"/>
              <w:bottom w:val="nil"/>
              <w:right w:val="nil"/>
            </w:tcBorders>
          </w:tcPr>
          <w:p w14:paraId="2868585A" w14:textId="77777777" w:rsidR="00724C44" w:rsidRPr="00393FE3" w:rsidRDefault="00724C44" w:rsidP="00393FE3">
            <w:pPr>
              <w:spacing w:after="0" w:line="240" w:lineRule="auto"/>
              <w:jc w:val="both"/>
              <w:rPr>
                <w:sz w:val="22"/>
                <w:szCs w:val="22"/>
              </w:rPr>
            </w:pPr>
            <w:r w:rsidRPr="00393FE3">
              <w:rPr>
                <w:sz w:val="22"/>
                <w:szCs w:val="22"/>
              </w:rPr>
              <w:t>E3.5</w:t>
            </w:r>
          </w:p>
        </w:tc>
        <w:tc>
          <w:tcPr>
            <w:tcW w:w="4752" w:type="dxa"/>
            <w:tcBorders>
              <w:top w:val="nil"/>
              <w:left w:val="nil"/>
              <w:bottom w:val="nil"/>
              <w:right w:val="nil"/>
            </w:tcBorders>
          </w:tcPr>
          <w:p w14:paraId="46123D13" w14:textId="77777777" w:rsidR="00724C44" w:rsidRPr="00393FE3" w:rsidRDefault="00724C44" w:rsidP="00393FE3">
            <w:pPr>
              <w:spacing w:after="0" w:line="240" w:lineRule="auto"/>
              <w:jc w:val="both"/>
              <w:rPr>
                <w:sz w:val="22"/>
                <w:szCs w:val="22"/>
              </w:rPr>
            </w:pPr>
            <w:r w:rsidRPr="00393FE3">
              <w:rPr>
                <w:sz w:val="22"/>
                <w:szCs w:val="22"/>
              </w:rPr>
              <w:t>Continuous improvement processes exist</w:t>
            </w:r>
          </w:p>
        </w:tc>
        <w:tc>
          <w:tcPr>
            <w:tcW w:w="864" w:type="dxa"/>
            <w:tcBorders>
              <w:top w:val="nil"/>
              <w:left w:val="nil"/>
              <w:bottom w:val="nil"/>
              <w:right w:val="nil"/>
            </w:tcBorders>
          </w:tcPr>
          <w:p w14:paraId="44BDED93" w14:textId="77777777" w:rsidR="00724C44" w:rsidRPr="00393FE3" w:rsidRDefault="00724C44" w:rsidP="00393FE3">
            <w:pPr>
              <w:spacing w:after="0" w:line="240" w:lineRule="auto"/>
              <w:jc w:val="both"/>
              <w:rPr>
                <w:sz w:val="22"/>
                <w:szCs w:val="22"/>
              </w:rPr>
            </w:pPr>
            <w:r w:rsidRPr="00393FE3">
              <w:rPr>
                <w:sz w:val="22"/>
                <w:szCs w:val="22"/>
              </w:rPr>
              <w:t>5.37</w:t>
            </w:r>
          </w:p>
        </w:tc>
        <w:tc>
          <w:tcPr>
            <w:tcW w:w="864" w:type="dxa"/>
            <w:tcBorders>
              <w:top w:val="nil"/>
              <w:left w:val="nil"/>
              <w:bottom w:val="nil"/>
              <w:right w:val="nil"/>
            </w:tcBorders>
          </w:tcPr>
          <w:p w14:paraId="454FFAEA" w14:textId="77777777" w:rsidR="00724C44" w:rsidRPr="00393FE3" w:rsidRDefault="00724C44" w:rsidP="00393FE3">
            <w:pPr>
              <w:spacing w:after="0" w:line="240" w:lineRule="auto"/>
              <w:jc w:val="both"/>
              <w:rPr>
                <w:sz w:val="22"/>
                <w:szCs w:val="22"/>
              </w:rPr>
            </w:pPr>
            <w:r w:rsidRPr="00393FE3">
              <w:rPr>
                <w:sz w:val="22"/>
                <w:szCs w:val="22"/>
              </w:rPr>
              <w:t>1.40</w:t>
            </w:r>
          </w:p>
        </w:tc>
        <w:tc>
          <w:tcPr>
            <w:tcW w:w="1728" w:type="dxa"/>
            <w:tcBorders>
              <w:top w:val="nil"/>
              <w:left w:val="nil"/>
              <w:bottom w:val="nil"/>
              <w:right w:val="nil"/>
            </w:tcBorders>
          </w:tcPr>
          <w:p w14:paraId="2859CD08"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5D4D8998" w14:textId="77777777" w:rsidTr="00A5379F">
        <w:tc>
          <w:tcPr>
            <w:tcW w:w="1008" w:type="dxa"/>
            <w:tcBorders>
              <w:top w:val="nil"/>
              <w:left w:val="nil"/>
              <w:bottom w:val="single" w:sz="4" w:space="0" w:color="000000"/>
              <w:right w:val="nil"/>
            </w:tcBorders>
          </w:tcPr>
          <w:p w14:paraId="730660A2" w14:textId="77777777" w:rsidR="00724C44" w:rsidRPr="00393FE3" w:rsidRDefault="00724C44" w:rsidP="00393FE3">
            <w:pPr>
              <w:spacing w:after="0" w:line="240" w:lineRule="auto"/>
              <w:jc w:val="both"/>
              <w:rPr>
                <w:sz w:val="22"/>
                <w:szCs w:val="22"/>
              </w:rPr>
            </w:pPr>
          </w:p>
        </w:tc>
        <w:tc>
          <w:tcPr>
            <w:tcW w:w="4752" w:type="dxa"/>
            <w:tcBorders>
              <w:top w:val="nil"/>
              <w:left w:val="nil"/>
              <w:bottom w:val="single" w:sz="4" w:space="0" w:color="000000"/>
              <w:right w:val="nil"/>
            </w:tcBorders>
          </w:tcPr>
          <w:p w14:paraId="56B61FA3" w14:textId="77777777" w:rsidR="00724C44" w:rsidRPr="00393FE3" w:rsidRDefault="00724C44" w:rsidP="00393FE3">
            <w:pPr>
              <w:spacing w:after="0" w:line="240" w:lineRule="auto"/>
              <w:jc w:val="both"/>
              <w:rPr>
                <w:sz w:val="22"/>
                <w:szCs w:val="22"/>
              </w:rPr>
            </w:pPr>
            <w:r w:rsidRPr="00393FE3">
              <w:rPr>
                <w:sz w:val="22"/>
                <w:szCs w:val="22"/>
              </w:rPr>
              <w:t>Construct Mean (E3)</w:t>
            </w:r>
          </w:p>
        </w:tc>
        <w:tc>
          <w:tcPr>
            <w:tcW w:w="864" w:type="dxa"/>
            <w:tcBorders>
              <w:top w:val="nil"/>
              <w:left w:val="nil"/>
              <w:bottom w:val="single" w:sz="4" w:space="0" w:color="000000"/>
              <w:right w:val="nil"/>
            </w:tcBorders>
          </w:tcPr>
          <w:p w14:paraId="23E88290" w14:textId="77777777" w:rsidR="00724C44" w:rsidRPr="00393FE3" w:rsidRDefault="00724C44" w:rsidP="00393FE3">
            <w:pPr>
              <w:spacing w:after="0" w:line="240" w:lineRule="auto"/>
              <w:jc w:val="both"/>
              <w:rPr>
                <w:sz w:val="22"/>
                <w:szCs w:val="22"/>
              </w:rPr>
            </w:pPr>
            <w:r w:rsidRPr="00393FE3">
              <w:rPr>
                <w:sz w:val="22"/>
                <w:szCs w:val="22"/>
              </w:rPr>
              <w:t>5.33</w:t>
            </w:r>
          </w:p>
        </w:tc>
        <w:tc>
          <w:tcPr>
            <w:tcW w:w="864" w:type="dxa"/>
            <w:tcBorders>
              <w:top w:val="nil"/>
              <w:left w:val="nil"/>
              <w:bottom w:val="single" w:sz="4" w:space="0" w:color="000000"/>
              <w:right w:val="nil"/>
            </w:tcBorders>
          </w:tcPr>
          <w:p w14:paraId="29E599B1" w14:textId="77777777" w:rsidR="00724C44" w:rsidRPr="00393FE3" w:rsidRDefault="00724C44" w:rsidP="00393FE3">
            <w:pPr>
              <w:spacing w:after="0" w:line="240" w:lineRule="auto"/>
              <w:jc w:val="both"/>
              <w:rPr>
                <w:sz w:val="22"/>
                <w:szCs w:val="22"/>
              </w:rPr>
            </w:pPr>
            <w:r w:rsidRPr="00393FE3">
              <w:rPr>
                <w:sz w:val="22"/>
                <w:szCs w:val="22"/>
              </w:rPr>
              <w:t>0.82</w:t>
            </w:r>
          </w:p>
        </w:tc>
        <w:tc>
          <w:tcPr>
            <w:tcW w:w="1728" w:type="dxa"/>
            <w:tcBorders>
              <w:top w:val="nil"/>
              <w:left w:val="nil"/>
              <w:bottom w:val="single" w:sz="4" w:space="0" w:color="000000"/>
              <w:right w:val="nil"/>
            </w:tcBorders>
          </w:tcPr>
          <w:p w14:paraId="6845EACC" w14:textId="77777777" w:rsidR="00724C44" w:rsidRPr="00393FE3" w:rsidRDefault="00724C44" w:rsidP="00393FE3">
            <w:pPr>
              <w:spacing w:after="0" w:line="240" w:lineRule="auto"/>
              <w:jc w:val="both"/>
              <w:rPr>
                <w:sz w:val="22"/>
                <w:szCs w:val="22"/>
              </w:rPr>
            </w:pPr>
            <w:r w:rsidRPr="00393FE3">
              <w:rPr>
                <w:sz w:val="22"/>
                <w:szCs w:val="22"/>
              </w:rPr>
              <w:t>High</w:t>
            </w:r>
          </w:p>
        </w:tc>
      </w:tr>
    </w:tbl>
    <w:p w14:paraId="02A4853B" w14:textId="77777777" w:rsidR="00724C44" w:rsidRPr="00393FE3" w:rsidRDefault="00724C44" w:rsidP="00724C44">
      <w:pPr>
        <w:spacing w:line="240" w:lineRule="auto"/>
        <w:jc w:val="both"/>
        <w:rPr>
          <w:sz w:val="22"/>
          <w:szCs w:val="22"/>
        </w:rPr>
      </w:pPr>
      <w:r w:rsidRPr="00393FE3">
        <w:rPr>
          <w:i/>
          <w:sz w:val="22"/>
          <w:szCs w:val="22"/>
        </w:rPr>
        <w:t xml:space="preserve">Note. </w:t>
      </w:r>
      <w:r w:rsidRPr="00393FE3">
        <w:rPr>
          <w:sz w:val="22"/>
          <w:szCs w:val="22"/>
        </w:rPr>
        <w:t>Scale: 1 = Strongly Disagree, 7 = Strongly Agree.</w:t>
      </w:r>
    </w:p>
    <w:p w14:paraId="7C97E951" w14:textId="77777777" w:rsidR="00724C44" w:rsidRPr="00724C44" w:rsidRDefault="00724C44" w:rsidP="00724C44">
      <w:pPr>
        <w:spacing w:line="240" w:lineRule="auto"/>
        <w:jc w:val="both"/>
      </w:pPr>
      <w:r w:rsidRPr="00724C44">
        <w:rPr>
          <w:b/>
        </w:rPr>
        <w:t>4.7.4 Governance (E4)</w:t>
      </w:r>
    </w:p>
    <w:p w14:paraId="6ADED42B" w14:textId="77777777" w:rsidR="00724C44" w:rsidRPr="00724C44" w:rsidRDefault="00724C44" w:rsidP="00724C44">
      <w:pPr>
        <w:spacing w:line="240" w:lineRule="auto"/>
        <w:jc w:val="both"/>
      </w:pPr>
      <w:r w:rsidRPr="00724C44">
        <w:t>Governance measures the formal accountability structures supporting AI-enabled disclosure. Table 4.26 presents the descriptive statistics for these five items.</w:t>
      </w:r>
    </w:p>
    <w:p w14:paraId="017E5D40" w14:textId="77777777" w:rsidR="00724C44" w:rsidRPr="00724C44" w:rsidRDefault="00724C44" w:rsidP="00724C44">
      <w:pPr>
        <w:spacing w:line="240" w:lineRule="auto"/>
        <w:jc w:val="both"/>
      </w:pPr>
      <w:r w:rsidRPr="00724C44">
        <w:rPr>
          <w:b/>
        </w:rPr>
        <w:t>Table 4.26</w:t>
      </w:r>
    </w:p>
    <w:p w14:paraId="67CC1BD1" w14:textId="77777777" w:rsidR="00724C44" w:rsidRPr="00724C44" w:rsidRDefault="00724C44" w:rsidP="00724C44">
      <w:pPr>
        <w:spacing w:line="240" w:lineRule="auto"/>
        <w:jc w:val="both"/>
      </w:pPr>
      <w:r w:rsidRPr="00724C44">
        <w:rPr>
          <w:i/>
        </w:rPr>
        <w:t>Governance – Descriptive Statistics (n = 400)</w:t>
      </w:r>
    </w:p>
    <w:tbl>
      <w:tblPr>
        <w:tblW w:w="0" w:type="auto"/>
        <w:tblLayout w:type="fixed"/>
        <w:tblLook w:val="04A0" w:firstRow="1" w:lastRow="0" w:firstColumn="1" w:lastColumn="0" w:noHBand="0" w:noVBand="1"/>
      </w:tblPr>
      <w:tblGrid>
        <w:gridCol w:w="1008"/>
        <w:gridCol w:w="4752"/>
        <w:gridCol w:w="864"/>
        <w:gridCol w:w="864"/>
        <w:gridCol w:w="1728"/>
      </w:tblGrid>
      <w:tr w:rsidR="00724C44" w:rsidRPr="00724C44" w14:paraId="794BDD9E" w14:textId="77777777" w:rsidTr="00A5379F">
        <w:tc>
          <w:tcPr>
            <w:tcW w:w="1008" w:type="dxa"/>
            <w:tcBorders>
              <w:top w:val="single" w:sz="4" w:space="0" w:color="000000"/>
              <w:left w:val="nil"/>
              <w:bottom w:val="single" w:sz="4" w:space="0" w:color="000000"/>
              <w:right w:val="nil"/>
            </w:tcBorders>
          </w:tcPr>
          <w:p w14:paraId="1C540A47" w14:textId="77777777" w:rsidR="00724C44" w:rsidRPr="00393FE3" w:rsidRDefault="00724C44" w:rsidP="00393FE3">
            <w:pPr>
              <w:spacing w:after="0" w:line="240" w:lineRule="auto"/>
              <w:jc w:val="both"/>
              <w:rPr>
                <w:sz w:val="22"/>
                <w:szCs w:val="22"/>
              </w:rPr>
            </w:pPr>
            <w:r w:rsidRPr="00393FE3">
              <w:rPr>
                <w:b/>
                <w:sz w:val="22"/>
                <w:szCs w:val="22"/>
              </w:rPr>
              <w:t>Item</w:t>
            </w:r>
          </w:p>
        </w:tc>
        <w:tc>
          <w:tcPr>
            <w:tcW w:w="4752" w:type="dxa"/>
            <w:tcBorders>
              <w:top w:val="single" w:sz="4" w:space="0" w:color="000000"/>
              <w:left w:val="nil"/>
              <w:bottom w:val="single" w:sz="4" w:space="0" w:color="000000"/>
              <w:right w:val="nil"/>
            </w:tcBorders>
          </w:tcPr>
          <w:p w14:paraId="5F1B1391" w14:textId="77777777" w:rsidR="00724C44" w:rsidRPr="00393FE3" w:rsidRDefault="00724C44" w:rsidP="00393FE3">
            <w:pPr>
              <w:spacing w:after="0" w:line="240" w:lineRule="auto"/>
              <w:jc w:val="both"/>
              <w:rPr>
                <w:sz w:val="22"/>
                <w:szCs w:val="22"/>
              </w:rPr>
            </w:pPr>
            <w:r w:rsidRPr="00393FE3">
              <w:rPr>
                <w:b/>
                <w:sz w:val="22"/>
                <w:szCs w:val="22"/>
              </w:rPr>
              <w:t>Statement</w:t>
            </w:r>
          </w:p>
        </w:tc>
        <w:tc>
          <w:tcPr>
            <w:tcW w:w="864" w:type="dxa"/>
            <w:tcBorders>
              <w:top w:val="single" w:sz="4" w:space="0" w:color="000000"/>
              <w:left w:val="nil"/>
              <w:bottom w:val="single" w:sz="4" w:space="0" w:color="000000"/>
              <w:right w:val="nil"/>
            </w:tcBorders>
          </w:tcPr>
          <w:p w14:paraId="2CCA9059" w14:textId="77777777" w:rsidR="00724C44" w:rsidRPr="00393FE3" w:rsidRDefault="00724C44" w:rsidP="00393FE3">
            <w:pPr>
              <w:spacing w:after="0" w:line="240" w:lineRule="auto"/>
              <w:jc w:val="both"/>
              <w:rPr>
                <w:sz w:val="22"/>
                <w:szCs w:val="22"/>
              </w:rPr>
            </w:pPr>
            <w:r w:rsidRPr="00393FE3">
              <w:rPr>
                <w:b/>
                <w:sz w:val="22"/>
                <w:szCs w:val="22"/>
              </w:rPr>
              <w:t>M</w:t>
            </w:r>
          </w:p>
        </w:tc>
        <w:tc>
          <w:tcPr>
            <w:tcW w:w="864" w:type="dxa"/>
            <w:tcBorders>
              <w:top w:val="single" w:sz="4" w:space="0" w:color="000000"/>
              <w:left w:val="nil"/>
              <w:bottom w:val="single" w:sz="4" w:space="0" w:color="000000"/>
              <w:right w:val="nil"/>
            </w:tcBorders>
          </w:tcPr>
          <w:p w14:paraId="721064AB" w14:textId="77777777" w:rsidR="00724C44" w:rsidRPr="00393FE3" w:rsidRDefault="00724C44" w:rsidP="00393FE3">
            <w:pPr>
              <w:spacing w:after="0" w:line="240" w:lineRule="auto"/>
              <w:jc w:val="both"/>
              <w:rPr>
                <w:sz w:val="22"/>
                <w:szCs w:val="22"/>
              </w:rPr>
            </w:pPr>
            <w:r w:rsidRPr="00393FE3">
              <w:rPr>
                <w:b/>
                <w:sz w:val="22"/>
                <w:szCs w:val="22"/>
              </w:rPr>
              <w:t>SD</w:t>
            </w:r>
          </w:p>
        </w:tc>
        <w:tc>
          <w:tcPr>
            <w:tcW w:w="1728" w:type="dxa"/>
            <w:tcBorders>
              <w:top w:val="single" w:sz="4" w:space="0" w:color="000000"/>
              <w:left w:val="nil"/>
              <w:bottom w:val="single" w:sz="4" w:space="0" w:color="000000"/>
              <w:right w:val="nil"/>
            </w:tcBorders>
          </w:tcPr>
          <w:p w14:paraId="79F2F91E" w14:textId="77777777" w:rsidR="00724C44" w:rsidRPr="00393FE3" w:rsidRDefault="00724C44" w:rsidP="00393FE3">
            <w:pPr>
              <w:spacing w:after="0" w:line="240" w:lineRule="auto"/>
              <w:jc w:val="both"/>
              <w:rPr>
                <w:sz w:val="22"/>
                <w:szCs w:val="22"/>
              </w:rPr>
            </w:pPr>
            <w:r w:rsidRPr="00393FE3">
              <w:rPr>
                <w:b/>
                <w:sz w:val="22"/>
                <w:szCs w:val="22"/>
              </w:rPr>
              <w:t>Interpretation</w:t>
            </w:r>
          </w:p>
        </w:tc>
      </w:tr>
      <w:tr w:rsidR="00724C44" w:rsidRPr="00724C44" w14:paraId="5A173AED" w14:textId="77777777" w:rsidTr="00A5379F">
        <w:tc>
          <w:tcPr>
            <w:tcW w:w="1008" w:type="dxa"/>
            <w:tcBorders>
              <w:top w:val="nil"/>
              <w:left w:val="nil"/>
              <w:bottom w:val="nil"/>
              <w:right w:val="nil"/>
            </w:tcBorders>
          </w:tcPr>
          <w:p w14:paraId="6E8201FD" w14:textId="77777777" w:rsidR="00724C44" w:rsidRPr="00393FE3" w:rsidRDefault="00724C44" w:rsidP="00393FE3">
            <w:pPr>
              <w:spacing w:after="0" w:line="240" w:lineRule="auto"/>
              <w:jc w:val="both"/>
              <w:rPr>
                <w:sz w:val="22"/>
                <w:szCs w:val="22"/>
              </w:rPr>
            </w:pPr>
            <w:r w:rsidRPr="00393FE3">
              <w:rPr>
                <w:sz w:val="22"/>
                <w:szCs w:val="22"/>
              </w:rPr>
              <w:t>E4.1</w:t>
            </w:r>
          </w:p>
        </w:tc>
        <w:tc>
          <w:tcPr>
            <w:tcW w:w="4752" w:type="dxa"/>
            <w:tcBorders>
              <w:top w:val="nil"/>
              <w:left w:val="nil"/>
              <w:bottom w:val="nil"/>
              <w:right w:val="nil"/>
            </w:tcBorders>
          </w:tcPr>
          <w:p w14:paraId="0C93300A" w14:textId="77777777" w:rsidR="00724C44" w:rsidRPr="00393FE3" w:rsidRDefault="00724C44" w:rsidP="00393FE3">
            <w:pPr>
              <w:spacing w:after="0" w:line="240" w:lineRule="auto"/>
              <w:jc w:val="both"/>
              <w:rPr>
                <w:sz w:val="22"/>
                <w:szCs w:val="22"/>
              </w:rPr>
            </w:pPr>
            <w:r w:rsidRPr="00393FE3">
              <w:rPr>
                <w:sz w:val="22"/>
                <w:szCs w:val="22"/>
              </w:rPr>
              <w:t>Formal data governance framework exists</w:t>
            </w:r>
          </w:p>
        </w:tc>
        <w:tc>
          <w:tcPr>
            <w:tcW w:w="864" w:type="dxa"/>
            <w:tcBorders>
              <w:top w:val="nil"/>
              <w:left w:val="nil"/>
              <w:bottom w:val="nil"/>
              <w:right w:val="nil"/>
            </w:tcBorders>
          </w:tcPr>
          <w:p w14:paraId="05A69D1E" w14:textId="77777777" w:rsidR="00724C44" w:rsidRPr="00393FE3" w:rsidRDefault="00724C44" w:rsidP="00393FE3">
            <w:pPr>
              <w:spacing w:after="0" w:line="240" w:lineRule="auto"/>
              <w:jc w:val="both"/>
              <w:rPr>
                <w:sz w:val="22"/>
                <w:szCs w:val="22"/>
              </w:rPr>
            </w:pPr>
            <w:r w:rsidRPr="00393FE3">
              <w:rPr>
                <w:sz w:val="22"/>
                <w:szCs w:val="22"/>
              </w:rPr>
              <w:t>5.36</w:t>
            </w:r>
          </w:p>
        </w:tc>
        <w:tc>
          <w:tcPr>
            <w:tcW w:w="864" w:type="dxa"/>
            <w:tcBorders>
              <w:top w:val="nil"/>
              <w:left w:val="nil"/>
              <w:bottom w:val="nil"/>
              <w:right w:val="nil"/>
            </w:tcBorders>
          </w:tcPr>
          <w:p w14:paraId="63E64530" w14:textId="77777777" w:rsidR="00724C44" w:rsidRPr="00393FE3" w:rsidRDefault="00724C44" w:rsidP="00393FE3">
            <w:pPr>
              <w:spacing w:after="0" w:line="240" w:lineRule="auto"/>
              <w:jc w:val="both"/>
              <w:rPr>
                <w:sz w:val="22"/>
                <w:szCs w:val="22"/>
              </w:rPr>
            </w:pPr>
            <w:r w:rsidRPr="00393FE3">
              <w:rPr>
                <w:sz w:val="22"/>
                <w:szCs w:val="22"/>
              </w:rPr>
              <w:t>1.58</w:t>
            </w:r>
          </w:p>
        </w:tc>
        <w:tc>
          <w:tcPr>
            <w:tcW w:w="1728" w:type="dxa"/>
            <w:tcBorders>
              <w:top w:val="nil"/>
              <w:left w:val="nil"/>
              <w:bottom w:val="nil"/>
              <w:right w:val="nil"/>
            </w:tcBorders>
          </w:tcPr>
          <w:p w14:paraId="13F9329C"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3FD8B351" w14:textId="77777777" w:rsidTr="00A5379F">
        <w:tc>
          <w:tcPr>
            <w:tcW w:w="1008" w:type="dxa"/>
            <w:tcBorders>
              <w:top w:val="nil"/>
              <w:left w:val="nil"/>
              <w:bottom w:val="nil"/>
              <w:right w:val="nil"/>
            </w:tcBorders>
          </w:tcPr>
          <w:p w14:paraId="483C6F0A" w14:textId="77777777" w:rsidR="00724C44" w:rsidRPr="00393FE3" w:rsidRDefault="00724C44" w:rsidP="00393FE3">
            <w:pPr>
              <w:spacing w:after="0" w:line="240" w:lineRule="auto"/>
              <w:jc w:val="both"/>
              <w:rPr>
                <w:sz w:val="22"/>
                <w:szCs w:val="22"/>
              </w:rPr>
            </w:pPr>
            <w:r w:rsidRPr="00393FE3">
              <w:rPr>
                <w:sz w:val="22"/>
                <w:szCs w:val="22"/>
              </w:rPr>
              <w:t>E4.2</w:t>
            </w:r>
          </w:p>
        </w:tc>
        <w:tc>
          <w:tcPr>
            <w:tcW w:w="4752" w:type="dxa"/>
            <w:tcBorders>
              <w:top w:val="nil"/>
              <w:left w:val="nil"/>
              <w:bottom w:val="nil"/>
              <w:right w:val="nil"/>
            </w:tcBorders>
          </w:tcPr>
          <w:p w14:paraId="517C9D69" w14:textId="77777777" w:rsidR="00724C44" w:rsidRPr="00393FE3" w:rsidRDefault="00724C44" w:rsidP="00393FE3">
            <w:pPr>
              <w:spacing w:after="0" w:line="240" w:lineRule="auto"/>
              <w:jc w:val="both"/>
              <w:rPr>
                <w:sz w:val="22"/>
                <w:szCs w:val="22"/>
              </w:rPr>
            </w:pPr>
            <w:r w:rsidRPr="00393FE3">
              <w:rPr>
                <w:sz w:val="22"/>
                <w:szCs w:val="22"/>
              </w:rPr>
              <w:t>Clear roles and responsibilities are defined</w:t>
            </w:r>
          </w:p>
        </w:tc>
        <w:tc>
          <w:tcPr>
            <w:tcW w:w="864" w:type="dxa"/>
            <w:tcBorders>
              <w:top w:val="nil"/>
              <w:left w:val="nil"/>
              <w:bottom w:val="nil"/>
              <w:right w:val="nil"/>
            </w:tcBorders>
          </w:tcPr>
          <w:p w14:paraId="34AFA9A0" w14:textId="77777777" w:rsidR="00724C44" w:rsidRPr="00393FE3" w:rsidRDefault="00724C44" w:rsidP="00393FE3">
            <w:pPr>
              <w:spacing w:after="0" w:line="240" w:lineRule="auto"/>
              <w:jc w:val="both"/>
              <w:rPr>
                <w:sz w:val="22"/>
                <w:szCs w:val="22"/>
              </w:rPr>
            </w:pPr>
            <w:r w:rsidRPr="00393FE3">
              <w:rPr>
                <w:sz w:val="22"/>
                <w:szCs w:val="22"/>
              </w:rPr>
              <w:t>5.46</w:t>
            </w:r>
          </w:p>
        </w:tc>
        <w:tc>
          <w:tcPr>
            <w:tcW w:w="864" w:type="dxa"/>
            <w:tcBorders>
              <w:top w:val="nil"/>
              <w:left w:val="nil"/>
              <w:bottom w:val="nil"/>
              <w:right w:val="nil"/>
            </w:tcBorders>
          </w:tcPr>
          <w:p w14:paraId="520B28DB" w14:textId="77777777" w:rsidR="00724C44" w:rsidRPr="00393FE3" w:rsidRDefault="00724C44" w:rsidP="00393FE3">
            <w:pPr>
              <w:spacing w:after="0" w:line="240" w:lineRule="auto"/>
              <w:jc w:val="both"/>
              <w:rPr>
                <w:sz w:val="22"/>
                <w:szCs w:val="22"/>
              </w:rPr>
            </w:pPr>
            <w:r w:rsidRPr="00393FE3">
              <w:rPr>
                <w:sz w:val="22"/>
                <w:szCs w:val="22"/>
              </w:rPr>
              <w:t>1.32</w:t>
            </w:r>
          </w:p>
        </w:tc>
        <w:tc>
          <w:tcPr>
            <w:tcW w:w="1728" w:type="dxa"/>
            <w:tcBorders>
              <w:top w:val="nil"/>
              <w:left w:val="nil"/>
              <w:bottom w:val="nil"/>
              <w:right w:val="nil"/>
            </w:tcBorders>
          </w:tcPr>
          <w:p w14:paraId="112B2936"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4004013B" w14:textId="77777777" w:rsidTr="00A5379F">
        <w:tc>
          <w:tcPr>
            <w:tcW w:w="1008" w:type="dxa"/>
            <w:tcBorders>
              <w:top w:val="nil"/>
              <w:left w:val="nil"/>
              <w:bottom w:val="nil"/>
              <w:right w:val="nil"/>
            </w:tcBorders>
          </w:tcPr>
          <w:p w14:paraId="7763F4D4" w14:textId="77777777" w:rsidR="00724C44" w:rsidRPr="00393FE3" w:rsidRDefault="00724C44" w:rsidP="00393FE3">
            <w:pPr>
              <w:spacing w:after="0" w:line="240" w:lineRule="auto"/>
              <w:jc w:val="both"/>
              <w:rPr>
                <w:sz w:val="22"/>
                <w:szCs w:val="22"/>
              </w:rPr>
            </w:pPr>
            <w:r w:rsidRPr="00393FE3">
              <w:rPr>
                <w:sz w:val="22"/>
                <w:szCs w:val="22"/>
              </w:rPr>
              <w:t>E4.3</w:t>
            </w:r>
          </w:p>
        </w:tc>
        <w:tc>
          <w:tcPr>
            <w:tcW w:w="4752" w:type="dxa"/>
            <w:tcBorders>
              <w:top w:val="nil"/>
              <w:left w:val="nil"/>
              <w:bottom w:val="nil"/>
              <w:right w:val="nil"/>
            </w:tcBorders>
          </w:tcPr>
          <w:p w14:paraId="50B45104" w14:textId="77777777" w:rsidR="00724C44" w:rsidRPr="00393FE3" w:rsidRDefault="00724C44" w:rsidP="00393FE3">
            <w:pPr>
              <w:spacing w:after="0" w:line="240" w:lineRule="auto"/>
              <w:jc w:val="both"/>
              <w:rPr>
                <w:sz w:val="22"/>
                <w:szCs w:val="22"/>
              </w:rPr>
            </w:pPr>
            <w:r w:rsidRPr="00393FE3">
              <w:rPr>
                <w:sz w:val="22"/>
                <w:szCs w:val="22"/>
              </w:rPr>
              <w:t>Privacy and security controls are implemented</w:t>
            </w:r>
          </w:p>
        </w:tc>
        <w:tc>
          <w:tcPr>
            <w:tcW w:w="864" w:type="dxa"/>
            <w:tcBorders>
              <w:top w:val="nil"/>
              <w:left w:val="nil"/>
              <w:bottom w:val="nil"/>
              <w:right w:val="nil"/>
            </w:tcBorders>
          </w:tcPr>
          <w:p w14:paraId="3094E4CA" w14:textId="77777777" w:rsidR="00724C44" w:rsidRPr="00393FE3" w:rsidRDefault="00724C44" w:rsidP="00393FE3">
            <w:pPr>
              <w:spacing w:after="0" w:line="240" w:lineRule="auto"/>
              <w:jc w:val="both"/>
              <w:rPr>
                <w:sz w:val="22"/>
                <w:szCs w:val="22"/>
              </w:rPr>
            </w:pPr>
            <w:r w:rsidRPr="00393FE3">
              <w:rPr>
                <w:sz w:val="22"/>
                <w:szCs w:val="22"/>
              </w:rPr>
              <w:t>5.89</w:t>
            </w:r>
          </w:p>
        </w:tc>
        <w:tc>
          <w:tcPr>
            <w:tcW w:w="864" w:type="dxa"/>
            <w:tcBorders>
              <w:top w:val="nil"/>
              <w:left w:val="nil"/>
              <w:bottom w:val="nil"/>
              <w:right w:val="nil"/>
            </w:tcBorders>
          </w:tcPr>
          <w:p w14:paraId="5B19E728" w14:textId="77777777" w:rsidR="00724C44" w:rsidRPr="00393FE3" w:rsidRDefault="00724C44" w:rsidP="00393FE3">
            <w:pPr>
              <w:spacing w:after="0" w:line="240" w:lineRule="auto"/>
              <w:jc w:val="both"/>
              <w:rPr>
                <w:sz w:val="22"/>
                <w:szCs w:val="22"/>
              </w:rPr>
            </w:pPr>
            <w:r w:rsidRPr="00393FE3">
              <w:rPr>
                <w:sz w:val="22"/>
                <w:szCs w:val="22"/>
              </w:rPr>
              <w:t>1.13</w:t>
            </w:r>
          </w:p>
        </w:tc>
        <w:tc>
          <w:tcPr>
            <w:tcW w:w="1728" w:type="dxa"/>
            <w:tcBorders>
              <w:top w:val="nil"/>
              <w:left w:val="nil"/>
              <w:bottom w:val="nil"/>
              <w:right w:val="nil"/>
            </w:tcBorders>
          </w:tcPr>
          <w:p w14:paraId="0BC5D834"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4891EE3A" w14:textId="77777777" w:rsidTr="00A5379F">
        <w:tc>
          <w:tcPr>
            <w:tcW w:w="1008" w:type="dxa"/>
            <w:tcBorders>
              <w:top w:val="nil"/>
              <w:left w:val="nil"/>
              <w:bottom w:val="nil"/>
              <w:right w:val="nil"/>
            </w:tcBorders>
          </w:tcPr>
          <w:p w14:paraId="74B01311" w14:textId="77777777" w:rsidR="00724C44" w:rsidRPr="00393FE3" w:rsidRDefault="00724C44" w:rsidP="00393FE3">
            <w:pPr>
              <w:spacing w:after="0" w:line="240" w:lineRule="auto"/>
              <w:jc w:val="both"/>
              <w:rPr>
                <w:sz w:val="22"/>
                <w:szCs w:val="22"/>
              </w:rPr>
            </w:pPr>
            <w:r w:rsidRPr="00393FE3">
              <w:rPr>
                <w:sz w:val="22"/>
                <w:szCs w:val="22"/>
              </w:rPr>
              <w:t>E4.4</w:t>
            </w:r>
          </w:p>
        </w:tc>
        <w:tc>
          <w:tcPr>
            <w:tcW w:w="4752" w:type="dxa"/>
            <w:tcBorders>
              <w:top w:val="nil"/>
              <w:left w:val="nil"/>
              <w:bottom w:val="nil"/>
              <w:right w:val="nil"/>
            </w:tcBorders>
          </w:tcPr>
          <w:p w14:paraId="21D85CD4" w14:textId="77777777" w:rsidR="00724C44" w:rsidRPr="00393FE3" w:rsidRDefault="00724C44" w:rsidP="00393FE3">
            <w:pPr>
              <w:spacing w:after="0" w:line="240" w:lineRule="auto"/>
              <w:jc w:val="both"/>
              <w:rPr>
                <w:sz w:val="22"/>
                <w:szCs w:val="22"/>
              </w:rPr>
            </w:pPr>
            <w:r w:rsidRPr="00393FE3">
              <w:rPr>
                <w:sz w:val="22"/>
                <w:szCs w:val="22"/>
              </w:rPr>
              <w:t>Compliance monitoring is ongoing</w:t>
            </w:r>
          </w:p>
        </w:tc>
        <w:tc>
          <w:tcPr>
            <w:tcW w:w="864" w:type="dxa"/>
            <w:tcBorders>
              <w:top w:val="nil"/>
              <w:left w:val="nil"/>
              <w:bottom w:val="nil"/>
              <w:right w:val="nil"/>
            </w:tcBorders>
          </w:tcPr>
          <w:p w14:paraId="046DE8FE" w14:textId="77777777" w:rsidR="00724C44" w:rsidRPr="00393FE3" w:rsidRDefault="00724C44" w:rsidP="00393FE3">
            <w:pPr>
              <w:spacing w:after="0" w:line="240" w:lineRule="auto"/>
              <w:jc w:val="both"/>
              <w:rPr>
                <w:sz w:val="22"/>
                <w:szCs w:val="22"/>
              </w:rPr>
            </w:pPr>
            <w:r w:rsidRPr="00393FE3">
              <w:rPr>
                <w:sz w:val="22"/>
                <w:szCs w:val="22"/>
              </w:rPr>
              <w:t>5.65</w:t>
            </w:r>
          </w:p>
        </w:tc>
        <w:tc>
          <w:tcPr>
            <w:tcW w:w="864" w:type="dxa"/>
            <w:tcBorders>
              <w:top w:val="nil"/>
              <w:left w:val="nil"/>
              <w:bottom w:val="nil"/>
              <w:right w:val="nil"/>
            </w:tcBorders>
          </w:tcPr>
          <w:p w14:paraId="078FFFB1" w14:textId="77777777" w:rsidR="00724C44" w:rsidRPr="00393FE3" w:rsidRDefault="00724C44" w:rsidP="00393FE3">
            <w:pPr>
              <w:spacing w:after="0" w:line="240" w:lineRule="auto"/>
              <w:jc w:val="both"/>
              <w:rPr>
                <w:sz w:val="22"/>
                <w:szCs w:val="22"/>
              </w:rPr>
            </w:pPr>
            <w:r w:rsidRPr="00393FE3">
              <w:rPr>
                <w:sz w:val="22"/>
                <w:szCs w:val="22"/>
              </w:rPr>
              <w:t>1.24</w:t>
            </w:r>
          </w:p>
        </w:tc>
        <w:tc>
          <w:tcPr>
            <w:tcW w:w="1728" w:type="dxa"/>
            <w:tcBorders>
              <w:top w:val="nil"/>
              <w:left w:val="nil"/>
              <w:bottom w:val="nil"/>
              <w:right w:val="nil"/>
            </w:tcBorders>
          </w:tcPr>
          <w:p w14:paraId="3A50CB3E"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2B260C9E" w14:textId="77777777" w:rsidTr="00A5379F">
        <w:tc>
          <w:tcPr>
            <w:tcW w:w="1008" w:type="dxa"/>
            <w:tcBorders>
              <w:top w:val="nil"/>
              <w:left w:val="nil"/>
              <w:bottom w:val="nil"/>
              <w:right w:val="nil"/>
            </w:tcBorders>
          </w:tcPr>
          <w:p w14:paraId="216D05B5" w14:textId="77777777" w:rsidR="00724C44" w:rsidRPr="00393FE3" w:rsidRDefault="00724C44" w:rsidP="00393FE3">
            <w:pPr>
              <w:spacing w:after="0" w:line="240" w:lineRule="auto"/>
              <w:jc w:val="both"/>
              <w:rPr>
                <w:sz w:val="22"/>
                <w:szCs w:val="22"/>
              </w:rPr>
            </w:pPr>
            <w:r w:rsidRPr="00393FE3">
              <w:rPr>
                <w:sz w:val="22"/>
                <w:szCs w:val="22"/>
              </w:rPr>
              <w:t>E4.5</w:t>
            </w:r>
          </w:p>
        </w:tc>
        <w:tc>
          <w:tcPr>
            <w:tcW w:w="4752" w:type="dxa"/>
            <w:tcBorders>
              <w:top w:val="nil"/>
              <w:left w:val="nil"/>
              <w:bottom w:val="nil"/>
              <w:right w:val="nil"/>
            </w:tcBorders>
          </w:tcPr>
          <w:p w14:paraId="6E80B409" w14:textId="77777777" w:rsidR="00724C44" w:rsidRPr="00393FE3" w:rsidRDefault="00724C44" w:rsidP="00393FE3">
            <w:pPr>
              <w:spacing w:after="0" w:line="240" w:lineRule="auto"/>
              <w:jc w:val="both"/>
              <w:rPr>
                <w:sz w:val="22"/>
                <w:szCs w:val="22"/>
              </w:rPr>
            </w:pPr>
            <w:r w:rsidRPr="00393FE3">
              <w:rPr>
                <w:sz w:val="22"/>
                <w:szCs w:val="22"/>
              </w:rPr>
              <w:t>Regular governance reviews occur</w:t>
            </w:r>
          </w:p>
        </w:tc>
        <w:tc>
          <w:tcPr>
            <w:tcW w:w="864" w:type="dxa"/>
            <w:tcBorders>
              <w:top w:val="nil"/>
              <w:left w:val="nil"/>
              <w:bottom w:val="nil"/>
              <w:right w:val="nil"/>
            </w:tcBorders>
          </w:tcPr>
          <w:p w14:paraId="5A87C1D1" w14:textId="77777777" w:rsidR="00724C44" w:rsidRPr="00393FE3" w:rsidRDefault="00724C44" w:rsidP="00393FE3">
            <w:pPr>
              <w:spacing w:after="0" w:line="240" w:lineRule="auto"/>
              <w:jc w:val="both"/>
              <w:rPr>
                <w:sz w:val="22"/>
                <w:szCs w:val="22"/>
              </w:rPr>
            </w:pPr>
            <w:r w:rsidRPr="00393FE3">
              <w:rPr>
                <w:sz w:val="22"/>
                <w:szCs w:val="22"/>
              </w:rPr>
              <w:t>5.67</w:t>
            </w:r>
          </w:p>
        </w:tc>
        <w:tc>
          <w:tcPr>
            <w:tcW w:w="864" w:type="dxa"/>
            <w:tcBorders>
              <w:top w:val="nil"/>
              <w:left w:val="nil"/>
              <w:bottom w:val="nil"/>
              <w:right w:val="nil"/>
            </w:tcBorders>
          </w:tcPr>
          <w:p w14:paraId="25235534" w14:textId="77777777" w:rsidR="00724C44" w:rsidRPr="00393FE3" w:rsidRDefault="00724C44" w:rsidP="00393FE3">
            <w:pPr>
              <w:spacing w:after="0" w:line="240" w:lineRule="auto"/>
              <w:jc w:val="both"/>
              <w:rPr>
                <w:sz w:val="22"/>
                <w:szCs w:val="22"/>
              </w:rPr>
            </w:pPr>
            <w:r w:rsidRPr="00393FE3">
              <w:rPr>
                <w:sz w:val="22"/>
                <w:szCs w:val="22"/>
              </w:rPr>
              <w:t>1.28</w:t>
            </w:r>
          </w:p>
        </w:tc>
        <w:tc>
          <w:tcPr>
            <w:tcW w:w="1728" w:type="dxa"/>
            <w:tcBorders>
              <w:top w:val="nil"/>
              <w:left w:val="nil"/>
              <w:bottom w:val="nil"/>
              <w:right w:val="nil"/>
            </w:tcBorders>
          </w:tcPr>
          <w:p w14:paraId="57888368"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664E3A55" w14:textId="77777777" w:rsidTr="00A5379F">
        <w:tc>
          <w:tcPr>
            <w:tcW w:w="1008" w:type="dxa"/>
            <w:tcBorders>
              <w:top w:val="nil"/>
              <w:left w:val="nil"/>
              <w:bottom w:val="single" w:sz="4" w:space="0" w:color="000000"/>
              <w:right w:val="nil"/>
            </w:tcBorders>
          </w:tcPr>
          <w:p w14:paraId="6DBEC916" w14:textId="77777777" w:rsidR="00724C44" w:rsidRPr="00393FE3" w:rsidRDefault="00724C44" w:rsidP="00393FE3">
            <w:pPr>
              <w:spacing w:after="0" w:line="240" w:lineRule="auto"/>
              <w:jc w:val="both"/>
              <w:rPr>
                <w:sz w:val="22"/>
                <w:szCs w:val="22"/>
              </w:rPr>
            </w:pPr>
          </w:p>
        </w:tc>
        <w:tc>
          <w:tcPr>
            <w:tcW w:w="4752" w:type="dxa"/>
            <w:tcBorders>
              <w:top w:val="nil"/>
              <w:left w:val="nil"/>
              <w:bottom w:val="single" w:sz="4" w:space="0" w:color="000000"/>
              <w:right w:val="nil"/>
            </w:tcBorders>
          </w:tcPr>
          <w:p w14:paraId="4B3539F7" w14:textId="77777777" w:rsidR="00724C44" w:rsidRPr="00393FE3" w:rsidRDefault="00724C44" w:rsidP="00393FE3">
            <w:pPr>
              <w:spacing w:after="0" w:line="240" w:lineRule="auto"/>
              <w:jc w:val="both"/>
              <w:rPr>
                <w:sz w:val="22"/>
                <w:szCs w:val="22"/>
              </w:rPr>
            </w:pPr>
            <w:r w:rsidRPr="00393FE3">
              <w:rPr>
                <w:sz w:val="22"/>
                <w:szCs w:val="22"/>
              </w:rPr>
              <w:t>Construct Mean (E4)</w:t>
            </w:r>
          </w:p>
        </w:tc>
        <w:tc>
          <w:tcPr>
            <w:tcW w:w="864" w:type="dxa"/>
            <w:tcBorders>
              <w:top w:val="nil"/>
              <w:left w:val="nil"/>
              <w:bottom w:val="single" w:sz="4" w:space="0" w:color="000000"/>
              <w:right w:val="nil"/>
            </w:tcBorders>
          </w:tcPr>
          <w:p w14:paraId="53FDA500" w14:textId="77777777" w:rsidR="00724C44" w:rsidRPr="00393FE3" w:rsidRDefault="00724C44" w:rsidP="00393FE3">
            <w:pPr>
              <w:spacing w:after="0" w:line="240" w:lineRule="auto"/>
              <w:jc w:val="both"/>
              <w:rPr>
                <w:sz w:val="22"/>
                <w:szCs w:val="22"/>
              </w:rPr>
            </w:pPr>
            <w:r w:rsidRPr="00393FE3">
              <w:rPr>
                <w:sz w:val="22"/>
                <w:szCs w:val="22"/>
              </w:rPr>
              <w:t>5.61</w:t>
            </w:r>
          </w:p>
        </w:tc>
        <w:tc>
          <w:tcPr>
            <w:tcW w:w="864" w:type="dxa"/>
            <w:tcBorders>
              <w:top w:val="nil"/>
              <w:left w:val="nil"/>
              <w:bottom w:val="single" w:sz="4" w:space="0" w:color="000000"/>
              <w:right w:val="nil"/>
            </w:tcBorders>
          </w:tcPr>
          <w:p w14:paraId="44AFDCE6" w14:textId="77777777" w:rsidR="00724C44" w:rsidRPr="00393FE3" w:rsidRDefault="00724C44" w:rsidP="00393FE3">
            <w:pPr>
              <w:spacing w:after="0" w:line="240" w:lineRule="auto"/>
              <w:jc w:val="both"/>
              <w:rPr>
                <w:sz w:val="22"/>
                <w:szCs w:val="22"/>
              </w:rPr>
            </w:pPr>
            <w:r w:rsidRPr="00393FE3">
              <w:rPr>
                <w:sz w:val="22"/>
                <w:szCs w:val="22"/>
              </w:rPr>
              <w:t>0.66</w:t>
            </w:r>
          </w:p>
        </w:tc>
        <w:tc>
          <w:tcPr>
            <w:tcW w:w="1728" w:type="dxa"/>
            <w:tcBorders>
              <w:top w:val="nil"/>
              <w:left w:val="nil"/>
              <w:bottom w:val="single" w:sz="4" w:space="0" w:color="000000"/>
              <w:right w:val="nil"/>
            </w:tcBorders>
          </w:tcPr>
          <w:p w14:paraId="29BA2C9D" w14:textId="77777777" w:rsidR="00724C44" w:rsidRPr="00393FE3" w:rsidRDefault="00724C44" w:rsidP="00393FE3">
            <w:pPr>
              <w:spacing w:after="0" w:line="240" w:lineRule="auto"/>
              <w:jc w:val="both"/>
              <w:rPr>
                <w:sz w:val="22"/>
                <w:szCs w:val="22"/>
              </w:rPr>
            </w:pPr>
            <w:r w:rsidRPr="00393FE3">
              <w:rPr>
                <w:sz w:val="22"/>
                <w:szCs w:val="22"/>
              </w:rPr>
              <w:t>High</w:t>
            </w:r>
          </w:p>
        </w:tc>
      </w:tr>
    </w:tbl>
    <w:p w14:paraId="6220AAAA" w14:textId="77777777" w:rsidR="00724C44" w:rsidRPr="00393FE3" w:rsidRDefault="00724C44" w:rsidP="00724C44">
      <w:pPr>
        <w:spacing w:line="240" w:lineRule="auto"/>
        <w:jc w:val="both"/>
        <w:rPr>
          <w:sz w:val="22"/>
          <w:szCs w:val="22"/>
        </w:rPr>
      </w:pPr>
      <w:r w:rsidRPr="00393FE3">
        <w:rPr>
          <w:i/>
          <w:sz w:val="22"/>
          <w:szCs w:val="22"/>
        </w:rPr>
        <w:t xml:space="preserve">Note. </w:t>
      </w:r>
      <w:r w:rsidRPr="00393FE3">
        <w:rPr>
          <w:sz w:val="22"/>
          <w:szCs w:val="22"/>
        </w:rPr>
        <w:t>Scale: 1 = Strongly Disagree, 7 = Strongly Agree.</w:t>
      </w:r>
    </w:p>
    <w:p w14:paraId="1A402928" w14:textId="77777777" w:rsidR="00724C44" w:rsidRPr="00724C44" w:rsidRDefault="00724C44" w:rsidP="00724C44">
      <w:pPr>
        <w:spacing w:line="240" w:lineRule="auto"/>
        <w:jc w:val="both"/>
      </w:pPr>
      <w:r w:rsidRPr="00724C44">
        <w:rPr>
          <w:b/>
        </w:rPr>
        <w:t>4.7.5 Integration Protocols Summary</w:t>
      </w:r>
    </w:p>
    <w:p w14:paraId="2A779E80" w14:textId="77777777" w:rsidR="00724C44" w:rsidRPr="00724C44" w:rsidRDefault="00724C44" w:rsidP="00724C44">
      <w:pPr>
        <w:spacing w:line="240" w:lineRule="auto"/>
        <w:jc w:val="both"/>
      </w:pPr>
      <w:r w:rsidRPr="00724C44">
        <w:t>Table 4.27 summarizes the integration protocol findings across all four dimensions.</w:t>
      </w:r>
    </w:p>
    <w:p w14:paraId="4A086C77" w14:textId="77777777" w:rsidR="00724C44" w:rsidRPr="00724C44" w:rsidRDefault="00724C44" w:rsidP="00724C44">
      <w:pPr>
        <w:spacing w:line="240" w:lineRule="auto"/>
        <w:jc w:val="both"/>
      </w:pPr>
      <w:r w:rsidRPr="00724C44">
        <w:rPr>
          <w:b/>
        </w:rPr>
        <w:t>Table 4.27</w:t>
      </w:r>
    </w:p>
    <w:p w14:paraId="4035F483" w14:textId="77777777" w:rsidR="00724C44" w:rsidRPr="00724C44" w:rsidRDefault="00724C44" w:rsidP="00724C44">
      <w:pPr>
        <w:spacing w:line="240" w:lineRule="auto"/>
        <w:jc w:val="both"/>
      </w:pPr>
      <w:r w:rsidRPr="00724C44">
        <w:rPr>
          <w:i/>
        </w:rPr>
        <w:t>Integration Protocols Construct Summary</w:t>
      </w:r>
    </w:p>
    <w:tbl>
      <w:tblPr>
        <w:tblW w:w="0" w:type="auto"/>
        <w:tblLayout w:type="fixed"/>
        <w:tblLook w:val="04A0" w:firstRow="1" w:lastRow="0" w:firstColumn="1" w:lastColumn="0" w:noHBand="0" w:noVBand="1"/>
      </w:tblPr>
      <w:tblGrid>
        <w:gridCol w:w="4752"/>
        <w:gridCol w:w="1008"/>
        <w:gridCol w:w="1008"/>
        <w:gridCol w:w="2448"/>
      </w:tblGrid>
      <w:tr w:rsidR="00724C44" w:rsidRPr="00724C44" w14:paraId="50BF24EC" w14:textId="77777777" w:rsidTr="00A5379F">
        <w:tc>
          <w:tcPr>
            <w:tcW w:w="4752" w:type="dxa"/>
            <w:tcBorders>
              <w:top w:val="single" w:sz="4" w:space="0" w:color="000000"/>
              <w:left w:val="nil"/>
              <w:bottom w:val="single" w:sz="4" w:space="0" w:color="000000"/>
              <w:right w:val="nil"/>
            </w:tcBorders>
          </w:tcPr>
          <w:p w14:paraId="70F212EA" w14:textId="77777777" w:rsidR="00724C44" w:rsidRPr="00393FE3" w:rsidRDefault="00724C44" w:rsidP="00393FE3">
            <w:pPr>
              <w:spacing w:after="0" w:line="240" w:lineRule="auto"/>
              <w:jc w:val="both"/>
              <w:rPr>
                <w:sz w:val="22"/>
                <w:szCs w:val="22"/>
              </w:rPr>
            </w:pPr>
            <w:r w:rsidRPr="00393FE3">
              <w:rPr>
                <w:b/>
                <w:sz w:val="22"/>
                <w:szCs w:val="22"/>
              </w:rPr>
              <w:t>Dimension</w:t>
            </w:r>
          </w:p>
        </w:tc>
        <w:tc>
          <w:tcPr>
            <w:tcW w:w="1008" w:type="dxa"/>
            <w:tcBorders>
              <w:top w:val="single" w:sz="4" w:space="0" w:color="000000"/>
              <w:left w:val="nil"/>
              <w:bottom w:val="single" w:sz="4" w:space="0" w:color="000000"/>
              <w:right w:val="nil"/>
            </w:tcBorders>
          </w:tcPr>
          <w:p w14:paraId="11CC863C" w14:textId="77777777" w:rsidR="00724C44" w:rsidRPr="00393FE3" w:rsidRDefault="00724C44" w:rsidP="00393FE3">
            <w:pPr>
              <w:spacing w:after="0" w:line="240" w:lineRule="auto"/>
              <w:jc w:val="both"/>
              <w:rPr>
                <w:sz w:val="22"/>
                <w:szCs w:val="22"/>
              </w:rPr>
            </w:pPr>
            <w:r w:rsidRPr="00393FE3">
              <w:rPr>
                <w:b/>
                <w:sz w:val="22"/>
                <w:szCs w:val="22"/>
              </w:rPr>
              <w:t>M</w:t>
            </w:r>
          </w:p>
        </w:tc>
        <w:tc>
          <w:tcPr>
            <w:tcW w:w="1008" w:type="dxa"/>
            <w:tcBorders>
              <w:top w:val="single" w:sz="4" w:space="0" w:color="000000"/>
              <w:left w:val="nil"/>
              <w:bottom w:val="single" w:sz="4" w:space="0" w:color="000000"/>
              <w:right w:val="nil"/>
            </w:tcBorders>
          </w:tcPr>
          <w:p w14:paraId="6E465C93" w14:textId="77777777" w:rsidR="00724C44" w:rsidRPr="00393FE3" w:rsidRDefault="00724C44" w:rsidP="00393FE3">
            <w:pPr>
              <w:spacing w:after="0" w:line="240" w:lineRule="auto"/>
              <w:jc w:val="both"/>
              <w:rPr>
                <w:sz w:val="22"/>
                <w:szCs w:val="22"/>
              </w:rPr>
            </w:pPr>
            <w:r w:rsidRPr="00393FE3">
              <w:rPr>
                <w:b/>
                <w:sz w:val="22"/>
                <w:szCs w:val="22"/>
              </w:rPr>
              <w:t>SD</w:t>
            </w:r>
          </w:p>
        </w:tc>
        <w:tc>
          <w:tcPr>
            <w:tcW w:w="2448" w:type="dxa"/>
            <w:tcBorders>
              <w:top w:val="single" w:sz="4" w:space="0" w:color="000000"/>
              <w:left w:val="nil"/>
              <w:bottom w:val="single" w:sz="4" w:space="0" w:color="000000"/>
              <w:right w:val="nil"/>
            </w:tcBorders>
          </w:tcPr>
          <w:p w14:paraId="1C5A56C3" w14:textId="77777777" w:rsidR="00724C44" w:rsidRPr="00393FE3" w:rsidRDefault="00724C44" w:rsidP="00393FE3">
            <w:pPr>
              <w:spacing w:after="0" w:line="240" w:lineRule="auto"/>
              <w:jc w:val="both"/>
              <w:rPr>
                <w:sz w:val="22"/>
                <w:szCs w:val="22"/>
              </w:rPr>
            </w:pPr>
            <w:r w:rsidRPr="00393FE3">
              <w:rPr>
                <w:b/>
                <w:sz w:val="22"/>
                <w:szCs w:val="22"/>
              </w:rPr>
              <w:t>Interpretation</w:t>
            </w:r>
          </w:p>
        </w:tc>
      </w:tr>
      <w:tr w:rsidR="00724C44" w:rsidRPr="00724C44" w14:paraId="78B4E3B9" w14:textId="77777777" w:rsidTr="00A5379F">
        <w:tc>
          <w:tcPr>
            <w:tcW w:w="4752" w:type="dxa"/>
            <w:tcBorders>
              <w:top w:val="nil"/>
              <w:left w:val="nil"/>
              <w:bottom w:val="nil"/>
              <w:right w:val="nil"/>
            </w:tcBorders>
          </w:tcPr>
          <w:p w14:paraId="4FF84069" w14:textId="77777777" w:rsidR="00724C44" w:rsidRPr="00393FE3" w:rsidRDefault="00724C44" w:rsidP="00393FE3">
            <w:pPr>
              <w:spacing w:after="0" w:line="240" w:lineRule="auto"/>
              <w:jc w:val="both"/>
              <w:rPr>
                <w:sz w:val="22"/>
                <w:szCs w:val="22"/>
              </w:rPr>
            </w:pPr>
            <w:r w:rsidRPr="00393FE3">
              <w:rPr>
                <w:sz w:val="22"/>
                <w:szCs w:val="22"/>
              </w:rPr>
              <w:t>Data Integration</w:t>
            </w:r>
          </w:p>
        </w:tc>
        <w:tc>
          <w:tcPr>
            <w:tcW w:w="1008" w:type="dxa"/>
            <w:tcBorders>
              <w:top w:val="nil"/>
              <w:left w:val="nil"/>
              <w:bottom w:val="nil"/>
              <w:right w:val="nil"/>
            </w:tcBorders>
          </w:tcPr>
          <w:p w14:paraId="01CBCB59" w14:textId="77777777" w:rsidR="00724C44" w:rsidRPr="00393FE3" w:rsidRDefault="00724C44" w:rsidP="00393FE3">
            <w:pPr>
              <w:spacing w:after="0" w:line="240" w:lineRule="auto"/>
              <w:jc w:val="both"/>
              <w:rPr>
                <w:sz w:val="22"/>
                <w:szCs w:val="22"/>
              </w:rPr>
            </w:pPr>
            <w:r w:rsidRPr="00393FE3">
              <w:rPr>
                <w:sz w:val="22"/>
                <w:szCs w:val="22"/>
              </w:rPr>
              <w:t>3.64</w:t>
            </w:r>
          </w:p>
        </w:tc>
        <w:tc>
          <w:tcPr>
            <w:tcW w:w="1008" w:type="dxa"/>
            <w:tcBorders>
              <w:top w:val="nil"/>
              <w:left w:val="nil"/>
              <w:bottom w:val="nil"/>
              <w:right w:val="nil"/>
            </w:tcBorders>
          </w:tcPr>
          <w:p w14:paraId="0244C896" w14:textId="77777777" w:rsidR="00724C44" w:rsidRPr="00393FE3" w:rsidRDefault="00724C44" w:rsidP="00393FE3">
            <w:pPr>
              <w:spacing w:after="0" w:line="240" w:lineRule="auto"/>
              <w:jc w:val="both"/>
              <w:rPr>
                <w:sz w:val="22"/>
                <w:szCs w:val="22"/>
              </w:rPr>
            </w:pPr>
            <w:r w:rsidRPr="00393FE3">
              <w:rPr>
                <w:sz w:val="22"/>
                <w:szCs w:val="22"/>
              </w:rPr>
              <w:t>0.57</w:t>
            </w:r>
          </w:p>
        </w:tc>
        <w:tc>
          <w:tcPr>
            <w:tcW w:w="2448" w:type="dxa"/>
            <w:tcBorders>
              <w:top w:val="nil"/>
              <w:left w:val="nil"/>
              <w:bottom w:val="nil"/>
              <w:right w:val="nil"/>
            </w:tcBorders>
          </w:tcPr>
          <w:p w14:paraId="23CFDF43"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6453D0BC" w14:textId="77777777" w:rsidTr="00A5379F">
        <w:tc>
          <w:tcPr>
            <w:tcW w:w="4752" w:type="dxa"/>
            <w:tcBorders>
              <w:top w:val="nil"/>
              <w:left w:val="nil"/>
              <w:bottom w:val="nil"/>
              <w:right w:val="nil"/>
            </w:tcBorders>
          </w:tcPr>
          <w:p w14:paraId="4E913953" w14:textId="77777777" w:rsidR="00724C44" w:rsidRPr="00393FE3" w:rsidRDefault="00724C44" w:rsidP="00393FE3">
            <w:pPr>
              <w:spacing w:after="0" w:line="240" w:lineRule="auto"/>
              <w:jc w:val="both"/>
              <w:rPr>
                <w:sz w:val="22"/>
                <w:szCs w:val="22"/>
              </w:rPr>
            </w:pPr>
            <w:r w:rsidRPr="00393FE3">
              <w:rPr>
                <w:sz w:val="22"/>
                <w:szCs w:val="22"/>
              </w:rPr>
              <w:t>Process Integration</w:t>
            </w:r>
          </w:p>
        </w:tc>
        <w:tc>
          <w:tcPr>
            <w:tcW w:w="1008" w:type="dxa"/>
            <w:tcBorders>
              <w:top w:val="nil"/>
              <w:left w:val="nil"/>
              <w:bottom w:val="nil"/>
              <w:right w:val="nil"/>
            </w:tcBorders>
          </w:tcPr>
          <w:p w14:paraId="34510E94" w14:textId="77777777" w:rsidR="00724C44" w:rsidRPr="00393FE3" w:rsidRDefault="00724C44" w:rsidP="00393FE3">
            <w:pPr>
              <w:spacing w:after="0" w:line="240" w:lineRule="auto"/>
              <w:jc w:val="both"/>
              <w:rPr>
                <w:sz w:val="22"/>
                <w:szCs w:val="22"/>
              </w:rPr>
            </w:pPr>
            <w:r w:rsidRPr="00393FE3">
              <w:rPr>
                <w:sz w:val="22"/>
                <w:szCs w:val="22"/>
              </w:rPr>
              <w:t>4.26</w:t>
            </w:r>
          </w:p>
        </w:tc>
        <w:tc>
          <w:tcPr>
            <w:tcW w:w="1008" w:type="dxa"/>
            <w:tcBorders>
              <w:top w:val="nil"/>
              <w:left w:val="nil"/>
              <w:bottom w:val="nil"/>
              <w:right w:val="nil"/>
            </w:tcBorders>
          </w:tcPr>
          <w:p w14:paraId="24A90D0C" w14:textId="77777777" w:rsidR="00724C44" w:rsidRPr="00393FE3" w:rsidRDefault="00724C44" w:rsidP="00393FE3">
            <w:pPr>
              <w:spacing w:after="0" w:line="240" w:lineRule="auto"/>
              <w:jc w:val="both"/>
              <w:rPr>
                <w:sz w:val="22"/>
                <w:szCs w:val="22"/>
              </w:rPr>
            </w:pPr>
            <w:r w:rsidRPr="00393FE3">
              <w:rPr>
                <w:sz w:val="22"/>
                <w:szCs w:val="22"/>
              </w:rPr>
              <w:t>0.63</w:t>
            </w:r>
          </w:p>
        </w:tc>
        <w:tc>
          <w:tcPr>
            <w:tcW w:w="2448" w:type="dxa"/>
            <w:tcBorders>
              <w:top w:val="nil"/>
              <w:left w:val="nil"/>
              <w:bottom w:val="nil"/>
              <w:right w:val="nil"/>
            </w:tcBorders>
          </w:tcPr>
          <w:p w14:paraId="04665191" w14:textId="77777777" w:rsidR="00724C44" w:rsidRPr="00393FE3" w:rsidRDefault="00724C44" w:rsidP="00393FE3">
            <w:pPr>
              <w:spacing w:after="0" w:line="240" w:lineRule="auto"/>
              <w:jc w:val="both"/>
              <w:rPr>
                <w:sz w:val="22"/>
                <w:szCs w:val="22"/>
              </w:rPr>
            </w:pPr>
            <w:r w:rsidRPr="00393FE3">
              <w:rPr>
                <w:sz w:val="22"/>
                <w:szCs w:val="22"/>
              </w:rPr>
              <w:t>Moderate-High</w:t>
            </w:r>
          </w:p>
        </w:tc>
      </w:tr>
      <w:tr w:rsidR="00724C44" w:rsidRPr="00724C44" w14:paraId="3C76FC0C" w14:textId="77777777" w:rsidTr="00A5379F">
        <w:tc>
          <w:tcPr>
            <w:tcW w:w="4752" w:type="dxa"/>
            <w:tcBorders>
              <w:top w:val="nil"/>
              <w:left w:val="nil"/>
              <w:bottom w:val="nil"/>
              <w:right w:val="nil"/>
            </w:tcBorders>
          </w:tcPr>
          <w:p w14:paraId="7E7BAAD0" w14:textId="77777777" w:rsidR="00724C44" w:rsidRPr="00393FE3" w:rsidRDefault="00724C44" w:rsidP="00393FE3">
            <w:pPr>
              <w:spacing w:after="0" w:line="240" w:lineRule="auto"/>
              <w:jc w:val="both"/>
              <w:rPr>
                <w:sz w:val="22"/>
                <w:szCs w:val="22"/>
              </w:rPr>
            </w:pPr>
            <w:r w:rsidRPr="00393FE3">
              <w:rPr>
                <w:sz w:val="22"/>
                <w:szCs w:val="22"/>
              </w:rPr>
              <w:t>Quality Assurance</w:t>
            </w:r>
          </w:p>
        </w:tc>
        <w:tc>
          <w:tcPr>
            <w:tcW w:w="1008" w:type="dxa"/>
            <w:tcBorders>
              <w:top w:val="nil"/>
              <w:left w:val="nil"/>
              <w:bottom w:val="nil"/>
              <w:right w:val="nil"/>
            </w:tcBorders>
          </w:tcPr>
          <w:p w14:paraId="6954EAB1" w14:textId="77777777" w:rsidR="00724C44" w:rsidRPr="00393FE3" w:rsidRDefault="00724C44" w:rsidP="00393FE3">
            <w:pPr>
              <w:spacing w:after="0" w:line="240" w:lineRule="auto"/>
              <w:jc w:val="both"/>
              <w:rPr>
                <w:sz w:val="22"/>
                <w:szCs w:val="22"/>
              </w:rPr>
            </w:pPr>
            <w:r w:rsidRPr="00393FE3">
              <w:rPr>
                <w:sz w:val="22"/>
                <w:szCs w:val="22"/>
              </w:rPr>
              <w:t>5.33</w:t>
            </w:r>
          </w:p>
        </w:tc>
        <w:tc>
          <w:tcPr>
            <w:tcW w:w="1008" w:type="dxa"/>
            <w:tcBorders>
              <w:top w:val="nil"/>
              <w:left w:val="nil"/>
              <w:bottom w:val="nil"/>
              <w:right w:val="nil"/>
            </w:tcBorders>
          </w:tcPr>
          <w:p w14:paraId="79BC6F53" w14:textId="77777777" w:rsidR="00724C44" w:rsidRPr="00393FE3" w:rsidRDefault="00724C44" w:rsidP="00393FE3">
            <w:pPr>
              <w:spacing w:after="0" w:line="240" w:lineRule="auto"/>
              <w:jc w:val="both"/>
              <w:rPr>
                <w:sz w:val="22"/>
                <w:szCs w:val="22"/>
              </w:rPr>
            </w:pPr>
            <w:r w:rsidRPr="00393FE3">
              <w:rPr>
                <w:sz w:val="22"/>
                <w:szCs w:val="22"/>
              </w:rPr>
              <w:t>0.82</w:t>
            </w:r>
          </w:p>
        </w:tc>
        <w:tc>
          <w:tcPr>
            <w:tcW w:w="2448" w:type="dxa"/>
            <w:tcBorders>
              <w:top w:val="nil"/>
              <w:left w:val="nil"/>
              <w:bottom w:val="nil"/>
              <w:right w:val="nil"/>
            </w:tcBorders>
          </w:tcPr>
          <w:p w14:paraId="4D07B9FD"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7A40BEA3" w14:textId="77777777" w:rsidTr="00A5379F">
        <w:tc>
          <w:tcPr>
            <w:tcW w:w="4752" w:type="dxa"/>
            <w:tcBorders>
              <w:top w:val="nil"/>
              <w:left w:val="nil"/>
              <w:bottom w:val="nil"/>
              <w:right w:val="nil"/>
            </w:tcBorders>
          </w:tcPr>
          <w:p w14:paraId="3BB029BB" w14:textId="77777777" w:rsidR="00724C44" w:rsidRPr="00393FE3" w:rsidRDefault="00724C44" w:rsidP="00393FE3">
            <w:pPr>
              <w:spacing w:after="0" w:line="240" w:lineRule="auto"/>
              <w:jc w:val="both"/>
              <w:rPr>
                <w:sz w:val="22"/>
                <w:szCs w:val="22"/>
              </w:rPr>
            </w:pPr>
            <w:r w:rsidRPr="00393FE3">
              <w:rPr>
                <w:sz w:val="22"/>
                <w:szCs w:val="22"/>
              </w:rPr>
              <w:t>Governance</w:t>
            </w:r>
          </w:p>
        </w:tc>
        <w:tc>
          <w:tcPr>
            <w:tcW w:w="1008" w:type="dxa"/>
            <w:tcBorders>
              <w:top w:val="nil"/>
              <w:left w:val="nil"/>
              <w:bottom w:val="nil"/>
              <w:right w:val="nil"/>
            </w:tcBorders>
          </w:tcPr>
          <w:p w14:paraId="703DCECF" w14:textId="77777777" w:rsidR="00724C44" w:rsidRPr="00393FE3" w:rsidRDefault="00724C44" w:rsidP="00393FE3">
            <w:pPr>
              <w:spacing w:after="0" w:line="240" w:lineRule="auto"/>
              <w:jc w:val="both"/>
              <w:rPr>
                <w:sz w:val="22"/>
                <w:szCs w:val="22"/>
              </w:rPr>
            </w:pPr>
            <w:r w:rsidRPr="00393FE3">
              <w:rPr>
                <w:sz w:val="22"/>
                <w:szCs w:val="22"/>
              </w:rPr>
              <w:t>5.61</w:t>
            </w:r>
          </w:p>
        </w:tc>
        <w:tc>
          <w:tcPr>
            <w:tcW w:w="1008" w:type="dxa"/>
            <w:tcBorders>
              <w:top w:val="nil"/>
              <w:left w:val="nil"/>
              <w:bottom w:val="nil"/>
              <w:right w:val="nil"/>
            </w:tcBorders>
          </w:tcPr>
          <w:p w14:paraId="0E33E046" w14:textId="77777777" w:rsidR="00724C44" w:rsidRPr="00393FE3" w:rsidRDefault="00724C44" w:rsidP="00393FE3">
            <w:pPr>
              <w:spacing w:after="0" w:line="240" w:lineRule="auto"/>
              <w:jc w:val="both"/>
              <w:rPr>
                <w:sz w:val="22"/>
                <w:szCs w:val="22"/>
              </w:rPr>
            </w:pPr>
            <w:r w:rsidRPr="00393FE3">
              <w:rPr>
                <w:sz w:val="22"/>
                <w:szCs w:val="22"/>
              </w:rPr>
              <w:t>0.66</w:t>
            </w:r>
          </w:p>
        </w:tc>
        <w:tc>
          <w:tcPr>
            <w:tcW w:w="2448" w:type="dxa"/>
            <w:tcBorders>
              <w:top w:val="nil"/>
              <w:left w:val="nil"/>
              <w:bottom w:val="nil"/>
              <w:right w:val="nil"/>
            </w:tcBorders>
          </w:tcPr>
          <w:p w14:paraId="772FA7AE" w14:textId="77777777" w:rsidR="00724C44" w:rsidRPr="00393FE3" w:rsidRDefault="00724C44" w:rsidP="00393FE3">
            <w:pPr>
              <w:spacing w:after="0" w:line="240" w:lineRule="auto"/>
              <w:jc w:val="both"/>
              <w:rPr>
                <w:sz w:val="22"/>
                <w:szCs w:val="22"/>
              </w:rPr>
            </w:pPr>
            <w:r w:rsidRPr="00393FE3">
              <w:rPr>
                <w:sz w:val="22"/>
                <w:szCs w:val="22"/>
              </w:rPr>
              <w:t>High</w:t>
            </w:r>
          </w:p>
        </w:tc>
      </w:tr>
      <w:tr w:rsidR="00724C44" w:rsidRPr="00724C44" w14:paraId="56EEDCCC" w14:textId="77777777" w:rsidTr="00A5379F">
        <w:tc>
          <w:tcPr>
            <w:tcW w:w="4752" w:type="dxa"/>
            <w:tcBorders>
              <w:top w:val="nil"/>
              <w:left w:val="nil"/>
              <w:bottom w:val="single" w:sz="4" w:space="0" w:color="000000"/>
              <w:right w:val="nil"/>
            </w:tcBorders>
          </w:tcPr>
          <w:p w14:paraId="20DE59F2" w14:textId="77777777" w:rsidR="00724C44" w:rsidRPr="00393FE3" w:rsidRDefault="00724C44" w:rsidP="00393FE3">
            <w:pPr>
              <w:spacing w:after="0" w:line="240" w:lineRule="auto"/>
              <w:jc w:val="both"/>
              <w:rPr>
                <w:sz w:val="22"/>
                <w:szCs w:val="22"/>
              </w:rPr>
            </w:pPr>
            <w:r w:rsidRPr="00393FE3">
              <w:rPr>
                <w:sz w:val="22"/>
                <w:szCs w:val="22"/>
              </w:rPr>
              <w:t>Overall Integration Protocols</w:t>
            </w:r>
          </w:p>
        </w:tc>
        <w:tc>
          <w:tcPr>
            <w:tcW w:w="1008" w:type="dxa"/>
            <w:tcBorders>
              <w:top w:val="nil"/>
              <w:left w:val="nil"/>
              <w:bottom w:val="single" w:sz="4" w:space="0" w:color="000000"/>
              <w:right w:val="nil"/>
            </w:tcBorders>
          </w:tcPr>
          <w:p w14:paraId="0D2D4D98" w14:textId="77777777" w:rsidR="00724C44" w:rsidRPr="00393FE3" w:rsidRDefault="00724C44" w:rsidP="00393FE3">
            <w:pPr>
              <w:spacing w:after="0" w:line="240" w:lineRule="auto"/>
              <w:jc w:val="both"/>
              <w:rPr>
                <w:sz w:val="22"/>
                <w:szCs w:val="22"/>
              </w:rPr>
            </w:pPr>
            <w:r w:rsidRPr="00393FE3">
              <w:rPr>
                <w:sz w:val="22"/>
                <w:szCs w:val="22"/>
              </w:rPr>
              <w:t>4.71</w:t>
            </w:r>
          </w:p>
        </w:tc>
        <w:tc>
          <w:tcPr>
            <w:tcW w:w="1008" w:type="dxa"/>
            <w:tcBorders>
              <w:top w:val="nil"/>
              <w:left w:val="nil"/>
              <w:bottom w:val="single" w:sz="4" w:space="0" w:color="000000"/>
              <w:right w:val="nil"/>
            </w:tcBorders>
          </w:tcPr>
          <w:p w14:paraId="1E0667EF" w14:textId="77777777" w:rsidR="00724C44" w:rsidRPr="00393FE3" w:rsidRDefault="00724C44" w:rsidP="00393FE3">
            <w:pPr>
              <w:spacing w:after="0" w:line="240" w:lineRule="auto"/>
              <w:jc w:val="both"/>
              <w:rPr>
                <w:sz w:val="22"/>
                <w:szCs w:val="22"/>
              </w:rPr>
            </w:pPr>
            <w:r w:rsidRPr="00393FE3">
              <w:rPr>
                <w:sz w:val="22"/>
                <w:szCs w:val="22"/>
              </w:rPr>
              <w:t>0.40</w:t>
            </w:r>
          </w:p>
        </w:tc>
        <w:tc>
          <w:tcPr>
            <w:tcW w:w="2448" w:type="dxa"/>
            <w:tcBorders>
              <w:top w:val="nil"/>
              <w:left w:val="nil"/>
              <w:bottom w:val="single" w:sz="4" w:space="0" w:color="000000"/>
              <w:right w:val="nil"/>
            </w:tcBorders>
          </w:tcPr>
          <w:p w14:paraId="76CDF9A3" w14:textId="77777777" w:rsidR="00724C44" w:rsidRPr="00393FE3" w:rsidRDefault="00724C44" w:rsidP="00393FE3">
            <w:pPr>
              <w:spacing w:after="0" w:line="240" w:lineRule="auto"/>
              <w:jc w:val="both"/>
              <w:rPr>
                <w:sz w:val="22"/>
                <w:szCs w:val="22"/>
              </w:rPr>
            </w:pPr>
            <w:r w:rsidRPr="00393FE3">
              <w:rPr>
                <w:sz w:val="22"/>
                <w:szCs w:val="22"/>
              </w:rPr>
              <w:t>Moderate-High</w:t>
            </w:r>
          </w:p>
        </w:tc>
      </w:tr>
    </w:tbl>
    <w:p w14:paraId="24995E3F" w14:textId="77777777" w:rsidR="00724C44" w:rsidRPr="00724C44" w:rsidRDefault="00724C44" w:rsidP="00724C44">
      <w:pPr>
        <w:spacing w:line="240" w:lineRule="auto"/>
        <w:jc w:val="both"/>
      </w:pPr>
      <w:r w:rsidRPr="00724C44">
        <w:t>Integration protocols show a distinctive pattern. Governance frameworks (M = 5.61) and quality assurance mechanisms (M = 5.34) demonstrate high levels of implementation, indicating that organizations have established controls for data integrity. However, data integration (M = 3.64) and process integration (M = 4.27) show weaker development, suggesting that the technical and procedural connections between AI systems and disclosure processes remain underdeveloped. This pattern is consistent with the gap between data and data disclosure: organizations demonstrate strong data governance and auditing capabilities alongside weaker linkages between systems and processes for data disclosure.</w:t>
      </w:r>
    </w:p>
    <w:p w14:paraId="2AC14C16" w14:textId="77777777" w:rsidR="00724C44" w:rsidRPr="00724C44" w:rsidRDefault="00724C44" w:rsidP="00724C44">
      <w:pPr>
        <w:spacing w:line="240" w:lineRule="auto"/>
        <w:jc w:val="both"/>
      </w:pPr>
      <w:r w:rsidRPr="00724C44">
        <w:rPr>
          <w:b/>
        </w:rPr>
        <w:t>4.8 Research Objective 3: Hypothesis Testing</w:t>
      </w:r>
    </w:p>
    <w:p w14:paraId="5490C07B" w14:textId="77777777" w:rsidR="00724C44" w:rsidRPr="00724C44" w:rsidRDefault="00724C44" w:rsidP="00724C44">
      <w:pPr>
        <w:spacing w:line="240" w:lineRule="auto"/>
        <w:jc w:val="both"/>
      </w:pPr>
      <w:r w:rsidRPr="00724C44">
        <w:t>Research Objective 3 tested the hypothesized relationships among AI integration, integration protocols, pay transparency, organizational size, and the quality of human capital disclosure. This section presents the results of correlation analyses and moderation testing for all four research hypotheses.</w:t>
      </w:r>
    </w:p>
    <w:p w14:paraId="50351C61" w14:textId="77777777" w:rsidR="00724C44" w:rsidRPr="00724C44" w:rsidRDefault="00724C44" w:rsidP="00724C44">
      <w:pPr>
        <w:spacing w:line="240" w:lineRule="auto"/>
        <w:jc w:val="both"/>
      </w:pPr>
      <w:r w:rsidRPr="00724C44">
        <w:rPr>
          <w:b/>
        </w:rPr>
        <w:t>Table 4.28</w:t>
      </w:r>
    </w:p>
    <w:p w14:paraId="208E8C15" w14:textId="77777777" w:rsidR="00724C44" w:rsidRPr="00724C44" w:rsidRDefault="00724C44" w:rsidP="00724C44">
      <w:pPr>
        <w:spacing w:line="240" w:lineRule="auto"/>
        <w:jc w:val="both"/>
      </w:pPr>
      <w:r w:rsidRPr="00724C44">
        <w:rPr>
          <w:i/>
        </w:rPr>
        <w:t>Hypothesis Testing Summary</w:t>
      </w:r>
    </w:p>
    <w:tbl>
      <w:tblPr>
        <w:tblW w:w="9270" w:type="dxa"/>
        <w:tblLayout w:type="fixed"/>
        <w:tblLook w:val="04A0" w:firstRow="1" w:lastRow="0" w:firstColumn="1" w:lastColumn="0" w:noHBand="0" w:noVBand="1"/>
      </w:tblPr>
      <w:tblGrid>
        <w:gridCol w:w="3600"/>
        <w:gridCol w:w="2250"/>
        <w:gridCol w:w="1800"/>
        <w:gridCol w:w="1620"/>
      </w:tblGrid>
      <w:tr w:rsidR="00724C44" w:rsidRPr="00724C44" w14:paraId="3606A643" w14:textId="77777777" w:rsidTr="00393FE3">
        <w:tc>
          <w:tcPr>
            <w:tcW w:w="3600" w:type="dxa"/>
            <w:tcBorders>
              <w:top w:val="single" w:sz="4" w:space="0" w:color="000000"/>
              <w:left w:val="nil"/>
              <w:bottom w:val="single" w:sz="4" w:space="0" w:color="000000"/>
              <w:right w:val="nil"/>
            </w:tcBorders>
          </w:tcPr>
          <w:p w14:paraId="17A0C91D" w14:textId="77777777" w:rsidR="00724C44" w:rsidRPr="00393FE3" w:rsidRDefault="00724C44" w:rsidP="00393FE3">
            <w:pPr>
              <w:spacing w:after="0" w:line="240" w:lineRule="auto"/>
              <w:jc w:val="both"/>
              <w:rPr>
                <w:sz w:val="22"/>
                <w:szCs w:val="22"/>
              </w:rPr>
            </w:pPr>
            <w:r w:rsidRPr="00393FE3">
              <w:rPr>
                <w:b/>
                <w:sz w:val="22"/>
                <w:szCs w:val="22"/>
              </w:rPr>
              <w:t>Hypothesis</w:t>
            </w:r>
          </w:p>
        </w:tc>
        <w:tc>
          <w:tcPr>
            <w:tcW w:w="2250" w:type="dxa"/>
            <w:tcBorders>
              <w:top w:val="single" w:sz="4" w:space="0" w:color="000000"/>
              <w:left w:val="nil"/>
              <w:bottom w:val="single" w:sz="4" w:space="0" w:color="000000"/>
              <w:right w:val="nil"/>
            </w:tcBorders>
          </w:tcPr>
          <w:p w14:paraId="0E501BF4" w14:textId="77777777" w:rsidR="00724C44" w:rsidRPr="00393FE3" w:rsidRDefault="00724C44" w:rsidP="00393FE3">
            <w:pPr>
              <w:spacing w:after="0" w:line="240" w:lineRule="auto"/>
              <w:jc w:val="both"/>
              <w:rPr>
                <w:sz w:val="22"/>
                <w:szCs w:val="22"/>
              </w:rPr>
            </w:pPr>
            <w:r w:rsidRPr="00393FE3">
              <w:rPr>
                <w:b/>
                <w:sz w:val="22"/>
                <w:szCs w:val="22"/>
              </w:rPr>
              <w:t>Test Statistic</w:t>
            </w:r>
          </w:p>
        </w:tc>
        <w:tc>
          <w:tcPr>
            <w:tcW w:w="1800" w:type="dxa"/>
            <w:tcBorders>
              <w:top w:val="single" w:sz="4" w:space="0" w:color="000000"/>
              <w:left w:val="nil"/>
              <w:bottom w:val="single" w:sz="4" w:space="0" w:color="000000"/>
              <w:right w:val="nil"/>
            </w:tcBorders>
          </w:tcPr>
          <w:p w14:paraId="324D1EE2" w14:textId="77777777" w:rsidR="00724C44" w:rsidRPr="00393FE3" w:rsidRDefault="00724C44" w:rsidP="00393FE3">
            <w:pPr>
              <w:spacing w:after="0" w:line="240" w:lineRule="auto"/>
              <w:jc w:val="both"/>
              <w:rPr>
                <w:sz w:val="22"/>
                <w:szCs w:val="22"/>
              </w:rPr>
            </w:pPr>
            <w:r w:rsidRPr="00393FE3">
              <w:rPr>
                <w:b/>
                <w:sz w:val="22"/>
                <w:szCs w:val="22"/>
              </w:rPr>
              <w:t>p-value</w:t>
            </w:r>
          </w:p>
        </w:tc>
        <w:tc>
          <w:tcPr>
            <w:tcW w:w="1620" w:type="dxa"/>
            <w:tcBorders>
              <w:top w:val="single" w:sz="4" w:space="0" w:color="000000"/>
              <w:left w:val="nil"/>
              <w:bottom w:val="single" w:sz="4" w:space="0" w:color="000000"/>
              <w:right w:val="nil"/>
            </w:tcBorders>
          </w:tcPr>
          <w:p w14:paraId="53A68344" w14:textId="77777777" w:rsidR="00724C44" w:rsidRPr="00393FE3" w:rsidRDefault="00724C44" w:rsidP="00393FE3">
            <w:pPr>
              <w:spacing w:after="0" w:line="240" w:lineRule="auto"/>
              <w:jc w:val="both"/>
              <w:rPr>
                <w:sz w:val="22"/>
                <w:szCs w:val="22"/>
              </w:rPr>
            </w:pPr>
            <w:r w:rsidRPr="00393FE3">
              <w:rPr>
                <w:b/>
                <w:sz w:val="22"/>
                <w:szCs w:val="22"/>
              </w:rPr>
              <w:t>Result</w:t>
            </w:r>
          </w:p>
        </w:tc>
      </w:tr>
      <w:tr w:rsidR="00724C44" w:rsidRPr="00724C44" w14:paraId="28C60DCC" w14:textId="77777777" w:rsidTr="00393FE3">
        <w:tc>
          <w:tcPr>
            <w:tcW w:w="3600" w:type="dxa"/>
            <w:tcBorders>
              <w:top w:val="nil"/>
              <w:left w:val="nil"/>
              <w:bottom w:val="nil"/>
              <w:right w:val="nil"/>
            </w:tcBorders>
          </w:tcPr>
          <w:p w14:paraId="38253B05" w14:textId="77777777" w:rsidR="00724C44" w:rsidRPr="00393FE3" w:rsidRDefault="00724C44" w:rsidP="00393FE3">
            <w:pPr>
              <w:spacing w:after="0" w:line="240" w:lineRule="auto"/>
              <w:jc w:val="both"/>
              <w:rPr>
                <w:sz w:val="22"/>
                <w:szCs w:val="22"/>
              </w:rPr>
            </w:pPr>
            <w:r w:rsidRPr="00393FE3">
              <w:rPr>
                <w:sz w:val="22"/>
                <w:szCs w:val="22"/>
              </w:rPr>
              <w:t>H1: AI Integration positively relates to HCD Quality</w:t>
            </w:r>
          </w:p>
        </w:tc>
        <w:tc>
          <w:tcPr>
            <w:tcW w:w="2250" w:type="dxa"/>
            <w:tcBorders>
              <w:top w:val="nil"/>
              <w:left w:val="nil"/>
              <w:bottom w:val="nil"/>
              <w:right w:val="nil"/>
            </w:tcBorders>
          </w:tcPr>
          <w:p w14:paraId="07561120" w14:textId="77777777" w:rsidR="00724C44" w:rsidRPr="00393FE3" w:rsidRDefault="00724C44" w:rsidP="00393FE3">
            <w:pPr>
              <w:spacing w:after="0" w:line="240" w:lineRule="auto"/>
              <w:jc w:val="both"/>
              <w:rPr>
                <w:sz w:val="22"/>
                <w:szCs w:val="22"/>
              </w:rPr>
            </w:pPr>
            <w:r w:rsidRPr="00393FE3">
              <w:rPr>
                <w:sz w:val="22"/>
                <w:szCs w:val="22"/>
              </w:rPr>
              <w:t>r = -0.075</w:t>
            </w:r>
          </w:p>
        </w:tc>
        <w:tc>
          <w:tcPr>
            <w:tcW w:w="1800" w:type="dxa"/>
            <w:tcBorders>
              <w:top w:val="nil"/>
              <w:left w:val="nil"/>
              <w:bottom w:val="nil"/>
              <w:right w:val="nil"/>
            </w:tcBorders>
          </w:tcPr>
          <w:p w14:paraId="0BDBB818" w14:textId="77777777" w:rsidR="00724C44" w:rsidRPr="00393FE3" w:rsidRDefault="00724C44" w:rsidP="00393FE3">
            <w:pPr>
              <w:spacing w:after="0" w:line="240" w:lineRule="auto"/>
              <w:jc w:val="both"/>
              <w:rPr>
                <w:sz w:val="22"/>
                <w:szCs w:val="22"/>
              </w:rPr>
            </w:pPr>
            <w:r w:rsidRPr="00393FE3">
              <w:rPr>
                <w:sz w:val="22"/>
                <w:szCs w:val="22"/>
              </w:rPr>
              <w:t>p = 0.132</w:t>
            </w:r>
          </w:p>
        </w:tc>
        <w:tc>
          <w:tcPr>
            <w:tcW w:w="1620" w:type="dxa"/>
            <w:tcBorders>
              <w:top w:val="nil"/>
              <w:left w:val="nil"/>
              <w:bottom w:val="nil"/>
              <w:right w:val="nil"/>
            </w:tcBorders>
          </w:tcPr>
          <w:p w14:paraId="07321E6E" w14:textId="77777777" w:rsidR="00724C44" w:rsidRPr="00393FE3" w:rsidRDefault="00724C44" w:rsidP="00393FE3">
            <w:pPr>
              <w:spacing w:after="0" w:line="240" w:lineRule="auto"/>
              <w:jc w:val="both"/>
              <w:rPr>
                <w:sz w:val="22"/>
                <w:szCs w:val="22"/>
              </w:rPr>
            </w:pPr>
            <w:r w:rsidRPr="00393FE3">
              <w:rPr>
                <w:sz w:val="22"/>
                <w:szCs w:val="22"/>
              </w:rPr>
              <w:t>Not Supported</w:t>
            </w:r>
          </w:p>
        </w:tc>
      </w:tr>
      <w:tr w:rsidR="00724C44" w:rsidRPr="00724C44" w14:paraId="3DDD6550" w14:textId="77777777" w:rsidTr="00393FE3">
        <w:tc>
          <w:tcPr>
            <w:tcW w:w="3600" w:type="dxa"/>
            <w:tcBorders>
              <w:top w:val="nil"/>
              <w:left w:val="nil"/>
              <w:bottom w:val="nil"/>
              <w:right w:val="nil"/>
            </w:tcBorders>
          </w:tcPr>
          <w:p w14:paraId="510C088D" w14:textId="77777777" w:rsidR="00724C44" w:rsidRPr="00393FE3" w:rsidRDefault="00724C44" w:rsidP="00393FE3">
            <w:pPr>
              <w:spacing w:after="0" w:line="240" w:lineRule="auto"/>
              <w:jc w:val="both"/>
              <w:rPr>
                <w:sz w:val="22"/>
                <w:szCs w:val="22"/>
              </w:rPr>
            </w:pPr>
            <w:r w:rsidRPr="00393FE3">
              <w:rPr>
                <w:sz w:val="22"/>
                <w:szCs w:val="22"/>
              </w:rPr>
              <w:t>H2: Integration protocols mediate AI→HCD relationship</w:t>
            </w:r>
          </w:p>
        </w:tc>
        <w:tc>
          <w:tcPr>
            <w:tcW w:w="2250" w:type="dxa"/>
            <w:tcBorders>
              <w:top w:val="nil"/>
              <w:left w:val="nil"/>
              <w:bottom w:val="nil"/>
              <w:right w:val="nil"/>
            </w:tcBorders>
          </w:tcPr>
          <w:p w14:paraId="55B0E0F6" w14:textId="77777777" w:rsidR="00724C44" w:rsidRPr="00393FE3" w:rsidRDefault="00724C44" w:rsidP="00393FE3">
            <w:pPr>
              <w:spacing w:after="0" w:line="240" w:lineRule="auto"/>
              <w:rPr>
                <w:sz w:val="22"/>
                <w:szCs w:val="22"/>
              </w:rPr>
            </w:pPr>
            <w:proofErr w:type="spellStart"/>
            <w:r w:rsidRPr="00393FE3">
              <w:rPr>
                <w:sz w:val="22"/>
                <w:szCs w:val="22"/>
              </w:rPr>
              <w:t>AI→Int</w:t>
            </w:r>
            <w:proofErr w:type="spellEnd"/>
            <w:r w:rsidRPr="00393FE3">
              <w:rPr>
                <w:sz w:val="22"/>
                <w:szCs w:val="22"/>
              </w:rPr>
              <w:t xml:space="preserve">: r = .380***; </w:t>
            </w:r>
            <w:proofErr w:type="spellStart"/>
            <w:r w:rsidRPr="00393FE3">
              <w:rPr>
                <w:sz w:val="22"/>
                <w:szCs w:val="22"/>
              </w:rPr>
              <w:t>Int→HCD</w:t>
            </w:r>
            <w:proofErr w:type="spellEnd"/>
            <w:r w:rsidRPr="00393FE3">
              <w:rPr>
                <w:sz w:val="22"/>
                <w:szCs w:val="22"/>
              </w:rPr>
              <w:t>: r = .036</w:t>
            </w:r>
          </w:p>
        </w:tc>
        <w:tc>
          <w:tcPr>
            <w:tcW w:w="1800" w:type="dxa"/>
            <w:tcBorders>
              <w:top w:val="nil"/>
              <w:left w:val="nil"/>
              <w:bottom w:val="nil"/>
              <w:right w:val="nil"/>
            </w:tcBorders>
          </w:tcPr>
          <w:p w14:paraId="7DB3321A" w14:textId="77777777" w:rsidR="00724C44" w:rsidRPr="00393FE3" w:rsidRDefault="00724C44" w:rsidP="00393FE3">
            <w:pPr>
              <w:spacing w:after="0" w:line="240" w:lineRule="auto"/>
              <w:rPr>
                <w:sz w:val="22"/>
                <w:szCs w:val="22"/>
              </w:rPr>
            </w:pPr>
            <w:r w:rsidRPr="00393FE3">
              <w:rPr>
                <w:sz w:val="22"/>
                <w:szCs w:val="22"/>
              </w:rPr>
              <w:t>p &lt; .001; p = .476</w:t>
            </w:r>
          </w:p>
        </w:tc>
        <w:tc>
          <w:tcPr>
            <w:tcW w:w="1620" w:type="dxa"/>
            <w:tcBorders>
              <w:top w:val="nil"/>
              <w:left w:val="nil"/>
              <w:bottom w:val="nil"/>
              <w:right w:val="nil"/>
            </w:tcBorders>
          </w:tcPr>
          <w:p w14:paraId="5E960F7F" w14:textId="77777777" w:rsidR="00724C44" w:rsidRPr="00393FE3" w:rsidRDefault="00724C44" w:rsidP="00393FE3">
            <w:pPr>
              <w:spacing w:after="0" w:line="240" w:lineRule="auto"/>
              <w:jc w:val="both"/>
              <w:rPr>
                <w:sz w:val="22"/>
                <w:szCs w:val="22"/>
              </w:rPr>
            </w:pPr>
            <w:r w:rsidRPr="00393FE3">
              <w:rPr>
                <w:sz w:val="22"/>
                <w:szCs w:val="22"/>
              </w:rPr>
              <w:t>Not Supported</w:t>
            </w:r>
          </w:p>
        </w:tc>
      </w:tr>
      <w:tr w:rsidR="00724C44" w:rsidRPr="00724C44" w14:paraId="7EF2A771" w14:textId="77777777" w:rsidTr="00393FE3">
        <w:tc>
          <w:tcPr>
            <w:tcW w:w="3600" w:type="dxa"/>
            <w:tcBorders>
              <w:top w:val="nil"/>
              <w:left w:val="nil"/>
              <w:bottom w:val="nil"/>
              <w:right w:val="nil"/>
            </w:tcBorders>
          </w:tcPr>
          <w:p w14:paraId="7184704C" w14:textId="77777777" w:rsidR="00724C44" w:rsidRPr="00393FE3" w:rsidRDefault="00724C44" w:rsidP="00393FE3">
            <w:pPr>
              <w:spacing w:after="0" w:line="240" w:lineRule="auto"/>
              <w:jc w:val="both"/>
              <w:rPr>
                <w:sz w:val="22"/>
                <w:szCs w:val="22"/>
              </w:rPr>
            </w:pPr>
            <w:r w:rsidRPr="00393FE3">
              <w:rPr>
                <w:sz w:val="22"/>
                <w:szCs w:val="22"/>
              </w:rPr>
              <w:t>H3: Pay transparency moderates AI→HCD relationship</w:t>
            </w:r>
          </w:p>
        </w:tc>
        <w:tc>
          <w:tcPr>
            <w:tcW w:w="2250" w:type="dxa"/>
            <w:tcBorders>
              <w:top w:val="nil"/>
              <w:left w:val="nil"/>
              <w:bottom w:val="nil"/>
              <w:right w:val="nil"/>
            </w:tcBorders>
          </w:tcPr>
          <w:p w14:paraId="00D50355" w14:textId="77777777" w:rsidR="00724C44" w:rsidRPr="00393FE3" w:rsidRDefault="00724C44" w:rsidP="00393FE3">
            <w:pPr>
              <w:spacing w:after="0" w:line="240" w:lineRule="auto"/>
              <w:jc w:val="both"/>
              <w:rPr>
                <w:sz w:val="22"/>
                <w:szCs w:val="22"/>
              </w:rPr>
            </w:pPr>
            <w:r w:rsidRPr="00393FE3">
              <w:rPr>
                <w:sz w:val="22"/>
                <w:szCs w:val="22"/>
              </w:rPr>
              <w:t>z = 2.249</w:t>
            </w:r>
          </w:p>
        </w:tc>
        <w:tc>
          <w:tcPr>
            <w:tcW w:w="1800" w:type="dxa"/>
            <w:tcBorders>
              <w:top w:val="nil"/>
              <w:left w:val="nil"/>
              <w:bottom w:val="nil"/>
              <w:right w:val="nil"/>
            </w:tcBorders>
          </w:tcPr>
          <w:p w14:paraId="06ED80C4" w14:textId="77777777" w:rsidR="00724C44" w:rsidRPr="00393FE3" w:rsidRDefault="00724C44" w:rsidP="00393FE3">
            <w:pPr>
              <w:spacing w:after="0" w:line="240" w:lineRule="auto"/>
              <w:jc w:val="both"/>
              <w:rPr>
                <w:sz w:val="22"/>
                <w:szCs w:val="22"/>
              </w:rPr>
            </w:pPr>
            <w:r w:rsidRPr="00393FE3">
              <w:rPr>
                <w:sz w:val="22"/>
                <w:szCs w:val="22"/>
              </w:rPr>
              <w:t>p = 0.024</w:t>
            </w:r>
          </w:p>
        </w:tc>
        <w:tc>
          <w:tcPr>
            <w:tcW w:w="1620" w:type="dxa"/>
            <w:tcBorders>
              <w:top w:val="nil"/>
              <w:left w:val="nil"/>
              <w:bottom w:val="nil"/>
              <w:right w:val="nil"/>
            </w:tcBorders>
          </w:tcPr>
          <w:p w14:paraId="60718B1C" w14:textId="77777777" w:rsidR="00724C44" w:rsidRPr="00393FE3" w:rsidRDefault="00724C44" w:rsidP="00393FE3">
            <w:pPr>
              <w:spacing w:after="0" w:line="240" w:lineRule="auto"/>
              <w:jc w:val="both"/>
              <w:rPr>
                <w:sz w:val="22"/>
                <w:szCs w:val="22"/>
              </w:rPr>
            </w:pPr>
            <w:r w:rsidRPr="00393FE3">
              <w:rPr>
                <w:sz w:val="22"/>
                <w:szCs w:val="22"/>
              </w:rPr>
              <w:t>Supported</w:t>
            </w:r>
          </w:p>
        </w:tc>
      </w:tr>
      <w:tr w:rsidR="00724C44" w:rsidRPr="00724C44" w14:paraId="17EF7577" w14:textId="77777777" w:rsidTr="00393FE3">
        <w:tc>
          <w:tcPr>
            <w:tcW w:w="3600" w:type="dxa"/>
            <w:tcBorders>
              <w:top w:val="nil"/>
              <w:left w:val="nil"/>
              <w:bottom w:val="single" w:sz="4" w:space="0" w:color="000000"/>
              <w:right w:val="nil"/>
            </w:tcBorders>
          </w:tcPr>
          <w:p w14:paraId="3E0EA2B8" w14:textId="77777777" w:rsidR="00724C44" w:rsidRPr="00393FE3" w:rsidRDefault="00724C44" w:rsidP="00393FE3">
            <w:pPr>
              <w:spacing w:after="0" w:line="240" w:lineRule="auto"/>
              <w:jc w:val="both"/>
              <w:rPr>
                <w:sz w:val="22"/>
                <w:szCs w:val="22"/>
              </w:rPr>
            </w:pPr>
            <w:r w:rsidRPr="00393FE3">
              <w:rPr>
                <w:sz w:val="22"/>
                <w:szCs w:val="22"/>
              </w:rPr>
              <w:t>H4: Organizational size moderates AI→HCD relationship</w:t>
            </w:r>
          </w:p>
        </w:tc>
        <w:tc>
          <w:tcPr>
            <w:tcW w:w="2250" w:type="dxa"/>
            <w:tcBorders>
              <w:top w:val="nil"/>
              <w:left w:val="nil"/>
              <w:bottom w:val="single" w:sz="4" w:space="0" w:color="000000"/>
              <w:right w:val="nil"/>
            </w:tcBorders>
          </w:tcPr>
          <w:p w14:paraId="528552AC" w14:textId="77777777" w:rsidR="00724C44" w:rsidRPr="00393FE3" w:rsidRDefault="00724C44" w:rsidP="00393FE3">
            <w:pPr>
              <w:spacing w:after="0" w:line="240" w:lineRule="auto"/>
              <w:jc w:val="both"/>
              <w:rPr>
                <w:sz w:val="22"/>
                <w:szCs w:val="22"/>
              </w:rPr>
            </w:pPr>
            <w:r w:rsidRPr="00393FE3">
              <w:rPr>
                <w:sz w:val="22"/>
                <w:szCs w:val="22"/>
              </w:rPr>
              <w:t>Inconsistent pattern</w:t>
            </w:r>
          </w:p>
        </w:tc>
        <w:tc>
          <w:tcPr>
            <w:tcW w:w="1800" w:type="dxa"/>
            <w:tcBorders>
              <w:top w:val="nil"/>
              <w:left w:val="nil"/>
              <w:bottom w:val="single" w:sz="4" w:space="0" w:color="000000"/>
              <w:right w:val="nil"/>
            </w:tcBorders>
          </w:tcPr>
          <w:p w14:paraId="5FC1648D" w14:textId="77777777" w:rsidR="00724C44" w:rsidRPr="00393FE3" w:rsidRDefault="00724C44" w:rsidP="00393FE3">
            <w:pPr>
              <w:spacing w:after="0" w:line="240" w:lineRule="auto"/>
              <w:jc w:val="both"/>
              <w:rPr>
                <w:sz w:val="22"/>
                <w:szCs w:val="22"/>
              </w:rPr>
            </w:pPr>
            <w:r w:rsidRPr="00393FE3">
              <w:rPr>
                <w:sz w:val="22"/>
                <w:szCs w:val="22"/>
              </w:rPr>
              <w:t>Various</w:t>
            </w:r>
          </w:p>
        </w:tc>
        <w:tc>
          <w:tcPr>
            <w:tcW w:w="1620" w:type="dxa"/>
            <w:tcBorders>
              <w:top w:val="nil"/>
              <w:left w:val="nil"/>
              <w:bottom w:val="single" w:sz="4" w:space="0" w:color="000000"/>
              <w:right w:val="nil"/>
            </w:tcBorders>
          </w:tcPr>
          <w:p w14:paraId="193B6DC9" w14:textId="77777777" w:rsidR="00724C44" w:rsidRPr="00393FE3" w:rsidRDefault="00724C44" w:rsidP="00393FE3">
            <w:pPr>
              <w:spacing w:after="0" w:line="240" w:lineRule="auto"/>
              <w:jc w:val="both"/>
              <w:rPr>
                <w:sz w:val="22"/>
                <w:szCs w:val="22"/>
              </w:rPr>
            </w:pPr>
            <w:r w:rsidRPr="00393FE3">
              <w:rPr>
                <w:sz w:val="22"/>
                <w:szCs w:val="22"/>
              </w:rPr>
              <w:t>Not Supported</w:t>
            </w:r>
          </w:p>
        </w:tc>
      </w:tr>
    </w:tbl>
    <w:p w14:paraId="587A079B" w14:textId="77777777" w:rsidR="00724C44" w:rsidRPr="00393FE3" w:rsidRDefault="00724C44" w:rsidP="00724C44">
      <w:pPr>
        <w:spacing w:line="240" w:lineRule="auto"/>
        <w:jc w:val="both"/>
        <w:rPr>
          <w:sz w:val="22"/>
          <w:szCs w:val="22"/>
        </w:rPr>
      </w:pPr>
      <w:r w:rsidRPr="00393FE3">
        <w:rPr>
          <w:i/>
          <w:sz w:val="22"/>
          <w:szCs w:val="22"/>
        </w:rPr>
        <w:t xml:space="preserve">Note. </w:t>
      </w:r>
      <w:r w:rsidRPr="00393FE3">
        <w:rPr>
          <w:sz w:val="22"/>
          <w:szCs w:val="22"/>
        </w:rPr>
        <w:t>*** p &lt; .001</w:t>
      </w:r>
    </w:p>
    <w:p w14:paraId="5C82BA0C" w14:textId="77777777" w:rsidR="00724C44" w:rsidRPr="00724C44" w:rsidRDefault="00724C44" w:rsidP="00724C44">
      <w:pPr>
        <w:spacing w:line="240" w:lineRule="auto"/>
        <w:jc w:val="both"/>
      </w:pPr>
      <w:r w:rsidRPr="00724C44">
        <w:rPr>
          <w:b/>
        </w:rPr>
        <w:t>4.8.1 Hypothesis 1: Direct Relationship</w:t>
      </w:r>
    </w:p>
    <w:p w14:paraId="1E28380D" w14:textId="77777777" w:rsidR="00724C44" w:rsidRPr="00724C44" w:rsidRDefault="00724C44" w:rsidP="00724C44">
      <w:pPr>
        <w:spacing w:line="240" w:lineRule="auto"/>
        <w:jc w:val="both"/>
      </w:pPr>
      <w:r w:rsidRPr="00724C44">
        <w:t xml:space="preserve">Hypothesis 1 proposed that higher levels of AI integration in compensation systems would be positively associated with the quality of human capital accounting disclosures. The correlation </w:t>
      </w:r>
      <w:r w:rsidRPr="00724C44">
        <w:lastRenderedPageBreak/>
        <w:t xml:space="preserve">analysis </w:t>
      </w:r>
      <w:proofErr w:type="gramStart"/>
      <w:r w:rsidRPr="00724C44">
        <w:t>returned</w:t>
      </w:r>
      <w:proofErr w:type="gramEnd"/>
      <w:r w:rsidRPr="00724C44">
        <w:t xml:space="preserve"> a weak, non-significant negative coefficient (r = −0.075, p = .132), and Hypothesis 1 was therefore not supported in its directional form.</w:t>
      </w:r>
    </w:p>
    <w:p w14:paraId="07FB0E76" w14:textId="07323ADD" w:rsidR="00724C44" w:rsidRPr="00724C44" w:rsidRDefault="00724C44" w:rsidP="00724C44">
      <w:pPr>
        <w:spacing w:line="240" w:lineRule="auto"/>
        <w:jc w:val="both"/>
      </w:pPr>
      <w:r w:rsidRPr="00724C44">
        <w:t>The result warrants theoretical interpretation rather than treatment as a failed prediction. H1 was specified as a directional test of the technological-translation argument (Section 2.8)</w:t>
      </w:r>
      <w:r w:rsidR="00C313FF">
        <w:t>—</w:t>
      </w:r>
      <w:r w:rsidRPr="00724C44">
        <w:t xml:space="preserve">that advanced AI </w:t>
      </w:r>
      <w:proofErr w:type="gramStart"/>
      <w:r w:rsidRPr="00724C44">
        <w:t>capabilities should</w:t>
      </w:r>
      <w:proofErr w:type="gramEnd"/>
      <w:r w:rsidRPr="00724C44">
        <w:t xml:space="preserve"> themselves generate richer workforce data and translate into higher-quality disclosure. The absence of a direct association in a sample with moderate-to-high AI capability (M = 4.73) but low disclosure quality (M = 2.98) is strong evidence that this argument is incomplete; the 1.75-point gap (Section 4.6.8) reflects the same disconnect from a different angle. The result is methodologically meaningful (the test was adequately powered, with n = 400) and substantively informative, given the high data-output capability documented in Section 4.4.4.</w:t>
      </w:r>
    </w:p>
    <w:p w14:paraId="45668023" w14:textId="3388349D" w:rsidR="00724C44" w:rsidRPr="00724C44" w:rsidRDefault="00724C44" w:rsidP="00724C44">
      <w:pPr>
        <w:spacing w:line="240" w:lineRule="auto"/>
        <w:jc w:val="both"/>
      </w:pPr>
      <w:r w:rsidRPr="00724C44">
        <w:t xml:space="preserve">Within the conditional framework of </w:t>
      </w:r>
      <w:r w:rsidR="00E133F2">
        <w:t>Sections</w:t>
      </w:r>
      <w:r w:rsidRPr="00724C44">
        <w:t xml:space="preserve"> 1 and 2, the null is anticipated rather than anomalous. AI integration is a necessary but not sufficient condition for disclosure quality, with organizational and institutional readiness as the enabling mechanism (Sections 1.6–1.7; 2.5.4). A direct effect is therefore predicted to be weak or absent without supportive moderating conditions</w:t>
      </w:r>
      <w:r w:rsidR="00C313FF">
        <w:t>—</w:t>
      </w:r>
      <w:r w:rsidRPr="00724C44">
        <w:t>and the present sample (low internal pay transparency, M = 3.38, Section 4.5.2; substantial barriers, M = 3.67, Section 4.10.1) fits that profile. The H1 result, therefore, constitutes substantive empirical support for the conditional theoretical proposition, not a refutation of the study’s central premise.</w:t>
      </w:r>
    </w:p>
    <w:p w14:paraId="084E8C32" w14:textId="77777777" w:rsidR="00724C44" w:rsidRPr="00724C44" w:rsidRDefault="00724C44" w:rsidP="00724C44">
      <w:pPr>
        <w:spacing w:line="240" w:lineRule="auto"/>
        <w:jc w:val="both"/>
      </w:pPr>
      <w:r w:rsidRPr="00724C44">
        <w:t>This interpretation is reinforced by the qualitative findings in Section 4.11. Theme 3.1 (organizational readiness trumps technology) and Theme 1.3 (privacy, ethics, and trust concerns) — which together account for approximately 45% of qualitative responses across Questions 1 and 3 — provide independent evidence that respondents themselves attribute the disclosure deficit not to weak AI capability but to absent organizational, ethical, and institutional conditions. The joint display in Section 4.12 formalizes this convergence between quantitative and qualitative findings.</w:t>
      </w:r>
    </w:p>
    <w:p w14:paraId="48650699" w14:textId="6BE8EAFD" w:rsidR="00724C44" w:rsidRPr="00724C44" w:rsidRDefault="00724C44" w:rsidP="00724C44">
      <w:pPr>
        <w:spacing w:line="240" w:lineRule="auto"/>
        <w:jc w:val="both"/>
      </w:pPr>
      <w:r w:rsidRPr="00724C44">
        <w:t xml:space="preserve">The H1 result thus serves a dual function in the analytical structure of the </w:t>
      </w:r>
      <w:r w:rsidR="00E133F2">
        <w:t>section</w:t>
      </w:r>
      <w:r w:rsidRPr="00724C44">
        <w:t xml:space="preserve">: it tests and rejects the conventional </w:t>
      </w:r>
      <w:proofErr w:type="gramStart"/>
      <w:r w:rsidRPr="00724C44">
        <w:t>direct-effect</w:t>
      </w:r>
      <w:proofErr w:type="gramEnd"/>
      <w:r w:rsidRPr="00724C44">
        <w:t xml:space="preserve"> </w:t>
      </w:r>
      <w:proofErr w:type="gramStart"/>
      <w:r w:rsidRPr="00724C44">
        <w:t>proposition, and</w:t>
      </w:r>
      <w:proofErr w:type="gramEnd"/>
      <w:r w:rsidRPr="00724C44">
        <w:t xml:space="preserve"> establishes the empirical baseline against which the conditional effects formalized in H2, H3, and H4 are evaluated. The supported moderation finding in H3 (Section 4.8.3) completes the conditional argument by identifying pay transparency as the institutional mechanism that activates the AI–disclosure relationship.</w:t>
      </w:r>
    </w:p>
    <w:p w14:paraId="66BAEA68" w14:textId="77777777" w:rsidR="00724C44" w:rsidRPr="00724C44" w:rsidRDefault="00724C44" w:rsidP="00724C44">
      <w:pPr>
        <w:spacing w:line="240" w:lineRule="auto"/>
        <w:jc w:val="both"/>
      </w:pPr>
      <w:r w:rsidRPr="00724C44">
        <w:rPr>
          <w:b/>
        </w:rPr>
        <w:t>4.8.2 Hypothesis 2: Mediation</w:t>
      </w:r>
    </w:p>
    <w:p w14:paraId="2BBF74EB" w14:textId="436B982B" w:rsidR="00724C44" w:rsidRPr="00724C44" w:rsidRDefault="00724C44" w:rsidP="00724C44">
      <w:pPr>
        <w:spacing w:line="240" w:lineRule="auto"/>
        <w:jc w:val="both"/>
      </w:pPr>
      <w:r w:rsidRPr="00724C44">
        <w:t xml:space="preserve">Hypothesis 2 proposed that integration protocols would mediate the relationship between AI integration and the quality of human capital accounting disclosures. Consistent with the </w:t>
      </w:r>
      <w:proofErr w:type="gramStart"/>
      <w:r w:rsidRPr="00724C44">
        <w:t>exploratory</w:t>
      </w:r>
      <w:proofErr w:type="gramEnd"/>
      <w:r w:rsidRPr="00724C44">
        <w:t xml:space="preserve"> analytical scope (Section 3.7.1), the pathway was examined through correlation rather than bootstrapped indirect-effect testing. AI integration was significantly associated with integration protocols (r = 0.380, p &lt; .001), confirming the first path of the proposed mediation. However, integration protocols were not significantly associated with human capital disclosure quality (r = 0.036, p = .476), </w:t>
      </w:r>
      <w:r w:rsidR="00C313FF">
        <w:t>indicating that the second path is empirically absent and that</w:t>
      </w:r>
      <w:r w:rsidRPr="00724C44">
        <w:t xml:space="preserve"> Hypothesis 2 was not supported.</w:t>
      </w:r>
    </w:p>
    <w:p w14:paraId="6AF52CBE" w14:textId="77D541DD" w:rsidR="00724C44" w:rsidRPr="00724C44" w:rsidRDefault="00724C44" w:rsidP="00724C44">
      <w:pPr>
        <w:spacing w:line="240" w:lineRule="auto"/>
        <w:jc w:val="both"/>
      </w:pPr>
      <w:r w:rsidRPr="00724C44">
        <w:t xml:space="preserve">The integration protocol scores (Table 4.27) explain this pattern: while governance (M = 5.61) and quality assurance (M = 5.34) are well developed, the linkage between these internal mechanisms and external disclosure outputs is weak. Read together with H1, the pattern indicates that internal operational mechanisms, in the absence of supportive institutional conditions, are insufficient to </w:t>
      </w:r>
      <w:r w:rsidRPr="00724C44">
        <w:lastRenderedPageBreak/>
        <w:t xml:space="preserve">translate AI capability into disclosure outcomes. Bootstrapped indirect-effect testing </w:t>
      </w:r>
      <w:r w:rsidR="004E3BC8">
        <w:t>(</w:t>
      </w:r>
      <w:r w:rsidR="004E3BC8" w:rsidRPr="004E3BC8">
        <w:t>5,000 resamples</w:t>
      </w:r>
      <w:r w:rsidR="004E3BC8">
        <w:t xml:space="preserve">) </w:t>
      </w:r>
      <w:r w:rsidRPr="00724C44">
        <w:t>using bias-corrected confidence intervals (Hayes, 2022; Preacher &amp; Hayes, 2008) is reserved for the next phase (Section 5.10.6), at which point the formal mediation test will be conducted under best-practice procedures.</w:t>
      </w:r>
    </w:p>
    <w:p w14:paraId="5AC258E7" w14:textId="77777777" w:rsidR="00724C44" w:rsidRPr="00724C44" w:rsidRDefault="00724C44" w:rsidP="00724C44">
      <w:pPr>
        <w:spacing w:line="240" w:lineRule="auto"/>
        <w:jc w:val="both"/>
      </w:pPr>
      <w:r w:rsidRPr="00724C44">
        <w:rPr>
          <w:b/>
        </w:rPr>
        <w:t>4.8.3 Hypothesis 3: Pay Transparency Moderation</w:t>
      </w:r>
    </w:p>
    <w:p w14:paraId="6CD974B3" w14:textId="77777777" w:rsidR="00724C44" w:rsidRPr="00724C44" w:rsidRDefault="00724C44" w:rsidP="00724C44">
      <w:pPr>
        <w:spacing w:line="240" w:lineRule="auto"/>
        <w:jc w:val="both"/>
      </w:pPr>
      <w:r w:rsidRPr="00724C44">
        <w:t xml:space="preserve">Hypothesis 3 proposed that pay transparency would moderate the AI–HCD relationship. Table 4.29 presents </w:t>
      </w:r>
      <w:proofErr w:type="gramStart"/>
      <w:r w:rsidRPr="00724C44">
        <w:t>the detailed</w:t>
      </w:r>
      <w:proofErr w:type="gramEnd"/>
      <w:r w:rsidRPr="00724C44">
        <w:t xml:space="preserve"> moderation analysis.</w:t>
      </w:r>
    </w:p>
    <w:p w14:paraId="6D5EEE9C" w14:textId="77777777" w:rsidR="00724C44" w:rsidRPr="00724C44" w:rsidRDefault="00724C44" w:rsidP="00724C44">
      <w:pPr>
        <w:spacing w:line="240" w:lineRule="auto"/>
        <w:jc w:val="both"/>
      </w:pPr>
      <w:r w:rsidRPr="00724C44">
        <w:rPr>
          <w:b/>
        </w:rPr>
        <w:t>Table 4.29</w:t>
      </w:r>
    </w:p>
    <w:p w14:paraId="6DF4D2FA" w14:textId="77777777" w:rsidR="00724C44" w:rsidRPr="00724C44" w:rsidRDefault="00724C44" w:rsidP="00724C44">
      <w:pPr>
        <w:spacing w:line="240" w:lineRule="auto"/>
        <w:jc w:val="both"/>
      </w:pPr>
      <w:r w:rsidRPr="00724C44">
        <w:rPr>
          <w:i/>
        </w:rPr>
        <w:t>Pay Transparency Moderation Analysis</w:t>
      </w:r>
    </w:p>
    <w:tbl>
      <w:tblPr>
        <w:tblW w:w="0" w:type="auto"/>
        <w:tblLayout w:type="fixed"/>
        <w:tblLook w:val="04A0" w:firstRow="1" w:lastRow="0" w:firstColumn="1" w:lastColumn="0" w:noHBand="0" w:noVBand="1"/>
      </w:tblPr>
      <w:tblGrid>
        <w:gridCol w:w="3870"/>
        <w:gridCol w:w="1008"/>
        <w:gridCol w:w="1512"/>
        <w:gridCol w:w="1170"/>
        <w:gridCol w:w="1440"/>
      </w:tblGrid>
      <w:tr w:rsidR="00724C44" w:rsidRPr="00724C44" w14:paraId="4882165D" w14:textId="77777777" w:rsidTr="00393FE3">
        <w:tc>
          <w:tcPr>
            <w:tcW w:w="3870" w:type="dxa"/>
            <w:tcBorders>
              <w:top w:val="single" w:sz="4" w:space="0" w:color="000000"/>
              <w:left w:val="nil"/>
              <w:bottom w:val="single" w:sz="4" w:space="0" w:color="000000"/>
              <w:right w:val="nil"/>
            </w:tcBorders>
          </w:tcPr>
          <w:p w14:paraId="644EA7D8" w14:textId="77777777" w:rsidR="00724C44" w:rsidRPr="00393FE3" w:rsidRDefault="00724C44" w:rsidP="00393FE3">
            <w:pPr>
              <w:spacing w:after="0" w:line="240" w:lineRule="auto"/>
              <w:jc w:val="both"/>
              <w:rPr>
                <w:sz w:val="22"/>
                <w:szCs w:val="22"/>
              </w:rPr>
            </w:pPr>
            <w:r w:rsidRPr="00393FE3">
              <w:rPr>
                <w:b/>
                <w:sz w:val="22"/>
                <w:szCs w:val="22"/>
              </w:rPr>
              <w:t>Condition</w:t>
            </w:r>
          </w:p>
        </w:tc>
        <w:tc>
          <w:tcPr>
            <w:tcW w:w="1008" w:type="dxa"/>
            <w:tcBorders>
              <w:top w:val="single" w:sz="4" w:space="0" w:color="000000"/>
              <w:left w:val="nil"/>
              <w:bottom w:val="single" w:sz="4" w:space="0" w:color="000000"/>
              <w:right w:val="nil"/>
            </w:tcBorders>
          </w:tcPr>
          <w:p w14:paraId="388A0061" w14:textId="77777777" w:rsidR="00724C44" w:rsidRPr="00393FE3" w:rsidRDefault="00724C44" w:rsidP="00393FE3">
            <w:pPr>
              <w:spacing w:after="0" w:line="240" w:lineRule="auto"/>
              <w:jc w:val="both"/>
              <w:rPr>
                <w:sz w:val="22"/>
                <w:szCs w:val="22"/>
              </w:rPr>
            </w:pPr>
            <w:r w:rsidRPr="00393FE3">
              <w:rPr>
                <w:b/>
                <w:sz w:val="22"/>
                <w:szCs w:val="22"/>
              </w:rPr>
              <w:t>n</w:t>
            </w:r>
          </w:p>
        </w:tc>
        <w:tc>
          <w:tcPr>
            <w:tcW w:w="1512" w:type="dxa"/>
            <w:tcBorders>
              <w:top w:val="single" w:sz="4" w:space="0" w:color="000000"/>
              <w:left w:val="nil"/>
              <w:bottom w:val="single" w:sz="4" w:space="0" w:color="000000"/>
              <w:right w:val="nil"/>
            </w:tcBorders>
          </w:tcPr>
          <w:p w14:paraId="213D6D32" w14:textId="77777777" w:rsidR="00724C44" w:rsidRPr="00393FE3" w:rsidRDefault="00724C44" w:rsidP="00393FE3">
            <w:pPr>
              <w:spacing w:after="0" w:line="240" w:lineRule="auto"/>
              <w:jc w:val="both"/>
              <w:rPr>
                <w:sz w:val="22"/>
                <w:szCs w:val="22"/>
              </w:rPr>
            </w:pPr>
            <w:r w:rsidRPr="00393FE3">
              <w:rPr>
                <w:b/>
                <w:sz w:val="22"/>
                <w:szCs w:val="22"/>
              </w:rPr>
              <w:t>r (AI-HCD)</w:t>
            </w:r>
          </w:p>
        </w:tc>
        <w:tc>
          <w:tcPr>
            <w:tcW w:w="1170" w:type="dxa"/>
            <w:tcBorders>
              <w:top w:val="single" w:sz="4" w:space="0" w:color="000000"/>
              <w:left w:val="nil"/>
              <w:bottom w:val="single" w:sz="4" w:space="0" w:color="000000"/>
              <w:right w:val="nil"/>
            </w:tcBorders>
          </w:tcPr>
          <w:p w14:paraId="4C92D67A" w14:textId="77777777" w:rsidR="00724C44" w:rsidRPr="00393FE3" w:rsidRDefault="00724C44" w:rsidP="00393FE3">
            <w:pPr>
              <w:spacing w:after="0" w:line="240" w:lineRule="auto"/>
              <w:jc w:val="both"/>
              <w:rPr>
                <w:sz w:val="22"/>
                <w:szCs w:val="22"/>
              </w:rPr>
            </w:pPr>
            <w:r w:rsidRPr="00393FE3">
              <w:rPr>
                <w:b/>
                <w:sz w:val="22"/>
                <w:szCs w:val="22"/>
              </w:rPr>
              <w:t>z-test</w:t>
            </w:r>
          </w:p>
        </w:tc>
        <w:tc>
          <w:tcPr>
            <w:tcW w:w="1440" w:type="dxa"/>
            <w:tcBorders>
              <w:top w:val="single" w:sz="4" w:space="0" w:color="000000"/>
              <w:left w:val="nil"/>
              <w:bottom w:val="single" w:sz="4" w:space="0" w:color="000000"/>
              <w:right w:val="nil"/>
            </w:tcBorders>
          </w:tcPr>
          <w:p w14:paraId="383AF2D1" w14:textId="77777777" w:rsidR="00724C44" w:rsidRPr="00393FE3" w:rsidRDefault="00724C44" w:rsidP="00393FE3">
            <w:pPr>
              <w:spacing w:after="0" w:line="240" w:lineRule="auto"/>
              <w:jc w:val="both"/>
              <w:rPr>
                <w:sz w:val="22"/>
                <w:szCs w:val="22"/>
              </w:rPr>
            </w:pPr>
            <w:r w:rsidRPr="00393FE3">
              <w:rPr>
                <w:b/>
                <w:sz w:val="22"/>
                <w:szCs w:val="22"/>
              </w:rPr>
              <w:t>p-value</w:t>
            </w:r>
          </w:p>
        </w:tc>
      </w:tr>
      <w:tr w:rsidR="00724C44" w:rsidRPr="00724C44" w14:paraId="49B0699F" w14:textId="77777777" w:rsidTr="00393FE3">
        <w:tc>
          <w:tcPr>
            <w:tcW w:w="3870" w:type="dxa"/>
            <w:tcBorders>
              <w:top w:val="nil"/>
              <w:left w:val="nil"/>
              <w:bottom w:val="nil"/>
              <w:right w:val="nil"/>
            </w:tcBorders>
          </w:tcPr>
          <w:p w14:paraId="41A0D0D7" w14:textId="77777777" w:rsidR="00724C44" w:rsidRPr="00393FE3" w:rsidRDefault="00724C44" w:rsidP="00393FE3">
            <w:pPr>
              <w:spacing w:after="0" w:line="240" w:lineRule="auto"/>
              <w:jc w:val="both"/>
              <w:rPr>
                <w:sz w:val="22"/>
                <w:szCs w:val="22"/>
              </w:rPr>
            </w:pPr>
            <w:r w:rsidRPr="00393FE3">
              <w:rPr>
                <w:sz w:val="22"/>
                <w:szCs w:val="22"/>
              </w:rPr>
              <w:t>High Pay Transparency (above median)</w:t>
            </w:r>
          </w:p>
        </w:tc>
        <w:tc>
          <w:tcPr>
            <w:tcW w:w="1008" w:type="dxa"/>
            <w:tcBorders>
              <w:top w:val="nil"/>
              <w:left w:val="nil"/>
              <w:bottom w:val="nil"/>
              <w:right w:val="nil"/>
            </w:tcBorders>
          </w:tcPr>
          <w:p w14:paraId="5178A6E4" w14:textId="77777777" w:rsidR="00724C44" w:rsidRPr="00393FE3" w:rsidRDefault="00724C44" w:rsidP="00393FE3">
            <w:pPr>
              <w:spacing w:after="0" w:line="240" w:lineRule="auto"/>
              <w:jc w:val="both"/>
              <w:rPr>
                <w:sz w:val="22"/>
                <w:szCs w:val="22"/>
              </w:rPr>
            </w:pPr>
            <w:r w:rsidRPr="00393FE3">
              <w:rPr>
                <w:sz w:val="22"/>
                <w:szCs w:val="22"/>
              </w:rPr>
              <w:t>200</w:t>
            </w:r>
          </w:p>
        </w:tc>
        <w:tc>
          <w:tcPr>
            <w:tcW w:w="1512" w:type="dxa"/>
            <w:tcBorders>
              <w:top w:val="nil"/>
              <w:left w:val="nil"/>
              <w:bottom w:val="nil"/>
              <w:right w:val="nil"/>
            </w:tcBorders>
          </w:tcPr>
          <w:p w14:paraId="1CA74A0E" w14:textId="77777777" w:rsidR="00724C44" w:rsidRPr="00393FE3" w:rsidRDefault="00724C44" w:rsidP="00393FE3">
            <w:pPr>
              <w:spacing w:after="0" w:line="240" w:lineRule="auto"/>
              <w:jc w:val="both"/>
              <w:rPr>
                <w:sz w:val="22"/>
                <w:szCs w:val="22"/>
              </w:rPr>
            </w:pPr>
            <w:r w:rsidRPr="00393FE3">
              <w:rPr>
                <w:sz w:val="22"/>
                <w:szCs w:val="22"/>
              </w:rPr>
              <w:t>0.065</w:t>
            </w:r>
          </w:p>
        </w:tc>
        <w:tc>
          <w:tcPr>
            <w:tcW w:w="1170" w:type="dxa"/>
            <w:tcBorders>
              <w:top w:val="nil"/>
              <w:left w:val="nil"/>
              <w:bottom w:val="nil"/>
              <w:right w:val="nil"/>
            </w:tcBorders>
          </w:tcPr>
          <w:p w14:paraId="58D0AAAA" w14:textId="77777777" w:rsidR="00724C44" w:rsidRPr="00393FE3" w:rsidRDefault="00724C44" w:rsidP="00393FE3">
            <w:pPr>
              <w:spacing w:after="0" w:line="240" w:lineRule="auto"/>
              <w:jc w:val="both"/>
              <w:rPr>
                <w:sz w:val="22"/>
                <w:szCs w:val="22"/>
              </w:rPr>
            </w:pPr>
          </w:p>
        </w:tc>
        <w:tc>
          <w:tcPr>
            <w:tcW w:w="1440" w:type="dxa"/>
            <w:tcBorders>
              <w:top w:val="nil"/>
              <w:left w:val="nil"/>
              <w:bottom w:val="nil"/>
              <w:right w:val="nil"/>
            </w:tcBorders>
          </w:tcPr>
          <w:p w14:paraId="583022B5" w14:textId="77777777" w:rsidR="00724C44" w:rsidRPr="00393FE3" w:rsidRDefault="00724C44" w:rsidP="00393FE3">
            <w:pPr>
              <w:spacing w:after="0" w:line="240" w:lineRule="auto"/>
              <w:jc w:val="both"/>
              <w:rPr>
                <w:sz w:val="22"/>
                <w:szCs w:val="22"/>
              </w:rPr>
            </w:pPr>
          </w:p>
        </w:tc>
      </w:tr>
      <w:tr w:rsidR="00724C44" w:rsidRPr="00724C44" w14:paraId="09C35F81" w14:textId="77777777" w:rsidTr="00393FE3">
        <w:tc>
          <w:tcPr>
            <w:tcW w:w="3870" w:type="dxa"/>
            <w:tcBorders>
              <w:top w:val="nil"/>
              <w:left w:val="nil"/>
              <w:bottom w:val="nil"/>
              <w:right w:val="nil"/>
            </w:tcBorders>
          </w:tcPr>
          <w:p w14:paraId="0FD0D9DF" w14:textId="77777777" w:rsidR="00724C44" w:rsidRPr="00393FE3" w:rsidRDefault="00724C44" w:rsidP="00393FE3">
            <w:pPr>
              <w:spacing w:after="0" w:line="240" w:lineRule="auto"/>
              <w:jc w:val="both"/>
              <w:rPr>
                <w:sz w:val="22"/>
                <w:szCs w:val="22"/>
              </w:rPr>
            </w:pPr>
            <w:r w:rsidRPr="00393FE3">
              <w:rPr>
                <w:sz w:val="22"/>
                <w:szCs w:val="22"/>
              </w:rPr>
              <w:t>Low Pay Transparency (below median)</w:t>
            </w:r>
          </w:p>
        </w:tc>
        <w:tc>
          <w:tcPr>
            <w:tcW w:w="1008" w:type="dxa"/>
            <w:tcBorders>
              <w:top w:val="nil"/>
              <w:left w:val="nil"/>
              <w:bottom w:val="nil"/>
              <w:right w:val="nil"/>
            </w:tcBorders>
          </w:tcPr>
          <w:p w14:paraId="5A430312" w14:textId="77777777" w:rsidR="00724C44" w:rsidRPr="00393FE3" w:rsidRDefault="00724C44" w:rsidP="00393FE3">
            <w:pPr>
              <w:spacing w:after="0" w:line="240" w:lineRule="auto"/>
              <w:jc w:val="both"/>
              <w:rPr>
                <w:sz w:val="22"/>
                <w:szCs w:val="22"/>
              </w:rPr>
            </w:pPr>
            <w:r w:rsidRPr="00393FE3">
              <w:rPr>
                <w:sz w:val="22"/>
                <w:szCs w:val="22"/>
              </w:rPr>
              <w:t>200</w:t>
            </w:r>
          </w:p>
        </w:tc>
        <w:tc>
          <w:tcPr>
            <w:tcW w:w="1512" w:type="dxa"/>
            <w:tcBorders>
              <w:top w:val="nil"/>
              <w:left w:val="nil"/>
              <w:bottom w:val="nil"/>
              <w:right w:val="nil"/>
            </w:tcBorders>
          </w:tcPr>
          <w:p w14:paraId="57D9B92E" w14:textId="77777777" w:rsidR="00724C44" w:rsidRPr="00393FE3" w:rsidRDefault="00724C44" w:rsidP="00393FE3">
            <w:pPr>
              <w:spacing w:after="0" w:line="240" w:lineRule="auto"/>
              <w:jc w:val="both"/>
              <w:rPr>
                <w:sz w:val="22"/>
                <w:szCs w:val="22"/>
              </w:rPr>
            </w:pPr>
            <w:r w:rsidRPr="00393FE3">
              <w:rPr>
                <w:sz w:val="22"/>
                <w:szCs w:val="22"/>
              </w:rPr>
              <w:t>-0.160</w:t>
            </w:r>
          </w:p>
        </w:tc>
        <w:tc>
          <w:tcPr>
            <w:tcW w:w="1170" w:type="dxa"/>
            <w:tcBorders>
              <w:top w:val="nil"/>
              <w:left w:val="nil"/>
              <w:bottom w:val="nil"/>
              <w:right w:val="nil"/>
            </w:tcBorders>
          </w:tcPr>
          <w:p w14:paraId="56A20C46" w14:textId="77777777" w:rsidR="00724C44" w:rsidRPr="00393FE3" w:rsidRDefault="00724C44" w:rsidP="00393FE3">
            <w:pPr>
              <w:spacing w:after="0" w:line="240" w:lineRule="auto"/>
              <w:jc w:val="both"/>
              <w:rPr>
                <w:sz w:val="22"/>
                <w:szCs w:val="22"/>
              </w:rPr>
            </w:pPr>
          </w:p>
        </w:tc>
        <w:tc>
          <w:tcPr>
            <w:tcW w:w="1440" w:type="dxa"/>
            <w:tcBorders>
              <w:top w:val="nil"/>
              <w:left w:val="nil"/>
              <w:bottom w:val="nil"/>
              <w:right w:val="nil"/>
            </w:tcBorders>
          </w:tcPr>
          <w:p w14:paraId="21BDCF38" w14:textId="77777777" w:rsidR="00724C44" w:rsidRPr="00393FE3" w:rsidRDefault="00724C44" w:rsidP="00393FE3">
            <w:pPr>
              <w:spacing w:after="0" w:line="240" w:lineRule="auto"/>
              <w:jc w:val="both"/>
              <w:rPr>
                <w:sz w:val="22"/>
                <w:szCs w:val="22"/>
              </w:rPr>
            </w:pPr>
          </w:p>
        </w:tc>
      </w:tr>
      <w:tr w:rsidR="00724C44" w:rsidRPr="00724C44" w14:paraId="36292162" w14:textId="77777777" w:rsidTr="00393FE3">
        <w:tc>
          <w:tcPr>
            <w:tcW w:w="3870" w:type="dxa"/>
            <w:tcBorders>
              <w:top w:val="nil"/>
              <w:left w:val="nil"/>
              <w:bottom w:val="single" w:sz="4" w:space="0" w:color="000000"/>
              <w:right w:val="nil"/>
            </w:tcBorders>
          </w:tcPr>
          <w:p w14:paraId="27338845" w14:textId="77777777" w:rsidR="00724C44" w:rsidRPr="00393FE3" w:rsidRDefault="00724C44" w:rsidP="00393FE3">
            <w:pPr>
              <w:spacing w:after="0" w:line="240" w:lineRule="auto"/>
              <w:jc w:val="both"/>
              <w:rPr>
                <w:sz w:val="22"/>
                <w:szCs w:val="22"/>
              </w:rPr>
            </w:pPr>
            <w:r w:rsidRPr="00393FE3">
              <w:rPr>
                <w:sz w:val="22"/>
                <w:szCs w:val="22"/>
              </w:rPr>
              <w:t>Difference (Fisher's z)</w:t>
            </w:r>
          </w:p>
        </w:tc>
        <w:tc>
          <w:tcPr>
            <w:tcW w:w="1008" w:type="dxa"/>
            <w:tcBorders>
              <w:top w:val="nil"/>
              <w:left w:val="nil"/>
              <w:bottom w:val="single" w:sz="4" w:space="0" w:color="000000"/>
              <w:right w:val="nil"/>
            </w:tcBorders>
          </w:tcPr>
          <w:p w14:paraId="7EFF7F93" w14:textId="77777777" w:rsidR="00724C44" w:rsidRPr="00393FE3" w:rsidRDefault="00724C44" w:rsidP="00393FE3">
            <w:pPr>
              <w:spacing w:after="0" w:line="240" w:lineRule="auto"/>
              <w:jc w:val="both"/>
              <w:rPr>
                <w:sz w:val="22"/>
                <w:szCs w:val="22"/>
              </w:rPr>
            </w:pPr>
          </w:p>
        </w:tc>
        <w:tc>
          <w:tcPr>
            <w:tcW w:w="1512" w:type="dxa"/>
            <w:tcBorders>
              <w:top w:val="nil"/>
              <w:left w:val="nil"/>
              <w:bottom w:val="single" w:sz="4" w:space="0" w:color="000000"/>
              <w:right w:val="nil"/>
            </w:tcBorders>
          </w:tcPr>
          <w:p w14:paraId="2ACE39AB" w14:textId="77777777" w:rsidR="00724C44" w:rsidRPr="00393FE3" w:rsidRDefault="00724C44" w:rsidP="00393FE3">
            <w:pPr>
              <w:spacing w:after="0" w:line="240" w:lineRule="auto"/>
              <w:jc w:val="both"/>
              <w:rPr>
                <w:sz w:val="22"/>
                <w:szCs w:val="22"/>
              </w:rPr>
            </w:pPr>
          </w:p>
        </w:tc>
        <w:tc>
          <w:tcPr>
            <w:tcW w:w="1170" w:type="dxa"/>
            <w:tcBorders>
              <w:top w:val="nil"/>
              <w:left w:val="nil"/>
              <w:bottom w:val="single" w:sz="4" w:space="0" w:color="000000"/>
              <w:right w:val="nil"/>
            </w:tcBorders>
          </w:tcPr>
          <w:p w14:paraId="448713FC" w14:textId="77777777" w:rsidR="00724C44" w:rsidRPr="00393FE3" w:rsidRDefault="00724C44" w:rsidP="00393FE3">
            <w:pPr>
              <w:spacing w:after="0" w:line="240" w:lineRule="auto"/>
              <w:jc w:val="both"/>
              <w:rPr>
                <w:sz w:val="22"/>
                <w:szCs w:val="22"/>
              </w:rPr>
            </w:pPr>
            <w:r w:rsidRPr="00393FE3">
              <w:rPr>
                <w:sz w:val="22"/>
                <w:szCs w:val="22"/>
              </w:rPr>
              <w:t>2.249</w:t>
            </w:r>
          </w:p>
        </w:tc>
        <w:tc>
          <w:tcPr>
            <w:tcW w:w="1440" w:type="dxa"/>
            <w:tcBorders>
              <w:top w:val="nil"/>
              <w:left w:val="nil"/>
              <w:bottom w:val="single" w:sz="4" w:space="0" w:color="000000"/>
              <w:right w:val="nil"/>
            </w:tcBorders>
          </w:tcPr>
          <w:p w14:paraId="0D16939A" w14:textId="77777777" w:rsidR="00724C44" w:rsidRPr="00393FE3" w:rsidRDefault="00724C44" w:rsidP="00393FE3">
            <w:pPr>
              <w:spacing w:after="0" w:line="240" w:lineRule="auto"/>
              <w:jc w:val="both"/>
              <w:rPr>
                <w:sz w:val="22"/>
                <w:szCs w:val="22"/>
              </w:rPr>
            </w:pPr>
            <w:r w:rsidRPr="00393FE3">
              <w:rPr>
                <w:sz w:val="22"/>
                <w:szCs w:val="22"/>
              </w:rPr>
              <w:t>0.024</w:t>
            </w:r>
          </w:p>
        </w:tc>
      </w:tr>
    </w:tbl>
    <w:p w14:paraId="62F28D68" w14:textId="77777777" w:rsidR="00724C44" w:rsidRPr="00724C44" w:rsidRDefault="00724C44" w:rsidP="00724C44">
      <w:pPr>
        <w:spacing w:line="240" w:lineRule="auto"/>
        <w:jc w:val="both"/>
      </w:pPr>
      <w:r w:rsidRPr="00724C44">
        <w:t>The moderation analysis revealed a significant difference in the AI–HCD relationship between high and low pay transparency conditions (z = 2.25, p = .024). Under high pay transparency, the relationship between AI integration and HCD quality is weakly positive (r = 0.065), whereas under low pay transparency, it is negative (r = −0.160). This significant moderation effect supports Hypothesis 3: organizations with higher pay transparency show a stronger association between AI capabilities and improvements in disclosure quality.</w:t>
      </w:r>
    </w:p>
    <w:p w14:paraId="0E27C2B3" w14:textId="77777777" w:rsidR="00724C44" w:rsidRPr="00724C44" w:rsidRDefault="00724C44" w:rsidP="00724C44">
      <w:pPr>
        <w:spacing w:line="240" w:lineRule="auto"/>
        <w:jc w:val="both"/>
      </w:pPr>
      <w:r w:rsidRPr="00724C44">
        <w:rPr>
          <w:b/>
        </w:rPr>
        <w:t>4.8.4 Hypothesis 4: Size Moderation</w:t>
      </w:r>
    </w:p>
    <w:p w14:paraId="2665006E" w14:textId="77777777" w:rsidR="00724C44" w:rsidRPr="00724C44" w:rsidRDefault="00724C44" w:rsidP="00724C44">
      <w:pPr>
        <w:spacing w:line="240" w:lineRule="auto"/>
        <w:jc w:val="both"/>
      </w:pPr>
      <w:r w:rsidRPr="00724C44">
        <w:t>Hypothesis 4 proposed that organizational size would moderate the AI–HCD relationship. Analysis of correlations across size categories revealed an inconsistent pattern without clear directional moderation. Smaller organizations showed negative correlations while larger organizations showed slight positive correlations, but the pattern was not statistically consistent. Hypothesis 4 was not supported.</w:t>
      </w:r>
    </w:p>
    <w:p w14:paraId="0BCE46AB" w14:textId="77777777" w:rsidR="00724C44" w:rsidRPr="00724C44" w:rsidRDefault="00724C44" w:rsidP="00724C44">
      <w:pPr>
        <w:spacing w:line="240" w:lineRule="auto"/>
        <w:jc w:val="both"/>
      </w:pPr>
      <w:r w:rsidRPr="00724C44">
        <w:rPr>
          <w:b/>
        </w:rPr>
        <w:t>4.8.5 Synthesis of Hypothesis Testing Results</w:t>
      </w:r>
    </w:p>
    <w:p w14:paraId="0379C546" w14:textId="15670EB5" w:rsidR="00724C44" w:rsidRPr="00724C44" w:rsidRDefault="00724C44" w:rsidP="00724C44">
      <w:pPr>
        <w:spacing w:line="240" w:lineRule="auto"/>
        <w:jc w:val="both"/>
      </w:pPr>
      <w:r w:rsidRPr="00724C44">
        <w:t xml:space="preserve">Examined together, the joint pattern of results across H1 through H4 provides convergent empirical support for the conditional theoretical model developed in </w:t>
      </w:r>
      <w:r w:rsidR="00E133F2">
        <w:t>Section</w:t>
      </w:r>
      <w:r w:rsidRPr="00724C44">
        <w:t>s 1 and 2. The non-significant direct effect (H1, r = −0.075, p = .132) indicates that AI integration alone is insufficient to produce higher-quality human capital disclosure. The unsupported mediation through integration protocols (H2) further indicates that operational mechanisms internal to the organization, in the absence of supportive institutional conditions, are similarly insufficient to translate AI capability into disclosure outcomes. Against this backdrop of two non-significant pathways, the supported moderation by pay transparency (H3, z = 2.25, p = .024) identifies the specific institutional condition under which the AI–disclosure relationship becomes operative: in organizations characterized by higher pay transparency, AI integration is positively associated with disclosure quality, whereas in organizations characterized by lower pay transparency, the relationship is weakly negative. The unsupported size moderation (H4) indicates that organizational scale alone, in the absence of accompanying institutional conditions, does not activate the AI–disclosure relationship in a directionally consistent manner.</w:t>
      </w:r>
    </w:p>
    <w:p w14:paraId="7191B5EA" w14:textId="77777777" w:rsidR="00724C44" w:rsidRPr="00724C44" w:rsidRDefault="00724C44" w:rsidP="00724C44">
      <w:pPr>
        <w:spacing w:line="240" w:lineRule="auto"/>
        <w:jc w:val="both"/>
      </w:pPr>
      <w:r w:rsidRPr="00724C44">
        <w:lastRenderedPageBreak/>
        <w:t>Read collectively, these four results substantiate the central theoretical claim of the study: AI integration is a necessary but not sufficient condition for human capital accounting disclosure quality, with pay transparency operating as the institutional mechanism that translates technological capability into stakeholder-accessible reporting. The pattern is theoretically coherent: the two non-significant pathways (H1 direct, H2 mediation through internal protocols) and the one non-significant moderation by structural size (H4) all reflect the absence of an institutional enabling condition, while the one supported moderation (H3, pay transparency) demonstrates the result expected when that condition is present. The joint pattern is therefore not a sequence of three failed hypotheses and one supported hypothesis, but a single coherent empirical demonstration of the conditional theoretical model. The qualitative findings reported in Section 4.11, particularly Theme 3.1 (organizational readiness trumps technology) and Theme 2.3 (governance and data quality), provide convergent evidence from an independent methodological lens, as systematically documented in the joint display in Section 4.12.</w:t>
      </w:r>
    </w:p>
    <w:p w14:paraId="7DFCC7A4" w14:textId="77777777" w:rsidR="00724C44" w:rsidRPr="00724C44" w:rsidRDefault="00724C44" w:rsidP="00724C44">
      <w:pPr>
        <w:spacing w:line="240" w:lineRule="auto"/>
        <w:jc w:val="both"/>
      </w:pPr>
      <w:r w:rsidRPr="00724C44">
        <w:rPr>
          <w:b/>
        </w:rPr>
        <w:t>4.9 Research Objectives 4–5: Framework Development and Validation</w:t>
      </w:r>
    </w:p>
    <w:p w14:paraId="6583E5AC" w14:textId="77777777" w:rsidR="00724C44" w:rsidRPr="00724C44" w:rsidRDefault="00724C44" w:rsidP="00724C44">
      <w:pPr>
        <w:spacing w:line="240" w:lineRule="auto"/>
        <w:jc w:val="both"/>
      </w:pPr>
      <w:r w:rsidRPr="00724C44">
        <w:t>Research Objectives 4 and 5 addressed the development and validation of a practical implementation framework for integrating AI-driven compensation data into human capital disclosures. Based on the empirical findings, a tiered framework was developed to categorize organizations by AI maturity level and to provide corresponding disclosure recommendations.</w:t>
      </w:r>
    </w:p>
    <w:p w14:paraId="100EE482" w14:textId="77777777" w:rsidR="00724C44" w:rsidRPr="00724C44" w:rsidRDefault="00724C44" w:rsidP="00724C44">
      <w:pPr>
        <w:spacing w:line="240" w:lineRule="auto"/>
        <w:jc w:val="both"/>
      </w:pPr>
      <w:r w:rsidRPr="00724C44">
        <w:rPr>
          <w:b/>
        </w:rPr>
        <w:t>Table 4.30</w:t>
      </w:r>
    </w:p>
    <w:p w14:paraId="26610DB8" w14:textId="77777777" w:rsidR="00724C44" w:rsidRPr="00724C44" w:rsidRDefault="00724C44" w:rsidP="00724C44">
      <w:pPr>
        <w:spacing w:line="240" w:lineRule="auto"/>
        <w:jc w:val="both"/>
      </w:pPr>
      <w:r w:rsidRPr="00724C44">
        <w:rPr>
          <w:i/>
        </w:rPr>
        <w:t>Tiered Implementation Framework by AI Maturity Level</w:t>
      </w:r>
    </w:p>
    <w:tbl>
      <w:tblPr>
        <w:tblW w:w="0" w:type="auto"/>
        <w:tblLayout w:type="fixed"/>
        <w:tblLook w:val="04A0" w:firstRow="1" w:lastRow="0" w:firstColumn="1" w:lastColumn="0" w:noHBand="0" w:noVBand="1"/>
      </w:tblPr>
      <w:tblGrid>
        <w:gridCol w:w="2070"/>
        <w:gridCol w:w="2160"/>
        <w:gridCol w:w="1620"/>
        <w:gridCol w:w="3330"/>
      </w:tblGrid>
      <w:tr w:rsidR="00724C44" w:rsidRPr="00393FE3" w14:paraId="403AF0D7" w14:textId="77777777" w:rsidTr="00393FE3">
        <w:tc>
          <w:tcPr>
            <w:tcW w:w="2070" w:type="dxa"/>
            <w:tcBorders>
              <w:top w:val="single" w:sz="4" w:space="0" w:color="000000"/>
              <w:left w:val="nil"/>
              <w:bottom w:val="single" w:sz="4" w:space="0" w:color="000000"/>
              <w:right w:val="nil"/>
            </w:tcBorders>
          </w:tcPr>
          <w:p w14:paraId="7458120C" w14:textId="77777777" w:rsidR="00724C44" w:rsidRPr="00393FE3" w:rsidRDefault="00724C44" w:rsidP="00393FE3">
            <w:pPr>
              <w:spacing w:after="0" w:line="240" w:lineRule="auto"/>
              <w:jc w:val="both"/>
              <w:rPr>
                <w:sz w:val="22"/>
                <w:szCs w:val="22"/>
              </w:rPr>
            </w:pPr>
            <w:r w:rsidRPr="00393FE3">
              <w:rPr>
                <w:b/>
                <w:sz w:val="22"/>
                <w:szCs w:val="22"/>
              </w:rPr>
              <w:t>Tier</w:t>
            </w:r>
          </w:p>
        </w:tc>
        <w:tc>
          <w:tcPr>
            <w:tcW w:w="2160" w:type="dxa"/>
            <w:tcBorders>
              <w:top w:val="single" w:sz="4" w:space="0" w:color="000000"/>
              <w:left w:val="nil"/>
              <w:bottom w:val="single" w:sz="4" w:space="0" w:color="000000"/>
              <w:right w:val="nil"/>
            </w:tcBorders>
          </w:tcPr>
          <w:p w14:paraId="71B95E20" w14:textId="77777777" w:rsidR="00724C44" w:rsidRPr="00393FE3" w:rsidRDefault="00724C44" w:rsidP="00393FE3">
            <w:pPr>
              <w:spacing w:after="0" w:line="240" w:lineRule="auto"/>
              <w:jc w:val="both"/>
              <w:rPr>
                <w:sz w:val="22"/>
                <w:szCs w:val="22"/>
              </w:rPr>
            </w:pPr>
            <w:r w:rsidRPr="00393FE3">
              <w:rPr>
                <w:b/>
                <w:sz w:val="22"/>
                <w:szCs w:val="22"/>
              </w:rPr>
              <w:t>AI Integration Score</w:t>
            </w:r>
          </w:p>
        </w:tc>
        <w:tc>
          <w:tcPr>
            <w:tcW w:w="1620" w:type="dxa"/>
            <w:tcBorders>
              <w:top w:val="single" w:sz="4" w:space="0" w:color="000000"/>
              <w:left w:val="nil"/>
              <w:bottom w:val="single" w:sz="4" w:space="0" w:color="000000"/>
              <w:right w:val="nil"/>
            </w:tcBorders>
          </w:tcPr>
          <w:p w14:paraId="6F5CF6EB" w14:textId="77777777" w:rsidR="00724C44" w:rsidRPr="00393FE3" w:rsidRDefault="00724C44" w:rsidP="00393FE3">
            <w:pPr>
              <w:spacing w:after="0" w:line="240" w:lineRule="auto"/>
              <w:jc w:val="both"/>
              <w:rPr>
                <w:sz w:val="22"/>
                <w:szCs w:val="22"/>
              </w:rPr>
            </w:pPr>
            <w:r w:rsidRPr="00393FE3">
              <w:rPr>
                <w:b/>
                <w:sz w:val="22"/>
                <w:szCs w:val="22"/>
              </w:rPr>
              <w:t>Expected HCD Quality</w:t>
            </w:r>
          </w:p>
        </w:tc>
        <w:tc>
          <w:tcPr>
            <w:tcW w:w="3330" w:type="dxa"/>
            <w:tcBorders>
              <w:top w:val="single" w:sz="4" w:space="0" w:color="000000"/>
              <w:left w:val="nil"/>
              <w:bottom w:val="single" w:sz="4" w:space="0" w:color="000000"/>
              <w:right w:val="nil"/>
            </w:tcBorders>
          </w:tcPr>
          <w:p w14:paraId="5C799AF8" w14:textId="77777777" w:rsidR="00724C44" w:rsidRPr="00393FE3" w:rsidRDefault="00724C44" w:rsidP="00393FE3">
            <w:pPr>
              <w:spacing w:after="0" w:line="240" w:lineRule="auto"/>
              <w:jc w:val="both"/>
              <w:rPr>
                <w:sz w:val="22"/>
                <w:szCs w:val="22"/>
              </w:rPr>
            </w:pPr>
            <w:r w:rsidRPr="00393FE3">
              <w:rPr>
                <w:b/>
                <w:sz w:val="22"/>
                <w:szCs w:val="22"/>
              </w:rPr>
              <w:t>Strategic Recommendation</w:t>
            </w:r>
          </w:p>
        </w:tc>
      </w:tr>
      <w:tr w:rsidR="00724C44" w:rsidRPr="00393FE3" w14:paraId="3CD561A1" w14:textId="77777777" w:rsidTr="00393FE3">
        <w:tc>
          <w:tcPr>
            <w:tcW w:w="2070" w:type="dxa"/>
            <w:tcBorders>
              <w:top w:val="nil"/>
              <w:left w:val="nil"/>
              <w:bottom w:val="nil"/>
              <w:right w:val="nil"/>
            </w:tcBorders>
          </w:tcPr>
          <w:p w14:paraId="30362C4B" w14:textId="77777777" w:rsidR="00724C44" w:rsidRPr="00393FE3" w:rsidRDefault="00724C44" w:rsidP="00393FE3">
            <w:pPr>
              <w:spacing w:after="0" w:line="240" w:lineRule="auto"/>
              <w:jc w:val="both"/>
              <w:rPr>
                <w:sz w:val="22"/>
                <w:szCs w:val="22"/>
              </w:rPr>
            </w:pPr>
            <w:r w:rsidRPr="00393FE3">
              <w:rPr>
                <w:sz w:val="22"/>
                <w:szCs w:val="22"/>
              </w:rPr>
              <w:t>Tier 1: Foundation</w:t>
            </w:r>
          </w:p>
        </w:tc>
        <w:tc>
          <w:tcPr>
            <w:tcW w:w="2160" w:type="dxa"/>
            <w:tcBorders>
              <w:top w:val="nil"/>
              <w:left w:val="nil"/>
              <w:bottom w:val="nil"/>
              <w:right w:val="nil"/>
            </w:tcBorders>
          </w:tcPr>
          <w:p w14:paraId="294DF7F6" w14:textId="77777777" w:rsidR="00724C44" w:rsidRPr="00393FE3" w:rsidRDefault="00724C44" w:rsidP="00393FE3">
            <w:pPr>
              <w:spacing w:after="0" w:line="240" w:lineRule="auto"/>
              <w:jc w:val="both"/>
              <w:rPr>
                <w:sz w:val="22"/>
                <w:szCs w:val="22"/>
              </w:rPr>
            </w:pPr>
            <w:r w:rsidRPr="00393FE3">
              <w:rPr>
                <w:sz w:val="22"/>
                <w:szCs w:val="22"/>
              </w:rPr>
              <w:t>&lt; 3.0</w:t>
            </w:r>
          </w:p>
        </w:tc>
        <w:tc>
          <w:tcPr>
            <w:tcW w:w="1620" w:type="dxa"/>
            <w:tcBorders>
              <w:top w:val="nil"/>
              <w:left w:val="nil"/>
              <w:bottom w:val="nil"/>
              <w:right w:val="nil"/>
            </w:tcBorders>
          </w:tcPr>
          <w:p w14:paraId="2F2E737B" w14:textId="77777777" w:rsidR="00724C44" w:rsidRPr="00393FE3" w:rsidRDefault="00724C44" w:rsidP="00393FE3">
            <w:pPr>
              <w:spacing w:after="0" w:line="240" w:lineRule="auto"/>
              <w:jc w:val="both"/>
              <w:rPr>
                <w:sz w:val="22"/>
                <w:szCs w:val="22"/>
              </w:rPr>
            </w:pPr>
            <w:r w:rsidRPr="00393FE3">
              <w:rPr>
                <w:sz w:val="22"/>
                <w:szCs w:val="22"/>
              </w:rPr>
              <w:t>&lt; 2.5</w:t>
            </w:r>
          </w:p>
        </w:tc>
        <w:tc>
          <w:tcPr>
            <w:tcW w:w="3330" w:type="dxa"/>
            <w:tcBorders>
              <w:top w:val="nil"/>
              <w:left w:val="nil"/>
              <w:bottom w:val="nil"/>
              <w:right w:val="nil"/>
            </w:tcBorders>
          </w:tcPr>
          <w:p w14:paraId="24110ABB" w14:textId="77777777" w:rsidR="00724C44" w:rsidRPr="00393FE3" w:rsidRDefault="00724C44" w:rsidP="00393FE3">
            <w:pPr>
              <w:spacing w:after="0" w:line="240" w:lineRule="auto"/>
              <w:jc w:val="both"/>
              <w:rPr>
                <w:sz w:val="22"/>
                <w:szCs w:val="22"/>
              </w:rPr>
            </w:pPr>
            <w:r w:rsidRPr="00393FE3">
              <w:rPr>
                <w:sz w:val="22"/>
                <w:szCs w:val="22"/>
              </w:rPr>
              <w:t>Build basic AI infrastructure before disclosure enhancement</w:t>
            </w:r>
          </w:p>
        </w:tc>
      </w:tr>
      <w:tr w:rsidR="00724C44" w:rsidRPr="00393FE3" w14:paraId="21886273" w14:textId="77777777" w:rsidTr="00393FE3">
        <w:tc>
          <w:tcPr>
            <w:tcW w:w="2070" w:type="dxa"/>
            <w:tcBorders>
              <w:top w:val="nil"/>
              <w:left w:val="nil"/>
              <w:bottom w:val="nil"/>
              <w:right w:val="nil"/>
            </w:tcBorders>
          </w:tcPr>
          <w:p w14:paraId="610F3215" w14:textId="77777777" w:rsidR="00724C44" w:rsidRPr="00393FE3" w:rsidRDefault="00724C44" w:rsidP="00393FE3">
            <w:pPr>
              <w:spacing w:after="0" w:line="240" w:lineRule="auto"/>
              <w:jc w:val="both"/>
              <w:rPr>
                <w:sz w:val="22"/>
                <w:szCs w:val="22"/>
              </w:rPr>
            </w:pPr>
            <w:r w:rsidRPr="00393FE3">
              <w:rPr>
                <w:sz w:val="22"/>
                <w:szCs w:val="22"/>
              </w:rPr>
              <w:t>Tier 2: Developing</w:t>
            </w:r>
          </w:p>
        </w:tc>
        <w:tc>
          <w:tcPr>
            <w:tcW w:w="2160" w:type="dxa"/>
            <w:tcBorders>
              <w:top w:val="nil"/>
              <w:left w:val="nil"/>
              <w:bottom w:val="nil"/>
              <w:right w:val="nil"/>
            </w:tcBorders>
          </w:tcPr>
          <w:p w14:paraId="1F012C3E" w14:textId="77777777" w:rsidR="00724C44" w:rsidRPr="00393FE3" w:rsidRDefault="00724C44" w:rsidP="00393FE3">
            <w:pPr>
              <w:spacing w:after="0" w:line="240" w:lineRule="auto"/>
              <w:jc w:val="both"/>
              <w:rPr>
                <w:sz w:val="22"/>
                <w:szCs w:val="22"/>
              </w:rPr>
            </w:pPr>
            <w:r w:rsidRPr="00393FE3">
              <w:rPr>
                <w:sz w:val="22"/>
                <w:szCs w:val="22"/>
              </w:rPr>
              <w:t>3.0 - 4.5</w:t>
            </w:r>
          </w:p>
        </w:tc>
        <w:tc>
          <w:tcPr>
            <w:tcW w:w="1620" w:type="dxa"/>
            <w:tcBorders>
              <w:top w:val="nil"/>
              <w:left w:val="nil"/>
              <w:bottom w:val="nil"/>
              <w:right w:val="nil"/>
            </w:tcBorders>
          </w:tcPr>
          <w:p w14:paraId="0B0B0D7C" w14:textId="77777777" w:rsidR="00724C44" w:rsidRPr="00393FE3" w:rsidRDefault="00724C44" w:rsidP="00393FE3">
            <w:pPr>
              <w:spacing w:after="0" w:line="240" w:lineRule="auto"/>
              <w:jc w:val="both"/>
              <w:rPr>
                <w:sz w:val="22"/>
                <w:szCs w:val="22"/>
              </w:rPr>
            </w:pPr>
            <w:r w:rsidRPr="00393FE3">
              <w:rPr>
                <w:sz w:val="22"/>
                <w:szCs w:val="22"/>
              </w:rPr>
              <w:t>2.5 - 3.5</w:t>
            </w:r>
          </w:p>
        </w:tc>
        <w:tc>
          <w:tcPr>
            <w:tcW w:w="3330" w:type="dxa"/>
            <w:tcBorders>
              <w:top w:val="nil"/>
              <w:left w:val="nil"/>
              <w:bottom w:val="nil"/>
              <w:right w:val="nil"/>
            </w:tcBorders>
          </w:tcPr>
          <w:p w14:paraId="4211020C" w14:textId="77777777" w:rsidR="00724C44" w:rsidRPr="00393FE3" w:rsidRDefault="00724C44" w:rsidP="00393FE3">
            <w:pPr>
              <w:spacing w:after="0" w:line="240" w:lineRule="auto"/>
              <w:jc w:val="both"/>
              <w:rPr>
                <w:sz w:val="22"/>
                <w:szCs w:val="22"/>
              </w:rPr>
            </w:pPr>
            <w:r w:rsidRPr="00393FE3">
              <w:rPr>
                <w:sz w:val="22"/>
                <w:szCs w:val="22"/>
              </w:rPr>
              <w:t>Focus on integration protocols connecting systems to reporting</w:t>
            </w:r>
          </w:p>
        </w:tc>
      </w:tr>
      <w:tr w:rsidR="00724C44" w:rsidRPr="00393FE3" w14:paraId="60E84F69" w14:textId="77777777" w:rsidTr="00393FE3">
        <w:tc>
          <w:tcPr>
            <w:tcW w:w="2070" w:type="dxa"/>
            <w:tcBorders>
              <w:top w:val="nil"/>
              <w:left w:val="nil"/>
              <w:bottom w:val="nil"/>
              <w:right w:val="nil"/>
            </w:tcBorders>
          </w:tcPr>
          <w:p w14:paraId="08359253" w14:textId="77777777" w:rsidR="00724C44" w:rsidRPr="00393FE3" w:rsidRDefault="00724C44" w:rsidP="00393FE3">
            <w:pPr>
              <w:spacing w:after="0" w:line="240" w:lineRule="auto"/>
              <w:jc w:val="both"/>
              <w:rPr>
                <w:sz w:val="22"/>
                <w:szCs w:val="22"/>
              </w:rPr>
            </w:pPr>
            <w:r w:rsidRPr="00393FE3">
              <w:rPr>
                <w:sz w:val="22"/>
                <w:szCs w:val="22"/>
              </w:rPr>
              <w:t>Tier 3: Advanced</w:t>
            </w:r>
          </w:p>
        </w:tc>
        <w:tc>
          <w:tcPr>
            <w:tcW w:w="2160" w:type="dxa"/>
            <w:tcBorders>
              <w:top w:val="nil"/>
              <w:left w:val="nil"/>
              <w:bottom w:val="nil"/>
              <w:right w:val="nil"/>
            </w:tcBorders>
          </w:tcPr>
          <w:p w14:paraId="0A3B24A4" w14:textId="77777777" w:rsidR="00724C44" w:rsidRPr="00393FE3" w:rsidRDefault="00724C44" w:rsidP="00393FE3">
            <w:pPr>
              <w:spacing w:after="0" w:line="240" w:lineRule="auto"/>
              <w:jc w:val="both"/>
              <w:rPr>
                <w:sz w:val="22"/>
                <w:szCs w:val="22"/>
              </w:rPr>
            </w:pPr>
            <w:r w:rsidRPr="00393FE3">
              <w:rPr>
                <w:sz w:val="22"/>
                <w:szCs w:val="22"/>
              </w:rPr>
              <w:t>4.5 - 5.5</w:t>
            </w:r>
          </w:p>
        </w:tc>
        <w:tc>
          <w:tcPr>
            <w:tcW w:w="1620" w:type="dxa"/>
            <w:tcBorders>
              <w:top w:val="nil"/>
              <w:left w:val="nil"/>
              <w:bottom w:val="nil"/>
              <w:right w:val="nil"/>
            </w:tcBorders>
          </w:tcPr>
          <w:p w14:paraId="19F95AAF" w14:textId="77777777" w:rsidR="00724C44" w:rsidRPr="00393FE3" w:rsidRDefault="00724C44" w:rsidP="00393FE3">
            <w:pPr>
              <w:spacing w:after="0" w:line="240" w:lineRule="auto"/>
              <w:jc w:val="both"/>
              <w:rPr>
                <w:sz w:val="22"/>
                <w:szCs w:val="22"/>
              </w:rPr>
            </w:pPr>
            <w:r w:rsidRPr="00393FE3">
              <w:rPr>
                <w:sz w:val="22"/>
                <w:szCs w:val="22"/>
              </w:rPr>
              <w:t>3.5 - 4.5</w:t>
            </w:r>
          </w:p>
        </w:tc>
        <w:tc>
          <w:tcPr>
            <w:tcW w:w="3330" w:type="dxa"/>
            <w:tcBorders>
              <w:top w:val="nil"/>
              <w:left w:val="nil"/>
              <w:bottom w:val="nil"/>
              <w:right w:val="nil"/>
            </w:tcBorders>
          </w:tcPr>
          <w:p w14:paraId="0E189A68" w14:textId="77777777" w:rsidR="00724C44" w:rsidRPr="00393FE3" w:rsidRDefault="00724C44" w:rsidP="00393FE3">
            <w:pPr>
              <w:spacing w:after="0" w:line="240" w:lineRule="auto"/>
              <w:jc w:val="both"/>
              <w:rPr>
                <w:sz w:val="22"/>
                <w:szCs w:val="22"/>
              </w:rPr>
            </w:pPr>
            <w:r w:rsidRPr="00393FE3">
              <w:rPr>
                <w:sz w:val="22"/>
                <w:szCs w:val="22"/>
              </w:rPr>
              <w:t>Optimize disclosure processes; leverage analytical capabilities</w:t>
            </w:r>
          </w:p>
        </w:tc>
      </w:tr>
      <w:tr w:rsidR="00724C44" w:rsidRPr="00393FE3" w14:paraId="3C2F96F0" w14:textId="77777777" w:rsidTr="00393FE3">
        <w:tc>
          <w:tcPr>
            <w:tcW w:w="2070" w:type="dxa"/>
            <w:tcBorders>
              <w:top w:val="nil"/>
              <w:left w:val="nil"/>
              <w:bottom w:val="single" w:sz="4" w:space="0" w:color="000000"/>
              <w:right w:val="nil"/>
            </w:tcBorders>
          </w:tcPr>
          <w:p w14:paraId="4B3B61DC" w14:textId="77777777" w:rsidR="00724C44" w:rsidRPr="00393FE3" w:rsidRDefault="00724C44" w:rsidP="00393FE3">
            <w:pPr>
              <w:spacing w:after="0" w:line="240" w:lineRule="auto"/>
              <w:jc w:val="both"/>
              <w:rPr>
                <w:sz w:val="22"/>
                <w:szCs w:val="22"/>
              </w:rPr>
            </w:pPr>
            <w:r w:rsidRPr="00393FE3">
              <w:rPr>
                <w:sz w:val="22"/>
                <w:szCs w:val="22"/>
              </w:rPr>
              <w:t>Tier 4: Leading</w:t>
            </w:r>
          </w:p>
        </w:tc>
        <w:tc>
          <w:tcPr>
            <w:tcW w:w="2160" w:type="dxa"/>
            <w:tcBorders>
              <w:top w:val="nil"/>
              <w:left w:val="nil"/>
              <w:bottom w:val="single" w:sz="4" w:space="0" w:color="000000"/>
              <w:right w:val="nil"/>
            </w:tcBorders>
          </w:tcPr>
          <w:p w14:paraId="40261248" w14:textId="77777777" w:rsidR="00724C44" w:rsidRPr="00393FE3" w:rsidRDefault="00724C44" w:rsidP="00393FE3">
            <w:pPr>
              <w:spacing w:after="0" w:line="240" w:lineRule="auto"/>
              <w:jc w:val="both"/>
              <w:rPr>
                <w:sz w:val="22"/>
                <w:szCs w:val="22"/>
              </w:rPr>
            </w:pPr>
            <w:r w:rsidRPr="00393FE3">
              <w:rPr>
                <w:sz w:val="22"/>
                <w:szCs w:val="22"/>
              </w:rPr>
              <w:t>&gt; 5.5</w:t>
            </w:r>
          </w:p>
        </w:tc>
        <w:tc>
          <w:tcPr>
            <w:tcW w:w="1620" w:type="dxa"/>
            <w:tcBorders>
              <w:top w:val="nil"/>
              <w:left w:val="nil"/>
              <w:bottom w:val="single" w:sz="4" w:space="0" w:color="000000"/>
              <w:right w:val="nil"/>
            </w:tcBorders>
          </w:tcPr>
          <w:p w14:paraId="0F983A70" w14:textId="77777777" w:rsidR="00724C44" w:rsidRPr="00393FE3" w:rsidRDefault="00724C44" w:rsidP="00393FE3">
            <w:pPr>
              <w:spacing w:after="0" w:line="240" w:lineRule="auto"/>
              <w:jc w:val="both"/>
              <w:rPr>
                <w:sz w:val="22"/>
                <w:szCs w:val="22"/>
              </w:rPr>
            </w:pPr>
            <w:r w:rsidRPr="00393FE3">
              <w:rPr>
                <w:sz w:val="22"/>
                <w:szCs w:val="22"/>
              </w:rPr>
              <w:t>&gt; 4.5</w:t>
            </w:r>
          </w:p>
        </w:tc>
        <w:tc>
          <w:tcPr>
            <w:tcW w:w="3330" w:type="dxa"/>
            <w:tcBorders>
              <w:top w:val="nil"/>
              <w:left w:val="nil"/>
              <w:bottom w:val="single" w:sz="4" w:space="0" w:color="000000"/>
              <w:right w:val="nil"/>
            </w:tcBorders>
          </w:tcPr>
          <w:p w14:paraId="5E068BD7" w14:textId="77777777" w:rsidR="00724C44" w:rsidRPr="00393FE3" w:rsidRDefault="00724C44" w:rsidP="00393FE3">
            <w:pPr>
              <w:spacing w:after="0" w:line="240" w:lineRule="auto"/>
              <w:jc w:val="both"/>
              <w:rPr>
                <w:sz w:val="22"/>
                <w:szCs w:val="22"/>
              </w:rPr>
            </w:pPr>
            <w:r w:rsidRPr="00393FE3">
              <w:rPr>
                <w:sz w:val="22"/>
                <w:szCs w:val="22"/>
              </w:rPr>
              <w:t>Strategic differentiation through comprehensive HC transparency</w:t>
            </w:r>
          </w:p>
        </w:tc>
      </w:tr>
    </w:tbl>
    <w:p w14:paraId="08BE5B3E" w14:textId="77777777" w:rsidR="00724C44" w:rsidRPr="00724C44" w:rsidRDefault="00724C44" w:rsidP="00724C44">
      <w:pPr>
        <w:spacing w:line="240" w:lineRule="auto"/>
        <w:jc w:val="both"/>
      </w:pPr>
      <w:r w:rsidRPr="00724C44">
        <w:t>Framework validation analysis examined applicability across organizational characteristics. The data-to-disclosure gap was consistent across industry subsectors, ownership structures, and organizational sizes, suggesting the framework addresses a universal challenge rather than a segment-specific issue. The framework’s emphasis on pay transparency as an enabling condition is supported by the significant moderation effect documented in Hypothesis 3 testing.</w:t>
      </w:r>
    </w:p>
    <w:p w14:paraId="09BF1C23" w14:textId="77777777" w:rsidR="00724C44" w:rsidRPr="00724C44" w:rsidRDefault="00724C44" w:rsidP="00724C44">
      <w:pPr>
        <w:spacing w:line="240" w:lineRule="auto"/>
        <w:jc w:val="both"/>
      </w:pPr>
      <w:r w:rsidRPr="00724C44">
        <w:rPr>
          <w:b/>
        </w:rPr>
        <w:t>4.10 Barriers and Enablers</w:t>
      </w:r>
    </w:p>
    <w:p w14:paraId="03A7308D" w14:textId="77777777" w:rsidR="00724C44" w:rsidRPr="00724C44" w:rsidRDefault="00724C44" w:rsidP="00724C44">
      <w:pPr>
        <w:spacing w:line="240" w:lineRule="auto"/>
        <w:jc w:val="both"/>
      </w:pPr>
      <w:r w:rsidRPr="00724C44">
        <w:t>Section F of the questionnaire assessed factors that impede or facilitate the connection between AI-driven compensation data and human capital disclosure. Understanding these barriers and enablers is essential for practical implementation guidance.</w:t>
      </w:r>
    </w:p>
    <w:p w14:paraId="3FFE4FCA" w14:textId="77777777" w:rsidR="00724C44" w:rsidRPr="00724C44" w:rsidRDefault="00724C44" w:rsidP="00724C44">
      <w:pPr>
        <w:spacing w:line="240" w:lineRule="auto"/>
        <w:jc w:val="both"/>
      </w:pPr>
      <w:r w:rsidRPr="00724C44">
        <w:rPr>
          <w:b/>
        </w:rPr>
        <w:t>4.10.1 Implementation Barriers (F1)</w:t>
      </w:r>
    </w:p>
    <w:p w14:paraId="1A47C590" w14:textId="77777777" w:rsidR="00724C44" w:rsidRPr="00724C44" w:rsidRDefault="00724C44" w:rsidP="00724C44">
      <w:pPr>
        <w:spacing w:line="240" w:lineRule="auto"/>
        <w:jc w:val="both"/>
      </w:pPr>
      <w:r w:rsidRPr="00724C44">
        <w:t>Table 4.31 presents the 12 implementation barriers, ranked by perceived severity.</w:t>
      </w:r>
    </w:p>
    <w:p w14:paraId="4E72DC3C" w14:textId="77777777" w:rsidR="00724C44" w:rsidRPr="00724C44" w:rsidRDefault="00724C44" w:rsidP="00724C44">
      <w:pPr>
        <w:spacing w:line="240" w:lineRule="auto"/>
        <w:jc w:val="both"/>
      </w:pPr>
      <w:r w:rsidRPr="00724C44">
        <w:rPr>
          <w:b/>
        </w:rPr>
        <w:lastRenderedPageBreak/>
        <w:t>Table 4.31</w:t>
      </w:r>
    </w:p>
    <w:p w14:paraId="2777C91C" w14:textId="77777777" w:rsidR="00724C44" w:rsidRPr="00724C44" w:rsidRDefault="00724C44" w:rsidP="00724C44">
      <w:pPr>
        <w:spacing w:line="240" w:lineRule="auto"/>
        <w:jc w:val="both"/>
      </w:pPr>
      <w:r w:rsidRPr="00724C44">
        <w:rPr>
          <w:i/>
        </w:rPr>
        <w:t>Implementation Barriers Ranked by Severity (n = 400)</w:t>
      </w:r>
    </w:p>
    <w:tbl>
      <w:tblPr>
        <w:tblW w:w="0" w:type="auto"/>
        <w:tblLayout w:type="fixed"/>
        <w:tblLook w:val="04A0" w:firstRow="1" w:lastRow="0" w:firstColumn="1" w:lastColumn="0" w:noHBand="0" w:noVBand="1"/>
      </w:tblPr>
      <w:tblGrid>
        <w:gridCol w:w="1008"/>
        <w:gridCol w:w="4320"/>
        <w:gridCol w:w="864"/>
        <w:gridCol w:w="864"/>
        <w:gridCol w:w="2160"/>
      </w:tblGrid>
      <w:tr w:rsidR="00724C44" w:rsidRPr="00724C44" w14:paraId="76136A0D" w14:textId="77777777" w:rsidTr="00A5379F">
        <w:tc>
          <w:tcPr>
            <w:tcW w:w="1008" w:type="dxa"/>
            <w:tcBorders>
              <w:top w:val="single" w:sz="4" w:space="0" w:color="000000"/>
              <w:left w:val="nil"/>
              <w:bottom w:val="single" w:sz="4" w:space="0" w:color="000000"/>
              <w:right w:val="nil"/>
            </w:tcBorders>
          </w:tcPr>
          <w:p w14:paraId="396AEC72" w14:textId="77777777" w:rsidR="00724C44" w:rsidRPr="00393FE3" w:rsidRDefault="00724C44" w:rsidP="00393FE3">
            <w:pPr>
              <w:spacing w:after="0" w:line="240" w:lineRule="auto"/>
              <w:jc w:val="both"/>
              <w:rPr>
                <w:sz w:val="22"/>
                <w:szCs w:val="22"/>
              </w:rPr>
            </w:pPr>
            <w:r w:rsidRPr="00393FE3">
              <w:rPr>
                <w:b/>
                <w:sz w:val="22"/>
                <w:szCs w:val="22"/>
              </w:rPr>
              <w:t>Rank</w:t>
            </w:r>
          </w:p>
        </w:tc>
        <w:tc>
          <w:tcPr>
            <w:tcW w:w="4320" w:type="dxa"/>
            <w:tcBorders>
              <w:top w:val="single" w:sz="4" w:space="0" w:color="000000"/>
              <w:left w:val="nil"/>
              <w:bottom w:val="single" w:sz="4" w:space="0" w:color="000000"/>
              <w:right w:val="nil"/>
            </w:tcBorders>
          </w:tcPr>
          <w:p w14:paraId="55FDB0DF" w14:textId="77777777" w:rsidR="00724C44" w:rsidRPr="00393FE3" w:rsidRDefault="00724C44" w:rsidP="00393FE3">
            <w:pPr>
              <w:spacing w:after="0" w:line="240" w:lineRule="auto"/>
              <w:jc w:val="both"/>
              <w:rPr>
                <w:sz w:val="22"/>
                <w:szCs w:val="22"/>
              </w:rPr>
            </w:pPr>
            <w:r w:rsidRPr="00393FE3">
              <w:rPr>
                <w:b/>
                <w:sz w:val="22"/>
                <w:szCs w:val="22"/>
              </w:rPr>
              <w:t>Barrier</w:t>
            </w:r>
          </w:p>
        </w:tc>
        <w:tc>
          <w:tcPr>
            <w:tcW w:w="864" w:type="dxa"/>
            <w:tcBorders>
              <w:top w:val="single" w:sz="4" w:space="0" w:color="000000"/>
              <w:left w:val="nil"/>
              <w:bottom w:val="single" w:sz="4" w:space="0" w:color="000000"/>
              <w:right w:val="nil"/>
            </w:tcBorders>
          </w:tcPr>
          <w:p w14:paraId="00774497" w14:textId="77777777" w:rsidR="00724C44" w:rsidRPr="00393FE3" w:rsidRDefault="00724C44" w:rsidP="00393FE3">
            <w:pPr>
              <w:spacing w:after="0" w:line="240" w:lineRule="auto"/>
              <w:jc w:val="both"/>
              <w:rPr>
                <w:sz w:val="22"/>
                <w:szCs w:val="22"/>
              </w:rPr>
            </w:pPr>
            <w:r w:rsidRPr="00393FE3">
              <w:rPr>
                <w:b/>
                <w:sz w:val="22"/>
                <w:szCs w:val="22"/>
              </w:rPr>
              <w:t>M</w:t>
            </w:r>
          </w:p>
        </w:tc>
        <w:tc>
          <w:tcPr>
            <w:tcW w:w="864" w:type="dxa"/>
            <w:tcBorders>
              <w:top w:val="single" w:sz="4" w:space="0" w:color="000000"/>
              <w:left w:val="nil"/>
              <w:bottom w:val="single" w:sz="4" w:space="0" w:color="000000"/>
              <w:right w:val="nil"/>
            </w:tcBorders>
          </w:tcPr>
          <w:p w14:paraId="7A8F05B5" w14:textId="77777777" w:rsidR="00724C44" w:rsidRPr="00393FE3" w:rsidRDefault="00724C44" w:rsidP="00393FE3">
            <w:pPr>
              <w:spacing w:after="0" w:line="240" w:lineRule="auto"/>
              <w:jc w:val="both"/>
              <w:rPr>
                <w:sz w:val="22"/>
                <w:szCs w:val="22"/>
              </w:rPr>
            </w:pPr>
            <w:r w:rsidRPr="00393FE3">
              <w:rPr>
                <w:b/>
                <w:sz w:val="22"/>
                <w:szCs w:val="22"/>
              </w:rPr>
              <w:t>SD</w:t>
            </w:r>
          </w:p>
        </w:tc>
        <w:tc>
          <w:tcPr>
            <w:tcW w:w="2160" w:type="dxa"/>
            <w:tcBorders>
              <w:top w:val="single" w:sz="4" w:space="0" w:color="000000"/>
              <w:left w:val="nil"/>
              <w:bottom w:val="single" w:sz="4" w:space="0" w:color="000000"/>
              <w:right w:val="nil"/>
            </w:tcBorders>
          </w:tcPr>
          <w:p w14:paraId="5BDADB14" w14:textId="77777777" w:rsidR="00724C44" w:rsidRPr="00393FE3" w:rsidRDefault="00724C44" w:rsidP="00393FE3">
            <w:pPr>
              <w:spacing w:after="0" w:line="240" w:lineRule="auto"/>
              <w:jc w:val="both"/>
              <w:rPr>
                <w:sz w:val="22"/>
                <w:szCs w:val="22"/>
              </w:rPr>
            </w:pPr>
            <w:r w:rsidRPr="00393FE3">
              <w:rPr>
                <w:b/>
                <w:sz w:val="22"/>
                <w:szCs w:val="22"/>
              </w:rPr>
              <w:t>Interpretation</w:t>
            </w:r>
          </w:p>
        </w:tc>
      </w:tr>
      <w:tr w:rsidR="00724C44" w:rsidRPr="00724C44" w14:paraId="1270A6E7" w14:textId="77777777" w:rsidTr="00A5379F">
        <w:tc>
          <w:tcPr>
            <w:tcW w:w="1008" w:type="dxa"/>
            <w:tcBorders>
              <w:top w:val="nil"/>
              <w:left w:val="nil"/>
              <w:bottom w:val="nil"/>
              <w:right w:val="nil"/>
            </w:tcBorders>
          </w:tcPr>
          <w:p w14:paraId="61D8621E" w14:textId="77777777" w:rsidR="00724C44" w:rsidRPr="00393FE3" w:rsidRDefault="00724C44" w:rsidP="00393FE3">
            <w:pPr>
              <w:spacing w:after="0" w:line="240" w:lineRule="auto"/>
              <w:jc w:val="both"/>
              <w:rPr>
                <w:sz w:val="22"/>
                <w:szCs w:val="22"/>
              </w:rPr>
            </w:pPr>
            <w:r w:rsidRPr="00393FE3">
              <w:rPr>
                <w:sz w:val="22"/>
                <w:szCs w:val="22"/>
              </w:rPr>
              <w:t>1</w:t>
            </w:r>
          </w:p>
        </w:tc>
        <w:tc>
          <w:tcPr>
            <w:tcW w:w="4320" w:type="dxa"/>
            <w:tcBorders>
              <w:top w:val="nil"/>
              <w:left w:val="nil"/>
              <w:bottom w:val="nil"/>
              <w:right w:val="nil"/>
            </w:tcBorders>
          </w:tcPr>
          <w:p w14:paraId="4538FA3B" w14:textId="77777777" w:rsidR="00724C44" w:rsidRPr="00393FE3" w:rsidRDefault="00724C44" w:rsidP="00393FE3">
            <w:pPr>
              <w:spacing w:after="0" w:line="240" w:lineRule="auto"/>
              <w:jc w:val="both"/>
              <w:rPr>
                <w:sz w:val="22"/>
                <w:szCs w:val="22"/>
              </w:rPr>
            </w:pPr>
            <w:r w:rsidRPr="00393FE3">
              <w:rPr>
                <w:sz w:val="22"/>
                <w:szCs w:val="22"/>
              </w:rPr>
              <w:t>Unclear return on investment</w:t>
            </w:r>
          </w:p>
        </w:tc>
        <w:tc>
          <w:tcPr>
            <w:tcW w:w="864" w:type="dxa"/>
            <w:tcBorders>
              <w:top w:val="nil"/>
              <w:left w:val="nil"/>
              <w:bottom w:val="nil"/>
              <w:right w:val="nil"/>
            </w:tcBorders>
          </w:tcPr>
          <w:p w14:paraId="35E48166" w14:textId="77777777" w:rsidR="00724C44" w:rsidRPr="00393FE3" w:rsidRDefault="00724C44" w:rsidP="00393FE3">
            <w:pPr>
              <w:spacing w:after="0" w:line="240" w:lineRule="auto"/>
              <w:jc w:val="both"/>
              <w:rPr>
                <w:sz w:val="22"/>
                <w:szCs w:val="22"/>
              </w:rPr>
            </w:pPr>
            <w:r w:rsidRPr="00393FE3">
              <w:rPr>
                <w:sz w:val="22"/>
                <w:szCs w:val="22"/>
              </w:rPr>
              <w:t>3.90</w:t>
            </w:r>
          </w:p>
        </w:tc>
        <w:tc>
          <w:tcPr>
            <w:tcW w:w="864" w:type="dxa"/>
            <w:tcBorders>
              <w:top w:val="nil"/>
              <w:left w:val="nil"/>
              <w:bottom w:val="nil"/>
              <w:right w:val="nil"/>
            </w:tcBorders>
          </w:tcPr>
          <w:p w14:paraId="1A450956" w14:textId="77777777" w:rsidR="00724C44" w:rsidRPr="00393FE3" w:rsidRDefault="00724C44" w:rsidP="00393FE3">
            <w:pPr>
              <w:spacing w:after="0" w:line="240" w:lineRule="auto"/>
              <w:jc w:val="both"/>
              <w:rPr>
                <w:sz w:val="22"/>
                <w:szCs w:val="22"/>
              </w:rPr>
            </w:pPr>
            <w:r w:rsidRPr="00393FE3">
              <w:rPr>
                <w:sz w:val="22"/>
                <w:szCs w:val="22"/>
              </w:rPr>
              <w:t>1.09</w:t>
            </w:r>
          </w:p>
        </w:tc>
        <w:tc>
          <w:tcPr>
            <w:tcW w:w="2160" w:type="dxa"/>
            <w:tcBorders>
              <w:top w:val="nil"/>
              <w:left w:val="nil"/>
              <w:bottom w:val="nil"/>
              <w:right w:val="nil"/>
            </w:tcBorders>
          </w:tcPr>
          <w:p w14:paraId="6583F591"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5AAF05F8" w14:textId="77777777" w:rsidTr="00A5379F">
        <w:tc>
          <w:tcPr>
            <w:tcW w:w="1008" w:type="dxa"/>
            <w:tcBorders>
              <w:top w:val="nil"/>
              <w:left w:val="nil"/>
              <w:bottom w:val="nil"/>
              <w:right w:val="nil"/>
            </w:tcBorders>
          </w:tcPr>
          <w:p w14:paraId="06BF9CA0" w14:textId="77777777" w:rsidR="00724C44" w:rsidRPr="00393FE3" w:rsidRDefault="00724C44" w:rsidP="00393FE3">
            <w:pPr>
              <w:spacing w:after="0" w:line="240" w:lineRule="auto"/>
              <w:jc w:val="both"/>
              <w:rPr>
                <w:sz w:val="22"/>
                <w:szCs w:val="22"/>
              </w:rPr>
            </w:pPr>
            <w:r w:rsidRPr="00393FE3">
              <w:rPr>
                <w:sz w:val="22"/>
                <w:szCs w:val="22"/>
              </w:rPr>
              <w:t>2</w:t>
            </w:r>
          </w:p>
        </w:tc>
        <w:tc>
          <w:tcPr>
            <w:tcW w:w="4320" w:type="dxa"/>
            <w:tcBorders>
              <w:top w:val="nil"/>
              <w:left w:val="nil"/>
              <w:bottom w:val="nil"/>
              <w:right w:val="nil"/>
            </w:tcBorders>
          </w:tcPr>
          <w:p w14:paraId="7FE85C25" w14:textId="77777777" w:rsidR="00724C44" w:rsidRPr="00393FE3" w:rsidRDefault="00724C44" w:rsidP="00393FE3">
            <w:pPr>
              <w:spacing w:after="0" w:line="240" w:lineRule="auto"/>
              <w:jc w:val="both"/>
              <w:rPr>
                <w:sz w:val="22"/>
                <w:szCs w:val="22"/>
              </w:rPr>
            </w:pPr>
            <w:r w:rsidRPr="00393FE3">
              <w:rPr>
                <w:sz w:val="22"/>
                <w:szCs w:val="22"/>
              </w:rPr>
              <w:t>High implementation costs</w:t>
            </w:r>
          </w:p>
        </w:tc>
        <w:tc>
          <w:tcPr>
            <w:tcW w:w="864" w:type="dxa"/>
            <w:tcBorders>
              <w:top w:val="nil"/>
              <w:left w:val="nil"/>
              <w:bottom w:val="nil"/>
              <w:right w:val="nil"/>
            </w:tcBorders>
          </w:tcPr>
          <w:p w14:paraId="1023F639" w14:textId="77777777" w:rsidR="00724C44" w:rsidRPr="00393FE3" w:rsidRDefault="00724C44" w:rsidP="00393FE3">
            <w:pPr>
              <w:spacing w:after="0" w:line="240" w:lineRule="auto"/>
              <w:jc w:val="both"/>
              <w:rPr>
                <w:sz w:val="22"/>
                <w:szCs w:val="22"/>
              </w:rPr>
            </w:pPr>
            <w:r w:rsidRPr="00393FE3">
              <w:rPr>
                <w:sz w:val="22"/>
                <w:szCs w:val="22"/>
              </w:rPr>
              <w:t>3.88</w:t>
            </w:r>
          </w:p>
        </w:tc>
        <w:tc>
          <w:tcPr>
            <w:tcW w:w="864" w:type="dxa"/>
            <w:tcBorders>
              <w:top w:val="nil"/>
              <w:left w:val="nil"/>
              <w:bottom w:val="nil"/>
              <w:right w:val="nil"/>
            </w:tcBorders>
          </w:tcPr>
          <w:p w14:paraId="4EA9A912" w14:textId="77777777" w:rsidR="00724C44" w:rsidRPr="00393FE3" w:rsidRDefault="00724C44" w:rsidP="00393FE3">
            <w:pPr>
              <w:spacing w:after="0" w:line="240" w:lineRule="auto"/>
              <w:jc w:val="both"/>
              <w:rPr>
                <w:sz w:val="22"/>
                <w:szCs w:val="22"/>
              </w:rPr>
            </w:pPr>
            <w:r w:rsidRPr="00393FE3">
              <w:rPr>
                <w:sz w:val="22"/>
                <w:szCs w:val="22"/>
              </w:rPr>
              <w:t>1.01</w:t>
            </w:r>
          </w:p>
        </w:tc>
        <w:tc>
          <w:tcPr>
            <w:tcW w:w="2160" w:type="dxa"/>
            <w:tcBorders>
              <w:top w:val="nil"/>
              <w:left w:val="nil"/>
              <w:bottom w:val="nil"/>
              <w:right w:val="nil"/>
            </w:tcBorders>
          </w:tcPr>
          <w:p w14:paraId="5DC7F280"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5E41EB27" w14:textId="77777777" w:rsidTr="00A5379F">
        <w:tc>
          <w:tcPr>
            <w:tcW w:w="1008" w:type="dxa"/>
            <w:tcBorders>
              <w:top w:val="nil"/>
              <w:left w:val="nil"/>
              <w:bottom w:val="nil"/>
              <w:right w:val="nil"/>
            </w:tcBorders>
          </w:tcPr>
          <w:p w14:paraId="0784E366" w14:textId="77777777" w:rsidR="00724C44" w:rsidRPr="00393FE3" w:rsidRDefault="00724C44" w:rsidP="00393FE3">
            <w:pPr>
              <w:spacing w:after="0" w:line="240" w:lineRule="auto"/>
              <w:jc w:val="both"/>
              <w:rPr>
                <w:sz w:val="22"/>
                <w:szCs w:val="22"/>
              </w:rPr>
            </w:pPr>
            <w:r w:rsidRPr="00393FE3">
              <w:rPr>
                <w:sz w:val="22"/>
                <w:szCs w:val="22"/>
              </w:rPr>
              <w:t>3</w:t>
            </w:r>
          </w:p>
        </w:tc>
        <w:tc>
          <w:tcPr>
            <w:tcW w:w="4320" w:type="dxa"/>
            <w:tcBorders>
              <w:top w:val="nil"/>
              <w:left w:val="nil"/>
              <w:bottom w:val="nil"/>
              <w:right w:val="nil"/>
            </w:tcBorders>
          </w:tcPr>
          <w:p w14:paraId="10146D8A" w14:textId="77777777" w:rsidR="00724C44" w:rsidRPr="00393FE3" w:rsidRDefault="00724C44" w:rsidP="00393FE3">
            <w:pPr>
              <w:spacing w:after="0" w:line="240" w:lineRule="auto"/>
              <w:jc w:val="both"/>
              <w:rPr>
                <w:sz w:val="22"/>
                <w:szCs w:val="22"/>
              </w:rPr>
            </w:pPr>
            <w:r w:rsidRPr="00393FE3">
              <w:rPr>
                <w:sz w:val="22"/>
                <w:szCs w:val="22"/>
              </w:rPr>
              <w:t>Lack of standardized frameworks</w:t>
            </w:r>
          </w:p>
        </w:tc>
        <w:tc>
          <w:tcPr>
            <w:tcW w:w="864" w:type="dxa"/>
            <w:tcBorders>
              <w:top w:val="nil"/>
              <w:left w:val="nil"/>
              <w:bottom w:val="nil"/>
              <w:right w:val="nil"/>
            </w:tcBorders>
          </w:tcPr>
          <w:p w14:paraId="7ABB046C" w14:textId="77777777" w:rsidR="00724C44" w:rsidRPr="00393FE3" w:rsidRDefault="00724C44" w:rsidP="00393FE3">
            <w:pPr>
              <w:spacing w:after="0" w:line="240" w:lineRule="auto"/>
              <w:jc w:val="both"/>
              <w:rPr>
                <w:sz w:val="22"/>
                <w:szCs w:val="22"/>
              </w:rPr>
            </w:pPr>
            <w:r w:rsidRPr="00393FE3">
              <w:rPr>
                <w:sz w:val="22"/>
                <w:szCs w:val="22"/>
              </w:rPr>
              <w:t>3.87</w:t>
            </w:r>
          </w:p>
        </w:tc>
        <w:tc>
          <w:tcPr>
            <w:tcW w:w="864" w:type="dxa"/>
            <w:tcBorders>
              <w:top w:val="nil"/>
              <w:left w:val="nil"/>
              <w:bottom w:val="nil"/>
              <w:right w:val="nil"/>
            </w:tcBorders>
          </w:tcPr>
          <w:p w14:paraId="73A59366" w14:textId="77777777" w:rsidR="00724C44" w:rsidRPr="00393FE3" w:rsidRDefault="00724C44" w:rsidP="00393FE3">
            <w:pPr>
              <w:spacing w:after="0" w:line="240" w:lineRule="auto"/>
              <w:jc w:val="both"/>
              <w:rPr>
                <w:sz w:val="22"/>
                <w:szCs w:val="22"/>
              </w:rPr>
            </w:pPr>
            <w:r w:rsidRPr="00393FE3">
              <w:rPr>
                <w:sz w:val="22"/>
                <w:szCs w:val="22"/>
              </w:rPr>
              <w:t>1.14</w:t>
            </w:r>
          </w:p>
        </w:tc>
        <w:tc>
          <w:tcPr>
            <w:tcW w:w="2160" w:type="dxa"/>
            <w:tcBorders>
              <w:top w:val="nil"/>
              <w:left w:val="nil"/>
              <w:bottom w:val="nil"/>
              <w:right w:val="nil"/>
            </w:tcBorders>
          </w:tcPr>
          <w:p w14:paraId="3214AD1C"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35896234" w14:textId="77777777" w:rsidTr="00A5379F">
        <w:tc>
          <w:tcPr>
            <w:tcW w:w="1008" w:type="dxa"/>
            <w:tcBorders>
              <w:top w:val="nil"/>
              <w:left w:val="nil"/>
              <w:bottom w:val="nil"/>
              <w:right w:val="nil"/>
            </w:tcBorders>
          </w:tcPr>
          <w:p w14:paraId="21E72B29" w14:textId="77777777" w:rsidR="00724C44" w:rsidRPr="00393FE3" w:rsidRDefault="00724C44" w:rsidP="00393FE3">
            <w:pPr>
              <w:spacing w:after="0" w:line="240" w:lineRule="auto"/>
              <w:jc w:val="both"/>
              <w:rPr>
                <w:sz w:val="22"/>
                <w:szCs w:val="22"/>
              </w:rPr>
            </w:pPr>
            <w:r w:rsidRPr="00393FE3">
              <w:rPr>
                <w:sz w:val="22"/>
                <w:szCs w:val="22"/>
              </w:rPr>
              <w:t>4</w:t>
            </w:r>
          </w:p>
        </w:tc>
        <w:tc>
          <w:tcPr>
            <w:tcW w:w="4320" w:type="dxa"/>
            <w:tcBorders>
              <w:top w:val="nil"/>
              <w:left w:val="nil"/>
              <w:bottom w:val="nil"/>
              <w:right w:val="nil"/>
            </w:tcBorders>
          </w:tcPr>
          <w:p w14:paraId="3C6F7E44" w14:textId="77777777" w:rsidR="00724C44" w:rsidRPr="00393FE3" w:rsidRDefault="00724C44" w:rsidP="00393FE3">
            <w:pPr>
              <w:spacing w:after="0" w:line="240" w:lineRule="auto"/>
              <w:jc w:val="both"/>
              <w:rPr>
                <w:sz w:val="22"/>
                <w:szCs w:val="22"/>
              </w:rPr>
            </w:pPr>
            <w:r w:rsidRPr="00393FE3">
              <w:rPr>
                <w:sz w:val="22"/>
                <w:szCs w:val="22"/>
              </w:rPr>
              <w:t>Legacy system constraints</w:t>
            </w:r>
          </w:p>
        </w:tc>
        <w:tc>
          <w:tcPr>
            <w:tcW w:w="864" w:type="dxa"/>
            <w:tcBorders>
              <w:top w:val="nil"/>
              <w:left w:val="nil"/>
              <w:bottom w:val="nil"/>
              <w:right w:val="nil"/>
            </w:tcBorders>
          </w:tcPr>
          <w:p w14:paraId="1C4BBD4A" w14:textId="77777777" w:rsidR="00724C44" w:rsidRPr="00393FE3" w:rsidRDefault="00724C44" w:rsidP="00393FE3">
            <w:pPr>
              <w:spacing w:after="0" w:line="240" w:lineRule="auto"/>
              <w:jc w:val="both"/>
              <w:rPr>
                <w:sz w:val="22"/>
                <w:szCs w:val="22"/>
              </w:rPr>
            </w:pPr>
            <w:r w:rsidRPr="00393FE3">
              <w:rPr>
                <w:sz w:val="22"/>
                <w:szCs w:val="22"/>
              </w:rPr>
              <w:t>3.78</w:t>
            </w:r>
          </w:p>
        </w:tc>
        <w:tc>
          <w:tcPr>
            <w:tcW w:w="864" w:type="dxa"/>
            <w:tcBorders>
              <w:top w:val="nil"/>
              <w:left w:val="nil"/>
              <w:bottom w:val="nil"/>
              <w:right w:val="nil"/>
            </w:tcBorders>
          </w:tcPr>
          <w:p w14:paraId="20A97768" w14:textId="77777777" w:rsidR="00724C44" w:rsidRPr="00393FE3" w:rsidRDefault="00724C44" w:rsidP="00393FE3">
            <w:pPr>
              <w:spacing w:after="0" w:line="240" w:lineRule="auto"/>
              <w:jc w:val="both"/>
              <w:rPr>
                <w:sz w:val="22"/>
                <w:szCs w:val="22"/>
              </w:rPr>
            </w:pPr>
            <w:r w:rsidRPr="00393FE3">
              <w:rPr>
                <w:sz w:val="22"/>
                <w:szCs w:val="22"/>
              </w:rPr>
              <w:t>1.08</w:t>
            </w:r>
          </w:p>
        </w:tc>
        <w:tc>
          <w:tcPr>
            <w:tcW w:w="2160" w:type="dxa"/>
            <w:tcBorders>
              <w:top w:val="nil"/>
              <w:left w:val="nil"/>
              <w:bottom w:val="nil"/>
              <w:right w:val="nil"/>
            </w:tcBorders>
          </w:tcPr>
          <w:p w14:paraId="20569B1D"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57D2BA91" w14:textId="77777777" w:rsidTr="00A5379F">
        <w:tc>
          <w:tcPr>
            <w:tcW w:w="1008" w:type="dxa"/>
            <w:tcBorders>
              <w:top w:val="nil"/>
              <w:left w:val="nil"/>
              <w:bottom w:val="nil"/>
              <w:right w:val="nil"/>
            </w:tcBorders>
          </w:tcPr>
          <w:p w14:paraId="72894758" w14:textId="77777777" w:rsidR="00724C44" w:rsidRPr="00393FE3" w:rsidRDefault="00724C44" w:rsidP="00393FE3">
            <w:pPr>
              <w:spacing w:after="0" w:line="240" w:lineRule="auto"/>
              <w:jc w:val="both"/>
              <w:rPr>
                <w:sz w:val="22"/>
                <w:szCs w:val="22"/>
              </w:rPr>
            </w:pPr>
            <w:r w:rsidRPr="00393FE3">
              <w:rPr>
                <w:sz w:val="22"/>
                <w:szCs w:val="22"/>
              </w:rPr>
              <w:t>5</w:t>
            </w:r>
          </w:p>
        </w:tc>
        <w:tc>
          <w:tcPr>
            <w:tcW w:w="4320" w:type="dxa"/>
            <w:tcBorders>
              <w:top w:val="nil"/>
              <w:left w:val="nil"/>
              <w:bottom w:val="nil"/>
              <w:right w:val="nil"/>
            </w:tcBorders>
          </w:tcPr>
          <w:p w14:paraId="1782EEBC" w14:textId="77777777" w:rsidR="00724C44" w:rsidRPr="00393FE3" w:rsidRDefault="00724C44" w:rsidP="00393FE3">
            <w:pPr>
              <w:spacing w:after="0" w:line="240" w:lineRule="auto"/>
              <w:jc w:val="both"/>
              <w:rPr>
                <w:sz w:val="22"/>
                <w:szCs w:val="22"/>
              </w:rPr>
            </w:pPr>
            <w:r w:rsidRPr="00393FE3">
              <w:rPr>
                <w:sz w:val="22"/>
                <w:szCs w:val="22"/>
              </w:rPr>
              <w:t>Limited management support</w:t>
            </w:r>
          </w:p>
        </w:tc>
        <w:tc>
          <w:tcPr>
            <w:tcW w:w="864" w:type="dxa"/>
            <w:tcBorders>
              <w:top w:val="nil"/>
              <w:left w:val="nil"/>
              <w:bottom w:val="nil"/>
              <w:right w:val="nil"/>
            </w:tcBorders>
          </w:tcPr>
          <w:p w14:paraId="150D6E34" w14:textId="77777777" w:rsidR="00724C44" w:rsidRPr="00393FE3" w:rsidRDefault="00724C44" w:rsidP="00393FE3">
            <w:pPr>
              <w:spacing w:after="0" w:line="240" w:lineRule="auto"/>
              <w:jc w:val="both"/>
              <w:rPr>
                <w:sz w:val="22"/>
                <w:szCs w:val="22"/>
              </w:rPr>
            </w:pPr>
            <w:r w:rsidRPr="00393FE3">
              <w:rPr>
                <w:sz w:val="22"/>
                <w:szCs w:val="22"/>
              </w:rPr>
              <w:t>3.77</w:t>
            </w:r>
          </w:p>
        </w:tc>
        <w:tc>
          <w:tcPr>
            <w:tcW w:w="864" w:type="dxa"/>
            <w:tcBorders>
              <w:top w:val="nil"/>
              <w:left w:val="nil"/>
              <w:bottom w:val="nil"/>
              <w:right w:val="nil"/>
            </w:tcBorders>
          </w:tcPr>
          <w:p w14:paraId="3F497471" w14:textId="77777777" w:rsidR="00724C44" w:rsidRPr="00393FE3" w:rsidRDefault="00724C44" w:rsidP="00393FE3">
            <w:pPr>
              <w:spacing w:after="0" w:line="240" w:lineRule="auto"/>
              <w:jc w:val="both"/>
              <w:rPr>
                <w:sz w:val="22"/>
                <w:szCs w:val="22"/>
              </w:rPr>
            </w:pPr>
            <w:r w:rsidRPr="00393FE3">
              <w:rPr>
                <w:sz w:val="22"/>
                <w:szCs w:val="22"/>
              </w:rPr>
              <w:t>1.07</w:t>
            </w:r>
          </w:p>
        </w:tc>
        <w:tc>
          <w:tcPr>
            <w:tcW w:w="2160" w:type="dxa"/>
            <w:tcBorders>
              <w:top w:val="nil"/>
              <w:left w:val="nil"/>
              <w:bottom w:val="nil"/>
              <w:right w:val="nil"/>
            </w:tcBorders>
          </w:tcPr>
          <w:p w14:paraId="0004EBB2"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6EB2CC9A" w14:textId="77777777" w:rsidTr="00A5379F">
        <w:tc>
          <w:tcPr>
            <w:tcW w:w="1008" w:type="dxa"/>
            <w:tcBorders>
              <w:top w:val="nil"/>
              <w:left w:val="nil"/>
              <w:bottom w:val="nil"/>
              <w:right w:val="nil"/>
            </w:tcBorders>
          </w:tcPr>
          <w:p w14:paraId="4A4C41A4" w14:textId="77777777" w:rsidR="00724C44" w:rsidRPr="00393FE3" w:rsidRDefault="00724C44" w:rsidP="00393FE3">
            <w:pPr>
              <w:spacing w:after="0" w:line="240" w:lineRule="auto"/>
              <w:jc w:val="both"/>
              <w:rPr>
                <w:sz w:val="22"/>
                <w:szCs w:val="22"/>
              </w:rPr>
            </w:pPr>
            <w:r w:rsidRPr="00393FE3">
              <w:rPr>
                <w:sz w:val="22"/>
                <w:szCs w:val="22"/>
              </w:rPr>
              <w:t>6</w:t>
            </w:r>
          </w:p>
        </w:tc>
        <w:tc>
          <w:tcPr>
            <w:tcW w:w="4320" w:type="dxa"/>
            <w:tcBorders>
              <w:top w:val="nil"/>
              <w:left w:val="nil"/>
              <w:bottom w:val="nil"/>
              <w:right w:val="nil"/>
            </w:tcBorders>
          </w:tcPr>
          <w:p w14:paraId="6A7F06AB" w14:textId="77777777" w:rsidR="00724C44" w:rsidRPr="00393FE3" w:rsidRDefault="00724C44" w:rsidP="00393FE3">
            <w:pPr>
              <w:spacing w:after="0" w:line="240" w:lineRule="auto"/>
              <w:jc w:val="both"/>
              <w:rPr>
                <w:sz w:val="22"/>
                <w:szCs w:val="22"/>
              </w:rPr>
            </w:pPr>
            <w:r w:rsidRPr="00393FE3">
              <w:rPr>
                <w:sz w:val="22"/>
                <w:szCs w:val="22"/>
              </w:rPr>
              <w:t>Skill gaps in the workforce</w:t>
            </w:r>
          </w:p>
        </w:tc>
        <w:tc>
          <w:tcPr>
            <w:tcW w:w="864" w:type="dxa"/>
            <w:tcBorders>
              <w:top w:val="nil"/>
              <w:left w:val="nil"/>
              <w:bottom w:val="nil"/>
              <w:right w:val="nil"/>
            </w:tcBorders>
          </w:tcPr>
          <w:p w14:paraId="262FC303" w14:textId="77777777" w:rsidR="00724C44" w:rsidRPr="00393FE3" w:rsidRDefault="00724C44" w:rsidP="00393FE3">
            <w:pPr>
              <w:spacing w:after="0" w:line="240" w:lineRule="auto"/>
              <w:jc w:val="both"/>
              <w:rPr>
                <w:sz w:val="22"/>
                <w:szCs w:val="22"/>
              </w:rPr>
            </w:pPr>
            <w:r w:rsidRPr="00393FE3">
              <w:rPr>
                <w:sz w:val="22"/>
                <w:szCs w:val="22"/>
              </w:rPr>
              <w:t>3.77</w:t>
            </w:r>
          </w:p>
        </w:tc>
        <w:tc>
          <w:tcPr>
            <w:tcW w:w="864" w:type="dxa"/>
            <w:tcBorders>
              <w:top w:val="nil"/>
              <w:left w:val="nil"/>
              <w:bottom w:val="nil"/>
              <w:right w:val="nil"/>
            </w:tcBorders>
          </w:tcPr>
          <w:p w14:paraId="11590B5B" w14:textId="77777777" w:rsidR="00724C44" w:rsidRPr="00393FE3" w:rsidRDefault="00724C44" w:rsidP="00393FE3">
            <w:pPr>
              <w:spacing w:after="0" w:line="240" w:lineRule="auto"/>
              <w:jc w:val="both"/>
              <w:rPr>
                <w:sz w:val="22"/>
                <w:szCs w:val="22"/>
              </w:rPr>
            </w:pPr>
            <w:r w:rsidRPr="00393FE3">
              <w:rPr>
                <w:sz w:val="22"/>
                <w:szCs w:val="22"/>
              </w:rPr>
              <w:t>1.16</w:t>
            </w:r>
          </w:p>
        </w:tc>
        <w:tc>
          <w:tcPr>
            <w:tcW w:w="2160" w:type="dxa"/>
            <w:tcBorders>
              <w:top w:val="nil"/>
              <w:left w:val="nil"/>
              <w:bottom w:val="nil"/>
              <w:right w:val="nil"/>
            </w:tcBorders>
          </w:tcPr>
          <w:p w14:paraId="20155D8E"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02B27326" w14:textId="77777777" w:rsidTr="00A5379F">
        <w:tc>
          <w:tcPr>
            <w:tcW w:w="1008" w:type="dxa"/>
            <w:tcBorders>
              <w:top w:val="nil"/>
              <w:left w:val="nil"/>
              <w:bottom w:val="nil"/>
              <w:right w:val="nil"/>
            </w:tcBorders>
          </w:tcPr>
          <w:p w14:paraId="5C601CBD" w14:textId="77777777" w:rsidR="00724C44" w:rsidRPr="00393FE3" w:rsidRDefault="00724C44" w:rsidP="00393FE3">
            <w:pPr>
              <w:spacing w:after="0" w:line="240" w:lineRule="auto"/>
              <w:jc w:val="both"/>
              <w:rPr>
                <w:sz w:val="22"/>
                <w:szCs w:val="22"/>
              </w:rPr>
            </w:pPr>
            <w:r w:rsidRPr="00393FE3">
              <w:rPr>
                <w:sz w:val="22"/>
                <w:szCs w:val="22"/>
              </w:rPr>
              <w:t>7</w:t>
            </w:r>
          </w:p>
        </w:tc>
        <w:tc>
          <w:tcPr>
            <w:tcW w:w="4320" w:type="dxa"/>
            <w:tcBorders>
              <w:top w:val="nil"/>
              <w:left w:val="nil"/>
              <w:bottom w:val="nil"/>
              <w:right w:val="nil"/>
            </w:tcBorders>
          </w:tcPr>
          <w:p w14:paraId="6E3B74F8" w14:textId="77777777" w:rsidR="00724C44" w:rsidRPr="00393FE3" w:rsidRDefault="00724C44" w:rsidP="00393FE3">
            <w:pPr>
              <w:spacing w:after="0" w:line="240" w:lineRule="auto"/>
              <w:jc w:val="both"/>
              <w:rPr>
                <w:sz w:val="22"/>
                <w:szCs w:val="22"/>
              </w:rPr>
            </w:pPr>
            <w:r w:rsidRPr="00393FE3">
              <w:rPr>
                <w:sz w:val="22"/>
                <w:szCs w:val="22"/>
              </w:rPr>
              <w:t>System integration challenges</w:t>
            </w:r>
          </w:p>
        </w:tc>
        <w:tc>
          <w:tcPr>
            <w:tcW w:w="864" w:type="dxa"/>
            <w:tcBorders>
              <w:top w:val="nil"/>
              <w:left w:val="nil"/>
              <w:bottom w:val="nil"/>
              <w:right w:val="nil"/>
            </w:tcBorders>
          </w:tcPr>
          <w:p w14:paraId="7A034706" w14:textId="77777777" w:rsidR="00724C44" w:rsidRPr="00393FE3" w:rsidRDefault="00724C44" w:rsidP="00393FE3">
            <w:pPr>
              <w:spacing w:after="0" w:line="240" w:lineRule="auto"/>
              <w:jc w:val="both"/>
              <w:rPr>
                <w:sz w:val="22"/>
                <w:szCs w:val="22"/>
              </w:rPr>
            </w:pPr>
            <w:r w:rsidRPr="00393FE3">
              <w:rPr>
                <w:sz w:val="22"/>
                <w:szCs w:val="22"/>
              </w:rPr>
              <w:t>3.65</w:t>
            </w:r>
          </w:p>
        </w:tc>
        <w:tc>
          <w:tcPr>
            <w:tcW w:w="864" w:type="dxa"/>
            <w:tcBorders>
              <w:top w:val="nil"/>
              <w:left w:val="nil"/>
              <w:bottom w:val="nil"/>
              <w:right w:val="nil"/>
            </w:tcBorders>
          </w:tcPr>
          <w:p w14:paraId="6AC8B7F9" w14:textId="77777777" w:rsidR="00724C44" w:rsidRPr="00393FE3" w:rsidRDefault="00724C44" w:rsidP="00393FE3">
            <w:pPr>
              <w:spacing w:after="0" w:line="240" w:lineRule="auto"/>
              <w:jc w:val="both"/>
              <w:rPr>
                <w:sz w:val="22"/>
                <w:szCs w:val="22"/>
              </w:rPr>
            </w:pPr>
            <w:r w:rsidRPr="00393FE3">
              <w:rPr>
                <w:sz w:val="22"/>
                <w:szCs w:val="22"/>
              </w:rPr>
              <w:t>1.16</w:t>
            </w:r>
          </w:p>
        </w:tc>
        <w:tc>
          <w:tcPr>
            <w:tcW w:w="2160" w:type="dxa"/>
            <w:tcBorders>
              <w:top w:val="nil"/>
              <w:left w:val="nil"/>
              <w:bottom w:val="nil"/>
              <w:right w:val="nil"/>
            </w:tcBorders>
          </w:tcPr>
          <w:p w14:paraId="3146C2F8"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0F9C5C56" w14:textId="77777777" w:rsidTr="00A5379F">
        <w:tc>
          <w:tcPr>
            <w:tcW w:w="1008" w:type="dxa"/>
            <w:tcBorders>
              <w:top w:val="nil"/>
              <w:left w:val="nil"/>
              <w:bottom w:val="nil"/>
              <w:right w:val="nil"/>
            </w:tcBorders>
          </w:tcPr>
          <w:p w14:paraId="12F81E1F" w14:textId="77777777" w:rsidR="00724C44" w:rsidRPr="00393FE3" w:rsidRDefault="00724C44" w:rsidP="00393FE3">
            <w:pPr>
              <w:spacing w:after="0" w:line="240" w:lineRule="auto"/>
              <w:jc w:val="both"/>
              <w:rPr>
                <w:sz w:val="22"/>
                <w:szCs w:val="22"/>
              </w:rPr>
            </w:pPr>
            <w:r w:rsidRPr="00393FE3">
              <w:rPr>
                <w:sz w:val="22"/>
                <w:szCs w:val="22"/>
              </w:rPr>
              <w:t>8</w:t>
            </w:r>
          </w:p>
        </w:tc>
        <w:tc>
          <w:tcPr>
            <w:tcW w:w="4320" w:type="dxa"/>
            <w:tcBorders>
              <w:top w:val="nil"/>
              <w:left w:val="nil"/>
              <w:bottom w:val="nil"/>
              <w:right w:val="nil"/>
            </w:tcBorders>
          </w:tcPr>
          <w:p w14:paraId="53A85046" w14:textId="77777777" w:rsidR="00724C44" w:rsidRPr="00393FE3" w:rsidRDefault="00724C44" w:rsidP="00393FE3">
            <w:pPr>
              <w:spacing w:after="0" w:line="240" w:lineRule="auto"/>
              <w:jc w:val="both"/>
              <w:rPr>
                <w:sz w:val="22"/>
                <w:szCs w:val="22"/>
              </w:rPr>
            </w:pPr>
            <w:r w:rsidRPr="00393FE3">
              <w:rPr>
                <w:sz w:val="22"/>
                <w:szCs w:val="22"/>
              </w:rPr>
              <w:t>Data privacy concerns</w:t>
            </w:r>
          </w:p>
        </w:tc>
        <w:tc>
          <w:tcPr>
            <w:tcW w:w="864" w:type="dxa"/>
            <w:tcBorders>
              <w:top w:val="nil"/>
              <w:left w:val="nil"/>
              <w:bottom w:val="nil"/>
              <w:right w:val="nil"/>
            </w:tcBorders>
          </w:tcPr>
          <w:p w14:paraId="7B1C6312" w14:textId="77777777" w:rsidR="00724C44" w:rsidRPr="00393FE3" w:rsidRDefault="00724C44" w:rsidP="00393FE3">
            <w:pPr>
              <w:spacing w:after="0" w:line="240" w:lineRule="auto"/>
              <w:jc w:val="both"/>
              <w:rPr>
                <w:sz w:val="22"/>
                <w:szCs w:val="22"/>
              </w:rPr>
            </w:pPr>
            <w:r w:rsidRPr="00393FE3">
              <w:rPr>
                <w:sz w:val="22"/>
                <w:szCs w:val="22"/>
              </w:rPr>
              <w:t>3.59</w:t>
            </w:r>
          </w:p>
        </w:tc>
        <w:tc>
          <w:tcPr>
            <w:tcW w:w="864" w:type="dxa"/>
            <w:tcBorders>
              <w:top w:val="nil"/>
              <w:left w:val="nil"/>
              <w:bottom w:val="nil"/>
              <w:right w:val="nil"/>
            </w:tcBorders>
          </w:tcPr>
          <w:p w14:paraId="0B119AFC" w14:textId="77777777" w:rsidR="00724C44" w:rsidRPr="00393FE3" w:rsidRDefault="00724C44" w:rsidP="00393FE3">
            <w:pPr>
              <w:spacing w:after="0" w:line="240" w:lineRule="auto"/>
              <w:jc w:val="both"/>
              <w:rPr>
                <w:sz w:val="22"/>
                <w:szCs w:val="22"/>
              </w:rPr>
            </w:pPr>
            <w:r w:rsidRPr="00393FE3">
              <w:rPr>
                <w:sz w:val="22"/>
                <w:szCs w:val="22"/>
              </w:rPr>
              <w:t>1.21</w:t>
            </w:r>
          </w:p>
        </w:tc>
        <w:tc>
          <w:tcPr>
            <w:tcW w:w="2160" w:type="dxa"/>
            <w:tcBorders>
              <w:top w:val="nil"/>
              <w:left w:val="nil"/>
              <w:bottom w:val="nil"/>
              <w:right w:val="nil"/>
            </w:tcBorders>
          </w:tcPr>
          <w:p w14:paraId="3D736953"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270F5898" w14:textId="77777777" w:rsidTr="00A5379F">
        <w:tc>
          <w:tcPr>
            <w:tcW w:w="1008" w:type="dxa"/>
            <w:tcBorders>
              <w:top w:val="nil"/>
              <w:left w:val="nil"/>
              <w:bottom w:val="nil"/>
              <w:right w:val="nil"/>
            </w:tcBorders>
          </w:tcPr>
          <w:p w14:paraId="7C8F1825" w14:textId="77777777" w:rsidR="00724C44" w:rsidRPr="00393FE3" w:rsidRDefault="00724C44" w:rsidP="00393FE3">
            <w:pPr>
              <w:spacing w:after="0" w:line="240" w:lineRule="auto"/>
              <w:jc w:val="both"/>
              <w:rPr>
                <w:sz w:val="22"/>
                <w:szCs w:val="22"/>
              </w:rPr>
            </w:pPr>
            <w:r w:rsidRPr="00393FE3">
              <w:rPr>
                <w:sz w:val="22"/>
                <w:szCs w:val="22"/>
              </w:rPr>
              <w:t>9</w:t>
            </w:r>
          </w:p>
        </w:tc>
        <w:tc>
          <w:tcPr>
            <w:tcW w:w="4320" w:type="dxa"/>
            <w:tcBorders>
              <w:top w:val="nil"/>
              <w:left w:val="nil"/>
              <w:bottom w:val="nil"/>
              <w:right w:val="nil"/>
            </w:tcBorders>
          </w:tcPr>
          <w:p w14:paraId="189E3988" w14:textId="77777777" w:rsidR="00724C44" w:rsidRPr="00393FE3" w:rsidRDefault="00724C44" w:rsidP="00393FE3">
            <w:pPr>
              <w:spacing w:after="0" w:line="240" w:lineRule="auto"/>
              <w:jc w:val="both"/>
              <w:rPr>
                <w:sz w:val="22"/>
                <w:szCs w:val="22"/>
              </w:rPr>
            </w:pPr>
            <w:r w:rsidRPr="00393FE3">
              <w:rPr>
                <w:sz w:val="22"/>
                <w:szCs w:val="22"/>
              </w:rPr>
              <w:t>Regulatory uncertainty</w:t>
            </w:r>
          </w:p>
        </w:tc>
        <w:tc>
          <w:tcPr>
            <w:tcW w:w="864" w:type="dxa"/>
            <w:tcBorders>
              <w:top w:val="nil"/>
              <w:left w:val="nil"/>
              <w:bottom w:val="nil"/>
              <w:right w:val="nil"/>
            </w:tcBorders>
          </w:tcPr>
          <w:p w14:paraId="0911D413" w14:textId="77777777" w:rsidR="00724C44" w:rsidRPr="00393FE3" w:rsidRDefault="00724C44" w:rsidP="00393FE3">
            <w:pPr>
              <w:spacing w:after="0" w:line="240" w:lineRule="auto"/>
              <w:jc w:val="both"/>
              <w:rPr>
                <w:sz w:val="22"/>
                <w:szCs w:val="22"/>
              </w:rPr>
            </w:pPr>
            <w:r w:rsidRPr="00393FE3">
              <w:rPr>
                <w:sz w:val="22"/>
                <w:szCs w:val="22"/>
              </w:rPr>
              <w:t>3.56</w:t>
            </w:r>
          </w:p>
        </w:tc>
        <w:tc>
          <w:tcPr>
            <w:tcW w:w="864" w:type="dxa"/>
            <w:tcBorders>
              <w:top w:val="nil"/>
              <w:left w:val="nil"/>
              <w:bottom w:val="nil"/>
              <w:right w:val="nil"/>
            </w:tcBorders>
          </w:tcPr>
          <w:p w14:paraId="0C01A330" w14:textId="77777777" w:rsidR="00724C44" w:rsidRPr="00393FE3" w:rsidRDefault="00724C44" w:rsidP="00393FE3">
            <w:pPr>
              <w:spacing w:after="0" w:line="240" w:lineRule="auto"/>
              <w:jc w:val="both"/>
              <w:rPr>
                <w:sz w:val="22"/>
                <w:szCs w:val="22"/>
              </w:rPr>
            </w:pPr>
            <w:r w:rsidRPr="00393FE3">
              <w:rPr>
                <w:sz w:val="22"/>
                <w:szCs w:val="22"/>
              </w:rPr>
              <w:t>1.19</w:t>
            </w:r>
          </w:p>
        </w:tc>
        <w:tc>
          <w:tcPr>
            <w:tcW w:w="2160" w:type="dxa"/>
            <w:tcBorders>
              <w:top w:val="nil"/>
              <w:left w:val="nil"/>
              <w:bottom w:val="nil"/>
              <w:right w:val="nil"/>
            </w:tcBorders>
          </w:tcPr>
          <w:p w14:paraId="35DE2A73"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20A6B8AF" w14:textId="77777777" w:rsidTr="00A5379F">
        <w:tc>
          <w:tcPr>
            <w:tcW w:w="1008" w:type="dxa"/>
            <w:tcBorders>
              <w:top w:val="nil"/>
              <w:left w:val="nil"/>
              <w:bottom w:val="nil"/>
              <w:right w:val="nil"/>
            </w:tcBorders>
          </w:tcPr>
          <w:p w14:paraId="12C67864" w14:textId="77777777" w:rsidR="00724C44" w:rsidRPr="00393FE3" w:rsidRDefault="00724C44" w:rsidP="00393FE3">
            <w:pPr>
              <w:spacing w:after="0" w:line="240" w:lineRule="auto"/>
              <w:jc w:val="both"/>
              <w:rPr>
                <w:sz w:val="22"/>
                <w:szCs w:val="22"/>
              </w:rPr>
            </w:pPr>
            <w:r w:rsidRPr="00393FE3">
              <w:rPr>
                <w:sz w:val="22"/>
                <w:szCs w:val="22"/>
              </w:rPr>
              <w:t>10</w:t>
            </w:r>
          </w:p>
        </w:tc>
        <w:tc>
          <w:tcPr>
            <w:tcW w:w="4320" w:type="dxa"/>
            <w:tcBorders>
              <w:top w:val="nil"/>
              <w:left w:val="nil"/>
              <w:bottom w:val="nil"/>
              <w:right w:val="nil"/>
            </w:tcBorders>
          </w:tcPr>
          <w:p w14:paraId="63055E81" w14:textId="77777777" w:rsidR="00724C44" w:rsidRPr="00393FE3" w:rsidRDefault="00724C44" w:rsidP="00393FE3">
            <w:pPr>
              <w:spacing w:after="0" w:line="240" w:lineRule="auto"/>
              <w:jc w:val="both"/>
              <w:rPr>
                <w:sz w:val="22"/>
                <w:szCs w:val="22"/>
              </w:rPr>
            </w:pPr>
            <w:r w:rsidRPr="00393FE3">
              <w:rPr>
                <w:sz w:val="22"/>
                <w:szCs w:val="22"/>
              </w:rPr>
              <w:t>Organizational resistance to change</w:t>
            </w:r>
          </w:p>
        </w:tc>
        <w:tc>
          <w:tcPr>
            <w:tcW w:w="864" w:type="dxa"/>
            <w:tcBorders>
              <w:top w:val="nil"/>
              <w:left w:val="nil"/>
              <w:bottom w:val="nil"/>
              <w:right w:val="nil"/>
            </w:tcBorders>
          </w:tcPr>
          <w:p w14:paraId="60077452" w14:textId="77777777" w:rsidR="00724C44" w:rsidRPr="00393FE3" w:rsidRDefault="00724C44" w:rsidP="00393FE3">
            <w:pPr>
              <w:spacing w:after="0" w:line="240" w:lineRule="auto"/>
              <w:jc w:val="both"/>
              <w:rPr>
                <w:sz w:val="22"/>
                <w:szCs w:val="22"/>
              </w:rPr>
            </w:pPr>
            <w:r w:rsidRPr="00393FE3">
              <w:rPr>
                <w:sz w:val="22"/>
                <w:szCs w:val="22"/>
              </w:rPr>
              <w:t>3.52</w:t>
            </w:r>
          </w:p>
        </w:tc>
        <w:tc>
          <w:tcPr>
            <w:tcW w:w="864" w:type="dxa"/>
            <w:tcBorders>
              <w:top w:val="nil"/>
              <w:left w:val="nil"/>
              <w:bottom w:val="nil"/>
              <w:right w:val="nil"/>
            </w:tcBorders>
          </w:tcPr>
          <w:p w14:paraId="1906587D" w14:textId="77777777" w:rsidR="00724C44" w:rsidRPr="00393FE3" w:rsidRDefault="00724C44" w:rsidP="00393FE3">
            <w:pPr>
              <w:spacing w:after="0" w:line="240" w:lineRule="auto"/>
              <w:jc w:val="both"/>
              <w:rPr>
                <w:sz w:val="22"/>
                <w:szCs w:val="22"/>
              </w:rPr>
            </w:pPr>
            <w:r w:rsidRPr="00393FE3">
              <w:rPr>
                <w:sz w:val="22"/>
                <w:szCs w:val="22"/>
              </w:rPr>
              <w:t>1.25</w:t>
            </w:r>
          </w:p>
        </w:tc>
        <w:tc>
          <w:tcPr>
            <w:tcW w:w="2160" w:type="dxa"/>
            <w:tcBorders>
              <w:top w:val="nil"/>
              <w:left w:val="nil"/>
              <w:bottom w:val="nil"/>
              <w:right w:val="nil"/>
            </w:tcBorders>
          </w:tcPr>
          <w:p w14:paraId="237D8010"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470CA131" w14:textId="77777777" w:rsidTr="00A5379F">
        <w:tc>
          <w:tcPr>
            <w:tcW w:w="1008" w:type="dxa"/>
            <w:tcBorders>
              <w:top w:val="nil"/>
              <w:left w:val="nil"/>
              <w:bottom w:val="nil"/>
              <w:right w:val="nil"/>
            </w:tcBorders>
          </w:tcPr>
          <w:p w14:paraId="3707E75E" w14:textId="77777777" w:rsidR="00724C44" w:rsidRPr="00393FE3" w:rsidRDefault="00724C44" w:rsidP="00393FE3">
            <w:pPr>
              <w:spacing w:after="0" w:line="240" w:lineRule="auto"/>
              <w:jc w:val="both"/>
              <w:rPr>
                <w:sz w:val="22"/>
                <w:szCs w:val="22"/>
              </w:rPr>
            </w:pPr>
            <w:r w:rsidRPr="00393FE3">
              <w:rPr>
                <w:sz w:val="22"/>
                <w:szCs w:val="22"/>
              </w:rPr>
              <w:t>11</w:t>
            </w:r>
          </w:p>
        </w:tc>
        <w:tc>
          <w:tcPr>
            <w:tcW w:w="4320" w:type="dxa"/>
            <w:tcBorders>
              <w:top w:val="nil"/>
              <w:left w:val="nil"/>
              <w:bottom w:val="nil"/>
              <w:right w:val="nil"/>
            </w:tcBorders>
          </w:tcPr>
          <w:p w14:paraId="4543DA2A" w14:textId="77777777" w:rsidR="00724C44" w:rsidRPr="00393FE3" w:rsidRDefault="00724C44" w:rsidP="00393FE3">
            <w:pPr>
              <w:spacing w:after="0" w:line="240" w:lineRule="auto"/>
              <w:jc w:val="both"/>
              <w:rPr>
                <w:sz w:val="22"/>
                <w:szCs w:val="22"/>
              </w:rPr>
            </w:pPr>
            <w:r w:rsidRPr="00393FE3">
              <w:rPr>
                <w:sz w:val="22"/>
                <w:szCs w:val="22"/>
              </w:rPr>
              <w:t>Data quality issues</w:t>
            </w:r>
          </w:p>
        </w:tc>
        <w:tc>
          <w:tcPr>
            <w:tcW w:w="864" w:type="dxa"/>
            <w:tcBorders>
              <w:top w:val="nil"/>
              <w:left w:val="nil"/>
              <w:bottom w:val="nil"/>
              <w:right w:val="nil"/>
            </w:tcBorders>
          </w:tcPr>
          <w:p w14:paraId="57154F01" w14:textId="77777777" w:rsidR="00724C44" w:rsidRPr="00393FE3" w:rsidRDefault="00724C44" w:rsidP="00393FE3">
            <w:pPr>
              <w:spacing w:after="0" w:line="240" w:lineRule="auto"/>
              <w:jc w:val="both"/>
              <w:rPr>
                <w:sz w:val="22"/>
                <w:szCs w:val="22"/>
              </w:rPr>
            </w:pPr>
            <w:r w:rsidRPr="00393FE3">
              <w:rPr>
                <w:sz w:val="22"/>
                <w:szCs w:val="22"/>
              </w:rPr>
              <w:t>3.48</w:t>
            </w:r>
          </w:p>
        </w:tc>
        <w:tc>
          <w:tcPr>
            <w:tcW w:w="864" w:type="dxa"/>
            <w:tcBorders>
              <w:top w:val="nil"/>
              <w:left w:val="nil"/>
              <w:bottom w:val="nil"/>
              <w:right w:val="nil"/>
            </w:tcBorders>
          </w:tcPr>
          <w:p w14:paraId="6784B9B8" w14:textId="77777777" w:rsidR="00724C44" w:rsidRPr="00393FE3" w:rsidRDefault="00724C44" w:rsidP="00393FE3">
            <w:pPr>
              <w:spacing w:after="0" w:line="240" w:lineRule="auto"/>
              <w:jc w:val="both"/>
              <w:rPr>
                <w:sz w:val="22"/>
                <w:szCs w:val="22"/>
              </w:rPr>
            </w:pPr>
            <w:r w:rsidRPr="00393FE3">
              <w:rPr>
                <w:sz w:val="22"/>
                <w:szCs w:val="22"/>
              </w:rPr>
              <w:t>1.28</w:t>
            </w:r>
          </w:p>
        </w:tc>
        <w:tc>
          <w:tcPr>
            <w:tcW w:w="2160" w:type="dxa"/>
            <w:tcBorders>
              <w:top w:val="nil"/>
              <w:left w:val="nil"/>
              <w:bottom w:val="nil"/>
              <w:right w:val="nil"/>
            </w:tcBorders>
          </w:tcPr>
          <w:p w14:paraId="69D5B84F"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6059709D" w14:textId="77777777" w:rsidTr="00A5379F">
        <w:tc>
          <w:tcPr>
            <w:tcW w:w="1008" w:type="dxa"/>
            <w:tcBorders>
              <w:top w:val="nil"/>
              <w:left w:val="nil"/>
              <w:bottom w:val="nil"/>
              <w:right w:val="nil"/>
            </w:tcBorders>
          </w:tcPr>
          <w:p w14:paraId="4A909D42" w14:textId="77777777" w:rsidR="00724C44" w:rsidRPr="00393FE3" w:rsidRDefault="00724C44" w:rsidP="00393FE3">
            <w:pPr>
              <w:spacing w:after="0" w:line="240" w:lineRule="auto"/>
              <w:jc w:val="both"/>
              <w:rPr>
                <w:sz w:val="22"/>
                <w:szCs w:val="22"/>
              </w:rPr>
            </w:pPr>
            <w:r w:rsidRPr="00393FE3">
              <w:rPr>
                <w:sz w:val="22"/>
                <w:szCs w:val="22"/>
              </w:rPr>
              <w:t>12</w:t>
            </w:r>
          </w:p>
        </w:tc>
        <w:tc>
          <w:tcPr>
            <w:tcW w:w="4320" w:type="dxa"/>
            <w:tcBorders>
              <w:top w:val="nil"/>
              <w:left w:val="nil"/>
              <w:bottom w:val="nil"/>
              <w:right w:val="nil"/>
            </w:tcBorders>
          </w:tcPr>
          <w:p w14:paraId="28EDB941" w14:textId="77777777" w:rsidR="00724C44" w:rsidRPr="00393FE3" w:rsidRDefault="00724C44" w:rsidP="00393FE3">
            <w:pPr>
              <w:spacing w:after="0" w:line="240" w:lineRule="auto"/>
              <w:jc w:val="both"/>
              <w:rPr>
                <w:sz w:val="22"/>
                <w:szCs w:val="22"/>
              </w:rPr>
            </w:pPr>
            <w:r w:rsidRPr="00393FE3">
              <w:rPr>
                <w:sz w:val="22"/>
                <w:szCs w:val="22"/>
              </w:rPr>
              <w:t>Lack of technical expertise</w:t>
            </w:r>
          </w:p>
        </w:tc>
        <w:tc>
          <w:tcPr>
            <w:tcW w:w="864" w:type="dxa"/>
            <w:tcBorders>
              <w:top w:val="nil"/>
              <w:left w:val="nil"/>
              <w:bottom w:val="nil"/>
              <w:right w:val="nil"/>
            </w:tcBorders>
          </w:tcPr>
          <w:p w14:paraId="42E8C901" w14:textId="77777777" w:rsidR="00724C44" w:rsidRPr="00393FE3" w:rsidRDefault="00724C44" w:rsidP="00393FE3">
            <w:pPr>
              <w:spacing w:after="0" w:line="240" w:lineRule="auto"/>
              <w:jc w:val="both"/>
              <w:rPr>
                <w:sz w:val="22"/>
                <w:szCs w:val="22"/>
              </w:rPr>
            </w:pPr>
            <w:r w:rsidRPr="00393FE3">
              <w:rPr>
                <w:sz w:val="22"/>
                <w:szCs w:val="22"/>
              </w:rPr>
              <w:t>3.33</w:t>
            </w:r>
          </w:p>
        </w:tc>
        <w:tc>
          <w:tcPr>
            <w:tcW w:w="864" w:type="dxa"/>
            <w:tcBorders>
              <w:top w:val="nil"/>
              <w:left w:val="nil"/>
              <w:bottom w:val="nil"/>
              <w:right w:val="nil"/>
            </w:tcBorders>
          </w:tcPr>
          <w:p w14:paraId="777415C2" w14:textId="77777777" w:rsidR="00724C44" w:rsidRPr="00393FE3" w:rsidRDefault="00724C44" w:rsidP="00393FE3">
            <w:pPr>
              <w:spacing w:after="0" w:line="240" w:lineRule="auto"/>
              <w:jc w:val="both"/>
              <w:rPr>
                <w:sz w:val="22"/>
                <w:szCs w:val="22"/>
              </w:rPr>
            </w:pPr>
            <w:r w:rsidRPr="00393FE3">
              <w:rPr>
                <w:sz w:val="22"/>
                <w:szCs w:val="22"/>
              </w:rPr>
              <w:t>1.12</w:t>
            </w:r>
          </w:p>
        </w:tc>
        <w:tc>
          <w:tcPr>
            <w:tcW w:w="2160" w:type="dxa"/>
            <w:tcBorders>
              <w:top w:val="nil"/>
              <w:left w:val="nil"/>
              <w:bottom w:val="nil"/>
              <w:right w:val="nil"/>
            </w:tcBorders>
          </w:tcPr>
          <w:p w14:paraId="3B73B0FB" w14:textId="77777777" w:rsidR="00724C44" w:rsidRPr="00393FE3" w:rsidRDefault="00724C44" w:rsidP="00393FE3">
            <w:pPr>
              <w:spacing w:after="0" w:line="240" w:lineRule="auto"/>
              <w:jc w:val="both"/>
              <w:rPr>
                <w:sz w:val="22"/>
                <w:szCs w:val="22"/>
              </w:rPr>
            </w:pPr>
            <w:r w:rsidRPr="00393FE3">
              <w:rPr>
                <w:sz w:val="22"/>
                <w:szCs w:val="22"/>
              </w:rPr>
              <w:t>Moderate</w:t>
            </w:r>
          </w:p>
        </w:tc>
      </w:tr>
      <w:tr w:rsidR="00724C44" w:rsidRPr="00724C44" w14:paraId="10C10B9B" w14:textId="77777777" w:rsidTr="00A5379F">
        <w:tc>
          <w:tcPr>
            <w:tcW w:w="1008" w:type="dxa"/>
            <w:tcBorders>
              <w:top w:val="nil"/>
              <w:left w:val="nil"/>
              <w:bottom w:val="single" w:sz="4" w:space="0" w:color="000000"/>
              <w:right w:val="nil"/>
            </w:tcBorders>
          </w:tcPr>
          <w:p w14:paraId="6242124C" w14:textId="77777777" w:rsidR="00724C44" w:rsidRPr="00393FE3" w:rsidRDefault="00724C44" w:rsidP="00393FE3">
            <w:pPr>
              <w:spacing w:after="0" w:line="240" w:lineRule="auto"/>
              <w:jc w:val="both"/>
              <w:rPr>
                <w:sz w:val="22"/>
                <w:szCs w:val="22"/>
              </w:rPr>
            </w:pPr>
          </w:p>
        </w:tc>
        <w:tc>
          <w:tcPr>
            <w:tcW w:w="4320" w:type="dxa"/>
            <w:tcBorders>
              <w:top w:val="nil"/>
              <w:left w:val="nil"/>
              <w:bottom w:val="single" w:sz="4" w:space="0" w:color="000000"/>
              <w:right w:val="nil"/>
            </w:tcBorders>
          </w:tcPr>
          <w:p w14:paraId="1BC4D098" w14:textId="77777777" w:rsidR="00724C44" w:rsidRPr="00393FE3" w:rsidRDefault="00724C44" w:rsidP="00393FE3">
            <w:pPr>
              <w:spacing w:after="0" w:line="240" w:lineRule="auto"/>
              <w:jc w:val="both"/>
              <w:rPr>
                <w:sz w:val="22"/>
                <w:szCs w:val="22"/>
              </w:rPr>
            </w:pPr>
            <w:proofErr w:type="gramStart"/>
            <w:r w:rsidRPr="00393FE3">
              <w:rPr>
                <w:sz w:val="22"/>
                <w:szCs w:val="22"/>
              </w:rPr>
              <w:t>Overall</w:t>
            </w:r>
            <w:proofErr w:type="gramEnd"/>
            <w:r w:rsidRPr="00393FE3">
              <w:rPr>
                <w:sz w:val="22"/>
                <w:szCs w:val="22"/>
              </w:rPr>
              <w:t xml:space="preserve"> Barriers Mean (F1)</w:t>
            </w:r>
          </w:p>
        </w:tc>
        <w:tc>
          <w:tcPr>
            <w:tcW w:w="864" w:type="dxa"/>
            <w:tcBorders>
              <w:top w:val="nil"/>
              <w:left w:val="nil"/>
              <w:bottom w:val="single" w:sz="4" w:space="0" w:color="000000"/>
              <w:right w:val="nil"/>
            </w:tcBorders>
          </w:tcPr>
          <w:p w14:paraId="688308AB" w14:textId="77777777" w:rsidR="00724C44" w:rsidRPr="00393FE3" w:rsidRDefault="00724C44" w:rsidP="00393FE3">
            <w:pPr>
              <w:spacing w:after="0" w:line="240" w:lineRule="auto"/>
              <w:jc w:val="both"/>
              <w:rPr>
                <w:sz w:val="22"/>
                <w:szCs w:val="22"/>
              </w:rPr>
            </w:pPr>
            <w:r w:rsidRPr="00393FE3">
              <w:rPr>
                <w:sz w:val="22"/>
                <w:szCs w:val="22"/>
              </w:rPr>
              <w:t>3.67</w:t>
            </w:r>
          </w:p>
        </w:tc>
        <w:tc>
          <w:tcPr>
            <w:tcW w:w="864" w:type="dxa"/>
            <w:tcBorders>
              <w:top w:val="nil"/>
              <w:left w:val="nil"/>
              <w:bottom w:val="single" w:sz="4" w:space="0" w:color="000000"/>
              <w:right w:val="nil"/>
            </w:tcBorders>
          </w:tcPr>
          <w:p w14:paraId="05F083D5" w14:textId="77777777" w:rsidR="00724C44" w:rsidRPr="00393FE3" w:rsidRDefault="00724C44" w:rsidP="00393FE3">
            <w:pPr>
              <w:spacing w:after="0" w:line="240" w:lineRule="auto"/>
              <w:jc w:val="both"/>
              <w:rPr>
                <w:sz w:val="22"/>
                <w:szCs w:val="22"/>
              </w:rPr>
            </w:pPr>
            <w:r w:rsidRPr="00393FE3">
              <w:rPr>
                <w:sz w:val="22"/>
                <w:szCs w:val="22"/>
              </w:rPr>
              <w:t>0.65</w:t>
            </w:r>
          </w:p>
        </w:tc>
        <w:tc>
          <w:tcPr>
            <w:tcW w:w="2160" w:type="dxa"/>
            <w:tcBorders>
              <w:top w:val="nil"/>
              <w:left w:val="nil"/>
              <w:bottom w:val="single" w:sz="4" w:space="0" w:color="000000"/>
              <w:right w:val="nil"/>
            </w:tcBorders>
          </w:tcPr>
          <w:p w14:paraId="76FE3195" w14:textId="77777777" w:rsidR="00724C44" w:rsidRPr="00393FE3" w:rsidRDefault="00724C44" w:rsidP="00393FE3">
            <w:pPr>
              <w:spacing w:after="0" w:line="240" w:lineRule="auto"/>
              <w:jc w:val="both"/>
              <w:rPr>
                <w:sz w:val="22"/>
                <w:szCs w:val="22"/>
              </w:rPr>
            </w:pPr>
            <w:r w:rsidRPr="00393FE3">
              <w:rPr>
                <w:sz w:val="22"/>
                <w:szCs w:val="22"/>
              </w:rPr>
              <w:t>Moderate</w:t>
            </w:r>
          </w:p>
        </w:tc>
      </w:tr>
    </w:tbl>
    <w:p w14:paraId="58E6F121" w14:textId="77777777" w:rsidR="00724C44" w:rsidRPr="00393FE3" w:rsidRDefault="00724C44" w:rsidP="00724C44">
      <w:pPr>
        <w:spacing w:line="240" w:lineRule="auto"/>
        <w:jc w:val="both"/>
        <w:rPr>
          <w:sz w:val="22"/>
          <w:szCs w:val="22"/>
        </w:rPr>
      </w:pPr>
      <w:r w:rsidRPr="00393FE3">
        <w:rPr>
          <w:i/>
          <w:sz w:val="22"/>
          <w:szCs w:val="22"/>
        </w:rPr>
        <w:t xml:space="preserve">Note. </w:t>
      </w:r>
      <w:r w:rsidRPr="00393FE3">
        <w:rPr>
          <w:sz w:val="22"/>
          <w:szCs w:val="22"/>
        </w:rPr>
        <w:t>Scale: 1 = Not a barrier, 7 = Major barrier.</w:t>
      </w:r>
    </w:p>
    <w:p w14:paraId="2EBD6531" w14:textId="77777777" w:rsidR="00724C44" w:rsidRPr="00724C44" w:rsidRDefault="00724C44" w:rsidP="00724C44">
      <w:pPr>
        <w:spacing w:line="240" w:lineRule="auto"/>
        <w:jc w:val="both"/>
      </w:pPr>
      <w:r w:rsidRPr="00724C44">
        <w:t>The barrier analysis reveals that technical and resource constraints are perceived as more significant obstacles than organizational resistance. High implementation costs, lack of technical expertise, data quality issues, and system integration challenges emerge as the most substantial barriers. Interestingly, organizational resistance to change and limited management support rank lower, suggesting that willingness coexists with capability constraints associated with limited progress.</w:t>
      </w:r>
    </w:p>
    <w:p w14:paraId="32DFD95A" w14:textId="77777777" w:rsidR="00724C44" w:rsidRPr="00724C44" w:rsidRDefault="00724C44" w:rsidP="00724C44">
      <w:pPr>
        <w:spacing w:line="240" w:lineRule="auto"/>
        <w:jc w:val="both"/>
      </w:pPr>
      <w:r w:rsidRPr="00724C44">
        <w:rPr>
          <w:b/>
        </w:rPr>
        <w:t>4.10.2 Implementation Enablers (F2)</w:t>
      </w:r>
    </w:p>
    <w:p w14:paraId="50A20F49" w14:textId="77777777" w:rsidR="00724C44" w:rsidRPr="00724C44" w:rsidRDefault="00724C44" w:rsidP="00724C44">
      <w:pPr>
        <w:spacing w:line="240" w:lineRule="auto"/>
        <w:jc w:val="both"/>
      </w:pPr>
      <w:r w:rsidRPr="00724C44">
        <w:t>Table 4.32 presents the 10 enablers, ranked by perceived presence in organizations.</w:t>
      </w:r>
    </w:p>
    <w:p w14:paraId="74314932" w14:textId="77777777" w:rsidR="00724C44" w:rsidRPr="00724C44" w:rsidRDefault="00724C44" w:rsidP="00724C44">
      <w:pPr>
        <w:spacing w:line="240" w:lineRule="auto"/>
        <w:jc w:val="both"/>
      </w:pPr>
      <w:r w:rsidRPr="00724C44">
        <w:rPr>
          <w:b/>
        </w:rPr>
        <w:t>Table 4.32</w:t>
      </w:r>
    </w:p>
    <w:p w14:paraId="21D1EFAA" w14:textId="77777777" w:rsidR="00724C44" w:rsidRPr="00724C44" w:rsidRDefault="00724C44" w:rsidP="00724C44">
      <w:pPr>
        <w:spacing w:line="240" w:lineRule="auto"/>
        <w:jc w:val="both"/>
      </w:pPr>
      <w:r w:rsidRPr="00724C44">
        <w:rPr>
          <w:i/>
        </w:rPr>
        <w:t>Implementation Enablers Ranked by Presence (n = 400)</w:t>
      </w:r>
    </w:p>
    <w:tbl>
      <w:tblPr>
        <w:tblW w:w="0" w:type="auto"/>
        <w:tblLayout w:type="fixed"/>
        <w:tblLook w:val="04A0" w:firstRow="1" w:lastRow="0" w:firstColumn="1" w:lastColumn="0" w:noHBand="0" w:noVBand="1"/>
      </w:tblPr>
      <w:tblGrid>
        <w:gridCol w:w="1008"/>
        <w:gridCol w:w="4320"/>
        <w:gridCol w:w="864"/>
        <w:gridCol w:w="864"/>
        <w:gridCol w:w="2160"/>
      </w:tblGrid>
      <w:tr w:rsidR="00724C44" w:rsidRPr="00724C44" w14:paraId="3FDCBDB2" w14:textId="77777777" w:rsidTr="00A5379F">
        <w:tc>
          <w:tcPr>
            <w:tcW w:w="1008" w:type="dxa"/>
            <w:tcBorders>
              <w:top w:val="single" w:sz="4" w:space="0" w:color="000000"/>
              <w:left w:val="nil"/>
              <w:bottom w:val="single" w:sz="4" w:space="0" w:color="000000"/>
              <w:right w:val="nil"/>
            </w:tcBorders>
          </w:tcPr>
          <w:p w14:paraId="0DE400D6" w14:textId="77777777" w:rsidR="00724C44" w:rsidRPr="00393FE3" w:rsidRDefault="00724C44" w:rsidP="00393FE3">
            <w:pPr>
              <w:spacing w:after="0" w:line="240" w:lineRule="auto"/>
              <w:jc w:val="both"/>
              <w:rPr>
                <w:sz w:val="22"/>
                <w:szCs w:val="22"/>
              </w:rPr>
            </w:pPr>
            <w:r w:rsidRPr="00393FE3">
              <w:rPr>
                <w:b/>
                <w:sz w:val="22"/>
                <w:szCs w:val="22"/>
              </w:rPr>
              <w:t>Rank</w:t>
            </w:r>
          </w:p>
        </w:tc>
        <w:tc>
          <w:tcPr>
            <w:tcW w:w="4320" w:type="dxa"/>
            <w:tcBorders>
              <w:top w:val="single" w:sz="4" w:space="0" w:color="000000"/>
              <w:left w:val="nil"/>
              <w:bottom w:val="single" w:sz="4" w:space="0" w:color="000000"/>
              <w:right w:val="nil"/>
            </w:tcBorders>
          </w:tcPr>
          <w:p w14:paraId="7F00CE6E" w14:textId="77777777" w:rsidR="00724C44" w:rsidRPr="00393FE3" w:rsidRDefault="00724C44" w:rsidP="00393FE3">
            <w:pPr>
              <w:spacing w:after="0" w:line="240" w:lineRule="auto"/>
              <w:jc w:val="both"/>
              <w:rPr>
                <w:sz w:val="22"/>
                <w:szCs w:val="22"/>
              </w:rPr>
            </w:pPr>
            <w:r w:rsidRPr="00393FE3">
              <w:rPr>
                <w:b/>
                <w:sz w:val="22"/>
                <w:szCs w:val="22"/>
              </w:rPr>
              <w:t>Enabler</w:t>
            </w:r>
          </w:p>
        </w:tc>
        <w:tc>
          <w:tcPr>
            <w:tcW w:w="864" w:type="dxa"/>
            <w:tcBorders>
              <w:top w:val="single" w:sz="4" w:space="0" w:color="000000"/>
              <w:left w:val="nil"/>
              <w:bottom w:val="single" w:sz="4" w:space="0" w:color="000000"/>
              <w:right w:val="nil"/>
            </w:tcBorders>
          </w:tcPr>
          <w:p w14:paraId="5CFC571B" w14:textId="77777777" w:rsidR="00724C44" w:rsidRPr="00393FE3" w:rsidRDefault="00724C44" w:rsidP="00393FE3">
            <w:pPr>
              <w:spacing w:after="0" w:line="240" w:lineRule="auto"/>
              <w:jc w:val="both"/>
              <w:rPr>
                <w:sz w:val="22"/>
                <w:szCs w:val="22"/>
              </w:rPr>
            </w:pPr>
            <w:r w:rsidRPr="00393FE3">
              <w:rPr>
                <w:b/>
                <w:sz w:val="22"/>
                <w:szCs w:val="22"/>
              </w:rPr>
              <w:t>M</w:t>
            </w:r>
          </w:p>
        </w:tc>
        <w:tc>
          <w:tcPr>
            <w:tcW w:w="864" w:type="dxa"/>
            <w:tcBorders>
              <w:top w:val="single" w:sz="4" w:space="0" w:color="000000"/>
              <w:left w:val="nil"/>
              <w:bottom w:val="single" w:sz="4" w:space="0" w:color="000000"/>
              <w:right w:val="nil"/>
            </w:tcBorders>
          </w:tcPr>
          <w:p w14:paraId="57A69E78" w14:textId="77777777" w:rsidR="00724C44" w:rsidRPr="00393FE3" w:rsidRDefault="00724C44" w:rsidP="00393FE3">
            <w:pPr>
              <w:spacing w:after="0" w:line="240" w:lineRule="auto"/>
              <w:jc w:val="both"/>
              <w:rPr>
                <w:sz w:val="22"/>
                <w:szCs w:val="22"/>
              </w:rPr>
            </w:pPr>
            <w:r w:rsidRPr="00393FE3">
              <w:rPr>
                <w:b/>
                <w:sz w:val="22"/>
                <w:szCs w:val="22"/>
              </w:rPr>
              <w:t>SD</w:t>
            </w:r>
          </w:p>
        </w:tc>
        <w:tc>
          <w:tcPr>
            <w:tcW w:w="2160" w:type="dxa"/>
            <w:tcBorders>
              <w:top w:val="single" w:sz="4" w:space="0" w:color="000000"/>
              <w:left w:val="nil"/>
              <w:bottom w:val="single" w:sz="4" w:space="0" w:color="000000"/>
              <w:right w:val="nil"/>
            </w:tcBorders>
          </w:tcPr>
          <w:p w14:paraId="2E1A3E82" w14:textId="77777777" w:rsidR="00724C44" w:rsidRPr="00393FE3" w:rsidRDefault="00724C44" w:rsidP="00393FE3">
            <w:pPr>
              <w:spacing w:after="0" w:line="240" w:lineRule="auto"/>
              <w:jc w:val="both"/>
              <w:rPr>
                <w:sz w:val="22"/>
                <w:szCs w:val="22"/>
              </w:rPr>
            </w:pPr>
            <w:r w:rsidRPr="00393FE3">
              <w:rPr>
                <w:b/>
                <w:sz w:val="22"/>
                <w:szCs w:val="22"/>
              </w:rPr>
              <w:t>Interpretation</w:t>
            </w:r>
          </w:p>
        </w:tc>
      </w:tr>
      <w:tr w:rsidR="00724C44" w:rsidRPr="00724C44" w14:paraId="3E73E04E" w14:textId="77777777" w:rsidTr="00A5379F">
        <w:tc>
          <w:tcPr>
            <w:tcW w:w="1008" w:type="dxa"/>
            <w:tcBorders>
              <w:top w:val="nil"/>
              <w:left w:val="nil"/>
              <w:bottom w:val="nil"/>
              <w:right w:val="nil"/>
            </w:tcBorders>
          </w:tcPr>
          <w:p w14:paraId="12661F8C" w14:textId="77777777" w:rsidR="00724C44" w:rsidRPr="00393FE3" w:rsidRDefault="00724C44" w:rsidP="00393FE3">
            <w:pPr>
              <w:spacing w:after="0" w:line="240" w:lineRule="auto"/>
              <w:jc w:val="both"/>
              <w:rPr>
                <w:sz w:val="22"/>
                <w:szCs w:val="22"/>
              </w:rPr>
            </w:pPr>
            <w:r w:rsidRPr="00393FE3">
              <w:rPr>
                <w:sz w:val="22"/>
                <w:szCs w:val="22"/>
              </w:rPr>
              <w:t>1</w:t>
            </w:r>
          </w:p>
        </w:tc>
        <w:tc>
          <w:tcPr>
            <w:tcW w:w="4320" w:type="dxa"/>
            <w:tcBorders>
              <w:top w:val="nil"/>
              <w:left w:val="nil"/>
              <w:bottom w:val="nil"/>
              <w:right w:val="nil"/>
            </w:tcBorders>
          </w:tcPr>
          <w:p w14:paraId="72D4F514" w14:textId="77777777" w:rsidR="00724C44" w:rsidRPr="00393FE3" w:rsidRDefault="00724C44" w:rsidP="00393FE3">
            <w:pPr>
              <w:spacing w:after="0" w:line="240" w:lineRule="auto"/>
              <w:jc w:val="both"/>
              <w:rPr>
                <w:sz w:val="22"/>
                <w:szCs w:val="22"/>
              </w:rPr>
            </w:pPr>
            <w:r w:rsidRPr="00393FE3">
              <w:rPr>
                <w:sz w:val="22"/>
                <w:szCs w:val="22"/>
              </w:rPr>
              <w:t>Competitive advantage potential</w:t>
            </w:r>
          </w:p>
        </w:tc>
        <w:tc>
          <w:tcPr>
            <w:tcW w:w="864" w:type="dxa"/>
            <w:tcBorders>
              <w:top w:val="nil"/>
              <w:left w:val="nil"/>
              <w:bottom w:val="nil"/>
              <w:right w:val="nil"/>
            </w:tcBorders>
          </w:tcPr>
          <w:p w14:paraId="6ECAFB72" w14:textId="77777777" w:rsidR="00724C44" w:rsidRPr="00393FE3" w:rsidRDefault="00724C44" w:rsidP="00393FE3">
            <w:pPr>
              <w:spacing w:after="0" w:line="240" w:lineRule="auto"/>
              <w:jc w:val="both"/>
              <w:rPr>
                <w:sz w:val="22"/>
                <w:szCs w:val="22"/>
              </w:rPr>
            </w:pPr>
            <w:r w:rsidRPr="00393FE3">
              <w:rPr>
                <w:sz w:val="22"/>
                <w:szCs w:val="22"/>
              </w:rPr>
              <w:t>2.77</w:t>
            </w:r>
          </w:p>
        </w:tc>
        <w:tc>
          <w:tcPr>
            <w:tcW w:w="864" w:type="dxa"/>
            <w:tcBorders>
              <w:top w:val="nil"/>
              <w:left w:val="nil"/>
              <w:bottom w:val="nil"/>
              <w:right w:val="nil"/>
            </w:tcBorders>
          </w:tcPr>
          <w:p w14:paraId="7C1D35ED" w14:textId="77777777" w:rsidR="00724C44" w:rsidRPr="00393FE3" w:rsidRDefault="00724C44" w:rsidP="00393FE3">
            <w:pPr>
              <w:spacing w:after="0" w:line="240" w:lineRule="auto"/>
              <w:jc w:val="both"/>
              <w:rPr>
                <w:sz w:val="22"/>
                <w:szCs w:val="22"/>
              </w:rPr>
            </w:pPr>
            <w:r w:rsidRPr="00393FE3">
              <w:rPr>
                <w:sz w:val="22"/>
                <w:szCs w:val="22"/>
              </w:rPr>
              <w:t>1.29</w:t>
            </w:r>
          </w:p>
        </w:tc>
        <w:tc>
          <w:tcPr>
            <w:tcW w:w="2160" w:type="dxa"/>
            <w:tcBorders>
              <w:top w:val="nil"/>
              <w:left w:val="nil"/>
              <w:bottom w:val="nil"/>
              <w:right w:val="nil"/>
            </w:tcBorders>
          </w:tcPr>
          <w:p w14:paraId="07AACC7F"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4D9708B2" w14:textId="77777777" w:rsidTr="00A5379F">
        <w:tc>
          <w:tcPr>
            <w:tcW w:w="1008" w:type="dxa"/>
            <w:tcBorders>
              <w:top w:val="nil"/>
              <w:left w:val="nil"/>
              <w:bottom w:val="nil"/>
              <w:right w:val="nil"/>
            </w:tcBorders>
          </w:tcPr>
          <w:p w14:paraId="7E70E4B4" w14:textId="77777777" w:rsidR="00724C44" w:rsidRPr="00393FE3" w:rsidRDefault="00724C44" w:rsidP="00393FE3">
            <w:pPr>
              <w:spacing w:after="0" w:line="240" w:lineRule="auto"/>
              <w:jc w:val="both"/>
              <w:rPr>
                <w:sz w:val="22"/>
                <w:szCs w:val="22"/>
              </w:rPr>
            </w:pPr>
            <w:r w:rsidRPr="00393FE3">
              <w:rPr>
                <w:sz w:val="22"/>
                <w:szCs w:val="22"/>
              </w:rPr>
              <w:t>2</w:t>
            </w:r>
          </w:p>
        </w:tc>
        <w:tc>
          <w:tcPr>
            <w:tcW w:w="4320" w:type="dxa"/>
            <w:tcBorders>
              <w:top w:val="nil"/>
              <w:left w:val="nil"/>
              <w:bottom w:val="nil"/>
              <w:right w:val="nil"/>
            </w:tcBorders>
          </w:tcPr>
          <w:p w14:paraId="4C02BB76" w14:textId="77777777" w:rsidR="00724C44" w:rsidRPr="00393FE3" w:rsidRDefault="00724C44" w:rsidP="00393FE3">
            <w:pPr>
              <w:spacing w:after="0" w:line="240" w:lineRule="auto"/>
              <w:jc w:val="both"/>
              <w:rPr>
                <w:sz w:val="22"/>
                <w:szCs w:val="22"/>
              </w:rPr>
            </w:pPr>
            <w:r w:rsidRPr="00393FE3">
              <w:rPr>
                <w:sz w:val="22"/>
                <w:szCs w:val="22"/>
              </w:rPr>
              <w:t>Clear regulatory guidance</w:t>
            </w:r>
          </w:p>
        </w:tc>
        <w:tc>
          <w:tcPr>
            <w:tcW w:w="864" w:type="dxa"/>
            <w:tcBorders>
              <w:top w:val="nil"/>
              <w:left w:val="nil"/>
              <w:bottom w:val="nil"/>
              <w:right w:val="nil"/>
            </w:tcBorders>
          </w:tcPr>
          <w:p w14:paraId="1FDE7144" w14:textId="77777777" w:rsidR="00724C44" w:rsidRPr="00393FE3" w:rsidRDefault="00724C44" w:rsidP="00393FE3">
            <w:pPr>
              <w:spacing w:after="0" w:line="240" w:lineRule="auto"/>
              <w:jc w:val="both"/>
              <w:rPr>
                <w:sz w:val="22"/>
                <w:szCs w:val="22"/>
              </w:rPr>
            </w:pPr>
            <w:r w:rsidRPr="00393FE3">
              <w:rPr>
                <w:sz w:val="22"/>
                <w:szCs w:val="22"/>
              </w:rPr>
              <w:t>2.73</w:t>
            </w:r>
          </w:p>
        </w:tc>
        <w:tc>
          <w:tcPr>
            <w:tcW w:w="864" w:type="dxa"/>
            <w:tcBorders>
              <w:top w:val="nil"/>
              <w:left w:val="nil"/>
              <w:bottom w:val="nil"/>
              <w:right w:val="nil"/>
            </w:tcBorders>
          </w:tcPr>
          <w:p w14:paraId="33ABF78D" w14:textId="77777777" w:rsidR="00724C44" w:rsidRPr="00393FE3" w:rsidRDefault="00724C44" w:rsidP="00393FE3">
            <w:pPr>
              <w:spacing w:after="0" w:line="240" w:lineRule="auto"/>
              <w:jc w:val="both"/>
              <w:rPr>
                <w:sz w:val="22"/>
                <w:szCs w:val="22"/>
              </w:rPr>
            </w:pPr>
            <w:r w:rsidRPr="00393FE3">
              <w:rPr>
                <w:sz w:val="22"/>
                <w:szCs w:val="22"/>
              </w:rPr>
              <w:t>1.26</w:t>
            </w:r>
          </w:p>
        </w:tc>
        <w:tc>
          <w:tcPr>
            <w:tcW w:w="2160" w:type="dxa"/>
            <w:tcBorders>
              <w:top w:val="nil"/>
              <w:left w:val="nil"/>
              <w:bottom w:val="nil"/>
              <w:right w:val="nil"/>
            </w:tcBorders>
          </w:tcPr>
          <w:p w14:paraId="67449863"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02828F2C" w14:textId="77777777" w:rsidTr="00A5379F">
        <w:tc>
          <w:tcPr>
            <w:tcW w:w="1008" w:type="dxa"/>
            <w:tcBorders>
              <w:top w:val="nil"/>
              <w:left w:val="nil"/>
              <w:bottom w:val="nil"/>
              <w:right w:val="nil"/>
            </w:tcBorders>
          </w:tcPr>
          <w:p w14:paraId="363582BC" w14:textId="77777777" w:rsidR="00724C44" w:rsidRPr="00393FE3" w:rsidRDefault="00724C44" w:rsidP="00393FE3">
            <w:pPr>
              <w:spacing w:after="0" w:line="240" w:lineRule="auto"/>
              <w:jc w:val="both"/>
              <w:rPr>
                <w:sz w:val="22"/>
                <w:szCs w:val="22"/>
              </w:rPr>
            </w:pPr>
            <w:r w:rsidRPr="00393FE3">
              <w:rPr>
                <w:sz w:val="22"/>
                <w:szCs w:val="22"/>
              </w:rPr>
              <w:t>3</w:t>
            </w:r>
          </w:p>
        </w:tc>
        <w:tc>
          <w:tcPr>
            <w:tcW w:w="4320" w:type="dxa"/>
            <w:tcBorders>
              <w:top w:val="nil"/>
              <w:left w:val="nil"/>
              <w:bottom w:val="nil"/>
              <w:right w:val="nil"/>
            </w:tcBorders>
          </w:tcPr>
          <w:p w14:paraId="3DE5399E" w14:textId="77777777" w:rsidR="00724C44" w:rsidRPr="00393FE3" w:rsidRDefault="00724C44" w:rsidP="00393FE3">
            <w:pPr>
              <w:spacing w:after="0" w:line="240" w:lineRule="auto"/>
              <w:jc w:val="both"/>
              <w:rPr>
                <w:sz w:val="22"/>
                <w:szCs w:val="22"/>
              </w:rPr>
            </w:pPr>
            <w:r w:rsidRPr="00393FE3">
              <w:rPr>
                <w:sz w:val="22"/>
                <w:szCs w:val="22"/>
              </w:rPr>
              <w:t>Government incentives</w:t>
            </w:r>
          </w:p>
        </w:tc>
        <w:tc>
          <w:tcPr>
            <w:tcW w:w="864" w:type="dxa"/>
            <w:tcBorders>
              <w:top w:val="nil"/>
              <w:left w:val="nil"/>
              <w:bottom w:val="nil"/>
              <w:right w:val="nil"/>
            </w:tcBorders>
          </w:tcPr>
          <w:p w14:paraId="1DE03BA4" w14:textId="77777777" w:rsidR="00724C44" w:rsidRPr="00393FE3" w:rsidRDefault="00724C44" w:rsidP="00393FE3">
            <w:pPr>
              <w:spacing w:after="0" w:line="240" w:lineRule="auto"/>
              <w:jc w:val="both"/>
              <w:rPr>
                <w:sz w:val="22"/>
                <w:szCs w:val="22"/>
              </w:rPr>
            </w:pPr>
            <w:r w:rsidRPr="00393FE3">
              <w:rPr>
                <w:sz w:val="22"/>
                <w:szCs w:val="22"/>
              </w:rPr>
              <w:t>2.71</w:t>
            </w:r>
          </w:p>
        </w:tc>
        <w:tc>
          <w:tcPr>
            <w:tcW w:w="864" w:type="dxa"/>
            <w:tcBorders>
              <w:top w:val="nil"/>
              <w:left w:val="nil"/>
              <w:bottom w:val="nil"/>
              <w:right w:val="nil"/>
            </w:tcBorders>
          </w:tcPr>
          <w:p w14:paraId="3E5CC2DE" w14:textId="77777777" w:rsidR="00724C44" w:rsidRPr="00393FE3" w:rsidRDefault="00724C44" w:rsidP="00393FE3">
            <w:pPr>
              <w:spacing w:after="0" w:line="240" w:lineRule="auto"/>
              <w:jc w:val="both"/>
              <w:rPr>
                <w:sz w:val="22"/>
                <w:szCs w:val="22"/>
              </w:rPr>
            </w:pPr>
            <w:r w:rsidRPr="00393FE3">
              <w:rPr>
                <w:sz w:val="22"/>
                <w:szCs w:val="22"/>
              </w:rPr>
              <w:t>1.34</w:t>
            </w:r>
          </w:p>
        </w:tc>
        <w:tc>
          <w:tcPr>
            <w:tcW w:w="2160" w:type="dxa"/>
            <w:tcBorders>
              <w:top w:val="nil"/>
              <w:left w:val="nil"/>
              <w:bottom w:val="nil"/>
              <w:right w:val="nil"/>
            </w:tcBorders>
          </w:tcPr>
          <w:p w14:paraId="07AC92A6"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1764C0E9" w14:textId="77777777" w:rsidTr="00A5379F">
        <w:tc>
          <w:tcPr>
            <w:tcW w:w="1008" w:type="dxa"/>
            <w:tcBorders>
              <w:top w:val="nil"/>
              <w:left w:val="nil"/>
              <w:bottom w:val="nil"/>
              <w:right w:val="nil"/>
            </w:tcBorders>
          </w:tcPr>
          <w:p w14:paraId="65BB4C8B" w14:textId="77777777" w:rsidR="00724C44" w:rsidRPr="00393FE3" w:rsidRDefault="00724C44" w:rsidP="00393FE3">
            <w:pPr>
              <w:spacing w:after="0" w:line="240" w:lineRule="auto"/>
              <w:jc w:val="both"/>
              <w:rPr>
                <w:sz w:val="22"/>
                <w:szCs w:val="22"/>
              </w:rPr>
            </w:pPr>
            <w:r w:rsidRPr="00393FE3">
              <w:rPr>
                <w:sz w:val="22"/>
                <w:szCs w:val="22"/>
              </w:rPr>
              <w:t>4</w:t>
            </w:r>
          </w:p>
        </w:tc>
        <w:tc>
          <w:tcPr>
            <w:tcW w:w="4320" w:type="dxa"/>
            <w:tcBorders>
              <w:top w:val="nil"/>
              <w:left w:val="nil"/>
              <w:bottom w:val="nil"/>
              <w:right w:val="nil"/>
            </w:tcBorders>
          </w:tcPr>
          <w:p w14:paraId="5D746E3A" w14:textId="77777777" w:rsidR="00724C44" w:rsidRPr="00393FE3" w:rsidRDefault="00724C44" w:rsidP="00393FE3">
            <w:pPr>
              <w:spacing w:after="0" w:line="240" w:lineRule="auto"/>
              <w:jc w:val="both"/>
              <w:rPr>
                <w:sz w:val="22"/>
                <w:szCs w:val="22"/>
              </w:rPr>
            </w:pPr>
            <w:r w:rsidRPr="00393FE3">
              <w:rPr>
                <w:sz w:val="22"/>
                <w:szCs w:val="22"/>
              </w:rPr>
              <w:t>Strong leadership support</w:t>
            </w:r>
          </w:p>
        </w:tc>
        <w:tc>
          <w:tcPr>
            <w:tcW w:w="864" w:type="dxa"/>
            <w:tcBorders>
              <w:top w:val="nil"/>
              <w:left w:val="nil"/>
              <w:bottom w:val="nil"/>
              <w:right w:val="nil"/>
            </w:tcBorders>
          </w:tcPr>
          <w:p w14:paraId="56B58FF8" w14:textId="77777777" w:rsidR="00724C44" w:rsidRPr="00393FE3" w:rsidRDefault="00724C44" w:rsidP="00393FE3">
            <w:pPr>
              <w:spacing w:after="0" w:line="240" w:lineRule="auto"/>
              <w:jc w:val="both"/>
              <w:rPr>
                <w:sz w:val="22"/>
                <w:szCs w:val="22"/>
              </w:rPr>
            </w:pPr>
            <w:r w:rsidRPr="00393FE3">
              <w:rPr>
                <w:sz w:val="22"/>
                <w:szCs w:val="22"/>
              </w:rPr>
              <w:t>2.62</w:t>
            </w:r>
          </w:p>
        </w:tc>
        <w:tc>
          <w:tcPr>
            <w:tcW w:w="864" w:type="dxa"/>
            <w:tcBorders>
              <w:top w:val="nil"/>
              <w:left w:val="nil"/>
              <w:bottom w:val="nil"/>
              <w:right w:val="nil"/>
            </w:tcBorders>
          </w:tcPr>
          <w:p w14:paraId="0E610253" w14:textId="77777777" w:rsidR="00724C44" w:rsidRPr="00393FE3" w:rsidRDefault="00724C44" w:rsidP="00393FE3">
            <w:pPr>
              <w:spacing w:after="0" w:line="240" w:lineRule="auto"/>
              <w:jc w:val="both"/>
              <w:rPr>
                <w:sz w:val="22"/>
                <w:szCs w:val="22"/>
              </w:rPr>
            </w:pPr>
            <w:r w:rsidRPr="00393FE3">
              <w:rPr>
                <w:sz w:val="22"/>
                <w:szCs w:val="22"/>
              </w:rPr>
              <w:t>1.25</w:t>
            </w:r>
          </w:p>
        </w:tc>
        <w:tc>
          <w:tcPr>
            <w:tcW w:w="2160" w:type="dxa"/>
            <w:tcBorders>
              <w:top w:val="nil"/>
              <w:left w:val="nil"/>
              <w:bottom w:val="nil"/>
              <w:right w:val="nil"/>
            </w:tcBorders>
          </w:tcPr>
          <w:p w14:paraId="3AA2ECD7"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0A9F2A02" w14:textId="77777777" w:rsidTr="00A5379F">
        <w:tc>
          <w:tcPr>
            <w:tcW w:w="1008" w:type="dxa"/>
            <w:tcBorders>
              <w:top w:val="nil"/>
              <w:left w:val="nil"/>
              <w:bottom w:val="nil"/>
              <w:right w:val="nil"/>
            </w:tcBorders>
          </w:tcPr>
          <w:p w14:paraId="0F496518" w14:textId="77777777" w:rsidR="00724C44" w:rsidRPr="00393FE3" w:rsidRDefault="00724C44" w:rsidP="00393FE3">
            <w:pPr>
              <w:spacing w:after="0" w:line="240" w:lineRule="auto"/>
              <w:jc w:val="both"/>
              <w:rPr>
                <w:sz w:val="22"/>
                <w:szCs w:val="22"/>
              </w:rPr>
            </w:pPr>
            <w:r w:rsidRPr="00393FE3">
              <w:rPr>
                <w:sz w:val="22"/>
                <w:szCs w:val="22"/>
              </w:rPr>
              <w:t>5</w:t>
            </w:r>
          </w:p>
        </w:tc>
        <w:tc>
          <w:tcPr>
            <w:tcW w:w="4320" w:type="dxa"/>
            <w:tcBorders>
              <w:top w:val="nil"/>
              <w:left w:val="nil"/>
              <w:bottom w:val="nil"/>
              <w:right w:val="nil"/>
            </w:tcBorders>
          </w:tcPr>
          <w:p w14:paraId="0DB7F0E9" w14:textId="77777777" w:rsidR="00724C44" w:rsidRPr="00393FE3" w:rsidRDefault="00724C44" w:rsidP="00393FE3">
            <w:pPr>
              <w:spacing w:after="0" w:line="240" w:lineRule="auto"/>
              <w:jc w:val="both"/>
              <w:rPr>
                <w:sz w:val="22"/>
                <w:szCs w:val="22"/>
              </w:rPr>
            </w:pPr>
            <w:r w:rsidRPr="00393FE3">
              <w:rPr>
                <w:sz w:val="22"/>
                <w:szCs w:val="22"/>
              </w:rPr>
              <w:t>Available technical expertise</w:t>
            </w:r>
          </w:p>
        </w:tc>
        <w:tc>
          <w:tcPr>
            <w:tcW w:w="864" w:type="dxa"/>
            <w:tcBorders>
              <w:top w:val="nil"/>
              <w:left w:val="nil"/>
              <w:bottom w:val="nil"/>
              <w:right w:val="nil"/>
            </w:tcBorders>
          </w:tcPr>
          <w:p w14:paraId="64A1CE0B" w14:textId="77777777" w:rsidR="00724C44" w:rsidRPr="00393FE3" w:rsidRDefault="00724C44" w:rsidP="00393FE3">
            <w:pPr>
              <w:spacing w:after="0" w:line="240" w:lineRule="auto"/>
              <w:jc w:val="both"/>
              <w:rPr>
                <w:sz w:val="22"/>
                <w:szCs w:val="22"/>
              </w:rPr>
            </w:pPr>
            <w:r w:rsidRPr="00393FE3">
              <w:rPr>
                <w:sz w:val="22"/>
                <w:szCs w:val="22"/>
              </w:rPr>
              <w:t>2.58</w:t>
            </w:r>
          </w:p>
        </w:tc>
        <w:tc>
          <w:tcPr>
            <w:tcW w:w="864" w:type="dxa"/>
            <w:tcBorders>
              <w:top w:val="nil"/>
              <w:left w:val="nil"/>
              <w:bottom w:val="nil"/>
              <w:right w:val="nil"/>
            </w:tcBorders>
          </w:tcPr>
          <w:p w14:paraId="2E6A6D10" w14:textId="77777777" w:rsidR="00724C44" w:rsidRPr="00393FE3" w:rsidRDefault="00724C44" w:rsidP="00393FE3">
            <w:pPr>
              <w:spacing w:after="0" w:line="240" w:lineRule="auto"/>
              <w:jc w:val="both"/>
              <w:rPr>
                <w:sz w:val="22"/>
                <w:szCs w:val="22"/>
              </w:rPr>
            </w:pPr>
            <w:r w:rsidRPr="00393FE3">
              <w:rPr>
                <w:sz w:val="22"/>
                <w:szCs w:val="22"/>
              </w:rPr>
              <w:t>1.16</w:t>
            </w:r>
          </w:p>
        </w:tc>
        <w:tc>
          <w:tcPr>
            <w:tcW w:w="2160" w:type="dxa"/>
            <w:tcBorders>
              <w:top w:val="nil"/>
              <w:left w:val="nil"/>
              <w:bottom w:val="nil"/>
              <w:right w:val="nil"/>
            </w:tcBorders>
          </w:tcPr>
          <w:p w14:paraId="43E6DC53"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193B9557" w14:textId="77777777" w:rsidTr="00A5379F">
        <w:tc>
          <w:tcPr>
            <w:tcW w:w="1008" w:type="dxa"/>
            <w:tcBorders>
              <w:top w:val="nil"/>
              <w:left w:val="nil"/>
              <w:bottom w:val="nil"/>
              <w:right w:val="nil"/>
            </w:tcBorders>
          </w:tcPr>
          <w:p w14:paraId="171B37A4" w14:textId="77777777" w:rsidR="00724C44" w:rsidRPr="00393FE3" w:rsidRDefault="00724C44" w:rsidP="00393FE3">
            <w:pPr>
              <w:spacing w:after="0" w:line="240" w:lineRule="auto"/>
              <w:jc w:val="both"/>
              <w:rPr>
                <w:sz w:val="22"/>
                <w:szCs w:val="22"/>
              </w:rPr>
            </w:pPr>
            <w:r w:rsidRPr="00393FE3">
              <w:rPr>
                <w:sz w:val="22"/>
                <w:szCs w:val="22"/>
              </w:rPr>
              <w:t>6</w:t>
            </w:r>
          </w:p>
        </w:tc>
        <w:tc>
          <w:tcPr>
            <w:tcW w:w="4320" w:type="dxa"/>
            <w:tcBorders>
              <w:top w:val="nil"/>
              <w:left w:val="nil"/>
              <w:bottom w:val="nil"/>
              <w:right w:val="nil"/>
            </w:tcBorders>
          </w:tcPr>
          <w:p w14:paraId="0A3248CD" w14:textId="77777777" w:rsidR="00724C44" w:rsidRPr="00393FE3" w:rsidRDefault="00724C44" w:rsidP="00393FE3">
            <w:pPr>
              <w:spacing w:after="0" w:line="240" w:lineRule="auto"/>
              <w:jc w:val="both"/>
              <w:rPr>
                <w:sz w:val="22"/>
                <w:szCs w:val="22"/>
              </w:rPr>
            </w:pPr>
            <w:r w:rsidRPr="00393FE3">
              <w:rPr>
                <w:sz w:val="22"/>
                <w:szCs w:val="22"/>
              </w:rPr>
              <w:t>Stakeholder pressure for transparency</w:t>
            </w:r>
          </w:p>
        </w:tc>
        <w:tc>
          <w:tcPr>
            <w:tcW w:w="864" w:type="dxa"/>
            <w:tcBorders>
              <w:top w:val="nil"/>
              <w:left w:val="nil"/>
              <w:bottom w:val="nil"/>
              <w:right w:val="nil"/>
            </w:tcBorders>
          </w:tcPr>
          <w:p w14:paraId="461F991E" w14:textId="77777777" w:rsidR="00724C44" w:rsidRPr="00393FE3" w:rsidRDefault="00724C44" w:rsidP="00393FE3">
            <w:pPr>
              <w:spacing w:after="0" w:line="240" w:lineRule="auto"/>
              <w:jc w:val="both"/>
              <w:rPr>
                <w:sz w:val="22"/>
                <w:szCs w:val="22"/>
              </w:rPr>
            </w:pPr>
            <w:r w:rsidRPr="00393FE3">
              <w:rPr>
                <w:sz w:val="22"/>
                <w:szCs w:val="22"/>
              </w:rPr>
              <w:t>2.37</w:t>
            </w:r>
          </w:p>
        </w:tc>
        <w:tc>
          <w:tcPr>
            <w:tcW w:w="864" w:type="dxa"/>
            <w:tcBorders>
              <w:top w:val="nil"/>
              <w:left w:val="nil"/>
              <w:bottom w:val="nil"/>
              <w:right w:val="nil"/>
            </w:tcBorders>
          </w:tcPr>
          <w:p w14:paraId="4541FA07" w14:textId="77777777" w:rsidR="00724C44" w:rsidRPr="00393FE3" w:rsidRDefault="00724C44" w:rsidP="00393FE3">
            <w:pPr>
              <w:spacing w:after="0" w:line="240" w:lineRule="auto"/>
              <w:jc w:val="both"/>
              <w:rPr>
                <w:sz w:val="22"/>
                <w:szCs w:val="22"/>
              </w:rPr>
            </w:pPr>
            <w:r w:rsidRPr="00393FE3">
              <w:rPr>
                <w:sz w:val="22"/>
                <w:szCs w:val="22"/>
              </w:rPr>
              <w:t>1.29</w:t>
            </w:r>
          </w:p>
        </w:tc>
        <w:tc>
          <w:tcPr>
            <w:tcW w:w="2160" w:type="dxa"/>
            <w:tcBorders>
              <w:top w:val="nil"/>
              <w:left w:val="nil"/>
              <w:bottom w:val="nil"/>
              <w:right w:val="nil"/>
            </w:tcBorders>
          </w:tcPr>
          <w:p w14:paraId="0F21A820"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4250F722" w14:textId="77777777" w:rsidTr="00A5379F">
        <w:tc>
          <w:tcPr>
            <w:tcW w:w="1008" w:type="dxa"/>
            <w:tcBorders>
              <w:top w:val="nil"/>
              <w:left w:val="nil"/>
              <w:bottom w:val="nil"/>
              <w:right w:val="nil"/>
            </w:tcBorders>
          </w:tcPr>
          <w:p w14:paraId="1DDCE98C" w14:textId="77777777" w:rsidR="00724C44" w:rsidRPr="00393FE3" w:rsidRDefault="00724C44" w:rsidP="00393FE3">
            <w:pPr>
              <w:spacing w:after="0" w:line="240" w:lineRule="auto"/>
              <w:jc w:val="both"/>
              <w:rPr>
                <w:sz w:val="22"/>
                <w:szCs w:val="22"/>
              </w:rPr>
            </w:pPr>
            <w:r w:rsidRPr="00393FE3">
              <w:rPr>
                <w:sz w:val="22"/>
                <w:szCs w:val="22"/>
              </w:rPr>
              <w:t>7</w:t>
            </w:r>
          </w:p>
        </w:tc>
        <w:tc>
          <w:tcPr>
            <w:tcW w:w="4320" w:type="dxa"/>
            <w:tcBorders>
              <w:top w:val="nil"/>
              <w:left w:val="nil"/>
              <w:bottom w:val="nil"/>
              <w:right w:val="nil"/>
            </w:tcBorders>
          </w:tcPr>
          <w:p w14:paraId="3EF86984" w14:textId="77777777" w:rsidR="00724C44" w:rsidRPr="00393FE3" w:rsidRDefault="00724C44" w:rsidP="00393FE3">
            <w:pPr>
              <w:spacing w:after="0" w:line="240" w:lineRule="auto"/>
              <w:jc w:val="both"/>
              <w:rPr>
                <w:sz w:val="22"/>
                <w:szCs w:val="22"/>
              </w:rPr>
            </w:pPr>
            <w:r w:rsidRPr="00393FE3">
              <w:rPr>
                <w:sz w:val="22"/>
                <w:szCs w:val="22"/>
              </w:rPr>
              <w:t>Adequate financial resources</w:t>
            </w:r>
          </w:p>
        </w:tc>
        <w:tc>
          <w:tcPr>
            <w:tcW w:w="864" w:type="dxa"/>
            <w:tcBorders>
              <w:top w:val="nil"/>
              <w:left w:val="nil"/>
              <w:bottom w:val="nil"/>
              <w:right w:val="nil"/>
            </w:tcBorders>
          </w:tcPr>
          <w:p w14:paraId="5AF4B5A2" w14:textId="77777777" w:rsidR="00724C44" w:rsidRPr="00393FE3" w:rsidRDefault="00724C44" w:rsidP="00393FE3">
            <w:pPr>
              <w:spacing w:after="0" w:line="240" w:lineRule="auto"/>
              <w:jc w:val="both"/>
              <w:rPr>
                <w:sz w:val="22"/>
                <w:szCs w:val="22"/>
              </w:rPr>
            </w:pPr>
            <w:r w:rsidRPr="00393FE3">
              <w:rPr>
                <w:sz w:val="22"/>
                <w:szCs w:val="22"/>
              </w:rPr>
              <w:t>2.32</w:t>
            </w:r>
          </w:p>
        </w:tc>
        <w:tc>
          <w:tcPr>
            <w:tcW w:w="864" w:type="dxa"/>
            <w:tcBorders>
              <w:top w:val="nil"/>
              <w:left w:val="nil"/>
              <w:bottom w:val="nil"/>
              <w:right w:val="nil"/>
            </w:tcBorders>
          </w:tcPr>
          <w:p w14:paraId="78E8E908" w14:textId="77777777" w:rsidR="00724C44" w:rsidRPr="00393FE3" w:rsidRDefault="00724C44" w:rsidP="00393FE3">
            <w:pPr>
              <w:spacing w:after="0" w:line="240" w:lineRule="auto"/>
              <w:jc w:val="both"/>
              <w:rPr>
                <w:sz w:val="22"/>
                <w:szCs w:val="22"/>
              </w:rPr>
            </w:pPr>
            <w:r w:rsidRPr="00393FE3">
              <w:rPr>
                <w:sz w:val="22"/>
                <w:szCs w:val="22"/>
              </w:rPr>
              <w:t>1.19</w:t>
            </w:r>
          </w:p>
        </w:tc>
        <w:tc>
          <w:tcPr>
            <w:tcW w:w="2160" w:type="dxa"/>
            <w:tcBorders>
              <w:top w:val="nil"/>
              <w:left w:val="nil"/>
              <w:bottom w:val="nil"/>
              <w:right w:val="nil"/>
            </w:tcBorders>
          </w:tcPr>
          <w:p w14:paraId="1A40C84D"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300704EE" w14:textId="77777777" w:rsidTr="00A5379F">
        <w:tc>
          <w:tcPr>
            <w:tcW w:w="1008" w:type="dxa"/>
            <w:tcBorders>
              <w:top w:val="nil"/>
              <w:left w:val="nil"/>
              <w:bottom w:val="nil"/>
              <w:right w:val="nil"/>
            </w:tcBorders>
          </w:tcPr>
          <w:p w14:paraId="37259FEE" w14:textId="77777777" w:rsidR="00724C44" w:rsidRPr="00393FE3" w:rsidRDefault="00724C44" w:rsidP="00393FE3">
            <w:pPr>
              <w:spacing w:after="0" w:line="240" w:lineRule="auto"/>
              <w:jc w:val="both"/>
              <w:rPr>
                <w:sz w:val="22"/>
                <w:szCs w:val="22"/>
              </w:rPr>
            </w:pPr>
            <w:r w:rsidRPr="00393FE3">
              <w:rPr>
                <w:sz w:val="22"/>
                <w:szCs w:val="22"/>
              </w:rPr>
              <w:t>8</w:t>
            </w:r>
          </w:p>
        </w:tc>
        <w:tc>
          <w:tcPr>
            <w:tcW w:w="4320" w:type="dxa"/>
            <w:tcBorders>
              <w:top w:val="nil"/>
              <w:left w:val="nil"/>
              <w:bottom w:val="nil"/>
              <w:right w:val="nil"/>
            </w:tcBorders>
          </w:tcPr>
          <w:p w14:paraId="3975395D" w14:textId="77777777" w:rsidR="00724C44" w:rsidRPr="00393FE3" w:rsidRDefault="00724C44" w:rsidP="00393FE3">
            <w:pPr>
              <w:spacing w:after="0" w:line="240" w:lineRule="auto"/>
              <w:jc w:val="both"/>
              <w:rPr>
                <w:sz w:val="22"/>
                <w:szCs w:val="22"/>
              </w:rPr>
            </w:pPr>
            <w:r w:rsidRPr="00393FE3">
              <w:rPr>
                <w:sz w:val="22"/>
                <w:szCs w:val="22"/>
              </w:rPr>
              <w:t>Industry association support</w:t>
            </w:r>
          </w:p>
        </w:tc>
        <w:tc>
          <w:tcPr>
            <w:tcW w:w="864" w:type="dxa"/>
            <w:tcBorders>
              <w:top w:val="nil"/>
              <w:left w:val="nil"/>
              <w:bottom w:val="nil"/>
              <w:right w:val="nil"/>
            </w:tcBorders>
          </w:tcPr>
          <w:p w14:paraId="61267EB3" w14:textId="77777777" w:rsidR="00724C44" w:rsidRPr="00393FE3" w:rsidRDefault="00724C44" w:rsidP="00393FE3">
            <w:pPr>
              <w:spacing w:after="0" w:line="240" w:lineRule="auto"/>
              <w:jc w:val="both"/>
              <w:rPr>
                <w:sz w:val="22"/>
                <w:szCs w:val="22"/>
              </w:rPr>
            </w:pPr>
            <w:r w:rsidRPr="00393FE3">
              <w:rPr>
                <w:sz w:val="22"/>
                <w:szCs w:val="22"/>
              </w:rPr>
              <w:t>2.17</w:t>
            </w:r>
          </w:p>
        </w:tc>
        <w:tc>
          <w:tcPr>
            <w:tcW w:w="864" w:type="dxa"/>
            <w:tcBorders>
              <w:top w:val="nil"/>
              <w:left w:val="nil"/>
              <w:bottom w:val="nil"/>
              <w:right w:val="nil"/>
            </w:tcBorders>
          </w:tcPr>
          <w:p w14:paraId="1CD771AC" w14:textId="77777777" w:rsidR="00724C44" w:rsidRPr="00393FE3" w:rsidRDefault="00724C44" w:rsidP="00393FE3">
            <w:pPr>
              <w:spacing w:after="0" w:line="240" w:lineRule="auto"/>
              <w:jc w:val="both"/>
              <w:rPr>
                <w:sz w:val="22"/>
                <w:szCs w:val="22"/>
              </w:rPr>
            </w:pPr>
            <w:r w:rsidRPr="00393FE3">
              <w:rPr>
                <w:sz w:val="22"/>
                <w:szCs w:val="22"/>
              </w:rPr>
              <w:t>0.99</w:t>
            </w:r>
          </w:p>
        </w:tc>
        <w:tc>
          <w:tcPr>
            <w:tcW w:w="2160" w:type="dxa"/>
            <w:tcBorders>
              <w:top w:val="nil"/>
              <w:left w:val="nil"/>
              <w:bottom w:val="nil"/>
              <w:right w:val="nil"/>
            </w:tcBorders>
          </w:tcPr>
          <w:p w14:paraId="10308265"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25D4F547" w14:textId="77777777" w:rsidTr="00A5379F">
        <w:tc>
          <w:tcPr>
            <w:tcW w:w="1008" w:type="dxa"/>
            <w:tcBorders>
              <w:top w:val="nil"/>
              <w:left w:val="nil"/>
              <w:bottom w:val="nil"/>
              <w:right w:val="nil"/>
            </w:tcBorders>
          </w:tcPr>
          <w:p w14:paraId="1854E6B2" w14:textId="77777777" w:rsidR="00724C44" w:rsidRPr="00393FE3" w:rsidRDefault="00724C44" w:rsidP="00393FE3">
            <w:pPr>
              <w:spacing w:after="0" w:line="240" w:lineRule="auto"/>
              <w:jc w:val="both"/>
              <w:rPr>
                <w:sz w:val="22"/>
                <w:szCs w:val="22"/>
              </w:rPr>
            </w:pPr>
            <w:r w:rsidRPr="00393FE3">
              <w:rPr>
                <w:sz w:val="22"/>
                <w:szCs w:val="22"/>
              </w:rPr>
              <w:t>9</w:t>
            </w:r>
          </w:p>
        </w:tc>
        <w:tc>
          <w:tcPr>
            <w:tcW w:w="4320" w:type="dxa"/>
            <w:tcBorders>
              <w:top w:val="nil"/>
              <w:left w:val="nil"/>
              <w:bottom w:val="nil"/>
              <w:right w:val="nil"/>
            </w:tcBorders>
          </w:tcPr>
          <w:p w14:paraId="0C22F20A" w14:textId="77777777" w:rsidR="00724C44" w:rsidRPr="00393FE3" w:rsidRDefault="00724C44" w:rsidP="00393FE3">
            <w:pPr>
              <w:spacing w:after="0" w:line="240" w:lineRule="auto"/>
              <w:jc w:val="both"/>
              <w:rPr>
                <w:sz w:val="22"/>
                <w:szCs w:val="22"/>
              </w:rPr>
            </w:pPr>
            <w:r w:rsidRPr="00393FE3">
              <w:rPr>
                <w:sz w:val="22"/>
                <w:szCs w:val="22"/>
              </w:rPr>
              <w:t>Industry peer adoption</w:t>
            </w:r>
          </w:p>
        </w:tc>
        <w:tc>
          <w:tcPr>
            <w:tcW w:w="864" w:type="dxa"/>
            <w:tcBorders>
              <w:top w:val="nil"/>
              <w:left w:val="nil"/>
              <w:bottom w:val="nil"/>
              <w:right w:val="nil"/>
            </w:tcBorders>
          </w:tcPr>
          <w:p w14:paraId="33AC2607" w14:textId="77777777" w:rsidR="00724C44" w:rsidRPr="00393FE3" w:rsidRDefault="00724C44" w:rsidP="00393FE3">
            <w:pPr>
              <w:spacing w:after="0" w:line="240" w:lineRule="auto"/>
              <w:jc w:val="both"/>
              <w:rPr>
                <w:sz w:val="22"/>
                <w:szCs w:val="22"/>
              </w:rPr>
            </w:pPr>
            <w:r w:rsidRPr="00393FE3">
              <w:rPr>
                <w:sz w:val="22"/>
                <w:szCs w:val="22"/>
              </w:rPr>
              <w:t>2.09</w:t>
            </w:r>
          </w:p>
        </w:tc>
        <w:tc>
          <w:tcPr>
            <w:tcW w:w="864" w:type="dxa"/>
            <w:tcBorders>
              <w:top w:val="nil"/>
              <w:left w:val="nil"/>
              <w:bottom w:val="nil"/>
              <w:right w:val="nil"/>
            </w:tcBorders>
          </w:tcPr>
          <w:p w14:paraId="6E3B9D74" w14:textId="77777777" w:rsidR="00724C44" w:rsidRPr="00393FE3" w:rsidRDefault="00724C44" w:rsidP="00393FE3">
            <w:pPr>
              <w:spacing w:after="0" w:line="240" w:lineRule="auto"/>
              <w:jc w:val="both"/>
              <w:rPr>
                <w:sz w:val="22"/>
                <w:szCs w:val="22"/>
              </w:rPr>
            </w:pPr>
            <w:r w:rsidRPr="00393FE3">
              <w:rPr>
                <w:sz w:val="22"/>
                <w:szCs w:val="22"/>
              </w:rPr>
              <w:t>1.05</w:t>
            </w:r>
          </w:p>
        </w:tc>
        <w:tc>
          <w:tcPr>
            <w:tcW w:w="2160" w:type="dxa"/>
            <w:tcBorders>
              <w:top w:val="nil"/>
              <w:left w:val="nil"/>
              <w:bottom w:val="nil"/>
              <w:right w:val="nil"/>
            </w:tcBorders>
          </w:tcPr>
          <w:p w14:paraId="00144CDA"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5076A548" w14:textId="77777777" w:rsidTr="00A5379F">
        <w:tc>
          <w:tcPr>
            <w:tcW w:w="1008" w:type="dxa"/>
            <w:tcBorders>
              <w:top w:val="nil"/>
              <w:left w:val="nil"/>
              <w:bottom w:val="nil"/>
              <w:right w:val="nil"/>
            </w:tcBorders>
          </w:tcPr>
          <w:p w14:paraId="75D27377" w14:textId="77777777" w:rsidR="00724C44" w:rsidRPr="00393FE3" w:rsidRDefault="00724C44" w:rsidP="00393FE3">
            <w:pPr>
              <w:spacing w:after="0" w:line="240" w:lineRule="auto"/>
              <w:jc w:val="both"/>
              <w:rPr>
                <w:sz w:val="22"/>
                <w:szCs w:val="22"/>
              </w:rPr>
            </w:pPr>
            <w:r w:rsidRPr="00393FE3">
              <w:rPr>
                <w:sz w:val="22"/>
                <w:szCs w:val="22"/>
              </w:rPr>
              <w:t>10</w:t>
            </w:r>
          </w:p>
        </w:tc>
        <w:tc>
          <w:tcPr>
            <w:tcW w:w="4320" w:type="dxa"/>
            <w:tcBorders>
              <w:top w:val="nil"/>
              <w:left w:val="nil"/>
              <w:bottom w:val="nil"/>
              <w:right w:val="nil"/>
            </w:tcBorders>
          </w:tcPr>
          <w:p w14:paraId="25A49F6F" w14:textId="77777777" w:rsidR="00724C44" w:rsidRPr="00393FE3" w:rsidRDefault="00724C44" w:rsidP="00393FE3">
            <w:pPr>
              <w:spacing w:after="0" w:line="240" w:lineRule="auto"/>
              <w:jc w:val="both"/>
              <w:rPr>
                <w:sz w:val="22"/>
                <w:szCs w:val="22"/>
              </w:rPr>
            </w:pPr>
            <w:r w:rsidRPr="00393FE3">
              <w:rPr>
                <w:sz w:val="22"/>
                <w:szCs w:val="22"/>
              </w:rPr>
              <w:t>Available vendor solutions</w:t>
            </w:r>
          </w:p>
        </w:tc>
        <w:tc>
          <w:tcPr>
            <w:tcW w:w="864" w:type="dxa"/>
            <w:tcBorders>
              <w:top w:val="nil"/>
              <w:left w:val="nil"/>
              <w:bottom w:val="nil"/>
              <w:right w:val="nil"/>
            </w:tcBorders>
          </w:tcPr>
          <w:p w14:paraId="37851AE6" w14:textId="77777777" w:rsidR="00724C44" w:rsidRPr="00393FE3" w:rsidRDefault="00724C44" w:rsidP="00393FE3">
            <w:pPr>
              <w:spacing w:after="0" w:line="240" w:lineRule="auto"/>
              <w:jc w:val="both"/>
              <w:rPr>
                <w:sz w:val="22"/>
                <w:szCs w:val="22"/>
              </w:rPr>
            </w:pPr>
            <w:r w:rsidRPr="00393FE3">
              <w:rPr>
                <w:sz w:val="22"/>
                <w:szCs w:val="22"/>
              </w:rPr>
              <w:t>2.08</w:t>
            </w:r>
          </w:p>
        </w:tc>
        <w:tc>
          <w:tcPr>
            <w:tcW w:w="864" w:type="dxa"/>
            <w:tcBorders>
              <w:top w:val="nil"/>
              <w:left w:val="nil"/>
              <w:bottom w:val="nil"/>
              <w:right w:val="nil"/>
            </w:tcBorders>
          </w:tcPr>
          <w:p w14:paraId="0865BE87" w14:textId="77777777" w:rsidR="00724C44" w:rsidRPr="00393FE3" w:rsidRDefault="00724C44" w:rsidP="00393FE3">
            <w:pPr>
              <w:spacing w:after="0" w:line="240" w:lineRule="auto"/>
              <w:jc w:val="both"/>
              <w:rPr>
                <w:sz w:val="22"/>
                <w:szCs w:val="22"/>
              </w:rPr>
            </w:pPr>
            <w:r w:rsidRPr="00393FE3">
              <w:rPr>
                <w:sz w:val="22"/>
                <w:szCs w:val="22"/>
              </w:rPr>
              <w:t>1.07</w:t>
            </w:r>
          </w:p>
        </w:tc>
        <w:tc>
          <w:tcPr>
            <w:tcW w:w="2160" w:type="dxa"/>
            <w:tcBorders>
              <w:top w:val="nil"/>
              <w:left w:val="nil"/>
              <w:bottom w:val="nil"/>
              <w:right w:val="nil"/>
            </w:tcBorders>
          </w:tcPr>
          <w:p w14:paraId="424AF3C5" w14:textId="77777777" w:rsidR="00724C44" w:rsidRPr="00393FE3" w:rsidRDefault="00724C44" w:rsidP="00393FE3">
            <w:pPr>
              <w:spacing w:after="0" w:line="240" w:lineRule="auto"/>
              <w:jc w:val="both"/>
              <w:rPr>
                <w:sz w:val="22"/>
                <w:szCs w:val="22"/>
              </w:rPr>
            </w:pPr>
            <w:r w:rsidRPr="00393FE3">
              <w:rPr>
                <w:sz w:val="22"/>
                <w:szCs w:val="22"/>
              </w:rPr>
              <w:t>Low</w:t>
            </w:r>
          </w:p>
        </w:tc>
      </w:tr>
      <w:tr w:rsidR="00724C44" w:rsidRPr="00724C44" w14:paraId="130CE64F" w14:textId="77777777" w:rsidTr="00A5379F">
        <w:tc>
          <w:tcPr>
            <w:tcW w:w="1008" w:type="dxa"/>
            <w:tcBorders>
              <w:top w:val="nil"/>
              <w:left w:val="nil"/>
              <w:bottom w:val="single" w:sz="4" w:space="0" w:color="000000"/>
              <w:right w:val="nil"/>
            </w:tcBorders>
          </w:tcPr>
          <w:p w14:paraId="72AF9764" w14:textId="77777777" w:rsidR="00724C44" w:rsidRPr="00393FE3" w:rsidRDefault="00724C44" w:rsidP="00393FE3">
            <w:pPr>
              <w:spacing w:after="0" w:line="240" w:lineRule="auto"/>
              <w:jc w:val="both"/>
              <w:rPr>
                <w:sz w:val="22"/>
                <w:szCs w:val="22"/>
              </w:rPr>
            </w:pPr>
          </w:p>
        </w:tc>
        <w:tc>
          <w:tcPr>
            <w:tcW w:w="4320" w:type="dxa"/>
            <w:tcBorders>
              <w:top w:val="nil"/>
              <w:left w:val="nil"/>
              <w:bottom w:val="single" w:sz="4" w:space="0" w:color="000000"/>
              <w:right w:val="nil"/>
            </w:tcBorders>
          </w:tcPr>
          <w:p w14:paraId="554FC82B" w14:textId="77777777" w:rsidR="00724C44" w:rsidRPr="00393FE3" w:rsidRDefault="00724C44" w:rsidP="00393FE3">
            <w:pPr>
              <w:spacing w:after="0" w:line="240" w:lineRule="auto"/>
              <w:jc w:val="both"/>
              <w:rPr>
                <w:sz w:val="22"/>
                <w:szCs w:val="22"/>
              </w:rPr>
            </w:pPr>
            <w:r w:rsidRPr="00393FE3">
              <w:rPr>
                <w:sz w:val="22"/>
                <w:szCs w:val="22"/>
              </w:rPr>
              <w:t>Overall Enablers Mean (F2)</w:t>
            </w:r>
          </w:p>
        </w:tc>
        <w:tc>
          <w:tcPr>
            <w:tcW w:w="864" w:type="dxa"/>
            <w:tcBorders>
              <w:top w:val="nil"/>
              <w:left w:val="nil"/>
              <w:bottom w:val="single" w:sz="4" w:space="0" w:color="000000"/>
              <w:right w:val="nil"/>
            </w:tcBorders>
          </w:tcPr>
          <w:p w14:paraId="70BF08BD" w14:textId="77777777" w:rsidR="00724C44" w:rsidRPr="00393FE3" w:rsidRDefault="00724C44" w:rsidP="00393FE3">
            <w:pPr>
              <w:spacing w:after="0" w:line="240" w:lineRule="auto"/>
              <w:jc w:val="both"/>
              <w:rPr>
                <w:sz w:val="22"/>
                <w:szCs w:val="22"/>
              </w:rPr>
            </w:pPr>
            <w:r w:rsidRPr="00393FE3">
              <w:rPr>
                <w:sz w:val="22"/>
                <w:szCs w:val="22"/>
              </w:rPr>
              <w:t>2.45</w:t>
            </w:r>
          </w:p>
        </w:tc>
        <w:tc>
          <w:tcPr>
            <w:tcW w:w="864" w:type="dxa"/>
            <w:tcBorders>
              <w:top w:val="nil"/>
              <w:left w:val="nil"/>
              <w:bottom w:val="single" w:sz="4" w:space="0" w:color="000000"/>
              <w:right w:val="nil"/>
            </w:tcBorders>
          </w:tcPr>
          <w:p w14:paraId="6BBF22CF" w14:textId="77777777" w:rsidR="00724C44" w:rsidRPr="00393FE3" w:rsidRDefault="00724C44" w:rsidP="00393FE3">
            <w:pPr>
              <w:spacing w:after="0" w:line="240" w:lineRule="auto"/>
              <w:jc w:val="both"/>
              <w:rPr>
                <w:sz w:val="22"/>
                <w:szCs w:val="22"/>
              </w:rPr>
            </w:pPr>
            <w:r w:rsidRPr="00393FE3">
              <w:rPr>
                <w:sz w:val="22"/>
                <w:szCs w:val="22"/>
              </w:rPr>
              <w:t>0.35</w:t>
            </w:r>
          </w:p>
        </w:tc>
        <w:tc>
          <w:tcPr>
            <w:tcW w:w="2160" w:type="dxa"/>
            <w:tcBorders>
              <w:top w:val="nil"/>
              <w:left w:val="nil"/>
              <w:bottom w:val="single" w:sz="4" w:space="0" w:color="000000"/>
              <w:right w:val="nil"/>
            </w:tcBorders>
          </w:tcPr>
          <w:p w14:paraId="1EA74B9F" w14:textId="77777777" w:rsidR="00724C44" w:rsidRPr="00393FE3" w:rsidRDefault="00724C44" w:rsidP="00393FE3">
            <w:pPr>
              <w:spacing w:after="0" w:line="240" w:lineRule="auto"/>
              <w:jc w:val="both"/>
              <w:rPr>
                <w:sz w:val="22"/>
                <w:szCs w:val="22"/>
              </w:rPr>
            </w:pPr>
            <w:r w:rsidRPr="00393FE3">
              <w:rPr>
                <w:sz w:val="22"/>
                <w:szCs w:val="22"/>
              </w:rPr>
              <w:t>Low</w:t>
            </w:r>
          </w:p>
        </w:tc>
      </w:tr>
    </w:tbl>
    <w:p w14:paraId="70EC2C7A" w14:textId="77777777" w:rsidR="00724C44" w:rsidRPr="00393FE3" w:rsidRDefault="00724C44" w:rsidP="00724C44">
      <w:pPr>
        <w:spacing w:line="240" w:lineRule="auto"/>
        <w:jc w:val="both"/>
        <w:rPr>
          <w:sz w:val="22"/>
          <w:szCs w:val="22"/>
        </w:rPr>
      </w:pPr>
      <w:r w:rsidRPr="00393FE3">
        <w:rPr>
          <w:i/>
          <w:sz w:val="22"/>
          <w:szCs w:val="22"/>
        </w:rPr>
        <w:t xml:space="preserve">Note. </w:t>
      </w:r>
      <w:r w:rsidRPr="00393FE3">
        <w:rPr>
          <w:sz w:val="22"/>
          <w:szCs w:val="22"/>
        </w:rPr>
        <w:t>Scale: 1 = Not present, 7 = Strongly present.</w:t>
      </w:r>
    </w:p>
    <w:p w14:paraId="2F7344F9" w14:textId="77777777" w:rsidR="00724C44" w:rsidRPr="00724C44" w:rsidRDefault="00724C44" w:rsidP="00724C44">
      <w:pPr>
        <w:spacing w:line="240" w:lineRule="auto"/>
        <w:jc w:val="both"/>
      </w:pPr>
      <w:r w:rsidRPr="00724C44">
        <w:t xml:space="preserve">The enabler analysis reveals generally low perceived presence of facilitating factors. Available vendor solutions and competitive advantage potential show relatively higher scores, but government incentives, industry association support, and clear regulatory guidance are notably </w:t>
      </w:r>
      <w:r w:rsidRPr="00724C44">
        <w:lastRenderedPageBreak/>
        <w:t>weak. The overall low enabler scores suggest that organizations report low presence of the external support structures that may be associated with AI-to-disclosure integration.</w:t>
      </w:r>
    </w:p>
    <w:p w14:paraId="7429D9A6" w14:textId="77777777" w:rsidR="00724C44" w:rsidRPr="00724C44" w:rsidRDefault="00724C44" w:rsidP="00724C44">
      <w:pPr>
        <w:spacing w:line="240" w:lineRule="auto"/>
        <w:jc w:val="both"/>
      </w:pPr>
      <w:r w:rsidRPr="00724C44">
        <w:rPr>
          <w:b/>
        </w:rPr>
        <w:t>4.10.3 Barrier-Enabler Gap Analysis</w:t>
      </w:r>
    </w:p>
    <w:p w14:paraId="048FA34E" w14:textId="77777777" w:rsidR="00724C44" w:rsidRPr="00724C44" w:rsidRDefault="00724C44" w:rsidP="00724C44">
      <w:pPr>
        <w:spacing w:line="240" w:lineRule="auto"/>
        <w:jc w:val="both"/>
      </w:pPr>
      <w:r w:rsidRPr="00724C44">
        <w:t>Table 4.33 compares the aggregate barrier and enabler levels.</w:t>
      </w:r>
    </w:p>
    <w:p w14:paraId="15788D54" w14:textId="77777777" w:rsidR="00724C44" w:rsidRPr="00724C44" w:rsidRDefault="00724C44" w:rsidP="00724C44">
      <w:pPr>
        <w:spacing w:line="240" w:lineRule="auto"/>
        <w:jc w:val="both"/>
      </w:pPr>
      <w:r w:rsidRPr="00724C44">
        <w:rPr>
          <w:b/>
        </w:rPr>
        <w:t>Table 4.33</w:t>
      </w:r>
    </w:p>
    <w:p w14:paraId="4CD28683" w14:textId="77777777" w:rsidR="00724C44" w:rsidRPr="00724C44" w:rsidRDefault="00724C44" w:rsidP="00724C44">
      <w:pPr>
        <w:spacing w:line="240" w:lineRule="auto"/>
        <w:jc w:val="both"/>
      </w:pPr>
      <w:r w:rsidRPr="00724C44">
        <w:rPr>
          <w:i/>
        </w:rPr>
        <w:t>Barrier-Enabler Comparison</w:t>
      </w:r>
    </w:p>
    <w:tbl>
      <w:tblPr>
        <w:tblW w:w="0" w:type="auto"/>
        <w:tblLayout w:type="fixed"/>
        <w:tblLook w:val="04A0" w:firstRow="1" w:lastRow="0" w:firstColumn="1" w:lastColumn="0" w:noHBand="0" w:noVBand="1"/>
      </w:tblPr>
      <w:tblGrid>
        <w:gridCol w:w="3600"/>
        <w:gridCol w:w="1440"/>
        <w:gridCol w:w="4320"/>
      </w:tblGrid>
      <w:tr w:rsidR="00724C44" w:rsidRPr="00724C44" w14:paraId="712CFC68" w14:textId="77777777" w:rsidTr="00A5379F">
        <w:tc>
          <w:tcPr>
            <w:tcW w:w="3600" w:type="dxa"/>
            <w:tcBorders>
              <w:top w:val="single" w:sz="4" w:space="0" w:color="000000"/>
              <w:left w:val="nil"/>
              <w:bottom w:val="single" w:sz="4" w:space="0" w:color="000000"/>
              <w:right w:val="nil"/>
            </w:tcBorders>
          </w:tcPr>
          <w:p w14:paraId="437F35DE" w14:textId="77777777" w:rsidR="00724C44" w:rsidRPr="00BE52AD" w:rsidRDefault="00724C44" w:rsidP="00BE52AD">
            <w:pPr>
              <w:spacing w:after="0" w:line="240" w:lineRule="auto"/>
              <w:jc w:val="both"/>
              <w:rPr>
                <w:sz w:val="22"/>
                <w:szCs w:val="22"/>
              </w:rPr>
            </w:pPr>
            <w:r w:rsidRPr="00BE52AD">
              <w:rPr>
                <w:b/>
                <w:sz w:val="22"/>
                <w:szCs w:val="22"/>
              </w:rPr>
              <w:t>Measure</w:t>
            </w:r>
          </w:p>
        </w:tc>
        <w:tc>
          <w:tcPr>
            <w:tcW w:w="1440" w:type="dxa"/>
            <w:tcBorders>
              <w:top w:val="single" w:sz="4" w:space="0" w:color="000000"/>
              <w:left w:val="nil"/>
              <w:bottom w:val="single" w:sz="4" w:space="0" w:color="000000"/>
              <w:right w:val="nil"/>
            </w:tcBorders>
          </w:tcPr>
          <w:p w14:paraId="02425D2B" w14:textId="77777777" w:rsidR="00724C44" w:rsidRPr="00BE52AD" w:rsidRDefault="00724C44" w:rsidP="00BE52AD">
            <w:pPr>
              <w:spacing w:after="0" w:line="240" w:lineRule="auto"/>
              <w:jc w:val="both"/>
              <w:rPr>
                <w:sz w:val="22"/>
                <w:szCs w:val="22"/>
              </w:rPr>
            </w:pPr>
            <w:r w:rsidRPr="00BE52AD">
              <w:rPr>
                <w:b/>
                <w:sz w:val="22"/>
                <w:szCs w:val="22"/>
              </w:rPr>
              <w:t>Score</w:t>
            </w:r>
          </w:p>
        </w:tc>
        <w:tc>
          <w:tcPr>
            <w:tcW w:w="4320" w:type="dxa"/>
            <w:tcBorders>
              <w:top w:val="single" w:sz="4" w:space="0" w:color="000000"/>
              <w:left w:val="nil"/>
              <w:bottom w:val="single" w:sz="4" w:space="0" w:color="000000"/>
              <w:right w:val="nil"/>
            </w:tcBorders>
          </w:tcPr>
          <w:p w14:paraId="46FCF417" w14:textId="77777777" w:rsidR="00724C44" w:rsidRPr="00BE52AD" w:rsidRDefault="00724C44" w:rsidP="00BE52AD">
            <w:pPr>
              <w:spacing w:after="0" w:line="240" w:lineRule="auto"/>
              <w:jc w:val="both"/>
              <w:rPr>
                <w:sz w:val="22"/>
                <w:szCs w:val="22"/>
              </w:rPr>
            </w:pPr>
            <w:r w:rsidRPr="00BE52AD">
              <w:rPr>
                <w:b/>
                <w:sz w:val="22"/>
                <w:szCs w:val="22"/>
              </w:rPr>
              <w:t>Interpretation</w:t>
            </w:r>
          </w:p>
        </w:tc>
      </w:tr>
      <w:tr w:rsidR="00724C44" w:rsidRPr="00724C44" w14:paraId="16D5D4EB" w14:textId="77777777" w:rsidTr="00A5379F">
        <w:tc>
          <w:tcPr>
            <w:tcW w:w="3600" w:type="dxa"/>
            <w:tcBorders>
              <w:top w:val="nil"/>
              <w:left w:val="nil"/>
              <w:bottom w:val="nil"/>
              <w:right w:val="nil"/>
            </w:tcBorders>
          </w:tcPr>
          <w:p w14:paraId="65DC21C2" w14:textId="77777777" w:rsidR="00724C44" w:rsidRPr="00BE52AD" w:rsidRDefault="00724C44" w:rsidP="00BE52AD">
            <w:pPr>
              <w:spacing w:after="0" w:line="240" w:lineRule="auto"/>
              <w:jc w:val="both"/>
              <w:rPr>
                <w:sz w:val="22"/>
                <w:szCs w:val="22"/>
              </w:rPr>
            </w:pPr>
            <w:r w:rsidRPr="00BE52AD">
              <w:rPr>
                <w:sz w:val="22"/>
                <w:szCs w:val="22"/>
              </w:rPr>
              <w:t>Barriers (F1)</w:t>
            </w:r>
          </w:p>
        </w:tc>
        <w:tc>
          <w:tcPr>
            <w:tcW w:w="1440" w:type="dxa"/>
            <w:tcBorders>
              <w:top w:val="nil"/>
              <w:left w:val="nil"/>
              <w:bottom w:val="nil"/>
              <w:right w:val="nil"/>
            </w:tcBorders>
          </w:tcPr>
          <w:p w14:paraId="4907F29B" w14:textId="77777777" w:rsidR="00724C44" w:rsidRPr="00BE52AD" w:rsidRDefault="00724C44" w:rsidP="00BE52AD">
            <w:pPr>
              <w:spacing w:after="0" w:line="240" w:lineRule="auto"/>
              <w:jc w:val="both"/>
              <w:rPr>
                <w:sz w:val="22"/>
                <w:szCs w:val="22"/>
              </w:rPr>
            </w:pPr>
            <w:r w:rsidRPr="00BE52AD">
              <w:rPr>
                <w:sz w:val="22"/>
                <w:szCs w:val="22"/>
              </w:rPr>
              <w:t>3.67</w:t>
            </w:r>
          </w:p>
        </w:tc>
        <w:tc>
          <w:tcPr>
            <w:tcW w:w="4320" w:type="dxa"/>
            <w:tcBorders>
              <w:top w:val="nil"/>
              <w:left w:val="nil"/>
              <w:bottom w:val="nil"/>
              <w:right w:val="nil"/>
            </w:tcBorders>
          </w:tcPr>
          <w:p w14:paraId="50F30A0F" w14:textId="77777777" w:rsidR="00724C44" w:rsidRPr="00BE52AD" w:rsidRDefault="00724C44" w:rsidP="00BE52AD">
            <w:pPr>
              <w:spacing w:after="0" w:line="240" w:lineRule="auto"/>
              <w:jc w:val="both"/>
              <w:rPr>
                <w:sz w:val="22"/>
                <w:szCs w:val="22"/>
              </w:rPr>
            </w:pPr>
            <w:r w:rsidRPr="00BE52AD">
              <w:rPr>
                <w:sz w:val="22"/>
                <w:szCs w:val="22"/>
              </w:rPr>
              <w:t>Moderate</w:t>
            </w:r>
          </w:p>
        </w:tc>
      </w:tr>
      <w:tr w:rsidR="00724C44" w:rsidRPr="00724C44" w14:paraId="1C4CB450" w14:textId="77777777" w:rsidTr="00A5379F">
        <w:tc>
          <w:tcPr>
            <w:tcW w:w="3600" w:type="dxa"/>
            <w:tcBorders>
              <w:top w:val="nil"/>
              <w:left w:val="nil"/>
              <w:bottom w:val="nil"/>
              <w:right w:val="nil"/>
            </w:tcBorders>
          </w:tcPr>
          <w:p w14:paraId="2455EB54" w14:textId="77777777" w:rsidR="00724C44" w:rsidRPr="00BE52AD" w:rsidRDefault="00724C44" w:rsidP="00BE52AD">
            <w:pPr>
              <w:spacing w:after="0" w:line="240" w:lineRule="auto"/>
              <w:jc w:val="both"/>
              <w:rPr>
                <w:sz w:val="22"/>
                <w:szCs w:val="22"/>
              </w:rPr>
            </w:pPr>
            <w:r w:rsidRPr="00BE52AD">
              <w:rPr>
                <w:sz w:val="22"/>
                <w:szCs w:val="22"/>
              </w:rPr>
              <w:t>Enablers (F2)</w:t>
            </w:r>
          </w:p>
        </w:tc>
        <w:tc>
          <w:tcPr>
            <w:tcW w:w="1440" w:type="dxa"/>
            <w:tcBorders>
              <w:top w:val="nil"/>
              <w:left w:val="nil"/>
              <w:bottom w:val="nil"/>
              <w:right w:val="nil"/>
            </w:tcBorders>
          </w:tcPr>
          <w:p w14:paraId="0F31B296" w14:textId="77777777" w:rsidR="00724C44" w:rsidRPr="00BE52AD" w:rsidRDefault="00724C44" w:rsidP="00BE52AD">
            <w:pPr>
              <w:spacing w:after="0" w:line="240" w:lineRule="auto"/>
              <w:jc w:val="both"/>
              <w:rPr>
                <w:sz w:val="22"/>
                <w:szCs w:val="22"/>
              </w:rPr>
            </w:pPr>
            <w:r w:rsidRPr="00BE52AD">
              <w:rPr>
                <w:sz w:val="22"/>
                <w:szCs w:val="22"/>
              </w:rPr>
              <w:t>2.45</w:t>
            </w:r>
          </w:p>
        </w:tc>
        <w:tc>
          <w:tcPr>
            <w:tcW w:w="4320" w:type="dxa"/>
            <w:tcBorders>
              <w:top w:val="nil"/>
              <w:left w:val="nil"/>
              <w:bottom w:val="nil"/>
              <w:right w:val="nil"/>
            </w:tcBorders>
          </w:tcPr>
          <w:p w14:paraId="009CD965" w14:textId="77777777" w:rsidR="00724C44" w:rsidRPr="00BE52AD" w:rsidRDefault="00724C44" w:rsidP="00BE52AD">
            <w:pPr>
              <w:spacing w:after="0" w:line="240" w:lineRule="auto"/>
              <w:jc w:val="both"/>
              <w:rPr>
                <w:sz w:val="22"/>
                <w:szCs w:val="22"/>
              </w:rPr>
            </w:pPr>
            <w:r w:rsidRPr="00BE52AD">
              <w:rPr>
                <w:sz w:val="22"/>
                <w:szCs w:val="22"/>
              </w:rPr>
              <w:t>Low</w:t>
            </w:r>
          </w:p>
        </w:tc>
      </w:tr>
      <w:tr w:rsidR="00724C44" w:rsidRPr="00724C44" w14:paraId="5E8AEAF9" w14:textId="77777777" w:rsidTr="00A5379F">
        <w:tc>
          <w:tcPr>
            <w:tcW w:w="3600" w:type="dxa"/>
            <w:tcBorders>
              <w:top w:val="nil"/>
              <w:left w:val="nil"/>
              <w:bottom w:val="single" w:sz="4" w:space="0" w:color="000000"/>
              <w:right w:val="nil"/>
            </w:tcBorders>
          </w:tcPr>
          <w:p w14:paraId="45AE1284" w14:textId="77777777" w:rsidR="00724C44" w:rsidRPr="00BE52AD" w:rsidRDefault="00724C44" w:rsidP="00BE52AD">
            <w:pPr>
              <w:spacing w:after="0" w:line="240" w:lineRule="auto"/>
              <w:jc w:val="both"/>
              <w:rPr>
                <w:sz w:val="22"/>
                <w:szCs w:val="22"/>
              </w:rPr>
            </w:pPr>
            <w:r w:rsidRPr="00BE52AD">
              <w:rPr>
                <w:sz w:val="22"/>
                <w:szCs w:val="22"/>
              </w:rPr>
              <w:t>Gap (Barriers - Enablers)</w:t>
            </w:r>
          </w:p>
        </w:tc>
        <w:tc>
          <w:tcPr>
            <w:tcW w:w="1440" w:type="dxa"/>
            <w:tcBorders>
              <w:top w:val="nil"/>
              <w:left w:val="nil"/>
              <w:bottom w:val="single" w:sz="4" w:space="0" w:color="000000"/>
              <w:right w:val="nil"/>
            </w:tcBorders>
          </w:tcPr>
          <w:p w14:paraId="420932CC" w14:textId="77777777" w:rsidR="00724C44" w:rsidRPr="00BE52AD" w:rsidRDefault="00724C44" w:rsidP="00BE52AD">
            <w:pPr>
              <w:spacing w:after="0" w:line="240" w:lineRule="auto"/>
              <w:jc w:val="both"/>
              <w:rPr>
                <w:sz w:val="22"/>
                <w:szCs w:val="22"/>
              </w:rPr>
            </w:pPr>
            <w:r w:rsidRPr="00BE52AD">
              <w:rPr>
                <w:sz w:val="22"/>
                <w:szCs w:val="22"/>
              </w:rPr>
              <w:t>1.23</w:t>
            </w:r>
          </w:p>
        </w:tc>
        <w:tc>
          <w:tcPr>
            <w:tcW w:w="4320" w:type="dxa"/>
            <w:tcBorders>
              <w:top w:val="nil"/>
              <w:left w:val="nil"/>
              <w:bottom w:val="single" w:sz="4" w:space="0" w:color="000000"/>
              <w:right w:val="nil"/>
            </w:tcBorders>
          </w:tcPr>
          <w:p w14:paraId="75EEA05C" w14:textId="77777777" w:rsidR="00724C44" w:rsidRPr="00BE52AD" w:rsidRDefault="00724C44" w:rsidP="00BE52AD">
            <w:pPr>
              <w:spacing w:after="0" w:line="240" w:lineRule="auto"/>
              <w:jc w:val="both"/>
              <w:rPr>
                <w:sz w:val="22"/>
                <w:szCs w:val="22"/>
              </w:rPr>
            </w:pPr>
            <w:r w:rsidRPr="00BE52AD">
              <w:rPr>
                <w:sz w:val="22"/>
                <w:szCs w:val="22"/>
              </w:rPr>
              <w:t>Barriers substantially outweigh enablers</w:t>
            </w:r>
          </w:p>
        </w:tc>
      </w:tr>
    </w:tbl>
    <w:p w14:paraId="12652E8C" w14:textId="77777777" w:rsidR="00724C44" w:rsidRPr="00724C44" w:rsidRDefault="00724C44" w:rsidP="00724C44">
      <w:pPr>
        <w:spacing w:line="240" w:lineRule="auto"/>
        <w:jc w:val="both"/>
      </w:pPr>
      <w:r w:rsidRPr="00724C44">
        <w:t xml:space="preserve">The barrier-enabler gap of </w:t>
      </w:r>
      <w:proofErr w:type="gramStart"/>
      <w:r w:rsidRPr="00724C44">
        <w:t>1.23 points</w:t>
      </w:r>
      <w:proofErr w:type="gramEnd"/>
      <w:r w:rsidRPr="00724C44">
        <w:t xml:space="preserve"> indicates that organizations perceive substantially more obstacles than facilitators for AI-to-disclosure integration. This imbalance is consistent with the persistent data-to-disclosure gap: even organizations with strong AI capabilities report significant barriers and insufficient enabling support for translating those capabilities into quality human capital disclosure.</w:t>
      </w:r>
    </w:p>
    <w:p w14:paraId="4EB76D67" w14:textId="77777777" w:rsidR="00724C44" w:rsidRPr="00724C44" w:rsidRDefault="00724C44" w:rsidP="00724C44">
      <w:pPr>
        <w:spacing w:line="240" w:lineRule="auto"/>
        <w:jc w:val="both"/>
      </w:pPr>
      <w:r w:rsidRPr="00724C44">
        <w:rPr>
          <w:b/>
        </w:rPr>
        <w:t>4.11 Qualitative Results</w:t>
      </w:r>
    </w:p>
    <w:p w14:paraId="6DECD943" w14:textId="687A60B2" w:rsidR="00724C44" w:rsidRPr="00724C44" w:rsidRDefault="00724C44" w:rsidP="00724C44">
      <w:pPr>
        <w:spacing w:line="240" w:lineRule="auto"/>
        <w:jc w:val="both"/>
      </w:pPr>
      <w:r w:rsidRPr="00724C44">
        <w:t xml:space="preserve">This section presents the findings from thematic analysis of qualitative responses captured through three open-ended questions embedded in the survey instrument. Following Section 3.7.2, responses were analyzed using Braun and Clarke’s (2021) six-phase thematic method, with codes generated inductively from the data and organized into higher-order themes. The qualitative findings provide context and interpretive depth to the quantitative results presented in Sections 4.4 to 4.10, </w:t>
      </w:r>
      <w:r w:rsidR="00C313FF">
        <w:t xml:space="preserve">thereby </w:t>
      </w:r>
      <w:r w:rsidRPr="00724C44">
        <w:t>addressing the integrative ambition of the mixed-methods design.</w:t>
      </w:r>
    </w:p>
    <w:p w14:paraId="3257DF2B" w14:textId="77777777" w:rsidR="00724C44" w:rsidRPr="00724C44" w:rsidRDefault="00724C44" w:rsidP="00724C44">
      <w:pPr>
        <w:spacing w:line="240" w:lineRule="auto"/>
        <w:jc w:val="both"/>
      </w:pPr>
      <w:r w:rsidRPr="00724C44">
        <w:rPr>
          <w:b/>
        </w:rPr>
        <w:t>4.11.1 Qualitative Sample and Response Coverage</w:t>
      </w:r>
    </w:p>
    <w:p w14:paraId="701949F6" w14:textId="733D01F8" w:rsidR="00724C44" w:rsidRPr="00724C44" w:rsidRDefault="00724C44" w:rsidP="00724C44">
      <w:pPr>
        <w:spacing w:line="240" w:lineRule="auto"/>
        <w:jc w:val="both"/>
      </w:pPr>
      <w:r w:rsidRPr="00724C44">
        <w:t xml:space="preserve">All 400 respondents answered each of the three open-ended questions, producing 1,200 responses. Because </w:t>
      </w:r>
      <w:proofErr w:type="gramStart"/>
      <w:r w:rsidRPr="00724C44">
        <w:t>the qualitative</w:t>
      </w:r>
      <w:proofErr w:type="gramEnd"/>
      <w:r w:rsidRPr="00724C44">
        <w:t xml:space="preserve"> and quantitative data are drawn from the same respondents, integration in Section 4.12 occurs at the within-respondent </w:t>
      </w:r>
      <w:proofErr w:type="gramStart"/>
      <w:r w:rsidRPr="00724C44">
        <w:t>level</w:t>
      </w:r>
      <w:r w:rsidR="00C313FF">
        <w:t>—</w:t>
      </w:r>
      <w:r w:rsidRPr="00724C44">
        <w:t>a</w:t>
      </w:r>
      <w:proofErr w:type="gramEnd"/>
      <w:r w:rsidRPr="00724C44">
        <w:t xml:space="preserve"> </w:t>
      </w:r>
      <w:r w:rsidR="00D961F9">
        <w:t>design strength</w:t>
      </w:r>
      <w:r w:rsidRPr="00724C44">
        <w:t xml:space="preserve">. Thematic analysis identified 27 distinct codes for Question 1 (challenges), 23 codes for Question 2 (improvements), and 24 codes for Question 3 (additional comments), </w:t>
      </w:r>
      <w:r w:rsidR="00C313FF">
        <w:t xml:space="preserve">which were </w:t>
      </w:r>
      <w:r w:rsidRPr="00724C44">
        <w:t>subsequently organized into 5, 4, and 4 higher-order themes</w:t>
      </w:r>
      <w:r w:rsidR="00C313FF">
        <w:t>,</w:t>
      </w:r>
      <w:r w:rsidRPr="00724C44">
        <w:t xml:space="preserve"> respectively. Code frequencies ranged from 9 to 29 endorsements per code, indicating substantive within-theme convergence across respondents.</w:t>
      </w:r>
    </w:p>
    <w:p w14:paraId="15375E4D" w14:textId="77777777" w:rsidR="00724C44" w:rsidRPr="00724C44" w:rsidRDefault="00724C44" w:rsidP="00724C44">
      <w:pPr>
        <w:spacing w:line="240" w:lineRule="auto"/>
        <w:jc w:val="both"/>
      </w:pPr>
      <w:r w:rsidRPr="00724C44">
        <w:rPr>
          <w:b/>
        </w:rPr>
        <w:t>4.11.2 Question 1 — Significant Challenges in AI–HCAD Integration</w:t>
      </w:r>
    </w:p>
    <w:p w14:paraId="0829743C" w14:textId="77777777" w:rsidR="00724C44" w:rsidRPr="00724C44" w:rsidRDefault="00724C44" w:rsidP="00724C44">
      <w:pPr>
        <w:spacing w:line="240" w:lineRule="auto"/>
        <w:jc w:val="both"/>
      </w:pPr>
      <w:r w:rsidRPr="00724C44">
        <w:t>The first open-ended question asked respondents to identify the most significant challenge in integrating AI compensation systems with human capital disclosure. The 27 codes generated from the 400 responses clustered into five higher-order themes, summarized in Table 4.34.</w:t>
      </w:r>
    </w:p>
    <w:p w14:paraId="395CE77B" w14:textId="77777777" w:rsidR="00724C44" w:rsidRPr="00724C44" w:rsidRDefault="00724C44" w:rsidP="00724C44">
      <w:pPr>
        <w:spacing w:line="240" w:lineRule="auto"/>
        <w:jc w:val="both"/>
      </w:pPr>
      <w:r w:rsidRPr="00724C44">
        <w:rPr>
          <w:b/>
        </w:rPr>
        <w:t>Table 4.34</w:t>
      </w:r>
    </w:p>
    <w:p w14:paraId="3C2930AD" w14:textId="77777777" w:rsidR="00724C44" w:rsidRPr="00724C44" w:rsidRDefault="00724C44" w:rsidP="00724C44">
      <w:pPr>
        <w:spacing w:line="240" w:lineRule="auto"/>
        <w:jc w:val="both"/>
      </w:pPr>
      <w:r w:rsidRPr="00724C44">
        <w:rPr>
          <w:i/>
        </w:rPr>
        <w:t>Higher-Order Themes – Significant Challenges in AI–HCAD Integration (n = 400)</w:t>
      </w:r>
    </w:p>
    <w:tbl>
      <w:tblPr>
        <w:tblW w:w="9360" w:type="dxa"/>
        <w:tblLayout w:type="fixed"/>
        <w:tblLook w:val="04A0" w:firstRow="1" w:lastRow="0" w:firstColumn="1" w:lastColumn="0" w:noHBand="0" w:noVBand="1"/>
      </w:tblPr>
      <w:tblGrid>
        <w:gridCol w:w="2070"/>
        <w:gridCol w:w="5580"/>
        <w:gridCol w:w="900"/>
        <w:gridCol w:w="810"/>
      </w:tblGrid>
      <w:tr w:rsidR="00724C44" w:rsidRPr="00724C44" w14:paraId="1D3D21B1" w14:textId="77777777" w:rsidTr="00BE52AD">
        <w:tc>
          <w:tcPr>
            <w:tcW w:w="2070" w:type="dxa"/>
            <w:tcBorders>
              <w:top w:val="single" w:sz="4" w:space="0" w:color="000000"/>
              <w:left w:val="nil"/>
              <w:bottom w:val="single" w:sz="4" w:space="0" w:color="000000"/>
              <w:right w:val="nil"/>
            </w:tcBorders>
          </w:tcPr>
          <w:p w14:paraId="133D3245" w14:textId="77777777" w:rsidR="00724C44" w:rsidRPr="00BE52AD" w:rsidRDefault="00724C44" w:rsidP="00BE52AD">
            <w:pPr>
              <w:spacing w:after="0" w:line="240" w:lineRule="auto"/>
              <w:jc w:val="both"/>
              <w:rPr>
                <w:sz w:val="22"/>
                <w:szCs w:val="22"/>
              </w:rPr>
            </w:pPr>
            <w:r w:rsidRPr="00BE52AD">
              <w:rPr>
                <w:b/>
                <w:sz w:val="22"/>
                <w:szCs w:val="22"/>
              </w:rPr>
              <w:t>Theme</w:t>
            </w:r>
          </w:p>
        </w:tc>
        <w:tc>
          <w:tcPr>
            <w:tcW w:w="5580" w:type="dxa"/>
            <w:tcBorders>
              <w:top w:val="single" w:sz="4" w:space="0" w:color="000000"/>
              <w:left w:val="nil"/>
              <w:bottom w:val="single" w:sz="4" w:space="0" w:color="000000"/>
              <w:right w:val="nil"/>
            </w:tcBorders>
          </w:tcPr>
          <w:p w14:paraId="2DBE373E" w14:textId="77777777" w:rsidR="00724C44" w:rsidRPr="00BE52AD" w:rsidRDefault="00724C44" w:rsidP="00BE52AD">
            <w:pPr>
              <w:spacing w:after="0" w:line="240" w:lineRule="auto"/>
              <w:jc w:val="both"/>
              <w:rPr>
                <w:sz w:val="22"/>
                <w:szCs w:val="22"/>
              </w:rPr>
            </w:pPr>
            <w:r w:rsidRPr="00BE52AD">
              <w:rPr>
                <w:b/>
                <w:sz w:val="22"/>
                <w:szCs w:val="22"/>
              </w:rPr>
              <w:t>Description</w:t>
            </w:r>
          </w:p>
        </w:tc>
        <w:tc>
          <w:tcPr>
            <w:tcW w:w="900" w:type="dxa"/>
            <w:tcBorders>
              <w:top w:val="single" w:sz="4" w:space="0" w:color="000000"/>
              <w:left w:val="nil"/>
              <w:bottom w:val="single" w:sz="4" w:space="0" w:color="000000"/>
              <w:right w:val="nil"/>
            </w:tcBorders>
          </w:tcPr>
          <w:p w14:paraId="755A0582" w14:textId="77777777" w:rsidR="00724C44" w:rsidRPr="00BE52AD" w:rsidRDefault="00724C44" w:rsidP="00BE52AD">
            <w:pPr>
              <w:spacing w:after="0" w:line="240" w:lineRule="auto"/>
              <w:jc w:val="both"/>
              <w:rPr>
                <w:sz w:val="22"/>
                <w:szCs w:val="22"/>
              </w:rPr>
            </w:pPr>
            <w:r w:rsidRPr="00BE52AD">
              <w:rPr>
                <w:b/>
                <w:sz w:val="22"/>
                <w:szCs w:val="22"/>
              </w:rPr>
              <w:t>Approx. n</w:t>
            </w:r>
          </w:p>
        </w:tc>
        <w:tc>
          <w:tcPr>
            <w:tcW w:w="810" w:type="dxa"/>
            <w:tcBorders>
              <w:top w:val="single" w:sz="4" w:space="0" w:color="000000"/>
              <w:left w:val="nil"/>
              <w:bottom w:val="single" w:sz="4" w:space="0" w:color="000000"/>
              <w:right w:val="nil"/>
            </w:tcBorders>
          </w:tcPr>
          <w:p w14:paraId="19925114" w14:textId="77777777" w:rsidR="00724C44" w:rsidRPr="00BE52AD" w:rsidRDefault="00724C44" w:rsidP="00BE52AD">
            <w:pPr>
              <w:spacing w:after="0" w:line="240" w:lineRule="auto"/>
              <w:jc w:val="both"/>
              <w:rPr>
                <w:sz w:val="22"/>
                <w:szCs w:val="22"/>
              </w:rPr>
            </w:pPr>
            <w:r w:rsidRPr="00BE52AD">
              <w:rPr>
                <w:b/>
                <w:sz w:val="22"/>
                <w:szCs w:val="22"/>
              </w:rPr>
              <w:t>%</w:t>
            </w:r>
          </w:p>
        </w:tc>
      </w:tr>
      <w:tr w:rsidR="00724C44" w:rsidRPr="00724C44" w14:paraId="7DC8C278" w14:textId="77777777" w:rsidTr="00BE52AD">
        <w:tc>
          <w:tcPr>
            <w:tcW w:w="2070" w:type="dxa"/>
            <w:tcBorders>
              <w:top w:val="nil"/>
              <w:left w:val="nil"/>
              <w:bottom w:val="nil"/>
              <w:right w:val="nil"/>
            </w:tcBorders>
          </w:tcPr>
          <w:p w14:paraId="4D424A55" w14:textId="77777777" w:rsidR="00724C44" w:rsidRPr="00BE52AD" w:rsidRDefault="00724C44" w:rsidP="00BE52AD">
            <w:pPr>
              <w:spacing w:after="0" w:line="240" w:lineRule="auto"/>
              <w:jc w:val="both"/>
              <w:rPr>
                <w:sz w:val="22"/>
                <w:szCs w:val="22"/>
              </w:rPr>
            </w:pPr>
            <w:r w:rsidRPr="00BE52AD">
              <w:rPr>
                <w:sz w:val="22"/>
                <w:szCs w:val="22"/>
              </w:rPr>
              <w:lastRenderedPageBreak/>
              <w:t>1.1 Data and systems fragmentation</w:t>
            </w:r>
          </w:p>
        </w:tc>
        <w:tc>
          <w:tcPr>
            <w:tcW w:w="5580" w:type="dxa"/>
            <w:tcBorders>
              <w:top w:val="nil"/>
              <w:left w:val="nil"/>
              <w:bottom w:val="nil"/>
              <w:right w:val="nil"/>
            </w:tcBorders>
          </w:tcPr>
          <w:p w14:paraId="032A8037" w14:textId="77777777" w:rsidR="00724C44" w:rsidRPr="00BE52AD" w:rsidRDefault="00724C44" w:rsidP="00BE52AD">
            <w:pPr>
              <w:spacing w:after="0" w:line="240" w:lineRule="auto"/>
              <w:jc w:val="both"/>
              <w:rPr>
                <w:sz w:val="22"/>
                <w:szCs w:val="22"/>
              </w:rPr>
            </w:pPr>
            <w:r w:rsidRPr="00BE52AD">
              <w:rPr>
                <w:sz w:val="22"/>
                <w:szCs w:val="22"/>
              </w:rPr>
              <w:t>Limited standardized data, weak integration between payroll, HRIS, and accounting systems, data silos, poor data quality</w:t>
            </w:r>
          </w:p>
        </w:tc>
        <w:tc>
          <w:tcPr>
            <w:tcW w:w="900" w:type="dxa"/>
            <w:tcBorders>
              <w:top w:val="nil"/>
              <w:left w:val="nil"/>
              <w:bottom w:val="nil"/>
              <w:right w:val="nil"/>
            </w:tcBorders>
          </w:tcPr>
          <w:p w14:paraId="10856F96" w14:textId="77777777" w:rsidR="00724C44" w:rsidRPr="00BE52AD" w:rsidRDefault="00724C44" w:rsidP="00BE52AD">
            <w:pPr>
              <w:spacing w:after="0" w:line="240" w:lineRule="auto"/>
              <w:jc w:val="both"/>
              <w:rPr>
                <w:sz w:val="22"/>
                <w:szCs w:val="22"/>
              </w:rPr>
            </w:pPr>
            <w:r w:rsidRPr="00BE52AD">
              <w:rPr>
                <w:sz w:val="22"/>
                <w:szCs w:val="22"/>
              </w:rPr>
              <w:t>86</w:t>
            </w:r>
          </w:p>
        </w:tc>
        <w:tc>
          <w:tcPr>
            <w:tcW w:w="810" w:type="dxa"/>
            <w:tcBorders>
              <w:top w:val="nil"/>
              <w:left w:val="nil"/>
              <w:bottom w:val="nil"/>
              <w:right w:val="nil"/>
            </w:tcBorders>
          </w:tcPr>
          <w:p w14:paraId="6A168A69" w14:textId="77777777" w:rsidR="00724C44" w:rsidRPr="00BE52AD" w:rsidRDefault="00724C44" w:rsidP="00BE52AD">
            <w:pPr>
              <w:spacing w:after="0" w:line="240" w:lineRule="auto"/>
              <w:jc w:val="both"/>
              <w:rPr>
                <w:sz w:val="22"/>
                <w:szCs w:val="22"/>
              </w:rPr>
            </w:pPr>
            <w:r w:rsidRPr="00BE52AD">
              <w:rPr>
                <w:sz w:val="22"/>
                <w:szCs w:val="22"/>
              </w:rPr>
              <w:t>21.5</w:t>
            </w:r>
          </w:p>
        </w:tc>
      </w:tr>
      <w:tr w:rsidR="00724C44" w:rsidRPr="00724C44" w14:paraId="5F18909B" w14:textId="77777777" w:rsidTr="00BE52AD">
        <w:tc>
          <w:tcPr>
            <w:tcW w:w="2070" w:type="dxa"/>
            <w:tcBorders>
              <w:top w:val="nil"/>
              <w:left w:val="nil"/>
              <w:bottom w:val="nil"/>
              <w:right w:val="nil"/>
            </w:tcBorders>
          </w:tcPr>
          <w:p w14:paraId="19D97E1E" w14:textId="77777777" w:rsidR="00724C44" w:rsidRPr="00BE52AD" w:rsidRDefault="00724C44" w:rsidP="00BE52AD">
            <w:pPr>
              <w:spacing w:after="0" w:line="240" w:lineRule="auto"/>
              <w:jc w:val="both"/>
              <w:rPr>
                <w:sz w:val="22"/>
                <w:szCs w:val="22"/>
              </w:rPr>
            </w:pPr>
            <w:r w:rsidRPr="00BE52AD">
              <w:rPr>
                <w:sz w:val="22"/>
                <w:szCs w:val="22"/>
              </w:rPr>
              <w:t>1.2 Capability and expertise gaps</w:t>
            </w:r>
          </w:p>
        </w:tc>
        <w:tc>
          <w:tcPr>
            <w:tcW w:w="5580" w:type="dxa"/>
            <w:tcBorders>
              <w:top w:val="nil"/>
              <w:left w:val="nil"/>
              <w:bottom w:val="nil"/>
              <w:right w:val="nil"/>
            </w:tcBorders>
          </w:tcPr>
          <w:p w14:paraId="47C7F693" w14:textId="77777777" w:rsidR="00724C44" w:rsidRPr="00BE52AD" w:rsidRDefault="00724C44" w:rsidP="00BE52AD">
            <w:pPr>
              <w:spacing w:after="0" w:line="240" w:lineRule="auto"/>
              <w:jc w:val="both"/>
              <w:rPr>
                <w:sz w:val="22"/>
                <w:szCs w:val="22"/>
              </w:rPr>
            </w:pPr>
            <w:r w:rsidRPr="00BE52AD">
              <w:rPr>
                <w:sz w:val="22"/>
                <w:szCs w:val="22"/>
              </w:rPr>
              <w:t>Insufficient internal expertise to interpret AI analytics, lack of trained IT personnel and infrastructure, skill gaps in the workforce</w:t>
            </w:r>
          </w:p>
        </w:tc>
        <w:tc>
          <w:tcPr>
            <w:tcW w:w="900" w:type="dxa"/>
            <w:tcBorders>
              <w:top w:val="nil"/>
              <w:left w:val="nil"/>
              <w:bottom w:val="nil"/>
              <w:right w:val="nil"/>
            </w:tcBorders>
          </w:tcPr>
          <w:p w14:paraId="5D4B4FA6" w14:textId="77777777" w:rsidR="00724C44" w:rsidRPr="00BE52AD" w:rsidRDefault="00724C44" w:rsidP="00BE52AD">
            <w:pPr>
              <w:spacing w:after="0" w:line="240" w:lineRule="auto"/>
              <w:jc w:val="both"/>
              <w:rPr>
                <w:sz w:val="22"/>
                <w:szCs w:val="22"/>
              </w:rPr>
            </w:pPr>
            <w:r w:rsidRPr="00BE52AD">
              <w:rPr>
                <w:sz w:val="22"/>
                <w:szCs w:val="22"/>
              </w:rPr>
              <w:t>70</w:t>
            </w:r>
          </w:p>
        </w:tc>
        <w:tc>
          <w:tcPr>
            <w:tcW w:w="810" w:type="dxa"/>
            <w:tcBorders>
              <w:top w:val="nil"/>
              <w:left w:val="nil"/>
              <w:bottom w:val="nil"/>
              <w:right w:val="nil"/>
            </w:tcBorders>
          </w:tcPr>
          <w:p w14:paraId="2D3B82E0" w14:textId="77777777" w:rsidR="00724C44" w:rsidRPr="00BE52AD" w:rsidRDefault="00724C44" w:rsidP="00BE52AD">
            <w:pPr>
              <w:spacing w:after="0" w:line="240" w:lineRule="auto"/>
              <w:jc w:val="both"/>
              <w:rPr>
                <w:sz w:val="22"/>
                <w:szCs w:val="22"/>
              </w:rPr>
            </w:pPr>
            <w:r w:rsidRPr="00BE52AD">
              <w:rPr>
                <w:sz w:val="22"/>
                <w:szCs w:val="22"/>
              </w:rPr>
              <w:t>17.5</w:t>
            </w:r>
          </w:p>
        </w:tc>
      </w:tr>
      <w:tr w:rsidR="00724C44" w:rsidRPr="00724C44" w14:paraId="7D096DA6" w14:textId="77777777" w:rsidTr="00BE52AD">
        <w:tc>
          <w:tcPr>
            <w:tcW w:w="2070" w:type="dxa"/>
            <w:tcBorders>
              <w:top w:val="nil"/>
              <w:left w:val="nil"/>
              <w:bottom w:val="nil"/>
              <w:right w:val="nil"/>
            </w:tcBorders>
          </w:tcPr>
          <w:p w14:paraId="4C708437" w14:textId="77777777" w:rsidR="00724C44" w:rsidRPr="00BE52AD" w:rsidRDefault="00724C44" w:rsidP="00BE52AD">
            <w:pPr>
              <w:spacing w:after="0" w:line="240" w:lineRule="auto"/>
              <w:jc w:val="both"/>
              <w:rPr>
                <w:sz w:val="22"/>
                <w:szCs w:val="22"/>
              </w:rPr>
            </w:pPr>
            <w:r w:rsidRPr="00BE52AD">
              <w:rPr>
                <w:sz w:val="22"/>
                <w:szCs w:val="22"/>
              </w:rPr>
              <w:t>1.3 Privacy, ethics, and trust concerns</w:t>
            </w:r>
          </w:p>
        </w:tc>
        <w:tc>
          <w:tcPr>
            <w:tcW w:w="5580" w:type="dxa"/>
            <w:tcBorders>
              <w:top w:val="nil"/>
              <w:left w:val="nil"/>
              <w:bottom w:val="nil"/>
              <w:right w:val="nil"/>
            </w:tcBorders>
          </w:tcPr>
          <w:p w14:paraId="138D2021" w14:textId="77777777" w:rsidR="00724C44" w:rsidRPr="00BE52AD" w:rsidRDefault="00724C44" w:rsidP="00BE52AD">
            <w:pPr>
              <w:spacing w:after="0" w:line="240" w:lineRule="auto"/>
              <w:jc w:val="both"/>
              <w:rPr>
                <w:sz w:val="22"/>
                <w:szCs w:val="22"/>
              </w:rPr>
            </w:pPr>
            <w:r w:rsidRPr="00BE52AD">
              <w:rPr>
                <w:sz w:val="22"/>
                <w:szCs w:val="22"/>
              </w:rPr>
              <w:t>Data privacy and surveillance concerns, ethical use of AI, employee resistance to algorithmic evaluation, fear of bias perpetuation</w:t>
            </w:r>
          </w:p>
        </w:tc>
        <w:tc>
          <w:tcPr>
            <w:tcW w:w="900" w:type="dxa"/>
            <w:tcBorders>
              <w:top w:val="nil"/>
              <w:left w:val="nil"/>
              <w:bottom w:val="nil"/>
              <w:right w:val="nil"/>
            </w:tcBorders>
          </w:tcPr>
          <w:p w14:paraId="281645EA" w14:textId="77777777" w:rsidR="00724C44" w:rsidRPr="00BE52AD" w:rsidRDefault="00724C44" w:rsidP="00BE52AD">
            <w:pPr>
              <w:spacing w:after="0" w:line="240" w:lineRule="auto"/>
              <w:jc w:val="both"/>
              <w:rPr>
                <w:sz w:val="22"/>
                <w:szCs w:val="22"/>
              </w:rPr>
            </w:pPr>
            <w:r w:rsidRPr="00BE52AD">
              <w:rPr>
                <w:sz w:val="22"/>
                <w:szCs w:val="22"/>
              </w:rPr>
              <w:t>96</w:t>
            </w:r>
          </w:p>
        </w:tc>
        <w:tc>
          <w:tcPr>
            <w:tcW w:w="810" w:type="dxa"/>
            <w:tcBorders>
              <w:top w:val="nil"/>
              <w:left w:val="nil"/>
              <w:bottom w:val="nil"/>
              <w:right w:val="nil"/>
            </w:tcBorders>
          </w:tcPr>
          <w:p w14:paraId="7984F720" w14:textId="77777777" w:rsidR="00724C44" w:rsidRPr="00BE52AD" w:rsidRDefault="00724C44" w:rsidP="00BE52AD">
            <w:pPr>
              <w:spacing w:after="0" w:line="240" w:lineRule="auto"/>
              <w:jc w:val="both"/>
              <w:rPr>
                <w:sz w:val="22"/>
                <w:szCs w:val="22"/>
              </w:rPr>
            </w:pPr>
            <w:r w:rsidRPr="00BE52AD">
              <w:rPr>
                <w:sz w:val="22"/>
                <w:szCs w:val="22"/>
              </w:rPr>
              <w:t>24</w:t>
            </w:r>
          </w:p>
        </w:tc>
      </w:tr>
      <w:tr w:rsidR="00724C44" w:rsidRPr="00724C44" w14:paraId="0845382C" w14:textId="77777777" w:rsidTr="00BE52AD">
        <w:tc>
          <w:tcPr>
            <w:tcW w:w="2070" w:type="dxa"/>
            <w:tcBorders>
              <w:top w:val="nil"/>
              <w:left w:val="nil"/>
              <w:bottom w:val="nil"/>
              <w:right w:val="nil"/>
            </w:tcBorders>
          </w:tcPr>
          <w:p w14:paraId="6DC07037" w14:textId="77777777" w:rsidR="00724C44" w:rsidRPr="00BE52AD" w:rsidRDefault="00724C44" w:rsidP="00BE52AD">
            <w:pPr>
              <w:spacing w:after="0" w:line="240" w:lineRule="auto"/>
              <w:jc w:val="both"/>
              <w:rPr>
                <w:sz w:val="22"/>
                <w:szCs w:val="22"/>
              </w:rPr>
            </w:pPr>
            <w:r w:rsidRPr="00BE52AD">
              <w:rPr>
                <w:sz w:val="22"/>
                <w:szCs w:val="22"/>
              </w:rPr>
              <w:t>1.4 Regulatory and standards vacuum</w:t>
            </w:r>
          </w:p>
        </w:tc>
        <w:tc>
          <w:tcPr>
            <w:tcW w:w="5580" w:type="dxa"/>
            <w:tcBorders>
              <w:top w:val="nil"/>
              <w:left w:val="nil"/>
              <w:bottom w:val="nil"/>
              <w:right w:val="nil"/>
            </w:tcBorders>
          </w:tcPr>
          <w:p w14:paraId="0A9DD203" w14:textId="77777777" w:rsidR="00724C44" w:rsidRPr="00BE52AD" w:rsidRDefault="00724C44" w:rsidP="00BE52AD">
            <w:pPr>
              <w:spacing w:after="0" w:line="240" w:lineRule="auto"/>
              <w:jc w:val="both"/>
              <w:rPr>
                <w:sz w:val="22"/>
                <w:szCs w:val="22"/>
              </w:rPr>
            </w:pPr>
            <w:r w:rsidRPr="00BE52AD">
              <w:rPr>
                <w:sz w:val="22"/>
                <w:szCs w:val="22"/>
              </w:rPr>
              <w:t>Lack of clear AI-disclosure regulatory guidance, principles-based confusion, absence of standardized reporting frameworks</w:t>
            </w:r>
          </w:p>
        </w:tc>
        <w:tc>
          <w:tcPr>
            <w:tcW w:w="900" w:type="dxa"/>
            <w:tcBorders>
              <w:top w:val="nil"/>
              <w:left w:val="nil"/>
              <w:bottom w:val="nil"/>
              <w:right w:val="nil"/>
            </w:tcBorders>
          </w:tcPr>
          <w:p w14:paraId="638E8372" w14:textId="77777777" w:rsidR="00724C44" w:rsidRPr="00BE52AD" w:rsidRDefault="00724C44" w:rsidP="00BE52AD">
            <w:pPr>
              <w:spacing w:after="0" w:line="240" w:lineRule="auto"/>
              <w:jc w:val="both"/>
              <w:rPr>
                <w:sz w:val="22"/>
                <w:szCs w:val="22"/>
              </w:rPr>
            </w:pPr>
            <w:r w:rsidRPr="00BE52AD">
              <w:rPr>
                <w:sz w:val="22"/>
                <w:szCs w:val="22"/>
              </w:rPr>
              <w:t>78</w:t>
            </w:r>
          </w:p>
        </w:tc>
        <w:tc>
          <w:tcPr>
            <w:tcW w:w="810" w:type="dxa"/>
            <w:tcBorders>
              <w:top w:val="nil"/>
              <w:left w:val="nil"/>
              <w:bottom w:val="nil"/>
              <w:right w:val="nil"/>
            </w:tcBorders>
          </w:tcPr>
          <w:p w14:paraId="6D559BC1" w14:textId="77777777" w:rsidR="00724C44" w:rsidRPr="00BE52AD" w:rsidRDefault="00724C44" w:rsidP="00BE52AD">
            <w:pPr>
              <w:spacing w:after="0" w:line="240" w:lineRule="auto"/>
              <w:jc w:val="both"/>
              <w:rPr>
                <w:sz w:val="22"/>
                <w:szCs w:val="22"/>
              </w:rPr>
            </w:pPr>
            <w:r w:rsidRPr="00BE52AD">
              <w:rPr>
                <w:sz w:val="22"/>
                <w:szCs w:val="22"/>
              </w:rPr>
              <w:t>19.5</w:t>
            </w:r>
          </w:p>
        </w:tc>
      </w:tr>
      <w:tr w:rsidR="00724C44" w:rsidRPr="00724C44" w14:paraId="64EB384A" w14:textId="77777777" w:rsidTr="00BE52AD">
        <w:tc>
          <w:tcPr>
            <w:tcW w:w="2070" w:type="dxa"/>
            <w:tcBorders>
              <w:top w:val="nil"/>
              <w:left w:val="nil"/>
              <w:bottom w:val="single" w:sz="4" w:space="0" w:color="000000"/>
              <w:right w:val="nil"/>
            </w:tcBorders>
          </w:tcPr>
          <w:p w14:paraId="6288A99A" w14:textId="77777777" w:rsidR="00724C44" w:rsidRPr="00BE52AD" w:rsidRDefault="00724C44" w:rsidP="00BE52AD">
            <w:pPr>
              <w:spacing w:after="0" w:line="240" w:lineRule="auto"/>
              <w:jc w:val="both"/>
              <w:rPr>
                <w:sz w:val="22"/>
                <w:szCs w:val="22"/>
              </w:rPr>
            </w:pPr>
            <w:r w:rsidRPr="00BE52AD">
              <w:rPr>
                <w:sz w:val="22"/>
                <w:szCs w:val="22"/>
              </w:rPr>
              <w:t>1.5 Strategic and cost barriers</w:t>
            </w:r>
          </w:p>
        </w:tc>
        <w:tc>
          <w:tcPr>
            <w:tcW w:w="5580" w:type="dxa"/>
            <w:tcBorders>
              <w:top w:val="nil"/>
              <w:left w:val="nil"/>
              <w:bottom w:val="single" w:sz="4" w:space="0" w:color="000000"/>
              <w:right w:val="nil"/>
            </w:tcBorders>
          </w:tcPr>
          <w:p w14:paraId="2FDF6CF0" w14:textId="77777777" w:rsidR="00724C44" w:rsidRPr="00BE52AD" w:rsidRDefault="00724C44" w:rsidP="00BE52AD">
            <w:pPr>
              <w:spacing w:after="0" w:line="240" w:lineRule="auto"/>
              <w:jc w:val="both"/>
              <w:rPr>
                <w:sz w:val="22"/>
                <w:szCs w:val="22"/>
              </w:rPr>
            </w:pPr>
            <w:r w:rsidRPr="00BE52AD">
              <w:rPr>
                <w:sz w:val="22"/>
                <w:szCs w:val="22"/>
              </w:rPr>
              <w:t>Difficulty aligning AI with strategy, high implementation costs vs short-term benefits, organizational resistance, limited regulatory infrastructure in emerging economies</w:t>
            </w:r>
          </w:p>
        </w:tc>
        <w:tc>
          <w:tcPr>
            <w:tcW w:w="900" w:type="dxa"/>
            <w:tcBorders>
              <w:top w:val="nil"/>
              <w:left w:val="nil"/>
              <w:bottom w:val="single" w:sz="4" w:space="0" w:color="000000"/>
              <w:right w:val="nil"/>
            </w:tcBorders>
          </w:tcPr>
          <w:p w14:paraId="2962ED8F" w14:textId="77777777" w:rsidR="00724C44" w:rsidRPr="00BE52AD" w:rsidRDefault="00724C44" w:rsidP="00BE52AD">
            <w:pPr>
              <w:spacing w:after="0" w:line="240" w:lineRule="auto"/>
              <w:jc w:val="both"/>
              <w:rPr>
                <w:sz w:val="22"/>
                <w:szCs w:val="22"/>
              </w:rPr>
            </w:pPr>
            <w:r w:rsidRPr="00BE52AD">
              <w:rPr>
                <w:sz w:val="22"/>
                <w:szCs w:val="22"/>
              </w:rPr>
              <w:t>70</w:t>
            </w:r>
          </w:p>
        </w:tc>
        <w:tc>
          <w:tcPr>
            <w:tcW w:w="810" w:type="dxa"/>
            <w:tcBorders>
              <w:top w:val="nil"/>
              <w:left w:val="nil"/>
              <w:bottom w:val="single" w:sz="4" w:space="0" w:color="000000"/>
              <w:right w:val="nil"/>
            </w:tcBorders>
          </w:tcPr>
          <w:p w14:paraId="53404D88" w14:textId="77777777" w:rsidR="00724C44" w:rsidRPr="00BE52AD" w:rsidRDefault="00724C44" w:rsidP="00BE52AD">
            <w:pPr>
              <w:spacing w:after="0" w:line="240" w:lineRule="auto"/>
              <w:jc w:val="both"/>
              <w:rPr>
                <w:sz w:val="22"/>
                <w:szCs w:val="22"/>
              </w:rPr>
            </w:pPr>
            <w:r w:rsidRPr="00BE52AD">
              <w:rPr>
                <w:sz w:val="22"/>
                <w:szCs w:val="22"/>
              </w:rPr>
              <w:t>17.5</w:t>
            </w:r>
          </w:p>
        </w:tc>
      </w:tr>
    </w:tbl>
    <w:p w14:paraId="2EDB5F94" w14:textId="77777777" w:rsidR="00724C44" w:rsidRPr="00BE52AD" w:rsidRDefault="00724C44" w:rsidP="00724C44">
      <w:pPr>
        <w:spacing w:line="240" w:lineRule="auto"/>
        <w:jc w:val="both"/>
        <w:rPr>
          <w:sz w:val="22"/>
          <w:szCs w:val="22"/>
        </w:rPr>
      </w:pPr>
      <w:r w:rsidRPr="00BE52AD">
        <w:rPr>
          <w:i/>
          <w:sz w:val="22"/>
          <w:szCs w:val="22"/>
        </w:rPr>
        <w:t xml:space="preserve">Note. </w:t>
      </w:r>
      <w:r w:rsidRPr="00BE52AD">
        <w:rPr>
          <w:sz w:val="22"/>
          <w:szCs w:val="22"/>
        </w:rPr>
        <w:t>Approximate counts reflect aggregation of multiple codes within each theme; total exceeds 400 because overlapping respondent groups endorsed some codes across themes.</w:t>
      </w:r>
    </w:p>
    <w:p w14:paraId="30EE6B70" w14:textId="77777777" w:rsidR="00724C44" w:rsidRPr="00724C44" w:rsidRDefault="00724C44" w:rsidP="00724C44">
      <w:pPr>
        <w:spacing w:line="240" w:lineRule="auto"/>
        <w:jc w:val="both"/>
      </w:pPr>
      <w:r w:rsidRPr="00724C44">
        <w:t>The most prevalent theme — privacy, ethics, and trust concerns (24.0</w:t>
      </w:r>
      <w:proofErr w:type="gramStart"/>
      <w:r w:rsidRPr="00724C44">
        <w:t>%) —</w:t>
      </w:r>
      <w:proofErr w:type="gramEnd"/>
      <w:r w:rsidRPr="00724C44">
        <w:t xml:space="preserve"> reflects respondents’ apprehension about how AI-generated workforce data should be handled, disclosed, and integrated into compensation decision-making. Representative concerns included anxiety about data privacy and surveillance, ethical use of AI, employees feeling uneasy about being evaluated solely through a technical lens, and the risk that AI algorithms could unintentionally replicate biases from historical data. This theme aligns with the cross-cultural literature on algorithmic transparency. It is particularly salient in the manufacturing context, where workforce composition includes large numbers of production employees whose pay decisions are subject to both labor law scrutiny and union representation expectations.</w:t>
      </w:r>
    </w:p>
    <w:p w14:paraId="459C63C8" w14:textId="6D7AC305" w:rsidR="00724C44" w:rsidRPr="00724C44" w:rsidRDefault="00724C44" w:rsidP="00724C44">
      <w:pPr>
        <w:spacing w:line="240" w:lineRule="auto"/>
        <w:jc w:val="both"/>
      </w:pPr>
      <w:r w:rsidRPr="00724C44">
        <w:t>The second-most prevalent theme — data and systems fragmentation (21.5</w:t>
      </w:r>
      <w:proofErr w:type="gramStart"/>
      <w:r w:rsidRPr="00724C44">
        <w:t>%) —</w:t>
      </w:r>
      <w:proofErr w:type="gramEnd"/>
      <w:r w:rsidRPr="00724C44">
        <w:t xml:space="preserve"> directly mirrors the quantitative finding of weak data integration (M = 3.64) and weak process integration (M = 4.27) reported in Sections 4.7.1 and 4.7.2. Respondents repeatedly identified weak integration </w:t>
      </w:r>
      <w:r w:rsidR="00C313FF">
        <w:t>among payroll, HRIS, and accounting systems, as well as</w:t>
      </w:r>
      <w:r w:rsidRPr="00724C44">
        <w:t xml:space="preserve"> limited availability of standardized, high-quality employee data across departments. This convergence between qualitative and quantitative findings demonstrates that the data-to-disclosure gap is not merely a measurement </w:t>
      </w:r>
      <w:proofErr w:type="gramStart"/>
      <w:r w:rsidRPr="00724C44">
        <w:t>artifact</w:t>
      </w:r>
      <w:proofErr w:type="gramEnd"/>
      <w:r w:rsidRPr="00724C44">
        <w:t xml:space="preserve"> but a substantive operational reality experienced by manufacturing organizations across the EEC.</w:t>
      </w:r>
    </w:p>
    <w:p w14:paraId="1BACBD0F" w14:textId="77777777" w:rsidR="00724C44" w:rsidRPr="00724C44" w:rsidRDefault="00724C44" w:rsidP="00724C44">
      <w:pPr>
        <w:spacing w:line="240" w:lineRule="auto"/>
        <w:jc w:val="both"/>
      </w:pPr>
      <w:r w:rsidRPr="00724C44">
        <w:t>The third theme — regulatory and standards vacuum (19.5</w:t>
      </w:r>
      <w:proofErr w:type="gramStart"/>
      <w:r w:rsidRPr="00724C44">
        <w:t>%) —</w:t>
      </w:r>
      <w:proofErr w:type="gramEnd"/>
      <w:r w:rsidRPr="00724C44">
        <w:t xml:space="preserve"> captures the absence of authoritative external guidance for AI-enabled human capital disclosure. Respondents identified the lack of clear regulatory direction on AI-based human capital disclosure, the creation of principles-based disclosure rules that cause compliance confusion, the absence of standardized reporting frameworks and defined metrics, and limited regulatory infrastructure in emerging economies. This </w:t>
      </w:r>
      <w:proofErr w:type="gramStart"/>
      <w:r w:rsidRPr="00724C44">
        <w:t>theme is consistent with</w:t>
      </w:r>
      <w:proofErr w:type="gramEnd"/>
      <w:r w:rsidRPr="00724C44">
        <w:t xml:space="preserve"> the low enabler scores observed for clear regulatory guidance (M = 2.73) and industry association support (M = 2.17) reported in Section 4.10.2.</w:t>
      </w:r>
    </w:p>
    <w:p w14:paraId="4CDDB447" w14:textId="4C2985E1" w:rsidR="00724C44" w:rsidRPr="00724C44" w:rsidRDefault="00724C44" w:rsidP="00724C44">
      <w:pPr>
        <w:spacing w:line="240" w:lineRule="auto"/>
        <w:jc w:val="both"/>
      </w:pPr>
      <w:r w:rsidRPr="00724C44">
        <w:t>The remaining two themes — capability and expertise gaps (17.5%) and strategic and cost barriers (17.5%) — describe internal organizational constraints that complement the external constraints identified in the regulatory theme. Together, the five themes paint a coherent picture of AI–HCAD integration as constrained simultaneously by data infrastructure, organizational capability, ethical and trust considerations, the regulatory environment, and resource availability</w:t>
      </w:r>
      <w:r w:rsidR="00C313FF">
        <w:t>—</w:t>
      </w:r>
      <w:r w:rsidRPr="00724C44">
        <w:t xml:space="preserve">a multi-layered set of conditions consistent with the conditional theoretical model articulated in </w:t>
      </w:r>
      <w:r w:rsidR="00E133F2">
        <w:t>Sections</w:t>
      </w:r>
      <w:r w:rsidRPr="00724C44">
        <w:t xml:space="preserve"> 1 and 2.</w:t>
      </w:r>
    </w:p>
    <w:p w14:paraId="7059DABC" w14:textId="77777777" w:rsidR="00724C44" w:rsidRPr="00724C44" w:rsidRDefault="00724C44" w:rsidP="00724C44">
      <w:pPr>
        <w:spacing w:line="240" w:lineRule="auto"/>
        <w:jc w:val="both"/>
      </w:pPr>
      <w:r w:rsidRPr="00724C44">
        <w:rPr>
          <w:b/>
        </w:rPr>
        <w:lastRenderedPageBreak/>
        <w:t>4.11.3 Question 2 — Improvements That Would Enhance Disclosure Quality</w:t>
      </w:r>
    </w:p>
    <w:p w14:paraId="4229616C" w14:textId="77777777" w:rsidR="00724C44" w:rsidRPr="00724C44" w:rsidRDefault="00724C44" w:rsidP="00724C44">
      <w:pPr>
        <w:spacing w:line="240" w:lineRule="auto"/>
        <w:jc w:val="both"/>
      </w:pPr>
      <w:r w:rsidRPr="00724C44">
        <w:t>The second open-ended question asked respondents to identify the improvements that would most help their organization enhance the quality of human capital disclosure. The 23 codes generated from the 400 responses clustered into four higher-order themes, summarized in Table 4.35.</w:t>
      </w:r>
    </w:p>
    <w:p w14:paraId="488B4147" w14:textId="77777777" w:rsidR="00724C44" w:rsidRPr="00724C44" w:rsidRDefault="00724C44" w:rsidP="00724C44">
      <w:pPr>
        <w:spacing w:line="240" w:lineRule="auto"/>
        <w:jc w:val="both"/>
      </w:pPr>
      <w:r w:rsidRPr="00724C44">
        <w:rPr>
          <w:b/>
        </w:rPr>
        <w:t>Table 4.35</w:t>
      </w:r>
    </w:p>
    <w:p w14:paraId="215420DA" w14:textId="77777777" w:rsidR="00724C44" w:rsidRPr="00724C44" w:rsidRDefault="00724C44" w:rsidP="00724C44">
      <w:pPr>
        <w:spacing w:line="240" w:lineRule="auto"/>
        <w:jc w:val="both"/>
      </w:pPr>
      <w:r w:rsidRPr="00724C44">
        <w:rPr>
          <w:i/>
        </w:rPr>
        <w:t>Higher-Order Themes – Improvements to Enhance Disclosure Quality (n = 400)</w:t>
      </w:r>
    </w:p>
    <w:tbl>
      <w:tblPr>
        <w:tblW w:w="9270" w:type="dxa"/>
        <w:tblLayout w:type="fixed"/>
        <w:tblLook w:val="04A0" w:firstRow="1" w:lastRow="0" w:firstColumn="1" w:lastColumn="0" w:noHBand="0" w:noVBand="1"/>
      </w:tblPr>
      <w:tblGrid>
        <w:gridCol w:w="2430"/>
        <w:gridCol w:w="4950"/>
        <w:gridCol w:w="1152"/>
        <w:gridCol w:w="738"/>
      </w:tblGrid>
      <w:tr w:rsidR="00724C44" w:rsidRPr="00724C44" w14:paraId="310B4638" w14:textId="77777777" w:rsidTr="00BE52AD">
        <w:tc>
          <w:tcPr>
            <w:tcW w:w="2430" w:type="dxa"/>
            <w:tcBorders>
              <w:top w:val="single" w:sz="4" w:space="0" w:color="000000"/>
              <w:left w:val="nil"/>
              <w:bottom w:val="single" w:sz="4" w:space="0" w:color="000000"/>
              <w:right w:val="nil"/>
            </w:tcBorders>
          </w:tcPr>
          <w:p w14:paraId="337D1FCA" w14:textId="77777777" w:rsidR="00724C44" w:rsidRPr="00BE52AD" w:rsidRDefault="00724C44" w:rsidP="00BE52AD">
            <w:pPr>
              <w:spacing w:after="0" w:line="240" w:lineRule="auto"/>
              <w:jc w:val="both"/>
              <w:rPr>
                <w:sz w:val="22"/>
                <w:szCs w:val="22"/>
              </w:rPr>
            </w:pPr>
            <w:r w:rsidRPr="00BE52AD">
              <w:rPr>
                <w:b/>
                <w:sz w:val="22"/>
                <w:szCs w:val="22"/>
              </w:rPr>
              <w:t>Theme</w:t>
            </w:r>
          </w:p>
        </w:tc>
        <w:tc>
          <w:tcPr>
            <w:tcW w:w="4950" w:type="dxa"/>
            <w:tcBorders>
              <w:top w:val="single" w:sz="4" w:space="0" w:color="000000"/>
              <w:left w:val="nil"/>
              <w:bottom w:val="single" w:sz="4" w:space="0" w:color="000000"/>
              <w:right w:val="nil"/>
            </w:tcBorders>
          </w:tcPr>
          <w:p w14:paraId="623964FE" w14:textId="77777777" w:rsidR="00724C44" w:rsidRPr="00BE52AD" w:rsidRDefault="00724C44" w:rsidP="00BE52AD">
            <w:pPr>
              <w:spacing w:after="0" w:line="240" w:lineRule="auto"/>
              <w:jc w:val="both"/>
              <w:rPr>
                <w:sz w:val="22"/>
                <w:szCs w:val="22"/>
              </w:rPr>
            </w:pPr>
            <w:r w:rsidRPr="00BE52AD">
              <w:rPr>
                <w:b/>
                <w:sz w:val="22"/>
                <w:szCs w:val="22"/>
              </w:rPr>
              <w:t>Description</w:t>
            </w:r>
          </w:p>
        </w:tc>
        <w:tc>
          <w:tcPr>
            <w:tcW w:w="1152" w:type="dxa"/>
            <w:tcBorders>
              <w:top w:val="single" w:sz="4" w:space="0" w:color="000000"/>
              <w:left w:val="nil"/>
              <w:bottom w:val="single" w:sz="4" w:space="0" w:color="000000"/>
              <w:right w:val="nil"/>
            </w:tcBorders>
          </w:tcPr>
          <w:p w14:paraId="4EE45198" w14:textId="77777777" w:rsidR="00724C44" w:rsidRPr="00BE52AD" w:rsidRDefault="00724C44" w:rsidP="00BE52AD">
            <w:pPr>
              <w:spacing w:after="0" w:line="240" w:lineRule="auto"/>
              <w:jc w:val="both"/>
              <w:rPr>
                <w:sz w:val="22"/>
                <w:szCs w:val="22"/>
              </w:rPr>
            </w:pPr>
            <w:r w:rsidRPr="00BE52AD">
              <w:rPr>
                <w:b/>
                <w:sz w:val="22"/>
                <w:szCs w:val="22"/>
              </w:rPr>
              <w:t>Approx. n</w:t>
            </w:r>
          </w:p>
        </w:tc>
        <w:tc>
          <w:tcPr>
            <w:tcW w:w="738" w:type="dxa"/>
            <w:tcBorders>
              <w:top w:val="single" w:sz="4" w:space="0" w:color="000000"/>
              <w:left w:val="nil"/>
              <w:bottom w:val="single" w:sz="4" w:space="0" w:color="000000"/>
              <w:right w:val="nil"/>
            </w:tcBorders>
          </w:tcPr>
          <w:p w14:paraId="281B0E96" w14:textId="77777777" w:rsidR="00724C44" w:rsidRPr="00BE52AD" w:rsidRDefault="00724C44" w:rsidP="00BE52AD">
            <w:pPr>
              <w:spacing w:after="0" w:line="240" w:lineRule="auto"/>
              <w:jc w:val="both"/>
              <w:rPr>
                <w:sz w:val="22"/>
                <w:szCs w:val="22"/>
              </w:rPr>
            </w:pPr>
            <w:r w:rsidRPr="00BE52AD">
              <w:rPr>
                <w:b/>
                <w:sz w:val="22"/>
                <w:szCs w:val="22"/>
              </w:rPr>
              <w:t>%</w:t>
            </w:r>
          </w:p>
        </w:tc>
      </w:tr>
      <w:tr w:rsidR="00724C44" w:rsidRPr="00724C44" w14:paraId="313FD8CB" w14:textId="77777777" w:rsidTr="00BE52AD">
        <w:tc>
          <w:tcPr>
            <w:tcW w:w="2430" w:type="dxa"/>
            <w:tcBorders>
              <w:top w:val="nil"/>
              <w:left w:val="nil"/>
              <w:bottom w:val="nil"/>
              <w:right w:val="nil"/>
            </w:tcBorders>
          </w:tcPr>
          <w:p w14:paraId="18918EE3" w14:textId="77777777" w:rsidR="00724C44" w:rsidRPr="00BE52AD" w:rsidRDefault="00724C44" w:rsidP="00BE52AD">
            <w:pPr>
              <w:spacing w:after="0" w:line="240" w:lineRule="auto"/>
              <w:jc w:val="both"/>
              <w:rPr>
                <w:sz w:val="22"/>
                <w:szCs w:val="22"/>
              </w:rPr>
            </w:pPr>
            <w:r w:rsidRPr="00BE52AD">
              <w:rPr>
                <w:sz w:val="22"/>
                <w:szCs w:val="22"/>
              </w:rPr>
              <w:t>2.1 Standardization and frameworks</w:t>
            </w:r>
          </w:p>
        </w:tc>
        <w:tc>
          <w:tcPr>
            <w:tcW w:w="4950" w:type="dxa"/>
            <w:tcBorders>
              <w:top w:val="nil"/>
              <w:left w:val="nil"/>
              <w:bottom w:val="nil"/>
              <w:right w:val="nil"/>
            </w:tcBorders>
          </w:tcPr>
          <w:p w14:paraId="23236B51" w14:textId="77777777" w:rsidR="00724C44" w:rsidRPr="00BE52AD" w:rsidRDefault="00724C44" w:rsidP="00BE52AD">
            <w:pPr>
              <w:spacing w:after="0" w:line="240" w:lineRule="auto"/>
              <w:jc w:val="both"/>
              <w:rPr>
                <w:sz w:val="22"/>
                <w:szCs w:val="22"/>
              </w:rPr>
            </w:pPr>
            <w:r w:rsidRPr="00BE52AD">
              <w:rPr>
                <w:sz w:val="22"/>
                <w:szCs w:val="22"/>
              </w:rPr>
              <w:t>Adoption of ISO 30414 and similar frameworks, industry-specific benchmarks, consistent KPIs, alignment with international reporting standards</w:t>
            </w:r>
          </w:p>
        </w:tc>
        <w:tc>
          <w:tcPr>
            <w:tcW w:w="1152" w:type="dxa"/>
            <w:tcBorders>
              <w:top w:val="nil"/>
              <w:left w:val="nil"/>
              <w:bottom w:val="nil"/>
              <w:right w:val="nil"/>
            </w:tcBorders>
          </w:tcPr>
          <w:p w14:paraId="20D8B587" w14:textId="77777777" w:rsidR="00724C44" w:rsidRPr="00BE52AD" w:rsidRDefault="00724C44" w:rsidP="00BE52AD">
            <w:pPr>
              <w:spacing w:after="0" w:line="240" w:lineRule="auto"/>
              <w:jc w:val="both"/>
              <w:rPr>
                <w:sz w:val="22"/>
                <w:szCs w:val="22"/>
              </w:rPr>
            </w:pPr>
            <w:r w:rsidRPr="00BE52AD">
              <w:rPr>
                <w:sz w:val="22"/>
                <w:szCs w:val="22"/>
              </w:rPr>
              <w:t>96</w:t>
            </w:r>
          </w:p>
        </w:tc>
        <w:tc>
          <w:tcPr>
            <w:tcW w:w="738" w:type="dxa"/>
            <w:tcBorders>
              <w:top w:val="nil"/>
              <w:left w:val="nil"/>
              <w:bottom w:val="nil"/>
              <w:right w:val="nil"/>
            </w:tcBorders>
          </w:tcPr>
          <w:p w14:paraId="34B8D13D" w14:textId="77777777" w:rsidR="00724C44" w:rsidRPr="00BE52AD" w:rsidRDefault="00724C44" w:rsidP="00BE52AD">
            <w:pPr>
              <w:spacing w:after="0" w:line="240" w:lineRule="auto"/>
              <w:jc w:val="both"/>
              <w:rPr>
                <w:sz w:val="22"/>
                <w:szCs w:val="22"/>
              </w:rPr>
            </w:pPr>
            <w:r w:rsidRPr="00BE52AD">
              <w:rPr>
                <w:sz w:val="22"/>
                <w:szCs w:val="22"/>
              </w:rPr>
              <w:t>24</w:t>
            </w:r>
          </w:p>
        </w:tc>
      </w:tr>
      <w:tr w:rsidR="00724C44" w:rsidRPr="00724C44" w14:paraId="4397D585" w14:textId="77777777" w:rsidTr="00BE52AD">
        <w:tc>
          <w:tcPr>
            <w:tcW w:w="2430" w:type="dxa"/>
            <w:tcBorders>
              <w:top w:val="nil"/>
              <w:left w:val="nil"/>
              <w:bottom w:val="nil"/>
              <w:right w:val="nil"/>
            </w:tcBorders>
          </w:tcPr>
          <w:p w14:paraId="796CB018" w14:textId="77777777" w:rsidR="00724C44" w:rsidRPr="00BE52AD" w:rsidRDefault="00724C44" w:rsidP="00BE52AD">
            <w:pPr>
              <w:spacing w:after="0" w:line="240" w:lineRule="auto"/>
              <w:jc w:val="both"/>
              <w:rPr>
                <w:sz w:val="22"/>
                <w:szCs w:val="22"/>
              </w:rPr>
            </w:pPr>
            <w:r w:rsidRPr="00BE52AD">
              <w:rPr>
                <w:sz w:val="22"/>
                <w:szCs w:val="22"/>
              </w:rPr>
              <w:t>2.2 Investment in people and systems</w:t>
            </w:r>
          </w:p>
        </w:tc>
        <w:tc>
          <w:tcPr>
            <w:tcW w:w="4950" w:type="dxa"/>
            <w:tcBorders>
              <w:top w:val="nil"/>
              <w:left w:val="nil"/>
              <w:bottom w:val="nil"/>
              <w:right w:val="nil"/>
            </w:tcBorders>
          </w:tcPr>
          <w:p w14:paraId="59AC8C71" w14:textId="77777777" w:rsidR="00724C44" w:rsidRPr="00BE52AD" w:rsidRDefault="00724C44" w:rsidP="00BE52AD">
            <w:pPr>
              <w:spacing w:after="0" w:line="240" w:lineRule="auto"/>
              <w:jc w:val="both"/>
              <w:rPr>
                <w:sz w:val="22"/>
                <w:szCs w:val="22"/>
              </w:rPr>
            </w:pPr>
            <w:r w:rsidRPr="00BE52AD">
              <w:rPr>
                <w:sz w:val="22"/>
                <w:szCs w:val="22"/>
              </w:rPr>
              <w:t>Training programs in AI literacy, integrated workforce management systems, communication of AI's role in pay decisions, transparent compensation philosophy</w:t>
            </w:r>
          </w:p>
        </w:tc>
        <w:tc>
          <w:tcPr>
            <w:tcW w:w="1152" w:type="dxa"/>
            <w:tcBorders>
              <w:top w:val="nil"/>
              <w:left w:val="nil"/>
              <w:bottom w:val="nil"/>
              <w:right w:val="nil"/>
            </w:tcBorders>
          </w:tcPr>
          <w:p w14:paraId="4B94B17A" w14:textId="77777777" w:rsidR="00724C44" w:rsidRPr="00BE52AD" w:rsidRDefault="00724C44" w:rsidP="00BE52AD">
            <w:pPr>
              <w:spacing w:after="0" w:line="240" w:lineRule="auto"/>
              <w:jc w:val="both"/>
              <w:rPr>
                <w:sz w:val="22"/>
                <w:szCs w:val="22"/>
              </w:rPr>
            </w:pPr>
            <w:r w:rsidRPr="00BE52AD">
              <w:rPr>
                <w:sz w:val="22"/>
                <w:szCs w:val="22"/>
              </w:rPr>
              <w:t>88</w:t>
            </w:r>
          </w:p>
        </w:tc>
        <w:tc>
          <w:tcPr>
            <w:tcW w:w="738" w:type="dxa"/>
            <w:tcBorders>
              <w:top w:val="nil"/>
              <w:left w:val="nil"/>
              <w:bottom w:val="nil"/>
              <w:right w:val="nil"/>
            </w:tcBorders>
          </w:tcPr>
          <w:p w14:paraId="22697AC6" w14:textId="77777777" w:rsidR="00724C44" w:rsidRPr="00BE52AD" w:rsidRDefault="00724C44" w:rsidP="00BE52AD">
            <w:pPr>
              <w:spacing w:after="0" w:line="240" w:lineRule="auto"/>
              <w:jc w:val="both"/>
              <w:rPr>
                <w:sz w:val="22"/>
                <w:szCs w:val="22"/>
              </w:rPr>
            </w:pPr>
            <w:r w:rsidRPr="00BE52AD">
              <w:rPr>
                <w:sz w:val="22"/>
                <w:szCs w:val="22"/>
              </w:rPr>
              <w:t>22</w:t>
            </w:r>
          </w:p>
        </w:tc>
      </w:tr>
      <w:tr w:rsidR="00724C44" w:rsidRPr="00724C44" w14:paraId="24534B02" w14:textId="77777777" w:rsidTr="00BE52AD">
        <w:tc>
          <w:tcPr>
            <w:tcW w:w="2430" w:type="dxa"/>
            <w:tcBorders>
              <w:top w:val="nil"/>
              <w:left w:val="nil"/>
              <w:bottom w:val="nil"/>
              <w:right w:val="nil"/>
            </w:tcBorders>
          </w:tcPr>
          <w:p w14:paraId="32E7361F" w14:textId="77777777" w:rsidR="00724C44" w:rsidRPr="00BE52AD" w:rsidRDefault="00724C44" w:rsidP="00BE52AD">
            <w:pPr>
              <w:spacing w:after="0" w:line="240" w:lineRule="auto"/>
              <w:jc w:val="both"/>
              <w:rPr>
                <w:sz w:val="22"/>
                <w:szCs w:val="22"/>
              </w:rPr>
            </w:pPr>
            <w:r w:rsidRPr="00BE52AD">
              <w:rPr>
                <w:sz w:val="22"/>
                <w:szCs w:val="22"/>
              </w:rPr>
              <w:t>2.3 Governance and data quality</w:t>
            </w:r>
          </w:p>
        </w:tc>
        <w:tc>
          <w:tcPr>
            <w:tcW w:w="4950" w:type="dxa"/>
            <w:tcBorders>
              <w:top w:val="nil"/>
              <w:left w:val="nil"/>
              <w:bottom w:val="nil"/>
              <w:right w:val="nil"/>
            </w:tcBorders>
          </w:tcPr>
          <w:p w14:paraId="6B13FED4" w14:textId="77777777" w:rsidR="00724C44" w:rsidRPr="00BE52AD" w:rsidRDefault="00724C44" w:rsidP="00BE52AD">
            <w:pPr>
              <w:spacing w:after="0" w:line="240" w:lineRule="auto"/>
              <w:jc w:val="both"/>
              <w:rPr>
                <w:sz w:val="22"/>
                <w:szCs w:val="22"/>
              </w:rPr>
            </w:pPr>
            <w:r w:rsidRPr="00BE52AD">
              <w:rPr>
                <w:sz w:val="22"/>
                <w:szCs w:val="22"/>
              </w:rPr>
              <w:t>Governance policies for AI use, data accuracy and security protocols, bias testing and third-party audits, top-management commitment</w:t>
            </w:r>
          </w:p>
        </w:tc>
        <w:tc>
          <w:tcPr>
            <w:tcW w:w="1152" w:type="dxa"/>
            <w:tcBorders>
              <w:top w:val="nil"/>
              <w:left w:val="nil"/>
              <w:bottom w:val="nil"/>
              <w:right w:val="nil"/>
            </w:tcBorders>
          </w:tcPr>
          <w:p w14:paraId="7923F45D" w14:textId="77777777" w:rsidR="00724C44" w:rsidRPr="00BE52AD" w:rsidRDefault="00724C44" w:rsidP="00BE52AD">
            <w:pPr>
              <w:spacing w:after="0" w:line="240" w:lineRule="auto"/>
              <w:jc w:val="both"/>
              <w:rPr>
                <w:sz w:val="22"/>
                <w:szCs w:val="22"/>
              </w:rPr>
            </w:pPr>
            <w:r w:rsidRPr="00BE52AD">
              <w:rPr>
                <w:sz w:val="22"/>
                <w:szCs w:val="22"/>
              </w:rPr>
              <w:t>112</w:t>
            </w:r>
          </w:p>
        </w:tc>
        <w:tc>
          <w:tcPr>
            <w:tcW w:w="738" w:type="dxa"/>
            <w:tcBorders>
              <w:top w:val="nil"/>
              <w:left w:val="nil"/>
              <w:bottom w:val="nil"/>
              <w:right w:val="nil"/>
            </w:tcBorders>
          </w:tcPr>
          <w:p w14:paraId="73627C9B" w14:textId="77777777" w:rsidR="00724C44" w:rsidRPr="00BE52AD" w:rsidRDefault="00724C44" w:rsidP="00BE52AD">
            <w:pPr>
              <w:spacing w:after="0" w:line="240" w:lineRule="auto"/>
              <w:jc w:val="both"/>
              <w:rPr>
                <w:sz w:val="22"/>
                <w:szCs w:val="22"/>
              </w:rPr>
            </w:pPr>
            <w:r w:rsidRPr="00BE52AD">
              <w:rPr>
                <w:sz w:val="22"/>
                <w:szCs w:val="22"/>
              </w:rPr>
              <w:t>28</w:t>
            </w:r>
          </w:p>
        </w:tc>
      </w:tr>
      <w:tr w:rsidR="00724C44" w:rsidRPr="00724C44" w14:paraId="54DEF609" w14:textId="77777777" w:rsidTr="00BE52AD">
        <w:tc>
          <w:tcPr>
            <w:tcW w:w="2430" w:type="dxa"/>
            <w:tcBorders>
              <w:top w:val="nil"/>
              <w:left w:val="nil"/>
              <w:bottom w:val="single" w:sz="4" w:space="0" w:color="000000"/>
              <w:right w:val="nil"/>
            </w:tcBorders>
          </w:tcPr>
          <w:p w14:paraId="2A715994" w14:textId="77777777" w:rsidR="00724C44" w:rsidRPr="00BE52AD" w:rsidRDefault="00724C44" w:rsidP="00BE52AD">
            <w:pPr>
              <w:spacing w:after="0" w:line="240" w:lineRule="auto"/>
              <w:jc w:val="both"/>
              <w:rPr>
                <w:sz w:val="22"/>
                <w:szCs w:val="22"/>
              </w:rPr>
            </w:pPr>
            <w:r w:rsidRPr="00BE52AD">
              <w:rPr>
                <w:sz w:val="22"/>
                <w:szCs w:val="22"/>
              </w:rPr>
              <w:t>2.4 Reporting substance</w:t>
            </w:r>
          </w:p>
        </w:tc>
        <w:tc>
          <w:tcPr>
            <w:tcW w:w="4950" w:type="dxa"/>
            <w:tcBorders>
              <w:top w:val="nil"/>
              <w:left w:val="nil"/>
              <w:bottom w:val="single" w:sz="4" w:space="0" w:color="000000"/>
              <w:right w:val="nil"/>
            </w:tcBorders>
          </w:tcPr>
          <w:p w14:paraId="5986520A" w14:textId="77777777" w:rsidR="00724C44" w:rsidRPr="00BE52AD" w:rsidRDefault="00724C44" w:rsidP="00BE52AD">
            <w:pPr>
              <w:spacing w:after="0" w:line="240" w:lineRule="auto"/>
              <w:jc w:val="both"/>
              <w:rPr>
                <w:sz w:val="22"/>
                <w:szCs w:val="22"/>
              </w:rPr>
            </w:pPr>
            <w:r w:rsidRPr="00BE52AD">
              <w:rPr>
                <w:sz w:val="22"/>
                <w:szCs w:val="22"/>
              </w:rPr>
              <w:t>Specific workforce metrics including pay gaps and turnover, productivity metrics, human capital ROI, integration of qualitative engagement insights</w:t>
            </w:r>
          </w:p>
        </w:tc>
        <w:tc>
          <w:tcPr>
            <w:tcW w:w="1152" w:type="dxa"/>
            <w:tcBorders>
              <w:top w:val="nil"/>
              <w:left w:val="nil"/>
              <w:bottom w:val="single" w:sz="4" w:space="0" w:color="000000"/>
              <w:right w:val="nil"/>
            </w:tcBorders>
          </w:tcPr>
          <w:p w14:paraId="11062A38" w14:textId="77777777" w:rsidR="00724C44" w:rsidRPr="00BE52AD" w:rsidRDefault="00724C44" w:rsidP="00BE52AD">
            <w:pPr>
              <w:spacing w:after="0" w:line="240" w:lineRule="auto"/>
              <w:jc w:val="both"/>
              <w:rPr>
                <w:sz w:val="22"/>
                <w:szCs w:val="22"/>
              </w:rPr>
            </w:pPr>
            <w:r w:rsidRPr="00BE52AD">
              <w:rPr>
                <w:sz w:val="22"/>
                <w:szCs w:val="22"/>
              </w:rPr>
              <w:t>104</w:t>
            </w:r>
          </w:p>
        </w:tc>
        <w:tc>
          <w:tcPr>
            <w:tcW w:w="738" w:type="dxa"/>
            <w:tcBorders>
              <w:top w:val="nil"/>
              <w:left w:val="nil"/>
              <w:bottom w:val="single" w:sz="4" w:space="0" w:color="000000"/>
              <w:right w:val="nil"/>
            </w:tcBorders>
          </w:tcPr>
          <w:p w14:paraId="348E5EFE" w14:textId="77777777" w:rsidR="00724C44" w:rsidRPr="00BE52AD" w:rsidRDefault="00724C44" w:rsidP="00BE52AD">
            <w:pPr>
              <w:spacing w:after="0" w:line="240" w:lineRule="auto"/>
              <w:jc w:val="both"/>
              <w:rPr>
                <w:sz w:val="22"/>
                <w:szCs w:val="22"/>
              </w:rPr>
            </w:pPr>
            <w:r w:rsidRPr="00BE52AD">
              <w:rPr>
                <w:sz w:val="22"/>
                <w:szCs w:val="22"/>
              </w:rPr>
              <w:t>26</w:t>
            </w:r>
          </w:p>
        </w:tc>
      </w:tr>
    </w:tbl>
    <w:p w14:paraId="0891A737" w14:textId="2F898097" w:rsidR="00724C44" w:rsidRPr="00724C44" w:rsidRDefault="00724C44" w:rsidP="00724C44">
      <w:pPr>
        <w:spacing w:line="240" w:lineRule="auto"/>
        <w:jc w:val="both"/>
      </w:pPr>
      <w:r w:rsidRPr="00724C44">
        <w:t>The most prevalent improvement theme — governance and data quality (28.0</w:t>
      </w:r>
      <w:proofErr w:type="gramStart"/>
      <w:r w:rsidRPr="00724C44">
        <w:t>%) —</w:t>
      </w:r>
      <w:proofErr w:type="gramEnd"/>
      <w:r w:rsidRPr="00724C44">
        <w:t xml:space="preserve"> emphasizes that respondents view organizational mechanisms for accountability and quality assurance as the most critical enabler of disclosure improvement. Specific recommendations included clear governance policies for AI use, data ownership, and accountability; implementation of AI tools with proper bias testing and third-party audits; establishment of data governance protocols ensuring accuracy and security; and stronger top-management commitment to transparency and long-term human capital investment. This theme provides direct qualitative evidence for the theoretical proposition developed in Section 2.5.4</w:t>
      </w:r>
      <w:r w:rsidR="00C313FF">
        <w:t>—</w:t>
      </w:r>
      <w:r w:rsidRPr="00724C44">
        <w:t>that institutional readiness, including organizational governance and leadership commitment, is the enabling mechanism through which AI capabilities are translated into stakeholder-accessible disclosures.</w:t>
      </w:r>
    </w:p>
    <w:p w14:paraId="56C8AAB1" w14:textId="77777777" w:rsidR="00724C44" w:rsidRPr="00724C44" w:rsidRDefault="00724C44" w:rsidP="00724C44">
      <w:pPr>
        <w:spacing w:line="240" w:lineRule="auto"/>
        <w:jc w:val="both"/>
      </w:pPr>
      <w:r w:rsidRPr="00724C44">
        <w:t>The second-most prevalent theme — reporting substance (26.0</w:t>
      </w:r>
      <w:proofErr w:type="gramStart"/>
      <w:r w:rsidRPr="00724C44">
        <w:t>%) —</w:t>
      </w:r>
      <w:proofErr w:type="gramEnd"/>
      <w:r w:rsidRPr="00724C44">
        <w:t xml:space="preserve"> focuses on the content of disclosure rather than the systems that produce it. Respondents prioritized the inclusion of specific workforce metrics such as median pay gaps, promotion rates, and turnover trends; productivity metrics including revenue per employee and compensation costs as a percentage of revenue; tracking of human capital ROI, EBIT per employee, and total workforce costs; and the integration of AI-analyzed qualitative insights from engagement surveys. This theme demonstrates that respondents are aware of the substantive disclosure gaps documented in the quantitative analysis (Section 4.6</w:t>
      </w:r>
      <w:proofErr w:type="gramStart"/>
      <w:r w:rsidRPr="00724C44">
        <w:t>), and</w:t>
      </w:r>
      <w:proofErr w:type="gramEnd"/>
      <w:r w:rsidRPr="00724C44">
        <w:t xml:space="preserve"> is particularly aligned with the low completeness scores (M = 2.51) and the data-to-disclosure gap of 1.75 points reported in Section 4.6.8.</w:t>
      </w:r>
    </w:p>
    <w:p w14:paraId="6B492D9A" w14:textId="77777777" w:rsidR="00724C44" w:rsidRPr="00724C44" w:rsidRDefault="00724C44" w:rsidP="00724C44">
      <w:pPr>
        <w:spacing w:line="240" w:lineRule="auto"/>
        <w:jc w:val="both"/>
      </w:pPr>
      <w:r w:rsidRPr="00724C44">
        <w:t xml:space="preserve">The standardization and </w:t>
      </w:r>
      <w:proofErr w:type="gramStart"/>
      <w:r w:rsidRPr="00724C44">
        <w:t>frameworks</w:t>
      </w:r>
      <w:proofErr w:type="gramEnd"/>
      <w:r w:rsidRPr="00724C44">
        <w:t xml:space="preserve"> theme (24.0%) reflects respondents’ recognition that the absence of authoritative reporting frameworks (identified in Theme 1.4 above) is a problem that can be addressed by deliberately adopting ISO 30414 and similar internationally recognized frameworks. The investment in people and systems theme (22.0%) closes the improvement set with calls for AI literacy training for HR professionals, integrated workforce management systems, </w:t>
      </w:r>
      <w:r w:rsidRPr="00724C44">
        <w:lastRenderedPageBreak/>
        <w:t>transparent communication about AI’s role in compensation decisions, and alignment between organizational systems through stronger HR–accounting–ERP integration.</w:t>
      </w:r>
    </w:p>
    <w:p w14:paraId="71675CF6" w14:textId="77777777" w:rsidR="00724C44" w:rsidRPr="00724C44" w:rsidRDefault="00724C44" w:rsidP="00724C44">
      <w:pPr>
        <w:spacing w:line="240" w:lineRule="auto"/>
        <w:jc w:val="both"/>
      </w:pPr>
      <w:r w:rsidRPr="00724C44">
        <w:rPr>
          <w:b/>
        </w:rPr>
        <w:t>4.11.4 Question 3 — Additional Comments on AI Compensation and Disclosure</w:t>
      </w:r>
    </w:p>
    <w:p w14:paraId="2566387D" w14:textId="77777777" w:rsidR="00724C44" w:rsidRPr="00724C44" w:rsidRDefault="00724C44" w:rsidP="00724C44">
      <w:pPr>
        <w:spacing w:line="240" w:lineRule="auto"/>
        <w:jc w:val="both"/>
      </w:pPr>
      <w:r w:rsidRPr="00724C44">
        <w:t>The third open-ended question invited respondents to share any additional comments. The 24 codes generated from the 400 responses clustered into four higher-order themes, summarized in Table 4.36.</w:t>
      </w:r>
    </w:p>
    <w:p w14:paraId="5D91D545" w14:textId="77777777" w:rsidR="00724C44" w:rsidRPr="00724C44" w:rsidRDefault="00724C44" w:rsidP="00724C44">
      <w:pPr>
        <w:spacing w:line="240" w:lineRule="auto"/>
        <w:jc w:val="both"/>
      </w:pPr>
      <w:r w:rsidRPr="00724C44">
        <w:rPr>
          <w:b/>
        </w:rPr>
        <w:t>Table 4.36</w:t>
      </w:r>
    </w:p>
    <w:p w14:paraId="3EAFAB4E" w14:textId="77777777" w:rsidR="00724C44" w:rsidRPr="00724C44" w:rsidRDefault="00724C44" w:rsidP="00724C44">
      <w:pPr>
        <w:spacing w:line="240" w:lineRule="auto"/>
        <w:jc w:val="both"/>
      </w:pPr>
      <w:r w:rsidRPr="00724C44">
        <w:rPr>
          <w:i/>
        </w:rPr>
        <w:t>Higher-Order Themes – Additional Reflections on AI Compensation and Disclosure (n = 400)</w:t>
      </w:r>
    </w:p>
    <w:tbl>
      <w:tblPr>
        <w:tblW w:w="0" w:type="auto"/>
        <w:tblLayout w:type="fixed"/>
        <w:tblLook w:val="04A0" w:firstRow="1" w:lastRow="0" w:firstColumn="1" w:lastColumn="0" w:noHBand="0" w:noVBand="1"/>
      </w:tblPr>
      <w:tblGrid>
        <w:gridCol w:w="2160"/>
        <w:gridCol w:w="5310"/>
        <w:gridCol w:w="1170"/>
        <w:gridCol w:w="630"/>
      </w:tblGrid>
      <w:tr w:rsidR="00724C44" w:rsidRPr="00724C44" w14:paraId="48270212" w14:textId="77777777" w:rsidTr="00BE52AD">
        <w:tc>
          <w:tcPr>
            <w:tcW w:w="2160" w:type="dxa"/>
            <w:tcBorders>
              <w:top w:val="single" w:sz="4" w:space="0" w:color="000000"/>
              <w:left w:val="nil"/>
              <w:bottom w:val="single" w:sz="4" w:space="0" w:color="000000"/>
              <w:right w:val="nil"/>
            </w:tcBorders>
          </w:tcPr>
          <w:p w14:paraId="744BB71C" w14:textId="77777777" w:rsidR="00724C44" w:rsidRPr="00BE52AD" w:rsidRDefault="00724C44" w:rsidP="00BE52AD">
            <w:pPr>
              <w:spacing w:after="0" w:line="240" w:lineRule="auto"/>
              <w:jc w:val="both"/>
              <w:rPr>
                <w:sz w:val="22"/>
                <w:szCs w:val="22"/>
              </w:rPr>
            </w:pPr>
            <w:r w:rsidRPr="00BE52AD">
              <w:rPr>
                <w:b/>
                <w:sz w:val="22"/>
                <w:szCs w:val="22"/>
              </w:rPr>
              <w:t>Theme</w:t>
            </w:r>
          </w:p>
        </w:tc>
        <w:tc>
          <w:tcPr>
            <w:tcW w:w="5310" w:type="dxa"/>
            <w:tcBorders>
              <w:top w:val="single" w:sz="4" w:space="0" w:color="000000"/>
              <w:left w:val="nil"/>
              <w:bottom w:val="single" w:sz="4" w:space="0" w:color="000000"/>
              <w:right w:val="nil"/>
            </w:tcBorders>
          </w:tcPr>
          <w:p w14:paraId="17BC9CF8" w14:textId="77777777" w:rsidR="00724C44" w:rsidRPr="00BE52AD" w:rsidRDefault="00724C44" w:rsidP="00BE52AD">
            <w:pPr>
              <w:spacing w:after="0" w:line="240" w:lineRule="auto"/>
              <w:jc w:val="both"/>
              <w:rPr>
                <w:sz w:val="22"/>
                <w:szCs w:val="22"/>
              </w:rPr>
            </w:pPr>
            <w:r w:rsidRPr="00BE52AD">
              <w:rPr>
                <w:b/>
                <w:sz w:val="22"/>
                <w:szCs w:val="22"/>
              </w:rPr>
              <w:t>Description</w:t>
            </w:r>
          </w:p>
        </w:tc>
        <w:tc>
          <w:tcPr>
            <w:tcW w:w="1170" w:type="dxa"/>
            <w:tcBorders>
              <w:top w:val="single" w:sz="4" w:space="0" w:color="000000"/>
              <w:left w:val="nil"/>
              <w:bottom w:val="single" w:sz="4" w:space="0" w:color="000000"/>
              <w:right w:val="nil"/>
            </w:tcBorders>
          </w:tcPr>
          <w:p w14:paraId="39DE89DF" w14:textId="77777777" w:rsidR="00724C44" w:rsidRPr="00BE52AD" w:rsidRDefault="00724C44" w:rsidP="00BE52AD">
            <w:pPr>
              <w:spacing w:after="0" w:line="240" w:lineRule="auto"/>
              <w:jc w:val="both"/>
              <w:rPr>
                <w:sz w:val="22"/>
                <w:szCs w:val="22"/>
              </w:rPr>
            </w:pPr>
            <w:r w:rsidRPr="00BE52AD">
              <w:rPr>
                <w:b/>
                <w:sz w:val="22"/>
                <w:szCs w:val="22"/>
              </w:rPr>
              <w:t>Approx. n</w:t>
            </w:r>
          </w:p>
        </w:tc>
        <w:tc>
          <w:tcPr>
            <w:tcW w:w="630" w:type="dxa"/>
            <w:tcBorders>
              <w:top w:val="single" w:sz="4" w:space="0" w:color="000000"/>
              <w:left w:val="nil"/>
              <w:bottom w:val="single" w:sz="4" w:space="0" w:color="000000"/>
              <w:right w:val="nil"/>
            </w:tcBorders>
          </w:tcPr>
          <w:p w14:paraId="295BF732" w14:textId="77777777" w:rsidR="00724C44" w:rsidRPr="00BE52AD" w:rsidRDefault="00724C44" w:rsidP="00BE52AD">
            <w:pPr>
              <w:spacing w:after="0" w:line="240" w:lineRule="auto"/>
              <w:jc w:val="both"/>
              <w:rPr>
                <w:sz w:val="22"/>
                <w:szCs w:val="22"/>
              </w:rPr>
            </w:pPr>
            <w:r w:rsidRPr="00BE52AD">
              <w:rPr>
                <w:b/>
                <w:sz w:val="22"/>
                <w:szCs w:val="22"/>
              </w:rPr>
              <w:t>%</w:t>
            </w:r>
          </w:p>
        </w:tc>
      </w:tr>
      <w:tr w:rsidR="00724C44" w:rsidRPr="00724C44" w14:paraId="1CE43814" w14:textId="77777777" w:rsidTr="00BE52AD">
        <w:tc>
          <w:tcPr>
            <w:tcW w:w="2160" w:type="dxa"/>
            <w:tcBorders>
              <w:top w:val="nil"/>
              <w:left w:val="nil"/>
              <w:bottom w:val="nil"/>
              <w:right w:val="nil"/>
            </w:tcBorders>
          </w:tcPr>
          <w:p w14:paraId="1B873C44" w14:textId="77777777" w:rsidR="00724C44" w:rsidRPr="00BE52AD" w:rsidRDefault="00724C44" w:rsidP="00BE52AD">
            <w:pPr>
              <w:spacing w:after="0" w:line="240" w:lineRule="auto"/>
              <w:rPr>
                <w:sz w:val="22"/>
                <w:szCs w:val="22"/>
              </w:rPr>
            </w:pPr>
            <w:r w:rsidRPr="00BE52AD">
              <w:rPr>
                <w:sz w:val="22"/>
                <w:szCs w:val="22"/>
              </w:rPr>
              <w:t>3.1 Organizational readiness trumps technology</w:t>
            </w:r>
          </w:p>
        </w:tc>
        <w:tc>
          <w:tcPr>
            <w:tcW w:w="5310" w:type="dxa"/>
            <w:tcBorders>
              <w:top w:val="nil"/>
              <w:left w:val="nil"/>
              <w:bottom w:val="nil"/>
              <w:right w:val="nil"/>
            </w:tcBorders>
          </w:tcPr>
          <w:p w14:paraId="2E1FBA5F" w14:textId="77777777" w:rsidR="00724C44" w:rsidRPr="00BE52AD" w:rsidRDefault="00724C44" w:rsidP="00BE52AD">
            <w:pPr>
              <w:spacing w:after="0" w:line="240" w:lineRule="auto"/>
              <w:jc w:val="both"/>
              <w:rPr>
                <w:sz w:val="22"/>
                <w:szCs w:val="22"/>
              </w:rPr>
            </w:pPr>
            <w:r w:rsidRPr="00BE52AD">
              <w:rPr>
                <w:sz w:val="22"/>
                <w:szCs w:val="22"/>
              </w:rPr>
              <w:t>Successful adoption depends on readiness rather than technology sophistication, strategic leadership and process maturity as key enablers, evolving disclosure as strategic communication</w:t>
            </w:r>
          </w:p>
        </w:tc>
        <w:tc>
          <w:tcPr>
            <w:tcW w:w="1170" w:type="dxa"/>
            <w:tcBorders>
              <w:top w:val="nil"/>
              <w:left w:val="nil"/>
              <w:bottom w:val="nil"/>
              <w:right w:val="nil"/>
            </w:tcBorders>
          </w:tcPr>
          <w:p w14:paraId="123D94CC" w14:textId="77777777" w:rsidR="00724C44" w:rsidRPr="00BE52AD" w:rsidRDefault="00724C44" w:rsidP="00BE52AD">
            <w:pPr>
              <w:spacing w:after="0" w:line="240" w:lineRule="auto"/>
              <w:jc w:val="both"/>
              <w:rPr>
                <w:sz w:val="22"/>
                <w:szCs w:val="22"/>
              </w:rPr>
            </w:pPr>
            <w:r w:rsidRPr="00BE52AD">
              <w:rPr>
                <w:sz w:val="22"/>
                <w:szCs w:val="22"/>
              </w:rPr>
              <w:t>84</w:t>
            </w:r>
          </w:p>
        </w:tc>
        <w:tc>
          <w:tcPr>
            <w:tcW w:w="630" w:type="dxa"/>
            <w:tcBorders>
              <w:top w:val="nil"/>
              <w:left w:val="nil"/>
              <w:bottom w:val="nil"/>
              <w:right w:val="nil"/>
            </w:tcBorders>
          </w:tcPr>
          <w:p w14:paraId="5F82181F" w14:textId="77777777" w:rsidR="00724C44" w:rsidRPr="00BE52AD" w:rsidRDefault="00724C44" w:rsidP="00BE52AD">
            <w:pPr>
              <w:spacing w:after="0" w:line="240" w:lineRule="auto"/>
              <w:jc w:val="both"/>
              <w:rPr>
                <w:sz w:val="22"/>
                <w:szCs w:val="22"/>
              </w:rPr>
            </w:pPr>
            <w:r w:rsidRPr="00BE52AD">
              <w:rPr>
                <w:sz w:val="22"/>
                <w:szCs w:val="22"/>
              </w:rPr>
              <w:t>21</w:t>
            </w:r>
          </w:p>
        </w:tc>
      </w:tr>
      <w:tr w:rsidR="00724C44" w:rsidRPr="00724C44" w14:paraId="4C8449CA" w14:textId="77777777" w:rsidTr="00BE52AD">
        <w:tc>
          <w:tcPr>
            <w:tcW w:w="2160" w:type="dxa"/>
            <w:tcBorders>
              <w:top w:val="nil"/>
              <w:left w:val="nil"/>
              <w:bottom w:val="nil"/>
              <w:right w:val="nil"/>
            </w:tcBorders>
          </w:tcPr>
          <w:p w14:paraId="7A48106F" w14:textId="77777777" w:rsidR="00724C44" w:rsidRPr="00BE52AD" w:rsidRDefault="00724C44" w:rsidP="00BE52AD">
            <w:pPr>
              <w:spacing w:after="0" w:line="240" w:lineRule="auto"/>
              <w:jc w:val="both"/>
              <w:rPr>
                <w:sz w:val="22"/>
                <w:szCs w:val="22"/>
              </w:rPr>
            </w:pPr>
            <w:r w:rsidRPr="00BE52AD">
              <w:rPr>
                <w:sz w:val="22"/>
                <w:szCs w:val="22"/>
              </w:rPr>
              <w:t>3.2 Human–AI hybrid imperatives</w:t>
            </w:r>
          </w:p>
        </w:tc>
        <w:tc>
          <w:tcPr>
            <w:tcW w:w="5310" w:type="dxa"/>
            <w:tcBorders>
              <w:top w:val="nil"/>
              <w:left w:val="nil"/>
              <w:bottom w:val="nil"/>
              <w:right w:val="nil"/>
            </w:tcBorders>
          </w:tcPr>
          <w:p w14:paraId="39AB62DE" w14:textId="77777777" w:rsidR="00724C44" w:rsidRPr="00BE52AD" w:rsidRDefault="00724C44" w:rsidP="00BE52AD">
            <w:pPr>
              <w:spacing w:after="0" w:line="240" w:lineRule="auto"/>
              <w:jc w:val="both"/>
              <w:rPr>
                <w:sz w:val="22"/>
                <w:szCs w:val="22"/>
              </w:rPr>
            </w:pPr>
            <w:r w:rsidRPr="00BE52AD">
              <w:rPr>
                <w:sz w:val="22"/>
                <w:szCs w:val="22"/>
              </w:rPr>
              <w:t xml:space="preserve">AI augments rather than </w:t>
            </w:r>
            <w:proofErr w:type="gramStart"/>
            <w:r w:rsidRPr="00BE52AD">
              <w:rPr>
                <w:sz w:val="22"/>
                <w:szCs w:val="22"/>
              </w:rPr>
              <w:t>replaces</w:t>
            </w:r>
            <w:proofErr w:type="gramEnd"/>
            <w:r w:rsidRPr="00BE52AD">
              <w:rPr>
                <w:sz w:val="22"/>
                <w:szCs w:val="22"/>
              </w:rPr>
              <w:t xml:space="preserve"> human judgment, hybrid approaches combining AI insights with human intuition, human-centric AI balancing technology with employee welfare, maintaining human oversight in critical compensation decisions</w:t>
            </w:r>
          </w:p>
        </w:tc>
        <w:tc>
          <w:tcPr>
            <w:tcW w:w="1170" w:type="dxa"/>
            <w:tcBorders>
              <w:top w:val="nil"/>
              <w:left w:val="nil"/>
              <w:bottom w:val="nil"/>
              <w:right w:val="nil"/>
            </w:tcBorders>
          </w:tcPr>
          <w:p w14:paraId="7EFCB1E4" w14:textId="77777777" w:rsidR="00724C44" w:rsidRPr="00BE52AD" w:rsidRDefault="00724C44" w:rsidP="00BE52AD">
            <w:pPr>
              <w:spacing w:after="0" w:line="240" w:lineRule="auto"/>
              <w:jc w:val="both"/>
              <w:rPr>
                <w:sz w:val="22"/>
                <w:szCs w:val="22"/>
              </w:rPr>
            </w:pPr>
            <w:r w:rsidRPr="00BE52AD">
              <w:rPr>
                <w:sz w:val="22"/>
                <w:szCs w:val="22"/>
              </w:rPr>
              <w:t>100</w:t>
            </w:r>
          </w:p>
        </w:tc>
        <w:tc>
          <w:tcPr>
            <w:tcW w:w="630" w:type="dxa"/>
            <w:tcBorders>
              <w:top w:val="nil"/>
              <w:left w:val="nil"/>
              <w:bottom w:val="nil"/>
              <w:right w:val="nil"/>
            </w:tcBorders>
          </w:tcPr>
          <w:p w14:paraId="3F417077" w14:textId="77777777" w:rsidR="00724C44" w:rsidRPr="00BE52AD" w:rsidRDefault="00724C44" w:rsidP="00BE52AD">
            <w:pPr>
              <w:spacing w:after="0" w:line="240" w:lineRule="auto"/>
              <w:jc w:val="both"/>
              <w:rPr>
                <w:sz w:val="22"/>
                <w:szCs w:val="22"/>
              </w:rPr>
            </w:pPr>
            <w:r w:rsidRPr="00BE52AD">
              <w:rPr>
                <w:sz w:val="22"/>
                <w:szCs w:val="22"/>
              </w:rPr>
              <w:t>25</w:t>
            </w:r>
          </w:p>
        </w:tc>
      </w:tr>
      <w:tr w:rsidR="00724C44" w:rsidRPr="00724C44" w14:paraId="4882F73D" w14:textId="77777777" w:rsidTr="00BE52AD">
        <w:tc>
          <w:tcPr>
            <w:tcW w:w="2160" w:type="dxa"/>
            <w:tcBorders>
              <w:top w:val="nil"/>
              <w:left w:val="nil"/>
              <w:bottom w:val="nil"/>
              <w:right w:val="nil"/>
            </w:tcBorders>
          </w:tcPr>
          <w:p w14:paraId="0A0FABF1" w14:textId="77777777" w:rsidR="00724C44" w:rsidRPr="00BE52AD" w:rsidRDefault="00724C44" w:rsidP="00BE52AD">
            <w:pPr>
              <w:spacing w:after="0" w:line="240" w:lineRule="auto"/>
              <w:rPr>
                <w:sz w:val="22"/>
                <w:szCs w:val="22"/>
              </w:rPr>
            </w:pPr>
            <w:r w:rsidRPr="00BE52AD">
              <w:rPr>
                <w:sz w:val="22"/>
                <w:szCs w:val="22"/>
              </w:rPr>
              <w:t>3.3 Ethical and governance demands</w:t>
            </w:r>
          </w:p>
        </w:tc>
        <w:tc>
          <w:tcPr>
            <w:tcW w:w="5310" w:type="dxa"/>
            <w:tcBorders>
              <w:top w:val="nil"/>
              <w:left w:val="nil"/>
              <w:bottom w:val="nil"/>
              <w:right w:val="nil"/>
            </w:tcBorders>
          </w:tcPr>
          <w:p w14:paraId="16440310" w14:textId="77777777" w:rsidR="00724C44" w:rsidRPr="00BE52AD" w:rsidRDefault="00724C44" w:rsidP="00BE52AD">
            <w:pPr>
              <w:spacing w:after="0" w:line="240" w:lineRule="auto"/>
              <w:jc w:val="both"/>
              <w:rPr>
                <w:sz w:val="22"/>
                <w:szCs w:val="22"/>
              </w:rPr>
            </w:pPr>
            <w:r w:rsidRPr="00BE52AD">
              <w:rPr>
                <w:sz w:val="22"/>
                <w:szCs w:val="22"/>
              </w:rPr>
              <w:t>Ethical oversight and explainable algorithms, regular bias audits, conversion of moral precepts into practical rules, alignment between AI investments and regulatory infrastructure</w:t>
            </w:r>
          </w:p>
        </w:tc>
        <w:tc>
          <w:tcPr>
            <w:tcW w:w="1170" w:type="dxa"/>
            <w:tcBorders>
              <w:top w:val="nil"/>
              <w:left w:val="nil"/>
              <w:bottom w:val="nil"/>
              <w:right w:val="nil"/>
            </w:tcBorders>
          </w:tcPr>
          <w:p w14:paraId="4A362D5E" w14:textId="77777777" w:rsidR="00724C44" w:rsidRPr="00BE52AD" w:rsidRDefault="00724C44" w:rsidP="00BE52AD">
            <w:pPr>
              <w:spacing w:after="0" w:line="240" w:lineRule="auto"/>
              <w:jc w:val="both"/>
              <w:rPr>
                <w:sz w:val="22"/>
                <w:szCs w:val="22"/>
              </w:rPr>
            </w:pPr>
            <w:r w:rsidRPr="00BE52AD">
              <w:rPr>
                <w:sz w:val="22"/>
                <w:szCs w:val="22"/>
              </w:rPr>
              <w:t>96</w:t>
            </w:r>
          </w:p>
        </w:tc>
        <w:tc>
          <w:tcPr>
            <w:tcW w:w="630" w:type="dxa"/>
            <w:tcBorders>
              <w:top w:val="nil"/>
              <w:left w:val="nil"/>
              <w:bottom w:val="nil"/>
              <w:right w:val="nil"/>
            </w:tcBorders>
          </w:tcPr>
          <w:p w14:paraId="1B773D9A" w14:textId="77777777" w:rsidR="00724C44" w:rsidRPr="00BE52AD" w:rsidRDefault="00724C44" w:rsidP="00BE52AD">
            <w:pPr>
              <w:spacing w:after="0" w:line="240" w:lineRule="auto"/>
              <w:jc w:val="both"/>
              <w:rPr>
                <w:sz w:val="22"/>
                <w:szCs w:val="22"/>
              </w:rPr>
            </w:pPr>
            <w:r w:rsidRPr="00BE52AD">
              <w:rPr>
                <w:sz w:val="22"/>
                <w:szCs w:val="22"/>
              </w:rPr>
              <w:t>24</w:t>
            </w:r>
          </w:p>
        </w:tc>
      </w:tr>
      <w:tr w:rsidR="00724C44" w:rsidRPr="00724C44" w14:paraId="38E5A1A0" w14:textId="77777777" w:rsidTr="00BE52AD">
        <w:tc>
          <w:tcPr>
            <w:tcW w:w="2160" w:type="dxa"/>
            <w:tcBorders>
              <w:top w:val="nil"/>
              <w:left w:val="nil"/>
              <w:bottom w:val="single" w:sz="4" w:space="0" w:color="000000"/>
              <w:right w:val="nil"/>
            </w:tcBorders>
          </w:tcPr>
          <w:p w14:paraId="6353C523" w14:textId="77777777" w:rsidR="00724C44" w:rsidRPr="00BE52AD" w:rsidRDefault="00724C44" w:rsidP="00BE52AD">
            <w:pPr>
              <w:spacing w:after="0" w:line="240" w:lineRule="auto"/>
              <w:rPr>
                <w:sz w:val="22"/>
                <w:szCs w:val="22"/>
              </w:rPr>
            </w:pPr>
            <w:r w:rsidRPr="00BE52AD">
              <w:rPr>
                <w:sz w:val="22"/>
                <w:szCs w:val="22"/>
              </w:rPr>
              <w:t>3.4 Manufacturing-specific and strategic implications</w:t>
            </w:r>
          </w:p>
        </w:tc>
        <w:tc>
          <w:tcPr>
            <w:tcW w:w="5310" w:type="dxa"/>
            <w:tcBorders>
              <w:top w:val="nil"/>
              <w:left w:val="nil"/>
              <w:bottom w:val="single" w:sz="4" w:space="0" w:color="000000"/>
              <w:right w:val="nil"/>
            </w:tcBorders>
          </w:tcPr>
          <w:p w14:paraId="1FBEB1B9" w14:textId="77777777" w:rsidR="00724C44" w:rsidRPr="00BE52AD" w:rsidRDefault="00724C44" w:rsidP="00BE52AD">
            <w:pPr>
              <w:spacing w:after="0" w:line="240" w:lineRule="auto"/>
              <w:jc w:val="both"/>
              <w:rPr>
                <w:sz w:val="22"/>
                <w:szCs w:val="22"/>
              </w:rPr>
            </w:pPr>
            <w:r w:rsidRPr="00BE52AD">
              <w:rPr>
                <w:sz w:val="22"/>
                <w:szCs w:val="22"/>
              </w:rPr>
              <w:t>Sector-specific disclosure frameworks for manufacturing, SME-specific challenges, transparency strengthening employee trust, AI enabling real-time adaptability and measurement sophistication</w:t>
            </w:r>
          </w:p>
        </w:tc>
        <w:tc>
          <w:tcPr>
            <w:tcW w:w="1170" w:type="dxa"/>
            <w:tcBorders>
              <w:top w:val="nil"/>
              <w:left w:val="nil"/>
              <w:bottom w:val="single" w:sz="4" w:space="0" w:color="000000"/>
              <w:right w:val="nil"/>
            </w:tcBorders>
          </w:tcPr>
          <w:p w14:paraId="71B4D029" w14:textId="77777777" w:rsidR="00724C44" w:rsidRPr="00BE52AD" w:rsidRDefault="00724C44" w:rsidP="00BE52AD">
            <w:pPr>
              <w:spacing w:after="0" w:line="240" w:lineRule="auto"/>
              <w:jc w:val="both"/>
              <w:rPr>
                <w:sz w:val="22"/>
                <w:szCs w:val="22"/>
              </w:rPr>
            </w:pPr>
            <w:r w:rsidRPr="00BE52AD">
              <w:rPr>
                <w:sz w:val="22"/>
                <w:szCs w:val="22"/>
              </w:rPr>
              <w:t>120</w:t>
            </w:r>
          </w:p>
        </w:tc>
        <w:tc>
          <w:tcPr>
            <w:tcW w:w="630" w:type="dxa"/>
            <w:tcBorders>
              <w:top w:val="nil"/>
              <w:left w:val="nil"/>
              <w:bottom w:val="single" w:sz="4" w:space="0" w:color="000000"/>
              <w:right w:val="nil"/>
            </w:tcBorders>
          </w:tcPr>
          <w:p w14:paraId="40A29973" w14:textId="77777777" w:rsidR="00724C44" w:rsidRPr="00BE52AD" w:rsidRDefault="00724C44" w:rsidP="00BE52AD">
            <w:pPr>
              <w:spacing w:after="0" w:line="240" w:lineRule="auto"/>
              <w:jc w:val="both"/>
              <w:rPr>
                <w:sz w:val="22"/>
                <w:szCs w:val="22"/>
              </w:rPr>
            </w:pPr>
            <w:r w:rsidRPr="00BE52AD">
              <w:rPr>
                <w:sz w:val="22"/>
                <w:szCs w:val="22"/>
              </w:rPr>
              <w:t>30</w:t>
            </w:r>
          </w:p>
        </w:tc>
      </w:tr>
    </w:tbl>
    <w:p w14:paraId="5C765097" w14:textId="29983254" w:rsidR="00724C44" w:rsidRPr="00724C44" w:rsidRDefault="00724C44" w:rsidP="00724C44">
      <w:pPr>
        <w:spacing w:line="240" w:lineRule="auto"/>
        <w:jc w:val="both"/>
      </w:pPr>
      <w:r w:rsidRPr="00724C44">
        <w:t>The most prevalent reflection theme — manufacturing-specific and strategic implications (30.0</w:t>
      </w:r>
      <w:proofErr w:type="gramStart"/>
      <w:r w:rsidRPr="00724C44">
        <w:t>%) —</w:t>
      </w:r>
      <w:proofErr w:type="gramEnd"/>
      <w:r w:rsidRPr="00724C44">
        <w:t xml:space="preserve"> confirms the study’s contextual relevance to the manufacturing sector. Respondents emphasized that manufacturing firms require sector-specific disclosure frameworks rather than generic models, that manufacturing SMEs face particular challenges</w:t>
      </w:r>
      <w:r w:rsidR="00C313FF">
        <w:t>,</w:t>
      </w:r>
      <w:r w:rsidRPr="00724C44">
        <w:t xml:space="preserve"> including financial constraints, workforce skill shortages, and poor data quality, that AI-enabled transparency can strengthen employee trust if implemented responsibly, and that AI enables real-time adaptability, customization, and measurement sophistication in pay systems. This theme provides important qualitative validation of the study’s contextual framing in </w:t>
      </w:r>
      <w:r w:rsidR="00E133F2">
        <w:t>Section</w:t>
      </w:r>
      <w:r w:rsidRPr="00724C44">
        <w:t xml:space="preserve"> 1 and supports the practical relevance of the tiered framework developed in Section 4.9.</w:t>
      </w:r>
    </w:p>
    <w:p w14:paraId="41FE860D" w14:textId="77777777" w:rsidR="00724C44" w:rsidRPr="00724C44" w:rsidRDefault="00724C44" w:rsidP="00724C44">
      <w:pPr>
        <w:spacing w:line="240" w:lineRule="auto"/>
        <w:jc w:val="both"/>
      </w:pPr>
      <w:r w:rsidRPr="00724C44">
        <w:t>The second-most prevalent theme — human–AI hybrid imperatives (25.0%) — captures a strong consensus among respondents that AI should augment rather than replace human judgment in compensation decisions. Respondents emphasized that artificial intelligence should support, rather than replace, managerial judgment; that hybrid approaches combining AI insights with human intuition produce better outcomes; that human-centric AI balances technology with employee welfare; and that human oversight should be maintained in critical compensation decisions. This theme reinforces the institutional and cultural conditions identified in Section 2.5.4. It provides qualitative evidence that organizational acceptance of AI-driven compensation is conditional on the preservation of human decision authority.</w:t>
      </w:r>
    </w:p>
    <w:p w14:paraId="5C69685A" w14:textId="77777777" w:rsidR="00724C44" w:rsidRPr="00724C44" w:rsidRDefault="00724C44" w:rsidP="00724C44">
      <w:pPr>
        <w:spacing w:line="240" w:lineRule="auto"/>
        <w:jc w:val="both"/>
      </w:pPr>
      <w:r w:rsidRPr="00724C44">
        <w:lastRenderedPageBreak/>
        <w:t>The third theme — ethical and governance demands (24.0</w:t>
      </w:r>
      <w:proofErr w:type="gramStart"/>
      <w:r w:rsidRPr="00724C44">
        <w:t>%) —</w:t>
      </w:r>
      <w:proofErr w:type="gramEnd"/>
      <w:r w:rsidRPr="00724C44">
        <w:t xml:space="preserve"> extends Theme 2.3 by emphasizing the broader societal and ethical dimensions of AI in compensation. Respondents called for ethical oversight and explainable algorithms, regular bias audits (especially in hiring and compensation), conversion of moral precepts into practical implementation rules, and alignment between AI investments and regulatory infrastructure.</w:t>
      </w:r>
    </w:p>
    <w:p w14:paraId="52D53769" w14:textId="77777777" w:rsidR="00724C44" w:rsidRPr="00724C44" w:rsidRDefault="00724C44" w:rsidP="00724C44">
      <w:pPr>
        <w:spacing w:line="240" w:lineRule="auto"/>
        <w:jc w:val="both"/>
      </w:pPr>
      <w:r w:rsidRPr="00724C44">
        <w:t>The fourth theme — organizational readiness trumps technology (21.0</w:t>
      </w:r>
      <w:proofErr w:type="gramStart"/>
      <w:r w:rsidRPr="00724C44">
        <w:t>%) —</w:t>
      </w:r>
      <w:proofErr w:type="gramEnd"/>
      <w:r w:rsidRPr="00724C44">
        <w:t xml:space="preserve"> </w:t>
      </w:r>
      <w:proofErr w:type="gramStart"/>
      <w:r w:rsidRPr="00724C44">
        <w:t>provides</w:t>
      </w:r>
      <w:proofErr w:type="gramEnd"/>
      <w:r w:rsidRPr="00724C44">
        <w:t xml:space="preserve"> perhaps the most theoretically significant qualitative finding of the study. Respondents emphasized that successful AI adoption depends more on organizational readiness than technology sophistication; that strategic leadership, business process maturity, and technology alignment are key enablers; and that human capital disclosure is evolving from compliance-driven reporting to strategic communication. This theme provides direct qualitative evidence for the central theoretical contribution of the study — namely that AI integration is a necessary but not sufficient condition for human capital disclosure quality, with organizational and institutional readiness operating as the enabling mechanism.</w:t>
      </w:r>
    </w:p>
    <w:p w14:paraId="58BB9481" w14:textId="77777777" w:rsidR="00724C44" w:rsidRPr="00724C44" w:rsidRDefault="00724C44" w:rsidP="00724C44">
      <w:pPr>
        <w:spacing w:line="240" w:lineRule="auto"/>
        <w:jc w:val="both"/>
      </w:pPr>
      <w:r w:rsidRPr="00724C44">
        <w:rPr>
          <w:b/>
        </w:rPr>
        <w:t>4.11.5 Cross-Question Synthesis</w:t>
      </w:r>
    </w:p>
    <w:p w14:paraId="2F3CFF24" w14:textId="77777777" w:rsidR="00724C44" w:rsidRPr="00724C44" w:rsidRDefault="00724C44" w:rsidP="00724C44">
      <w:pPr>
        <w:spacing w:line="240" w:lineRule="auto"/>
        <w:jc w:val="both"/>
      </w:pPr>
      <w:r w:rsidRPr="00724C44">
        <w:t>Examined collectively, the qualitative findings converge on a consistent narrative: the AI–disclosure relationship is conditional rather than direct, governed by organizational readiness, institutional governance, and stakeholder trust. Three cross-cutting patterns emerged across the three questions.</w:t>
      </w:r>
    </w:p>
    <w:p w14:paraId="5214DF98" w14:textId="77777777" w:rsidR="00724C44" w:rsidRPr="00724C44" w:rsidRDefault="00724C44" w:rsidP="00724C44">
      <w:pPr>
        <w:spacing w:line="240" w:lineRule="auto"/>
        <w:jc w:val="both"/>
      </w:pPr>
      <w:r w:rsidRPr="00724C44">
        <w:t>First, technology alone is consistently positioned as insufficient. Across all three questions, respondents emphasized that data infrastructure (Theme 1.1), governance mechanisms (Theme 2.3), and organizational readiness (Theme 3.1) are necessary complements to technological capability.</w:t>
      </w:r>
    </w:p>
    <w:p w14:paraId="05D2AA0E" w14:textId="77777777" w:rsidR="00724C44" w:rsidRPr="00724C44" w:rsidRDefault="00724C44" w:rsidP="00724C44">
      <w:pPr>
        <w:spacing w:line="240" w:lineRule="auto"/>
        <w:jc w:val="both"/>
      </w:pPr>
      <w:r w:rsidRPr="00724C44">
        <w:t>Second, trust and ethical legitimacy emerge as central enabling conditions. Themes 1.3 (privacy and trust concerns), 3.2 (human–AI hybrid), and 3.3 (ethical demands) collectively account for approximately 73% of the responses across Questions 1 and 3. This convergence indicates that respondents view institutional and ethical legitimacy — not technological sophistication — as the binding constraint on translating AI capability into disclosure quality.</w:t>
      </w:r>
    </w:p>
    <w:p w14:paraId="7DD29AC6" w14:textId="77777777" w:rsidR="00724C44" w:rsidRPr="00724C44" w:rsidRDefault="00724C44" w:rsidP="00724C44">
      <w:pPr>
        <w:spacing w:line="240" w:lineRule="auto"/>
        <w:jc w:val="both"/>
      </w:pPr>
      <w:r w:rsidRPr="00724C44">
        <w:t>Third, standardization and contextual specificity emerge as dual requirements. Themes 2.1 (standardization and frameworks) and 3.4 (manufacturing-specific implications) are not in tension but are complementary: respondents call for standardized frameworks to enable comparability and sector-specific disclosure benchmarks to ensure contextual relevance. This dual requirement supports the tiered, context-sensitive framework developed in Section 4.9.</w:t>
      </w:r>
    </w:p>
    <w:p w14:paraId="138886E8" w14:textId="77777777" w:rsidR="00724C44" w:rsidRPr="00724C44" w:rsidRDefault="00724C44" w:rsidP="00724C44">
      <w:pPr>
        <w:spacing w:line="240" w:lineRule="auto"/>
        <w:jc w:val="both"/>
      </w:pPr>
      <w:r w:rsidRPr="00724C44">
        <w:t>These qualitative findings provide essential interpretive depth to the quantitative results presented in Sections 4.4 to 4.10. The systematic integration of quantitative and qualitative findings is presented in Section 4.12.</w:t>
      </w:r>
    </w:p>
    <w:p w14:paraId="77AC3830" w14:textId="77777777" w:rsidR="00724C44" w:rsidRPr="00724C44" w:rsidRDefault="00724C44" w:rsidP="00724C44">
      <w:pPr>
        <w:spacing w:line="240" w:lineRule="auto"/>
        <w:jc w:val="both"/>
      </w:pPr>
      <w:r w:rsidRPr="00724C44">
        <w:rPr>
          <w:b/>
        </w:rPr>
        <w:t>4.12 Joint Display: Integration of Quantitative and Qualitative Findings</w:t>
      </w:r>
    </w:p>
    <w:p w14:paraId="24F47556" w14:textId="77777777" w:rsidR="00724C44" w:rsidRPr="00724C44" w:rsidRDefault="00724C44" w:rsidP="00724C44">
      <w:pPr>
        <w:spacing w:line="240" w:lineRule="auto"/>
        <w:jc w:val="both"/>
      </w:pPr>
      <w:r w:rsidRPr="00724C44">
        <w:t xml:space="preserve">This section presents the systematic integration of quantitative results (Sections 4.4–4.10) with qualitative thematic findings (Section 4.11), fulfilling the integrative ambition of the mixed-methods design. The integration follows Fetters et al.’s (2013) joint display approach, in which each principal quantitative finding is mapped to its corresponding qualitative theme(s). The </w:t>
      </w:r>
      <w:r w:rsidRPr="00724C44">
        <w:lastRenderedPageBreak/>
        <w:t>integration outcome is classified as confirmation, expansion, or discordance. Table 4.37 presents the joint display.</w:t>
      </w:r>
    </w:p>
    <w:p w14:paraId="51462D4C" w14:textId="77777777" w:rsidR="00724C44" w:rsidRPr="00724C44" w:rsidRDefault="00724C44" w:rsidP="00724C44">
      <w:pPr>
        <w:spacing w:line="240" w:lineRule="auto"/>
        <w:jc w:val="both"/>
      </w:pPr>
      <w:r w:rsidRPr="00724C44">
        <w:rPr>
          <w:b/>
        </w:rPr>
        <w:t>Table 4.37</w:t>
      </w:r>
    </w:p>
    <w:p w14:paraId="0C449A46" w14:textId="77777777" w:rsidR="00724C44" w:rsidRPr="00724C44" w:rsidRDefault="00724C44" w:rsidP="00724C44">
      <w:pPr>
        <w:spacing w:line="240" w:lineRule="auto"/>
        <w:jc w:val="both"/>
      </w:pPr>
      <w:r w:rsidRPr="00724C44">
        <w:rPr>
          <w:i/>
        </w:rPr>
        <w:t>Joint Display – Integration of Quantitative and Qualitative Findings (n = 400)</w:t>
      </w:r>
    </w:p>
    <w:tbl>
      <w:tblPr>
        <w:tblW w:w="0" w:type="auto"/>
        <w:tblLayout w:type="fixed"/>
        <w:tblLook w:val="04A0" w:firstRow="1" w:lastRow="0" w:firstColumn="1" w:lastColumn="0" w:noHBand="0" w:noVBand="1"/>
      </w:tblPr>
      <w:tblGrid>
        <w:gridCol w:w="1890"/>
        <w:gridCol w:w="2250"/>
        <w:gridCol w:w="1440"/>
        <w:gridCol w:w="3690"/>
      </w:tblGrid>
      <w:tr w:rsidR="00724C44" w:rsidRPr="00724C44" w14:paraId="78E105B2" w14:textId="77777777" w:rsidTr="00BE52AD">
        <w:tc>
          <w:tcPr>
            <w:tcW w:w="1890" w:type="dxa"/>
            <w:tcBorders>
              <w:top w:val="single" w:sz="4" w:space="0" w:color="000000"/>
              <w:left w:val="nil"/>
              <w:bottom w:val="single" w:sz="4" w:space="0" w:color="000000"/>
              <w:right w:val="nil"/>
            </w:tcBorders>
          </w:tcPr>
          <w:p w14:paraId="3EDF24DB" w14:textId="77777777" w:rsidR="00724C44" w:rsidRPr="00BE52AD" w:rsidRDefault="00724C44" w:rsidP="00BE52AD">
            <w:pPr>
              <w:spacing w:after="0" w:line="240" w:lineRule="auto"/>
              <w:jc w:val="both"/>
              <w:rPr>
                <w:sz w:val="22"/>
                <w:szCs w:val="22"/>
              </w:rPr>
            </w:pPr>
            <w:r w:rsidRPr="00BE52AD">
              <w:rPr>
                <w:b/>
                <w:sz w:val="22"/>
                <w:szCs w:val="22"/>
              </w:rPr>
              <w:t>Quantitative Finding</w:t>
            </w:r>
          </w:p>
        </w:tc>
        <w:tc>
          <w:tcPr>
            <w:tcW w:w="2250" w:type="dxa"/>
            <w:tcBorders>
              <w:top w:val="single" w:sz="4" w:space="0" w:color="000000"/>
              <w:left w:val="nil"/>
              <w:bottom w:val="single" w:sz="4" w:space="0" w:color="000000"/>
              <w:right w:val="nil"/>
            </w:tcBorders>
          </w:tcPr>
          <w:p w14:paraId="1195AC98" w14:textId="77777777" w:rsidR="00724C44" w:rsidRPr="00BE52AD" w:rsidRDefault="00724C44" w:rsidP="00BE52AD">
            <w:pPr>
              <w:spacing w:after="0" w:line="240" w:lineRule="auto"/>
              <w:jc w:val="both"/>
              <w:rPr>
                <w:sz w:val="22"/>
                <w:szCs w:val="22"/>
              </w:rPr>
            </w:pPr>
            <w:r w:rsidRPr="00BE52AD">
              <w:rPr>
                <w:b/>
                <w:sz w:val="22"/>
                <w:szCs w:val="22"/>
              </w:rPr>
              <w:t>Corresponding Qualitative Theme(s)</w:t>
            </w:r>
          </w:p>
        </w:tc>
        <w:tc>
          <w:tcPr>
            <w:tcW w:w="1440" w:type="dxa"/>
            <w:tcBorders>
              <w:top w:val="single" w:sz="4" w:space="0" w:color="000000"/>
              <w:left w:val="nil"/>
              <w:bottom w:val="single" w:sz="4" w:space="0" w:color="000000"/>
              <w:right w:val="nil"/>
            </w:tcBorders>
          </w:tcPr>
          <w:p w14:paraId="360AFE30" w14:textId="77777777" w:rsidR="00724C44" w:rsidRPr="00BE52AD" w:rsidRDefault="00724C44" w:rsidP="00BE52AD">
            <w:pPr>
              <w:spacing w:after="0" w:line="240" w:lineRule="auto"/>
              <w:jc w:val="both"/>
              <w:rPr>
                <w:sz w:val="22"/>
                <w:szCs w:val="22"/>
              </w:rPr>
            </w:pPr>
            <w:r w:rsidRPr="00BE52AD">
              <w:rPr>
                <w:b/>
                <w:sz w:val="22"/>
                <w:szCs w:val="22"/>
              </w:rPr>
              <w:t>Integration Outcome</w:t>
            </w:r>
          </w:p>
        </w:tc>
        <w:tc>
          <w:tcPr>
            <w:tcW w:w="3690" w:type="dxa"/>
            <w:tcBorders>
              <w:top w:val="single" w:sz="4" w:space="0" w:color="000000"/>
              <w:left w:val="nil"/>
              <w:bottom w:val="single" w:sz="4" w:space="0" w:color="000000"/>
              <w:right w:val="nil"/>
            </w:tcBorders>
          </w:tcPr>
          <w:p w14:paraId="5EC64F67" w14:textId="77777777" w:rsidR="00724C44" w:rsidRPr="00BE52AD" w:rsidRDefault="00724C44" w:rsidP="00BE52AD">
            <w:pPr>
              <w:spacing w:after="0" w:line="240" w:lineRule="auto"/>
              <w:jc w:val="both"/>
              <w:rPr>
                <w:sz w:val="22"/>
                <w:szCs w:val="22"/>
              </w:rPr>
            </w:pPr>
            <w:r w:rsidRPr="00BE52AD">
              <w:rPr>
                <w:b/>
                <w:sz w:val="22"/>
                <w:szCs w:val="22"/>
              </w:rPr>
              <w:t>Mixed-Methods Interpretation</w:t>
            </w:r>
          </w:p>
        </w:tc>
      </w:tr>
      <w:tr w:rsidR="00724C44" w:rsidRPr="00724C44" w14:paraId="465D4E35" w14:textId="77777777" w:rsidTr="00BE52AD">
        <w:tc>
          <w:tcPr>
            <w:tcW w:w="1890" w:type="dxa"/>
            <w:tcBorders>
              <w:top w:val="nil"/>
              <w:left w:val="nil"/>
              <w:bottom w:val="nil"/>
              <w:right w:val="nil"/>
            </w:tcBorders>
          </w:tcPr>
          <w:p w14:paraId="6BA4715A" w14:textId="77777777" w:rsidR="00724C44" w:rsidRPr="00BE52AD" w:rsidRDefault="00724C44" w:rsidP="00BE52AD">
            <w:pPr>
              <w:spacing w:after="0" w:line="240" w:lineRule="auto"/>
              <w:rPr>
                <w:sz w:val="22"/>
                <w:szCs w:val="22"/>
              </w:rPr>
            </w:pPr>
            <w:r w:rsidRPr="00BE52AD">
              <w:rPr>
                <w:sz w:val="22"/>
                <w:szCs w:val="22"/>
              </w:rPr>
              <w:t>AI Integration moderate-high (M = 4.73)</w:t>
            </w:r>
          </w:p>
        </w:tc>
        <w:tc>
          <w:tcPr>
            <w:tcW w:w="2250" w:type="dxa"/>
            <w:tcBorders>
              <w:top w:val="nil"/>
              <w:left w:val="nil"/>
              <w:bottom w:val="nil"/>
              <w:right w:val="nil"/>
            </w:tcBorders>
          </w:tcPr>
          <w:p w14:paraId="1E9D74EC" w14:textId="77777777" w:rsidR="00724C44" w:rsidRPr="00BE52AD" w:rsidRDefault="00724C44" w:rsidP="00BE52AD">
            <w:pPr>
              <w:spacing w:after="0" w:line="240" w:lineRule="auto"/>
              <w:jc w:val="both"/>
              <w:rPr>
                <w:sz w:val="22"/>
                <w:szCs w:val="22"/>
              </w:rPr>
            </w:pPr>
            <w:r w:rsidRPr="00BE52AD">
              <w:rPr>
                <w:sz w:val="22"/>
                <w:szCs w:val="22"/>
              </w:rPr>
              <w:t>Theme 1.1: Data and systems fragmentation; Theme 1.2: Capability and expertise gaps</w:t>
            </w:r>
          </w:p>
        </w:tc>
        <w:tc>
          <w:tcPr>
            <w:tcW w:w="1440" w:type="dxa"/>
            <w:tcBorders>
              <w:top w:val="nil"/>
              <w:left w:val="nil"/>
              <w:bottom w:val="nil"/>
              <w:right w:val="nil"/>
            </w:tcBorders>
          </w:tcPr>
          <w:p w14:paraId="199B3284" w14:textId="77777777" w:rsidR="00724C44" w:rsidRPr="00BE52AD" w:rsidRDefault="00724C44" w:rsidP="00BE52AD">
            <w:pPr>
              <w:spacing w:after="0" w:line="240" w:lineRule="auto"/>
              <w:jc w:val="both"/>
              <w:rPr>
                <w:sz w:val="22"/>
                <w:szCs w:val="22"/>
              </w:rPr>
            </w:pPr>
            <w:r w:rsidRPr="00BE52AD">
              <w:rPr>
                <w:sz w:val="22"/>
                <w:szCs w:val="22"/>
              </w:rPr>
              <w:t>Expansion</w:t>
            </w:r>
          </w:p>
        </w:tc>
        <w:tc>
          <w:tcPr>
            <w:tcW w:w="3690" w:type="dxa"/>
            <w:tcBorders>
              <w:top w:val="nil"/>
              <w:left w:val="nil"/>
              <w:bottom w:val="nil"/>
              <w:right w:val="nil"/>
            </w:tcBorders>
          </w:tcPr>
          <w:p w14:paraId="71EDAEF1" w14:textId="77777777" w:rsidR="00724C44" w:rsidRPr="00BE52AD" w:rsidRDefault="00724C44" w:rsidP="00BE52AD">
            <w:pPr>
              <w:spacing w:after="0" w:line="240" w:lineRule="auto"/>
              <w:jc w:val="both"/>
              <w:rPr>
                <w:sz w:val="22"/>
                <w:szCs w:val="22"/>
              </w:rPr>
            </w:pPr>
            <w:r w:rsidRPr="00BE52AD">
              <w:rPr>
                <w:sz w:val="22"/>
                <w:szCs w:val="22"/>
              </w:rPr>
              <w:t>Quantitative scores indicate moderate to high AI capability, but qualitative themes reveal that this capability is unevenly distributed across data, systems, and expertise. Respondents experience AI as partially implemented rather than fully embedded.</w:t>
            </w:r>
          </w:p>
        </w:tc>
      </w:tr>
      <w:tr w:rsidR="00724C44" w:rsidRPr="00724C44" w14:paraId="1283BAFA" w14:textId="77777777" w:rsidTr="00BE52AD">
        <w:tc>
          <w:tcPr>
            <w:tcW w:w="1890" w:type="dxa"/>
            <w:tcBorders>
              <w:top w:val="nil"/>
              <w:left w:val="nil"/>
              <w:bottom w:val="nil"/>
              <w:right w:val="nil"/>
            </w:tcBorders>
          </w:tcPr>
          <w:p w14:paraId="048E2E6F" w14:textId="77777777" w:rsidR="00724C44" w:rsidRPr="00BE52AD" w:rsidRDefault="00724C44" w:rsidP="00BE52AD">
            <w:pPr>
              <w:spacing w:after="0" w:line="240" w:lineRule="auto"/>
              <w:jc w:val="both"/>
              <w:rPr>
                <w:sz w:val="22"/>
                <w:szCs w:val="22"/>
              </w:rPr>
            </w:pPr>
            <w:r w:rsidRPr="00BE52AD">
              <w:rPr>
                <w:sz w:val="22"/>
                <w:szCs w:val="22"/>
              </w:rPr>
              <w:t>HCD Quality low (M = 2.98)</w:t>
            </w:r>
          </w:p>
        </w:tc>
        <w:tc>
          <w:tcPr>
            <w:tcW w:w="2250" w:type="dxa"/>
            <w:tcBorders>
              <w:top w:val="nil"/>
              <w:left w:val="nil"/>
              <w:bottom w:val="nil"/>
              <w:right w:val="nil"/>
            </w:tcBorders>
          </w:tcPr>
          <w:p w14:paraId="5D98105E" w14:textId="77777777" w:rsidR="00724C44" w:rsidRPr="00BE52AD" w:rsidRDefault="00724C44" w:rsidP="00BE52AD">
            <w:pPr>
              <w:spacing w:after="0" w:line="240" w:lineRule="auto"/>
              <w:jc w:val="both"/>
              <w:rPr>
                <w:sz w:val="22"/>
                <w:szCs w:val="22"/>
              </w:rPr>
            </w:pPr>
            <w:r w:rsidRPr="00BE52AD">
              <w:rPr>
                <w:sz w:val="22"/>
                <w:szCs w:val="22"/>
              </w:rPr>
              <w:t>Theme 1.4: Regulatory and standards vacuum; Theme 2.4: Reporting substance</w:t>
            </w:r>
          </w:p>
        </w:tc>
        <w:tc>
          <w:tcPr>
            <w:tcW w:w="1440" w:type="dxa"/>
            <w:tcBorders>
              <w:top w:val="nil"/>
              <w:left w:val="nil"/>
              <w:bottom w:val="nil"/>
              <w:right w:val="nil"/>
            </w:tcBorders>
          </w:tcPr>
          <w:p w14:paraId="2DB8E142" w14:textId="77777777" w:rsidR="00724C44" w:rsidRPr="00BE52AD" w:rsidRDefault="00724C44" w:rsidP="00BE52AD">
            <w:pPr>
              <w:spacing w:after="0" w:line="240" w:lineRule="auto"/>
              <w:jc w:val="both"/>
              <w:rPr>
                <w:sz w:val="22"/>
                <w:szCs w:val="22"/>
              </w:rPr>
            </w:pPr>
            <w:r w:rsidRPr="00BE52AD">
              <w:rPr>
                <w:sz w:val="22"/>
                <w:szCs w:val="22"/>
              </w:rPr>
              <w:t>Confirmation</w:t>
            </w:r>
          </w:p>
        </w:tc>
        <w:tc>
          <w:tcPr>
            <w:tcW w:w="3690" w:type="dxa"/>
            <w:tcBorders>
              <w:top w:val="nil"/>
              <w:left w:val="nil"/>
              <w:bottom w:val="nil"/>
              <w:right w:val="nil"/>
            </w:tcBorders>
          </w:tcPr>
          <w:p w14:paraId="28A6652A" w14:textId="77777777" w:rsidR="00724C44" w:rsidRPr="00BE52AD" w:rsidRDefault="00724C44" w:rsidP="00BE52AD">
            <w:pPr>
              <w:spacing w:after="0" w:line="240" w:lineRule="auto"/>
              <w:jc w:val="both"/>
              <w:rPr>
                <w:sz w:val="22"/>
                <w:szCs w:val="22"/>
              </w:rPr>
            </w:pPr>
            <w:r w:rsidRPr="00BE52AD">
              <w:rPr>
                <w:sz w:val="22"/>
                <w:szCs w:val="22"/>
              </w:rPr>
              <w:t xml:space="preserve">Qualitative themes </w:t>
            </w:r>
            <w:proofErr w:type="gramStart"/>
            <w:r w:rsidRPr="00BE52AD">
              <w:rPr>
                <w:sz w:val="22"/>
                <w:szCs w:val="22"/>
              </w:rPr>
              <w:t>corroborate</w:t>
            </w:r>
            <w:proofErr w:type="gramEnd"/>
            <w:r w:rsidRPr="00BE52AD">
              <w:rPr>
                <w:sz w:val="22"/>
                <w:szCs w:val="22"/>
              </w:rPr>
              <w:t xml:space="preserve"> the low quantitative disclosure quality. Respondents identify both the absence of authoritative frameworks and substantive deficits in reporting content as causes of weak disclosure.</w:t>
            </w:r>
          </w:p>
        </w:tc>
      </w:tr>
      <w:tr w:rsidR="00724C44" w:rsidRPr="00724C44" w14:paraId="500CA9C2" w14:textId="77777777" w:rsidTr="00BE52AD">
        <w:tc>
          <w:tcPr>
            <w:tcW w:w="1890" w:type="dxa"/>
            <w:tcBorders>
              <w:top w:val="nil"/>
              <w:left w:val="nil"/>
              <w:bottom w:val="nil"/>
              <w:right w:val="nil"/>
            </w:tcBorders>
          </w:tcPr>
          <w:p w14:paraId="62A8BD91" w14:textId="77777777" w:rsidR="00724C44" w:rsidRPr="00BE52AD" w:rsidRDefault="00724C44" w:rsidP="00BE52AD">
            <w:pPr>
              <w:spacing w:after="0" w:line="240" w:lineRule="auto"/>
              <w:jc w:val="both"/>
              <w:rPr>
                <w:sz w:val="22"/>
                <w:szCs w:val="22"/>
              </w:rPr>
            </w:pPr>
            <w:r w:rsidRPr="00BE52AD">
              <w:rPr>
                <w:sz w:val="22"/>
                <w:szCs w:val="22"/>
              </w:rPr>
              <w:t>Data-to-disclosure gap of 1.75 points</w:t>
            </w:r>
          </w:p>
        </w:tc>
        <w:tc>
          <w:tcPr>
            <w:tcW w:w="2250" w:type="dxa"/>
            <w:tcBorders>
              <w:top w:val="nil"/>
              <w:left w:val="nil"/>
              <w:bottom w:val="nil"/>
              <w:right w:val="nil"/>
            </w:tcBorders>
          </w:tcPr>
          <w:p w14:paraId="7E7D5F14" w14:textId="77777777" w:rsidR="00724C44" w:rsidRPr="00BE52AD" w:rsidRDefault="00724C44" w:rsidP="00BE52AD">
            <w:pPr>
              <w:spacing w:after="0" w:line="240" w:lineRule="auto"/>
              <w:rPr>
                <w:sz w:val="22"/>
                <w:szCs w:val="22"/>
              </w:rPr>
            </w:pPr>
            <w:r w:rsidRPr="00BE52AD">
              <w:rPr>
                <w:sz w:val="22"/>
                <w:szCs w:val="22"/>
              </w:rPr>
              <w:t>Theme 1.1; Theme 2.3: Governance and data quality; Theme 3.1: Organizational readiness trumps technology</w:t>
            </w:r>
          </w:p>
        </w:tc>
        <w:tc>
          <w:tcPr>
            <w:tcW w:w="1440" w:type="dxa"/>
            <w:tcBorders>
              <w:top w:val="nil"/>
              <w:left w:val="nil"/>
              <w:bottom w:val="nil"/>
              <w:right w:val="nil"/>
            </w:tcBorders>
          </w:tcPr>
          <w:p w14:paraId="2AB588B0" w14:textId="77777777" w:rsidR="00724C44" w:rsidRPr="00BE52AD" w:rsidRDefault="00724C44" w:rsidP="00BE52AD">
            <w:pPr>
              <w:spacing w:after="0" w:line="240" w:lineRule="auto"/>
              <w:jc w:val="both"/>
              <w:rPr>
                <w:sz w:val="22"/>
                <w:szCs w:val="22"/>
              </w:rPr>
            </w:pPr>
            <w:r w:rsidRPr="00BE52AD">
              <w:rPr>
                <w:sz w:val="22"/>
                <w:szCs w:val="22"/>
              </w:rPr>
              <w:t>Confirmation and expansion</w:t>
            </w:r>
          </w:p>
        </w:tc>
        <w:tc>
          <w:tcPr>
            <w:tcW w:w="3690" w:type="dxa"/>
            <w:tcBorders>
              <w:top w:val="nil"/>
              <w:left w:val="nil"/>
              <w:bottom w:val="nil"/>
              <w:right w:val="nil"/>
            </w:tcBorders>
          </w:tcPr>
          <w:p w14:paraId="11499CAF" w14:textId="77777777" w:rsidR="00724C44" w:rsidRPr="00BE52AD" w:rsidRDefault="00724C44" w:rsidP="00BE52AD">
            <w:pPr>
              <w:spacing w:after="0" w:line="240" w:lineRule="auto"/>
              <w:jc w:val="both"/>
              <w:rPr>
                <w:sz w:val="22"/>
                <w:szCs w:val="22"/>
              </w:rPr>
            </w:pPr>
            <w:r w:rsidRPr="00BE52AD">
              <w:rPr>
                <w:sz w:val="22"/>
                <w:szCs w:val="22"/>
              </w:rPr>
              <w:t>The 1.75-point gap is corroborated and explained: respondents attribute the disconnect not to lack of data but to insufficient governance, fragmented integration, and weak organizational readiness — supporting the necessary but not sufficient theoretical proposition.</w:t>
            </w:r>
          </w:p>
        </w:tc>
      </w:tr>
      <w:tr w:rsidR="00724C44" w:rsidRPr="00724C44" w14:paraId="1E585A0D" w14:textId="77777777" w:rsidTr="00BE52AD">
        <w:tc>
          <w:tcPr>
            <w:tcW w:w="1890" w:type="dxa"/>
            <w:tcBorders>
              <w:top w:val="nil"/>
              <w:left w:val="nil"/>
              <w:bottom w:val="nil"/>
              <w:right w:val="nil"/>
            </w:tcBorders>
          </w:tcPr>
          <w:p w14:paraId="10D95C8F" w14:textId="77777777" w:rsidR="00724C44" w:rsidRPr="00BE52AD" w:rsidRDefault="00724C44" w:rsidP="00BE52AD">
            <w:pPr>
              <w:spacing w:after="0" w:line="240" w:lineRule="auto"/>
              <w:rPr>
                <w:sz w:val="22"/>
                <w:szCs w:val="22"/>
              </w:rPr>
            </w:pPr>
            <w:r w:rsidRPr="00BE52AD">
              <w:rPr>
                <w:sz w:val="22"/>
                <w:szCs w:val="22"/>
              </w:rPr>
              <w:t>H1 not supported (r = −0.075, p = .132)</w:t>
            </w:r>
          </w:p>
        </w:tc>
        <w:tc>
          <w:tcPr>
            <w:tcW w:w="2250" w:type="dxa"/>
            <w:tcBorders>
              <w:top w:val="nil"/>
              <w:left w:val="nil"/>
              <w:bottom w:val="nil"/>
              <w:right w:val="nil"/>
            </w:tcBorders>
          </w:tcPr>
          <w:p w14:paraId="7DC08EB2" w14:textId="77777777" w:rsidR="00724C44" w:rsidRPr="00BE52AD" w:rsidRDefault="00724C44" w:rsidP="00BE52AD">
            <w:pPr>
              <w:spacing w:after="0" w:line="240" w:lineRule="auto"/>
              <w:rPr>
                <w:sz w:val="22"/>
                <w:szCs w:val="22"/>
              </w:rPr>
            </w:pPr>
            <w:r w:rsidRPr="00BE52AD">
              <w:rPr>
                <w:sz w:val="22"/>
                <w:szCs w:val="22"/>
              </w:rPr>
              <w:t>Theme 3.1; Theme 3.2: Human–AI hybrid imperatives</w:t>
            </w:r>
          </w:p>
        </w:tc>
        <w:tc>
          <w:tcPr>
            <w:tcW w:w="1440" w:type="dxa"/>
            <w:tcBorders>
              <w:top w:val="nil"/>
              <w:left w:val="nil"/>
              <w:bottom w:val="nil"/>
              <w:right w:val="nil"/>
            </w:tcBorders>
          </w:tcPr>
          <w:p w14:paraId="5F2F3E12" w14:textId="77777777" w:rsidR="00724C44" w:rsidRPr="00BE52AD" w:rsidRDefault="00724C44" w:rsidP="00BE52AD">
            <w:pPr>
              <w:spacing w:after="0" w:line="240" w:lineRule="auto"/>
              <w:jc w:val="both"/>
              <w:rPr>
                <w:sz w:val="22"/>
                <w:szCs w:val="22"/>
              </w:rPr>
            </w:pPr>
            <w:r w:rsidRPr="00BE52AD">
              <w:rPr>
                <w:sz w:val="22"/>
                <w:szCs w:val="22"/>
              </w:rPr>
              <w:t>Confirmation</w:t>
            </w:r>
          </w:p>
        </w:tc>
        <w:tc>
          <w:tcPr>
            <w:tcW w:w="3690" w:type="dxa"/>
            <w:tcBorders>
              <w:top w:val="nil"/>
              <w:left w:val="nil"/>
              <w:bottom w:val="nil"/>
              <w:right w:val="nil"/>
            </w:tcBorders>
          </w:tcPr>
          <w:p w14:paraId="326D18AC" w14:textId="77777777" w:rsidR="00724C44" w:rsidRPr="00BE52AD" w:rsidRDefault="00724C44" w:rsidP="00BE52AD">
            <w:pPr>
              <w:spacing w:after="0" w:line="240" w:lineRule="auto"/>
              <w:jc w:val="both"/>
              <w:rPr>
                <w:sz w:val="22"/>
                <w:szCs w:val="22"/>
              </w:rPr>
            </w:pPr>
            <w:r w:rsidRPr="00BE52AD">
              <w:rPr>
                <w:sz w:val="22"/>
                <w:szCs w:val="22"/>
              </w:rPr>
              <w:t>The null direct effect is qualitatively explained: respondents repeatedly emphasize that successful AI adoption depends more on organizational readiness than on technology sophistication, and that AI must augment rather than replace human judgment. The null finding is a substantive theoretical result, not a measurement artifact.</w:t>
            </w:r>
          </w:p>
        </w:tc>
      </w:tr>
      <w:tr w:rsidR="00724C44" w:rsidRPr="00724C44" w14:paraId="729CB0D7" w14:textId="77777777" w:rsidTr="00BE52AD">
        <w:tc>
          <w:tcPr>
            <w:tcW w:w="1890" w:type="dxa"/>
            <w:tcBorders>
              <w:top w:val="nil"/>
              <w:left w:val="nil"/>
              <w:bottom w:val="nil"/>
              <w:right w:val="nil"/>
            </w:tcBorders>
          </w:tcPr>
          <w:p w14:paraId="3E8356DA" w14:textId="77777777" w:rsidR="00724C44" w:rsidRPr="00BE52AD" w:rsidRDefault="00724C44" w:rsidP="00BE52AD">
            <w:pPr>
              <w:spacing w:after="0" w:line="240" w:lineRule="auto"/>
              <w:jc w:val="both"/>
              <w:rPr>
                <w:sz w:val="22"/>
                <w:szCs w:val="22"/>
              </w:rPr>
            </w:pPr>
            <w:r w:rsidRPr="00BE52AD">
              <w:rPr>
                <w:sz w:val="22"/>
                <w:szCs w:val="22"/>
              </w:rPr>
              <w:t>H2 mediation not supported</w:t>
            </w:r>
          </w:p>
        </w:tc>
        <w:tc>
          <w:tcPr>
            <w:tcW w:w="2250" w:type="dxa"/>
            <w:tcBorders>
              <w:top w:val="nil"/>
              <w:left w:val="nil"/>
              <w:bottom w:val="nil"/>
              <w:right w:val="nil"/>
            </w:tcBorders>
          </w:tcPr>
          <w:p w14:paraId="4FA7B087" w14:textId="77777777" w:rsidR="00724C44" w:rsidRPr="00BE52AD" w:rsidRDefault="00724C44" w:rsidP="00BE52AD">
            <w:pPr>
              <w:spacing w:after="0" w:line="240" w:lineRule="auto"/>
              <w:rPr>
                <w:sz w:val="22"/>
                <w:szCs w:val="22"/>
              </w:rPr>
            </w:pPr>
            <w:r w:rsidRPr="00BE52AD">
              <w:rPr>
                <w:sz w:val="22"/>
                <w:szCs w:val="22"/>
              </w:rPr>
              <w:t>Theme 1.4; Theme 2.1: Standardization and frameworks</w:t>
            </w:r>
          </w:p>
        </w:tc>
        <w:tc>
          <w:tcPr>
            <w:tcW w:w="1440" w:type="dxa"/>
            <w:tcBorders>
              <w:top w:val="nil"/>
              <w:left w:val="nil"/>
              <w:bottom w:val="nil"/>
              <w:right w:val="nil"/>
            </w:tcBorders>
          </w:tcPr>
          <w:p w14:paraId="6F2C01E2" w14:textId="77777777" w:rsidR="00724C44" w:rsidRPr="00BE52AD" w:rsidRDefault="00724C44" w:rsidP="00BE52AD">
            <w:pPr>
              <w:spacing w:after="0" w:line="240" w:lineRule="auto"/>
              <w:jc w:val="both"/>
              <w:rPr>
                <w:sz w:val="22"/>
                <w:szCs w:val="22"/>
              </w:rPr>
            </w:pPr>
            <w:r w:rsidRPr="00BE52AD">
              <w:rPr>
                <w:sz w:val="22"/>
                <w:szCs w:val="22"/>
              </w:rPr>
              <w:t>Confirmation</w:t>
            </w:r>
          </w:p>
        </w:tc>
        <w:tc>
          <w:tcPr>
            <w:tcW w:w="3690" w:type="dxa"/>
            <w:tcBorders>
              <w:top w:val="nil"/>
              <w:left w:val="nil"/>
              <w:bottom w:val="nil"/>
              <w:right w:val="nil"/>
            </w:tcBorders>
          </w:tcPr>
          <w:p w14:paraId="065128F3" w14:textId="77777777" w:rsidR="00724C44" w:rsidRPr="00BE52AD" w:rsidRDefault="00724C44" w:rsidP="00BE52AD">
            <w:pPr>
              <w:spacing w:after="0" w:line="240" w:lineRule="auto"/>
              <w:jc w:val="both"/>
              <w:rPr>
                <w:sz w:val="22"/>
                <w:szCs w:val="22"/>
              </w:rPr>
            </w:pPr>
            <w:r w:rsidRPr="00BE52AD">
              <w:rPr>
                <w:sz w:val="22"/>
                <w:szCs w:val="22"/>
              </w:rPr>
              <w:t>Integration protocols fail to translate AI capability into disclosure because the external standards and frameworks needed to make protocols operationally meaningful for disclosure are absent. The protocols exist as internal mechanisms but lack the external translation pathway.</w:t>
            </w:r>
          </w:p>
        </w:tc>
      </w:tr>
      <w:tr w:rsidR="00724C44" w:rsidRPr="00724C44" w14:paraId="10285A69" w14:textId="77777777" w:rsidTr="00BE52AD">
        <w:tc>
          <w:tcPr>
            <w:tcW w:w="1890" w:type="dxa"/>
            <w:tcBorders>
              <w:top w:val="nil"/>
              <w:left w:val="nil"/>
              <w:bottom w:val="nil"/>
              <w:right w:val="nil"/>
            </w:tcBorders>
          </w:tcPr>
          <w:p w14:paraId="00391BA6" w14:textId="77777777" w:rsidR="00724C44" w:rsidRPr="00BE52AD" w:rsidRDefault="00724C44" w:rsidP="00BE52AD">
            <w:pPr>
              <w:spacing w:after="0" w:line="240" w:lineRule="auto"/>
              <w:jc w:val="both"/>
              <w:rPr>
                <w:sz w:val="22"/>
                <w:szCs w:val="22"/>
              </w:rPr>
            </w:pPr>
            <w:r w:rsidRPr="00BE52AD">
              <w:rPr>
                <w:sz w:val="22"/>
                <w:szCs w:val="22"/>
              </w:rPr>
              <w:t>H3 supported (z = 2.25, p = .024)</w:t>
            </w:r>
          </w:p>
        </w:tc>
        <w:tc>
          <w:tcPr>
            <w:tcW w:w="2250" w:type="dxa"/>
            <w:tcBorders>
              <w:top w:val="nil"/>
              <w:left w:val="nil"/>
              <w:bottom w:val="nil"/>
              <w:right w:val="nil"/>
            </w:tcBorders>
          </w:tcPr>
          <w:p w14:paraId="29E66661" w14:textId="77777777" w:rsidR="00724C44" w:rsidRPr="00BE52AD" w:rsidRDefault="00724C44" w:rsidP="00BE52AD">
            <w:pPr>
              <w:spacing w:after="0" w:line="240" w:lineRule="auto"/>
              <w:rPr>
                <w:sz w:val="22"/>
                <w:szCs w:val="22"/>
              </w:rPr>
            </w:pPr>
            <w:r w:rsidRPr="00BE52AD">
              <w:rPr>
                <w:sz w:val="22"/>
                <w:szCs w:val="22"/>
              </w:rPr>
              <w:t xml:space="preserve">Theme 1.3: Privacy, ethics, and trust concerns; Theme 2.3; </w:t>
            </w:r>
            <w:r w:rsidRPr="00BE52AD">
              <w:rPr>
                <w:sz w:val="22"/>
                <w:szCs w:val="22"/>
              </w:rPr>
              <w:lastRenderedPageBreak/>
              <w:t>Theme 3.3: Ethical and governance demands</w:t>
            </w:r>
          </w:p>
        </w:tc>
        <w:tc>
          <w:tcPr>
            <w:tcW w:w="1440" w:type="dxa"/>
            <w:tcBorders>
              <w:top w:val="nil"/>
              <w:left w:val="nil"/>
              <w:bottom w:val="nil"/>
              <w:right w:val="nil"/>
            </w:tcBorders>
          </w:tcPr>
          <w:p w14:paraId="06F25E20" w14:textId="77777777" w:rsidR="00724C44" w:rsidRPr="00BE52AD" w:rsidRDefault="00724C44" w:rsidP="00BE52AD">
            <w:pPr>
              <w:spacing w:after="0" w:line="240" w:lineRule="auto"/>
              <w:jc w:val="both"/>
              <w:rPr>
                <w:sz w:val="22"/>
                <w:szCs w:val="22"/>
              </w:rPr>
            </w:pPr>
            <w:r w:rsidRPr="00BE52AD">
              <w:rPr>
                <w:sz w:val="22"/>
                <w:szCs w:val="22"/>
              </w:rPr>
              <w:lastRenderedPageBreak/>
              <w:t>Confirmation</w:t>
            </w:r>
          </w:p>
        </w:tc>
        <w:tc>
          <w:tcPr>
            <w:tcW w:w="3690" w:type="dxa"/>
            <w:tcBorders>
              <w:top w:val="nil"/>
              <w:left w:val="nil"/>
              <w:bottom w:val="nil"/>
              <w:right w:val="nil"/>
            </w:tcBorders>
          </w:tcPr>
          <w:p w14:paraId="1B11AD0C" w14:textId="77777777" w:rsidR="00724C44" w:rsidRPr="00BE52AD" w:rsidRDefault="00724C44" w:rsidP="00BE52AD">
            <w:pPr>
              <w:spacing w:after="0" w:line="240" w:lineRule="auto"/>
              <w:jc w:val="both"/>
              <w:rPr>
                <w:sz w:val="22"/>
                <w:szCs w:val="22"/>
              </w:rPr>
            </w:pPr>
            <w:r w:rsidRPr="00BE52AD">
              <w:rPr>
                <w:sz w:val="22"/>
                <w:szCs w:val="22"/>
              </w:rPr>
              <w:t xml:space="preserve">Pay transparency moderation is qualitatively confirmed and theoretically enriched. Respondents </w:t>
            </w:r>
            <w:r w:rsidRPr="00BE52AD">
              <w:rPr>
                <w:sz w:val="22"/>
                <w:szCs w:val="22"/>
              </w:rPr>
              <w:lastRenderedPageBreak/>
              <w:t>identify ethical legitimacy, governance accountability, and trust as the conditions under which AI capability can be translated into disclosure outcomes — providing direct qualitative evidence for the moderating role of pay transparency culture.</w:t>
            </w:r>
          </w:p>
        </w:tc>
      </w:tr>
      <w:tr w:rsidR="00724C44" w:rsidRPr="00724C44" w14:paraId="7857ABEF" w14:textId="77777777" w:rsidTr="00BE52AD">
        <w:tc>
          <w:tcPr>
            <w:tcW w:w="1890" w:type="dxa"/>
            <w:tcBorders>
              <w:top w:val="nil"/>
              <w:left w:val="nil"/>
              <w:bottom w:val="nil"/>
              <w:right w:val="nil"/>
            </w:tcBorders>
          </w:tcPr>
          <w:p w14:paraId="772138B2" w14:textId="77777777" w:rsidR="00724C44" w:rsidRPr="00BE52AD" w:rsidRDefault="00724C44" w:rsidP="00BE52AD">
            <w:pPr>
              <w:spacing w:after="0" w:line="240" w:lineRule="auto"/>
              <w:jc w:val="both"/>
              <w:rPr>
                <w:sz w:val="22"/>
                <w:szCs w:val="22"/>
              </w:rPr>
            </w:pPr>
            <w:r w:rsidRPr="00BE52AD">
              <w:rPr>
                <w:sz w:val="22"/>
                <w:szCs w:val="22"/>
              </w:rPr>
              <w:lastRenderedPageBreak/>
              <w:t>H4 not supported (size moderation inconsistent)</w:t>
            </w:r>
          </w:p>
        </w:tc>
        <w:tc>
          <w:tcPr>
            <w:tcW w:w="2250" w:type="dxa"/>
            <w:tcBorders>
              <w:top w:val="nil"/>
              <w:left w:val="nil"/>
              <w:bottom w:val="nil"/>
              <w:right w:val="nil"/>
            </w:tcBorders>
          </w:tcPr>
          <w:p w14:paraId="5088FA9A" w14:textId="77777777" w:rsidR="00724C44" w:rsidRPr="00BE52AD" w:rsidRDefault="00724C44" w:rsidP="00BE52AD">
            <w:pPr>
              <w:spacing w:after="0" w:line="240" w:lineRule="auto"/>
              <w:rPr>
                <w:sz w:val="22"/>
                <w:szCs w:val="22"/>
              </w:rPr>
            </w:pPr>
            <w:r w:rsidRPr="00BE52AD">
              <w:rPr>
                <w:sz w:val="22"/>
                <w:szCs w:val="22"/>
              </w:rPr>
              <w:t>Theme 1.5: Strategic and cost barriers; Theme 3.4: Manufacturing-specific implications</w:t>
            </w:r>
          </w:p>
        </w:tc>
        <w:tc>
          <w:tcPr>
            <w:tcW w:w="1440" w:type="dxa"/>
            <w:tcBorders>
              <w:top w:val="nil"/>
              <w:left w:val="nil"/>
              <w:bottom w:val="nil"/>
              <w:right w:val="nil"/>
            </w:tcBorders>
          </w:tcPr>
          <w:p w14:paraId="3202BC30" w14:textId="77777777" w:rsidR="00724C44" w:rsidRPr="00BE52AD" w:rsidRDefault="00724C44" w:rsidP="00BE52AD">
            <w:pPr>
              <w:spacing w:after="0" w:line="240" w:lineRule="auto"/>
              <w:jc w:val="both"/>
              <w:rPr>
                <w:sz w:val="22"/>
                <w:szCs w:val="22"/>
              </w:rPr>
            </w:pPr>
            <w:r w:rsidRPr="00BE52AD">
              <w:rPr>
                <w:sz w:val="22"/>
                <w:szCs w:val="22"/>
              </w:rPr>
              <w:t>Expansion</w:t>
            </w:r>
          </w:p>
        </w:tc>
        <w:tc>
          <w:tcPr>
            <w:tcW w:w="3690" w:type="dxa"/>
            <w:tcBorders>
              <w:top w:val="nil"/>
              <w:left w:val="nil"/>
              <w:bottom w:val="nil"/>
              <w:right w:val="nil"/>
            </w:tcBorders>
          </w:tcPr>
          <w:p w14:paraId="2DFA59E7" w14:textId="77777777" w:rsidR="00724C44" w:rsidRPr="00BE52AD" w:rsidRDefault="00724C44" w:rsidP="00BE52AD">
            <w:pPr>
              <w:spacing w:after="0" w:line="240" w:lineRule="auto"/>
              <w:jc w:val="both"/>
              <w:rPr>
                <w:sz w:val="22"/>
                <w:szCs w:val="22"/>
              </w:rPr>
            </w:pPr>
            <w:r w:rsidRPr="00BE52AD">
              <w:rPr>
                <w:sz w:val="22"/>
                <w:szCs w:val="22"/>
              </w:rPr>
              <w:t>Organizational size does not consistently moderate the AI–HCD relationship because contextual factors — cost-benefit perception and sector-specific characteristics — vary across size categories in ways that mask any direct size effect. Manufacturing context conditions interact with size.</w:t>
            </w:r>
          </w:p>
        </w:tc>
      </w:tr>
      <w:tr w:rsidR="00724C44" w:rsidRPr="00724C44" w14:paraId="4FE883A9" w14:textId="77777777" w:rsidTr="00BE52AD">
        <w:tc>
          <w:tcPr>
            <w:tcW w:w="1890" w:type="dxa"/>
            <w:tcBorders>
              <w:top w:val="nil"/>
              <w:left w:val="nil"/>
              <w:bottom w:val="single" w:sz="4" w:space="0" w:color="000000"/>
              <w:right w:val="nil"/>
            </w:tcBorders>
          </w:tcPr>
          <w:p w14:paraId="566BF8CB" w14:textId="77777777" w:rsidR="00724C44" w:rsidRPr="00BE52AD" w:rsidRDefault="00724C44" w:rsidP="00BE52AD">
            <w:pPr>
              <w:spacing w:after="0" w:line="240" w:lineRule="auto"/>
              <w:jc w:val="both"/>
              <w:rPr>
                <w:sz w:val="22"/>
                <w:szCs w:val="22"/>
              </w:rPr>
            </w:pPr>
            <w:r w:rsidRPr="00BE52AD">
              <w:rPr>
                <w:sz w:val="22"/>
                <w:szCs w:val="22"/>
              </w:rPr>
              <w:t>Barrier-enabler imbalance (M = 3.67 vs 2.45)</w:t>
            </w:r>
          </w:p>
        </w:tc>
        <w:tc>
          <w:tcPr>
            <w:tcW w:w="2250" w:type="dxa"/>
            <w:tcBorders>
              <w:top w:val="nil"/>
              <w:left w:val="nil"/>
              <w:bottom w:val="single" w:sz="4" w:space="0" w:color="000000"/>
              <w:right w:val="nil"/>
            </w:tcBorders>
          </w:tcPr>
          <w:p w14:paraId="07345F16" w14:textId="77777777" w:rsidR="00724C44" w:rsidRPr="00BE52AD" w:rsidRDefault="00724C44" w:rsidP="00BE52AD">
            <w:pPr>
              <w:spacing w:after="0" w:line="240" w:lineRule="auto"/>
              <w:rPr>
                <w:sz w:val="22"/>
                <w:szCs w:val="22"/>
              </w:rPr>
            </w:pPr>
            <w:r w:rsidRPr="00BE52AD">
              <w:rPr>
                <w:sz w:val="22"/>
                <w:szCs w:val="22"/>
              </w:rPr>
              <w:t>Theme 1.5; Theme 2.2: Investment in people and systems; Theme 3.3</w:t>
            </w:r>
          </w:p>
        </w:tc>
        <w:tc>
          <w:tcPr>
            <w:tcW w:w="1440" w:type="dxa"/>
            <w:tcBorders>
              <w:top w:val="nil"/>
              <w:left w:val="nil"/>
              <w:bottom w:val="single" w:sz="4" w:space="0" w:color="000000"/>
              <w:right w:val="nil"/>
            </w:tcBorders>
          </w:tcPr>
          <w:p w14:paraId="7F309293" w14:textId="77777777" w:rsidR="00724C44" w:rsidRPr="00BE52AD" w:rsidRDefault="00724C44" w:rsidP="00BE52AD">
            <w:pPr>
              <w:spacing w:after="0" w:line="240" w:lineRule="auto"/>
              <w:jc w:val="both"/>
              <w:rPr>
                <w:sz w:val="22"/>
                <w:szCs w:val="22"/>
              </w:rPr>
            </w:pPr>
            <w:r w:rsidRPr="00BE52AD">
              <w:rPr>
                <w:sz w:val="22"/>
                <w:szCs w:val="22"/>
              </w:rPr>
              <w:t>Confirmation and expansion</w:t>
            </w:r>
          </w:p>
        </w:tc>
        <w:tc>
          <w:tcPr>
            <w:tcW w:w="3690" w:type="dxa"/>
            <w:tcBorders>
              <w:top w:val="nil"/>
              <w:left w:val="nil"/>
              <w:bottom w:val="single" w:sz="4" w:space="0" w:color="000000"/>
              <w:right w:val="nil"/>
            </w:tcBorders>
          </w:tcPr>
          <w:p w14:paraId="05740B77" w14:textId="77777777" w:rsidR="00724C44" w:rsidRPr="00BE52AD" w:rsidRDefault="00724C44" w:rsidP="00BE52AD">
            <w:pPr>
              <w:spacing w:after="0" w:line="240" w:lineRule="auto"/>
              <w:jc w:val="both"/>
              <w:rPr>
                <w:sz w:val="22"/>
                <w:szCs w:val="22"/>
              </w:rPr>
            </w:pPr>
            <w:r w:rsidRPr="00BE52AD">
              <w:rPr>
                <w:sz w:val="22"/>
                <w:szCs w:val="22"/>
              </w:rPr>
              <w:t>The descriptive imbalance is qualitatively corroborated and explained: respondents identify cost, change management, ethical concerns, and weak external support as active barriers, while expressing strong demand for the enablers (training, integrated systems, governance) that are currently in short supply.</w:t>
            </w:r>
          </w:p>
        </w:tc>
      </w:tr>
    </w:tbl>
    <w:p w14:paraId="260FC369" w14:textId="77777777" w:rsidR="00724C44" w:rsidRPr="00BE52AD" w:rsidRDefault="00724C44" w:rsidP="00724C44">
      <w:pPr>
        <w:spacing w:line="240" w:lineRule="auto"/>
        <w:jc w:val="both"/>
        <w:rPr>
          <w:sz w:val="22"/>
          <w:szCs w:val="22"/>
        </w:rPr>
      </w:pPr>
      <w:r w:rsidRPr="00BE52AD">
        <w:rPr>
          <w:i/>
          <w:sz w:val="22"/>
          <w:szCs w:val="22"/>
        </w:rPr>
        <w:t xml:space="preserve">Note. </w:t>
      </w:r>
      <w:r w:rsidRPr="00BE52AD">
        <w:rPr>
          <w:sz w:val="22"/>
          <w:szCs w:val="22"/>
        </w:rPr>
        <w:t>Integration outcomes follow Fetters et al. (2013): confirmation indicates qualitative–quantitative convergence; expansion indicates that qualitative findings extend the quantitative results into new dimensions; discordance indicates contradiction or qualification.</w:t>
      </w:r>
    </w:p>
    <w:p w14:paraId="45C864E4" w14:textId="77777777" w:rsidR="00724C44" w:rsidRPr="00724C44" w:rsidRDefault="00724C44" w:rsidP="00724C44">
      <w:pPr>
        <w:spacing w:line="240" w:lineRule="auto"/>
        <w:jc w:val="both"/>
      </w:pPr>
      <w:r w:rsidRPr="00724C44">
        <w:t>The joint display reveals three integrative patterns that are substantively important to the study’s contribution. First, the dominant integration outcome is confirmation, with five of the eight findings showing direct corroboration between quantitative and qualitative evidence. This consistency across methodological lenses indicates that the quantitative results are not artifacts of measurement choice or instrument design but reflect substantive organizational realities recognized independently by respondents in their open-ended commentary. The convergence is particularly compelling for the H1 null finding and the H3-supported moderation: in both cases, the qualitative themes provide independent theoretical grounding for the empirical results, strengthening the manuscript’s central claim that the AI–disclosure relationship is conditional rather than direct.</w:t>
      </w:r>
    </w:p>
    <w:p w14:paraId="33D35F30" w14:textId="330D9653" w:rsidR="00724C44" w:rsidRPr="00724C44" w:rsidRDefault="00724C44" w:rsidP="00724C44">
      <w:pPr>
        <w:spacing w:line="240" w:lineRule="auto"/>
        <w:jc w:val="both"/>
      </w:pPr>
      <w:r w:rsidRPr="00724C44">
        <w:t xml:space="preserve">Second, three findings produce expansion outcomes, in which qualitative themes extend the quantitative results in theoretically meaningful directions. The moderate-high AI Integration score (M = 4.73) is qualitatively expanded by themes 1.1 and 1.2, which reveal that capability is unevenly distributed across data, systems, and expertise rather than uniformly developed. The 1.75-point data-to-disclosure gap is </w:t>
      </w:r>
      <w:r w:rsidR="00D961F9">
        <w:t>further elaborated on by themes 1.1, 2.3, and 3.1, which together identify governance fragmentation and organizational readiness as the active driver</w:t>
      </w:r>
      <w:r w:rsidRPr="00724C44">
        <w:t xml:space="preserve">s of the disconnect. The unsupported H4 size moderation is qualitatively expanded by themes 1.5 and 3.4, which reveal that contextual factors such as cost perception and sector-specific characteristics may interact with size in ways that obscure any direct size effect. These expansion outcomes demonstrate that the qualitative findings add theoretical depth that the quantitative results alone </w:t>
      </w:r>
      <w:r w:rsidRPr="00724C44">
        <w:lastRenderedPageBreak/>
        <w:t>cannot provide, fulfilling the explanatory role expected of qualitative phases in mixed-methods research.</w:t>
      </w:r>
    </w:p>
    <w:p w14:paraId="4EF77E8A" w14:textId="77777777" w:rsidR="00724C44" w:rsidRPr="00724C44" w:rsidRDefault="00724C44" w:rsidP="00724C44">
      <w:pPr>
        <w:spacing w:line="240" w:lineRule="auto"/>
        <w:jc w:val="both"/>
      </w:pPr>
      <w:r w:rsidRPr="00724C44">
        <w:t xml:space="preserve">Third, no findings produced discordant outcomes — that is, no qualitative </w:t>
      </w:r>
      <w:proofErr w:type="gramStart"/>
      <w:r w:rsidRPr="00724C44">
        <w:t>theme</w:t>
      </w:r>
      <w:proofErr w:type="gramEnd"/>
      <w:r w:rsidRPr="00724C44">
        <w:t xml:space="preserve"> contradicted a corresponding quantitative result. The absence of discordance </w:t>
      </w:r>
      <w:proofErr w:type="gramStart"/>
      <w:r w:rsidRPr="00724C44">
        <w:t>is itself</w:t>
      </w:r>
      <w:proofErr w:type="gramEnd"/>
      <w:r w:rsidRPr="00724C44">
        <w:t xml:space="preserve"> a methodologically valuable observation: it indicates that the quantitative and qualitative methodologies are measuring the same underlying organizational phenomena rather than capturing divergent constructs. This pattern strengthens the validity of the mixed-methods design and supports the interpretive coherence of the integrated findings.</w:t>
      </w:r>
    </w:p>
    <w:p w14:paraId="4559DE95" w14:textId="7A6EDC84" w:rsidR="006235D2" w:rsidRPr="006235D2" w:rsidRDefault="006235D2" w:rsidP="006235D2">
      <w:pPr>
        <w:spacing w:line="240" w:lineRule="auto"/>
        <w:jc w:val="both"/>
      </w:pPr>
      <w:r w:rsidRPr="006235D2">
        <w:rPr>
          <w:b/>
        </w:rPr>
        <w:t>5. DISCUSSION, CONCLUSIONS, AND RECOMMENDATIONS</w:t>
      </w:r>
    </w:p>
    <w:p w14:paraId="23BCE607" w14:textId="77777777" w:rsidR="006235D2" w:rsidRPr="006235D2" w:rsidRDefault="006235D2" w:rsidP="006235D2">
      <w:pPr>
        <w:spacing w:line="240" w:lineRule="auto"/>
        <w:jc w:val="both"/>
      </w:pPr>
      <w:r w:rsidRPr="006235D2">
        <w:rPr>
          <w:b/>
        </w:rPr>
        <w:t>5.1 Introduction</w:t>
      </w:r>
    </w:p>
    <w:p w14:paraId="20D1639A" w14:textId="1BC1F208" w:rsidR="006235D2" w:rsidRPr="006235D2" w:rsidRDefault="006235D2" w:rsidP="006235D2">
      <w:pPr>
        <w:spacing w:line="240" w:lineRule="auto"/>
        <w:jc w:val="both"/>
      </w:pPr>
      <w:r w:rsidRPr="006235D2">
        <w:t xml:space="preserve">This </w:t>
      </w:r>
      <w:r w:rsidR="00E133F2">
        <w:t>section</w:t>
      </w:r>
      <w:r w:rsidRPr="006235D2">
        <w:t xml:space="preserve"> discusses the empirical findings </w:t>
      </w:r>
      <w:r w:rsidR="00C313FF">
        <w:t>in relation to the five research objectives, develops theoretical contributions and practical implications, and documents the study's</w:t>
      </w:r>
      <w:r w:rsidRPr="006235D2">
        <w:t xml:space="preserve"> limitations and future research directions. Consistent with the cross-sectional, exploratory analytical scope (Sections 3.1 and 4.1), the discussion uses the language of association rather than causation; the analytical boundaries and next-phase commitments are presented in Sections 5.9 and 5.10.</w:t>
      </w:r>
    </w:p>
    <w:p w14:paraId="1BE6C23F" w14:textId="77777777" w:rsidR="006235D2" w:rsidRPr="006235D2" w:rsidRDefault="006235D2" w:rsidP="006235D2">
      <w:pPr>
        <w:spacing w:line="240" w:lineRule="auto"/>
        <w:jc w:val="both"/>
      </w:pPr>
      <w:r w:rsidRPr="006235D2">
        <w:rPr>
          <w:b/>
        </w:rPr>
        <w:t>5.2 Research Objective 1: AI Integration in Compensation Systems</w:t>
      </w:r>
    </w:p>
    <w:p w14:paraId="7EB6A04F" w14:textId="77777777" w:rsidR="006235D2" w:rsidRPr="006235D2" w:rsidRDefault="006235D2" w:rsidP="006235D2">
      <w:pPr>
        <w:spacing w:line="240" w:lineRule="auto"/>
        <w:jc w:val="both"/>
      </w:pPr>
      <w:r w:rsidRPr="006235D2">
        <w:t>Research Objective 1 examined the extent of AI integration in compensation management systems across manufacturing organizations. The findings reveal a nuanced picture of selective adoption that challenges simplistic narratives of either widespread AI transformation or technological stagnation.</w:t>
      </w:r>
    </w:p>
    <w:p w14:paraId="3F30E418" w14:textId="77777777" w:rsidR="006235D2" w:rsidRPr="006235D2" w:rsidRDefault="006235D2" w:rsidP="006235D2">
      <w:pPr>
        <w:spacing w:line="240" w:lineRule="auto"/>
        <w:jc w:val="both"/>
      </w:pPr>
      <w:r w:rsidRPr="006235D2">
        <w:rPr>
          <w:b/>
        </w:rPr>
        <w:t>5.2.1 The Selective Adoption Pattern</w:t>
      </w:r>
    </w:p>
    <w:p w14:paraId="51AB4E0D" w14:textId="77777777" w:rsidR="006235D2" w:rsidRPr="006235D2" w:rsidRDefault="006235D2" w:rsidP="006235D2">
      <w:pPr>
        <w:spacing w:line="240" w:lineRule="auto"/>
        <w:jc w:val="both"/>
      </w:pPr>
      <w:r w:rsidRPr="006235D2">
        <w:t>The overall AI Integration score of 4.73 (Table 4.9) positions manufacturers at a moderate-high level of adoption, suggesting meaningful engagement with AI technologies in compensation management. However, this aggregate figure conceals significant dimensional variation that warrants careful interpretation.</w:t>
      </w:r>
    </w:p>
    <w:p w14:paraId="33DE20B1" w14:textId="77777777" w:rsidR="006235D2" w:rsidRPr="006235D2" w:rsidRDefault="006235D2" w:rsidP="006235D2">
      <w:pPr>
        <w:spacing w:line="240" w:lineRule="auto"/>
        <w:jc w:val="both"/>
      </w:pPr>
      <w:r w:rsidRPr="006235D2">
        <w:t>Data output capabilities emerged as the strongest dimension (M = 5.56), followed closely by analytical capabilities (M = 5.26), as documented in Tables 4.7 and 4.5, respectively. These high scores indicate that organizations have invested substantially in AI systems capable of generating comprehensive reports, extracting flexible data views, and performing sophisticated workforce analytics. The near-universal adoption of automated payroll calculations (97.2%) and tax withholding automation (98.0%) shown in Table 4.8 confirms that foundational AI infrastructure is firmly established.</w:t>
      </w:r>
    </w:p>
    <w:p w14:paraId="6B98E337" w14:textId="54A3DBF8" w:rsidR="006235D2" w:rsidRPr="006235D2" w:rsidRDefault="006235D2" w:rsidP="006235D2">
      <w:pPr>
        <w:spacing w:line="240" w:lineRule="auto"/>
        <w:jc w:val="both"/>
      </w:pPr>
      <w:r w:rsidRPr="006235D2">
        <w:t>In contrast, technology adoption for advanced applications scored notably lower (M = 3.73, Table 4.4). Machine learning for pattern identification, AI-driven chatbots, and intelligent benefits automation remain underdeveloped. This bifurcation suggests that organizations have prioritized AI investments</w:t>
      </w:r>
      <w:r w:rsidR="00C313FF">
        <w:t>,</w:t>
      </w:r>
      <w:r w:rsidRPr="006235D2">
        <w:t xml:space="preserve"> delivering immediate operational efficiency gains while deferring more experimental or employee-facing applications.</w:t>
      </w:r>
    </w:p>
    <w:p w14:paraId="6351A8AB" w14:textId="77777777" w:rsidR="006235D2" w:rsidRPr="006235D2" w:rsidRDefault="006235D2" w:rsidP="006235D2">
      <w:pPr>
        <w:spacing w:line="240" w:lineRule="auto"/>
        <w:jc w:val="both"/>
      </w:pPr>
      <w:r w:rsidRPr="006235D2">
        <w:rPr>
          <w:b/>
        </w:rPr>
        <w:t>5.2.2 Theoretical Interpretation</w:t>
      </w:r>
    </w:p>
    <w:p w14:paraId="4EC09358" w14:textId="77777777" w:rsidR="006235D2" w:rsidRPr="006235D2" w:rsidRDefault="006235D2" w:rsidP="006235D2">
      <w:pPr>
        <w:spacing w:line="240" w:lineRule="auto"/>
        <w:jc w:val="both"/>
      </w:pPr>
      <w:r w:rsidRPr="006235D2">
        <w:t xml:space="preserve">These findings align with the Technology-Organization-Environment (TOE) framework’s emphasis on organizational readiness as a determinant of technology adoption. The strong </w:t>
      </w:r>
      <w:r w:rsidRPr="006235D2">
        <w:lastRenderedPageBreak/>
        <w:t>adoption of reporting and analytical functions reflects their alignment with existing organizational processes and clear return-on-investment calculations. Advanced applications requiring greater organizational change — such as AI chatbots that alter employee interaction patterns — face higher adoption barriers despite potentially significant long-term benefits.</w:t>
      </w:r>
    </w:p>
    <w:p w14:paraId="4CE16E09" w14:textId="77777777" w:rsidR="006235D2" w:rsidRPr="006235D2" w:rsidRDefault="006235D2" w:rsidP="006235D2">
      <w:pPr>
        <w:spacing w:line="240" w:lineRule="auto"/>
        <w:jc w:val="both"/>
      </w:pPr>
      <w:r w:rsidRPr="006235D2">
        <w:t>The Resource-Based View (RBV) provides additional interpretive leverage. AI analytical and reporting capabilities represent valuable, rare resources that organizations have successfully developed. However, the failure to leverage these capabilities for external disclosure (as documented subsequently) suggests that having resources is insufficient; organizations must also develop complementary capabilities to exploit them.</w:t>
      </w:r>
    </w:p>
    <w:p w14:paraId="7F472BA7" w14:textId="77777777" w:rsidR="006235D2" w:rsidRPr="006235D2" w:rsidRDefault="006235D2" w:rsidP="006235D2">
      <w:pPr>
        <w:spacing w:line="240" w:lineRule="auto"/>
        <w:jc w:val="both"/>
      </w:pPr>
      <w:r w:rsidRPr="006235D2">
        <w:rPr>
          <w:b/>
        </w:rPr>
        <w:t>5.2.3 Implications for the Research Model</w:t>
      </w:r>
    </w:p>
    <w:p w14:paraId="6862A472" w14:textId="77777777" w:rsidR="006235D2" w:rsidRPr="006235D2" w:rsidRDefault="006235D2" w:rsidP="006235D2">
      <w:pPr>
        <w:spacing w:line="240" w:lineRule="auto"/>
        <w:jc w:val="both"/>
      </w:pPr>
      <w:r w:rsidRPr="006235D2">
        <w:t>The finding that AI systems generate substantial data outputs (Table 4.7) while disclosure quality remains low (Table 4.21) establishes the foundation for the data-to-disclosure gap analysis central to this research. Organizations possess the technological means to produce disclosure-ready human capital information; the challenge lies elsewhere in the value chain connecting data generation to stakeholder communication.</w:t>
      </w:r>
    </w:p>
    <w:p w14:paraId="2B4B9024" w14:textId="77777777" w:rsidR="006235D2" w:rsidRPr="006235D2" w:rsidRDefault="006235D2" w:rsidP="006235D2">
      <w:pPr>
        <w:spacing w:line="240" w:lineRule="auto"/>
        <w:jc w:val="both"/>
      </w:pPr>
      <w:r w:rsidRPr="006235D2">
        <w:rPr>
          <w:b/>
        </w:rPr>
        <w:t>5.3 Research Objective 2: Human Capital Disclosure Quality</w:t>
      </w:r>
    </w:p>
    <w:p w14:paraId="0CE5900B" w14:textId="77777777" w:rsidR="006235D2" w:rsidRPr="006235D2" w:rsidRDefault="006235D2" w:rsidP="006235D2">
      <w:pPr>
        <w:spacing w:line="240" w:lineRule="auto"/>
        <w:jc w:val="both"/>
      </w:pPr>
      <w:r w:rsidRPr="006235D2">
        <w:t>Research Objective 2 examined the quality of human capital disclosure and identified the gap between AI-generated data capabilities and actual disclosure practices. The findings reveal significant deficiencies in disclosure quality, representing both a challenge and an opportunity for manufacturers.</w:t>
      </w:r>
    </w:p>
    <w:p w14:paraId="5DD3BD1A" w14:textId="77777777" w:rsidR="006235D2" w:rsidRPr="006235D2" w:rsidRDefault="006235D2" w:rsidP="006235D2">
      <w:pPr>
        <w:spacing w:line="240" w:lineRule="auto"/>
        <w:jc w:val="both"/>
      </w:pPr>
      <w:r w:rsidRPr="006235D2">
        <w:rPr>
          <w:b/>
        </w:rPr>
        <w:t>5.3.1 The Disclosure Quality Deficit</w:t>
      </w:r>
    </w:p>
    <w:p w14:paraId="1F0A76BF" w14:textId="55336F82" w:rsidR="006235D2" w:rsidRPr="006235D2" w:rsidRDefault="006235D2" w:rsidP="006235D2">
      <w:pPr>
        <w:spacing w:line="240" w:lineRule="auto"/>
        <w:jc w:val="both"/>
      </w:pPr>
      <w:r w:rsidRPr="006235D2">
        <w:t xml:space="preserve">The overall Human Capital Disclosure Quality score of 2.98 (Table 4.21) falls squarely in the ‘Low’ interpretation range, indicating systematic underperformance across disclosure dimensions. </w:t>
      </w:r>
      <w:r w:rsidR="00C313FF" w:rsidRPr="00C313FF">
        <w:t>This finding contrasts sharply with the moderate-high AI integration levels documented in Section 5.2, immediately highlighting the disconnect between capability and practice</w:t>
      </w:r>
      <w:r w:rsidRPr="006235D2">
        <w:t>.</w:t>
      </w:r>
    </w:p>
    <w:p w14:paraId="6F7A513B" w14:textId="77777777" w:rsidR="006235D2" w:rsidRPr="006235D2" w:rsidRDefault="006235D2" w:rsidP="006235D2">
      <w:pPr>
        <w:spacing w:line="240" w:lineRule="auto"/>
        <w:jc w:val="both"/>
      </w:pPr>
      <w:r w:rsidRPr="006235D2">
        <w:t xml:space="preserve">Dimensional analysis reveals </w:t>
      </w:r>
      <w:proofErr w:type="gramStart"/>
      <w:r w:rsidRPr="006235D2">
        <w:t>particular weaknesses</w:t>
      </w:r>
      <w:proofErr w:type="gramEnd"/>
      <w:r w:rsidRPr="006235D2">
        <w:t xml:space="preserve"> in accessibility (M = 2.36, Table 4.19) and completeness (M = 2.51, Table 4.15). Organizations rarely provide human capital information in machine-readable formats, maintain dedicated website sections for workforce data, or offer multilingual access. Disclosure completeness suffers from a narrow focus on basic headcount metrics, neglecting employee engagement, diversity, and strategic workforce information.</w:t>
      </w:r>
    </w:p>
    <w:p w14:paraId="428B2817" w14:textId="73177674" w:rsidR="006235D2" w:rsidRPr="006235D2" w:rsidRDefault="006235D2" w:rsidP="006235D2">
      <w:pPr>
        <w:spacing w:line="240" w:lineRule="auto"/>
        <w:jc w:val="both"/>
      </w:pPr>
      <w:r w:rsidRPr="006235D2">
        <w:t>Comparability represents a notable exception, scoring 4.75 (Table 4.18)</w:t>
      </w:r>
      <w:r w:rsidR="00C313FF">
        <w:t>—the only dimension to exceed</w:t>
      </w:r>
      <w:r w:rsidRPr="006235D2">
        <w:t xml:space="preserve"> the moderate threshold. This relative strength likely reflects </w:t>
      </w:r>
      <w:proofErr w:type="gramStart"/>
      <w:r w:rsidRPr="006235D2">
        <w:t>spillover</w:t>
      </w:r>
      <w:proofErr w:type="gramEnd"/>
      <w:r w:rsidRPr="006235D2">
        <w:t xml:space="preserve"> from financial reporting disciplines, where comparability is a fundamental principle. Organizations accustomed to providing comparable financial data appear to apply similar standards when they do disclose human capital information, even if such disclosures are infrequent or incomplete.</w:t>
      </w:r>
    </w:p>
    <w:p w14:paraId="6F8DC44F" w14:textId="77777777" w:rsidR="006235D2" w:rsidRPr="006235D2" w:rsidRDefault="006235D2" w:rsidP="006235D2">
      <w:pPr>
        <w:spacing w:line="240" w:lineRule="auto"/>
        <w:jc w:val="both"/>
      </w:pPr>
      <w:r w:rsidRPr="006235D2">
        <w:rPr>
          <w:b/>
        </w:rPr>
        <w:t>5.3.2 The Data-to-Disclosure Gap</w:t>
      </w:r>
    </w:p>
    <w:p w14:paraId="2CB0EF41" w14:textId="77777777" w:rsidR="006235D2" w:rsidRPr="006235D2" w:rsidRDefault="006235D2" w:rsidP="006235D2">
      <w:pPr>
        <w:spacing w:line="240" w:lineRule="auto"/>
        <w:jc w:val="both"/>
      </w:pPr>
      <w:r w:rsidRPr="006235D2">
        <w:t xml:space="preserve">Table 4.22 quantifies the central finding of this research: a 1.75-point gap between AI Integration (4.73) and HCD Quality (2.98) on matched 7-point scales. This substantial gap represents unrealized </w:t>
      </w:r>
      <w:proofErr w:type="gramStart"/>
      <w:r w:rsidRPr="006235D2">
        <w:t>potential — organizations</w:t>
      </w:r>
      <w:proofErr w:type="gramEnd"/>
      <w:r w:rsidRPr="006235D2">
        <w:t xml:space="preserve"> generate sophisticated compensation and workforce data internally but fail to translate these capabilities into stakeholder-accessible disclosure.</w:t>
      </w:r>
    </w:p>
    <w:p w14:paraId="1AD76177" w14:textId="77777777" w:rsidR="006235D2" w:rsidRPr="006235D2" w:rsidRDefault="006235D2" w:rsidP="006235D2">
      <w:pPr>
        <w:spacing w:line="240" w:lineRule="auto"/>
        <w:jc w:val="both"/>
      </w:pPr>
      <w:r w:rsidRPr="006235D2">
        <w:lastRenderedPageBreak/>
        <w:t>The disclosure item checklist (Table 4.20) reinforces this interpretation. Organizations disclose an average of only 9.07 of 20 surveyed human capital items (45.4%). Basic metrics such as employee headcount and total compensation costs have the highest disclosure rates. In contrast, strategically valuable information — gender pay gap analysis, employee satisfaction scores, productivity metrics — remains largely undisclosed, even though it is readily available from AI compensation systems.</w:t>
      </w:r>
    </w:p>
    <w:p w14:paraId="53C2C555" w14:textId="77777777" w:rsidR="006235D2" w:rsidRPr="006235D2" w:rsidRDefault="006235D2" w:rsidP="006235D2">
      <w:pPr>
        <w:spacing w:line="240" w:lineRule="auto"/>
        <w:jc w:val="both"/>
      </w:pPr>
      <w:r w:rsidRPr="006235D2">
        <w:rPr>
          <w:b/>
        </w:rPr>
        <w:t>5.3.3 Explaining the Gap</w:t>
      </w:r>
    </w:p>
    <w:p w14:paraId="72192312" w14:textId="77777777" w:rsidR="006235D2" w:rsidRPr="006235D2" w:rsidRDefault="006235D2" w:rsidP="006235D2">
      <w:pPr>
        <w:spacing w:line="240" w:lineRule="auto"/>
        <w:jc w:val="both"/>
      </w:pPr>
      <w:r w:rsidRPr="006235D2">
        <w:t>Several factors may explain the persistent data-to-disclosure gap. First, disclosure decisions involve strategic considerations beyond data availability. Organizations may withhold information perceived as competitively sensitive or potentially embarrassing, regardless of their technical capacity to produce it. Second, regulatory frameworks in Thailand do not mandate comprehensive human capital disclosure, removing a primary driver of transparency observed in jurisdictions with stronger requirements. Third, as documented in Section 4.10, organizations face significant barriers, including technical expertise gaps and system integration challenges that impede the flow of data from AI systems to disclosure outputs.</w:t>
      </w:r>
    </w:p>
    <w:p w14:paraId="49635789" w14:textId="77777777" w:rsidR="006235D2" w:rsidRPr="006235D2" w:rsidRDefault="006235D2" w:rsidP="006235D2">
      <w:pPr>
        <w:spacing w:line="240" w:lineRule="auto"/>
        <w:jc w:val="both"/>
      </w:pPr>
      <w:r w:rsidRPr="006235D2">
        <w:t>Stakeholder theory suggests that organizations prioritize disclosures demanded by powerful stakeholders. In contexts where investors, regulators, and employees do not actively demand human capital transparency, organizations lack the incentive to incur the costs of comprehensive disclosure. The relatively low enabler scores (Table 4.32) confirm weak external pressure for enhanced transparency.</w:t>
      </w:r>
    </w:p>
    <w:p w14:paraId="0321EF20" w14:textId="77777777" w:rsidR="006235D2" w:rsidRPr="006235D2" w:rsidRDefault="006235D2" w:rsidP="006235D2">
      <w:pPr>
        <w:spacing w:line="240" w:lineRule="auto"/>
        <w:jc w:val="both"/>
      </w:pPr>
      <w:r w:rsidRPr="006235D2">
        <w:rPr>
          <w:b/>
        </w:rPr>
        <w:t>5.4 Research Objective 3: Hypothesis Testing</w:t>
      </w:r>
    </w:p>
    <w:p w14:paraId="47DF559F" w14:textId="77777777" w:rsidR="006235D2" w:rsidRPr="006235D2" w:rsidRDefault="006235D2" w:rsidP="006235D2">
      <w:pPr>
        <w:spacing w:line="240" w:lineRule="auto"/>
        <w:jc w:val="both"/>
      </w:pPr>
      <w:r w:rsidRPr="006235D2">
        <w:t>Research Objective 3 tested hypothesized relationships between AI integration, integration protocols, pay transparency, organizational size, and human capital disclosure quality. The mixed results offer important insight into the conditions under which AI capabilities translate into, or fail to translate into, improvements in disclosure.</w:t>
      </w:r>
    </w:p>
    <w:p w14:paraId="5DE49B0A" w14:textId="77777777" w:rsidR="006235D2" w:rsidRPr="006235D2" w:rsidRDefault="006235D2" w:rsidP="006235D2">
      <w:pPr>
        <w:spacing w:line="240" w:lineRule="auto"/>
        <w:jc w:val="both"/>
      </w:pPr>
      <w:r w:rsidRPr="006235D2">
        <w:rPr>
          <w:b/>
        </w:rPr>
        <w:t>5.4.1 The Absence of Direct Effects (H1)</w:t>
      </w:r>
    </w:p>
    <w:p w14:paraId="261CBD27" w14:textId="4A10229C" w:rsidR="006235D2" w:rsidRPr="006235D2" w:rsidRDefault="006235D2" w:rsidP="006235D2">
      <w:pPr>
        <w:spacing w:line="240" w:lineRule="auto"/>
        <w:jc w:val="both"/>
      </w:pPr>
      <w:r w:rsidRPr="006235D2">
        <w:t>Hypothesis 1 posited a positive direct relationship between AI integration and the quality of human capital disclosure. The non-significant negative correlation (r = −0.075, p = .132</w:t>
      </w:r>
      <w:r w:rsidR="00C313FF">
        <w:t>; Table 4.28) indicates that</w:t>
      </w:r>
      <w:r w:rsidRPr="006235D2">
        <w:t xml:space="preserve"> H1 was not supported in its directional form. As detailed in Sections 4.8.1 and 4.8.5, this null result is theoretically meaningful: the conventional technological-translation argument — that advanced AI capabilities </w:t>
      </w:r>
      <w:proofErr w:type="gramStart"/>
      <w:r w:rsidRPr="006235D2">
        <w:t>are themselves</w:t>
      </w:r>
      <w:proofErr w:type="gramEnd"/>
      <w:r w:rsidRPr="006235D2">
        <w:t xml:space="preserve"> sufficient to produce higher-quality disclosure — is incomplete in EEC manufacturing. Within the conditional framework (Sections 1.6–1.7 and 2.5.4), AI integration is a necessary but not sufficient condition for disclosure quality, and a direct effect is therefore expected to be weak or absent </w:t>
      </w:r>
      <w:r w:rsidR="00C313FF">
        <w:t>in the absence of</w:t>
      </w:r>
      <w:r w:rsidRPr="006235D2">
        <w:t xml:space="preserve"> supportive moderating conditions. The present sample (limited internal pay transparency, M = 3.38; substantial barriers, M = 3.67) fits that profile. The qualitative themes 3.1 and 1.3 (Section 4.11) provide convergent evidence from the same respondents, and the joint display (Section 4.12) classifies H1 as a confirmation outcome rather than a refutation of the central premise.</w:t>
      </w:r>
    </w:p>
    <w:p w14:paraId="379157F0" w14:textId="77777777" w:rsidR="006235D2" w:rsidRPr="006235D2" w:rsidRDefault="006235D2" w:rsidP="006235D2">
      <w:pPr>
        <w:spacing w:line="240" w:lineRule="auto"/>
        <w:jc w:val="both"/>
      </w:pPr>
      <w:r w:rsidRPr="006235D2">
        <w:rPr>
          <w:b/>
        </w:rPr>
        <w:t>5.4.2 The Broken Mediation Chain (H2)</w:t>
      </w:r>
    </w:p>
    <w:p w14:paraId="5DE752B3" w14:textId="6343A10E" w:rsidR="006235D2" w:rsidRPr="006235D2" w:rsidRDefault="006235D2" w:rsidP="006235D2">
      <w:pPr>
        <w:spacing w:line="240" w:lineRule="auto"/>
        <w:jc w:val="both"/>
      </w:pPr>
      <w:r w:rsidRPr="006235D2">
        <w:t xml:space="preserve">Hypothesis 2 proposed that integration protocols would mediate the AI–HCD relationship. Consistent with the exploratory analytical scope (Section 3.7.1), the pathway was examined </w:t>
      </w:r>
      <w:r w:rsidRPr="006235D2">
        <w:lastRenderedPageBreak/>
        <w:t>through correlation rather than bootstrapped indirect-effect testing (Section 4.8.2). AI integration was significantly associated with integration protocols (r = 0.380, p &lt; .001), confirming the first path; however, integration protocols were not significantly associated with disclosure quality (r = 0.036, p = .476), so the second path is empirically absent</w:t>
      </w:r>
      <w:r w:rsidR="00C313FF">
        <w:t>,</w:t>
      </w:r>
      <w:r w:rsidRPr="006235D2">
        <w:t xml:space="preserve"> and H2 was not supported. The integration protocol scores (Table 4.27) explain this pattern: governance (M = 5.61) and quality assurance (M = 5.34) are well developed, but the linkage between these internal mechanisms and external disclosure outputs is weak. Read with H1, the pattern indicates that internal protocols, in isolation from supportive institutional conditions, are insufficient to translate AI capability into disclosure outcomes</w:t>
      </w:r>
      <w:r w:rsidR="00C313FF">
        <w:t>—</w:t>
      </w:r>
      <w:r w:rsidRPr="006235D2">
        <w:t>a reading reinforced by qualitative themes 1.4 and 2.1 (Section 4.11). Bootstrapped indirect-effect testing using 5,000 resamples and bias-corrected confidence intervals is reserved for the next phase (Section 5.10.6).</w:t>
      </w:r>
    </w:p>
    <w:p w14:paraId="0E5C85EE" w14:textId="77777777" w:rsidR="006235D2" w:rsidRPr="006235D2" w:rsidRDefault="006235D2" w:rsidP="006235D2">
      <w:pPr>
        <w:spacing w:line="240" w:lineRule="auto"/>
        <w:jc w:val="both"/>
      </w:pPr>
      <w:r w:rsidRPr="006235D2">
        <w:rPr>
          <w:b/>
        </w:rPr>
        <w:t>5.4.3 The Enabling Role of Pay Transparency (H3)</w:t>
      </w:r>
    </w:p>
    <w:p w14:paraId="0E8ABA54" w14:textId="77777777" w:rsidR="006235D2" w:rsidRPr="006235D2" w:rsidRDefault="006235D2" w:rsidP="006235D2">
      <w:pPr>
        <w:spacing w:line="240" w:lineRule="auto"/>
        <w:jc w:val="both"/>
      </w:pPr>
      <w:r w:rsidRPr="006235D2">
        <w:t>Hypothesis 3 received empirical support, demonstrating that pay transparency significantly moderates the AI–HCD relationship (z = 2.25, p = .024, Table 4.29). Under high pay transparency, AI integration shows a weakly positive relationship with disclosure quality (r = 0.065); under low transparency, the relationship becomes negative (r = −0.160). Pay transparency thus functions as an organizational enabling condition that unlocks the disclosure potential of AI capabilities: organizations with established transparency cultures, where compensation information flows more freely internally, demonstrate greater capacity to extend that transparency externally.</w:t>
      </w:r>
    </w:p>
    <w:p w14:paraId="7B1AEB33" w14:textId="77777777" w:rsidR="006235D2" w:rsidRPr="006235D2" w:rsidRDefault="006235D2" w:rsidP="006235D2">
      <w:pPr>
        <w:spacing w:line="240" w:lineRule="auto"/>
        <w:jc w:val="both"/>
      </w:pPr>
      <w:r w:rsidRPr="006235D2">
        <w:t>The pay transparency findings (Tables 4.10–4.14) reveal that while regulatory compliance (M = 5.74) and pay equity analysis (M = 5.44) are well developed, internal transparency with employees (M = 3.38) lags considerably. This internal opacity may create cultural barriers to external disclosure: organizations unaccustomed to sharing compensation information internally are unlikely to embrace external human capital transparency.</w:t>
      </w:r>
    </w:p>
    <w:p w14:paraId="52BDF6B1" w14:textId="77777777" w:rsidR="006235D2" w:rsidRPr="006235D2" w:rsidRDefault="006235D2" w:rsidP="006235D2">
      <w:pPr>
        <w:spacing w:line="240" w:lineRule="auto"/>
        <w:jc w:val="both"/>
      </w:pPr>
      <w:r w:rsidRPr="006235D2">
        <w:rPr>
          <w:b/>
        </w:rPr>
        <w:t>5.4.4 Size Effects (H4)</w:t>
      </w:r>
    </w:p>
    <w:p w14:paraId="5CADC52E" w14:textId="2857BC8B" w:rsidR="006235D2" w:rsidRPr="006235D2" w:rsidRDefault="006235D2" w:rsidP="006235D2">
      <w:pPr>
        <w:spacing w:line="240" w:lineRule="auto"/>
        <w:jc w:val="both"/>
      </w:pPr>
      <w:r w:rsidRPr="006235D2">
        <w:t>Hypothesis 4 proposed that organizational size would moderate the AI–HCD relationship, with larger organizations showing stronger positive effects. The inconsistent pattern across size categories (Table 4.28) failed to support this hypothesis. While smaller organizations showed negative correlations</w:t>
      </w:r>
      <w:r w:rsidR="00C313FF">
        <w:t>, larger organizations showed slight positive correlations, but</w:t>
      </w:r>
      <w:r w:rsidRPr="006235D2">
        <w:t xml:space="preserve"> the pattern lacked statistical consistency.</w:t>
      </w:r>
    </w:p>
    <w:p w14:paraId="11727099" w14:textId="77777777" w:rsidR="006235D2" w:rsidRPr="006235D2" w:rsidRDefault="006235D2" w:rsidP="006235D2">
      <w:pPr>
        <w:spacing w:line="240" w:lineRule="auto"/>
        <w:jc w:val="both"/>
      </w:pPr>
      <w:r w:rsidRPr="006235D2">
        <w:t>This null finding challenges resource-based assumptions that larger organizations, with greater resources for both AI investment and disclosure activities, would demonstrate superior performance. Size alone does not determine an organization’s capacity to translate AI capabilities into disclosure quality; other factors — particularly pay transparency culture, as demonstrated by H3 — appear more influential.</w:t>
      </w:r>
    </w:p>
    <w:p w14:paraId="6E564CDC" w14:textId="77777777" w:rsidR="006235D2" w:rsidRPr="006235D2" w:rsidRDefault="006235D2" w:rsidP="006235D2">
      <w:pPr>
        <w:spacing w:line="240" w:lineRule="auto"/>
        <w:jc w:val="both"/>
      </w:pPr>
      <w:r w:rsidRPr="006235D2">
        <w:rPr>
          <w:b/>
        </w:rPr>
        <w:t>5.5 Research Objectives 4–5: Framework Development and Validation</w:t>
      </w:r>
    </w:p>
    <w:p w14:paraId="7FCF855C" w14:textId="77777777" w:rsidR="006235D2" w:rsidRPr="006235D2" w:rsidRDefault="006235D2" w:rsidP="006235D2">
      <w:pPr>
        <w:spacing w:line="240" w:lineRule="auto"/>
        <w:jc w:val="both"/>
      </w:pPr>
      <w:r w:rsidRPr="006235D2">
        <w:t>Research Objectives 4 and 5 addressed the development and validation of a practical implementation framework connecting AI-driven compensation data to human capital disclosure. The tiered framework presented in Table 4.30 emerged from the empirical findings and received preliminary validation through cross-segment analysis.</w:t>
      </w:r>
    </w:p>
    <w:p w14:paraId="573C1AEC" w14:textId="77777777" w:rsidR="006235D2" w:rsidRPr="006235D2" w:rsidRDefault="006235D2" w:rsidP="006235D2">
      <w:pPr>
        <w:spacing w:line="240" w:lineRule="auto"/>
        <w:jc w:val="both"/>
      </w:pPr>
      <w:r w:rsidRPr="006235D2">
        <w:rPr>
          <w:b/>
        </w:rPr>
        <w:t>5.5.1 Framework Rationale</w:t>
      </w:r>
    </w:p>
    <w:p w14:paraId="37E1BD5B" w14:textId="77777777" w:rsidR="006235D2" w:rsidRPr="006235D2" w:rsidRDefault="006235D2" w:rsidP="006235D2">
      <w:pPr>
        <w:spacing w:line="240" w:lineRule="auto"/>
        <w:jc w:val="both"/>
      </w:pPr>
      <w:r w:rsidRPr="006235D2">
        <w:lastRenderedPageBreak/>
        <w:t>The framework categorizes organizations into four tiers based on AI maturity, each with corresponding disclosure expectations and strategic recommendations. This tiered approach acknowledges that organizations at different developmental stages require different interventions. Tier 1 organizations lacking basic AI infrastructure should prioritize foundational technology investments before addressing disclosure concerns. Tier 4 leaders with mature AI capabilities should focus on strategic differentiation through comprehensive transparency.</w:t>
      </w:r>
    </w:p>
    <w:p w14:paraId="6A2A1BEE" w14:textId="77777777" w:rsidR="006235D2" w:rsidRPr="006235D2" w:rsidRDefault="006235D2" w:rsidP="006235D2">
      <w:pPr>
        <w:spacing w:line="240" w:lineRule="auto"/>
        <w:jc w:val="both"/>
      </w:pPr>
      <w:r w:rsidRPr="006235D2">
        <w:t>The framework’s emphasis on pay transparency as an enabling condition reflects the empirical support for H3. Organizations advancing through the tiers should develop AI capabilities and transparency cultures in parallel; technological investment alone is insufficient.</w:t>
      </w:r>
    </w:p>
    <w:p w14:paraId="6C7E6B6D" w14:textId="77777777" w:rsidR="006235D2" w:rsidRPr="006235D2" w:rsidRDefault="006235D2" w:rsidP="006235D2">
      <w:pPr>
        <w:spacing w:line="240" w:lineRule="auto"/>
        <w:jc w:val="both"/>
      </w:pPr>
      <w:r w:rsidRPr="006235D2">
        <w:rPr>
          <w:b/>
        </w:rPr>
        <w:t>5.5.2 Framework Validation</w:t>
      </w:r>
    </w:p>
    <w:p w14:paraId="48EC1900" w14:textId="77777777" w:rsidR="006235D2" w:rsidRPr="006235D2" w:rsidRDefault="006235D2" w:rsidP="006235D2">
      <w:pPr>
        <w:spacing w:line="240" w:lineRule="auto"/>
        <w:jc w:val="both"/>
      </w:pPr>
      <w:r w:rsidRPr="006235D2">
        <w:t>Cross-segment analysis confirmed the framework’s broad applicability. The data-to-disclosure gap persisted across industry subsectors (Table 4.2), ownership structures, and organizational sizes, indicating that the framework addresses a universal challenge rather than a segment-specific phenomenon. Thai-owned, Japanese-owned, and joint-venture organizations all demonstrated similar patterns in which AI capability exceeded disclosure quality.</w:t>
      </w:r>
    </w:p>
    <w:p w14:paraId="2487FE20" w14:textId="77777777" w:rsidR="006235D2" w:rsidRPr="006235D2" w:rsidRDefault="006235D2" w:rsidP="006235D2">
      <w:pPr>
        <w:spacing w:line="240" w:lineRule="auto"/>
        <w:jc w:val="both"/>
      </w:pPr>
      <w:r w:rsidRPr="006235D2">
        <w:t>The barrier-enabler analysis (Tables 4.31–4.33) provides additional validation by identifying implementation challenges the framework must address. Technical barriers — implementation costs, expertise gaps, integration challenges — require targeted interventions at each tier. The framework’s tiered progression aligns with this barrier profile, addressing technical constraints before attempting advanced disclosure strategies.</w:t>
      </w:r>
    </w:p>
    <w:p w14:paraId="102CE566" w14:textId="77777777" w:rsidR="006235D2" w:rsidRPr="006235D2" w:rsidRDefault="006235D2" w:rsidP="006235D2">
      <w:pPr>
        <w:spacing w:line="240" w:lineRule="auto"/>
        <w:jc w:val="both"/>
      </w:pPr>
      <w:r w:rsidRPr="006235D2">
        <w:rPr>
          <w:b/>
        </w:rPr>
        <w:t>5.5.3 Framework Limitations</w:t>
      </w:r>
    </w:p>
    <w:p w14:paraId="25693061" w14:textId="77777777" w:rsidR="006235D2" w:rsidRPr="006235D2" w:rsidRDefault="006235D2" w:rsidP="006235D2">
      <w:pPr>
        <w:spacing w:line="240" w:lineRule="auto"/>
        <w:jc w:val="both"/>
      </w:pPr>
      <w:r w:rsidRPr="006235D2">
        <w:t xml:space="preserve">The framework makes a conceptual contribution that requires further empirical validation. Longitudinal research tracking organizations as they progress through </w:t>
      </w:r>
      <w:proofErr w:type="gramStart"/>
      <w:r w:rsidRPr="006235D2">
        <w:t>tiers</w:t>
      </w:r>
      <w:proofErr w:type="gramEnd"/>
      <w:r w:rsidRPr="006235D2">
        <w:t xml:space="preserve"> would strengthen causal claims about the recommended interventions. Additionally, the framework’s applicability beyond manufacturing contexts remains untested; service sectors, smaller enterprises, and organizations in other regulatory environments may require framework adaptations.</w:t>
      </w:r>
    </w:p>
    <w:p w14:paraId="4F71C72A" w14:textId="77777777" w:rsidR="006235D2" w:rsidRPr="006235D2" w:rsidRDefault="006235D2" w:rsidP="006235D2">
      <w:pPr>
        <w:spacing w:line="240" w:lineRule="auto"/>
        <w:jc w:val="both"/>
      </w:pPr>
      <w:r w:rsidRPr="006235D2">
        <w:rPr>
          <w:b/>
        </w:rPr>
        <w:t>5.6 Barriers and Enablers Discussion</w:t>
      </w:r>
    </w:p>
    <w:p w14:paraId="5AF26C80" w14:textId="77777777" w:rsidR="006235D2" w:rsidRPr="006235D2" w:rsidRDefault="006235D2" w:rsidP="006235D2">
      <w:pPr>
        <w:spacing w:line="240" w:lineRule="auto"/>
        <w:jc w:val="both"/>
      </w:pPr>
      <w:r w:rsidRPr="006235D2">
        <w:t>The barrier-enabler analysis provides crucial context for understanding why the data-to-disclosure gap persists despite evident technological capabilities. The substantial imbalance between barriers (M = 3.68) and enablers (M = 2.45) documented in Table 4.33 creates an unfavorable implementation environment.</w:t>
      </w:r>
    </w:p>
    <w:p w14:paraId="213946F7" w14:textId="77777777" w:rsidR="006235D2" w:rsidRPr="006235D2" w:rsidRDefault="006235D2" w:rsidP="006235D2">
      <w:pPr>
        <w:spacing w:line="240" w:lineRule="auto"/>
        <w:jc w:val="both"/>
      </w:pPr>
      <w:r w:rsidRPr="006235D2">
        <w:rPr>
          <w:b/>
        </w:rPr>
        <w:t>5.6.1 Barrier Analysis</w:t>
      </w:r>
    </w:p>
    <w:p w14:paraId="2D642AC1" w14:textId="77777777" w:rsidR="006235D2" w:rsidRPr="006235D2" w:rsidRDefault="006235D2" w:rsidP="006235D2">
      <w:pPr>
        <w:spacing w:line="240" w:lineRule="auto"/>
        <w:jc w:val="both"/>
      </w:pPr>
      <w:r w:rsidRPr="006235D2">
        <w:t>The barrier ranking (Table 4.31) reveals that technical and resource constraints dominate. High implementation costs, lack of technical expertise, data quality issues, and system integration challenges rank among the top concerns. Importantly, organizational resistance to change and limited management support rank lower, suggesting that attitudinal barriers are less problematic than capability constraints.</w:t>
      </w:r>
    </w:p>
    <w:p w14:paraId="76C8EA5A" w14:textId="77777777" w:rsidR="006235D2" w:rsidRPr="006235D2" w:rsidRDefault="006235D2" w:rsidP="006235D2">
      <w:pPr>
        <w:spacing w:line="240" w:lineRule="auto"/>
        <w:jc w:val="both"/>
      </w:pPr>
      <w:r w:rsidRPr="006235D2">
        <w:t xml:space="preserve">This pattern carries optimistic implications: organizations appear willing to enhance disclosure but lack the means to do so. Interventions targeting technical capability development may outperform change management initiatives aimed at organizational culture. Training programs, technology </w:t>
      </w:r>
      <w:r w:rsidRPr="006235D2">
        <w:lastRenderedPageBreak/>
        <w:t>partnerships, and standardized integration tools could address the most significant barriers identified.</w:t>
      </w:r>
    </w:p>
    <w:p w14:paraId="14D38066" w14:textId="77777777" w:rsidR="006235D2" w:rsidRPr="006235D2" w:rsidRDefault="006235D2" w:rsidP="006235D2">
      <w:pPr>
        <w:spacing w:line="240" w:lineRule="auto"/>
        <w:jc w:val="both"/>
      </w:pPr>
      <w:r w:rsidRPr="006235D2">
        <w:rPr>
          <w:b/>
        </w:rPr>
        <w:t>5.6.2 Enabler Deficiencies</w:t>
      </w:r>
    </w:p>
    <w:p w14:paraId="10F18CB8" w14:textId="77777777" w:rsidR="006235D2" w:rsidRPr="006235D2" w:rsidRDefault="006235D2" w:rsidP="006235D2">
      <w:pPr>
        <w:spacing w:line="240" w:lineRule="auto"/>
        <w:jc w:val="both"/>
      </w:pPr>
      <w:r w:rsidRPr="006235D2">
        <w:t>The low enabler scores (Table 4.32) indicate weak external support for AI-to-disclosure integration. Government incentives, industry association support, and clear regulatory guidance all score poorly, suggesting that organizations operate in an unsupportive institutional environment. Stakeholder pressure, often cited as the primary driver of voluntary disclosure, plays a relatively limited role, consistent with the underdeveloped investor mobility culture in Thailand’s manufacturing sector.</w:t>
      </w:r>
    </w:p>
    <w:p w14:paraId="1DB02325" w14:textId="48E8DD90" w:rsidR="006235D2" w:rsidRPr="006235D2" w:rsidRDefault="006235D2" w:rsidP="006235D2">
      <w:pPr>
        <w:spacing w:line="240" w:lineRule="auto"/>
        <w:jc w:val="both"/>
      </w:pPr>
      <w:r w:rsidRPr="006235D2">
        <w:t xml:space="preserve">The absence of </w:t>
      </w:r>
      <w:r w:rsidR="00C313FF">
        <w:t xml:space="preserve">a </w:t>
      </w:r>
      <w:r w:rsidRPr="006235D2">
        <w:t>regulatory mandate in Thailand removes a primary enabler present in jurisdictions like the European Union, where Directive 2014/95/EU requires corporate responsibility reporting on human capital for organizations of 500+ employees (European Parliament, 2014), and the Corporate Sustainability Reporting Directive subsequently expanded ESG disclosure across large firms and listed SMEs (Durand &amp; Gilbert-</w:t>
      </w:r>
      <w:proofErr w:type="spellStart"/>
      <w:r w:rsidRPr="006235D2">
        <w:t>d’Halluin</w:t>
      </w:r>
      <w:proofErr w:type="spellEnd"/>
      <w:r w:rsidRPr="006235D2">
        <w:t>, 2024). Without regulatory compulsion, voluntary adoption depends on perceived competitive advantage, an enabler that scored relatively higher but remains insufficient to overcome technical barriers.</w:t>
      </w:r>
    </w:p>
    <w:p w14:paraId="0941140B" w14:textId="77777777" w:rsidR="006235D2" w:rsidRPr="006235D2" w:rsidRDefault="006235D2" w:rsidP="006235D2">
      <w:pPr>
        <w:spacing w:line="240" w:lineRule="auto"/>
        <w:jc w:val="both"/>
      </w:pPr>
      <w:r w:rsidRPr="006235D2">
        <w:rPr>
          <w:b/>
        </w:rPr>
        <w:t>5.6.3 Policy Implications</w:t>
      </w:r>
    </w:p>
    <w:p w14:paraId="20AA960E" w14:textId="201DC263" w:rsidR="006235D2" w:rsidRPr="006235D2" w:rsidRDefault="006235D2" w:rsidP="006235D2">
      <w:pPr>
        <w:spacing w:line="240" w:lineRule="auto"/>
        <w:jc w:val="both"/>
      </w:pPr>
      <w:r w:rsidRPr="006235D2">
        <w:t xml:space="preserve">The imbalance between barriers and enablers suggests opportunities for policy intervention. Government agencies could strengthen enablers </w:t>
      </w:r>
      <w:r w:rsidR="00C313FF">
        <w:t>by offering disclosure incentives, providing technical assistance programs, or issuing</w:t>
      </w:r>
      <w:r w:rsidRPr="006235D2">
        <w:t xml:space="preserve"> regulatory guidance clarifying expectations for human capital transparency. Industry associations could develop standardized reporting frameworks, reducing the technical burden on individual organizations. Professional bodies could offer training addressing the expertise gaps identified as significant barriers.</w:t>
      </w:r>
    </w:p>
    <w:p w14:paraId="4B4B696F" w14:textId="77777777" w:rsidR="006235D2" w:rsidRPr="006235D2" w:rsidRDefault="006235D2" w:rsidP="006235D2">
      <w:pPr>
        <w:spacing w:line="240" w:lineRule="auto"/>
        <w:jc w:val="both"/>
      </w:pPr>
      <w:r w:rsidRPr="006235D2">
        <w:rPr>
          <w:b/>
        </w:rPr>
        <w:t>5.7 Theoretical Contributions</w:t>
      </w:r>
    </w:p>
    <w:p w14:paraId="271892B4" w14:textId="77777777" w:rsidR="006235D2" w:rsidRPr="006235D2" w:rsidRDefault="006235D2" w:rsidP="006235D2">
      <w:pPr>
        <w:spacing w:line="240" w:lineRule="auto"/>
        <w:jc w:val="both"/>
      </w:pPr>
      <w:r w:rsidRPr="006235D2">
        <w:t>Several theoretical contributions emerge from this study, spanning literature on technology-enabled transparency, human capital accounting, and organizational disclosure behavior.</w:t>
      </w:r>
    </w:p>
    <w:p w14:paraId="74C0D2E3" w14:textId="77777777" w:rsidR="006235D2" w:rsidRPr="006235D2" w:rsidRDefault="006235D2" w:rsidP="006235D2">
      <w:pPr>
        <w:spacing w:line="240" w:lineRule="auto"/>
        <w:jc w:val="both"/>
      </w:pPr>
      <w:r w:rsidRPr="006235D2">
        <w:rPr>
          <w:b/>
        </w:rPr>
        <w:t>5.7.1 Technology-Transparency Relationship</w:t>
      </w:r>
    </w:p>
    <w:p w14:paraId="246743F4" w14:textId="77777777" w:rsidR="006235D2" w:rsidRPr="006235D2" w:rsidRDefault="006235D2" w:rsidP="006235D2">
      <w:pPr>
        <w:spacing w:line="240" w:lineRule="auto"/>
        <w:jc w:val="both"/>
      </w:pPr>
      <w:r w:rsidRPr="006235D2">
        <w:t>The principal theoretical contribution of this study is the empirically grounded reframing of the technology–transparency relationship. Drawing on the joint pattern across H1–H4 (Section 4.8.5), the qualitative themes (Section 4.11), and the joint display (Section 4.12), the study advances the proposition that AI integration is a necessary but not sufficient condition for human capital accounting disclosure quality, with pay transparency operating as the institutional enabling mechanism.</w:t>
      </w:r>
    </w:p>
    <w:p w14:paraId="28A6BA4A" w14:textId="77777777" w:rsidR="006235D2" w:rsidRPr="006235D2" w:rsidRDefault="006235D2" w:rsidP="006235D2">
      <w:pPr>
        <w:spacing w:line="240" w:lineRule="auto"/>
        <w:jc w:val="both"/>
      </w:pPr>
      <w:r w:rsidRPr="006235D2">
        <w:t xml:space="preserve">This reframing departs from the technology-deterministic assumption prevalent in the AI-in-organizations literature, which treats technological capability as a direct antecedent of disclosure outcomes. The four-hypothesis pattern (H1 null direct, H2 unsupported internal mediation, H3 supported pay-transparency moderation, H4 unsupported size moderation) provides convergent empirical support for the conditional theoretical model articulated in Sections 1.7 and 2.5.4: technological capability and internal operational mechanisms, in the absence of supportive institutional conditions, are not sufficient to produce higher-quality disclosure, while pay </w:t>
      </w:r>
      <w:r w:rsidRPr="006235D2">
        <w:lastRenderedPageBreak/>
        <w:t>transparency identifies the specific institutional condition under which the AI–disclosure relationship becomes operative.</w:t>
      </w:r>
    </w:p>
    <w:p w14:paraId="1F4569C6" w14:textId="77777777" w:rsidR="006235D2" w:rsidRPr="006235D2" w:rsidRDefault="006235D2" w:rsidP="006235D2">
      <w:pPr>
        <w:spacing w:line="240" w:lineRule="auto"/>
        <w:jc w:val="both"/>
      </w:pPr>
      <w:r w:rsidRPr="006235D2">
        <w:t>This contribution carries implications across three theoretical literatures. For the technology-and-organizations literature, the study demonstrates that AI capability is more usefully theorized as a necessary precondition activated by institutional readiness than as a sufficient driver of organizational outcomes. For the human capital accounting literature, the study identifies the institutional layer — pay transparency culture, governance maturity, and stakeholder trust — as the previously underexplored bottleneck explaining the persistent gap between data availability and disclosure quality. For institutional theory in emerging-economy contexts, the study provides empirical evidence that the Brussels Effect of expanding pay transparency regulation is filtered through internal organizational conditions before producing observable disclosure outcomes. The qualitative findings in Section 4.11, particularly Theme 3.1 (organizational readiness trumps technology), provide independent evidence that this reframing is recognized by practitioners themselves rather than imposed interpretively by the researcher.</w:t>
      </w:r>
    </w:p>
    <w:p w14:paraId="44F78FF2" w14:textId="77777777" w:rsidR="006235D2" w:rsidRPr="006235D2" w:rsidRDefault="006235D2" w:rsidP="006235D2">
      <w:pPr>
        <w:spacing w:line="240" w:lineRule="auto"/>
        <w:jc w:val="both"/>
      </w:pPr>
      <w:r w:rsidRPr="006235D2">
        <w:rPr>
          <w:b/>
        </w:rPr>
        <w:t>5.7.2 Human Capital Accounting Theory</w:t>
      </w:r>
    </w:p>
    <w:p w14:paraId="685A0789" w14:textId="77777777" w:rsidR="006235D2" w:rsidRPr="006235D2" w:rsidRDefault="006235D2" w:rsidP="006235D2">
      <w:pPr>
        <w:spacing w:line="240" w:lineRule="auto"/>
        <w:jc w:val="both"/>
      </w:pPr>
      <w:r w:rsidRPr="006235D2">
        <w:t>Documenting a substantial data-to-disclosure gap contributes to the human capital accounting literature by identifying a previously underexplored bottleneck. Prior research has focused on measurement challenges, with the literature remaining inconclusive. No well-established approach has yet been developed for constructing valid metrics for human capital value (Mehta et al., 2025), and measurement of human capital within traditional accounting systems continues to face substantial conceptual and practical challenges, with human capital still often treated as an expense rather than an asset (</w:t>
      </w:r>
      <w:proofErr w:type="spellStart"/>
      <w:r w:rsidRPr="006235D2">
        <w:t>Prasetia</w:t>
      </w:r>
      <w:proofErr w:type="spellEnd"/>
      <w:r w:rsidRPr="006235D2">
        <w:t xml:space="preserve"> &amp; Maisarah, 2025).</w:t>
      </w:r>
    </w:p>
    <w:p w14:paraId="60DFFDB1" w14:textId="77777777" w:rsidR="006235D2" w:rsidRPr="006235D2" w:rsidRDefault="006235D2" w:rsidP="006235D2">
      <w:pPr>
        <w:spacing w:line="240" w:lineRule="auto"/>
        <w:jc w:val="both"/>
      </w:pPr>
      <w:r w:rsidRPr="006235D2">
        <w:t>The comparability finding, where organizations apply financial reporting principles to human capital disclosures (Section 4.6.4; Table 4.18, M = 4.75), suggests potential to leverage existing reporting competencies. Future standard-setting efforts might build upon organizations’ established comparability practices rather than introducing entirely novel disclosure frameworks.</w:t>
      </w:r>
    </w:p>
    <w:p w14:paraId="0C1450DC" w14:textId="77777777" w:rsidR="006235D2" w:rsidRPr="006235D2" w:rsidRDefault="006235D2" w:rsidP="006235D2">
      <w:pPr>
        <w:spacing w:line="240" w:lineRule="auto"/>
        <w:jc w:val="both"/>
      </w:pPr>
      <w:r w:rsidRPr="006235D2">
        <w:rPr>
          <w:b/>
        </w:rPr>
        <w:t>5.7.3 Stakeholder Theory Extensions</w:t>
      </w:r>
    </w:p>
    <w:p w14:paraId="026ECE6F" w14:textId="77BE3B36" w:rsidR="006235D2" w:rsidRPr="006235D2" w:rsidRDefault="006235D2" w:rsidP="006235D2">
      <w:pPr>
        <w:spacing w:line="240" w:lineRule="auto"/>
        <w:jc w:val="both"/>
      </w:pPr>
      <w:r w:rsidRPr="006235D2">
        <w:t xml:space="preserve">The barrier-enabler analysis extends stakeholder theory by documenting the conditions under which organizations respond to stakeholder information needs. The weak presence of enablers, particularly stakeholder pressure (M = 2.45, Table 4.32), helps explain limited disclosure despite capability, with the barrier-enabler gap of 1.23 points (Table 4.33) reflecting an institutional environment that does not actively compel transparency. Stakeholder theory’s emphasis on organizational responsiveness to stakeholder demands appears contingent on stakeholders </w:t>
      </w:r>
      <w:proofErr w:type="gramStart"/>
      <w:r w:rsidRPr="006235D2">
        <w:t>actually articulating</w:t>
      </w:r>
      <w:proofErr w:type="gramEnd"/>
      <w:r w:rsidRPr="006235D2">
        <w:t xml:space="preserve"> and enforcing those demands</w:t>
      </w:r>
      <w:r w:rsidR="00C313FF">
        <w:t>—</w:t>
      </w:r>
      <w:r w:rsidRPr="006235D2">
        <w:t>a condition not satisfied in the EEC manufacturing context.</w:t>
      </w:r>
    </w:p>
    <w:p w14:paraId="6FF228E0" w14:textId="77777777" w:rsidR="006235D2" w:rsidRPr="006235D2" w:rsidRDefault="006235D2" w:rsidP="006235D2">
      <w:pPr>
        <w:spacing w:line="240" w:lineRule="auto"/>
        <w:jc w:val="both"/>
      </w:pPr>
      <w:r w:rsidRPr="006235D2">
        <w:rPr>
          <w:b/>
        </w:rPr>
        <w:t>5.8 Practical Guidance for Business Leaders</w:t>
      </w:r>
    </w:p>
    <w:p w14:paraId="38170E31" w14:textId="77777777" w:rsidR="006235D2" w:rsidRPr="006235D2" w:rsidRDefault="006235D2" w:rsidP="006235D2">
      <w:pPr>
        <w:spacing w:line="240" w:lineRule="auto"/>
        <w:jc w:val="both"/>
      </w:pPr>
      <w:r w:rsidRPr="006235D2">
        <w:t>The following practical guidance translates the empirical findings into actionable recommendations for executives and managers in manufacturing organizations.</w:t>
      </w:r>
    </w:p>
    <w:p w14:paraId="67883F19" w14:textId="77777777" w:rsidR="006235D2" w:rsidRPr="006235D2" w:rsidRDefault="006235D2" w:rsidP="006235D2">
      <w:pPr>
        <w:spacing w:line="240" w:lineRule="auto"/>
        <w:jc w:val="both"/>
      </w:pPr>
      <w:r w:rsidRPr="006235D2">
        <w:t xml:space="preserve">A central finding is that most EEC manufacturing organizations already possess substantial AI-driven data capabilities, but these capabilities are not being converted into meaningful external disclosure. Nearly all surveyed organizations (97–98%) have automated basic payroll calculations </w:t>
      </w:r>
      <w:r w:rsidRPr="006235D2">
        <w:lastRenderedPageBreak/>
        <w:t xml:space="preserve">(Table 4.8), and AI data output capabilities scored highly overall (M = 5.56, Table 4.7). Despite this, organizations disclose on average fewer than half of the human capital items that investors and regulators increasingly expect to see, an average of 9.07 out of 20 </w:t>
      </w:r>
      <w:proofErr w:type="gramStart"/>
      <w:r w:rsidRPr="006235D2">
        <w:t>surveyed items</w:t>
      </w:r>
      <w:proofErr w:type="gramEnd"/>
      <w:r w:rsidRPr="006235D2">
        <w:t xml:space="preserve"> (Table 4.20). The gap, therefore, does not lie in data availability but in the deliberate translation of internal data into external communication.</w:t>
      </w:r>
    </w:p>
    <w:p w14:paraId="70E97EFE" w14:textId="77777777" w:rsidR="006235D2" w:rsidRPr="006235D2" w:rsidRDefault="006235D2" w:rsidP="006235D2">
      <w:pPr>
        <w:spacing w:line="240" w:lineRule="auto"/>
        <w:jc w:val="both"/>
      </w:pPr>
      <w:r w:rsidRPr="006235D2">
        <w:t>Practitioners are encouraged to begin by auditing existing system outputs. Payroll platforms, HRIS, and analytics tools likely generate reports that could form the basis for external disclosure with minimal additional investment. The priority is to redirect existing capabilities rather than acquire new technology.</w:t>
      </w:r>
    </w:p>
    <w:p w14:paraId="48B9B91B" w14:textId="77777777" w:rsidR="006235D2" w:rsidRPr="006235D2" w:rsidRDefault="006235D2" w:rsidP="006235D2">
      <w:pPr>
        <w:spacing w:line="240" w:lineRule="auto"/>
        <w:jc w:val="both"/>
      </w:pPr>
      <w:r w:rsidRPr="006235D2">
        <w:t xml:space="preserve">A progressive disclosure approach is recommended. Organizations should begin with foundational items (employee headcount, total workforce costs, and training expenditures) before </w:t>
      </w:r>
      <w:proofErr w:type="gramStart"/>
      <w:r w:rsidRPr="006235D2">
        <w:t>advancing</w:t>
      </w:r>
      <w:proofErr w:type="gramEnd"/>
      <w:r w:rsidRPr="006235D2">
        <w:t xml:space="preserve"> to more complex disclosures such as pay equity analysis and engagement metrics. This staged approach allows organizations to build disclosure competencies incrementally while managing resource constraints.</w:t>
      </w:r>
    </w:p>
    <w:p w14:paraId="17FF0AC4" w14:textId="77777777" w:rsidR="006235D2" w:rsidRPr="006235D2" w:rsidRDefault="006235D2" w:rsidP="006235D2">
      <w:pPr>
        <w:spacing w:line="240" w:lineRule="auto"/>
        <w:jc w:val="both"/>
      </w:pPr>
      <w:r w:rsidRPr="006235D2">
        <w:t>Internal transparency culture warrants particular attention. The moderation analysis (Table 4.29) confirmed that organizations with higher pay transparency demonstrated a significantly stronger positive relationship between AI integration and disclosure quality (H3 supported, z = 2.25, p = .024). Organizations communicating compensation structures openly internally are better positioned to extend that transparency externally; developing internal communication norms around compensation decisions is therefore a foundational step toward improved external disclosure.</w:t>
      </w:r>
    </w:p>
    <w:p w14:paraId="2E4CBF65" w14:textId="77777777" w:rsidR="006235D2" w:rsidRPr="006235D2" w:rsidRDefault="006235D2" w:rsidP="006235D2">
      <w:pPr>
        <w:spacing w:line="240" w:lineRule="auto"/>
        <w:jc w:val="both"/>
      </w:pPr>
      <w:r w:rsidRPr="006235D2">
        <w:t>The barrier analysis (Table 4.31) identified high implementation costs, expertise gaps, and system integration challenges as the most significant obstacles. Resistance to change and limited management support ranked considerably lower, suggesting that when leadership prioritizes transparency, operational barriers become more tractable. Investment in technical capacity — staff training, vendor partnerships, or industry association support — is therefore more likely to yield disclosure improvements than change management initiatives alone.</w:t>
      </w:r>
    </w:p>
    <w:p w14:paraId="51575663" w14:textId="1EE2E5ED" w:rsidR="006235D2" w:rsidRPr="006235D2" w:rsidRDefault="006235D2" w:rsidP="006235D2">
      <w:pPr>
        <w:spacing w:line="240" w:lineRule="auto"/>
        <w:jc w:val="both"/>
      </w:pPr>
      <w:r w:rsidRPr="006235D2">
        <w:t>Finally, proactive disclosure development is advisable to anticipate evolving regulatory expectations. Thailand does not currently mandate extensive human capital disclosure, but as documented in Section 5.6.2, global regulatory trends — particularly within the European Union — indicate that requirements are likely to intensify. Organizations developing disclosure frameworks in advance will be better positioned for compliance</w:t>
      </w:r>
      <w:r w:rsidR="00C313FF">
        <w:t>. They</w:t>
      </w:r>
      <w:r w:rsidRPr="006235D2">
        <w:t xml:space="preserve"> may derive </w:t>
      </w:r>
      <w:r w:rsidR="00C313FF">
        <w:t xml:space="preserve">a </w:t>
      </w:r>
      <w:r w:rsidRPr="006235D2">
        <w:t>competitive advantage by signaling to investors and business partners that human capital is managed strategically and transparently.</w:t>
      </w:r>
    </w:p>
    <w:p w14:paraId="1E9A05DC" w14:textId="77777777" w:rsidR="006235D2" w:rsidRPr="006235D2" w:rsidRDefault="006235D2" w:rsidP="006235D2">
      <w:pPr>
        <w:spacing w:line="240" w:lineRule="auto"/>
        <w:jc w:val="both"/>
      </w:pPr>
      <w:r w:rsidRPr="006235D2">
        <w:rPr>
          <w:b/>
        </w:rPr>
        <w:t>5.9 Study Limitations</w:t>
      </w:r>
    </w:p>
    <w:p w14:paraId="15DF7FFF" w14:textId="77777777" w:rsidR="006235D2" w:rsidRPr="006235D2" w:rsidRDefault="006235D2" w:rsidP="006235D2">
      <w:pPr>
        <w:spacing w:line="240" w:lineRule="auto"/>
        <w:jc w:val="both"/>
      </w:pPr>
      <w:r w:rsidRPr="006235D2">
        <w:t xml:space="preserve">Limitations are organized across four categories: methodological, sampling, measurement, and analytical scope. The fourth category is presented </w:t>
      </w:r>
      <w:proofErr w:type="gramStart"/>
      <w:r w:rsidRPr="006235D2">
        <w:t>in particular detail</w:t>
      </w:r>
      <w:proofErr w:type="gramEnd"/>
      <w:r w:rsidRPr="006235D2">
        <w:t xml:space="preserve"> because it documents the deliberate analytical boundaries of the present exploratory study and connects directly to the next-phase commitments in Section 5.10.</w:t>
      </w:r>
    </w:p>
    <w:p w14:paraId="3A3E2085" w14:textId="77777777" w:rsidR="006235D2" w:rsidRPr="006235D2" w:rsidRDefault="006235D2" w:rsidP="006235D2">
      <w:pPr>
        <w:spacing w:line="240" w:lineRule="auto"/>
        <w:jc w:val="both"/>
      </w:pPr>
      <w:r w:rsidRPr="006235D2">
        <w:rPr>
          <w:b/>
        </w:rPr>
        <w:t>Methodological Limitations.</w:t>
      </w:r>
      <w:r w:rsidRPr="006235D2">
        <w:t xml:space="preserve"> The cross-sectional research design captures relationships at a single point in time and does not support causal inference about the directionality of effects. While the conditional theoretical model proposes that AI integration is associated with disclosure quality </w:t>
      </w:r>
      <w:r w:rsidRPr="006235D2">
        <w:lastRenderedPageBreak/>
        <w:t xml:space="preserve">through enabling institutional conditions, the cross-sectional data </w:t>
      </w:r>
      <w:proofErr w:type="gramStart"/>
      <w:r w:rsidRPr="006235D2">
        <w:t>establish</w:t>
      </w:r>
      <w:proofErr w:type="gramEnd"/>
      <w:r w:rsidRPr="006235D2">
        <w:t xml:space="preserve"> associations </w:t>
      </w:r>
      <w:proofErr w:type="gramStart"/>
      <w:r w:rsidRPr="006235D2">
        <w:t>at the present moment</w:t>
      </w:r>
      <w:proofErr w:type="gramEnd"/>
      <w:r w:rsidRPr="006235D2">
        <w:t xml:space="preserve"> rather than testing temporal precedence. Longitudinal research tracking organizations over time would strengthen claims regarding the direction of effects and the temporal unfolding of conditional relationships (Section 5.10.1).</w:t>
      </w:r>
    </w:p>
    <w:p w14:paraId="7C7261B5" w14:textId="471DC67D" w:rsidR="006235D2" w:rsidRPr="006235D2" w:rsidRDefault="006235D2" w:rsidP="006235D2">
      <w:pPr>
        <w:spacing w:line="240" w:lineRule="auto"/>
        <w:jc w:val="both"/>
      </w:pPr>
      <w:r w:rsidRPr="006235D2">
        <w:t xml:space="preserve">The single-source, self-reported survey design introduces additional methodological constraints. Respondents may overstate AI capabilities or disclosure practices due to social desirability concerns, and shared-method variance arising from a single respondent reporting on multiple constructs may inflate or deflate observed correlations. While four procedural remedies were embedded in the data collection design (anonymity, item separation, varied response anchors, and instructions emphasizing no right or wrong answers — Section 3.6.1), and while attention check items and consistency screening addressed individual-response data quality, formal post-hoc statistical testing of common method bias was not conducted in the present study. This boundary is discussed further in the </w:t>
      </w:r>
      <w:r w:rsidR="00C313FF">
        <w:t>subsection on the analytical scope</w:t>
      </w:r>
      <w:r w:rsidRPr="006235D2">
        <w:t xml:space="preserve"> below.</w:t>
      </w:r>
    </w:p>
    <w:p w14:paraId="4B1B6353" w14:textId="77777777" w:rsidR="006235D2" w:rsidRPr="006235D2" w:rsidRDefault="006235D2" w:rsidP="006235D2">
      <w:pPr>
        <w:spacing w:line="240" w:lineRule="auto"/>
        <w:jc w:val="both"/>
      </w:pPr>
      <w:r w:rsidRPr="006235D2">
        <w:rPr>
          <w:b/>
        </w:rPr>
        <w:t>Sampling Limitations.</w:t>
      </w:r>
      <w:r w:rsidRPr="006235D2">
        <w:t xml:space="preserve"> As noted in the study’s delimitations (Section 1.5), the research was intentionally </w:t>
      </w:r>
      <w:proofErr w:type="gramStart"/>
      <w:r w:rsidRPr="006235D2">
        <w:t>bounded</w:t>
      </w:r>
      <w:proofErr w:type="gramEnd"/>
      <w:r w:rsidRPr="006235D2">
        <w:t xml:space="preserve"> to EEC manufacturing organizations to ensure contextual coherence. Consequently, the findings and the framework require validation in diverse sectors, geographic contexts, and regulatory environments before broader generalization can be claimed. Manufacturing firms in Thailand’s industrial heartland may differ systematically from service-sector organizations, smaller enterprises, or firms operating under different institutional conditions.</w:t>
      </w:r>
    </w:p>
    <w:p w14:paraId="74BE49AE" w14:textId="5C548FC3" w:rsidR="006235D2" w:rsidRPr="006235D2" w:rsidRDefault="006235D2" w:rsidP="006235D2">
      <w:pPr>
        <w:spacing w:line="240" w:lineRule="auto"/>
        <w:jc w:val="both"/>
      </w:pPr>
      <w:r w:rsidRPr="006235D2">
        <w:t>The 47.1% response rate (Table 4.1), while acceptable for organizational survey research, raises concerns about non-response bias. Organizations</w:t>
      </w:r>
      <w:r w:rsidR="00C313FF">
        <w:t>'</w:t>
      </w:r>
      <w:r w:rsidRPr="006235D2">
        <w:t xml:space="preserve"> declining participation may differ from respondents in ways relevant to the research questions. The non-response bias analysis found no significant early–late differences among respondents, but unobserved systematic differences cannot be ruled out.</w:t>
      </w:r>
    </w:p>
    <w:p w14:paraId="431D92F2" w14:textId="77777777" w:rsidR="006235D2" w:rsidRPr="006235D2" w:rsidRDefault="006235D2" w:rsidP="006235D2">
      <w:pPr>
        <w:spacing w:line="240" w:lineRule="auto"/>
        <w:jc w:val="both"/>
      </w:pPr>
      <w:r w:rsidRPr="006235D2">
        <w:rPr>
          <w:b/>
        </w:rPr>
        <w:t>Measurement Limitations.</w:t>
      </w:r>
      <w:r w:rsidRPr="006235D2">
        <w:t xml:space="preserve"> The disclosure quality assessment relied on respondent perceptions rather than direct content analysis of disclosure documents. Future research could complement survey methods by systematically coding actual annual reports and corporate communications to validate self-reported disclosure practices, as committed in Section 5.10.8.</w:t>
      </w:r>
    </w:p>
    <w:p w14:paraId="609B15C5" w14:textId="77777777" w:rsidR="006235D2" w:rsidRPr="006235D2" w:rsidRDefault="006235D2" w:rsidP="006235D2">
      <w:pPr>
        <w:spacing w:line="240" w:lineRule="auto"/>
        <w:jc w:val="both"/>
      </w:pPr>
      <w:r w:rsidRPr="006235D2">
        <w:t>The tiered framework (Table 4.30) constitutes a conceptual contribution that requires further empirical validation. The proposed tier boundaries and progression paths are theoretically grounded but have not been tested through implementation studies that track organizational advancement across tiers.</w:t>
      </w:r>
    </w:p>
    <w:p w14:paraId="389F07D3" w14:textId="77777777" w:rsidR="006235D2" w:rsidRPr="006235D2" w:rsidRDefault="006235D2" w:rsidP="006235D2">
      <w:pPr>
        <w:spacing w:line="240" w:lineRule="auto"/>
        <w:jc w:val="both"/>
      </w:pPr>
      <w:r w:rsidRPr="006235D2">
        <w:rPr>
          <w:b/>
        </w:rPr>
        <w:t>Analytical Scope Limitations.</w:t>
      </w:r>
      <w:r w:rsidRPr="006235D2">
        <w:t xml:space="preserve"> The present study is positioned as a first-phase </w:t>
      </w:r>
      <w:proofErr w:type="gramStart"/>
      <w:r w:rsidRPr="006235D2">
        <w:t>exploratory</w:t>
      </w:r>
      <w:proofErr w:type="gramEnd"/>
      <w:r w:rsidRPr="006235D2">
        <w:t xml:space="preserve"> mixed-methods investigation in an emerging-economy manufacturing context. Consistent with this positioning, four categories of more sophisticated inferential analysis were deliberately deferred to subsequent phases of the research program rather than conducted in the present study.</w:t>
      </w:r>
    </w:p>
    <w:p w14:paraId="47FBFAA6" w14:textId="77777777" w:rsidR="006235D2" w:rsidRPr="006235D2" w:rsidRDefault="006235D2" w:rsidP="006235D2">
      <w:pPr>
        <w:spacing w:line="240" w:lineRule="auto"/>
        <w:jc w:val="both"/>
      </w:pPr>
      <w:r w:rsidRPr="006235D2">
        <w:t xml:space="preserve">First, confirmatory factor analysis with composite reliability, average variance extracted, and discriminant validity testing through the Fornell–Larcker criterion and the </w:t>
      </w:r>
      <w:proofErr w:type="spellStart"/>
      <w:r w:rsidRPr="006235D2">
        <w:t>heterotrait-monotrait</w:t>
      </w:r>
      <w:proofErr w:type="spellEnd"/>
      <w:r w:rsidRPr="006235D2">
        <w:t xml:space="preserve"> ratio of correlations was not conducted. The reliability of the multi-item scales was examined through Cronbach’s alpha (Section 3.7.1). However, more rigorous psychometric validation of the measurement model is reserved for the next research phase (Section 5.10.6).</w:t>
      </w:r>
    </w:p>
    <w:p w14:paraId="28CB99B5" w14:textId="77777777" w:rsidR="006235D2" w:rsidRPr="006235D2" w:rsidRDefault="006235D2" w:rsidP="006235D2">
      <w:pPr>
        <w:spacing w:line="240" w:lineRule="auto"/>
        <w:jc w:val="both"/>
      </w:pPr>
      <w:r w:rsidRPr="006235D2">
        <w:lastRenderedPageBreak/>
        <w:t>Second, formal post hoc statistical testing for common method bias — including Harman’s single-factor test and the marker-variable technique — was not conducted. Procedural remedies recommended by Podsakoff et al. (2003) and MacKenzie and Podsakoff (2012) were embedded into the data collection design, as described in Section 3.6.1. However, the study does not include statistical confirmation of the absence of substantial common method variance.</w:t>
      </w:r>
    </w:p>
    <w:p w14:paraId="25D481B5" w14:textId="77777777" w:rsidR="006235D2" w:rsidRPr="006235D2" w:rsidRDefault="006235D2" w:rsidP="006235D2">
      <w:pPr>
        <w:spacing w:line="240" w:lineRule="auto"/>
        <w:jc w:val="both"/>
      </w:pPr>
      <w:r w:rsidRPr="006235D2">
        <w:t>Third, bootstrapped indirect-effect testing of mediation using bias-corrected confidence intervals derived from 5,000 resamples (Hayes, 2022; Preacher &amp; Hayes, 2008) was not conducted. The mediation pathway proposed in H2 was examined through correlation-based pathway testing (Section 4.8.2), which provides a defensible exploratory examination but does not constitute the contemporary best-practice standard for formal mediation analysis.</w:t>
      </w:r>
    </w:p>
    <w:p w14:paraId="6480C522" w14:textId="77777777" w:rsidR="006235D2" w:rsidRPr="006235D2" w:rsidRDefault="006235D2" w:rsidP="006235D2">
      <w:pPr>
        <w:spacing w:line="240" w:lineRule="auto"/>
        <w:jc w:val="both"/>
      </w:pPr>
      <w:r w:rsidRPr="006235D2">
        <w:t>Fourth, inferential moderated regression testing of the perceived barriers and enablers as conditional factors of the AI–disclosure relationship was not conducted. The barrier-enabler analysis (Section 4.10) is presented descriptively, with composite means, dimensional comparisons, and aggregate gap metrics. Formal statistical testing of barriers and enablers as moderators of the AI–HCAD relationship — using hierarchical moderated regression with mean-centered interaction terms (Aiken &amp; West, 1991) — is reserved for the next phase (Section 5.10.6).</w:t>
      </w:r>
    </w:p>
    <w:p w14:paraId="3B179506" w14:textId="77777777" w:rsidR="006235D2" w:rsidRPr="006235D2" w:rsidRDefault="006235D2" w:rsidP="006235D2">
      <w:pPr>
        <w:spacing w:line="240" w:lineRule="auto"/>
        <w:jc w:val="both"/>
      </w:pPr>
      <w:r w:rsidRPr="006235D2">
        <w:t>These are deliberate analytical boundaries rather than oversights. The current findings — based on descriptive statistics, correlation, sub-group moderation, and integrated thematic analysis — establish the empirical foundation against which the next-phase inferential analyses (Section 5.10.6) will be evaluated, and the present findings should be interpreted within this stated analytical scope.</w:t>
      </w:r>
    </w:p>
    <w:p w14:paraId="12BCE1B2" w14:textId="77777777" w:rsidR="006235D2" w:rsidRPr="006235D2" w:rsidRDefault="006235D2" w:rsidP="006235D2">
      <w:pPr>
        <w:spacing w:line="240" w:lineRule="auto"/>
        <w:jc w:val="both"/>
      </w:pPr>
      <w:r w:rsidRPr="006235D2">
        <w:rPr>
          <w:b/>
        </w:rPr>
        <w:t>5.10 Recommendations for Future Research</w:t>
      </w:r>
    </w:p>
    <w:p w14:paraId="732B2D52" w14:textId="77777777" w:rsidR="006235D2" w:rsidRPr="006235D2" w:rsidRDefault="006235D2" w:rsidP="006235D2">
      <w:pPr>
        <w:spacing w:line="240" w:lineRule="auto"/>
        <w:jc w:val="both"/>
      </w:pPr>
      <w:r w:rsidRPr="006235D2">
        <w:t>Recommendations address theoretical extensions, methodological improvements, advanced inferential analyses, and practical applications. Sections 5.10.1–5.10.5 set out future research directions that extend the study’s scope; Sections 5.10.6–5.10.8 document specific commitments to analyses deferred from the present exploratory phase.</w:t>
      </w:r>
    </w:p>
    <w:p w14:paraId="5A76A3D0" w14:textId="77777777" w:rsidR="006235D2" w:rsidRPr="006235D2" w:rsidRDefault="006235D2" w:rsidP="006235D2">
      <w:pPr>
        <w:spacing w:line="240" w:lineRule="auto"/>
        <w:jc w:val="both"/>
      </w:pPr>
      <w:r w:rsidRPr="006235D2">
        <w:rPr>
          <w:b/>
        </w:rPr>
        <w:t>5.10.1 Longitudinal Research</w:t>
      </w:r>
    </w:p>
    <w:p w14:paraId="14775AAD" w14:textId="0E52D417" w:rsidR="006235D2" w:rsidRPr="006235D2" w:rsidRDefault="006235D2" w:rsidP="006235D2">
      <w:pPr>
        <w:spacing w:line="240" w:lineRule="auto"/>
        <w:jc w:val="both"/>
      </w:pPr>
      <w:r w:rsidRPr="006235D2">
        <w:t xml:space="preserve">Future studies should employ longitudinal or time-lagged designs tracking organizations over multiple time periods. Such research could examine whether changes in AI integration are temporally associated with subsequent changes in disclosure quality, strengthening claims regarding directionality. Panel data would also enable analysis of framework tier progression, testing whether organizations following the recommended pathways achieve the predicted outcomes (Table 4.30). Time-lagged designs separating </w:t>
      </w:r>
      <w:r w:rsidR="00C313FF">
        <w:t xml:space="preserve">the </w:t>
      </w:r>
      <w:r w:rsidRPr="006235D2">
        <w:t xml:space="preserve">measurement of independent and dependent variables across waves would additionally reduce common method variance arising from </w:t>
      </w:r>
      <w:r w:rsidR="00C313FF">
        <w:t xml:space="preserve">the </w:t>
      </w:r>
      <w:r w:rsidRPr="006235D2">
        <w:t>same-source, same-time data collection.</w:t>
      </w:r>
    </w:p>
    <w:p w14:paraId="41DE58D8" w14:textId="77777777" w:rsidR="006235D2" w:rsidRPr="006235D2" w:rsidRDefault="006235D2" w:rsidP="006235D2">
      <w:pPr>
        <w:spacing w:line="240" w:lineRule="auto"/>
        <w:jc w:val="both"/>
      </w:pPr>
      <w:r w:rsidRPr="006235D2">
        <w:rPr>
          <w:b/>
        </w:rPr>
        <w:t>5.10.2 Multi-Context Validation</w:t>
      </w:r>
    </w:p>
    <w:p w14:paraId="0A032094" w14:textId="77777777" w:rsidR="006235D2" w:rsidRPr="006235D2" w:rsidRDefault="006235D2" w:rsidP="006235D2">
      <w:pPr>
        <w:spacing w:line="240" w:lineRule="auto"/>
        <w:jc w:val="both"/>
      </w:pPr>
      <w:r w:rsidRPr="006235D2">
        <w:t xml:space="preserve">Replication in diverse contexts would enhance understanding of boundary conditions. Research in service sectors, different countries, and varying regulatory environments would reveal whether the data-to-disclosure gap and its institutional moderators generalize beyond EEC manufacturing. Comparative studies across regulatory regimes — particularly between contexts with mandatory pay transparency requirements (such as the European Union under Directive 2023/970) and </w:t>
      </w:r>
      <w:r w:rsidRPr="006235D2">
        <w:lastRenderedPageBreak/>
        <w:t>contexts with predominantly voluntary disclosure regimes — could isolate the effects of regulatory mandate on the AI–disclosure relationship and the strength of the pay transparency moderation.</w:t>
      </w:r>
    </w:p>
    <w:p w14:paraId="35057388" w14:textId="77777777" w:rsidR="006235D2" w:rsidRPr="006235D2" w:rsidRDefault="006235D2" w:rsidP="006235D2">
      <w:pPr>
        <w:spacing w:line="240" w:lineRule="auto"/>
        <w:jc w:val="both"/>
      </w:pPr>
      <w:r w:rsidRPr="006235D2">
        <w:rPr>
          <w:b/>
        </w:rPr>
        <w:t>5.10.3 Deeper Qualitative Investigation</w:t>
      </w:r>
    </w:p>
    <w:p w14:paraId="2D2DF0DD" w14:textId="77777777" w:rsidR="006235D2" w:rsidRPr="006235D2" w:rsidRDefault="006235D2" w:rsidP="006235D2">
      <w:pPr>
        <w:spacing w:line="240" w:lineRule="auto"/>
        <w:jc w:val="both"/>
      </w:pPr>
      <w:r w:rsidRPr="006235D2">
        <w:t>The present study substantively integrated qualitative findings through thematic analysis of three open-ended survey questions across n = 400 respondents (Section 4.11) and a joint display (Section 4.12). Future research should extend this integration through deeper qualitative investigation, including semi-structured interviews and case studies of organizations that have successfully closed the data-to-disclosure gap. Such studies would identify mechanisms of organizational change, strategic decision-making processes, and contextual conditions not fully captured by survey-based qualitative methods. Interviews with disclosure decision-makers — HR directors, finance leaders, and external auditors — could illuminate the strategic considerations influencing disclosure choices and the practical operation of the institutional moderators identified in this study.</w:t>
      </w:r>
    </w:p>
    <w:p w14:paraId="567E1A90" w14:textId="77777777" w:rsidR="006235D2" w:rsidRPr="006235D2" w:rsidRDefault="006235D2" w:rsidP="006235D2">
      <w:pPr>
        <w:spacing w:line="240" w:lineRule="auto"/>
        <w:jc w:val="both"/>
      </w:pPr>
      <w:r w:rsidRPr="006235D2">
        <w:rPr>
          <w:b/>
        </w:rPr>
        <w:t>5.10.4 Intervention Studies</w:t>
      </w:r>
    </w:p>
    <w:p w14:paraId="3ECDDCB5" w14:textId="77777777" w:rsidR="006235D2" w:rsidRPr="006235D2" w:rsidRDefault="006235D2" w:rsidP="006235D2">
      <w:pPr>
        <w:spacing w:line="240" w:lineRule="auto"/>
        <w:jc w:val="both"/>
      </w:pPr>
      <w:r w:rsidRPr="006235D2">
        <w:t xml:space="preserve">Action research and experimental studies testing specific interventions would advance practical knowledge. Evaluating technical training programs, integration tools, governance interventions, and transparency culture initiatives would provide practitioners with evidence-based guidance for closing the data-to-disclosure gap, validating </w:t>
      </w:r>
      <w:proofErr w:type="gramStart"/>
      <w:r w:rsidRPr="006235D2">
        <w:t>the framework’s</w:t>
      </w:r>
      <w:proofErr w:type="gramEnd"/>
      <w:r w:rsidRPr="006235D2">
        <w:t xml:space="preserve"> recommended interventions at each tier (Table 4.30) and identifying the most effective sequences of organizational change.</w:t>
      </w:r>
    </w:p>
    <w:p w14:paraId="7A98CFC9" w14:textId="77777777" w:rsidR="006235D2" w:rsidRPr="006235D2" w:rsidRDefault="006235D2" w:rsidP="006235D2">
      <w:pPr>
        <w:spacing w:line="240" w:lineRule="auto"/>
        <w:jc w:val="both"/>
      </w:pPr>
      <w:r w:rsidRPr="006235D2">
        <w:rPr>
          <w:b/>
        </w:rPr>
        <w:t>5.10.5 Stakeholder Perspectives</w:t>
      </w:r>
    </w:p>
    <w:p w14:paraId="53684F86" w14:textId="77777777" w:rsidR="006235D2" w:rsidRPr="006235D2" w:rsidRDefault="006235D2" w:rsidP="006235D2">
      <w:pPr>
        <w:spacing w:line="240" w:lineRule="auto"/>
        <w:jc w:val="both"/>
      </w:pPr>
      <w:r w:rsidRPr="006235D2">
        <w:t>The present research focused on organizational capabilities and practices reported by senior management. Future studies should examine stakeholder perspectives by investigating what human capital information investors, employees, regulators, and other stakeholders actively desire and how they use disclosed information. Understanding demand-side dynamics would complement the current supply-side focus and identify the specific disclosure items that produce stakeholder value, informing the substantive content of disclosure rather than merely its mechanical generation.</w:t>
      </w:r>
    </w:p>
    <w:p w14:paraId="63BFAB1C" w14:textId="77777777" w:rsidR="006235D2" w:rsidRPr="006235D2" w:rsidRDefault="006235D2" w:rsidP="006235D2">
      <w:pPr>
        <w:spacing w:line="240" w:lineRule="auto"/>
        <w:jc w:val="both"/>
      </w:pPr>
      <w:r w:rsidRPr="006235D2">
        <w:rPr>
          <w:b/>
        </w:rPr>
        <w:t>5.10.6 Advanced Inferential Analyses</w:t>
      </w:r>
    </w:p>
    <w:p w14:paraId="4B142C6F" w14:textId="77777777" w:rsidR="006235D2" w:rsidRPr="006235D2" w:rsidRDefault="006235D2" w:rsidP="006235D2">
      <w:pPr>
        <w:spacing w:line="240" w:lineRule="auto"/>
        <w:jc w:val="both"/>
      </w:pPr>
      <w:r w:rsidRPr="006235D2">
        <w:t xml:space="preserve">The next immediate phase of this research program is committed to four categories of inferential analysis deferred from the present exploratory study, addressing the analytical scope limitations documented in Section 5.9. First, confirmatory factor analysis will be conducted on the multi-item measurement model, reporting standardized factor loadings, average variance extracted, composite reliability, and discriminant validity through both the Fornell–Larcker criterion (Fornell &amp; Larcker, 1981) and the </w:t>
      </w:r>
      <w:proofErr w:type="spellStart"/>
      <w:r w:rsidRPr="006235D2">
        <w:t>heterotrait-monotrait</w:t>
      </w:r>
      <w:proofErr w:type="spellEnd"/>
      <w:r w:rsidRPr="006235D2">
        <w:t xml:space="preserve"> ratio of correlations (Henseler et al., 2015), with model fit evaluated through CFI, TLI, RMSEA, and SRMR (Hu &amp; Bentler, 1999). The four-component structure of the integration protocols construct will receive particular attention, given its theoretical centrality.</w:t>
      </w:r>
    </w:p>
    <w:p w14:paraId="5FF9814E" w14:textId="77777777" w:rsidR="006235D2" w:rsidRPr="006235D2" w:rsidRDefault="006235D2" w:rsidP="006235D2">
      <w:pPr>
        <w:spacing w:line="240" w:lineRule="auto"/>
        <w:jc w:val="both"/>
      </w:pPr>
      <w:r w:rsidRPr="006235D2">
        <w:t xml:space="preserve">Second, formal statistical testing of common method bias will be conducted through Harman’s single-factor test and the marker-variable technique (Lindell &amp; Whitney, 2001; Podsakoff et al., 2003), complementing the procedural remedies already embedded in the data collection design. Third, bootstrapped indirect-effect testing of mediation will be conducted using 5,000 resamples </w:t>
      </w:r>
      <w:r w:rsidRPr="006235D2">
        <w:lastRenderedPageBreak/>
        <w:t>and 95% bias-corrected confidence intervals (Hayes, 2022; Preacher &amp; Hayes, 2008; Zhao et al., 2010), providing the contemporary best-practice test of the H2 mediation pathway. Fourth, hierarchical moderated regression with mean-centered interaction terms (Aiken &amp; West, 1991) will formally test the perceived barriers and enablers identified in Section 4.10 as conditional factors of the AI–disclosure relationship, converting the descriptive barrier-enabler analysis into an inferential test of conditional effects.</w:t>
      </w:r>
    </w:p>
    <w:p w14:paraId="01E26528" w14:textId="77777777" w:rsidR="006235D2" w:rsidRPr="006235D2" w:rsidRDefault="006235D2" w:rsidP="006235D2">
      <w:pPr>
        <w:spacing w:line="240" w:lineRule="auto"/>
        <w:jc w:val="both"/>
      </w:pPr>
      <w:r w:rsidRPr="006235D2">
        <w:t>Together, these analyses are designed to provide rigorous validation of the conditional model grounded in the present study.</w:t>
      </w:r>
    </w:p>
    <w:p w14:paraId="654F5E82" w14:textId="77777777" w:rsidR="006235D2" w:rsidRPr="006235D2" w:rsidRDefault="006235D2" w:rsidP="006235D2">
      <w:pPr>
        <w:spacing w:line="240" w:lineRule="auto"/>
        <w:jc w:val="both"/>
      </w:pPr>
      <w:r w:rsidRPr="006235D2">
        <w:rPr>
          <w:b/>
        </w:rPr>
        <w:t>5.10.7 Alternative Moderators of the Conditional Model</w:t>
      </w:r>
    </w:p>
    <w:p w14:paraId="30E99D29" w14:textId="38F82563" w:rsidR="006235D2" w:rsidRPr="006235D2" w:rsidRDefault="006235D2" w:rsidP="006235D2">
      <w:pPr>
        <w:spacing w:line="240" w:lineRule="auto"/>
        <w:jc w:val="both"/>
      </w:pPr>
      <w:r w:rsidRPr="006235D2">
        <w:t xml:space="preserve">The present study tested pay transparency and organizational size as moderators and found </w:t>
      </w:r>
      <w:r w:rsidR="00C313FF">
        <w:t>that pay transparency was</w:t>
      </w:r>
      <w:r w:rsidRPr="006235D2">
        <w:t xml:space="preserve"> a significant institutional enabling condition (H3 supported). The literature (Section 2.5.4) identifies additional organizational and institutional conditions that may operate as moderators</w:t>
      </w:r>
      <w:r w:rsidR="00C313FF">
        <w:t>:</w:t>
      </w:r>
      <w:r w:rsidRPr="006235D2">
        <w:t xml:space="preserve"> transparency-supportive cultural orientations, leadership commitment to AI ethics and disclosure, and regulatory environment maturity. Future research should formally test these alternative moderators using validated instruments. Multi-moderator models would clarify whether the institutional enabling condition is best conceptualized as a single latent factor (institutional readiness) or as a constellation of distinct but correlated conditions with separable effects.</w:t>
      </w:r>
    </w:p>
    <w:p w14:paraId="0D3F0903" w14:textId="77777777" w:rsidR="006235D2" w:rsidRPr="006235D2" w:rsidRDefault="006235D2" w:rsidP="006235D2">
      <w:pPr>
        <w:spacing w:line="240" w:lineRule="auto"/>
        <w:jc w:val="both"/>
      </w:pPr>
      <w:r w:rsidRPr="006235D2">
        <w:rPr>
          <w:b/>
        </w:rPr>
        <w:t>5.10.8 Objective Disclosure Measurement Through Content Analysis</w:t>
      </w:r>
    </w:p>
    <w:p w14:paraId="464966C5" w14:textId="77777777" w:rsidR="006235D2" w:rsidRPr="006235D2" w:rsidRDefault="006235D2" w:rsidP="006235D2">
      <w:pPr>
        <w:spacing w:line="240" w:lineRule="auto"/>
        <w:jc w:val="both"/>
      </w:pPr>
      <w:r w:rsidRPr="006235D2">
        <w:t>The disclosure quality measure used here relied on respondent perceptions. Future research should complement this with objective measurement through content analysis of annual reports, sustainability reports, and corporate communications. Methodologies — computer-assisted text analysis, structured coding against ISO 30414 indicators, and disclosure index construction — would provide objective evidence of actual disclosure content and enable validation of self-reported quality against independent textual evidence. A combined perception- and content-based measurement approach would substantially strengthen the validity of the disclosure quality construct in subsequent studies of the conditional model.</w:t>
      </w:r>
    </w:p>
    <w:p w14:paraId="08F873A1" w14:textId="77777777" w:rsidR="006235D2" w:rsidRPr="006235D2" w:rsidRDefault="006235D2" w:rsidP="006235D2">
      <w:pPr>
        <w:spacing w:line="240" w:lineRule="auto"/>
        <w:jc w:val="both"/>
      </w:pPr>
      <w:r w:rsidRPr="006235D2">
        <w:rPr>
          <w:b/>
        </w:rPr>
        <w:t>5.11 Research Conclusions</w:t>
      </w:r>
    </w:p>
    <w:p w14:paraId="3E7895B8" w14:textId="77777777" w:rsidR="006235D2" w:rsidRPr="006235D2" w:rsidRDefault="006235D2" w:rsidP="006235D2">
      <w:pPr>
        <w:spacing w:line="240" w:lineRule="auto"/>
        <w:jc w:val="both"/>
      </w:pPr>
      <w:r w:rsidRPr="006235D2">
        <w:t>This study investigated the conditions under which AI integration into compensation systems is associated with the quality of human capital disclosure among manufacturing organizations in Thailand’s Eastern Economic Corridor. Drawing on institutional theory, stakeholder theory, the resource-based view, and the broader literature on organizational conditions as enabling mechanisms, a conditional theoretical model was developed to examine direct, mediated, and moderated relationships between AI capability and disclosure outcomes. A cross-sectional, single-source survey of 400 manufacturing organizations was complemented by thematic analysis of qualitative responses to three open-ended questions embedded in the same survey, with quantitative and qualitative findings integrated through a joint display following Fetters et al. (2013).</w:t>
      </w:r>
    </w:p>
    <w:p w14:paraId="33149075" w14:textId="19FB4945" w:rsidR="006235D2" w:rsidRPr="006235D2" w:rsidRDefault="006235D2" w:rsidP="006235D2">
      <w:pPr>
        <w:spacing w:line="240" w:lineRule="auto"/>
        <w:jc w:val="both"/>
      </w:pPr>
      <w:r w:rsidRPr="006235D2">
        <w:t xml:space="preserve">The central empirical finding — a 1.75-point data-to-disclosure gap separating AI Integration (M = 4.73) from Human Capital Disclosure Quality (M = </w:t>
      </w:r>
      <w:proofErr w:type="gramStart"/>
      <w:r w:rsidRPr="006235D2">
        <w:t>2.98) —</w:t>
      </w:r>
      <w:proofErr w:type="gramEnd"/>
      <w:r w:rsidRPr="006235D2">
        <w:t xml:space="preserve"> demonstrates that technological capability alone is not sufficient to produce high-quality external disclosure. The four-hypothesis pattern (H1 and H2 unsupported, H3 supported, H4 unsupported) identifies pay transparency as </w:t>
      </w:r>
      <w:r w:rsidRPr="006235D2">
        <w:lastRenderedPageBreak/>
        <w:t>the institutional condition under which the AI–disclosure relationship becomes operative. Qualitative themes 3.1, 1.3, and 2.3 (Section 4.11) provide convergent evidence that institutional readiness</w:t>
      </w:r>
      <w:r w:rsidR="00C313FF">
        <w:t>—not technological capacity—</w:t>
      </w:r>
      <w:r w:rsidRPr="006235D2">
        <w:t>is the binding constraint.</w:t>
      </w:r>
    </w:p>
    <w:p w14:paraId="36F69F76" w14:textId="77777777" w:rsidR="006235D2" w:rsidRPr="006235D2" w:rsidRDefault="006235D2" w:rsidP="006235D2">
      <w:pPr>
        <w:spacing w:line="240" w:lineRule="auto"/>
        <w:jc w:val="both"/>
      </w:pPr>
      <w:r w:rsidRPr="006235D2">
        <w:t>The principal theoretical contribution of this study is the empirically grounded proposition that AI integration is a necessary but not sufficient condition for human capital accounting disclosure quality, with pay transparency operating as the institutional enabling mechanism that translates technological capability into stakeholder-accessible reporting. This reframing departs from technology-deterministic accounts and contributes to a more nuanced understanding of the conditions under which technology produces disclosure outcomes in emerging-economy contexts. The tiered AI–HCAD implementation framework (Table 4.30) translates this theoretical contribution into practical guidance, offering organizations a stage-appropriate pathway to closing the data-to-disclosure gap by simultaneously investing in technological capability and the institutional conditions that activate it.</w:t>
      </w:r>
    </w:p>
    <w:p w14:paraId="2E504C3B" w14:textId="51E9D457" w:rsidR="006235D2" w:rsidRPr="006235D2" w:rsidRDefault="006235D2" w:rsidP="006235D2">
      <w:pPr>
        <w:spacing w:line="240" w:lineRule="auto"/>
        <w:jc w:val="both"/>
      </w:pPr>
      <w:r w:rsidRPr="006235D2">
        <w:t xml:space="preserve">The barrier–enabler analysis (Section 4.10) complements the central finding by documenting the institutional environment within which the conditional model operates. The substantial imbalance between barriers (M = 3.67) and enablers (M = </w:t>
      </w:r>
      <w:proofErr w:type="gramStart"/>
      <w:r w:rsidRPr="006235D2">
        <w:t>2.45) —</w:t>
      </w:r>
      <w:proofErr w:type="gramEnd"/>
      <w:r w:rsidRPr="006235D2">
        <w:t xml:space="preserve"> limited regulatory guidance, weak industry coordination, and resource constraints — indicates that policy intervention and industry-level standardization are necessary complements to firm-level investment. As global expectations for human capital disclosure intensify and as international regulatory regimes such as the EU Pay Transparency Directive and the Corporate Sustainability Reporting Directive expand their reach, this study’s findings offer a diagnostic framework and an actionable pathway for organizations seeking to align technological investment with meaningful organizational accountability. The conditional model establishes the empirical and theoretical foundation for the inferential analy</w:t>
      </w:r>
      <w:r w:rsidR="00D961F9">
        <w:t>s</w:t>
      </w:r>
      <w:r w:rsidRPr="006235D2">
        <w:t>es committed to in Section 5.10.</w:t>
      </w:r>
    </w:p>
    <w:p w14:paraId="5122F690" w14:textId="77777777" w:rsidR="006235D2" w:rsidRDefault="006235D2" w:rsidP="00DE76D7">
      <w:pPr>
        <w:spacing w:line="240" w:lineRule="auto"/>
        <w:jc w:val="both"/>
      </w:pPr>
    </w:p>
    <w:p w14:paraId="5FD71CC6" w14:textId="77777777" w:rsidR="004B33BC" w:rsidRPr="004B33BC" w:rsidRDefault="004B33BC" w:rsidP="004B33BC">
      <w:pPr>
        <w:spacing w:line="240" w:lineRule="auto"/>
        <w:jc w:val="both"/>
        <w:rPr>
          <w:b/>
          <w:bCs/>
        </w:rPr>
      </w:pPr>
      <w:r w:rsidRPr="004B33BC">
        <w:rPr>
          <w:b/>
          <w:bCs/>
        </w:rPr>
        <w:t>REFERENCES</w:t>
      </w:r>
    </w:p>
    <w:p w14:paraId="69BB94DB" w14:textId="77777777" w:rsidR="00707210" w:rsidRPr="004B33BC" w:rsidRDefault="00707210" w:rsidP="004B33BC">
      <w:pPr>
        <w:spacing w:line="240" w:lineRule="auto"/>
        <w:jc w:val="both"/>
      </w:pPr>
      <w:r w:rsidRPr="004B33BC">
        <w:t xml:space="preserve">Abderraouf, G. (2020). Measuring human resources' value using human resources accounting methods and models; Theoretical study. ElWahat pour les </w:t>
      </w:r>
      <w:proofErr w:type="spellStart"/>
      <w:r w:rsidRPr="004B33BC">
        <w:t>Recherches</w:t>
      </w:r>
      <w:proofErr w:type="spellEnd"/>
      <w:r w:rsidRPr="004B33BC">
        <w:t xml:space="preserve"> et les Etudes, 13(2), 1416–1431.</w:t>
      </w:r>
    </w:p>
    <w:p w14:paraId="5C4A8FD7" w14:textId="77777777" w:rsidR="00707210" w:rsidRPr="004B33BC" w:rsidRDefault="00707210" w:rsidP="004B33BC">
      <w:pPr>
        <w:spacing w:line="240" w:lineRule="auto"/>
        <w:jc w:val="both"/>
        <w:rPr>
          <w:lang w:val="de-DE"/>
        </w:rPr>
      </w:pPr>
      <w:r w:rsidRPr="004B33BC">
        <w:t xml:space="preserve">Acquah, I., Naude, M., &amp; Soni, S. (2021). How the dimensions of culture influence supply chain collaboration: An explanatory sequential mixed-methods investigation. </w:t>
      </w:r>
      <w:r w:rsidRPr="004B33BC">
        <w:rPr>
          <w:i/>
          <w:iCs/>
          <w:lang w:val="de-DE"/>
        </w:rPr>
        <w:t>Revista de Gestão</w:t>
      </w:r>
      <w:r w:rsidRPr="004B33BC">
        <w:rPr>
          <w:lang w:val="de-DE"/>
        </w:rPr>
        <w:t xml:space="preserve">, </w:t>
      </w:r>
      <w:r w:rsidRPr="004B33BC">
        <w:rPr>
          <w:i/>
          <w:iCs/>
          <w:lang w:val="de-DE"/>
        </w:rPr>
        <w:t>28</w:t>
      </w:r>
      <w:r w:rsidRPr="004B33BC">
        <w:rPr>
          <w:lang w:val="de-DE"/>
        </w:rPr>
        <w:t xml:space="preserve">(3), 241–262. </w:t>
      </w:r>
      <w:r>
        <w:fldChar w:fldCharType="begin"/>
      </w:r>
      <w:r>
        <w:instrText>HYPERLINK "https://doi.org/10.1108/rege-11-2020-0105"</w:instrText>
      </w:r>
      <w:r>
        <w:fldChar w:fldCharType="separate"/>
      </w:r>
      <w:r w:rsidRPr="004B33BC">
        <w:rPr>
          <w:rStyle w:val="Hyperlink"/>
          <w:lang w:val="de-DE"/>
        </w:rPr>
        <w:t>https://doi.org/10.1108/rege-11-2020-0105</w:t>
      </w:r>
      <w:r>
        <w:fldChar w:fldCharType="end"/>
      </w:r>
    </w:p>
    <w:p w14:paraId="337D15BB" w14:textId="3A005FB3" w:rsidR="00707210" w:rsidRPr="004B33BC" w:rsidRDefault="00707210" w:rsidP="004B33BC">
      <w:pPr>
        <w:spacing w:line="240" w:lineRule="auto"/>
        <w:jc w:val="both"/>
      </w:pPr>
      <w:bookmarkStart w:id="0" w:name="_Hlk216849836"/>
      <w:r w:rsidRPr="004B33BC">
        <w:rPr>
          <w:lang w:val="de-DE"/>
        </w:rPr>
        <w:t>Agarwal, A., &amp; Nene, M. J. (2025</w:t>
      </w:r>
      <w:bookmarkEnd w:id="0"/>
      <w:r w:rsidRPr="004B33BC">
        <w:rPr>
          <w:lang w:val="de-DE"/>
        </w:rPr>
        <w:t xml:space="preserve">). </w:t>
      </w:r>
      <w:r w:rsidRPr="004B33BC">
        <w:t xml:space="preserve">A five-layer framework for </w:t>
      </w:r>
      <w:r w:rsidR="00D961F9">
        <w:t>AI</w:t>
      </w:r>
      <w:r w:rsidRPr="004B33BC">
        <w:t xml:space="preserve"> governance: Integrating regulation, standards, and certification. </w:t>
      </w:r>
      <w:r w:rsidRPr="004B33BC">
        <w:rPr>
          <w:i/>
          <w:iCs/>
        </w:rPr>
        <w:t>Transforming Government: People, Process and Policy</w:t>
      </w:r>
      <w:r w:rsidRPr="004B33BC">
        <w:t xml:space="preserve">, </w:t>
      </w:r>
      <w:r w:rsidRPr="004B33BC">
        <w:rPr>
          <w:i/>
          <w:iCs/>
        </w:rPr>
        <w:t>19</w:t>
      </w:r>
      <w:r w:rsidRPr="004B33BC">
        <w:t xml:space="preserve">(3), 535–555. </w:t>
      </w:r>
      <w:hyperlink r:id="rId9" w:history="1">
        <w:r w:rsidRPr="004B33BC">
          <w:rPr>
            <w:rStyle w:val="Hyperlink"/>
          </w:rPr>
          <w:t>https://doi.org/10.1108/tg-03-2025-0065</w:t>
        </w:r>
      </w:hyperlink>
    </w:p>
    <w:p w14:paraId="77CEC063" w14:textId="77777777" w:rsidR="00707210" w:rsidRPr="004B33BC" w:rsidRDefault="00707210" w:rsidP="004B33BC">
      <w:pPr>
        <w:spacing w:line="240" w:lineRule="auto"/>
        <w:jc w:val="both"/>
      </w:pPr>
      <w:r w:rsidRPr="004B33BC">
        <w:t xml:space="preserve">Ahmed, S. (2024). The pillars of trustworthiness in qualitative research. </w:t>
      </w:r>
      <w:r w:rsidRPr="004B33BC">
        <w:rPr>
          <w:i/>
          <w:iCs/>
        </w:rPr>
        <w:t>Journal of Medicine, Surgery, and Public Health</w:t>
      </w:r>
      <w:r w:rsidRPr="004B33BC">
        <w:t xml:space="preserve">, </w:t>
      </w:r>
      <w:r w:rsidRPr="004B33BC">
        <w:rPr>
          <w:i/>
          <w:iCs/>
        </w:rPr>
        <w:t>2</w:t>
      </w:r>
      <w:r w:rsidRPr="004B33BC">
        <w:t xml:space="preserve">, 100051. </w:t>
      </w:r>
      <w:hyperlink r:id="rId10" w:history="1">
        <w:r w:rsidRPr="004B33BC">
          <w:rPr>
            <w:rStyle w:val="Hyperlink"/>
          </w:rPr>
          <w:t>https://doi.org/10.1016/j.glmedi.2024.100051</w:t>
        </w:r>
      </w:hyperlink>
    </w:p>
    <w:p w14:paraId="51B791BF" w14:textId="77777777" w:rsidR="00707210" w:rsidRPr="004B33BC" w:rsidRDefault="00707210" w:rsidP="004B33BC">
      <w:pPr>
        <w:spacing w:line="240" w:lineRule="auto"/>
        <w:jc w:val="both"/>
      </w:pPr>
      <w:r w:rsidRPr="004B33BC">
        <w:rPr>
          <w:lang w:val="de-DE"/>
        </w:rPr>
        <w:t xml:space="preserve">Aiken, L. S., &amp; West, S. G. (1991). </w:t>
      </w:r>
      <w:r w:rsidRPr="004B33BC">
        <w:rPr>
          <w:i/>
          <w:iCs/>
        </w:rPr>
        <w:t>Multiple regression: Testing and interpreting interactions</w:t>
      </w:r>
      <w:r w:rsidRPr="004B33BC">
        <w:t xml:space="preserve"> (1st ed.). SAGE Publications, Inc.</w:t>
      </w:r>
    </w:p>
    <w:p w14:paraId="0A5F28ED" w14:textId="0B0C262A" w:rsidR="00707210" w:rsidRPr="004B33BC" w:rsidRDefault="00707210" w:rsidP="004B33BC">
      <w:pPr>
        <w:spacing w:line="240" w:lineRule="auto"/>
        <w:jc w:val="both"/>
      </w:pPr>
      <w:r w:rsidRPr="004B33BC">
        <w:lastRenderedPageBreak/>
        <w:t xml:space="preserve">Alboré, N., </w:t>
      </w:r>
      <w:proofErr w:type="spellStart"/>
      <w:r w:rsidRPr="004B33BC">
        <w:t>Castelnovo</w:t>
      </w:r>
      <w:proofErr w:type="spellEnd"/>
      <w:r w:rsidRPr="004B33BC">
        <w:t xml:space="preserve">, A., Valle, M. D., </w:t>
      </w:r>
      <w:proofErr w:type="spellStart"/>
      <w:r w:rsidRPr="004B33BC">
        <w:t>Ermellino</w:t>
      </w:r>
      <w:proofErr w:type="spellEnd"/>
      <w:r w:rsidRPr="004B33BC">
        <w:t xml:space="preserve">, A., Puggini, L., &amp; Tessaro, S. (2025). A survey on human resource management under the </w:t>
      </w:r>
      <w:r w:rsidR="00D961F9">
        <w:t>AI A</w:t>
      </w:r>
      <w:r w:rsidRPr="004B33BC">
        <w:t xml:space="preserve">ct: Ethical, practical, and regulatory perspectives. </w:t>
      </w:r>
      <w:r w:rsidRPr="004B33BC">
        <w:rPr>
          <w:i/>
          <w:iCs/>
        </w:rPr>
        <w:t>AIMMES: co-located with EU Fairness Cluster Conference 2025, Barcelona, Spain</w:t>
      </w:r>
      <w:r w:rsidRPr="004B33BC">
        <w:t>.</w:t>
      </w:r>
    </w:p>
    <w:p w14:paraId="7FB1CC15" w14:textId="4215E543" w:rsidR="00707210" w:rsidRPr="004B33BC" w:rsidRDefault="00707210" w:rsidP="004B33BC">
      <w:pPr>
        <w:spacing w:line="240" w:lineRule="auto"/>
        <w:jc w:val="both"/>
      </w:pPr>
      <w:proofErr w:type="spellStart"/>
      <w:r w:rsidRPr="004B33BC">
        <w:t>Almaqtari</w:t>
      </w:r>
      <w:proofErr w:type="spellEnd"/>
      <w:r w:rsidRPr="004B33BC">
        <w:t xml:space="preserve">, F. A. (2024). The role of </w:t>
      </w:r>
      <w:r w:rsidR="00D961F9">
        <w:t>IT</w:t>
      </w:r>
      <w:r w:rsidRPr="004B33BC">
        <w:t xml:space="preserve"> governance in the integration of </w:t>
      </w:r>
      <w:r w:rsidR="00D961F9">
        <w:t>AI</w:t>
      </w:r>
      <w:r w:rsidRPr="004B33BC">
        <w:t xml:space="preserve"> in accounting and auditing operations. </w:t>
      </w:r>
      <w:r w:rsidRPr="004B33BC">
        <w:rPr>
          <w:i/>
          <w:iCs/>
        </w:rPr>
        <w:t>Economies</w:t>
      </w:r>
      <w:r w:rsidRPr="004B33BC">
        <w:t xml:space="preserve">, </w:t>
      </w:r>
      <w:r w:rsidRPr="004B33BC">
        <w:rPr>
          <w:i/>
          <w:iCs/>
        </w:rPr>
        <w:t>12</w:t>
      </w:r>
      <w:r w:rsidRPr="004B33BC">
        <w:t xml:space="preserve">(8), 199. </w:t>
      </w:r>
      <w:hyperlink r:id="rId11" w:history="1">
        <w:r w:rsidRPr="004B33BC">
          <w:rPr>
            <w:rStyle w:val="Hyperlink"/>
          </w:rPr>
          <w:t>https://doi.org/10.3390/economies12080199</w:t>
        </w:r>
      </w:hyperlink>
    </w:p>
    <w:p w14:paraId="62EF467A" w14:textId="77777777" w:rsidR="00707210" w:rsidRPr="004B33BC" w:rsidRDefault="00707210" w:rsidP="004B33BC">
      <w:pPr>
        <w:spacing w:line="240" w:lineRule="auto"/>
        <w:jc w:val="both"/>
        <w:rPr>
          <w:lang w:val="de-DE"/>
        </w:rPr>
      </w:pPr>
      <w:r w:rsidRPr="004B33BC">
        <w:t xml:space="preserve">Amin, M., Nørgaard, L., Cavaco, A. M., Witry, M. J., Hillman, L., </w:t>
      </w:r>
      <w:proofErr w:type="spellStart"/>
      <w:r w:rsidRPr="004B33BC">
        <w:t>Cernasev</w:t>
      </w:r>
      <w:proofErr w:type="spellEnd"/>
      <w:r w:rsidRPr="004B33BC">
        <w:t xml:space="preserve">, A., &amp; Desselle, S. P. (2020). Establishing trustworthiness and authenticity in qualitative pharmacy research. </w:t>
      </w:r>
      <w:r w:rsidRPr="004B33BC">
        <w:rPr>
          <w:i/>
          <w:iCs/>
        </w:rPr>
        <w:t>Research in Social and Administrative Pharmacy</w:t>
      </w:r>
      <w:r w:rsidRPr="004B33BC">
        <w:t xml:space="preserve">, </w:t>
      </w:r>
      <w:r w:rsidRPr="004B33BC">
        <w:rPr>
          <w:i/>
          <w:iCs/>
        </w:rPr>
        <w:t>16</w:t>
      </w:r>
      <w:r w:rsidRPr="004B33BC">
        <w:t xml:space="preserve">(10), 1472–1482. </w:t>
      </w:r>
      <w:hyperlink r:id="rId12" w:history="1">
        <w:r w:rsidRPr="004B33BC">
          <w:rPr>
            <w:rStyle w:val="Hyperlink"/>
            <w:lang w:val="de-DE"/>
          </w:rPr>
          <w:t>https://doi.org/10.1016/j.sapharm.2020.02.005</w:t>
        </w:r>
      </w:hyperlink>
    </w:p>
    <w:p w14:paraId="106F921C" w14:textId="77777777" w:rsidR="00707210" w:rsidRPr="004B33BC" w:rsidRDefault="00707210" w:rsidP="004B33BC">
      <w:pPr>
        <w:spacing w:line="240" w:lineRule="auto"/>
        <w:jc w:val="both"/>
      </w:pPr>
      <w:r w:rsidRPr="004B33BC">
        <w:rPr>
          <w:lang w:val="de-DE"/>
        </w:rPr>
        <w:t xml:space="preserve">Anantharaman, D., Rozario, A., &amp; Zhang, C. (2023). </w:t>
      </w:r>
      <w:r w:rsidRPr="004B33BC">
        <w:t xml:space="preserve">Artificial intelligence and financial reporting quality. </w:t>
      </w:r>
      <w:r w:rsidRPr="004B33BC">
        <w:rPr>
          <w:i/>
          <w:iCs/>
        </w:rPr>
        <w:t>SSRN Electronic Journal</w:t>
      </w:r>
      <w:r w:rsidRPr="004B33BC">
        <w:t xml:space="preserve">. </w:t>
      </w:r>
      <w:hyperlink r:id="rId13" w:history="1">
        <w:r w:rsidRPr="004B33BC">
          <w:rPr>
            <w:rStyle w:val="Hyperlink"/>
          </w:rPr>
          <w:t>https://doi.org/10.2139/ssrn.4625279</w:t>
        </w:r>
      </w:hyperlink>
    </w:p>
    <w:p w14:paraId="23450335" w14:textId="77777777" w:rsidR="00707210" w:rsidRPr="004B33BC" w:rsidRDefault="00707210" w:rsidP="004B33BC">
      <w:pPr>
        <w:spacing w:line="240" w:lineRule="auto"/>
        <w:jc w:val="both"/>
      </w:pPr>
      <w:r w:rsidRPr="004B33BC">
        <w:t xml:space="preserve">Ansari, M., &amp; Khan, S. (2023). An in-depth examination of validity assessment: Exploring diverse methodologies and dimensions of validity in social research studies. </w:t>
      </w:r>
      <w:r w:rsidRPr="004B33BC">
        <w:rPr>
          <w:i/>
          <w:iCs/>
        </w:rPr>
        <w:t>Asian Journal of Agricultural Extension, Economics &amp; Sociology</w:t>
      </w:r>
      <w:r w:rsidRPr="004B33BC">
        <w:t xml:space="preserve">, </w:t>
      </w:r>
      <w:r w:rsidRPr="004B33BC">
        <w:rPr>
          <w:i/>
          <w:iCs/>
        </w:rPr>
        <w:t>41</w:t>
      </w:r>
      <w:r w:rsidRPr="004B33BC">
        <w:t xml:space="preserve">(10), 772–782. </w:t>
      </w:r>
      <w:hyperlink r:id="rId14" w:history="1">
        <w:r w:rsidRPr="004B33BC">
          <w:rPr>
            <w:rStyle w:val="Hyperlink"/>
          </w:rPr>
          <w:t>https://doi.org/10.9734/ajaees/2023/v41i102224</w:t>
        </w:r>
      </w:hyperlink>
    </w:p>
    <w:p w14:paraId="2998C339" w14:textId="41924AF8" w:rsidR="00707210" w:rsidRPr="004B33BC" w:rsidRDefault="00707210" w:rsidP="004B33BC">
      <w:pPr>
        <w:spacing w:line="240" w:lineRule="auto"/>
        <w:jc w:val="both"/>
      </w:pPr>
      <w:r w:rsidRPr="004B33BC">
        <w:t xml:space="preserve">Antwi, B. O., Adelakun, B. O., </w:t>
      </w:r>
      <w:proofErr w:type="spellStart"/>
      <w:r w:rsidRPr="004B33BC">
        <w:t>Fatogun</w:t>
      </w:r>
      <w:proofErr w:type="spellEnd"/>
      <w:r w:rsidRPr="004B33BC">
        <w:t xml:space="preserve">, D. T., &amp; Olaiya, O. P. (2024). Enhancing audit accuracy: The role of </w:t>
      </w:r>
      <w:r w:rsidR="00D961F9">
        <w:t>AI</w:t>
      </w:r>
      <w:r w:rsidRPr="004B33BC">
        <w:t xml:space="preserve"> in detecting financial anomalies and fraud. </w:t>
      </w:r>
      <w:r w:rsidRPr="004B33BC">
        <w:rPr>
          <w:i/>
          <w:iCs/>
        </w:rPr>
        <w:t>Finance &amp; Accounting Research Journal</w:t>
      </w:r>
      <w:r w:rsidRPr="004B33BC">
        <w:t xml:space="preserve">, </w:t>
      </w:r>
      <w:r w:rsidRPr="004B33BC">
        <w:rPr>
          <w:i/>
          <w:iCs/>
        </w:rPr>
        <w:t>6</w:t>
      </w:r>
      <w:r w:rsidRPr="004B33BC">
        <w:t xml:space="preserve">(6), 1049–1068. </w:t>
      </w:r>
      <w:hyperlink r:id="rId15" w:history="1">
        <w:r w:rsidRPr="004B33BC">
          <w:rPr>
            <w:rStyle w:val="Hyperlink"/>
          </w:rPr>
          <w:t>https://doi.org/10.51594/farj.v6i6.1235</w:t>
        </w:r>
      </w:hyperlink>
    </w:p>
    <w:p w14:paraId="0C5F5EC5" w14:textId="77777777" w:rsidR="00707210" w:rsidRPr="004B33BC" w:rsidRDefault="00707210" w:rsidP="004B33BC">
      <w:pPr>
        <w:spacing w:line="240" w:lineRule="auto"/>
        <w:jc w:val="both"/>
      </w:pPr>
      <w:r w:rsidRPr="004B33BC">
        <w:t xml:space="preserve">Arif, S., Yoon, Y., &amp; Zhang, H. (2022). The information content of mandatory human capital disclosures - initial evidence. </w:t>
      </w:r>
      <w:r w:rsidRPr="004B33BC">
        <w:rPr>
          <w:i/>
          <w:iCs/>
        </w:rPr>
        <w:t>SSRN Electronic Journal</w:t>
      </w:r>
      <w:r w:rsidRPr="004B33BC">
        <w:t xml:space="preserve">. </w:t>
      </w:r>
      <w:hyperlink r:id="rId16" w:history="1">
        <w:r w:rsidRPr="004B33BC">
          <w:rPr>
            <w:rStyle w:val="Hyperlink"/>
          </w:rPr>
          <w:t>https://doi.org/10.2139/ssrn.4222506</w:t>
        </w:r>
      </w:hyperlink>
    </w:p>
    <w:p w14:paraId="41C35288" w14:textId="77777777" w:rsidR="00707210" w:rsidRPr="004B33BC" w:rsidRDefault="00707210" w:rsidP="004B33BC">
      <w:pPr>
        <w:spacing w:line="240" w:lineRule="auto"/>
        <w:jc w:val="both"/>
      </w:pPr>
      <w:r w:rsidRPr="004B33BC">
        <w:t xml:space="preserve">Armstrong, C., Guay, W. R., Mehran, H., &amp; Weber, J. (2016). The role of financial reporting and transparency in corporate governance. </w:t>
      </w:r>
      <w:r w:rsidRPr="004B33BC">
        <w:rPr>
          <w:i/>
          <w:iCs/>
        </w:rPr>
        <w:t xml:space="preserve">Economic Policy Review, </w:t>
      </w:r>
      <w:proofErr w:type="spellStart"/>
      <w:r w:rsidRPr="004B33BC">
        <w:rPr>
          <w:i/>
          <w:iCs/>
        </w:rPr>
        <w:t>ssrn</w:t>
      </w:r>
      <w:proofErr w:type="spellEnd"/>
      <w:r w:rsidRPr="004B33BC">
        <w:t xml:space="preserve">, 107–128. </w:t>
      </w:r>
      <w:hyperlink r:id="rId17" w:history="1">
        <w:r w:rsidRPr="004B33BC">
          <w:rPr>
            <w:rStyle w:val="Hyperlink"/>
          </w:rPr>
          <w:t>https://ssrn.com/abstract=2828077</w:t>
        </w:r>
      </w:hyperlink>
    </w:p>
    <w:p w14:paraId="7D41F043" w14:textId="77777777" w:rsidR="00707210" w:rsidRPr="004B33BC" w:rsidRDefault="00707210" w:rsidP="004B33BC">
      <w:pPr>
        <w:spacing w:line="240" w:lineRule="auto"/>
        <w:jc w:val="both"/>
      </w:pPr>
      <w:r w:rsidRPr="004B33BC">
        <w:t xml:space="preserve">Armstrong, J., &amp; Overton, T. S. (1977). Estimating nonresponse bias in mail surveys. </w:t>
      </w:r>
      <w:r w:rsidRPr="004B33BC">
        <w:rPr>
          <w:i/>
          <w:iCs/>
        </w:rPr>
        <w:t>Journal of Marketing Research</w:t>
      </w:r>
      <w:r w:rsidRPr="004B33BC">
        <w:t xml:space="preserve">, </w:t>
      </w:r>
      <w:r w:rsidRPr="004B33BC">
        <w:rPr>
          <w:i/>
          <w:iCs/>
        </w:rPr>
        <w:t>14</w:t>
      </w:r>
      <w:r w:rsidRPr="004B33BC">
        <w:t xml:space="preserve">(3), 396–402. </w:t>
      </w:r>
      <w:hyperlink r:id="rId18" w:history="1">
        <w:r w:rsidRPr="004B33BC">
          <w:rPr>
            <w:rStyle w:val="Hyperlink"/>
          </w:rPr>
          <w:t>https://doi.org/10.1177/002224377701400320</w:t>
        </w:r>
      </w:hyperlink>
    </w:p>
    <w:p w14:paraId="65AB37C5" w14:textId="77777777" w:rsidR="00707210" w:rsidRPr="004B33BC" w:rsidRDefault="00707210" w:rsidP="004B33BC">
      <w:pPr>
        <w:spacing w:line="240" w:lineRule="auto"/>
        <w:jc w:val="both"/>
      </w:pPr>
      <w:r w:rsidRPr="004B33BC">
        <w:t xml:space="preserve">Arnold, A., Sender, A., Fulmer, I., &amp; Allen, D. (2023). Variable pay transparency in organizations: When are organizations more likely to </w:t>
      </w:r>
      <w:proofErr w:type="gramStart"/>
      <w:r w:rsidRPr="004B33BC">
        <w:t>open up</w:t>
      </w:r>
      <w:proofErr w:type="gramEnd"/>
      <w:r w:rsidRPr="004B33BC">
        <w:t xml:space="preserve"> about pay? </w:t>
      </w:r>
      <w:r w:rsidRPr="004B33BC">
        <w:rPr>
          <w:i/>
          <w:iCs/>
        </w:rPr>
        <w:t>Compensation &amp; Benefits Review</w:t>
      </w:r>
      <w:r w:rsidRPr="004B33BC">
        <w:t xml:space="preserve">, </w:t>
      </w:r>
      <w:r w:rsidRPr="004B33BC">
        <w:rPr>
          <w:i/>
          <w:iCs/>
        </w:rPr>
        <w:t>56</w:t>
      </w:r>
      <w:r w:rsidRPr="004B33BC">
        <w:t xml:space="preserve">(1), 16–36. </w:t>
      </w:r>
      <w:hyperlink r:id="rId19" w:history="1">
        <w:r w:rsidRPr="004B33BC">
          <w:rPr>
            <w:rStyle w:val="Hyperlink"/>
          </w:rPr>
          <w:t>https://doi.org/10.1177/08863687231200802</w:t>
        </w:r>
      </w:hyperlink>
    </w:p>
    <w:p w14:paraId="74875D1A" w14:textId="77777777" w:rsidR="00707210" w:rsidRPr="004B33BC" w:rsidRDefault="00707210" w:rsidP="004B33BC">
      <w:pPr>
        <w:spacing w:line="240" w:lineRule="auto"/>
        <w:jc w:val="both"/>
      </w:pPr>
      <w:r w:rsidRPr="004B33BC">
        <w:t xml:space="preserve">Arulappan, J. S. (2025). Revolutionizing workforce planning and pay strategies through advanced payroll predictive analytics. </w:t>
      </w:r>
      <w:r w:rsidRPr="004B33BC">
        <w:rPr>
          <w:i/>
          <w:iCs/>
        </w:rPr>
        <w:t xml:space="preserve">International Journal </w:t>
      </w:r>
      <w:proofErr w:type="gramStart"/>
      <w:r w:rsidRPr="004B33BC">
        <w:rPr>
          <w:i/>
          <w:iCs/>
        </w:rPr>
        <w:t>For</w:t>
      </w:r>
      <w:proofErr w:type="gramEnd"/>
      <w:r w:rsidRPr="004B33BC">
        <w:rPr>
          <w:i/>
          <w:iCs/>
        </w:rPr>
        <w:t xml:space="preserve"> Multidisciplinary Research</w:t>
      </w:r>
      <w:r w:rsidRPr="004B33BC">
        <w:t xml:space="preserve">, </w:t>
      </w:r>
      <w:r w:rsidRPr="004B33BC">
        <w:rPr>
          <w:i/>
          <w:iCs/>
        </w:rPr>
        <w:t>7</w:t>
      </w:r>
      <w:r w:rsidRPr="004B33BC">
        <w:t xml:space="preserve">(1), 1–6. </w:t>
      </w:r>
      <w:hyperlink r:id="rId20" w:history="1">
        <w:r w:rsidRPr="004B33BC">
          <w:rPr>
            <w:rStyle w:val="Hyperlink"/>
          </w:rPr>
          <w:t>https://doi.org/10.36948/ijfmr.2025.v07i01.37392</w:t>
        </w:r>
      </w:hyperlink>
    </w:p>
    <w:p w14:paraId="080B94CD" w14:textId="77777777" w:rsidR="00707210" w:rsidRPr="004B33BC" w:rsidRDefault="00707210" w:rsidP="004B33BC">
      <w:pPr>
        <w:spacing w:line="240" w:lineRule="auto"/>
        <w:jc w:val="both"/>
      </w:pPr>
      <w:r w:rsidRPr="004B33BC">
        <w:t xml:space="preserve">Athukorala, R., Khang, D., </w:t>
      </w:r>
      <w:proofErr w:type="spellStart"/>
      <w:r w:rsidRPr="004B33BC">
        <w:t>Ruangrob</w:t>
      </w:r>
      <w:proofErr w:type="spellEnd"/>
      <w:r w:rsidRPr="004B33BC">
        <w:t xml:space="preserve">, A., </w:t>
      </w:r>
      <w:proofErr w:type="spellStart"/>
      <w:r w:rsidRPr="004B33BC">
        <w:t>Sedigh</w:t>
      </w:r>
      <w:proofErr w:type="spellEnd"/>
      <w:r w:rsidRPr="004B33BC">
        <w:t xml:space="preserve">, M., Silva, T., Gupta, V., &amp; Pandey, I. M. (2007). Managing large projects in emerging markets. </w:t>
      </w:r>
      <w:proofErr w:type="spellStart"/>
      <w:r w:rsidRPr="004B33BC">
        <w:rPr>
          <w:i/>
          <w:iCs/>
        </w:rPr>
        <w:t>Vikalpa</w:t>
      </w:r>
      <w:proofErr w:type="spellEnd"/>
      <w:r w:rsidRPr="004B33BC">
        <w:rPr>
          <w:i/>
          <w:iCs/>
        </w:rPr>
        <w:t>: The Journal for Decision Makers</w:t>
      </w:r>
      <w:r w:rsidRPr="004B33BC">
        <w:t xml:space="preserve">, </w:t>
      </w:r>
      <w:r w:rsidRPr="004B33BC">
        <w:rPr>
          <w:i/>
          <w:iCs/>
        </w:rPr>
        <w:t>32</w:t>
      </w:r>
      <w:r w:rsidRPr="004B33BC">
        <w:t xml:space="preserve">(3), 91–106. </w:t>
      </w:r>
      <w:hyperlink r:id="rId21" w:history="1">
        <w:r w:rsidRPr="004B33BC">
          <w:rPr>
            <w:rStyle w:val="Hyperlink"/>
          </w:rPr>
          <w:t>https://doi.org/10.1177/0256090920070307</w:t>
        </w:r>
      </w:hyperlink>
    </w:p>
    <w:p w14:paraId="3F5834BF" w14:textId="77777777" w:rsidR="00707210" w:rsidRPr="004B33BC" w:rsidRDefault="00707210" w:rsidP="004B33BC">
      <w:pPr>
        <w:spacing w:line="240" w:lineRule="auto"/>
        <w:jc w:val="both"/>
      </w:pPr>
      <w:bookmarkStart w:id="1" w:name="_Hlk216509905"/>
      <w:bookmarkStart w:id="2" w:name="_Hlk216783620"/>
      <w:r w:rsidRPr="004B33BC">
        <w:t>Atz, U., &amp; Whelan, T. (2023).</w:t>
      </w:r>
      <w:bookmarkEnd w:id="1"/>
      <w:r w:rsidRPr="004B33BC">
        <w:t xml:space="preserve"> </w:t>
      </w:r>
      <w:bookmarkEnd w:id="2"/>
      <w:r w:rsidRPr="004B33BC">
        <w:t xml:space="preserve">Hidden figures: The state of human capital disclosures for sustainable jobs. </w:t>
      </w:r>
      <w:r w:rsidRPr="004B33BC">
        <w:rPr>
          <w:i/>
          <w:iCs/>
        </w:rPr>
        <w:t>SSRN Electronic Journal</w:t>
      </w:r>
      <w:r w:rsidRPr="004B33BC">
        <w:t xml:space="preserve">. </w:t>
      </w:r>
      <w:hyperlink r:id="rId22" w:history="1">
        <w:r w:rsidRPr="004B33BC">
          <w:rPr>
            <w:rStyle w:val="Hyperlink"/>
          </w:rPr>
          <w:t>https://doi.org/10.2139/ssrn.4573340</w:t>
        </w:r>
      </w:hyperlink>
    </w:p>
    <w:p w14:paraId="35EC46AC" w14:textId="77777777" w:rsidR="00707210" w:rsidRPr="004B33BC" w:rsidRDefault="00707210" w:rsidP="004B33BC">
      <w:pPr>
        <w:spacing w:line="240" w:lineRule="auto"/>
        <w:jc w:val="both"/>
      </w:pPr>
      <w:r w:rsidRPr="004B33BC">
        <w:t xml:space="preserve">Avdul, D. N., Martin, W., &amp; Lopez, Y. P. (2023). Pay transparency: Why it is important to be thoughtful and strategic. </w:t>
      </w:r>
      <w:r w:rsidRPr="004B33BC">
        <w:rPr>
          <w:i/>
          <w:iCs/>
        </w:rPr>
        <w:t>Compensation &amp; Benefits Review</w:t>
      </w:r>
      <w:r w:rsidRPr="004B33BC">
        <w:t xml:space="preserve">, </w:t>
      </w:r>
      <w:r w:rsidRPr="004B33BC">
        <w:rPr>
          <w:i/>
          <w:iCs/>
        </w:rPr>
        <w:t>56</w:t>
      </w:r>
      <w:r w:rsidRPr="004B33BC">
        <w:t xml:space="preserve">(2), 103–116. </w:t>
      </w:r>
      <w:hyperlink r:id="rId23" w:history="1">
        <w:r w:rsidRPr="004B33BC">
          <w:rPr>
            <w:rStyle w:val="Hyperlink"/>
          </w:rPr>
          <w:t>https://doi.org/10.1177/08863687231181454</w:t>
        </w:r>
      </w:hyperlink>
    </w:p>
    <w:p w14:paraId="446012AB" w14:textId="63EF6F9B" w:rsidR="00707210" w:rsidRPr="004B33BC" w:rsidRDefault="00707210" w:rsidP="004B33BC">
      <w:pPr>
        <w:spacing w:line="240" w:lineRule="auto"/>
        <w:jc w:val="both"/>
      </w:pPr>
      <w:bookmarkStart w:id="3" w:name="_Hlk216872896"/>
      <w:proofErr w:type="spellStart"/>
      <w:r w:rsidRPr="004B33BC">
        <w:lastRenderedPageBreak/>
        <w:t>Badghish</w:t>
      </w:r>
      <w:proofErr w:type="spellEnd"/>
      <w:r w:rsidRPr="004B33BC">
        <w:t xml:space="preserve">, S., &amp; Soomro, Y. (2024). </w:t>
      </w:r>
      <w:bookmarkEnd w:id="3"/>
      <w:r w:rsidRPr="004B33BC">
        <w:t xml:space="preserve">Artificial intelligence adoption by </w:t>
      </w:r>
      <w:r w:rsidR="00D961F9">
        <w:t>SME</w:t>
      </w:r>
      <w:r w:rsidRPr="004B33BC">
        <w:t xml:space="preserve">s to achieve sustainable business performance: Application of technology–organization–environment framework. </w:t>
      </w:r>
      <w:r w:rsidRPr="004B33BC">
        <w:rPr>
          <w:i/>
          <w:iCs/>
        </w:rPr>
        <w:t>Sustainability</w:t>
      </w:r>
      <w:r w:rsidRPr="004B33BC">
        <w:t xml:space="preserve">, </w:t>
      </w:r>
      <w:r w:rsidRPr="004B33BC">
        <w:rPr>
          <w:i/>
          <w:iCs/>
        </w:rPr>
        <w:t>16</w:t>
      </w:r>
      <w:r w:rsidRPr="004B33BC">
        <w:t xml:space="preserve">(5), 1864. </w:t>
      </w:r>
      <w:hyperlink r:id="rId24" w:history="1">
        <w:r w:rsidRPr="004B33BC">
          <w:rPr>
            <w:rStyle w:val="Hyperlink"/>
          </w:rPr>
          <w:t>https://doi.org/10.3390/su16051864</w:t>
        </w:r>
      </w:hyperlink>
    </w:p>
    <w:p w14:paraId="34B91053" w14:textId="7C07A9C6" w:rsidR="00707210" w:rsidRPr="004B33BC" w:rsidRDefault="00707210" w:rsidP="004B33BC">
      <w:pPr>
        <w:spacing w:line="240" w:lineRule="auto"/>
        <w:jc w:val="both"/>
      </w:pPr>
      <w:bookmarkStart w:id="4" w:name="_Hlk216594184"/>
      <w:proofErr w:type="spellStart"/>
      <w:r w:rsidRPr="004B33BC">
        <w:t>Bahangulu</w:t>
      </w:r>
      <w:proofErr w:type="spellEnd"/>
      <w:r w:rsidRPr="004B33BC">
        <w:t>, J. K., &amp; Owusu-Berko, L. (2025)</w:t>
      </w:r>
      <w:bookmarkEnd w:id="4"/>
      <w:r w:rsidRPr="004B33BC">
        <w:t xml:space="preserve">. Algorithmic bias, data ethics, and governance: Ensuring fairness, transparency and compliance in </w:t>
      </w:r>
      <w:r w:rsidR="00D961F9">
        <w:t>AI</w:t>
      </w:r>
      <w:r w:rsidRPr="004B33BC">
        <w:t xml:space="preserve">-powered business analytics applications. </w:t>
      </w:r>
      <w:r w:rsidRPr="004B33BC">
        <w:rPr>
          <w:i/>
          <w:iCs/>
        </w:rPr>
        <w:t>World Journal of Advanced Research and Reviews</w:t>
      </w:r>
      <w:r w:rsidRPr="004B33BC">
        <w:t xml:space="preserve">, </w:t>
      </w:r>
      <w:r w:rsidRPr="004B33BC">
        <w:rPr>
          <w:i/>
          <w:iCs/>
        </w:rPr>
        <w:t>25</w:t>
      </w:r>
      <w:r w:rsidRPr="004B33BC">
        <w:t xml:space="preserve">(2), 1746–1763. </w:t>
      </w:r>
      <w:hyperlink r:id="rId25" w:history="1">
        <w:r w:rsidRPr="004B33BC">
          <w:rPr>
            <w:rStyle w:val="Hyperlink"/>
          </w:rPr>
          <w:t>https://doi.org/10.30574/wjarr.2025.25.2.0571</w:t>
        </w:r>
      </w:hyperlink>
    </w:p>
    <w:p w14:paraId="3AB410B3" w14:textId="77777777" w:rsidR="00707210" w:rsidRPr="004B33BC" w:rsidRDefault="00707210" w:rsidP="004B33BC">
      <w:pPr>
        <w:spacing w:line="240" w:lineRule="auto"/>
        <w:jc w:val="both"/>
      </w:pPr>
      <w:r w:rsidRPr="004B33BC">
        <w:t xml:space="preserve">Bamberger, P. A. (2021). Pay transparency: Conceptualization and implications for employees, employers, and </w:t>
      </w:r>
      <w:proofErr w:type="gramStart"/>
      <w:r w:rsidRPr="004B33BC">
        <w:t>society as a whole</w:t>
      </w:r>
      <w:proofErr w:type="gramEnd"/>
      <w:r w:rsidRPr="004B33BC">
        <w:t xml:space="preserve">. </w:t>
      </w:r>
      <w:r w:rsidRPr="004B33BC">
        <w:rPr>
          <w:i/>
          <w:iCs/>
        </w:rPr>
        <w:t>Oxford Research Encyclopedia of Business and Management.</w:t>
      </w:r>
      <w:r w:rsidRPr="004B33BC">
        <w:t xml:space="preserve"> </w:t>
      </w:r>
      <w:hyperlink r:id="rId26" w:history="1">
        <w:r w:rsidRPr="004B33BC">
          <w:rPr>
            <w:rStyle w:val="Hyperlink"/>
          </w:rPr>
          <w:t>https://doi.org/10.1093/acrefore/9780190224851.013.347</w:t>
        </w:r>
      </w:hyperlink>
    </w:p>
    <w:p w14:paraId="54D430DC" w14:textId="77777777" w:rsidR="00707210" w:rsidRPr="004B33BC" w:rsidRDefault="00707210" w:rsidP="004B33BC">
      <w:pPr>
        <w:spacing w:line="240" w:lineRule="auto"/>
        <w:jc w:val="both"/>
      </w:pPr>
      <w:r w:rsidRPr="004B33BC">
        <w:t xml:space="preserve">Barney, J. (1991). Firm resources and sustained competitive advantage. </w:t>
      </w:r>
      <w:r w:rsidRPr="004B33BC">
        <w:rPr>
          <w:i/>
          <w:iCs/>
        </w:rPr>
        <w:t>Journal of Management</w:t>
      </w:r>
      <w:r w:rsidRPr="004B33BC">
        <w:t xml:space="preserve">, </w:t>
      </w:r>
      <w:r w:rsidRPr="004B33BC">
        <w:rPr>
          <w:i/>
          <w:iCs/>
        </w:rPr>
        <w:t>17</w:t>
      </w:r>
      <w:r w:rsidRPr="004B33BC">
        <w:t xml:space="preserve">(1), 99–120. </w:t>
      </w:r>
      <w:hyperlink r:id="rId27" w:history="1">
        <w:r w:rsidRPr="004B33BC">
          <w:rPr>
            <w:rStyle w:val="Hyperlink"/>
          </w:rPr>
          <w:t>https://doi.org/10.1177/014920639101700108</w:t>
        </w:r>
      </w:hyperlink>
    </w:p>
    <w:p w14:paraId="6B63546A" w14:textId="77777777" w:rsidR="00707210" w:rsidRPr="004B33BC" w:rsidRDefault="00707210" w:rsidP="004B33BC">
      <w:pPr>
        <w:spacing w:line="240" w:lineRule="auto"/>
        <w:jc w:val="both"/>
      </w:pPr>
      <w:r w:rsidRPr="004B33BC">
        <w:t xml:space="preserve">Baruch, Y., &amp; Holtom, B. C. (2008). Survey response rate levels and trends in organizational research. </w:t>
      </w:r>
      <w:r w:rsidRPr="004B33BC">
        <w:rPr>
          <w:i/>
          <w:iCs/>
        </w:rPr>
        <w:t>Human Relations</w:t>
      </w:r>
      <w:r w:rsidRPr="004B33BC">
        <w:t xml:space="preserve">, </w:t>
      </w:r>
      <w:r w:rsidRPr="004B33BC">
        <w:rPr>
          <w:i/>
          <w:iCs/>
        </w:rPr>
        <w:t>61</w:t>
      </w:r>
      <w:r w:rsidRPr="004B33BC">
        <w:t xml:space="preserve">(8), 1139–1160. </w:t>
      </w:r>
      <w:hyperlink r:id="rId28" w:history="1">
        <w:r w:rsidRPr="004B33BC">
          <w:rPr>
            <w:rStyle w:val="Hyperlink"/>
          </w:rPr>
          <w:t>https://doi.org/10.1177/0018726708094863</w:t>
        </w:r>
      </w:hyperlink>
    </w:p>
    <w:p w14:paraId="5CAA674F" w14:textId="77777777" w:rsidR="00707210" w:rsidRPr="004B33BC" w:rsidRDefault="00707210" w:rsidP="004B33BC">
      <w:pPr>
        <w:spacing w:line="240" w:lineRule="auto"/>
        <w:jc w:val="both"/>
      </w:pPr>
      <w:r w:rsidRPr="004B33BC">
        <w:t xml:space="preserve">Batish, A., Gordon, A., </w:t>
      </w:r>
      <w:proofErr w:type="spellStart"/>
      <w:r w:rsidRPr="004B33BC">
        <w:t>KePler</w:t>
      </w:r>
      <w:proofErr w:type="spellEnd"/>
      <w:r w:rsidRPr="004B33BC">
        <w:t xml:space="preserve">, J. D., Larcker, D. F., Tayan, B., &amp; YU, C. (2021). Human capital disclosure: What do companies say about their 'Most important asset'? </w:t>
      </w:r>
      <w:r w:rsidRPr="004B33BC">
        <w:rPr>
          <w:i/>
          <w:iCs/>
        </w:rPr>
        <w:t>Stanford Closer Look series</w:t>
      </w:r>
      <w:r w:rsidRPr="004B33BC">
        <w:t xml:space="preserve">, 1–8. </w:t>
      </w:r>
      <w:hyperlink r:id="rId29" w:history="1">
        <w:r w:rsidRPr="004B33BC">
          <w:rPr>
            <w:rStyle w:val="Hyperlink"/>
          </w:rPr>
          <w:t>https://papers.ssrn.com/sol3/papers.cfm?abstract_id=3840412</w:t>
        </w:r>
      </w:hyperlink>
    </w:p>
    <w:p w14:paraId="104A24D5" w14:textId="77777777" w:rsidR="00707210" w:rsidRPr="004B33BC" w:rsidRDefault="00707210" w:rsidP="004B33BC">
      <w:pPr>
        <w:spacing w:line="240" w:lineRule="auto"/>
        <w:jc w:val="both"/>
      </w:pPr>
      <w:bookmarkStart w:id="5" w:name="_Hlk216789816"/>
      <w:r w:rsidRPr="004B33BC">
        <w:t>Beattie, V., &amp; Smith, S. (2010</w:t>
      </w:r>
      <w:bookmarkEnd w:id="5"/>
      <w:r w:rsidRPr="004B33BC">
        <w:t xml:space="preserve">). Human capital, value creation and disclosure. </w:t>
      </w:r>
      <w:r w:rsidRPr="004B33BC">
        <w:rPr>
          <w:i/>
          <w:iCs/>
        </w:rPr>
        <w:t>Journal of Human Resource Costing &amp; Accounting</w:t>
      </w:r>
      <w:r w:rsidRPr="004B33BC">
        <w:t xml:space="preserve">, </w:t>
      </w:r>
      <w:r w:rsidRPr="004B33BC">
        <w:rPr>
          <w:i/>
          <w:iCs/>
        </w:rPr>
        <w:t>14</w:t>
      </w:r>
      <w:r w:rsidRPr="004B33BC">
        <w:t xml:space="preserve">(4), 262–285. </w:t>
      </w:r>
      <w:hyperlink r:id="rId30" w:history="1">
        <w:r w:rsidRPr="004B33BC">
          <w:rPr>
            <w:rStyle w:val="Hyperlink"/>
          </w:rPr>
          <w:t>https://doi.org/10.1108/14013381011105957</w:t>
        </w:r>
      </w:hyperlink>
    </w:p>
    <w:p w14:paraId="0773BEC6" w14:textId="77777777" w:rsidR="00707210" w:rsidRPr="004B33BC" w:rsidRDefault="00707210" w:rsidP="004B33BC">
      <w:pPr>
        <w:spacing w:line="240" w:lineRule="auto"/>
        <w:jc w:val="both"/>
        <w:rPr>
          <w:lang w:val="de-DE"/>
        </w:rPr>
      </w:pPr>
      <w:r w:rsidRPr="004B33BC">
        <w:t xml:space="preserve">Bennedsen, M., Simintzi, E., </w:t>
      </w:r>
      <w:proofErr w:type="spellStart"/>
      <w:r w:rsidRPr="004B33BC">
        <w:t>Tsoutsoura</w:t>
      </w:r>
      <w:proofErr w:type="spellEnd"/>
      <w:r w:rsidRPr="004B33BC">
        <w:t xml:space="preserve">, M., &amp; </w:t>
      </w:r>
      <w:proofErr w:type="spellStart"/>
      <w:r w:rsidRPr="004B33BC">
        <w:t>Wolfenzon</w:t>
      </w:r>
      <w:proofErr w:type="spellEnd"/>
      <w:r w:rsidRPr="004B33BC">
        <w:t xml:space="preserve">, D. (2022). Do firms respond to gender pay gap transparency? </w:t>
      </w:r>
      <w:r w:rsidRPr="004B33BC">
        <w:rPr>
          <w:i/>
          <w:iCs/>
        </w:rPr>
        <w:t>The Journal of Finance</w:t>
      </w:r>
      <w:r w:rsidRPr="004B33BC">
        <w:t xml:space="preserve">, </w:t>
      </w:r>
      <w:r w:rsidRPr="004B33BC">
        <w:rPr>
          <w:i/>
          <w:iCs/>
        </w:rPr>
        <w:t>77</w:t>
      </w:r>
      <w:r w:rsidRPr="004B33BC">
        <w:t xml:space="preserve">(4), 2051–2091. </w:t>
      </w:r>
      <w:hyperlink r:id="rId31" w:history="1">
        <w:r w:rsidRPr="004B33BC">
          <w:rPr>
            <w:rStyle w:val="Hyperlink"/>
            <w:lang w:val="de-DE"/>
          </w:rPr>
          <w:t>https://doi.org/10.1111/jofi.13136</w:t>
        </w:r>
      </w:hyperlink>
    </w:p>
    <w:p w14:paraId="7E6A58AA" w14:textId="6E1CEB88" w:rsidR="00707210" w:rsidRPr="004B33BC" w:rsidRDefault="00707210" w:rsidP="004B33BC">
      <w:pPr>
        <w:spacing w:line="240" w:lineRule="auto"/>
        <w:jc w:val="both"/>
      </w:pPr>
      <w:r w:rsidRPr="004B33BC">
        <w:rPr>
          <w:lang w:val="de-DE"/>
        </w:rPr>
        <w:t xml:space="preserve">Borines, V. A., Turi, A. N., &amp; Hedru, P. (2024). </w:t>
      </w:r>
      <w:proofErr w:type="gramStart"/>
      <w:r w:rsidRPr="004B33BC">
        <w:t>The what</w:t>
      </w:r>
      <w:proofErr w:type="gramEnd"/>
      <w:r w:rsidRPr="004B33BC">
        <w:t xml:space="preserve">, so what, and what now of the </w:t>
      </w:r>
      <w:r w:rsidR="00D961F9">
        <w:t>AI</w:t>
      </w:r>
      <w:r w:rsidRPr="004B33BC">
        <w:t xml:space="preserve"> landscape in emerging economies. </w:t>
      </w:r>
      <w:r w:rsidRPr="004B33BC">
        <w:rPr>
          <w:i/>
          <w:iCs/>
        </w:rPr>
        <w:t>TENCON 2024 - 2024 IEEE Region 10 Conference (TENCON), 804-809.</w:t>
      </w:r>
      <w:r w:rsidRPr="004B33BC">
        <w:t xml:space="preserve"> </w:t>
      </w:r>
      <w:hyperlink r:id="rId32" w:history="1">
        <w:r w:rsidRPr="004B33BC">
          <w:rPr>
            <w:rStyle w:val="Hyperlink"/>
          </w:rPr>
          <w:t>https://doi.org/10.1109/TENCON61640.2024.10902844</w:t>
        </w:r>
      </w:hyperlink>
    </w:p>
    <w:p w14:paraId="50D86E70" w14:textId="77777777" w:rsidR="00707210" w:rsidRPr="004B33BC" w:rsidRDefault="00707210" w:rsidP="004B33BC">
      <w:pPr>
        <w:spacing w:line="240" w:lineRule="auto"/>
        <w:jc w:val="both"/>
      </w:pPr>
      <w:r w:rsidRPr="004B33BC">
        <w:t xml:space="preserve">Bourveau, T., Chowdhury, M., Le, A., &amp; Rouen, E. (2025). Human capital disclosures. </w:t>
      </w:r>
      <w:r w:rsidRPr="004B33BC">
        <w:rPr>
          <w:i/>
          <w:iCs/>
        </w:rPr>
        <w:t>SSRN Electronic Journal</w:t>
      </w:r>
      <w:r w:rsidRPr="004B33BC">
        <w:t xml:space="preserve">, 1–69. </w:t>
      </w:r>
      <w:hyperlink r:id="rId33" w:history="1">
        <w:r w:rsidRPr="004B33BC">
          <w:rPr>
            <w:rStyle w:val="Hyperlink"/>
          </w:rPr>
          <w:t>https://doi.org/10.2139/ssrn.4138543</w:t>
        </w:r>
      </w:hyperlink>
    </w:p>
    <w:p w14:paraId="1A11A21F" w14:textId="77777777" w:rsidR="00707210" w:rsidRPr="004B33BC" w:rsidRDefault="00707210" w:rsidP="004B33BC">
      <w:pPr>
        <w:spacing w:line="240" w:lineRule="auto"/>
        <w:jc w:val="both"/>
      </w:pPr>
      <w:r w:rsidRPr="004B33BC">
        <w:t xml:space="preserve">Braun, V., &amp; Clarke, V. (2021). </w:t>
      </w:r>
      <w:r w:rsidRPr="004B33BC">
        <w:rPr>
          <w:i/>
          <w:iCs/>
        </w:rPr>
        <w:t>Thematic analysis: A practical guide</w:t>
      </w:r>
      <w:r w:rsidRPr="004B33BC">
        <w:t xml:space="preserve"> (1st ed.). Sage Publications Ltd.</w:t>
      </w:r>
    </w:p>
    <w:p w14:paraId="3185342A" w14:textId="77777777" w:rsidR="00707210" w:rsidRPr="004B33BC" w:rsidRDefault="00707210" w:rsidP="004B33BC">
      <w:pPr>
        <w:spacing w:line="240" w:lineRule="auto"/>
        <w:jc w:val="both"/>
      </w:pPr>
      <w:r w:rsidRPr="004B33BC">
        <w:t xml:space="preserve">Brislin, R. W. (1970). Back-translation for cross-cultural research. </w:t>
      </w:r>
      <w:r w:rsidRPr="004B33BC">
        <w:rPr>
          <w:i/>
          <w:iCs/>
        </w:rPr>
        <w:t>Journal of Cross-Cultural Psychology</w:t>
      </w:r>
      <w:r w:rsidRPr="004B33BC">
        <w:t xml:space="preserve">, </w:t>
      </w:r>
      <w:r w:rsidRPr="004B33BC">
        <w:rPr>
          <w:i/>
          <w:iCs/>
        </w:rPr>
        <w:t>1</w:t>
      </w:r>
      <w:r w:rsidRPr="004B33BC">
        <w:t xml:space="preserve">(3), 185–216. </w:t>
      </w:r>
      <w:hyperlink r:id="rId34" w:history="1">
        <w:r w:rsidRPr="004B33BC">
          <w:rPr>
            <w:rStyle w:val="Hyperlink"/>
          </w:rPr>
          <w:t>https://doi.org/10.1177/135910457000100301</w:t>
        </w:r>
      </w:hyperlink>
    </w:p>
    <w:p w14:paraId="5E2EEBE0" w14:textId="08F00B1F" w:rsidR="00707210" w:rsidRPr="004B33BC" w:rsidRDefault="00707210" w:rsidP="004B33BC">
      <w:pPr>
        <w:spacing w:line="240" w:lineRule="auto"/>
        <w:jc w:val="both"/>
      </w:pPr>
      <w:proofErr w:type="spellStart"/>
      <w:r w:rsidRPr="004B33BC">
        <w:t>Budhwar</w:t>
      </w:r>
      <w:proofErr w:type="spellEnd"/>
      <w:r w:rsidRPr="004B33BC">
        <w:t xml:space="preserve">, P., Malik, A., De Silva, M., &amp; </w:t>
      </w:r>
      <w:proofErr w:type="spellStart"/>
      <w:r w:rsidRPr="004B33BC">
        <w:t>Thevisuthan</w:t>
      </w:r>
      <w:proofErr w:type="spellEnd"/>
      <w:r w:rsidRPr="004B33BC">
        <w:t xml:space="preserve">, P. (2022). Artificial intelligence – challenges and opportunities for international </w:t>
      </w:r>
      <w:r w:rsidR="00D961F9">
        <w:t>HRM</w:t>
      </w:r>
      <w:r w:rsidRPr="004B33BC">
        <w:t xml:space="preserve">: A review and research agenda. </w:t>
      </w:r>
      <w:r w:rsidRPr="004B33BC">
        <w:rPr>
          <w:i/>
          <w:iCs/>
        </w:rPr>
        <w:t>The International Journal of Human Resource Management</w:t>
      </w:r>
      <w:r w:rsidRPr="004B33BC">
        <w:t xml:space="preserve">, </w:t>
      </w:r>
      <w:r w:rsidRPr="004B33BC">
        <w:rPr>
          <w:i/>
          <w:iCs/>
        </w:rPr>
        <w:t>33</w:t>
      </w:r>
      <w:r w:rsidRPr="004B33BC">
        <w:t xml:space="preserve">(6), 1065–1097. </w:t>
      </w:r>
      <w:hyperlink r:id="rId35" w:history="1">
        <w:r w:rsidRPr="004B33BC">
          <w:rPr>
            <w:rStyle w:val="Hyperlink"/>
          </w:rPr>
          <w:t>https://doi.org/10.1080/09585192.2022.2035161</w:t>
        </w:r>
      </w:hyperlink>
    </w:p>
    <w:p w14:paraId="491BC831" w14:textId="77777777" w:rsidR="00707210" w:rsidRPr="004B33BC" w:rsidRDefault="00707210" w:rsidP="004B33BC">
      <w:pPr>
        <w:spacing w:line="240" w:lineRule="auto"/>
        <w:jc w:val="both"/>
      </w:pPr>
      <w:r w:rsidRPr="004B33BC">
        <w:t xml:space="preserve">Callery, P. J. (2020). Transparency and secrecy: Corporate information strategies under competitive &amp; stakeholder pressure. </w:t>
      </w:r>
      <w:r w:rsidRPr="004B33BC">
        <w:rPr>
          <w:i/>
          <w:iCs/>
        </w:rPr>
        <w:t>Academy of Management Proceedings</w:t>
      </w:r>
      <w:r w:rsidRPr="004B33BC">
        <w:t xml:space="preserve">, </w:t>
      </w:r>
      <w:r w:rsidRPr="004B33BC">
        <w:rPr>
          <w:i/>
          <w:iCs/>
        </w:rPr>
        <w:t>2020</w:t>
      </w:r>
      <w:r w:rsidRPr="004B33BC">
        <w:t xml:space="preserve">(1), 14179. </w:t>
      </w:r>
      <w:hyperlink r:id="rId36" w:history="1">
        <w:r w:rsidRPr="004B33BC">
          <w:rPr>
            <w:rStyle w:val="Hyperlink"/>
          </w:rPr>
          <w:t>https://doi.org/10.5465/ambpp.2020.14179abstract</w:t>
        </w:r>
      </w:hyperlink>
    </w:p>
    <w:p w14:paraId="49DBD525" w14:textId="77777777" w:rsidR="00707210" w:rsidRPr="004B33BC" w:rsidRDefault="00707210" w:rsidP="004B33BC">
      <w:pPr>
        <w:spacing w:line="240" w:lineRule="auto"/>
        <w:jc w:val="both"/>
      </w:pPr>
      <w:r w:rsidRPr="004B33BC">
        <w:lastRenderedPageBreak/>
        <w:t>Carper, W. B., &amp; Posey, J. M. (1976). The validity of selected surrogate measures of human resource value: A field study. </w:t>
      </w:r>
      <w:r w:rsidRPr="004B33BC">
        <w:rPr>
          <w:i/>
          <w:iCs/>
        </w:rPr>
        <w:t>Accounting, Organizations and Society</w:t>
      </w:r>
      <w:r w:rsidRPr="004B33BC">
        <w:t>, </w:t>
      </w:r>
      <w:r w:rsidRPr="004B33BC">
        <w:rPr>
          <w:i/>
          <w:iCs/>
        </w:rPr>
        <w:t>1</w:t>
      </w:r>
      <w:r w:rsidRPr="004B33BC">
        <w:t xml:space="preserve">(2-3), 143-151. </w:t>
      </w:r>
      <w:hyperlink r:id="rId37" w:history="1">
        <w:r w:rsidRPr="004B33BC">
          <w:rPr>
            <w:rStyle w:val="Hyperlink"/>
          </w:rPr>
          <w:t>https://doi.org/10.1016/0361-3682(76)90018-0</w:t>
        </w:r>
      </w:hyperlink>
    </w:p>
    <w:p w14:paraId="118CC203" w14:textId="77777777" w:rsidR="00707210" w:rsidRPr="004B33BC" w:rsidRDefault="00707210" w:rsidP="004B33BC">
      <w:pPr>
        <w:spacing w:line="240" w:lineRule="auto"/>
        <w:jc w:val="both"/>
      </w:pPr>
      <w:r w:rsidRPr="004B33BC">
        <w:t xml:space="preserve">Castillo-Montoya, M. (2016). Preparing for interview research: The interview protocol refinement framework. </w:t>
      </w:r>
      <w:r w:rsidRPr="004B33BC">
        <w:rPr>
          <w:i/>
          <w:iCs/>
        </w:rPr>
        <w:t>The Qualitative Report</w:t>
      </w:r>
      <w:r w:rsidRPr="004B33BC">
        <w:t xml:space="preserve">. </w:t>
      </w:r>
      <w:hyperlink r:id="rId38" w:history="1">
        <w:r w:rsidRPr="004B33BC">
          <w:rPr>
            <w:rStyle w:val="Hyperlink"/>
          </w:rPr>
          <w:t>https://doi.org/10.46743/2160-3715/2016.2337</w:t>
        </w:r>
      </w:hyperlink>
    </w:p>
    <w:p w14:paraId="5FFBB133" w14:textId="77777777" w:rsidR="00707210" w:rsidRPr="004B33BC" w:rsidRDefault="00707210" w:rsidP="004B33BC">
      <w:pPr>
        <w:spacing w:line="240" w:lineRule="auto"/>
        <w:jc w:val="both"/>
      </w:pPr>
      <w:proofErr w:type="spellStart"/>
      <w:r w:rsidRPr="004B33BC">
        <w:t>Challapalli</w:t>
      </w:r>
      <w:proofErr w:type="spellEnd"/>
      <w:r w:rsidRPr="004B33BC">
        <w:t xml:space="preserve">, S. R. (2023). Benefits and constraints associated with the harmonization of financial regulations: An overview. </w:t>
      </w:r>
      <w:r w:rsidRPr="004B33BC">
        <w:rPr>
          <w:i/>
          <w:iCs/>
        </w:rPr>
        <w:t>Asian Journal of Economics, Business and Accounting</w:t>
      </w:r>
      <w:r w:rsidRPr="004B33BC">
        <w:t xml:space="preserve">, </w:t>
      </w:r>
      <w:r w:rsidRPr="004B33BC">
        <w:rPr>
          <w:i/>
          <w:iCs/>
        </w:rPr>
        <w:t>23</w:t>
      </w:r>
      <w:r w:rsidRPr="004B33BC">
        <w:t xml:space="preserve">(15), 49–56. </w:t>
      </w:r>
      <w:hyperlink r:id="rId39" w:history="1">
        <w:r w:rsidRPr="004B33BC">
          <w:rPr>
            <w:rStyle w:val="Hyperlink"/>
          </w:rPr>
          <w:t>https://doi.org/10.9734/ajeba/2023/v23i151015</w:t>
        </w:r>
      </w:hyperlink>
    </w:p>
    <w:p w14:paraId="55C9CFA3" w14:textId="77777777" w:rsidR="00707210" w:rsidRPr="004B33BC" w:rsidRDefault="00707210" w:rsidP="004B33BC">
      <w:pPr>
        <w:spacing w:line="240" w:lineRule="auto"/>
        <w:jc w:val="both"/>
      </w:pPr>
      <w:bookmarkStart w:id="6" w:name="_Hlk216778539"/>
      <w:r w:rsidRPr="004B33BC">
        <w:t>Cherian, J., &amp; Farouq, S. (2013</w:t>
      </w:r>
      <w:bookmarkEnd w:id="6"/>
      <w:r w:rsidRPr="004B33BC">
        <w:t>). A review of human resource accounting and organizational performance. </w:t>
      </w:r>
      <w:r w:rsidRPr="004B33BC">
        <w:rPr>
          <w:i/>
          <w:iCs/>
        </w:rPr>
        <w:t>International Journal of Economics and Finance</w:t>
      </w:r>
      <w:r w:rsidRPr="004B33BC">
        <w:t>, </w:t>
      </w:r>
      <w:r w:rsidRPr="004B33BC">
        <w:rPr>
          <w:i/>
          <w:iCs/>
        </w:rPr>
        <w:t>5</w:t>
      </w:r>
      <w:r w:rsidRPr="004B33BC">
        <w:t xml:space="preserve">(8), 74-83. </w:t>
      </w:r>
      <w:hyperlink r:id="rId40" w:history="1">
        <w:r w:rsidRPr="004B33BC">
          <w:rPr>
            <w:rStyle w:val="Hyperlink"/>
          </w:rPr>
          <w:t>http://dx.doi.org/10.5539/ijef.v5n8p74</w:t>
        </w:r>
      </w:hyperlink>
    </w:p>
    <w:p w14:paraId="3A2F7F73" w14:textId="77777777" w:rsidR="00707210" w:rsidRPr="004B33BC" w:rsidRDefault="00707210" w:rsidP="004B33BC">
      <w:pPr>
        <w:spacing w:line="240" w:lineRule="auto"/>
        <w:jc w:val="both"/>
      </w:pPr>
      <w:r w:rsidRPr="004B33BC">
        <w:t xml:space="preserve">Choi, J., Song, K., &amp; Shin, J. (2025). A conceptual study on the human capital disclosure system and implications from overseas cases. </w:t>
      </w:r>
      <w:r w:rsidRPr="004B33BC">
        <w:rPr>
          <w:i/>
          <w:iCs/>
        </w:rPr>
        <w:t>Korean Academy of Organization and Management</w:t>
      </w:r>
      <w:r w:rsidRPr="004B33BC">
        <w:t xml:space="preserve">, </w:t>
      </w:r>
      <w:r w:rsidRPr="004B33BC">
        <w:rPr>
          <w:i/>
          <w:iCs/>
        </w:rPr>
        <w:t>49</w:t>
      </w:r>
      <w:r w:rsidRPr="004B33BC">
        <w:t xml:space="preserve">(2), 1–26. </w:t>
      </w:r>
      <w:hyperlink r:id="rId41" w:history="1">
        <w:r w:rsidRPr="004B33BC">
          <w:rPr>
            <w:rStyle w:val="Hyperlink"/>
          </w:rPr>
          <w:t>https://doi.org/10.36459/jom.2025.49.2.1</w:t>
        </w:r>
      </w:hyperlink>
    </w:p>
    <w:p w14:paraId="4B393372" w14:textId="77777777" w:rsidR="00707210" w:rsidRPr="004B33BC" w:rsidRDefault="00707210" w:rsidP="004B33BC">
      <w:pPr>
        <w:spacing w:line="240" w:lineRule="auto"/>
        <w:jc w:val="both"/>
      </w:pPr>
      <w:r w:rsidRPr="004B33BC">
        <w:t xml:space="preserve">Chowdhury, S., </w:t>
      </w:r>
      <w:proofErr w:type="spellStart"/>
      <w:r w:rsidRPr="004B33BC">
        <w:t>Budhwar</w:t>
      </w:r>
      <w:proofErr w:type="spellEnd"/>
      <w:r w:rsidRPr="004B33BC">
        <w:t xml:space="preserve">, P., &amp; Wood, G. (2024). Generative artificial intelligence in business: Towards a strategic human resource management framework. </w:t>
      </w:r>
      <w:r w:rsidRPr="004B33BC">
        <w:rPr>
          <w:i/>
          <w:iCs/>
        </w:rPr>
        <w:t>British Journal of Management</w:t>
      </w:r>
      <w:r w:rsidRPr="004B33BC">
        <w:t xml:space="preserve">, </w:t>
      </w:r>
      <w:r w:rsidRPr="004B33BC">
        <w:rPr>
          <w:i/>
          <w:iCs/>
        </w:rPr>
        <w:t>35</w:t>
      </w:r>
      <w:r w:rsidRPr="004B33BC">
        <w:t xml:space="preserve">(4), 1680–1691. </w:t>
      </w:r>
      <w:hyperlink r:id="rId42" w:history="1">
        <w:r w:rsidRPr="004B33BC">
          <w:rPr>
            <w:rStyle w:val="Hyperlink"/>
          </w:rPr>
          <w:t>https://doi.org/10.1111/1467-8551.12824</w:t>
        </w:r>
      </w:hyperlink>
    </w:p>
    <w:p w14:paraId="6C777FFE" w14:textId="77777777" w:rsidR="00707210" w:rsidRPr="004B33BC" w:rsidRDefault="00707210" w:rsidP="004B33BC">
      <w:pPr>
        <w:spacing w:line="240" w:lineRule="auto"/>
        <w:jc w:val="both"/>
      </w:pPr>
      <w:r w:rsidRPr="004B33BC">
        <w:t xml:space="preserve">Cohen, J. (2013). </w:t>
      </w:r>
      <w:r w:rsidRPr="004B33BC">
        <w:rPr>
          <w:i/>
          <w:iCs/>
        </w:rPr>
        <w:t>Statistical power analysis for the behavioral sciences</w:t>
      </w:r>
      <w:r w:rsidRPr="004B33BC">
        <w:t xml:space="preserve"> (1st ed.). Routledge. </w:t>
      </w:r>
      <w:hyperlink r:id="rId43" w:history="1">
        <w:r w:rsidRPr="004B33BC">
          <w:rPr>
            <w:rStyle w:val="Hyperlink"/>
          </w:rPr>
          <w:t>https://doi.org/10.4324/9780203771587</w:t>
        </w:r>
      </w:hyperlink>
    </w:p>
    <w:p w14:paraId="3F761C79" w14:textId="77777777" w:rsidR="00707210" w:rsidRPr="004B33BC" w:rsidRDefault="00707210" w:rsidP="004B33BC">
      <w:pPr>
        <w:spacing w:line="240" w:lineRule="auto"/>
        <w:jc w:val="both"/>
      </w:pPr>
      <w:r w:rsidRPr="004B33BC">
        <w:t xml:space="preserve">Cohen, J., Cohen, P., West, S. G., &amp; Aiken, L. S. (2003). </w:t>
      </w:r>
      <w:r w:rsidRPr="004B33BC">
        <w:rPr>
          <w:i/>
          <w:iCs/>
        </w:rPr>
        <w:t>Applied multiple regression/correlation analysis for the behavioral sciences</w:t>
      </w:r>
      <w:r w:rsidRPr="004B33BC">
        <w:t xml:space="preserve">. Routledge. </w:t>
      </w:r>
      <w:hyperlink r:id="rId44" w:history="1">
        <w:r w:rsidRPr="004B33BC">
          <w:rPr>
            <w:rStyle w:val="Hyperlink"/>
          </w:rPr>
          <w:t>https://doi.org/10.4324/9780203774441</w:t>
        </w:r>
      </w:hyperlink>
    </w:p>
    <w:p w14:paraId="312F28B2" w14:textId="77777777" w:rsidR="00707210" w:rsidRPr="004B33BC" w:rsidRDefault="00707210" w:rsidP="004B33BC">
      <w:pPr>
        <w:spacing w:line="240" w:lineRule="auto"/>
        <w:jc w:val="both"/>
      </w:pPr>
      <w:r w:rsidRPr="004B33BC">
        <w:t xml:space="preserve">Collins, C. J. (2020). Expanding the </w:t>
      </w:r>
      <w:proofErr w:type="gramStart"/>
      <w:r w:rsidRPr="004B33BC">
        <w:t>resource based</w:t>
      </w:r>
      <w:proofErr w:type="gramEnd"/>
      <w:r w:rsidRPr="004B33BC">
        <w:t xml:space="preserve"> view model of strategic human resource management. </w:t>
      </w:r>
      <w:r w:rsidRPr="004B33BC">
        <w:rPr>
          <w:i/>
          <w:iCs/>
        </w:rPr>
        <w:t>The International Journal of Human Resource Management</w:t>
      </w:r>
      <w:r w:rsidRPr="004B33BC">
        <w:t xml:space="preserve">, </w:t>
      </w:r>
      <w:r w:rsidRPr="004B33BC">
        <w:rPr>
          <w:i/>
          <w:iCs/>
        </w:rPr>
        <w:t>32</w:t>
      </w:r>
      <w:r w:rsidRPr="004B33BC">
        <w:t xml:space="preserve">(2), 331–358. </w:t>
      </w:r>
      <w:hyperlink r:id="rId45" w:history="1">
        <w:r w:rsidRPr="004B33BC">
          <w:rPr>
            <w:rStyle w:val="Hyperlink"/>
          </w:rPr>
          <w:t>https://doi.org/10.1080/09585192.2019.1711442</w:t>
        </w:r>
      </w:hyperlink>
    </w:p>
    <w:p w14:paraId="79390D3A" w14:textId="77777777" w:rsidR="00707210" w:rsidRPr="004B33BC" w:rsidRDefault="00707210" w:rsidP="004B33BC">
      <w:pPr>
        <w:spacing w:line="240" w:lineRule="auto"/>
        <w:jc w:val="both"/>
      </w:pPr>
      <w:r w:rsidRPr="004B33BC">
        <w:t xml:space="preserve">Cope, D. G. (2013). Methods and meanings: Credibility and trustworthiness of qualitative research. </w:t>
      </w:r>
      <w:r w:rsidRPr="004B33BC">
        <w:rPr>
          <w:i/>
          <w:iCs/>
        </w:rPr>
        <w:t>Oncology Nursing Forum</w:t>
      </w:r>
      <w:r w:rsidRPr="004B33BC">
        <w:t xml:space="preserve">, </w:t>
      </w:r>
      <w:r w:rsidRPr="004B33BC">
        <w:rPr>
          <w:i/>
          <w:iCs/>
        </w:rPr>
        <w:t>41</w:t>
      </w:r>
      <w:r w:rsidRPr="004B33BC">
        <w:t xml:space="preserve">(1), 89–91. </w:t>
      </w:r>
      <w:hyperlink r:id="rId46" w:history="1">
        <w:r w:rsidRPr="004B33BC">
          <w:rPr>
            <w:rStyle w:val="Hyperlink"/>
          </w:rPr>
          <w:t>https://doi.org/10.1188/14.onf.89-91</w:t>
        </w:r>
      </w:hyperlink>
    </w:p>
    <w:p w14:paraId="1CBD5EBC" w14:textId="77777777" w:rsidR="00707210" w:rsidRPr="004B33BC" w:rsidRDefault="00707210" w:rsidP="004B33BC">
      <w:pPr>
        <w:spacing w:line="240" w:lineRule="auto"/>
        <w:jc w:val="both"/>
      </w:pPr>
      <w:bookmarkStart w:id="7" w:name="_Hlk216965824"/>
      <w:r w:rsidRPr="004B33BC">
        <w:t>Creswell, J. W., &amp; Creswell, J. D. (2022</w:t>
      </w:r>
      <w:bookmarkEnd w:id="7"/>
      <w:r w:rsidRPr="004B33BC">
        <w:t xml:space="preserve">). </w:t>
      </w:r>
      <w:r w:rsidRPr="004B33BC">
        <w:rPr>
          <w:i/>
          <w:iCs/>
        </w:rPr>
        <w:t xml:space="preserve">Research design: Qualitative, quantitative, and mixed methods </w:t>
      </w:r>
      <w:proofErr w:type="gramStart"/>
      <w:r w:rsidRPr="004B33BC">
        <w:rPr>
          <w:i/>
          <w:iCs/>
        </w:rPr>
        <w:t>approaches</w:t>
      </w:r>
      <w:proofErr w:type="gramEnd"/>
      <w:r w:rsidRPr="004B33BC">
        <w:t xml:space="preserve"> (6th ed.). SAGE Publications, Inc.</w:t>
      </w:r>
    </w:p>
    <w:p w14:paraId="27E82518" w14:textId="77777777" w:rsidR="00707210" w:rsidRPr="004B33BC" w:rsidRDefault="00707210" w:rsidP="004B33BC">
      <w:pPr>
        <w:spacing w:line="240" w:lineRule="auto"/>
        <w:jc w:val="both"/>
      </w:pPr>
      <w:r w:rsidRPr="004B33BC">
        <w:t xml:space="preserve">Cullen, Z. B. (2023). Is pay transparency good? </w:t>
      </w:r>
      <w:r w:rsidRPr="004B33BC">
        <w:rPr>
          <w:i/>
          <w:iCs/>
        </w:rPr>
        <w:t>Harvard Business School</w:t>
      </w:r>
      <w:r w:rsidRPr="004B33BC">
        <w:t xml:space="preserve">, 1–35. </w:t>
      </w:r>
      <w:hyperlink r:id="rId47" w:history="1">
        <w:r w:rsidRPr="004B33BC">
          <w:rPr>
            <w:rStyle w:val="Hyperlink"/>
          </w:rPr>
          <w:t>https://doi.org/10.3386/w31060</w:t>
        </w:r>
      </w:hyperlink>
    </w:p>
    <w:p w14:paraId="0FE3D88C" w14:textId="77777777" w:rsidR="00707210" w:rsidRPr="004B33BC" w:rsidRDefault="00707210" w:rsidP="004B33BC">
      <w:pPr>
        <w:spacing w:line="240" w:lineRule="auto"/>
        <w:jc w:val="both"/>
      </w:pPr>
      <w:proofErr w:type="spellStart"/>
      <w:r w:rsidRPr="004B33BC">
        <w:t>Dasila</w:t>
      </w:r>
      <w:proofErr w:type="spellEnd"/>
      <w:r w:rsidRPr="004B33BC">
        <w:t xml:space="preserve">, R. A. (2025). Analysis of alternative financial reporting integration with traditional financial reporting for corporate transparency. </w:t>
      </w:r>
      <w:r w:rsidRPr="004B33BC">
        <w:rPr>
          <w:i/>
          <w:iCs/>
        </w:rPr>
        <w:t>Advances in Applied Accounting Research</w:t>
      </w:r>
      <w:r w:rsidRPr="004B33BC">
        <w:t xml:space="preserve">, </w:t>
      </w:r>
      <w:r w:rsidRPr="004B33BC">
        <w:rPr>
          <w:i/>
          <w:iCs/>
        </w:rPr>
        <w:t>3</w:t>
      </w:r>
      <w:r w:rsidRPr="004B33BC">
        <w:t xml:space="preserve">(1), 14–26. </w:t>
      </w:r>
      <w:hyperlink r:id="rId48" w:history="1">
        <w:r w:rsidRPr="004B33BC">
          <w:rPr>
            <w:rStyle w:val="Hyperlink"/>
          </w:rPr>
          <w:t>https://doi.org/10.60079/aaar.v3i1.430</w:t>
        </w:r>
      </w:hyperlink>
    </w:p>
    <w:p w14:paraId="32F729A2" w14:textId="77777777" w:rsidR="00707210" w:rsidRPr="004B33BC" w:rsidRDefault="00707210" w:rsidP="004B33BC">
      <w:pPr>
        <w:spacing w:line="240" w:lineRule="auto"/>
        <w:jc w:val="both"/>
      </w:pPr>
      <w:bookmarkStart w:id="8" w:name="_Hlk216791264"/>
      <w:r w:rsidRPr="004B33BC">
        <w:t xml:space="preserve">Delery, J. E., &amp; </w:t>
      </w:r>
      <w:proofErr w:type="spellStart"/>
      <w:r w:rsidRPr="004B33BC">
        <w:t>Roumpi</w:t>
      </w:r>
      <w:proofErr w:type="spellEnd"/>
      <w:r w:rsidRPr="004B33BC">
        <w:t>, D. (2017</w:t>
      </w:r>
      <w:bookmarkEnd w:id="8"/>
      <w:r w:rsidRPr="004B33BC">
        <w:t xml:space="preserve">). Strategic human resource management, human capital and competitive advantage: Is the field going in circles? </w:t>
      </w:r>
      <w:r w:rsidRPr="004B33BC">
        <w:rPr>
          <w:i/>
          <w:iCs/>
        </w:rPr>
        <w:t>Human Resource Management Journal</w:t>
      </w:r>
      <w:r w:rsidRPr="004B33BC">
        <w:t xml:space="preserve">, </w:t>
      </w:r>
      <w:r w:rsidRPr="004B33BC">
        <w:rPr>
          <w:i/>
          <w:iCs/>
        </w:rPr>
        <w:t>27</w:t>
      </w:r>
      <w:r w:rsidRPr="004B33BC">
        <w:t xml:space="preserve">(1), 1–21. </w:t>
      </w:r>
      <w:hyperlink r:id="rId49" w:history="1">
        <w:r w:rsidRPr="004B33BC">
          <w:rPr>
            <w:rStyle w:val="Hyperlink"/>
          </w:rPr>
          <w:t>https://doi.org/10.1111/1748-8583.12137</w:t>
        </w:r>
      </w:hyperlink>
    </w:p>
    <w:p w14:paraId="4F04FD39" w14:textId="77777777" w:rsidR="00707210" w:rsidRPr="004B33BC" w:rsidRDefault="00707210" w:rsidP="004B33BC">
      <w:pPr>
        <w:spacing w:line="240" w:lineRule="auto"/>
        <w:jc w:val="both"/>
      </w:pPr>
      <w:bookmarkStart w:id="9" w:name="_Hlk216788619"/>
      <w:r w:rsidRPr="004B33BC">
        <w:lastRenderedPageBreak/>
        <w:t>Delmas, M. A., &amp; Toffel, M. W. (2010</w:t>
      </w:r>
      <w:bookmarkEnd w:id="9"/>
      <w:r w:rsidRPr="004B33BC">
        <w:t xml:space="preserve">). Institutional pressures and organizational characteristics: Implications for environmental strategy. </w:t>
      </w:r>
      <w:r w:rsidRPr="004B33BC">
        <w:rPr>
          <w:i/>
          <w:iCs/>
        </w:rPr>
        <w:t>SSRN Electronic Journal</w:t>
      </w:r>
      <w:r w:rsidRPr="004B33BC">
        <w:t xml:space="preserve">. </w:t>
      </w:r>
      <w:hyperlink r:id="rId50" w:history="1">
        <w:r w:rsidRPr="004B33BC">
          <w:rPr>
            <w:rStyle w:val="Hyperlink"/>
          </w:rPr>
          <w:t>https://doi.org/10.2139/ssrn.1711785</w:t>
        </w:r>
      </w:hyperlink>
    </w:p>
    <w:p w14:paraId="0D735797" w14:textId="75F555A1" w:rsidR="00707210" w:rsidRPr="004B33BC" w:rsidRDefault="00707210" w:rsidP="004B33BC">
      <w:pPr>
        <w:spacing w:line="240" w:lineRule="auto"/>
        <w:jc w:val="both"/>
      </w:pPr>
      <w:r w:rsidRPr="004B33BC">
        <w:t xml:space="preserve">Demers, E., Wang, V., &amp; Wu, K. (2022). Corporate human capital disclosures: Early evidence from the </w:t>
      </w:r>
      <w:r w:rsidR="00D961F9">
        <w:t>SEC</w:t>
      </w:r>
      <w:r w:rsidRPr="004B33BC">
        <w:t xml:space="preserve">'s disclosure mandate. </w:t>
      </w:r>
      <w:r w:rsidRPr="004B33BC">
        <w:rPr>
          <w:i/>
          <w:iCs/>
        </w:rPr>
        <w:t>SSRN Electronic Journal</w:t>
      </w:r>
      <w:r w:rsidRPr="004B33BC">
        <w:t xml:space="preserve">, 1–39. </w:t>
      </w:r>
      <w:hyperlink r:id="rId51" w:history="1">
        <w:r w:rsidRPr="004B33BC">
          <w:rPr>
            <w:rStyle w:val="Hyperlink"/>
          </w:rPr>
          <w:t>https://doi.org/10.2139/ssrn.4153845</w:t>
        </w:r>
      </w:hyperlink>
    </w:p>
    <w:p w14:paraId="1CF3F434" w14:textId="2262F972" w:rsidR="00707210" w:rsidRPr="004B33BC" w:rsidRDefault="00707210" w:rsidP="004B33BC">
      <w:pPr>
        <w:spacing w:line="240" w:lineRule="auto"/>
        <w:jc w:val="both"/>
      </w:pPr>
      <w:r w:rsidRPr="004B33BC">
        <w:t>Devaraju, S. (2024). A</w:t>
      </w:r>
      <w:r w:rsidR="00D961F9">
        <w:t>I-powered HRM</w:t>
      </w:r>
      <w:r w:rsidRPr="004B33BC">
        <w:t xml:space="preserve"> and finance information systems for workforce optimization and employee engagement. </w:t>
      </w:r>
      <w:r w:rsidRPr="004B33BC">
        <w:rPr>
          <w:i/>
          <w:iCs/>
        </w:rPr>
        <w:t>Turkish Journal of Computer and Mathematics Education (TURCOMAT)</w:t>
      </w:r>
      <w:r w:rsidRPr="004B33BC">
        <w:t xml:space="preserve">, </w:t>
      </w:r>
      <w:r w:rsidRPr="004B33BC">
        <w:rPr>
          <w:i/>
          <w:iCs/>
        </w:rPr>
        <w:t>15</w:t>
      </w:r>
      <w:r w:rsidRPr="004B33BC">
        <w:t xml:space="preserve">(1), 269–281. </w:t>
      </w:r>
      <w:hyperlink r:id="rId52" w:history="1">
        <w:r w:rsidRPr="004B33BC">
          <w:rPr>
            <w:rStyle w:val="Hyperlink"/>
          </w:rPr>
          <w:t>https://doi.org/10.61841/turcomat.v15i1.14940</w:t>
        </w:r>
      </w:hyperlink>
    </w:p>
    <w:p w14:paraId="62591A81" w14:textId="77777777" w:rsidR="00707210" w:rsidRPr="004B33BC" w:rsidRDefault="00707210" w:rsidP="004B33BC">
      <w:pPr>
        <w:spacing w:line="240" w:lineRule="auto"/>
        <w:jc w:val="both"/>
      </w:pPr>
      <w:r w:rsidRPr="004B33BC">
        <w:t xml:space="preserve">Diaz-Quijano, F. (2018). Sample allocation </w:t>
      </w:r>
      <w:proofErr w:type="gramStart"/>
      <w:r w:rsidRPr="004B33BC">
        <w:t>balancing</w:t>
      </w:r>
      <w:proofErr w:type="gramEnd"/>
      <w:r w:rsidRPr="004B33BC">
        <w:t xml:space="preserve"> overall representativeness and stratum precision. </w:t>
      </w:r>
      <w:r w:rsidRPr="004B33BC">
        <w:rPr>
          <w:i/>
          <w:iCs/>
        </w:rPr>
        <w:t>Annals of Epidemiology</w:t>
      </w:r>
      <w:r w:rsidRPr="004B33BC">
        <w:t xml:space="preserve">, </w:t>
      </w:r>
      <w:r w:rsidRPr="004B33BC">
        <w:rPr>
          <w:i/>
          <w:iCs/>
        </w:rPr>
        <w:t>28</w:t>
      </w:r>
      <w:r w:rsidRPr="004B33BC">
        <w:t xml:space="preserve">(8), 570–575. </w:t>
      </w:r>
      <w:hyperlink r:id="rId53" w:history="1">
        <w:r w:rsidRPr="004B33BC">
          <w:rPr>
            <w:rStyle w:val="Hyperlink"/>
          </w:rPr>
          <w:t>https://doi.org/10.1016/j.annepidem.2018.04.011</w:t>
        </w:r>
      </w:hyperlink>
    </w:p>
    <w:p w14:paraId="0F5AAD72" w14:textId="77777777" w:rsidR="00707210" w:rsidRPr="004B33BC" w:rsidRDefault="00707210" w:rsidP="004B33BC">
      <w:pPr>
        <w:spacing w:line="240" w:lineRule="auto"/>
        <w:jc w:val="both"/>
      </w:pPr>
      <w:r w:rsidRPr="004B33BC">
        <w:t xml:space="preserve">Dickson, M., </w:t>
      </w:r>
      <w:proofErr w:type="spellStart"/>
      <w:r w:rsidRPr="004B33BC">
        <w:t>Grafström</w:t>
      </w:r>
      <w:proofErr w:type="spellEnd"/>
      <w:r w:rsidRPr="004B33BC">
        <w:t xml:space="preserve">, A., Giuliani, D., &amp; </w:t>
      </w:r>
      <w:proofErr w:type="spellStart"/>
      <w:r w:rsidRPr="004B33BC">
        <w:t>Espa</w:t>
      </w:r>
      <w:proofErr w:type="spellEnd"/>
      <w:r w:rsidRPr="004B33BC">
        <w:t xml:space="preserve">, G. (2019). Efficiency and feasibility of sampling schemes in establishment surveys. </w:t>
      </w:r>
      <w:r w:rsidRPr="004B33BC">
        <w:rPr>
          <w:i/>
          <w:iCs/>
        </w:rPr>
        <w:t>Mathematical Population Studies</w:t>
      </w:r>
      <w:r w:rsidRPr="004B33BC">
        <w:t xml:space="preserve">, </w:t>
      </w:r>
      <w:r w:rsidRPr="004B33BC">
        <w:rPr>
          <w:i/>
          <w:iCs/>
        </w:rPr>
        <w:t>26</w:t>
      </w:r>
      <w:r w:rsidRPr="004B33BC">
        <w:t xml:space="preserve">(2), 114–122. </w:t>
      </w:r>
      <w:hyperlink r:id="rId54" w:history="1">
        <w:r w:rsidRPr="004B33BC">
          <w:rPr>
            <w:rStyle w:val="Hyperlink"/>
          </w:rPr>
          <w:t>https://doi.org/10.1080/08898480.2018.1553411</w:t>
        </w:r>
      </w:hyperlink>
    </w:p>
    <w:p w14:paraId="24BC9514" w14:textId="77777777" w:rsidR="00707210" w:rsidRPr="004B33BC" w:rsidRDefault="00707210" w:rsidP="004B33BC">
      <w:pPr>
        <w:spacing w:line="240" w:lineRule="auto"/>
        <w:jc w:val="both"/>
      </w:pPr>
      <w:r w:rsidRPr="004B33BC">
        <w:t xml:space="preserve">DiClaudio, M. (2019). People analytics and the rise of </w:t>
      </w:r>
      <w:proofErr w:type="spellStart"/>
      <w:r w:rsidRPr="004B33BC">
        <w:t>hr</w:t>
      </w:r>
      <w:proofErr w:type="spellEnd"/>
      <w:r w:rsidRPr="004B33BC">
        <w:t>: How data, analytics and emerging technology can transform human resources (</w:t>
      </w:r>
      <w:proofErr w:type="spellStart"/>
      <w:r w:rsidRPr="004B33BC">
        <w:t>hr</w:t>
      </w:r>
      <w:proofErr w:type="spellEnd"/>
      <w:r w:rsidRPr="004B33BC">
        <w:t xml:space="preserve">) into a profit center. </w:t>
      </w:r>
      <w:r w:rsidRPr="004B33BC">
        <w:rPr>
          <w:i/>
          <w:iCs/>
        </w:rPr>
        <w:t>Strategic HR Review</w:t>
      </w:r>
      <w:r w:rsidRPr="004B33BC">
        <w:t xml:space="preserve">, </w:t>
      </w:r>
      <w:r w:rsidRPr="004B33BC">
        <w:rPr>
          <w:i/>
          <w:iCs/>
        </w:rPr>
        <w:t>18</w:t>
      </w:r>
      <w:r w:rsidRPr="004B33BC">
        <w:t xml:space="preserve">(2), 42–46. </w:t>
      </w:r>
      <w:hyperlink r:id="rId55" w:history="1">
        <w:r w:rsidRPr="004B33BC">
          <w:rPr>
            <w:rStyle w:val="Hyperlink"/>
          </w:rPr>
          <w:t>https://doi.org/10.1108/shr-11-2018-0096</w:t>
        </w:r>
      </w:hyperlink>
    </w:p>
    <w:p w14:paraId="71AFEF9D" w14:textId="77777777" w:rsidR="00707210" w:rsidRPr="004B33BC" w:rsidRDefault="00707210" w:rsidP="004B33BC">
      <w:pPr>
        <w:spacing w:line="240" w:lineRule="auto"/>
        <w:jc w:val="both"/>
      </w:pPr>
      <w:r w:rsidRPr="004B33BC">
        <w:t xml:space="preserve">Dillman, D. A., Smyth, J. D., &amp; Christian, L. M. (2021). </w:t>
      </w:r>
      <w:r w:rsidRPr="004B33BC">
        <w:rPr>
          <w:i/>
          <w:iCs/>
        </w:rPr>
        <w:t>Internet, phone, mail, and mixed-mode surveys: The tailored design method</w:t>
      </w:r>
      <w:r w:rsidRPr="004B33BC">
        <w:t xml:space="preserve"> (5th ed.). John Wiley &amp; Sons.</w:t>
      </w:r>
    </w:p>
    <w:p w14:paraId="05884197" w14:textId="3DF54F0E" w:rsidR="00707210" w:rsidRPr="004B33BC" w:rsidRDefault="00707210" w:rsidP="004B33BC">
      <w:pPr>
        <w:spacing w:line="240" w:lineRule="auto"/>
        <w:jc w:val="both"/>
      </w:pPr>
      <w:r w:rsidRPr="004B33BC">
        <w:t xml:space="preserve">Dong, C., Saxena, A., Bick, M., &amp; Sabia, A. (2023). On the journey to </w:t>
      </w:r>
      <w:r w:rsidR="00D961F9">
        <w:t>AI</w:t>
      </w:r>
      <w:r w:rsidRPr="004B33BC">
        <w:t xml:space="preserve"> maturity: Understanding the role of enterprise artificial intelligence service. </w:t>
      </w:r>
      <w:r w:rsidRPr="004B33BC">
        <w:rPr>
          <w:i/>
          <w:iCs/>
        </w:rPr>
        <w:t>AIS Transactions on Enterprise Systems</w:t>
      </w:r>
      <w:r w:rsidRPr="004B33BC">
        <w:t xml:space="preserve">, </w:t>
      </w:r>
      <w:r w:rsidRPr="004B33BC">
        <w:rPr>
          <w:i/>
          <w:iCs/>
        </w:rPr>
        <w:t>6</w:t>
      </w:r>
      <w:r w:rsidRPr="004B33BC">
        <w:t xml:space="preserve">(1), 1–26. </w:t>
      </w:r>
      <w:hyperlink r:id="rId56" w:history="1">
        <w:r w:rsidRPr="004B33BC">
          <w:rPr>
            <w:rStyle w:val="Hyperlink"/>
          </w:rPr>
          <w:t>https://doi.org/10.30844/aistes.v6i1.26</w:t>
        </w:r>
      </w:hyperlink>
    </w:p>
    <w:p w14:paraId="5748F287" w14:textId="77777777" w:rsidR="00707210" w:rsidRPr="004B33BC" w:rsidRDefault="00707210" w:rsidP="004B33BC">
      <w:pPr>
        <w:spacing w:line="240" w:lineRule="auto"/>
        <w:jc w:val="both"/>
      </w:pPr>
      <w:r w:rsidRPr="004B33BC">
        <w:t>Durand, P., &amp; Gilbert-</w:t>
      </w:r>
      <w:proofErr w:type="spellStart"/>
      <w:r w:rsidRPr="004B33BC">
        <w:t>d’Halluin</w:t>
      </w:r>
      <w:proofErr w:type="spellEnd"/>
      <w:r w:rsidRPr="004B33BC">
        <w:t xml:space="preserve">, A. (2024). </w:t>
      </w:r>
      <w:r w:rsidRPr="004B33BC">
        <w:rPr>
          <w:i/>
          <w:iCs/>
        </w:rPr>
        <w:t>Directive (EU) 2022/2464 as regards corporate sustainability reporting (CSRD): Texts and comments</w:t>
      </w:r>
      <w:r w:rsidRPr="004B33BC">
        <w:t xml:space="preserve">. </w:t>
      </w:r>
      <w:proofErr w:type="spellStart"/>
      <w:r w:rsidRPr="004B33BC">
        <w:t>Primento</w:t>
      </w:r>
      <w:proofErr w:type="spellEnd"/>
      <w:r w:rsidRPr="004B33BC">
        <w:t xml:space="preserve"> Digital </w:t>
      </w:r>
      <w:proofErr w:type="spellStart"/>
      <w:r w:rsidRPr="004B33BC">
        <w:t>sprl</w:t>
      </w:r>
      <w:proofErr w:type="spellEnd"/>
      <w:r w:rsidRPr="004B33BC">
        <w:t>.</w:t>
      </w:r>
    </w:p>
    <w:p w14:paraId="248D197C" w14:textId="77777777" w:rsidR="00707210" w:rsidRPr="004B33BC" w:rsidRDefault="00707210" w:rsidP="004B33BC">
      <w:pPr>
        <w:spacing w:line="240" w:lineRule="auto"/>
        <w:jc w:val="both"/>
      </w:pPr>
      <w:r w:rsidRPr="004B33BC">
        <w:t xml:space="preserve">EEC. (2025). The eastern economic corridor office of </w:t>
      </w:r>
      <w:proofErr w:type="spellStart"/>
      <w:r w:rsidRPr="004B33BC">
        <w:t>thailand</w:t>
      </w:r>
      <w:proofErr w:type="spellEnd"/>
      <w:r w:rsidRPr="004B33BC">
        <w:t xml:space="preserve"> (EECO). </w:t>
      </w:r>
      <w:r w:rsidRPr="004B33BC">
        <w:rPr>
          <w:i/>
          <w:iCs/>
        </w:rPr>
        <w:t>Eastern Economic Corridor.</w:t>
      </w:r>
      <w:r w:rsidRPr="004B33BC">
        <w:t xml:space="preserve"> </w:t>
      </w:r>
      <w:hyperlink r:id="rId57" w:history="1">
        <w:r w:rsidRPr="004B33BC">
          <w:rPr>
            <w:rStyle w:val="Hyperlink"/>
          </w:rPr>
          <w:t>www.eeco.or.th</w:t>
        </w:r>
      </w:hyperlink>
    </w:p>
    <w:p w14:paraId="541767DD" w14:textId="581C766B" w:rsidR="00707210" w:rsidRPr="004B33BC" w:rsidRDefault="00707210" w:rsidP="004B33BC">
      <w:pPr>
        <w:spacing w:line="240" w:lineRule="auto"/>
        <w:jc w:val="both"/>
      </w:pPr>
      <w:r w:rsidRPr="004B33BC">
        <w:t>Esposito, N. (2001). From meaning to meaning: The influence of translation techniques on non-</w:t>
      </w:r>
      <w:r w:rsidR="00D961F9">
        <w:t>E</w:t>
      </w:r>
      <w:r w:rsidRPr="004B33BC">
        <w:t xml:space="preserve">nglish focus group research. </w:t>
      </w:r>
      <w:r w:rsidRPr="004B33BC">
        <w:rPr>
          <w:i/>
          <w:iCs/>
        </w:rPr>
        <w:t>Qualitative Health Research</w:t>
      </w:r>
      <w:r w:rsidRPr="004B33BC">
        <w:t xml:space="preserve">, </w:t>
      </w:r>
      <w:r w:rsidRPr="004B33BC">
        <w:rPr>
          <w:i/>
          <w:iCs/>
        </w:rPr>
        <w:t>11</w:t>
      </w:r>
      <w:r w:rsidRPr="004B33BC">
        <w:t xml:space="preserve">(4), 568–579. </w:t>
      </w:r>
      <w:hyperlink r:id="rId58" w:history="1">
        <w:r w:rsidRPr="004B33BC">
          <w:rPr>
            <w:rStyle w:val="Hyperlink"/>
          </w:rPr>
          <w:t>https://doi.org/10.1177/104973201129119217</w:t>
        </w:r>
      </w:hyperlink>
    </w:p>
    <w:p w14:paraId="20F85D82" w14:textId="77777777" w:rsidR="00707210" w:rsidRPr="004B33BC" w:rsidRDefault="00707210" w:rsidP="004B33BC">
      <w:pPr>
        <w:spacing w:line="240" w:lineRule="auto"/>
        <w:jc w:val="both"/>
      </w:pPr>
      <w:r w:rsidRPr="004B33BC">
        <w:rPr>
          <w:lang w:val="de-DE"/>
        </w:rPr>
        <w:t xml:space="preserve">Essien, I. A., Cadet, E., Ajayi, J. O., Erigh, E. D., Obuse, E., Ayanbode, N., &amp; Babatunde, L. A. (2025). </w:t>
      </w:r>
      <w:r w:rsidRPr="004B33BC">
        <w:t xml:space="preserve">Designing intelligent compliance systems for evolving global regulatory landscapes. </w:t>
      </w:r>
      <w:r w:rsidRPr="004B33BC">
        <w:rPr>
          <w:i/>
          <w:iCs/>
        </w:rPr>
        <w:t>Gulf Journal of Advance Business Research</w:t>
      </w:r>
      <w:r w:rsidRPr="004B33BC">
        <w:t xml:space="preserve">, </w:t>
      </w:r>
      <w:r w:rsidRPr="004B33BC">
        <w:rPr>
          <w:i/>
          <w:iCs/>
        </w:rPr>
        <w:t>3</w:t>
      </w:r>
      <w:r w:rsidRPr="004B33BC">
        <w:t xml:space="preserve">(9), 1212–1244. </w:t>
      </w:r>
      <w:hyperlink r:id="rId59" w:history="1">
        <w:r w:rsidRPr="004B33BC">
          <w:rPr>
            <w:rStyle w:val="Hyperlink"/>
          </w:rPr>
          <w:t>https://doi.org/10.51594/gjabr.v3i9.157</w:t>
        </w:r>
      </w:hyperlink>
    </w:p>
    <w:p w14:paraId="7327FDFE" w14:textId="7994B8B1" w:rsidR="00707210" w:rsidRPr="004B33BC" w:rsidRDefault="00707210" w:rsidP="004B33BC">
      <w:pPr>
        <w:spacing w:line="240" w:lineRule="auto"/>
        <w:jc w:val="both"/>
      </w:pPr>
      <w:r w:rsidRPr="004B33BC">
        <w:t xml:space="preserve">European Parliament. (2014). </w:t>
      </w:r>
      <w:r w:rsidRPr="004B33BC">
        <w:rPr>
          <w:i/>
          <w:iCs/>
        </w:rPr>
        <w:t>Directive 2014/95/</w:t>
      </w:r>
      <w:r w:rsidR="00D961F9">
        <w:rPr>
          <w:i/>
          <w:iCs/>
        </w:rPr>
        <w:t>EU of the European Parliament and of the Council of 22 O</w:t>
      </w:r>
      <w:r w:rsidRPr="004B33BC">
        <w:rPr>
          <w:i/>
          <w:iCs/>
        </w:rPr>
        <w:t>ctober 2014</w:t>
      </w:r>
      <w:r w:rsidRPr="004B33BC">
        <w:t xml:space="preserve">. Official Journal of the European Union. </w:t>
      </w:r>
      <w:hyperlink r:id="rId60" w:history="1">
        <w:r w:rsidRPr="004B33BC">
          <w:rPr>
            <w:rStyle w:val="Hyperlink"/>
          </w:rPr>
          <w:t>https://doi.org/10.1108/9781839825040</w:t>
        </w:r>
      </w:hyperlink>
    </w:p>
    <w:p w14:paraId="6047FB33" w14:textId="5E7DFDE2" w:rsidR="00707210" w:rsidRPr="004B33BC" w:rsidRDefault="00707210" w:rsidP="004B33BC">
      <w:pPr>
        <w:spacing w:line="240" w:lineRule="auto"/>
        <w:jc w:val="both"/>
      </w:pPr>
      <w:r w:rsidRPr="004B33BC">
        <w:rPr>
          <w:lang w:val="de-DE"/>
        </w:rPr>
        <w:t xml:space="preserve">Eyinade, W., Ezeilo, O. J., &amp; Ogundeji, I. A. (2025). </w:t>
      </w:r>
      <w:r w:rsidRPr="004B33BC">
        <w:t xml:space="preserve">Strategic </w:t>
      </w:r>
      <w:r w:rsidR="00D961F9">
        <w:t>AI</w:t>
      </w:r>
      <w:r w:rsidRPr="004B33BC">
        <w:t xml:space="preserve">-oriented compliance optimization models for fintechs operating across multi-jurisdictional financial ecosystems. </w:t>
      </w:r>
      <w:r w:rsidRPr="004B33BC">
        <w:rPr>
          <w:i/>
          <w:iCs/>
        </w:rPr>
        <w:t xml:space="preserve">International </w:t>
      </w:r>
      <w:r w:rsidRPr="004B33BC">
        <w:rPr>
          <w:i/>
          <w:iCs/>
        </w:rPr>
        <w:lastRenderedPageBreak/>
        <w:t>Journal of Advanced Multidisciplinary Research and Studies</w:t>
      </w:r>
      <w:r w:rsidRPr="004B33BC">
        <w:t xml:space="preserve">, </w:t>
      </w:r>
      <w:r w:rsidRPr="004B33BC">
        <w:rPr>
          <w:i/>
          <w:iCs/>
        </w:rPr>
        <w:t>5</w:t>
      </w:r>
      <w:r w:rsidRPr="004B33BC">
        <w:t xml:space="preserve">(4), 325–335. </w:t>
      </w:r>
      <w:hyperlink r:id="rId61" w:history="1">
        <w:r w:rsidRPr="004B33BC">
          <w:rPr>
            <w:rStyle w:val="Hyperlink"/>
          </w:rPr>
          <w:t>https://doi.org/10.62225/2583049x.2025.5.4.4592</w:t>
        </w:r>
      </w:hyperlink>
    </w:p>
    <w:p w14:paraId="7DE5C2E3" w14:textId="77777777" w:rsidR="00707210" w:rsidRPr="004B33BC" w:rsidRDefault="00707210" w:rsidP="004B33BC">
      <w:pPr>
        <w:spacing w:line="240" w:lineRule="auto"/>
        <w:jc w:val="both"/>
      </w:pPr>
      <w:r w:rsidRPr="004B33BC">
        <w:t xml:space="preserve">Fereday, J., &amp; Muir-Cochrane, E. (2006). Demonstrating rigor using thematic analysis: A hybrid approach of inductive and deductive coding and theme development. </w:t>
      </w:r>
      <w:r w:rsidRPr="004B33BC">
        <w:rPr>
          <w:i/>
          <w:iCs/>
        </w:rPr>
        <w:t>International Journal of Qualitative Methods</w:t>
      </w:r>
      <w:r w:rsidRPr="004B33BC">
        <w:t xml:space="preserve">, </w:t>
      </w:r>
      <w:r w:rsidRPr="004B33BC">
        <w:rPr>
          <w:i/>
          <w:iCs/>
        </w:rPr>
        <w:t>5</w:t>
      </w:r>
      <w:r w:rsidRPr="004B33BC">
        <w:t xml:space="preserve">(1), 80–92. </w:t>
      </w:r>
      <w:hyperlink r:id="rId62" w:history="1">
        <w:r w:rsidRPr="004B33BC">
          <w:rPr>
            <w:rStyle w:val="Hyperlink"/>
          </w:rPr>
          <w:t>https://doi.org/10.1177/160940690600500107</w:t>
        </w:r>
      </w:hyperlink>
    </w:p>
    <w:p w14:paraId="7272736D" w14:textId="77777777" w:rsidR="00707210" w:rsidRPr="004B33BC" w:rsidRDefault="00707210" w:rsidP="004B33BC">
      <w:pPr>
        <w:spacing w:line="240" w:lineRule="auto"/>
        <w:jc w:val="both"/>
      </w:pPr>
      <w:bookmarkStart w:id="10" w:name="_Hlk216967797"/>
      <w:r w:rsidRPr="004B33BC">
        <w:t>Fetters, M. D., &amp; Molina-</w:t>
      </w:r>
      <w:proofErr w:type="spellStart"/>
      <w:r w:rsidRPr="004B33BC">
        <w:t>Azorin</w:t>
      </w:r>
      <w:proofErr w:type="spellEnd"/>
      <w:r w:rsidRPr="004B33BC">
        <w:t xml:space="preserve">, J. F. (2017). </w:t>
      </w:r>
      <w:bookmarkEnd w:id="10"/>
      <w:r w:rsidRPr="004B33BC">
        <w:t xml:space="preserve">The journal of mixed methods research starts a new decade: The mixed methods research integration trilogy and its dimensions. </w:t>
      </w:r>
      <w:r w:rsidRPr="004B33BC">
        <w:rPr>
          <w:i/>
          <w:iCs/>
        </w:rPr>
        <w:t>Journal of Mixed Methods Research</w:t>
      </w:r>
      <w:r w:rsidRPr="004B33BC">
        <w:t xml:space="preserve">, </w:t>
      </w:r>
      <w:r w:rsidRPr="004B33BC">
        <w:rPr>
          <w:i/>
          <w:iCs/>
        </w:rPr>
        <w:t>11</w:t>
      </w:r>
      <w:r w:rsidRPr="004B33BC">
        <w:t xml:space="preserve">(3), 291–307. </w:t>
      </w:r>
      <w:hyperlink r:id="rId63" w:history="1">
        <w:r w:rsidRPr="004B33BC">
          <w:rPr>
            <w:rStyle w:val="Hyperlink"/>
          </w:rPr>
          <w:t>https://doi.org/10.1177/1558689817714066</w:t>
        </w:r>
      </w:hyperlink>
    </w:p>
    <w:p w14:paraId="2BC30B45" w14:textId="77777777" w:rsidR="00707210" w:rsidRPr="004B33BC" w:rsidRDefault="00707210" w:rsidP="004B33BC">
      <w:pPr>
        <w:spacing w:line="240" w:lineRule="auto"/>
        <w:jc w:val="both"/>
      </w:pPr>
      <w:r w:rsidRPr="004B33BC">
        <w:t xml:space="preserve">Fetters, M. D., Curry, L. A., &amp; Creswell, J. W. (2013). Achieving integration in mixed methods </w:t>
      </w:r>
      <w:proofErr w:type="gramStart"/>
      <w:r w:rsidRPr="004B33BC">
        <w:t>designs—</w:t>
      </w:r>
      <w:proofErr w:type="gramEnd"/>
      <w:r w:rsidRPr="004B33BC">
        <w:t xml:space="preserve">principles and practices. </w:t>
      </w:r>
      <w:r w:rsidRPr="004B33BC">
        <w:rPr>
          <w:i/>
          <w:iCs/>
        </w:rPr>
        <w:t>Health Services Research</w:t>
      </w:r>
      <w:r w:rsidRPr="004B33BC">
        <w:t xml:space="preserve">, </w:t>
      </w:r>
      <w:r w:rsidRPr="004B33BC">
        <w:rPr>
          <w:i/>
          <w:iCs/>
        </w:rPr>
        <w:t>48</w:t>
      </w:r>
      <w:r w:rsidRPr="004B33BC">
        <w:t xml:space="preserve">(6pt2), 2134–2156. </w:t>
      </w:r>
      <w:hyperlink r:id="rId64" w:history="1">
        <w:r w:rsidRPr="004B33BC">
          <w:rPr>
            <w:rStyle w:val="Hyperlink"/>
          </w:rPr>
          <w:t>https://doi.org/10.1111/1475-6773.12117</w:t>
        </w:r>
      </w:hyperlink>
    </w:p>
    <w:p w14:paraId="7494147B" w14:textId="77777777" w:rsidR="00707210" w:rsidRPr="004B33BC" w:rsidRDefault="00707210" w:rsidP="004B33BC">
      <w:pPr>
        <w:spacing w:line="240" w:lineRule="auto"/>
        <w:jc w:val="both"/>
      </w:pPr>
      <w:r w:rsidRPr="004B33BC">
        <w:t>Fitz‐</w:t>
      </w:r>
      <w:proofErr w:type="spellStart"/>
      <w:r w:rsidRPr="004B33BC">
        <w:t>enz</w:t>
      </w:r>
      <w:proofErr w:type="spellEnd"/>
      <w:r w:rsidRPr="004B33BC">
        <w:t xml:space="preserve">, J. (2010). The new </w:t>
      </w:r>
      <w:proofErr w:type="spellStart"/>
      <w:r w:rsidRPr="004B33BC">
        <w:t>hr</w:t>
      </w:r>
      <w:proofErr w:type="spellEnd"/>
      <w:r w:rsidRPr="004B33BC">
        <w:t xml:space="preserve"> analytics: Predicting the economic value of your company's human capital investments. </w:t>
      </w:r>
      <w:r w:rsidRPr="004B33BC">
        <w:rPr>
          <w:i/>
          <w:iCs/>
        </w:rPr>
        <w:t>Choice Reviews Online</w:t>
      </w:r>
      <w:r w:rsidRPr="004B33BC">
        <w:t xml:space="preserve">, </w:t>
      </w:r>
      <w:r w:rsidRPr="004B33BC">
        <w:rPr>
          <w:i/>
          <w:iCs/>
        </w:rPr>
        <w:t>48</w:t>
      </w:r>
      <w:r w:rsidRPr="004B33BC">
        <w:t xml:space="preserve">(04), 48–2175-48-2175. </w:t>
      </w:r>
      <w:hyperlink r:id="rId65" w:history="1">
        <w:r w:rsidRPr="004B33BC">
          <w:rPr>
            <w:rStyle w:val="Hyperlink"/>
          </w:rPr>
          <w:t>https://doi.org/10.5860/choice.48-2175</w:t>
        </w:r>
      </w:hyperlink>
    </w:p>
    <w:p w14:paraId="6FE29849" w14:textId="77777777" w:rsidR="00707210" w:rsidRPr="004B33BC" w:rsidRDefault="00707210" w:rsidP="004B33BC">
      <w:pPr>
        <w:spacing w:line="240" w:lineRule="auto"/>
        <w:jc w:val="both"/>
      </w:pPr>
      <w:bookmarkStart w:id="11" w:name="_Hlk216775509"/>
      <w:r w:rsidRPr="004B33BC">
        <w:rPr>
          <w:lang w:val="de-DE"/>
        </w:rPr>
        <w:t xml:space="preserve">Flamholtz, E., &amp; Wollman, J. B. (1978). </w:t>
      </w:r>
      <w:bookmarkEnd w:id="11"/>
      <w:r w:rsidRPr="004B33BC">
        <w:t xml:space="preserve">The development and implementation of the stochastic rewards model for human resource valuation in a human </w:t>
      </w:r>
      <w:proofErr w:type="gramStart"/>
      <w:r w:rsidRPr="004B33BC">
        <w:t>capital intensive</w:t>
      </w:r>
      <w:proofErr w:type="gramEnd"/>
      <w:r w:rsidRPr="004B33BC">
        <w:t xml:space="preserve"> firm. </w:t>
      </w:r>
      <w:r w:rsidRPr="004B33BC">
        <w:rPr>
          <w:i/>
          <w:iCs/>
        </w:rPr>
        <w:t>Personnel Review</w:t>
      </w:r>
      <w:r w:rsidRPr="004B33BC">
        <w:t xml:space="preserve">, </w:t>
      </w:r>
      <w:r w:rsidRPr="004B33BC">
        <w:rPr>
          <w:i/>
          <w:iCs/>
        </w:rPr>
        <w:t>7</w:t>
      </w:r>
      <w:r w:rsidRPr="004B33BC">
        <w:t xml:space="preserve">(3), 20–34. </w:t>
      </w:r>
      <w:hyperlink r:id="rId66" w:history="1">
        <w:r w:rsidRPr="004B33BC">
          <w:rPr>
            <w:rStyle w:val="Hyperlink"/>
          </w:rPr>
          <w:t>https://doi.org/10.1108/eb055364</w:t>
        </w:r>
      </w:hyperlink>
    </w:p>
    <w:p w14:paraId="62F90E0C" w14:textId="718F1A9C" w:rsidR="00707210" w:rsidRPr="004B33BC" w:rsidRDefault="00707210" w:rsidP="004B33BC">
      <w:pPr>
        <w:spacing w:line="240" w:lineRule="auto"/>
        <w:jc w:val="both"/>
      </w:pPr>
      <w:bookmarkStart w:id="12" w:name="_Hlk216786411"/>
      <w:proofErr w:type="spellStart"/>
      <w:r w:rsidRPr="004B33BC">
        <w:t>Fornasari</w:t>
      </w:r>
      <w:proofErr w:type="spellEnd"/>
      <w:r w:rsidRPr="004B33BC">
        <w:t xml:space="preserve">, T., &amp; Traversi, M. (2024). </w:t>
      </w:r>
      <w:bookmarkEnd w:id="12"/>
      <w:r w:rsidRPr="004B33BC">
        <w:t xml:space="preserve">The impact of the </w:t>
      </w:r>
      <w:r w:rsidR="00D961F9">
        <w:t>CSRD</w:t>
      </w:r>
      <w:r w:rsidRPr="004B33BC">
        <w:t xml:space="preserve"> and the </w:t>
      </w:r>
      <w:r w:rsidR="00D961F9">
        <w:t>ESRS</w:t>
      </w:r>
      <w:r w:rsidRPr="004B33BC">
        <w:t xml:space="preserve"> on non-financial disclosure. </w:t>
      </w:r>
      <w:proofErr w:type="spellStart"/>
      <w:r w:rsidRPr="004B33BC">
        <w:rPr>
          <w:i/>
          <w:iCs/>
        </w:rPr>
        <w:t>Symphonya</w:t>
      </w:r>
      <w:proofErr w:type="spellEnd"/>
      <w:r w:rsidRPr="004B33BC">
        <w:rPr>
          <w:i/>
          <w:iCs/>
        </w:rPr>
        <w:t>. Emerging Issues in Management</w:t>
      </w:r>
      <w:r w:rsidRPr="004B33BC">
        <w:t xml:space="preserve">, (1), 117–133. </w:t>
      </w:r>
      <w:hyperlink r:id="rId67" w:history="1">
        <w:r w:rsidRPr="004B33BC">
          <w:rPr>
            <w:rStyle w:val="Hyperlink"/>
          </w:rPr>
          <w:t>https://doi.org/10.4468/2024.1.07fornasari.traversi</w:t>
        </w:r>
      </w:hyperlink>
    </w:p>
    <w:p w14:paraId="079CC0FF" w14:textId="77777777" w:rsidR="00707210" w:rsidRPr="004B33BC" w:rsidRDefault="00707210" w:rsidP="004B33BC">
      <w:pPr>
        <w:spacing w:line="240" w:lineRule="auto"/>
        <w:jc w:val="both"/>
      </w:pPr>
      <w:r w:rsidRPr="004B33BC">
        <w:t xml:space="preserve">Fornell, C., &amp; Larcker, D. F. (1981). Evaluating structural equation models with unobservable variables and measurement error. </w:t>
      </w:r>
      <w:r w:rsidRPr="004B33BC">
        <w:rPr>
          <w:i/>
          <w:iCs/>
        </w:rPr>
        <w:t>Journal of Marketing Research</w:t>
      </w:r>
      <w:r w:rsidRPr="004B33BC">
        <w:t xml:space="preserve">, </w:t>
      </w:r>
      <w:r w:rsidRPr="004B33BC">
        <w:rPr>
          <w:i/>
          <w:iCs/>
        </w:rPr>
        <w:t>18</w:t>
      </w:r>
      <w:r w:rsidRPr="004B33BC">
        <w:t xml:space="preserve">(1), 39–50. </w:t>
      </w:r>
      <w:hyperlink r:id="rId68" w:history="1">
        <w:r w:rsidRPr="004B33BC">
          <w:rPr>
            <w:rStyle w:val="Hyperlink"/>
          </w:rPr>
          <w:t>https://doi.org/10.1177/002224378101800104</w:t>
        </w:r>
      </w:hyperlink>
    </w:p>
    <w:p w14:paraId="23A4B9ED" w14:textId="10FC66AD" w:rsidR="00707210" w:rsidRPr="004B33BC" w:rsidRDefault="00707210" w:rsidP="004B33BC">
      <w:pPr>
        <w:spacing w:line="240" w:lineRule="auto"/>
        <w:jc w:val="both"/>
      </w:pPr>
      <w:r w:rsidRPr="004B33BC">
        <w:t xml:space="preserve">Ganesh, N. B. (2025). Corporate governance in the age of </w:t>
      </w:r>
      <w:r w:rsidR="00D961F9">
        <w:t>AI</w:t>
      </w:r>
      <w:r w:rsidRPr="004B33BC">
        <w:t xml:space="preserve">: Ethical oversight and accountability frameworks. </w:t>
      </w:r>
      <w:r w:rsidRPr="004B33BC">
        <w:rPr>
          <w:i/>
          <w:iCs/>
        </w:rPr>
        <w:t>Journal of Information Systems Engineering and Management</w:t>
      </w:r>
      <w:r w:rsidRPr="004B33BC">
        <w:t xml:space="preserve">, </w:t>
      </w:r>
      <w:r w:rsidRPr="004B33BC">
        <w:rPr>
          <w:i/>
          <w:iCs/>
        </w:rPr>
        <w:t>10</w:t>
      </w:r>
      <w:r w:rsidRPr="004B33BC">
        <w:t xml:space="preserve">(35s), 1141–1148. </w:t>
      </w:r>
      <w:hyperlink r:id="rId69" w:history="1">
        <w:r w:rsidRPr="004B33BC">
          <w:rPr>
            <w:rStyle w:val="Hyperlink"/>
          </w:rPr>
          <w:t>https://doi.org/10.52783/jisem.v10i35s.6285</w:t>
        </w:r>
      </w:hyperlink>
    </w:p>
    <w:p w14:paraId="017D70EC" w14:textId="77777777" w:rsidR="00707210" w:rsidRPr="004B33BC" w:rsidRDefault="00707210" w:rsidP="004B33BC">
      <w:pPr>
        <w:spacing w:line="240" w:lineRule="auto"/>
        <w:jc w:val="both"/>
      </w:pPr>
      <w:bookmarkStart w:id="13" w:name="_Hlk216791339"/>
      <w:r w:rsidRPr="004B33BC">
        <w:t>Gerhart, B., &amp; Feng, J. (2021</w:t>
      </w:r>
      <w:bookmarkEnd w:id="13"/>
      <w:r w:rsidRPr="004B33BC">
        <w:t xml:space="preserve">). The resource-based view of the firm, human resources, and human capital: Progress and prospects. </w:t>
      </w:r>
      <w:r w:rsidRPr="004B33BC">
        <w:rPr>
          <w:i/>
          <w:iCs/>
        </w:rPr>
        <w:t>Journal of Management</w:t>
      </w:r>
      <w:r w:rsidRPr="004B33BC">
        <w:t xml:space="preserve">, </w:t>
      </w:r>
      <w:r w:rsidRPr="004B33BC">
        <w:rPr>
          <w:i/>
          <w:iCs/>
        </w:rPr>
        <w:t>47</w:t>
      </w:r>
      <w:r w:rsidRPr="004B33BC">
        <w:t xml:space="preserve">(7), 1796–1819. </w:t>
      </w:r>
      <w:hyperlink r:id="rId70" w:history="1">
        <w:r w:rsidRPr="004B33BC">
          <w:rPr>
            <w:rStyle w:val="Hyperlink"/>
          </w:rPr>
          <w:t>https://doi.org/10.1177/0149206320978799</w:t>
        </w:r>
      </w:hyperlink>
    </w:p>
    <w:p w14:paraId="4461CD93" w14:textId="77777777" w:rsidR="00707210" w:rsidRPr="004B33BC" w:rsidRDefault="00707210" w:rsidP="004B33BC">
      <w:pPr>
        <w:spacing w:line="240" w:lineRule="auto"/>
        <w:jc w:val="both"/>
      </w:pPr>
      <w:bookmarkStart w:id="14" w:name="_Hlk216775430"/>
      <w:r w:rsidRPr="004B33BC">
        <w:t xml:space="preserve">Gogoi, R., &amp; </w:t>
      </w:r>
      <w:proofErr w:type="spellStart"/>
      <w:r w:rsidRPr="004B33BC">
        <w:t>Marwadikumbhar</w:t>
      </w:r>
      <w:proofErr w:type="spellEnd"/>
      <w:r w:rsidRPr="004B33BC">
        <w:t>, S. (2024</w:t>
      </w:r>
      <w:bookmarkEnd w:id="14"/>
      <w:r w:rsidRPr="004B33BC">
        <w:t xml:space="preserve">). Imminent impact of human resource accounting in </w:t>
      </w:r>
      <w:proofErr w:type="spellStart"/>
      <w:r w:rsidRPr="004B33BC">
        <w:t>indian</w:t>
      </w:r>
      <w:proofErr w:type="spellEnd"/>
      <w:r w:rsidRPr="004B33BC">
        <w:t xml:space="preserve"> public sector industries. </w:t>
      </w:r>
      <w:r w:rsidRPr="004B33BC">
        <w:rPr>
          <w:i/>
          <w:iCs/>
        </w:rPr>
        <w:t>International Journal for Research in Applied Science and Engineering Technology</w:t>
      </w:r>
      <w:r w:rsidRPr="004B33BC">
        <w:t xml:space="preserve">, </w:t>
      </w:r>
      <w:r w:rsidRPr="004B33BC">
        <w:rPr>
          <w:i/>
          <w:iCs/>
        </w:rPr>
        <w:t>12</w:t>
      </w:r>
      <w:r w:rsidRPr="004B33BC">
        <w:t xml:space="preserve">(1), 641–672. </w:t>
      </w:r>
      <w:hyperlink r:id="rId71" w:history="1">
        <w:r w:rsidRPr="004B33BC">
          <w:rPr>
            <w:rStyle w:val="Hyperlink"/>
          </w:rPr>
          <w:t>https://doi.org/10.22214/ijraset.2024.58022</w:t>
        </w:r>
      </w:hyperlink>
    </w:p>
    <w:p w14:paraId="771850F3" w14:textId="77777777" w:rsidR="00707210" w:rsidRPr="004B33BC" w:rsidRDefault="00707210" w:rsidP="004B33BC">
      <w:pPr>
        <w:spacing w:line="240" w:lineRule="auto"/>
        <w:jc w:val="both"/>
      </w:pPr>
      <w:r w:rsidRPr="004B33BC">
        <w:t xml:space="preserve">Grant, R. M. (1991). The resource-based theory of competitive advantage: Implications for strategy formulation. </w:t>
      </w:r>
      <w:r w:rsidRPr="004B33BC">
        <w:rPr>
          <w:i/>
          <w:iCs/>
        </w:rPr>
        <w:t>California Management Review</w:t>
      </w:r>
      <w:r w:rsidRPr="004B33BC">
        <w:t xml:space="preserve">, </w:t>
      </w:r>
      <w:r w:rsidRPr="004B33BC">
        <w:rPr>
          <w:i/>
          <w:iCs/>
        </w:rPr>
        <w:t>33</w:t>
      </w:r>
      <w:r w:rsidRPr="004B33BC">
        <w:t xml:space="preserve">(3), 114–135. </w:t>
      </w:r>
      <w:hyperlink r:id="rId72" w:history="1">
        <w:r w:rsidRPr="004B33BC">
          <w:rPr>
            <w:rStyle w:val="Hyperlink"/>
          </w:rPr>
          <w:t>https://doi.org/10.2307/41166664</w:t>
        </w:r>
      </w:hyperlink>
    </w:p>
    <w:p w14:paraId="7AE669B1" w14:textId="7E4F75CF" w:rsidR="00707210" w:rsidRPr="004B33BC" w:rsidRDefault="00707210" w:rsidP="004B33BC">
      <w:pPr>
        <w:spacing w:line="240" w:lineRule="auto"/>
        <w:jc w:val="both"/>
      </w:pPr>
      <w:proofErr w:type="spellStart"/>
      <w:r w:rsidRPr="004B33BC">
        <w:t>Grüning</w:t>
      </w:r>
      <w:proofErr w:type="spellEnd"/>
      <w:r w:rsidRPr="004B33BC">
        <w:t>, M. (2011). Artificial intelligence measurement of disclosure (</w:t>
      </w:r>
      <w:r w:rsidR="00D961F9">
        <w:t>AIMD</w:t>
      </w:r>
      <w:r w:rsidRPr="004B33BC">
        <w:t xml:space="preserve">). </w:t>
      </w:r>
      <w:r w:rsidRPr="004B33BC">
        <w:rPr>
          <w:i/>
          <w:iCs/>
        </w:rPr>
        <w:t>European Accounting Review</w:t>
      </w:r>
      <w:r w:rsidRPr="004B33BC">
        <w:t xml:space="preserve">, </w:t>
      </w:r>
      <w:r w:rsidRPr="004B33BC">
        <w:rPr>
          <w:i/>
          <w:iCs/>
        </w:rPr>
        <w:t>20</w:t>
      </w:r>
      <w:r w:rsidRPr="004B33BC">
        <w:t xml:space="preserve">(3), 485–519. </w:t>
      </w:r>
      <w:hyperlink r:id="rId73" w:history="1">
        <w:r w:rsidRPr="004B33BC">
          <w:rPr>
            <w:rStyle w:val="Hyperlink"/>
          </w:rPr>
          <w:t>https://doi.org/10.1080/09638180.2011.585792</w:t>
        </w:r>
      </w:hyperlink>
    </w:p>
    <w:p w14:paraId="4862BEE3" w14:textId="77777777" w:rsidR="00707210" w:rsidRPr="004B33BC" w:rsidRDefault="00707210" w:rsidP="004B33BC">
      <w:pPr>
        <w:spacing w:line="240" w:lineRule="auto"/>
        <w:jc w:val="both"/>
      </w:pPr>
      <w:r w:rsidRPr="004B33BC">
        <w:lastRenderedPageBreak/>
        <w:t xml:space="preserve">Hair, J. F., Risher, J. J., Sarstedt, M., &amp; Ringle, C. M. (2019). When to use and how to report the results of PLS-SEM. </w:t>
      </w:r>
      <w:r w:rsidRPr="004B33BC">
        <w:rPr>
          <w:i/>
          <w:iCs/>
        </w:rPr>
        <w:t>European Business Review</w:t>
      </w:r>
      <w:r w:rsidRPr="004B33BC">
        <w:t xml:space="preserve">, </w:t>
      </w:r>
      <w:r w:rsidRPr="004B33BC">
        <w:rPr>
          <w:i/>
          <w:iCs/>
        </w:rPr>
        <w:t>31</w:t>
      </w:r>
      <w:r w:rsidRPr="004B33BC">
        <w:t xml:space="preserve">(1), 2–24. </w:t>
      </w:r>
      <w:hyperlink r:id="rId74" w:history="1">
        <w:r w:rsidRPr="004B33BC">
          <w:rPr>
            <w:rStyle w:val="Hyperlink"/>
          </w:rPr>
          <w:t>https://doi.org/10.1108/ebr-11-2018-0203</w:t>
        </w:r>
      </w:hyperlink>
    </w:p>
    <w:p w14:paraId="0F41D46C" w14:textId="77777777" w:rsidR="00707210" w:rsidRPr="004B33BC" w:rsidRDefault="00707210" w:rsidP="004B33BC">
      <w:pPr>
        <w:spacing w:line="240" w:lineRule="auto"/>
        <w:jc w:val="both"/>
      </w:pPr>
      <w:r w:rsidRPr="004B33BC">
        <w:t xml:space="preserve">Haslag, P. H., </w:t>
      </w:r>
      <w:proofErr w:type="spellStart"/>
      <w:r w:rsidRPr="004B33BC">
        <w:t>Sensoy</w:t>
      </w:r>
      <w:proofErr w:type="spellEnd"/>
      <w:r w:rsidRPr="004B33BC">
        <w:t xml:space="preserve">, B. A., &amp; White, J. T. (2021). Human capital disclosure. </w:t>
      </w:r>
      <w:r w:rsidRPr="004B33BC">
        <w:rPr>
          <w:i/>
          <w:iCs/>
        </w:rPr>
        <w:t>SSRN Electronic Journal</w:t>
      </w:r>
      <w:r w:rsidRPr="004B33BC">
        <w:t xml:space="preserve">. </w:t>
      </w:r>
      <w:hyperlink r:id="rId75" w:history="1">
        <w:r w:rsidRPr="004B33BC">
          <w:rPr>
            <w:rStyle w:val="Hyperlink"/>
          </w:rPr>
          <w:t>https://doi.org/10.2139/ssrn.3991257</w:t>
        </w:r>
      </w:hyperlink>
    </w:p>
    <w:p w14:paraId="6B7EF16C" w14:textId="77777777" w:rsidR="00707210" w:rsidRPr="004B33BC" w:rsidRDefault="00707210" w:rsidP="004B33BC">
      <w:pPr>
        <w:spacing w:line="240" w:lineRule="auto"/>
        <w:jc w:val="both"/>
      </w:pPr>
      <w:bookmarkStart w:id="15" w:name="_Hlk216790996"/>
      <w:r w:rsidRPr="004B33BC">
        <w:t xml:space="preserve">Hatch, N. W., &amp; Dyer, J. H. (2004). </w:t>
      </w:r>
      <w:bookmarkEnd w:id="15"/>
      <w:r w:rsidRPr="004B33BC">
        <w:t xml:space="preserve">Human capital and learning as a source of sustainable competitive advantage. </w:t>
      </w:r>
      <w:r w:rsidRPr="004B33BC">
        <w:rPr>
          <w:i/>
          <w:iCs/>
        </w:rPr>
        <w:t>Strategic Management Journal</w:t>
      </w:r>
      <w:r w:rsidRPr="004B33BC">
        <w:t xml:space="preserve">, </w:t>
      </w:r>
      <w:r w:rsidRPr="004B33BC">
        <w:rPr>
          <w:i/>
          <w:iCs/>
        </w:rPr>
        <w:t>25</w:t>
      </w:r>
      <w:r w:rsidRPr="004B33BC">
        <w:t xml:space="preserve">(12), 1155–1178. </w:t>
      </w:r>
      <w:hyperlink r:id="rId76" w:history="1">
        <w:r w:rsidRPr="004B33BC">
          <w:rPr>
            <w:rStyle w:val="Hyperlink"/>
          </w:rPr>
          <w:t>https://doi.org/10.1002/smj.421</w:t>
        </w:r>
      </w:hyperlink>
    </w:p>
    <w:p w14:paraId="0000B34D" w14:textId="77777777" w:rsidR="00707210" w:rsidRPr="004B33BC" w:rsidRDefault="00707210" w:rsidP="004B33BC">
      <w:pPr>
        <w:spacing w:line="240" w:lineRule="auto"/>
        <w:jc w:val="both"/>
      </w:pPr>
      <w:r w:rsidRPr="004B33BC">
        <w:t xml:space="preserve">Hayes, A. F. (2022). </w:t>
      </w:r>
      <w:r w:rsidRPr="004B33BC">
        <w:rPr>
          <w:i/>
          <w:iCs/>
        </w:rPr>
        <w:t>Introduction to mediation, moderation, and conditional process analysis: A regression-based approach (methodology in the social sciences)</w:t>
      </w:r>
      <w:r w:rsidRPr="004B33BC">
        <w:t xml:space="preserve"> (3rd ed.). The Guilford Press.</w:t>
      </w:r>
    </w:p>
    <w:p w14:paraId="35EB3637" w14:textId="77777777" w:rsidR="00707210" w:rsidRPr="004B33BC" w:rsidRDefault="00707210" w:rsidP="004B33BC">
      <w:pPr>
        <w:spacing w:line="240" w:lineRule="auto"/>
        <w:jc w:val="both"/>
      </w:pPr>
      <w:bookmarkStart w:id="16" w:name="_Hlk216977867"/>
      <w:r w:rsidRPr="004B33BC">
        <w:t>Heale, R., &amp; Twycross, A. (2015</w:t>
      </w:r>
      <w:bookmarkEnd w:id="16"/>
      <w:r w:rsidRPr="004B33BC">
        <w:t xml:space="preserve">). Validity and reliability in quantitative studies. </w:t>
      </w:r>
      <w:r w:rsidRPr="004B33BC">
        <w:rPr>
          <w:i/>
          <w:iCs/>
        </w:rPr>
        <w:t>Evidence Based Nursing</w:t>
      </w:r>
      <w:r w:rsidRPr="004B33BC">
        <w:t xml:space="preserve">, </w:t>
      </w:r>
      <w:r w:rsidRPr="004B33BC">
        <w:rPr>
          <w:i/>
          <w:iCs/>
        </w:rPr>
        <w:t>18</w:t>
      </w:r>
      <w:r w:rsidRPr="004B33BC">
        <w:t xml:space="preserve">(3), 66–67. </w:t>
      </w:r>
      <w:hyperlink r:id="rId77" w:history="1">
        <w:r w:rsidRPr="004B33BC">
          <w:rPr>
            <w:rStyle w:val="Hyperlink"/>
          </w:rPr>
          <w:t>https://doi.org/10.1136/eb-2015-102129</w:t>
        </w:r>
      </w:hyperlink>
    </w:p>
    <w:p w14:paraId="1B8B9A06" w14:textId="77777777" w:rsidR="00707210" w:rsidRPr="004B33BC" w:rsidRDefault="00707210" w:rsidP="004B33BC">
      <w:pPr>
        <w:spacing w:line="240" w:lineRule="auto"/>
        <w:jc w:val="both"/>
      </w:pPr>
      <w:r w:rsidRPr="004B33BC">
        <w:rPr>
          <w:lang w:val="de-DE"/>
        </w:rPr>
        <w:t xml:space="preserve">Henseler, J., Ringle, C. M., &amp; Sarstedt, M. (2015). </w:t>
      </w:r>
      <w:r w:rsidRPr="004B33BC">
        <w:t xml:space="preserve">A new criterion for assessing discriminant validity in variance-based structural equation modeling. </w:t>
      </w:r>
      <w:r w:rsidRPr="004B33BC">
        <w:rPr>
          <w:i/>
          <w:iCs/>
        </w:rPr>
        <w:t>Journal of the Academy of Marketing Science</w:t>
      </w:r>
      <w:r w:rsidRPr="004B33BC">
        <w:t xml:space="preserve">, </w:t>
      </w:r>
      <w:r w:rsidRPr="004B33BC">
        <w:rPr>
          <w:i/>
          <w:iCs/>
        </w:rPr>
        <w:t>43</w:t>
      </w:r>
      <w:r w:rsidRPr="004B33BC">
        <w:t xml:space="preserve">(1), 115–135. </w:t>
      </w:r>
      <w:hyperlink r:id="rId78" w:history="1">
        <w:r w:rsidRPr="004B33BC">
          <w:rPr>
            <w:rStyle w:val="Hyperlink"/>
          </w:rPr>
          <w:t>https://doi.org/10.1007/s11747-014-0403-8</w:t>
        </w:r>
      </w:hyperlink>
    </w:p>
    <w:p w14:paraId="55A0A8BA" w14:textId="77777777" w:rsidR="00707210" w:rsidRPr="004B33BC" w:rsidRDefault="00707210" w:rsidP="004B33BC">
      <w:pPr>
        <w:spacing w:line="240" w:lineRule="auto"/>
        <w:jc w:val="both"/>
      </w:pPr>
      <w:r w:rsidRPr="004B33BC">
        <w:t xml:space="preserve">Herold, D. M. (2018). Demystifying the link between institutional theory and stakeholder theory in sustainability reporting. </w:t>
      </w:r>
      <w:r w:rsidRPr="004B33BC">
        <w:rPr>
          <w:i/>
          <w:iCs/>
        </w:rPr>
        <w:t>Economics, Management and Sustainability</w:t>
      </w:r>
      <w:r w:rsidRPr="004B33BC">
        <w:t xml:space="preserve">, </w:t>
      </w:r>
      <w:r w:rsidRPr="004B33BC">
        <w:rPr>
          <w:i/>
          <w:iCs/>
        </w:rPr>
        <w:t>3</w:t>
      </w:r>
      <w:r w:rsidRPr="004B33BC">
        <w:t xml:space="preserve">(2), 6–19. </w:t>
      </w:r>
      <w:hyperlink r:id="rId79" w:history="1">
        <w:r w:rsidRPr="004B33BC">
          <w:rPr>
            <w:rStyle w:val="Hyperlink"/>
          </w:rPr>
          <w:t>https://doi.org/10.14254/jems.2018.3-2.1</w:t>
        </w:r>
      </w:hyperlink>
    </w:p>
    <w:p w14:paraId="0F75CB87" w14:textId="77777777" w:rsidR="00707210" w:rsidRPr="004B33BC" w:rsidRDefault="00707210" w:rsidP="004B33BC">
      <w:pPr>
        <w:spacing w:line="240" w:lineRule="auto"/>
        <w:jc w:val="both"/>
      </w:pPr>
      <w:r w:rsidRPr="004B33BC">
        <w:rPr>
          <w:lang w:val="de-DE"/>
        </w:rPr>
        <w:t xml:space="preserve">Hofstede, G., Hofstede, G. J., &amp; Minkov, M. (2010). </w:t>
      </w:r>
      <w:r w:rsidRPr="004B33BC">
        <w:t>Cultures and Organizations: Software of the Mind: Intercultural Cooperation and Its Importance for Survival (3rd ed., p. 561). New York, NY: McGraw-Hill</w:t>
      </w:r>
    </w:p>
    <w:p w14:paraId="350DB95C" w14:textId="77777777" w:rsidR="00707210" w:rsidRPr="004B33BC" w:rsidRDefault="00707210" w:rsidP="004B33BC">
      <w:pPr>
        <w:spacing w:line="240" w:lineRule="auto"/>
        <w:jc w:val="both"/>
      </w:pPr>
      <w:bookmarkStart w:id="17" w:name="_Hlk216874523"/>
      <w:r w:rsidRPr="004B33BC">
        <w:t>Holden, M. T., &amp; Lynch, P. (2004</w:t>
      </w:r>
      <w:bookmarkEnd w:id="17"/>
      <w:r w:rsidRPr="004B33BC">
        <w:t xml:space="preserve">). Choosing the appropriate methodology: Understanding research philosophy. </w:t>
      </w:r>
      <w:r w:rsidRPr="004B33BC">
        <w:rPr>
          <w:i/>
          <w:iCs/>
        </w:rPr>
        <w:t>The Marketing Review</w:t>
      </w:r>
      <w:r w:rsidRPr="004B33BC">
        <w:t xml:space="preserve">, </w:t>
      </w:r>
      <w:r w:rsidRPr="004B33BC">
        <w:rPr>
          <w:i/>
          <w:iCs/>
        </w:rPr>
        <w:t>4</w:t>
      </w:r>
      <w:r w:rsidRPr="004B33BC">
        <w:t xml:space="preserve">(4), 397–409. </w:t>
      </w:r>
      <w:hyperlink r:id="rId80" w:history="1">
        <w:r w:rsidRPr="004B33BC">
          <w:rPr>
            <w:rStyle w:val="Hyperlink"/>
          </w:rPr>
          <w:t>https://doi.org/10.1362/1469347042772428</w:t>
        </w:r>
      </w:hyperlink>
    </w:p>
    <w:p w14:paraId="6A8CC48D" w14:textId="77777777" w:rsidR="00707210" w:rsidRPr="004B33BC" w:rsidRDefault="00707210" w:rsidP="004B33BC">
      <w:pPr>
        <w:spacing w:line="240" w:lineRule="auto"/>
        <w:jc w:val="both"/>
      </w:pPr>
      <w:r w:rsidRPr="004B33BC">
        <w:t xml:space="preserve">Houghton, C., Casey, D., Shaw, D., &amp; Murphy, K. (2013). </w:t>
      </w:r>
      <w:proofErr w:type="spellStart"/>
      <w:r w:rsidRPr="004B33BC">
        <w:t>Rigour</w:t>
      </w:r>
      <w:proofErr w:type="spellEnd"/>
      <w:r w:rsidRPr="004B33BC">
        <w:t xml:space="preserve"> in qualitative case-study research. </w:t>
      </w:r>
      <w:r w:rsidRPr="004B33BC">
        <w:rPr>
          <w:i/>
          <w:iCs/>
        </w:rPr>
        <w:t>Nurse Researcher</w:t>
      </w:r>
      <w:r w:rsidRPr="004B33BC">
        <w:t xml:space="preserve">, </w:t>
      </w:r>
      <w:r w:rsidRPr="004B33BC">
        <w:rPr>
          <w:i/>
          <w:iCs/>
        </w:rPr>
        <w:t>20</w:t>
      </w:r>
      <w:r w:rsidRPr="004B33BC">
        <w:t xml:space="preserve">(4), 12–17. </w:t>
      </w:r>
      <w:hyperlink r:id="rId81" w:history="1">
        <w:r w:rsidRPr="004B33BC">
          <w:rPr>
            <w:rStyle w:val="Hyperlink"/>
          </w:rPr>
          <w:t>https://doi.org/10.7748/nr2013.03.20.4.12.e326</w:t>
        </w:r>
      </w:hyperlink>
    </w:p>
    <w:p w14:paraId="355D5606" w14:textId="77777777" w:rsidR="00707210" w:rsidRPr="004B33BC" w:rsidRDefault="00707210" w:rsidP="004B33BC">
      <w:pPr>
        <w:spacing w:line="240" w:lineRule="auto"/>
        <w:jc w:val="both"/>
      </w:pPr>
      <w:r w:rsidRPr="004B33BC">
        <w:rPr>
          <w:lang w:val="de-DE"/>
        </w:rPr>
        <w:t xml:space="preserve">Hu, L., &amp; Bentler, P. M. (1999). </w:t>
      </w:r>
      <w:r w:rsidRPr="004B33BC">
        <w:t xml:space="preserve">Cutoff criteria for fit indexes in covariance structure analysis: Conventional criteria versus new alternatives. </w:t>
      </w:r>
      <w:r w:rsidRPr="004B33BC">
        <w:rPr>
          <w:i/>
          <w:iCs/>
        </w:rPr>
        <w:t>Structural Equation Modeling: A Multidisciplinary Journal</w:t>
      </w:r>
      <w:r w:rsidRPr="004B33BC">
        <w:t xml:space="preserve">, </w:t>
      </w:r>
      <w:r w:rsidRPr="004B33BC">
        <w:rPr>
          <w:i/>
          <w:iCs/>
        </w:rPr>
        <w:t>6</w:t>
      </w:r>
      <w:r w:rsidRPr="004B33BC">
        <w:t xml:space="preserve">(1), 1–55. </w:t>
      </w:r>
      <w:hyperlink r:id="rId82" w:history="1">
        <w:r w:rsidRPr="004B33BC">
          <w:rPr>
            <w:rStyle w:val="Hyperlink"/>
          </w:rPr>
          <w:t>https://doi.org/10.1080/10705519909540118</w:t>
        </w:r>
      </w:hyperlink>
    </w:p>
    <w:p w14:paraId="58BA073C" w14:textId="77777777" w:rsidR="00707210" w:rsidRPr="004B33BC" w:rsidRDefault="00707210" w:rsidP="004B33BC">
      <w:pPr>
        <w:spacing w:line="240" w:lineRule="auto"/>
        <w:jc w:val="both"/>
      </w:pPr>
      <w:r w:rsidRPr="004B33BC">
        <w:rPr>
          <w:lang w:val="de-DE"/>
        </w:rPr>
        <w:t xml:space="preserve">Huang, X., Yang, F., Zheng, J., Feng, C., &amp; Zhang, L. (2023). </w:t>
      </w:r>
      <w:r w:rsidRPr="004B33BC">
        <w:t xml:space="preserve">Personalized human resource management via </w:t>
      </w:r>
      <w:proofErr w:type="spellStart"/>
      <w:r w:rsidRPr="004B33BC">
        <w:t>hr</w:t>
      </w:r>
      <w:proofErr w:type="spellEnd"/>
      <w:r w:rsidRPr="004B33BC">
        <w:t xml:space="preserve"> analytics and artificial intelligence: Theory and implications. </w:t>
      </w:r>
      <w:r w:rsidRPr="004B33BC">
        <w:rPr>
          <w:i/>
          <w:iCs/>
        </w:rPr>
        <w:t>Asia Pacific Management Review</w:t>
      </w:r>
      <w:r w:rsidRPr="004B33BC">
        <w:t xml:space="preserve">, </w:t>
      </w:r>
      <w:r w:rsidRPr="004B33BC">
        <w:rPr>
          <w:i/>
          <w:iCs/>
        </w:rPr>
        <w:t>28</w:t>
      </w:r>
      <w:r w:rsidRPr="004B33BC">
        <w:t xml:space="preserve">(4), 598–610. </w:t>
      </w:r>
      <w:hyperlink r:id="rId83" w:history="1">
        <w:r w:rsidRPr="004B33BC">
          <w:rPr>
            <w:rStyle w:val="Hyperlink"/>
          </w:rPr>
          <w:t>https://doi.org/10.1016/j.apmrv.2023.04.004</w:t>
        </w:r>
      </w:hyperlink>
    </w:p>
    <w:p w14:paraId="73B46794" w14:textId="6D0A8A03" w:rsidR="00707210" w:rsidRPr="004B33BC" w:rsidRDefault="00707210" w:rsidP="004B33BC">
      <w:pPr>
        <w:spacing w:line="240" w:lineRule="auto"/>
        <w:jc w:val="both"/>
      </w:pPr>
      <w:bookmarkStart w:id="18" w:name="_Hlk216786325"/>
      <w:r w:rsidRPr="004B33BC">
        <w:t xml:space="preserve">Hummel, K., &amp; Jobst, D. (2021). </w:t>
      </w:r>
      <w:bookmarkEnd w:id="18"/>
      <w:r w:rsidRPr="004B33BC">
        <w:t xml:space="preserve">The current state and future of corporate sustainability reporting regulations in the </w:t>
      </w:r>
      <w:r w:rsidR="00D961F9">
        <w:t>European U</w:t>
      </w:r>
      <w:r w:rsidRPr="004B33BC">
        <w:t xml:space="preserve">nion. </w:t>
      </w:r>
      <w:r w:rsidRPr="004B33BC">
        <w:rPr>
          <w:i/>
          <w:iCs/>
        </w:rPr>
        <w:t>SSRN Electronic Journal</w:t>
      </w:r>
      <w:r w:rsidRPr="004B33BC">
        <w:t xml:space="preserve">. </w:t>
      </w:r>
      <w:hyperlink r:id="rId84" w:history="1">
        <w:r w:rsidRPr="004B33BC">
          <w:rPr>
            <w:rStyle w:val="Hyperlink"/>
          </w:rPr>
          <w:t>https://doi.org/10.2139/ssrn.3978478</w:t>
        </w:r>
      </w:hyperlink>
    </w:p>
    <w:p w14:paraId="100CA2A4" w14:textId="480A3D71" w:rsidR="00707210" w:rsidRPr="004B33BC" w:rsidRDefault="00707210" w:rsidP="004B33BC">
      <w:pPr>
        <w:spacing w:line="240" w:lineRule="auto"/>
        <w:jc w:val="both"/>
      </w:pPr>
      <w:r w:rsidRPr="004B33BC">
        <w:t xml:space="preserve">Islam, J. (2024). Leveraging </w:t>
      </w:r>
      <w:r w:rsidR="00D961F9">
        <w:t>AI</w:t>
      </w:r>
      <w:r w:rsidRPr="004B33BC">
        <w:t xml:space="preserve"> for effective human resource management: A comprehensive overview. </w:t>
      </w:r>
      <w:r w:rsidRPr="004B33BC">
        <w:rPr>
          <w:i/>
          <w:iCs/>
        </w:rPr>
        <w:t>SSRN Electronic Journal</w:t>
      </w:r>
      <w:r w:rsidRPr="004B33BC">
        <w:t xml:space="preserve">. </w:t>
      </w:r>
      <w:hyperlink r:id="rId85" w:history="1">
        <w:r w:rsidRPr="004B33BC">
          <w:rPr>
            <w:rStyle w:val="Hyperlink"/>
          </w:rPr>
          <w:t>https://doi.org/10.2139/ssrn.4833377</w:t>
        </w:r>
      </w:hyperlink>
    </w:p>
    <w:p w14:paraId="4FC82E3E" w14:textId="77777777" w:rsidR="00707210" w:rsidRPr="004B33BC" w:rsidRDefault="00707210" w:rsidP="004B33BC">
      <w:pPr>
        <w:spacing w:line="240" w:lineRule="auto"/>
        <w:jc w:val="both"/>
      </w:pPr>
      <w:r w:rsidRPr="004B33BC">
        <w:rPr>
          <w:lang w:val="de-DE"/>
        </w:rPr>
        <w:lastRenderedPageBreak/>
        <w:t xml:space="preserve">Islam, M. A., Kamruzzaman, M., &amp; Redwanuzzaman, M. (2013). </w:t>
      </w:r>
      <w:r w:rsidRPr="004B33BC">
        <w:t>Human resource accounting: Recognition and disclosure of accounting methods &amp; techniques. </w:t>
      </w:r>
      <w:r w:rsidRPr="004B33BC">
        <w:rPr>
          <w:i/>
          <w:iCs/>
        </w:rPr>
        <w:t>Global Journal of management and business research accounting and auditing</w:t>
      </w:r>
      <w:r w:rsidRPr="004B33BC">
        <w:t>, </w:t>
      </w:r>
      <w:r w:rsidRPr="004B33BC">
        <w:rPr>
          <w:i/>
          <w:iCs/>
        </w:rPr>
        <w:t>13</w:t>
      </w:r>
      <w:r w:rsidRPr="004B33BC">
        <w:t>(3), 1-10.</w:t>
      </w:r>
    </w:p>
    <w:p w14:paraId="4DA2D0FF" w14:textId="77777777" w:rsidR="00707210" w:rsidRPr="004B33BC" w:rsidRDefault="00707210" w:rsidP="004B33BC">
      <w:pPr>
        <w:spacing w:line="240" w:lineRule="auto"/>
        <w:jc w:val="both"/>
      </w:pPr>
      <w:r w:rsidRPr="004B33BC">
        <w:t xml:space="preserve">Ivankova, N. V., Creswell, J. W., &amp; Stick, S. L. (2006). Using mixed-methods sequential explanatory design: From theory to practice. </w:t>
      </w:r>
      <w:r w:rsidRPr="004B33BC">
        <w:rPr>
          <w:i/>
          <w:iCs/>
        </w:rPr>
        <w:t>Field Methods</w:t>
      </w:r>
      <w:r w:rsidRPr="004B33BC">
        <w:t xml:space="preserve">, </w:t>
      </w:r>
      <w:r w:rsidRPr="004B33BC">
        <w:rPr>
          <w:i/>
          <w:iCs/>
        </w:rPr>
        <w:t>18</w:t>
      </w:r>
      <w:r w:rsidRPr="004B33BC">
        <w:t xml:space="preserve">(1), 3–20. </w:t>
      </w:r>
      <w:hyperlink r:id="rId86" w:history="1">
        <w:r w:rsidRPr="004B33BC">
          <w:rPr>
            <w:rStyle w:val="Hyperlink"/>
          </w:rPr>
          <w:t>https://doi.org/10.1177/1525822x05282260</w:t>
        </w:r>
      </w:hyperlink>
    </w:p>
    <w:p w14:paraId="7A38A39F" w14:textId="04BA92DF" w:rsidR="00707210" w:rsidRPr="004B33BC" w:rsidRDefault="00707210" w:rsidP="004B33BC">
      <w:pPr>
        <w:spacing w:line="240" w:lineRule="auto"/>
        <w:jc w:val="both"/>
      </w:pPr>
      <w:r w:rsidRPr="004B33BC">
        <w:t xml:space="preserve">Jain, R. (2022). Do authors affiliated with emerging </w:t>
      </w:r>
      <w:r w:rsidR="00D961F9">
        <w:t>A</w:t>
      </w:r>
      <w:r w:rsidRPr="004B33BC">
        <w:t xml:space="preserve">sian contexts have proportionate representation in foreign entry mode choice research: Insights from the bibliometric analysis? </w:t>
      </w:r>
      <w:r w:rsidRPr="004B33BC">
        <w:rPr>
          <w:i/>
          <w:iCs/>
        </w:rPr>
        <w:t>Asian Journal of Business Research</w:t>
      </w:r>
      <w:r w:rsidRPr="004B33BC">
        <w:t xml:space="preserve">, </w:t>
      </w:r>
      <w:r w:rsidRPr="004B33BC">
        <w:rPr>
          <w:i/>
          <w:iCs/>
        </w:rPr>
        <w:t>12</w:t>
      </w:r>
      <w:r w:rsidRPr="004B33BC">
        <w:t xml:space="preserve">(2). </w:t>
      </w:r>
      <w:hyperlink r:id="rId87" w:history="1">
        <w:r w:rsidRPr="004B33BC">
          <w:rPr>
            <w:rStyle w:val="Hyperlink"/>
          </w:rPr>
          <w:t>https://doi.org/10.14707/ajbr.220128</w:t>
        </w:r>
      </w:hyperlink>
    </w:p>
    <w:p w14:paraId="69E9F48F" w14:textId="77777777" w:rsidR="00707210" w:rsidRPr="004B33BC" w:rsidRDefault="00707210" w:rsidP="004B33BC">
      <w:pPr>
        <w:spacing w:line="240" w:lineRule="auto"/>
        <w:jc w:val="both"/>
      </w:pPr>
      <w:bookmarkStart w:id="19" w:name="_Hlk216787782"/>
      <w:r w:rsidRPr="004B33BC">
        <w:t>Jeyaraj, A., &amp; Zadeh, A. (2020</w:t>
      </w:r>
      <w:bookmarkEnd w:id="19"/>
      <w:r w:rsidRPr="004B33BC">
        <w:t xml:space="preserve">). Institutional isomorphism in organizational cybersecurity: A text analytics approach. </w:t>
      </w:r>
      <w:r w:rsidRPr="004B33BC">
        <w:rPr>
          <w:i/>
          <w:iCs/>
        </w:rPr>
        <w:t>Journal of Organizational Computing and Electronic Commerce</w:t>
      </w:r>
      <w:r w:rsidRPr="004B33BC">
        <w:t xml:space="preserve">, </w:t>
      </w:r>
      <w:r w:rsidRPr="004B33BC">
        <w:rPr>
          <w:i/>
          <w:iCs/>
        </w:rPr>
        <w:t>30</w:t>
      </w:r>
      <w:r w:rsidRPr="004B33BC">
        <w:t xml:space="preserve">(4), 361–380. </w:t>
      </w:r>
      <w:hyperlink r:id="rId88" w:history="1">
        <w:r w:rsidRPr="004B33BC">
          <w:rPr>
            <w:rStyle w:val="Hyperlink"/>
          </w:rPr>
          <w:t>https://doi.org/10.1080/10919392.2020.1776033</w:t>
        </w:r>
      </w:hyperlink>
    </w:p>
    <w:p w14:paraId="4F57FE12" w14:textId="77777777" w:rsidR="00707210" w:rsidRPr="004B33BC" w:rsidRDefault="00707210" w:rsidP="004B33BC">
      <w:pPr>
        <w:spacing w:line="240" w:lineRule="auto"/>
        <w:jc w:val="both"/>
      </w:pPr>
      <w:bookmarkStart w:id="20" w:name="_Hlk216507326"/>
      <w:r w:rsidRPr="004B33BC">
        <w:t>John, A. S., &amp; Hajam, A. A. (2024</w:t>
      </w:r>
      <w:bookmarkEnd w:id="20"/>
      <w:r w:rsidRPr="004B33BC">
        <w:t xml:space="preserve">). Leveraging predictive analytics for enhancing employee engagement and optimizing workforce planning: A data-driven </w:t>
      </w:r>
      <w:proofErr w:type="spellStart"/>
      <w:r w:rsidRPr="004B33BC">
        <w:t>hr</w:t>
      </w:r>
      <w:proofErr w:type="spellEnd"/>
      <w:r w:rsidRPr="004B33BC">
        <w:t xml:space="preserve"> management approach. </w:t>
      </w:r>
      <w:r w:rsidRPr="004B33BC">
        <w:rPr>
          <w:i/>
          <w:iCs/>
        </w:rPr>
        <w:t>International Journal of Innovation in Management, Economics and Social Sciences</w:t>
      </w:r>
      <w:r w:rsidRPr="004B33BC">
        <w:t xml:space="preserve">, </w:t>
      </w:r>
      <w:r w:rsidRPr="004B33BC">
        <w:rPr>
          <w:i/>
          <w:iCs/>
        </w:rPr>
        <w:t>4</w:t>
      </w:r>
      <w:r w:rsidRPr="004B33BC">
        <w:t xml:space="preserve">(4), 33–41. </w:t>
      </w:r>
      <w:hyperlink r:id="rId89" w:history="1">
        <w:r w:rsidRPr="004B33BC">
          <w:rPr>
            <w:rStyle w:val="Hyperlink"/>
          </w:rPr>
          <w:t>https://doi.org/10.59615/ijimes.4.4.33</w:t>
        </w:r>
      </w:hyperlink>
    </w:p>
    <w:p w14:paraId="03C3BDCD" w14:textId="36B1E88A" w:rsidR="00707210" w:rsidRPr="004B33BC" w:rsidRDefault="00707210" w:rsidP="004B33BC">
      <w:pPr>
        <w:spacing w:line="240" w:lineRule="auto"/>
        <w:jc w:val="both"/>
      </w:pPr>
      <w:proofErr w:type="spellStart"/>
      <w:r w:rsidRPr="004B33BC">
        <w:t>Kamnuansilpa</w:t>
      </w:r>
      <w:proofErr w:type="spellEnd"/>
      <w:r w:rsidRPr="004B33BC">
        <w:t xml:space="preserve">, P., Timofeev, A., </w:t>
      </w:r>
      <w:proofErr w:type="spellStart"/>
      <w:r w:rsidRPr="004B33BC">
        <w:t>Lowatcharin</w:t>
      </w:r>
      <w:proofErr w:type="spellEnd"/>
      <w:r w:rsidRPr="004B33BC">
        <w:t xml:space="preserve">, G., &amp; Laochankham, S. (2023). A centrally driven place-based economic development strategy: A local perspective of </w:t>
      </w:r>
      <w:r w:rsidR="00D961F9">
        <w:t>T</w:t>
      </w:r>
      <w:r w:rsidRPr="004B33BC">
        <w:t xml:space="preserve">hailand's eastern economic corridor. </w:t>
      </w:r>
      <w:r w:rsidRPr="004B33BC">
        <w:rPr>
          <w:i/>
          <w:iCs/>
        </w:rPr>
        <w:t>International Journal of Membrane Science and Technology</w:t>
      </w:r>
      <w:r w:rsidRPr="004B33BC">
        <w:t xml:space="preserve">, </w:t>
      </w:r>
      <w:r w:rsidRPr="004B33BC">
        <w:rPr>
          <w:i/>
          <w:iCs/>
        </w:rPr>
        <w:t>10</w:t>
      </w:r>
      <w:r w:rsidRPr="004B33BC">
        <w:t xml:space="preserve">(2), 1868–1879. </w:t>
      </w:r>
      <w:hyperlink r:id="rId90" w:history="1">
        <w:r w:rsidRPr="004B33BC">
          <w:rPr>
            <w:rStyle w:val="Hyperlink"/>
          </w:rPr>
          <w:t>https://doi.org/10.15379/ijmst.v10i2.2700</w:t>
        </w:r>
      </w:hyperlink>
    </w:p>
    <w:p w14:paraId="07551819" w14:textId="77777777" w:rsidR="00707210" w:rsidRPr="004B33BC" w:rsidRDefault="00707210" w:rsidP="004B33BC">
      <w:pPr>
        <w:spacing w:line="240" w:lineRule="auto"/>
        <w:jc w:val="both"/>
      </w:pPr>
      <w:r w:rsidRPr="004B33BC">
        <w:t xml:space="preserve">Kang, L. (2024). Unveiling the dynamics of human capital valuation: Insights from human resource accounting. </w:t>
      </w:r>
      <w:r w:rsidRPr="004B33BC">
        <w:rPr>
          <w:i/>
          <w:iCs/>
        </w:rPr>
        <w:t>Pacific International Journal</w:t>
      </w:r>
      <w:r w:rsidRPr="004B33BC">
        <w:t xml:space="preserve">, </w:t>
      </w:r>
      <w:r w:rsidRPr="004B33BC">
        <w:rPr>
          <w:i/>
          <w:iCs/>
        </w:rPr>
        <w:t>7</w:t>
      </w:r>
      <w:r w:rsidRPr="004B33BC">
        <w:t xml:space="preserve">(2), 01–05. </w:t>
      </w:r>
      <w:hyperlink r:id="rId91" w:history="1">
        <w:r w:rsidRPr="004B33BC">
          <w:rPr>
            <w:rStyle w:val="Hyperlink"/>
          </w:rPr>
          <w:t>https://doi.org/10.55014/pij.v7i2.224</w:t>
        </w:r>
      </w:hyperlink>
    </w:p>
    <w:p w14:paraId="668A3A84" w14:textId="4842428A" w:rsidR="00707210" w:rsidRPr="004B33BC" w:rsidRDefault="00707210" w:rsidP="004B33BC">
      <w:pPr>
        <w:spacing w:line="240" w:lineRule="auto"/>
        <w:jc w:val="both"/>
      </w:pPr>
      <w:bookmarkStart w:id="21" w:name="_Hlk216508670"/>
      <w:r w:rsidRPr="004B33BC">
        <w:rPr>
          <w:lang w:val="de-DE"/>
        </w:rPr>
        <w:t>Kantheti, P. R., &amp; Bvuma, S. (2024</w:t>
      </w:r>
      <w:bookmarkEnd w:id="21"/>
      <w:r w:rsidRPr="004B33BC">
        <w:rPr>
          <w:lang w:val="de-DE"/>
        </w:rPr>
        <w:t xml:space="preserve">). </w:t>
      </w:r>
      <w:r w:rsidRPr="004B33BC">
        <w:t>A</w:t>
      </w:r>
      <w:r w:rsidR="00D961F9">
        <w:t>I</w:t>
      </w:r>
      <w:r w:rsidRPr="004B33BC">
        <w:t xml:space="preserve"> and machine learning in fraud detection: Securing digital payments and economic stability. </w:t>
      </w:r>
      <w:r w:rsidRPr="004B33BC">
        <w:rPr>
          <w:i/>
          <w:iCs/>
        </w:rPr>
        <w:t>International Journal of Scientific Research in Science and Technology</w:t>
      </w:r>
      <w:r w:rsidRPr="004B33BC">
        <w:t xml:space="preserve">, </w:t>
      </w:r>
      <w:r w:rsidRPr="004B33BC">
        <w:rPr>
          <w:i/>
          <w:iCs/>
        </w:rPr>
        <w:t>11</w:t>
      </w:r>
      <w:r w:rsidRPr="004B33BC">
        <w:t xml:space="preserve">(3), 974–982. </w:t>
      </w:r>
      <w:hyperlink r:id="rId92" w:history="1">
        <w:r w:rsidRPr="004B33BC">
          <w:rPr>
            <w:rStyle w:val="Hyperlink"/>
          </w:rPr>
          <w:t>https://doi.org/10.32628/ijsrst52310291</w:t>
        </w:r>
      </w:hyperlink>
    </w:p>
    <w:p w14:paraId="5FF3C613" w14:textId="7BD846B3" w:rsidR="00707210" w:rsidRPr="004B33BC" w:rsidRDefault="00707210" w:rsidP="004B33BC">
      <w:pPr>
        <w:spacing w:line="240" w:lineRule="auto"/>
        <w:jc w:val="both"/>
      </w:pPr>
      <w:r w:rsidRPr="004B33BC">
        <w:t xml:space="preserve">Karim, M., &amp; Rahman, M. (2023). Underlining issues of emerging economies: A case of </w:t>
      </w:r>
      <w:r w:rsidR="00D961F9">
        <w:t>E</w:t>
      </w:r>
      <w:r w:rsidRPr="004B33BC">
        <w:t xml:space="preserve">ast and </w:t>
      </w:r>
      <w:r w:rsidR="00D961F9">
        <w:t>S</w:t>
      </w:r>
      <w:r w:rsidRPr="004B33BC">
        <w:t xml:space="preserve">outheast </w:t>
      </w:r>
      <w:r w:rsidR="00D961F9">
        <w:t>A</w:t>
      </w:r>
      <w:r w:rsidRPr="004B33BC">
        <w:t xml:space="preserve">sian countries. </w:t>
      </w:r>
      <w:r w:rsidRPr="004B33BC">
        <w:rPr>
          <w:i/>
          <w:iCs/>
        </w:rPr>
        <w:t>Journal of Regional Economics</w:t>
      </w:r>
      <w:r w:rsidRPr="004B33BC">
        <w:t xml:space="preserve">, </w:t>
      </w:r>
      <w:r w:rsidRPr="004B33BC">
        <w:rPr>
          <w:i/>
          <w:iCs/>
        </w:rPr>
        <w:t>2</w:t>
      </w:r>
      <w:r w:rsidRPr="004B33BC">
        <w:t xml:space="preserve">(1), 14–25. </w:t>
      </w:r>
      <w:hyperlink r:id="rId93" w:history="1">
        <w:r w:rsidRPr="004B33BC">
          <w:rPr>
            <w:rStyle w:val="Hyperlink"/>
          </w:rPr>
          <w:t>https://doi.org/10.58567/jre02010002</w:t>
        </w:r>
      </w:hyperlink>
    </w:p>
    <w:p w14:paraId="2602A4DD" w14:textId="77777777" w:rsidR="00707210" w:rsidRPr="004B33BC" w:rsidRDefault="00707210" w:rsidP="004B33BC">
      <w:pPr>
        <w:spacing w:line="240" w:lineRule="auto"/>
        <w:jc w:val="both"/>
      </w:pPr>
      <w:r w:rsidRPr="004B33BC">
        <w:t xml:space="preserve">Kirby, C. (2023). Being transparent about pay transparency. </w:t>
      </w:r>
      <w:r w:rsidRPr="004B33BC">
        <w:rPr>
          <w:i/>
          <w:iCs/>
        </w:rPr>
        <w:t>Strategic HR Review</w:t>
      </w:r>
      <w:r w:rsidRPr="004B33BC">
        <w:t xml:space="preserve">, </w:t>
      </w:r>
      <w:r w:rsidRPr="004B33BC">
        <w:rPr>
          <w:i/>
          <w:iCs/>
        </w:rPr>
        <w:t>22</w:t>
      </w:r>
      <w:r w:rsidRPr="004B33BC">
        <w:t xml:space="preserve">(6), 205–208. </w:t>
      </w:r>
      <w:hyperlink r:id="rId94" w:history="1">
        <w:r w:rsidRPr="004B33BC">
          <w:rPr>
            <w:rStyle w:val="Hyperlink"/>
          </w:rPr>
          <w:t>https://doi.org/10.1108/shr-10-2023-0053</w:t>
        </w:r>
      </w:hyperlink>
    </w:p>
    <w:p w14:paraId="4E7B8395" w14:textId="77777777" w:rsidR="00707210" w:rsidRPr="004B33BC" w:rsidRDefault="00707210" w:rsidP="004B33BC">
      <w:pPr>
        <w:spacing w:line="240" w:lineRule="auto"/>
        <w:jc w:val="both"/>
      </w:pPr>
      <w:bookmarkStart w:id="22" w:name="_Hlk216979253"/>
      <w:proofErr w:type="spellStart"/>
      <w:r w:rsidRPr="004B33BC">
        <w:t>Korstjens</w:t>
      </w:r>
      <w:proofErr w:type="spellEnd"/>
      <w:r w:rsidRPr="004B33BC">
        <w:t>, I., &amp; Moser, A. (2017).</w:t>
      </w:r>
      <w:bookmarkEnd w:id="22"/>
      <w:r w:rsidRPr="004B33BC">
        <w:t xml:space="preserve"> Series: Practical guidance to qualitative research. </w:t>
      </w:r>
      <w:proofErr w:type="gramStart"/>
      <w:r w:rsidRPr="004B33BC">
        <w:t>part</w:t>
      </w:r>
      <w:proofErr w:type="gramEnd"/>
      <w:r w:rsidRPr="004B33BC">
        <w:t xml:space="preserve"> 4: Trustworthiness and publishing. </w:t>
      </w:r>
      <w:r w:rsidRPr="004B33BC">
        <w:rPr>
          <w:i/>
          <w:iCs/>
        </w:rPr>
        <w:t>European Journal of General Practice</w:t>
      </w:r>
      <w:r w:rsidRPr="004B33BC">
        <w:t xml:space="preserve">, </w:t>
      </w:r>
      <w:r w:rsidRPr="004B33BC">
        <w:rPr>
          <w:i/>
          <w:iCs/>
        </w:rPr>
        <w:t>24</w:t>
      </w:r>
      <w:r w:rsidRPr="004B33BC">
        <w:t xml:space="preserve">(1), 120–124. </w:t>
      </w:r>
      <w:hyperlink r:id="rId95" w:history="1">
        <w:r w:rsidRPr="004B33BC">
          <w:rPr>
            <w:rStyle w:val="Hyperlink"/>
          </w:rPr>
          <w:t>https://doi.org/10.1080/13814788.2017.1375092</w:t>
        </w:r>
      </w:hyperlink>
    </w:p>
    <w:p w14:paraId="7373C80A" w14:textId="0DE92208" w:rsidR="00707210" w:rsidRPr="004B33BC" w:rsidRDefault="00707210" w:rsidP="004B33BC">
      <w:pPr>
        <w:spacing w:line="240" w:lineRule="auto"/>
        <w:jc w:val="both"/>
      </w:pPr>
      <w:r w:rsidRPr="004B33BC">
        <w:t xml:space="preserve">Križan, V. (2025). On the </w:t>
      </w:r>
      <w:r w:rsidR="00D961F9">
        <w:t>EU</w:t>
      </w:r>
      <w:r w:rsidRPr="004B33BC">
        <w:t xml:space="preserve"> directive no.2023/970 on the transparency of remuneration and enforcement mechanisms and its implementation challenges into the legal order of the </w:t>
      </w:r>
      <w:r w:rsidR="00D961F9">
        <w:t>S</w:t>
      </w:r>
      <w:r w:rsidRPr="004B33BC">
        <w:t xml:space="preserve">lovak </w:t>
      </w:r>
      <w:r w:rsidR="00D961F9">
        <w:t>R</w:t>
      </w:r>
      <w:r w:rsidRPr="004B33BC">
        <w:t xml:space="preserve">epublic. </w:t>
      </w:r>
      <w:proofErr w:type="spellStart"/>
      <w:r w:rsidRPr="004B33BC">
        <w:rPr>
          <w:i/>
          <w:iCs/>
        </w:rPr>
        <w:t>Radca</w:t>
      </w:r>
      <w:proofErr w:type="spellEnd"/>
      <w:r w:rsidRPr="004B33BC">
        <w:rPr>
          <w:i/>
          <w:iCs/>
        </w:rPr>
        <w:t xml:space="preserve"> Prawny</w:t>
      </w:r>
      <w:r w:rsidRPr="004B33BC">
        <w:t xml:space="preserve">, </w:t>
      </w:r>
      <w:r w:rsidRPr="004B33BC">
        <w:rPr>
          <w:i/>
          <w:iCs/>
        </w:rPr>
        <w:t>4</w:t>
      </w:r>
      <w:r w:rsidRPr="004B33BC">
        <w:t xml:space="preserve">(41), 11–21. </w:t>
      </w:r>
      <w:hyperlink r:id="rId96" w:history="1">
        <w:r w:rsidRPr="004B33BC">
          <w:rPr>
            <w:rStyle w:val="Hyperlink"/>
          </w:rPr>
          <w:t>https://doi.org/10.4467/23921943rp.24.037.21189</w:t>
        </w:r>
      </w:hyperlink>
    </w:p>
    <w:p w14:paraId="08F58CA2" w14:textId="07CD5956" w:rsidR="00707210" w:rsidRPr="004B33BC" w:rsidRDefault="00707210" w:rsidP="004B33BC">
      <w:pPr>
        <w:spacing w:line="240" w:lineRule="auto"/>
        <w:jc w:val="both"/>
      </w:pPr>
      <w:proofErr w:type="spellStart"/>
      <w:r w:rsidRPr="004B33BC">
        <w:t>Lahuerta</w:t>
      </w:r>
      <w:proofErr w:type="spellEnd"/>
      <w:r w:rsidRPr="004B33BC">
        <w:t xml:space="preserve">, S. B. (2022). Comparing pay transparency measures to tackle the gender pay gap: Best practices and challenges in </w:t>
      </w:r>
      <w:r w:rsidR="00D961F9">
        <w:t>Belgium, Denmark and</w:t>
      </w:r>
      <w:r w:rsidRPr="004B33BC">
        <w:t xml:space="preserve"> </w:t>
      </w:r>
      <w:r w:rsidR="00D961F9">
        <w:t>Iceland</w:t>
      </w:r>
      <w:r w:rsidRPr="004B33BC">
        <w:t xml:space="preserve">. </w:t>
      </w:r>
      <w:r w:rsidRPr="004B33BC">
        <w:rPr>
          <w:i/>
          <w:iCs/>
        </w:rPr>
        <w:t>SSRN Electronic Journal</w:t>
      </w:r>
      <w:r w:rsidRPr="004B33BC">
        <w:t xml:space="preserve">. </w:t>
      </w:r>
      <w:hyperlink r:id="rId97" w:history="1">
        <w:r w:rsidRPr="004B33BC">
          <w:rPr>
            <w:rStyle w:val="Hyperlink"/>
          </w:rPr>
          <w:t>https://doi.org/10.2139/ssrn.4111185</w:t>
        </w:r>
      </w:hyperlink>
    </w:p>
    <w:p w14:paraId="4F20CD2F" w14:textId="77777777" w:rsidR="00707210" w:rsidRPr="004B33BC" w:rsidRDefault="00707210" w:rsidP="004B33BC">
      <w:pPr>
        <w:spacing w:line="240" w:lineRule="auto"/>
        <w:jc w:val="both"/>
      </w:pPr>
      <w:proofErr w:type="spellStart"/>
      <w:r w:rsidRPr="004B33BC">
        <w:lastRenderedPageBreak/>
        <w:t>Lahuerta</w:t>
      </w:r>
      <w:proofErr w:type="spellEnd"/>
      <w:r w:rsidRPr="004B33BC">
        <w:t xml:space="preserve">, S. B., Miller, K., &amp; Carlson, L. (2024). Introduction. pay inequity: Old problems, new solutions? </w:t>
      </w:r>
      <w:r w:rsidRPr="004B33BC">
        <w:rPr>
          <w:i/>
          <w:iCs/>
        </w:rPr>
        <w:t>SSRN Electronic Journal</w:t>
      </w:r>
      <w:r w:rsidRPr="004B33BC">
        <w:t xml:space="preserve">, 1–23. </w:t>
      </w:r>
      <w:hyperlink r:id="rId98" w:history="1">
        <w:r w:rsidRPr="004B33BC">
          <w:rPr>
            <w:rStyle w:val="Hyperlink"/>
          </w:rPr>
          <w:t>https://doi.org/10.2139/ssrn.4822419</w:t>
        </w:r>
      </w:hyperlink>
    </w:p>
    <w:p w14:paraId="386C75F7" w14:textId="77777777" w:rsidR="00707210" w:rsidRPr="004B33BC" w:rsidRDefault="00707210" w:rsidP="004B33BC">
      <w:pPr>
        <w:spacing w:line="240" w:lineRule="auto"/>
        <w:jc w:val="both"/>
      </w:pPr>
      <w:r w:rsidRPr="004B33BC">
        <w:t xml:space="preserve">Lalitha, P. S., Showkat, S., Kumar, V. S., &amp; </w:t>
      </w:r>
      <w:proofErr w:type="spellStart"/>
      <w:r w:rsidRPr="004B33BC">
        <w:t>Datrika</w:t>
      </w:r>
      <w:proofErr w:type="spellEnd"/>
      <w:r w:rsidRPr="004B33BC">
        <w:t xml:space="preserve">, V. (2025). Harnessing artificial intelligence in business: An integrated framework for </w:t>
      </w:r>
      <w:proofErr w:type="spellStart"/>
      <w:r w:rsidRPr="004B33BC">
        <w:t>hr</w:t>
      </w:r>
      <w:proofErr w:type="spellEnd"/>
      <w:r w:rsidRPr="004B33BC">
        <w:t xml:space="preserve"> analytics, marketing optimization, and financial intelligence. </w:t>
      </w:r>
      <w:r w:rsidRPr="004B33BC">
        <w:rPr>
          <w:i/>
          <w:iCs/>
        </w:rPr>
        <w:t>Journal of Information Systems Engineering and Management</w:t>
      </w:r>
      <w:r w:rsidRPr="004B33BC">
        <w:t xml:space="preserve">, </w:t>
      </w:r>
      <w:r w:rsidRPr="004B33BC">
        <w:rPr>
          <w:i/>
          <w:iCs/>
        </w:rPr>
        <w:t>10</w:t>
      </w:r>
      <w:r w:rsidRPr="004B33BC">
        <w:t xml:space="preserve">(44s), 129–140. </w:t>
      </w:r>
      <w:hyperlink r:id="rId99" w:history="1">
        <w:r w:rsidRPr="004B33BC">
          <w:rPr>
            <w:rStyle w:val="Hyperlink"/>
          </w:rPr>
          <w:t>https://doi.org/10.52783/jisem.v10i44s.8576</w:t>
        </w:r>
      </w:hyperlink>
    </w:p>
    <w:p w14:paraId="33F6622B" w14:textId="77777777" w:rsidR="00707210" w:rsidRPr="004B33BC" w:rsidRDefault="00707210" w:rsidP="004B33BC">
      <w:pPr>
        <w:spacing w:line="240" w:lineRule="auto"/>
        <w:jc w:val="both"/>
      </w:pPr>
      <w:bookmarkStart w:id="23" w:name="_Hlk216873007"/>
      <w:r w:rsidRPr="004B33BC">
        <w:t>Lee, G., &amp; Xia, W. (2006</w:t>
      </w:r>
      <w:bookmarkEnd w:id="23"/>
      <w:r w:rsidRPr="004B33BC">
        <w:t xml:space="preserve">). Organizational size and </w:t>
      </w:r>
      <w:proofErr w:type="gramStart"/>
      <w:r w:rsidRPr="004B33BC">
        <w:t>it</w:t>
      </w:r>
      <w:proofErr w:type="gramEnd"/>
      <w:r w:rsidRPr="004B33BC">
        <w:t xml:space="preserve"> innovation adoption: A meta-analysis. </w:t>
      </w:r>
      <w:r w:rsidRPr="004B33BC">
        <w:rPr>
          <w:i/>
          <w:iCs/>
        </w:rPr>
        <w:t>Information &amp; Management</w:t>
      </w:r>
      <w:r w:rsidRPr="004B33BC">
        <w:t xml:space="preserve">, </w:t>
      </w:r>
      <w:r w:rsidRPr="004B33BC">
        <w:rPr>
          <w:i/>
          <w:iCs/>
        </w:rPr>
        <w:t>43</w:t>
      </w:r>
      <w:r w:rsidRPr="004B33BC">
        <w:t xml:space="preserve">(8), 975–985. </w:t>
      </w:r>
      <w:hyperlink r:id="rId100" w:history="1">
        <w:r w:rsidRPr="004B33BC">
          <w:rPr>
            <w:rStyle w:val="Hyperlink"/>
          </w:rPr>
          <w:t>https://doi.org/10.1016/j.im.2006.09.003</w:t>
        </w:r>
      </w:hyperlink>
    </w:p>
    <w:p w14:paraId="0E20D282" w14:textId="634E5081" w:rsidR="00707210" w:rsidRPr="004B33BC" w:rsidRDefault="00707210" w:rsidP="004B33BC">
      <w:pPr>
        <w:spacing w:line="240" w:lineRule="auto"/>
        <w:jc w:val="both"/>
      </w:pPr>
      <w:proofErr w:type="spellStart"/>
      <w:r w:rsidRPr="004B33BC">
        <w:t>Lewlomphaisarl</w:t>
      </w:r>
      <w:proofErr w:type="spellEnd"/>
      <w:r w:rsidRPr="004B33BC">
        <w:t xml:space="preserve">, U., </w:t>
      </w:r>
      <w:proofErr w:type="spellStart"/>
      <w:r w:rsidRPr="004B33BC">
        <w:t>Pungjitwisut</w:t>
      </w:r>
      <w:proofErr w:type="spellEnd"/>
      <w:r w:rsidRPr="004B33BC">
        <w:t xml:space="preserve">, U., </w:t>
      </w:r>
      <w:proofErr w:type="spellStart"/>
      <w:r w:rsidRPr="004B33BC">
        <w:t>Pullpol</w:t>
      </w:r>
      <w:proofErr w:type="spellEnd"/>
      <w:r w:rsidRPr="004B33BC">
        <w:t xml:space="preserve">, W., </w:t>
      </w:r>
      <w:proofErr w:type="spellStart"/>
      <w:r w:rsidRPr="004B33BC">
        <w:t>Suksomboon</w:t>
      </w:r>
      <w:proofErr w:type="spellEnd"/>
      <w:r w:rsidRPr="004B33BC">
        <w:t xml:space="preserve">, K., &amp; </w:t>
      </w:r>
      <w:proofErr w:type="spellStart"/>
      <w:r w:rsidRPr="004B33BC">
        <w:t>Dowrueng</w:t>
      </w:r>
      <w:proofErr w:type="spellEnd"/>
      <w:r w:rsidRPr="004B33BC">
        <w:t xml:space="preserve">, A. (2023, July 23). </w:t>
      </w:r>
      <w:r w:rsidRPr="004B33BC">
        <w:rPr>
          <w:i/>
          <w:iCs/>
        </w:rPr>
        <w:t xml:space="preserve">Synergy analysis of industrial, research and university training centers collaboration: A case study in </w:t>
      </w:r>
      <w:r w:rsidR="00D961F9">
        <w:rPr>
          <w:i/>
          <w:iCs/>
        </w:rPr>
        <w:t>T</w:t>
      </w:r>
      <w:r w:rsidRPr="004B33BC">
        <w:rPr>
          <w:i/>
          <w:iCs/>
        </w:rPr>
        <w:t>hailand's eastern economic corridor</w:t>
      </w:r>
      <w:r w:rsidRPr="004B33BC">
        <w:t xml:space="preserve">. 2023 Portland International Conference on Management of Engineering and Technology (PICMET), Monterrey, Mexico. </w:t>
      </w:r>
      <w:hyperlink r:id="rId101" w:history="1">
        <w:r w:rsidRPr="004B33BC">
          <w:rPr>
            <w:rStyle w:val="Hyperlink"/>
          </w:rPr>
          <w:t>https://doi.org/10.23919/PICMET59654.2023.10216866</w:t>
        </w:r>
      </w:hyperlink>
    </w:p>
    <w:p w14:paraId="1C387243" w14:textId="77777777" w:rsidR="00707210" w:rsidRPr="00911C13" w:rsidRDefault="00707210" w:rsidP="00911C13">
      <w:pPr>
        <w:spacing w:line="240" w:lineRule="auto"/>
        <w:jc w:val="both"/>
      </w:pPr>
      <w:r w:rsidRPr="00911C13">
        <w:t xml:space="preserve">Li, K. (2024). Unveiling the Dynamics of Human Capital Valuation: Insights from Human Resource Accounting. </w:t>
      </w:r>
      <w:r w:rsidRPr="00911C13">
        <w:rPr>
          <w:i/>
          <w:iCs/>
        </w:rPr>
        <w:t>Pacific International Journal</w:t>
      </w:r>
      <w:r w:rsidRPr="00911C13">
        <w:t xml:space="preserve">, 7(2), 2616-4825. </w:t>
      </w:r>
      <w:hyperlink r:id="rId102" w:history="1">
        <w:r w:rsidRPr="00911C13">
          <w:rPr>
            <w:rStyle w:val="Hyperlink"/>
          </w:rPr>
          <w:t>https://doi.org/10.55014/pij.v7i2.224</w:t>
        </w:r>
      </w:hyperlink>
    </w:p>
    <w:p w14:paraId="3C842E2F" w14:textId="77777777" w:rsidR="00707210" w:rsidRPr="004B33BC" w:rsidRDefault="00707210" w:rsidP="004B33BC">
      <w:pPr>
        <w:spacing w:line="240" w:lineRule="auto"/>
        <w:jc w:val="both"/>
      </w:pPr>
      <w:r w:rsidRPr="004B33BC">
        <w:t xml:space="preserve">Li, Q., Lourie, B., Nekrasov, A., &amp; Shevlin, T. (2021). Employee turnover and firm performance: Large-sample archival evidence. </w:t>
      </w:r>
      <w:r w:rsidRPr="004B33BC">
        <w:rPr>
          <w:i/>
          <w:iCs/>
        </w:rPr>
        <w:t>Management Science</w:t>
      </w:r>
      <w:r w:rsidRPr="004B33BC">
        <w:t xml:space="preserve">, </w:t>
      </w:r>
      <w:r w:rsidRPr="004B33BC">
        <w:rPr>
          <w:i/>
          <w:iCs/>
        </w:rPr>
        <w:t>68</w:t>
      </w:r>
      <w:r w:rsidRPr="004B33BC">
        <w:t xml:space="preserve">(8), 5667–5683. </w:t>
      </w:r>
      <w:hyperlink r:id="rId103" w:history="1">
        <w:r w:rsidRPr="004B33BC">
          <w:rPr>
            <w:rStyle w:val="Hyperlink"/>
          </w:rPr>
          <w:t>https://doi.org/10.1287/mnsc.2021.4199</w:t>
        </w:r>
      </w:hyperlink>
    </w:p>
    <w:p w14:paraId="35ECA39B" w14:textId="77777777" w:rsidR="00707210" w:rsidRPr="004B33BC" w:rsidRDefault="00707210" w:rsidP="004B33BC">
      <w:pPr>
        <w:spacing w:line="240" w:lineRule="auto"/>
        <w:jc w:val="both"/>
      </w:pPr>
      <w:r w:rsidRPr="004B33BC">
        <w:rPr>
          <w:lang w:val="de-DE"/>
        </w:rPr>
        <w:t xml:space="preserve">Lin, L., Huang, I., Du, P., &amp; Lin, T. (2012). </w:t>
      </w:r>
      <w:r w:rsidRPr="004B33BC">
        <w:t xml:space="preserve">Human capital disclosure and organizational performance. </w:t>
      </w:r>
      <w:r w:rsidRPr="004B33BC">
        <w:rPr>
          <w:i/>
          <w:iCs/>
        </w:rPr>
        <w:t>Management Decision</w:t>
      </w:r>
      <w:r w:rsidRPr="004B33BC">
        <w:t xml:space="preserve">, </w:t>
      </w:r>
      <w:r w:rsidRPr="004B33BC">
        <w:rPr>
          <w:i/>
          <w:iCs/>
        </w:rPr>
        <w:t>50</w:t>
      </w:r>
      <w:r w:rsidRPr="004B33BC">
        <w:t xml:space="preserve">(10), 1790–1799. </w:t>
      </w:r>
      <w:hyperlink r:id="rId104" w:history="1">
        <w:r w:rsidRPr="004B33BC">
          <w:rPr>
            <w:rStyle w:val="Hyperlink"/>
          </w:rPr>
          <w:t>https://doi.org/10.1108/00251741211279602</w:t>
        </w:r>
      </w:hyperlink>
    </w:p>
    <w:p w14:paraId="524D45AD" w14:textId="77777777" w:rsidR="00707210" w:rsidRPr="004B33BC" w:rsidRDefault="00707210" w:rsidP="004B33BC">
      <w:pPr>
        <w:spacing w:line="240" w:lineRule="auto"/>
        <w:jc w:val="both"/>
      </w:pPr>
      <w:r w:rsidRPr="004B33BC">
        <w:t xml:space="preserve">Lindell, M. K., &amp; Whitney, D. J. (2001). Accounting for common method variance in cross-sectional research designs. </w:t>
      </w:r>
      <w:r w:rsidRPr="004B33BC">
        <w:rPr>
          <w:i/>
          <w:iCs/>
        </w:rPr>
        <w:t>Journal of Applied Psychology</w:t>
      </w:r>
      <w:r w:rsidRPr="004B33BC">
        <w:t xml:space="preserve">, </w:t>
      </w:r>
      <w:r w:rsidRPr="004B33BC">
        <w:rPr>
          <w:i/>
          <w:iCs/>
        </w:rPr>
        <w:t>86</w:t>
      </w:r>
      <w:r w:rsidRPr="004B33BC">
        <w:t xml:space="preserve">(1), 114–121. </w:t>
      </w:r>
      <w:hyperlink r:id="rId105" w:history="1">
        <w:r w:rsidRPr="004B33BC">
          <w:rPr>
            <w:rStyle w:val="Hyperlink"/>
          </w:rPr>
          <w:t>https://doi.org/10.1037/0021-9010.86.1.114</w:t>
        </w:r>
      </w:hyperlink>
    </w:p>
    <w:p w14:paraId="7976EBEA" w14:textId="562E09CC" w:rsidR="00707210" w:rsidRPr="004B33BC" w:rsidRDefault="00707210" w:rsidP="004B33BC">
      <w:pPr>
        <w:spacing w:line="240" w:lineRule="auto"/>
        <w:jc w:val="both"/>
      </w:pPr>
      <w:bookmarkStart w:id="24" w:name="_Hlk216964688"/>
      <w:r w:rsidRPr="004B33BC">
        <w:rPr>
          <w:lang w:val="de-DE"/>
        </w:rPr>
        <w:t>Lindner, J. R., &amp; Lindner, N. (2024</w:t>
      </w:r>
      <w:bookmarkEnd w:id="24"/>
      <w:r w:rsidRPr="004B33BC">
        <w:rPr>
          <w:lang w:val="de-DE"/>
        </w:rPr>
        <w:t xml:space="preserve">). </w:t>
      </w:r>
      <w:r w:rsidRPr="004B33BC">
        <w:t xml:space="preserve">Interpreting </w:t>
      </w:r>
      <w:r w:rsidR="00D961F9">
        <w:t>Likert-</w:t>
      </w:r>
      <w:r w:rsidRPr="004B33BC">
        <w:t xml:space="preserve">type, summated, unidimensional, and attitudinal scales: I neither agree nor disagree, </w:t>
      </w:r>
      <w:r w:rsidR="00D961F9">
        <w:t>L</w:t>
      </w:r>
      <w:r w:rsidRPr="004B33BC">
        <w:t xml:space="preserve">ikert or not. </w:t>
      </w:r>
      <w:r w:rsidRPr="004B33BC">
        <w:rPr>
          <w:i/>
          <w:iCs/>
        </w:rPr>
        <w:t>Advancements in Agricultural Development</w:t>
      </w:r>
      <w:r w:rsidRPr="004B33BC">
        <w:t xml:space="preserve">, </w:t>
      </w:r>
      <w:r w:rsidRPr="004B33BC">
        <w:rPr>
          <w:i/>
          <w:iCs/>
        </w:rPr>
        <w:t>5</w:t>
      </w:r>
      <w:r w:rsidRPr="004B33BC">
        <w:t xml:space="preserve">(2), 152–163. </w:t>
      </w:r>
      <w:hyperlink r:id="rId106" w:history="1">
        <w:r w:rsidRPr="004B33BC">
          <w:rPr>
            <w:rStyle w:val="Hyperlink"/>
          </w:rPr>
          <w:t>https://doi.org/10.37433/aad.v5i2.351</w:t>
        </w:r>
      </w:hyperlink>
    </w:p>
    <w:p w14:paraId="624569B1" w14:textId="77777777" w:rsidR="00707210" w:rsidRPr="004B33BC" w:rsidRDefault="00707210" w:rsidP="004B33BC">
      <w:pPr>
        <w:spacing w:line="240" w:lineRule="auto"/>
        <w:jc w:val="both"/>
      </w:pPr>
      <w:r w:rsidRPr="004B33BC">
        <w:t xml:space="preserve">Livingston, E. H. (2012, February 1). Minimum response rates for survey research. </w:t>
      </w:r>
      <w:r w:rsidRPr="004B33BC">
        <w:rPr>
          <w:i/>
          <w:iCs/>
        </w:rPr>
        <w:t>Archives of Surgery</w:t>
      </w:r>
      <w:r w:rsidRPr="004B33BC">
        <w:t xml:space="preserve">, </w:t>
      </w:r>
      <w:r w:rsidRPr="004B33BC">
        <w:rPr>
          <w:i/>
          <w:iCs/>
        </w:rPr>
        <w:t>147</w:t>
      </w:r>
      <w:r w:rsidRPr="004B33BC">
        <w:t xml:space="preserve">(2), 110. </w:t>
      </w:r>
      <w:hyperlink r:id="rId107" w:history="1">
        <w:r w:rsidRPr="004B33BC">
          <w:rPr>
            <w:rStyle w:val="Hyperlink"/>
          </w:rPr>
          <w:t>https://doi.org/10.1001/archsurg.2011.2169</w:t>
        </w:r>
      </w:hyperlink>
    </w:p>
    <w:p w14:paraId="1BF4848B" w14:textId="77777777" w:rsidR="00707210" w:rsidRPr="004B33BC" w:rsidRDefault="00707210" w:rsidP="004B33BC">
      <w:pPr>
        <w:spacing w:line="240" w:lineRule="auto"/>
        <w:jc w:val="both"/>
      </w:pPr>
      <w:r w:rsidRPr="004B33BC">
        <w:t xml:space="preserve">López-Morales, B., Gutierrez, L., Llorens-Montes, F., &amp; Rojo-Gallego-Burin, A. (2022). Enhancing supply chain competences through supply chain digital embeddedness: An institutional view. </w:t>
      </w:r>
      <w:r w:rsidRPr="004B33BC">
        <w:rPr>
          <w:i/>
          <w:iCs/>
        </w:rPr>
        <w:t>Journal of Business &amp; Industrial Marketing</w:t>
      </w:r>
      <w:r w:rsidRPr="004B33BC">
        <w:t xml:space="preserve">, </w:t>
      </w:r>
      <w:r w:rsidRPr="004B33BC">
        <w:rPr>
          <w:i/>
          <w:iCs/>
        </w:rPr>
        <w:t>38</w:t>
      </w:r>
      <w:r w:rsidRPr="004B33BC">
        <w:t xml:space="preserve">(3), 533–552. </w:t>
      </w:r>
      <w:hyperlink r:id="rId108" w:history="1">
        <w:r w:rsidRPr="004B33BC">
          <w:rPr>
            <w:rStyle w:val="Hyperlink"/>
          </w:rPr>
          <w:t>https://doi.org/10.1108/jbim-07-2021-0354</w:t>
        </w:r>
      </w:hyperlink>
    </w:p>
    <w:p w14:paraId="0E8D88CA" w14:textId="77777777" w:rsidR="00707210" w:rsidRPr="004B33BC" w:rsidRDefault="00707210" w:rsidP="004B33BC">
      <w:pPr>
        <w:spacing w:line="240" w:lineRule="auto"/>
        <w:jc w:val="both"/>
      </w:pPr>
      <w:r w:rsidRPr="004B33BC">
        <w:t xml:space="preserve">Luo, Y. (2013). Executive compensation and corporate governance in emerging markets: </w:t>
      </w:r>
      <w:proofErr w:type="gramStart"/>
      <w:r w:rsidRPr="004B33BC">
        <w:t>The theoretical</w:t>
      </w:r>
      <w:proofErr w:type="gramEnd"/>
      <w:r w:rsidRPr="004B33BC">
        <w:t xml:space="preserve"> framework and recent developments. </w:t>
      </w:r>
      <w:r w:rsidRPr="004B33BC">
        <w:rPr>
          <w:i/>
          <w:iCs/>
        </w:rPr>
        <w:t>SSRN Electronic Journal</w:t>
      </w:r>
      <w:r w:rsidRPr="004B33BC">
        <w:t xml:space="preserve">, 499–531. </w:t>
      </w:r>
      <w:hyperlink r:id="rId109" w:history="1">
        <w:r w:rsidRPr="004B33BC">
          <w:rPr>
            <w:rStyle w:val="Hyperlink"/>
          </w:rPr>
          <w:t>https://doi.org/10.2139/ssrn.2245223</w:t>
        </w:r>
      </w:hyperlink>
    </w:p>
    <w:p w14:paraId="66C55B03" w14:textId="4B2FDA1A" w:rsidR="00707210" w:rsidRPr="004B33BC" w:rsidRDefault="00707210" w:rsidP="004B33BC">
      <w:pPr>
        <w:spacing w:line="240" w:lineRule="auto"/>
        <w:jc w:val="both"/>
      </w:pPr>
      <w:r w:rsidRPr="004B33BC">
        <w:rPr>
          <w:lang w:val="de-DE"/>
        </w:rPr>
        <w:t xml:space="preserve">Luthia, M., Bindra, S., &amp; Padhi, A. (2025). </w:t>
      </w:r>
      <w:r w:rsidRPr="004B33BC">
        <w:t xml:space="preserve">Evolution of human resource accounting research: A bibliometric analysis and </w:t>
      </w:r>
      <w:r w:rsidR="00D961F9">
        <w:t>TCCM</w:t>
      </w:r>
      <w:r w:rsidRPr="004B33BC">
        <w:t xml:space="preserve"> framework analysis of three decades (1995–2024). </w:t>
      </w:r>
      <w:r w:rsidRPr="004B33BC">
        <w:rPr>
          <w:i/>
          <w:iCs/>
        </w:rPr>
        <w:t>Global Knowledge, Memory and Communication</w:t>
      </w:r>
      <w:r w:rsidRPr="004B33BC">
        <w:t xml:space="preserve">. </w:t>
      </w:r>
      <w:hyperlink r:id="rId110" w:history="1">
        <w:r w:rsidRPr="004B33BC">
          <w:rPr>
            <w:rStyle w:val="Hyperlink"/>
          </w:rPr>
          <w:t>https://doi.org/10.1108/gkmc-12-2024-0890</w:t>
        </w:r>
      </w:hyperlink>
    </w:p>
    <w:p w14:paraId="3C4173AF" w14:textId="6FFCC453" w:rsidR="00707210" w:rsidRPr="004B33BC" w:rsidRDefault="00707210" w:rsidP="004B33BC">
      <w:pPr>
        <w:spacing w:line="240" w:lineRule="auto"/>
        <w:jc w:val="both"/>
      </w:pPr>
      <w:bookmarkStart w:id="25" w:name="_Hlk216705068"/>
      <w:r w:rsidRPr="004B33BC">
        <w:lastRenderedPageBreak/>
        <w:t>Lyons, E., &amp; Zhang, L. (2023</w:t>
      </w:r>
      <w:bookmarkEnd w:id="25"/>
      <w:r w:rsidRPr="004B33BC">
        <w:t xml:space="preserve">). Salary transparency and gender pay inequality: Evidence from </w:t>
      </w:r>
      <w:r w:rsidR="00D961F9">
        <w:t>C</w:t>
      </w:r>
      <w:r w:rsidRPr="004B33BC">
        <w:t xml:space="preserve">anadian universities. </w:t>
      </w:r>
      <w:r w:rsidRPr="004B33BC">
        <w:rPr>
          <w:i/>
          <w:iCs/>
        </w:rPr>
        <w:t>Strategic Management Journal</w:t>
      </w:r>
      <w:r w:rsidRPr="004B33BC">
        <w:t xml:space="preserve">, </w:t>
      </w:r>
      <w:r w:rsidRPr="004B33BC">
        <w:rPr>
          <w:i/>
          <w:iCs/>
        </w:rPr>
        <w:t>44</w:t>
      </w:r>
      <w:r w:rsidRPr="004B33BC">
        <w:t xml:space="preserve">(8), 2005–2034. </w:t>
      </w:r>
      <w:hyperlink r:id="rId111" w:history="1">
        <w:r w:rsidRPr="004B33BC">
          <w:rPr>
            <w:rStyle w:val="Hyperlink"/>
          </w:rPr>
          <w:t>https://doi.org/10.1002/smj.3483</w:t>
        </w:r>
      </w:hyperlink>
    </w:p>
    <w:p w14:paraId="35FFC223" w14:textId="77777777" w:rsidR="00707210" w:rsidRPr="004B33BC" w:rsidRDefault="00707210" w:rsidP="004B33BC">
      <w:pPr>
        <w:spacing w:line="240" w:lineRule="auto"/>
        <w:jc w:val="both"/>
      </w:pPr>
      <w:r w:rsidRPr="004B33BC">
        <w:rPr>
          <w:lang w:val="de-DE"/>
        </w:rPr>
        <w:t xml:space="preserve">MacKenzie, S. B., &amp; Podsakoff, P. M. (2012). </w:t>
      </w:r>
      <w:r w:rsidRPr="004B33BC">
        <w:t xml:space="preserve">Common method bias in marketing: Causes, mechanisms, and procedural remedies. </w:t>
      </w:r>
      <w:r w:rsidRPr="004B33BC">
        <w:rPr>
          <w:i/>
          <w:iCs/>
        </w:rPr>
        <w:t>Journal of Retailing</w:t>
      </w:r>
      <w:r w:rsidRPr="004B33BC">
        <w:t xml:space="preserve">, </w:t>
      </w:r>
      <w:r w:rsidRPr="004B33BC">
        <w:rPr>
          <w:i/>
          <w:iCs/>
        </w:rPr>
        <w:t>88</w:t>
      </w:r>
      <w:r w:rsidRPr="004B33BC">
        <w:t xml:space="preserve">(4), 542–555. </w:t>
      </w:r>
      <w:hyperlink r:id="rId112" w:history="1">
        <w:r w:rsidRPr="004B33BC">
          <w:rPr>
            <w:rStyle w:val="Hyperlink"/>
          </w:rPr>
          <w:t>https://doi.org/10.1016/j.jretai.2012.08.001</w:t>
        </w:r>
      </w:hyperlink>
    </w:p>
    <w:p w14:paraId="2FC79015" w14:textId="1F520F06" w:rsidR="00707210" w:rsidRPr="004B33BC" w:rsidRDefault="00707210" w:rsidP="004B33BC">
      <w:pPr>
        <w:spacing w:line="240" w:lineRule="auto"/>
        <w:jc w:val="both"/>
      </w:pPr>
      <w:r w:rsidRPr="004B33BC">
        <w:t xml:space="preserve">MacKenzie, S. B., Podsakoff, P. M., &amp; Podsakoff, N. P. (2011). Construct measurement and validation procedures in </w:t>
      </w:r>
      <w:r w:rsidR="00D961F9">
        <w:t>MIS</w:t>
      </w:r>
      <w:r w:rsidRPr="004B33BC">
        <w:t xml:space="preserve"> and behavioral research: Integrating new and existing techniques. </w:t>
      </w:r>
      <w:r w:rsidRPr="004B33BC">
        <w:rPr>
          <w:i/>
          <w:iCs/>
        </w:rPr>
        <w:t>MIS Quarterly</w:t>
      </w:r>
      <w:r w:rsidRPr="004B33BC">
        <w:t xml:space="preserve">, </w:t>
      </w:r>
      <w:r w:rsidRPr="004B33BC">
        <w:rPr>
          <w:i/>
          <w:iCs/>
        </w:rPr>
        <w:t>35</w:t>
      </w:r>
      <w:r w:rsidRPr="004B33BC">
        <w:t xml:space="preserve">(2), 293–A5. </w:t>
      </w:r>
      <w:hyperlink r:id="rId113" w:history="1">
        <w:r w:rsidRPr="004B33BC">
          <w:rPr>
            <w:rStyle w:val="Hyperlink"/>
          </w:rPr>
          <w:t>https://doi.org/10.2307/23044045</w:t>
        </w:r>
      </w:hyperlink>
    </w:p>
    <w:p w14:paraId="15EF4787" w14:textId="51BA95CA" w:rsidR="00707210" w:rsidRPr="004B33BC" w:rsidRDefault="00707210" w:rsidP="004B33BC">
      <w:pPr>
        <w:spacing w:line="240" w:lineRule="auto"/>
        <w:jc w:val="both"/>
      </w:pPr>
      <w:proofErr w:type="spellStart"/>
      <w:r w:rsidRPr="004B33BC">
        <w:t>Magau</w:t>
      </w:r>
      <w:proofErr w:type="spellEnd"/>
      <w:r w:rsidRPr="004B33BC">
        <w:t xml:space="preserve">, M. D. (2024). The effect of corporate governance attributes on human capital disclosure in </w:t>
      </w:r>
      <w:r w:rsidR="00D961F9">
        <w:t>South A</w:t>
      </w:r>
      <w:r w:rsidRPr="004B33BC">
        <w:t xml:space="preserve">frica. </w:t>
      </w:r>
      <w:r w:rsidRPr="004B33BC">
        <w:rPr>
          <w:i/>
          <w:iCs/>
        </w:rPr>
        <w:t>IJBE (Integrated Journal of Business and Economics)</w:t>
      </w:r>
      <w:r w:rsidRPr="004B33BC">
        <w:t xml:space="preserve">, </w:t>
      </w:r>
      <w:r w:rsidRPr="004B33BC">
        <w:rPr>
          <w:i/>
          <w:iCs/>
        </w:rPr>
        <w:t>8</w:t>
      </w:r>
      <w:r w:rsidRPr="004B33BC">
        <w:t xml:space="preserve">(3), 242. </w:t>
      </w:r>
      <w:hyperlink r:id="rId114" w:history="1">
        <w:r w:rsidRPr="004B33BC">
          <w:rPr>
            <w:rStyle w:val="Hyperlink"/>
          </w:rPr>
          <w:t>https://doi.org/10.33019/ijbe.v8i3.1025</w:t>
        </w:r>
      </w:hyperlink>
    </w:p>
    <w:p w14:paraId="1797CDFA" w14:textId="77777777" w:rsidR="00707210" w:rsidRPr="004B33BC" w:rsidRDefault="00707210" w:rsidP="004B33BC">
      <w:pPr>
        <w:spacing w:line="240" w:lineRule="auto"/>
        <w:jc w:val="both"/>
      </w:pPr>
      <w:r w:rsidRPr="004B33BC">
        <w:t xml:space="preserve">Maier, C., Thatcher, J., Grover, V., &amp; Dwivedi, Y. K. (2023). Cross-sectional research: A critical perspective, use cases, and recommendations for is research. </w:t>
      </w:r>
      <w:r w:rsidRPr="004B33BC">
        <w:rPr>
          <w:i/>
          <w:iCs/>
        </w:rPr>
        <w:t>International Journal of Information Management</w:t>
      </w:r>
      <w:r w:rsidRPr="004B33BC">
        <w:t xml:space="preserve">, </w:t>
      </w:r>
      <w:r w:rsidRPr="004B33BC">
        <w:rPr>
          <w:i/>
          <w:iCs/>
        </w:rPr>
        <w:t>70</w:t>
      </w:r>
      <w:r w:rsidRPr="004B33BC">
        <w:t xml:space="preserve">, 102625. </w:t>
      </w:r>
      <w:hyperlink r:id="rId115" w:history="1">
        <w:r w:rsidRPr="004B33BC">
          <w:rPr>
            <w:rStyle w:val="Hyperlink"/>
          </w:rPr>
          <w:t>https://doi.org/10.1016/j.ijinfomgt.2023.102625</w:t>
        </w:r>
      </w:hyperlink>
    </w:p>
    <w:p w14:paraId="35C5B1AF" w14:textId="77777777" w:rsidR="00707210" w:rsidRPr="004B33BC" w:rsidRDefault="00707210" w:rsidP="004B33BC">
      <w:pPr>
        <w:spacing w:line="240" w:lineRule="auto"/>
        <w:jc w:val="both"/>
      </w:pPr>
      <w:r w:rsidRPr="004B33BC">
        <w:t xml:space="preserve">Majdi, S., Saleh, N., Abdullah, M., &amp; Alias, N. (2023). Stakeholder power and sustainability disclosure: Stakeholder salience perspective. </w:t>
      </w:r>
      <w:r w:rsidRPr="004B33BC">
        <w:rPr>
          <w:i/>
          <w:iCs/>
        </w:rPr>
        <w:t xml:space="preserve">The </w:t>
      </w:r>
      <w:proofErr w:type="gramStart"/>
      <w:r w:rsidRPr="004B33BC">
        <w:rPr>
          <w:i/>
          <w:iCs/>
        </w:rPr>
        <w:t>South East</w:t>
      </w:r>
      <w:proofErr w:type="gramEnd"/>
      <w:r w:rsidRPr="004B33BC">
        <w:rPr>
          <w:i/>
          <w:iCs/>
        </w:rPr>
        <w:t xml:space="preserve"> Asian Journal of Management</w:t>
      </w:r>
      <w:r w:rsidRPr="004B33BC">
        <w:t xml:space="preserve">, </w:t>
      </w:r>
      <w:r w:rsidRPr="004B33BC">
        <w:rPr>
          <w:i/>
          <w:iCs/>
        </w:rPr>
        <w:t>17</w:t>
      </w:r>
      <w:r w:rsidRPr="004B33BC">
        <w:t xml:space="preserve">(1), 28–48. </w:t>
      </w:r>
      <w:hyperlink r:id="rId116" w:history="1">
        <w:r w:rsidRPr="004B33BC">
          <w:rPr>
            <w:rStyle w:val="Hyperlink"/>
          </w:rPr>
          <w:t>https://doi.org/10.21002/seam.v17i1.1280</w:t>
        </w:r>
      </w:hyperlink>
    </w:p>
    <w:p w14:paraId="7C3E5373" w14:textId="77777777" w:rsidR="00707210" w:rsidRPr="004B33BC" w:rsidRDefault="00707210" w:rsidP="004B33BC">
      <w:pPr>
        <w:spacing w:line="240" w:lineRule="auto"/>
        <w:jc w:val="both"/>
      </w:pPr>
      <w:bookmarkStart w:id="26" w:name="_Hlk216760108"/>
      <w:r w:rsidRPr="004B33BC">
        <w:rPr>
          <w:lang w:val="de-DE"/>
        </w:rPr>
        <w:t>Malik, M. A., &amp; Musah, A. A. (2024</w:t>
      </w:r>
      <w:bookmarkEnd w:id="26"/>
      <w:r w:rsidRPr="004B33BC">
        <w:rPr>
          <w:lang w:val="de-DE"/>
        </w:rPr>
        <w:t xml:space="preserve">). </w:t>
      </w:r>
      <w:r w:rsidRPr="004B33BC">
        <w:t xml:space="preserve">A comprehensive review of the views and influence of generational differences on compensation and benefits. </w:t>
      </w:r>
      <w:r w:rsidRPr="004B33BC">
        <w:rPr>
          <w:i/>
          <w:iCs/>
        </w:rPr>
        <w:t>International Journal of Science and Research (IJSR)</w:t>
      </w:r>
      <w:r w:rsidRPr="004B33BC">
        <w:t xml:space="preserve">, </w:t>
      </w:r>
      <w:r w:rsidRPr="004B33BC">
        <w:rPr>
          <w:i/>
          <w:iCs/>
        </w:rPr>
        <w:t>13</w:t>
      </w:r>
      <w:r w:rsidRPr="004B33BC">
        <w:t xml:space="preserve">(5), 322–331. </w:t>
      </w:r>
      <w:hyperlink r:id="rId117" w:history="1">
        <w:r w:rsidRPr="004B33BC">
          <w:rPr>
            <w:rStyle w:val="Hyperlink"/>
          </w:rPr>
          <w:t>https://doi.org/10.21275/sr24505004835</w:t>
        </w:r>
      </w:hyperlink>
    </w:p>
    <w:p w14:paraId="7E144A8D" w14:textId="77777777" w:rsidR="00707210" w:rsidRPr="004B33BC" w:rsidRDefault="00707210" w:rsidP="004B33BC">
      <w:pPr>
        <w:spacing w:line="240" w:lineRule="auto"/>
        <w:jc w:val="both"/>
        <w:rPr>
          <w:lang w:val="de-DE"/>
        </w:rPr>
      </w:pPr>
      <w:r w:rsidRPr="004B33BC">
        <w:t xml:space="preserve">Marinov, M. A. (2017). Introduction: Marketing in emerging economies. In </w:t>
      </w:r>
      <w:r w:rsidRPr="004B33BC">
        <w:rPr>
          <w:i/>
          <w:iCs/>
        </w:rPr>
        <w:t>Research handbook of marketing in emerging economies</w:t>
      </w:r>
      <w:r w:rsidRPr="004B33BC">
        <w:t xml:space="preserve">. Edward Elgar Publishing. </w:t>
      </w:r>
      <w:hyperlink r:id="rId118" w:history="1">
        <w:r w:rsidRPr="004B33BC">
          <w:rPr>
            <w:rStyle w:val="Hyperlink"/>
            <w:lang w:val="de-DE"/>
          </w:rPr>
          <w:t>https://doi.org/10.4337/9781784713171.00007</w:t>
        </w:r>
      </w:hyperlink>
    </w:p>
    <w:p w14:paraId="6B7CF317" w14:textId="77777777" w:rsidR="00707210" w:rsidRPr="004B33BC" w:rsidRDefault="00707210" w:rsidP="004B33BC">
      <w:pPr>
        <w:spacing w:line="240" w:lineRule="auto"/>
        <w:jc w:val="both"/>
      </w:pPr>
      <w:r w:rsidRPr="004B33BC">
        <w:rPr>
          <w:lang w:val="de-DE"/>
        </w:rPr>
        <w:t xml:space="preserve">Markovitz, A. R., Goldstick, J. E., Levy, K., Cevallos, W., Mukherjee, B., Trostle, J. A., &amp; Eisenberg, J. S. (2012). </w:t>
      </w:r>
      <w:r w:rsidRPr="004B33BC">
        <w:t xml:space="preserve">Where science meets policy: Comparing longitudinal and cross-sectional designs to address </w:t>
      </w:r>
      <w:proofErr w:type="spellStart"/>
      <w:r w:rsidRPr="004B33BC">
        <w:t>diarrhoeal</w:t>
      </w:r>
      <w:proofErr w:type="spellEnd"/>
      <w:r w:rsidRPr="004B33BC">
        <w:t xml:space="preserve"> disease burden in the developing world. </w:t>
      </w:r>
      <w:r w:rsidRPr="004B33BC">
        <w:rPr>
          <w:i/>
          <w:iCs/>
        </w:rPr>
        <w:t>International Journal of Epidemiology</w:t>
      </w:r>
      <w:r w:rsidRPr="004B33BC">
        <w:t xml:space="preserve">, </w:t>
      </w:r>
      <w:r w:rsidRPr="004B33BC">
        <w:rPr>
          <w:i/>
          <w:iCs/>
        </w:rPr>
        <w:t>41</w:t>
      </w:r>
      <w:r w:rsidRPr="004B33BC">
        <w:t xml:space="preserve">(2), 504–513. </w:t>
      </w:r>
      <w:hyperlink r:id="rId119" w:history="1">
        <w:r w:rsidRPr="004B33BC">
          <w:rPr>
            <w:rStyle w:val="Hyperlink"/>
          </w:rPr>
          <w:t>https://doi.org/10.1093/ije/dyr194</w:t>
        </w:r>
      </w:hyperlink>
    </w:p>
    <w:p w14:paraId="33869A8A" w14:textId="77777777" w:rsidR="00707210" w:rsidRPr="004B33BC" w:rsidRDefault="00707210" w:rsidP="004B33BC">
      <w:pPr>
        <w:spacing w:line="240" w:lineRule="auto"/>
        <w:jc w:val="both"/>
      </w:pPr>
      <w:r w:rsidRPr="004B33BC">
        <w:t xml:space="preserve">Marler, J. H. (2024). Artificial intelligence, algorithms, and compensation strategy: Challenges and opportunities. </w:t>
      </w:r>
      <w:r w:rsidRPr="004B33BC">
        <w:rPr>
          <w:i/>
          <w:iCs/>
        </w:rPr>
        <w:t>Organizational Dynamics</w:t>
      </w:r>
      <w:r w:rsidRPr="004B33BC">
        <w:t xml:space="preserve">, </w:t>
      </w:r>
      <w:r w:rsidRPr="004B33BC">
        <w:rPr>
          <w:i/>
          <w:iCs/>
        </w:rPr>
        <w:t>53</w:t>
      </w:r>
      <w:r w:rsidRPr="004B33BC">
        <w:t xml:space="preserve">(1), 101039. </w:t>
      </w:r>
      <w:hyperlink r:id="rId120" w:history="1">
        <w:r w:rsidRPr="004B33BC">
          <w:rPr>
            <w:rStyle w:val="Hyperlink"/>
          </w:rPr>
          <w:t>https://doi.org/10.1016/j.orgdyn.2024.101039</w:t>
        </w:r>
      </w:hyperlink>
    </w:p>
    <w:p w14:paraId="286F724A" w14:textId="77777777" w:rsidR="00707210" w:rsidRPr="004B33BC" w:rsidRDefault="00707210" w:rsidP="004B33BC">
      <w:pPr>
        <w:spacing w:line="240" w:lineRule="auto"/>
        <w:jc w:val="both"/>
      </w:pPr>
      <w:bookmarkStart w:id="27" w:name="_Hlk216704408"/>
      <w:bookmarkStart w:id="28" w:name="_Hlk216760255"/>
      <w:r w:rsidRPr="004B33BC">
        <w:t>McMullen, T., &amp; Dahle, J. (2024</w:t>
      </w:r>
      <w:bookmarkEnd w:id="27"/>
      <w:r w:rsidRPr="004B33BC">
        <w:t>)</w:t>
      </w:r>
      <w:bookmarkEnd w:id="28"/>
      <w:r w:rsidRPr="004B33BC">
        <w:t xml:space="preserve">. Pay transparency causing major impacts in reward strategies: New research from reward leaders. </w:t>
      </w:r>
      <w:r w:rsidRPr="004B33BC">
        <w:rPr>
          <w:i/>
          <w:iCs/>
        </w:rPr>
        <w:t>Compensation &amp; Benefits Review</w:t>
      </w:r>
      <w:r w:rsidRPr="004B33BC">
        <w:t xml:space="preserve">, </w:t>
      </w:r>
      <w:r w:rsidRPr="004B33BC">
        <w:rPr>
          <w:i/>
          <w:iCs/>
        </w:rPr>
        <w:t>56</w:t>
      </w:r>
      <w:r w:rsidRPr="004B33BC">
        <w:t xml:space="preserve">(2), 76–82. </w:t>
      </w:r>
      <w:hyperlink r:id="rId121" w:history="1">
        <w:r w:rsidRPr="004B33BC">
          <w:rPr>
            <w:rStyle w:val="Hyperlink"/>
          </w:rPr>
          <w:t>https://doi.org/10.1177/08863687241234860</w:t>
        </w:r>
      </w:hyperlink>
    </w:p>
    <w:p w14:paraId="56804956" w14:textId="77777777" w:rsidR="00707210" w:rsidRPr="004B33BC" w:rsidRDefault="00707210" w:rsidP="004B33BC">
      <w:pPr>
        <w:spacing w:line="240" w:lineRule="auto"/>
        <w:jc w:val="both"/>
      </w:pPr>
      <w:r w:rsidRPr="004B33BC">
        <w:rPr>
          <w:lang w:val="de-DE"/>
        </w:rPr>
        <w:t xml:space="preserve">Mechta, A., Szeles, Z., &amp; Siklósi, Á. (2025). </w:t>
      </w:r>
      <w:r w:rsidRPr="004B33BC">
        <w:t xml:space="preserve">A critical review of non-financial disclosure measurement methods. </w:t>
      </w:r>
      <w:r w:rsidRPr="004B33BC">
        <w:rPr>
          <w:i/>
          <w:iCs/>
        </w:rPr>
        <w:t xml:space="preserve">Tér - </w:t>
      </w:r>
      <w:proofErr w:type="spellStart"/>
      <w:r w:rsidRPr="004B33BC">
        <w:rPr>
          <w:i/>
          <w:iCs/>
        </w:rPr>
        <w:t>Gazdaság</w:t>
      </w:r>
      <w:proofErr w:type="spellEnd"/>
      <w:r w:rsidRPr="004B33BC">
        <w:rPr>
          <w:i/>
          <w:iCs/>
        </w:rPr>
        <w:t xml:space="preserve"> - Ember/Journal of Region, Economy and Society</w:t>
      </w:r>
      <w:r w:rsidRPr="004B33BC">
        <w:t xml:space="preserve">, </w:t>
      </w:r>
      <w:r w:rsidRPr="004B33BC">
        <w:rPr>
          <w:i/>
          <w:iCs/>
        </w:rPr>
        <w:t>13</w:t>
      </w:r>
      <w:r w:rsidRPr="004B33BC">
        <w:t xml:space="preserve">(1). </w:t>
      </w:r>
      <w:hyperlink r:id="rId122" w:history="1">
        <w:r w:rsidRPr="004B33BC">
          <w:rPr>
            <w:rStyle w:val="Hyperlink"/>
          </w:rPr>
          <w:t>https://doi.org/10.14513/tge-jres.00415</w:t>
        </w:r>
      </w:hyperlink>
    </w:p>
    <w:p w14:paraId="128A5AE3" w14:textId="764FA295" w:rsidR="00707210" w:rsidRPr="004B33BC" w:rsidRDefault="00707210" w:rsidP="004B33BC">
      <w:pPr>
        <w:spacing w:line="240" w:lineRule="auto"/>
        <w:jc w:val="both"/>
      </w:pPr>
      <w:proofErr w:type="spellStart"/>
      <w:r w:rsidRPr="004B33BC">
        <w:t>Meenugu</w:t>
      </w:r>
      <w:proofErr w:type="spellEnd"/>
      <w:r w:rsidRPr="004B33BC">
        <w:t xml:space="preserve">, S. (2025a). The evolution of payroll automation: From manual calculations to </w:t>
      </w:r>
      <w:r w:rsidR="00D961F9">
        <w:t>AI</w:t>
      </w:r>
      <w:r w:rsidRPr="004B33BC">
        <w:t xml:space="preserve">-driven systems. </w:t>
      </w:r>
      <w:r w:rsidRPr="004B33BC">
        <w:rPr>
          <w:i/>
          <w:iCs/>
        </w:rPr>
        <w:t>World Journal of Advanced Research and Reviews</w:t>
      </w:r>
      <w:r w:rsidRPr="004B33BC">
        <w:t xml:space="preserve">, </w:t>
      </w:r>
      <w:r w:rsidRPr="004B33BC">
        <w:rPr>
          <w:i/>
          <w:iCs/>
        </w:rPr>
        <w:t>26</w:t>
      </w:r>
      <w:r w:rsidRPr="004B33BC">
        <w:t xml:space="preserve">(1), 2051–2061. </w:t>
      </w:r>
      <w:hyperlink r:id="rId123" w:history="1">
        <w:r w:rsidRPr="004B33BC">
          <w:rPr>
            <w:rStyle w:val="Hyperlink"/>
          </w:rPr>
          <w:t>https://doi.org/10.30574/wjarr.2025.26.1.1275</w:t>
        </w:r>
      </w:hyperlink>
    </w:p>
    <w:p w14:paraId="60CD667E" w14:textId="77777777" w:rsidR="00707210" w:rsidRPr="004B33BC" w:rsidRDefault="00707210" w:rsidP="004B33BC">
      <w:pPr>
        <w:spacing w:line="240" w:lineRule="auto"/>
        <w:jc w:val="both"/>
      </w:pPr>
      <w:proofErr w:type="spellStart"/>
      <w:r w:rsidRPr="004B33BC">
        <w:lastRenderedPageBreak/>
        <w:t>Meenugu</w:t>
      </w:r>
      <w:proofErr w:type="spellEnd"/>
      <w:r w:rsidRPr="004B33BC">
        <w:t xml:space="preserve">, S. (2025b). The technical evolution of payroll systems: From manual processing to intelligent automation. </w:t>
      </w:r>
      <w:r w:rsidRPr="004B33BC">
        <w:rPr>
          <w:i/>
          <w:iCs/>
        </w:rPr>
        <w:t>Global Journal of Engineering and Technology Advances</w:t>
      </w:r>
      <w:r w:rsidRPr="004B33BC">
        <w:t xml:space="preserve">, </w:t>
      </w:r>
      <w:r w:rsidRPr="004B33BC">
        <w:rPr>
          <w:i/>
          <w:iCs/>
        </w:rPr>
        <w:t>23</w:t>
      </w:r>
      <w:r w:rsidRPr="004B33BC">
        <w:t xml:space="preserve">(1), 201–208. </w:t>
      </w:r>
      <w:hyperlink r:id="rId124" w:history="1">
        <w:r w:rsidRPr="004B33BC">
          <w:rPr>
            <w:rStyle w:val="Hyperlink"/>
          </w:rPr>
          <w:t>https://doi.org/10.30574/gjeta.2025.23.1.0103</w:t>
        </w:r>
      </w:hyperlink>
    </w:p>
    <w:p w14:paraId="42E1DA2C" w14:textId="3FEEC490" w:rsidR="00707210" w:rsidRPr="004B33BC" w:rsidRDefault="00707210" w:rsidP="004B33BC">
      <w:pPr>
        <w:spacing w:line="240" w:lineRule="auto"/>
        <w:jc w:val="both"/>
      </w:pPr>
      <w:proofErr w:type="spellStart"/>
      <w:r w:rsidRPr="004B33BC">
        <w:t>Meenugu</w:t>
      </w:r>
      <w:proofErr w:type="spellEnd"/>
      <w:r w:rsidRPr="004B33BC">
        <w:t>, S. (2025c). A</w:t>
      </w:r>
      <w:r w:rsidR="00D961F9">
        <w:t>I</w:t>
      </w:r>
      <w:r w:rsidRPr="004B33BC">
        <w:t xml:space="preserve"> and </w:t>
      </w:r>
      <w:r w:rsidR="00D961F9">
        <w:t>ML</w:t>
      </w:r>
      <w:r w:rsidRPr="004B33BC">
        <w:t xml:space="preserve"> in payroll automation: A technical perspective. </w:t>
      </w:r>
      <w:r w:rsidRPr="004B33BC">
        <w:rPr>
          <w:i/>
          <w:iCs/>
        </w:rPr>
        <w:t>World Journal of Advanced Engineering Technology and Sciences</w:t>
      </w:r>
      <w:r w:rsidRPr="004B33BC">
        <w:t xml:space="preserve">, </w:t>
      </w:r>
      <w:r w:rsidRPr="004B33BC">
        <w:rPr>
          <w:i/>
          <w:iCs/>
        </w:rPr>
        <w:t>15</w:t>
      </w:r>
      <w:r w:rsidRPr="004B33BC">
        <w:t xml:space="preserve">(1), 1542–1552. </w:t>
      </w:r>
      <w:hyperlink r:id="rId125" w:history="1">
        <w:r w:rsidRPr="004B33BC">
          <w:rPr>
            <w:rStyle w:val="Hyperlink"/>
          </w:rPr>
          <w:t>https://doi.org/10.30574/wjaets.2025.15.1.0379</w:t>
        </w:r>
      </w:hyperlink>
    </w:p>
    <w:p w14:paraId="6D7BA120" w14:textId="77777777" w:rsidR="00707210" w:rsidRPr="004B33BC" w:rsidRDefault="00707210" w:rsidP="004B33BC">
      <w:pPr>
        <w:spacing w:line="240" w:lineRule="auto"/>
        <w:jc w:val="both"/>
      </w:pPr>
      <w:r w:rsidRPr="004B33BC">
        <w:t xml:space="preserve">Mehta, A., Abid, M., &amp; Rajak, T. (2025). Measurement and reporting approaches to Human Capital accounting: A critical analysis. </w:t>
      </w:r>
      <w:r w:rsidRPr="004B33BC">
        <w:rPr>
          <w:i/>
          <w:iCs/>
        </w:rPr>
        <w:t xml:space="preserve">International Journal </w:t>
      </w:r>
      <w:proofErr w:type="gramStart"/>
      <w:r w:rsidRPr="004B33BC">
        <w:rPr>
          <w:i/>
          <w:iCs/>
        </w:rPr>
        <w:t>For</w:t>
      </w:r>
      <w:proofErr w:type="gramEnd"/>
      <w:r w:rsidRPr="004B33BC">
        <w:rPr>
          <w:i/>
          <w:iCs/>
        </w:rPr>
        <w:t xml:space="preserve"> Multidisciplinary Research</w:t>
      </w:r>
      <w:r w:rsidRPr="004B33BC">
        <w:t xml:space="preserve">, </w:t>
      </w:r>
      <w:r w:rsidRPr="004B33BC">
        <w:rPr>
          <w:i/>
          <w:iCs/>
        </w:rPr>
        <w:t>7</w:t>
      </w:r>
      <w:r w:rsidRPr="004B33BC">
        <w:t xml:space="preserve">(5), 1–5. </w:t>
      </w:r>
      <w:hyperlink r:id="rId126" w:history="1">
        <w:r w:rsidRPr="004B33BC">
          <w:rPr>
            <w:rStyle w:val="Hyperlink"/>
          </w:rPr>
          <w:t>https://doi.org/10.36948/ijfmr.2025.v07i05.55396</w:t>
        </w:r>
      </w:hyperlink>
    </w:p>
    <w:p w14:paraId="3AE12BFB" w14:textId="77777777" w:rsidR="00707210" w:rsidRPr="004B33BC" w:rsidRDefault="00707210" w:rsidP="004B33BC">
      <w:pPr>
        <w:spacing w:line="240" w:lineRule="auto"/>
        <w:jc w:val="both"/>
      </w:pPr>
      <w:bookmarkStart w:id="29" w:name="_Hlk216806145"/>
      <w:r w:rsidRPr="004B33BC">
        <w:t>Melguizo, Á., &amp; Perea, J. R. (2016)</w:t>
      </w:r>
      <w:bookmarkEnd w:id="29"/>
      <w:r w:rsidRPr="004B33BC">
        <w:t xml:space="preserve">. </w:t>
      </w:r>
      <w:r w:rsidRPr="004B33BC">
        <w:rPr>
          <w:i/>
          <w:iCs/>
        </w:rPr>
        <w:t>Mind the skills gap! regional and industry patterns in emerging economies</w:t>
      </w:r>
      <w:r w:rsidRPr="004B33BC">
        <w:t xml:space="preserve">. OECD. </w:t>
      </w:r>
      <w:hyperlink r:id="rId127" w:history="1">
        <w:r w:rsidRPr="004B33BC">
          <w:rPr>
            <w:rStyle w:val="Hyperlink"/>
          </w:rPr>
          <w:t>https://doi.org/10.1787/5JM5HKP7V145-EN</w:t>
        </w:r>
      </w:hyperlink>
    </w:p>
    <w:p w14:paraId="6B6110A0" w14:textId="77777777" w:rsidR="00707210" w:rsidRPr="004B33BC" w:rsidRDefault="00707210" w:rsidP="004B33BC">
      <w:pPr>
        <w:spacing w:line="240" w:lineRule="auto"/>
        <w:jc w:val="both"/>
      </w:pPr>
      <w:proofErr w:type="spellStart"/>
      <w:r w:rsidRPr="004B33BC">
        <w:t>Mellahi</w:t>
      </w:r>
      <w:proofErr w:type="spellEnd"/>
      <w:r w:rsidRPr="004B33BC">
        <w:t xml:space="preserve">, K., &amp; Harris, L. C. (2015). Response rates in business and management research: An overview of current practice and suggestions for future direction. </w:t>
      </w:r>
      <w:r w:rsidRPr="004B33BC">
        <w:rPr>
          <w:i/>
          <w:iCs/>
        </w:rPr>
        <w:t>British Journal of Management</w:t>
      </w:r>
      <w:r w:rsidRPr="004B33BC">
        <w:t xml:space="preserve">, </w:t>
      </w:r>
      <w:r w:rsidRPr="004B33BC">
        <w:rPr>
          <w:i/>
          <w:iCs/>
        </w:rPr>
        <w:t>27</w:t>
      </w:r>
      <w:r w:rsidRPr="004B33BC">
        <w:t xml:space="preserve">(2), 426–437. </w:t>
      </w:r>
      <w:hyperlink r:id="rId128" w:history="1">
        <w:r w:rsidRPr="004B33BC">
          <w:rPr>
            <w:rStyle w:val="Hyperlink"/>
          </w:rPr>
          <w:t>https://doi.org/10.1111/1467-8551.12154</w:t>
        </w:r>
      </w:hyperlink>
    </w:p>
    <w:p w14:paraId="05C7BF2B" w14:textId="77777777" w:rsidR="00707210" w:rsidRPr="004B33BC" w:rsidRDefault="00707210" w:rsidP="004B33BC">
      <w:pPr>
        <w:spacing w:line="240" w:lineRule="auto"/>
        <w:jc w:val="both"/>
      </w:pPr>
      <w:r w:rsidRPr="004B33BC">
        <w:t xml:space="preserve">Menon, S., Yadav, J., Chopra, A., &amp; Thomas, J. (2024). </w:t>
      </w:r>
      <w:r w:rsidRPr="004B33BC">
        <w:rPr>
          <w:i/>
          <w:iCs/>
        </w:rPr>
        <w:t xml:space="preserve">Strategic integration of analytics and artificial intelligence in sustainable human resource management: Fostering </w:t>
      </w:r>
      <w:proofErr w:type="spellStart"/>
      <w:r w:rsidRPr="004B33BC">
        <w:rPr>
          <w:i/>
          <w:iCs/>
        </w:rPr>
        <w:t>hr</w:t>
      </w:r>
      <w:proofErr w:type="spellEnd"/>
      <w:r w:rsidRPr="004B33BC">
        <w:rPr>
          <w:i/>
          <w:iCs/>
        </w:rPr>
        <w:t xml:space="preserve"> excellence.</w:t>
      </w:r>
      <w:r w:rsidRPr="004B33BC">
        <w:t xml:space="preserve"> [In 2024 11th International Conference on Reliability, Infocom Technologies and Optimization (Trends and Future </w:t>
      </w:r>
      <w:proofErr w:type="gramStart"/>
      <w:r w:rsidRPr="004B33BC">
        <w:t>Directions)(</w:t>
      </w:r>
      <w:proofErr w:type="gramEnd"/>
      <w:r w:rsidRPr="004B33BC">
        <w:t xml:space="preserve">ICRITO) (pp. 1-5). IEEE]. </w:t>
      </w:r>
      <w:hyperlink r:id="rId129" w:history="1">
        <w:r w:rsidRPr="004B33BC">
          <w:rPr>
            <w:rStyle w:val="Hyperlink"/>
          </w:rPr>
          <w:t>https://doi.org/10.1109/ICRITO61523.2024.10522141</w:t>
        </w:r>
      </w:hyperlink>
    </w:p>
    <w:p w14:paraId="5AFD7D9B" w14:textId="77777777" w:rsidR="00707210" w:rsidRPr="004B33BC" w:rsidRDefault="00707210" w:rsidP="004B33BC">
      <w:pPr>
        <w:spacing w:line="240" w:lineRule="auto"/>
        <w:jc w:val="both"/>
      </w:pPr>
      <w:r w:rsidRPr="004B33BC">
        <w:t xml:space="preserve">Mitchell, R. K., Agle, B. R., &amp; Wood, D. J. (1997). Toward a theory of stakeholder identification and salience: Defining the principle of who and what really counts. </w:t>
      </w:r>
      <w:r w:rsidRPr="004B33BC">
        <w:rPr>
          <w:i/>
          <w:iCs/>
        </w:rPr>
        <w:t>Academy of Management Review</w:t>
      </w:r>
      <w:r w:rsidRPr="004B33BC">
        <w:t xml:space="preserve">, </w:t>
      </w:r>
      <w:r w:rsidRPr="004B33BC">
        <w:rPr>
          <w:i/>
          <w:iCs/>
        </w:rPr>
        <w:t>22</w:t>
      </w:r>
      <w:r w:rsidRPr="004B33BC">
        <w:t xml:space="preserve">(4), 853–886. </w:t>
      </w:r>
      <w:hyperlink r:id="rId130" w:history="1">
        <w:r w:rsidRPr="004B33BC">
          <w:rPr>
            <w:rStyle w:val="Hyperlink"/>
          </w:rPr>
          <w:t>https://doi.org/10.5465/amr.1997.9711022105</w:t>
        </w:r>
      </w:hyperlink>
    </w:p>
    <w:p w14:paraId="49C88ADC" w14:textId="77777777" w:rsidR="00707210" w:rsidRPr="004B33BC" w:rsidRDefault="00707210" w:rsidP="004B33BC">
      <w:pPr>
        <w:spacing w:line="240" w:lineRule="auto"/>
        <w:jc w:val="both"/>
      </w:pPr>
      <w:bookmarkStart w:id="30" w:name="_Hlk216776007"/>
      <w:r w:rsidRPr="004B33BC">
        <w:t>Mohiuddin, M., &amp; Banu, M. N. (2017</w:t>
      </w:r>
      <w:bookmarkEnd w:id="30"/>
      <w:r w:rsidRPr="004B33BC">
        <w:t>). Human resource accounting (</w:t>
      </w:r>
      <w:proofErr w:type="spellStart"/>
      <w:r w:rsidRPr="004B33BC">
        <w:t>hra</w:t>
      </w:r>
      <w:proofErr w:type="spellEnd"/>
      <w:r w:rsidRPr="004B33BC">
        <w:t xml:space="preserve">): A conceptual study on human capital. </w:t>
      </w:r>
      <w:r w:rsidRPr="004B33BC">
        <w:rPr>
          <w:i/>
          <w:iCs/>
        </w:rPr>
        <w:t>IOSR Journal of Business and Management</w:t>
      </w:r>
      <w:r w:rsidRPr="004B33BC">
        <w:t xml:space="preserve">, </w:t>
      </w:r>
      <w:r w:rsidRPr="004B33BC">
        <w:rPr>
          <w:i/>
          <w:iCs/>
        </w:rPr>
        <w:t>19</w:t>
      </w:r>
      <w:r w:rsidRPr="004B33BC">
        <w:t xml:space="preserve">(04), 33–37. </w:t>
      </w:r>
      <w:hyperlink r:id="rId131" w:history="1">
        <w:r w:rsidRPr="004B33BC">
          <w:rPr>
            <w:rStyle w:val="Hyperlink"/>
          </w:rPr>
          <w:t>https://doi.org/10.9790/487x-1904013337</w:t>
        </w:r>
      </w:hyperlink>
    </w:p>
    <w:p w14:paraId="3A538FB4" w14:textId="77777777" w:rsidR="00707210" w:rsidRPr="004B33BC" w:rsidRDefault="00707210" w:rsidP="004B33BC">
      <w:pPr>
        <w:spacing w:line="240" w:lineRule="auto"/>
        <w:jc w:val="both"/>
      </w:pPr>
      <w:bookmarkStart w:id="31" w:name="_Hlk216806276"/>
      <w:r w:rsidRPr="004B33BC">
        <w:rPr>
          <w:lang w:val="de-DE"/>
        </w:rPr>
        <w:t>Mpofu, Q., &amp; Sebele-Mpofu, F. Y. (2023).</w:t>
      </w:r>
      <w:bookmarkEnd w:id="31"/>
      <w:r w:rsidRPr="004B33BC">
        <w:rPr>
          <w:lang w:val="de-DE"/>
        </w:rPr>
        <w:t xml:space="preserve"> </w:t>
      </w:r>
      <w:proofErr w:type="spellStart"/>
      <w:r w:rsidRPr="004B33BC">
        <w:t>Conceptualising</w:t>
      </w:r>
      <w:proofErr w:type="spellEnd"/>
      <w:r w:rsidRPr="004B33BC">
        <w:t xml:space="preserve"> a human capital measurement and reporting framework. </w:t>
      </w:r>
      <w:r w:rsidRPr="004B33BC">
        <w:rPr>
          <w:i/>
          <w:iCs/>
        </w:rPr>
        <w:t>Journal of Accounting, Finance and Auditing Studies</w:t>
      </w:r>
      <w:r w:rsidRPr="004B33BC">
        <w:t xml:space="preserve">, </w:t>
      </w:r>
      <w:r w:rsidRPr="004B33BC">
        <w:rPr>
          <w:i/>
          <w:iCs/>
        </w:rPr>
        <w:t>9</w:t>
      </w:r>
      <w:r w:rsidRPr="004B33BC">
        <w:t xml:space="preserve">(2). </w:t>
      </w:r>
      <w:hyperlink r:id="rId132" w:history="1">
        <w:r w:rsidRPr="004B33BC">
          <w:rPr>
            <w:rStyle w:val="Hyperlink"/>
          </w:rPr>
          <w:t>https://doi.org/10.32602/jafas.2023.016</w:t>
        </w:r>
      </w:hyperlink>
    </w:p>
    <w:p w14:paraId="32BCB273" w14:textId="4628F9F4" w:rsidR="00707210" w:rsidRPr="004B33BC" w:rsidRDefault="00707210" w:rsidP="004B33BC">
      <w:pPr>
        <w:spacing w:line="240" w:lineRule="auto"/>
        <w:jc w:val="both"/>
      </w:pPr>
      <w:proofErr w:type="spellStart"/>
      <w:r w:rsidRPr="004B33BC">
        <w:t>Muridzi</w:t>
      </w:r>
      <w:proofErr w:type="spellEnd"/>
      <w:r w:rsidRPr="004B33BC">
        <w:t xml:space="preserve">, G., Dhliwayo, S., &amp; Isabelle, D. A. (2024). Artificial intelligence in transforming </w:t>
      </w:r>
      <w:r w:rsidR="00D961F9">
        <w:t>HRM</w:t>
      </w:r>
      <w:r w:rsidRPr="004B33BC">
        <w:t xml:space="preserve"> processes within organizations. </w:t>
      </w:r>
      <w:r w:rsidRPr="004B33BC">
        <w:rPr>
          <w:i/>
          <w:iCs/>
        </w:rPr>
        <w:t>International Journal of Innovation Management</w:t>
      </w:r>
      <w:r w:rsidRPr="004B33BC">
        <w:t xml:space="preserve">, </w:t>
      </w:r>
      <w:r w:rsidRPr="004B33BC">
        <w:rPr>
          <w:i/>
          <w:iCs/>
        </w:rPr>
        <w:t>28</w:t>
      </w:r>
      <w:r w:rsidRPr="004B33BC">
        <w:t xml:space="preserve">(09n10). </w:t>
      </w:r>
      <w:hyperlink r:id="rId133" w:history="1">
        <w:r w:rsidRPr="004B33BC">
          <w:rPr>
            <w:rStyle w:val="Hyperlink"/>
          </w:rPr>
          <w:t>https://doi.org/10.1142/s1363919624400061</w:t>
        </w:r>
      </w:hyperlink>
    </w:p>
    <w:p w14:paraId="0C16B940" w14:textId="77777777" w:rsidR="00707210" w:rsidRPr="004B33BC" w:rsidRDefault="00707210" w:rsidP="004B33BC">
      <w:pPr>
        <w:spacing w:line="240" w:lineRule="auto"/>
        <w:jc w:val="both"/>
      </w:pPr>
      <w:r w:rsidRPr="004B33BC">
        <w:t xml:space="preserve">Nakajima, R. (2024). The generative artificial intelligence governance paradox: Driving innovation while challenging global corporate oversight in multinational firms. </w:t>
      </w:r>
      <w:r w:rsidRPr="004B33BC">
        <w:rPr>
          <w:i/>
          <w:iCs/>
        </w:rPr>
        <w:t xml:space="preserve">Virtus </w:t>
      </w:r>
      <w:proofErr w:type="spellStart"/>
      <w:r w:rsidRPr="004B33BC">
        <w:rPr>
          <w:i/>
          <w:iCs/>
        </w:rPr>
        <w:t>InterPress</w:t>
      </w:r>
      <w:proofErr w:type="spellEnd"/>
      <w:r w:rsidRPr="004B33BC">
        <w:t xml:space="preserve">, 91–95. </w:t>
      </w:r>
      <w:hyperlink r:id="rId134" w:history="1">
        <w:r w:rsidRPr="004B33BC">
          <w:rPr>
            <w:rStyle w:val="Hyperlink"/>
          </w:rPr>
          <w:t>https://doi.org/10.22495/cgsrapp17</w:t>
        </w:r>
      </w:hyperlink>
    </w:p>
    <w:p w14:paraId="5ECD8D10" w14:textId="70DD4BB0" w:rsidR="00707210" w:rsidRPr="004B33BC" w:rsidRDefault="00707210" w:rsidP="004B33BC">
      <w:pPr>
        <w:spacing w:line="240" w:lineRule="auto"/>
        <w:jc w:val="both"/>
      </w:pPr>
      <w:proofErr w:type="spellStart"/>
      <w:r w:rsidRPr="004B33BC">
        <w:t>Napathorn</w:t>
      </w:r>
      <w:proofErr w:type="spellEnd"/>
      <w:r w:rsidRPr="004B33BC">
        <w:t xml:space="preserve">, C. (2025). The adoption and implementation of sustainable human resource management practices across firms: Evidence from an emerging market economy in </w:t>
      </w:r>
      <w:r w:rsidR="00D961F9">
        <w:t>A</w:t>
      </w:r>
      <w:r w:rsidRPr="004B33BC">
        <w:t xml:space="preserve">sia. </w:t>
      </w:r>
      <w:r w:rsidRPr="004B33BC">
        <w:rPr>
          <w:i/>
          <w:iCs/>
        </w:rPr>
        <w:t>Industrial and Commercial Training</w:t>
      </w:r>
      <w:r w:rsidRPr="004B33BC">
        <w:t xml:space="preserve">, </w:t>
      </w:r>
      <w:r w:rsidRPr="004B33BC">
        <w:rPr>
          <w:i/>
          <w:iCs/>
        </w:rPr>
        <w:t>57</w:t>
      </w:r>
      <w:r w:rsidRPr="004B33BC">
        <w:t xml:space="preserve">(4), 427–455. </w:t>
      </w:r>
      <w:hyperlink r:id="rId135" w:history="1">
        <w:r w:rsidRPr="004B33BC">
          <w:rPr>
            <w:rStyle w:val="Hyperlink"/>
          </w:rPr>
          <w:t>https://doi.org/10.1108/ict-06-2024-0055</w:t>
        </w:r>
      </w:hyperlink>
    </w:p>
    <w:p w14:paraId="0EA97D3A" w14:textId="77777777" w:rsidR="00707210" w:rsidRPr="004B33BC" w:rsidRDefault="00707210" w:rsidP="004B33BC">
      <w:pPr>
        <w:spacing w:line="240" w:lineRule="auto"/>
        <w:jc w:val="both"/>
      </w:pPr>
      <w:r w:rsidRPr="004B33BC">
        <w:t xml:space="preserve">Naranjo-Valencia, J. C., Jiménez-Jiménez, D., &amp; Sanz-Valle, R. (2016). Studying the links between organizational culture, innovation, and performance in Spanish companies. </w:t>
      </w:r>
      <w:r w:rsidRPr="004B33BC">
        <w:rPr>
          <w:i/>
          <w:iCs/>
        </w:rPr>
        <w:t xml:space="preserve">Revista Latinoamericana de </w:t>
      </w:r>
      <w:proofErr w:type="spellStart"/>
      <w:r w:rsidRPr="004B33BC">
        <w:rPr>
          <w:i/>
          <w:iCs/>
        </w:rPr>
        <w:t>Psicología</w:t>
      </w:r>
      <w:proofErr w:type="spellEnd"/>
      <w:r w:rsidRPr="004B33BC">
        <w:t xml:space="preserve">, </w:t>
      </w:r>
      <w:r w:rsidRPr="004B33BC">
        <w:rPr>
          <w:i/>
          <w:iCs/>
        </w:rPr>
        <w:t>48</w:t>
      </w:r>
      <w:r w:rsidRPr="004B33BC">
        <w:t xml:space="preserve">(1), 30–41. </w:t>
      </w:r>
      <w:hyperlink r:id="rId136" w:history="1">
        <w:r w:rsidRPr="004B33BC">
          <w:rPr>
            <w:rStyle w:val="Hyperlink"/>
          </w:rPr>
          <w:t>https://doi.org/10.1016/j.rlp.2015.09.009</w:t>
        </w:r>
      </w:hyperlink>
    </w:p>
    <w:p w14:paraId="1735C874" w14:textId="77777777" w:rsidR="00707210" w:rsidRPr="004B33BC" w:rsidRDefault="00707210" w:rsidP="004B33BC">
      <w:pPr>
        <w:spacing w:line="240" w:lineRule="auto"/>
        <w:jc w:val="both"/>
        <w:rPr>
          <w:lang w:val="de-DE"/>
        </w:rPr>
      </w:pPr>
      <w:r w:rsidRPr="004B33BC">
        <w:lastRenderedPageBreak/>
        <w:t xml:space="preserve">Natsagdorj, S., </w:t>
      </w:r>
      <w:proofErr w:type="spellStart"/>
      <w:r w:rsidRPr="004B33BC">
        <w:t>Gotov</w:t>
      </w:r>
      <w:proofErr w:type="spellEnd"/>
      <w:r w:rsidRPr="004B33BC">
        <w:t xml:space="preserve">, O., </w:t>
      </w:r>
      <w:proofErr w:type="spellStart"/>
      <w:r w:rsidRPr="004B33BC">
        <w:t>Munkhdalai</w:t>
      </w:r>
      <w:proofErr w:type="spellEnd"/>
      <w:r w:rsidRPr="004B33BC">
        <w:t xml:space="preserve">, E., &amp; </w:t>
      </w:r>
      <w:proofErr w:type="spellStart"/>
      <w:r w:rsidRPr="004B33BC">
        <w:t>Luvsandash</w:t>
      </w:r>
      <w:proofErr w:type="spellEnd"/>
      <w:r w:rsidRPr="004B33BC">
        <w:t xml:space="preserve">, O. (2025). Human Capital disclosure in </w:t>
      </w:r>
      <w:proofErr w:type="spellStart"/>
      <w:r w:rsidRPr="004B33BC">
        <w:t>mongolian</w:t>
      </w:r>
      <w:proofErr w:type="spellEnd"/>
      <w:r w:rsidRPr="004B33BC">
        <w:t xml:space="preserve"> joint-stock companies. </w:t>
      </w:r>
      <w:proofErr w:type="spellStart"/>
      <w:r w:rsidRPr="004B33BC">
        <w:rPr>
          <w:i/>
          <w:iCs/>
        </w:rPr>
        <w:t>Прогрессивная</w:t>
      </w:r>
      <w:proofErr w:type="spellEnd"/>
      <w:r w:rsidRPr="004B33BC">
        <w:rPr>
          <w:i/>
          <w:iCs/>
        </w:rPr>
        <w:t xml:space="preserve"> </w:t>
      </w:r>
      <w:proofErr w:type="spellStart"/>
      <w:r w:rsidRPr="004B33BC">
        <w:rPr>
          <w:i/>
          <w:iCs/>
        </w:rPr>
        <w:t>экономика</w:t>
      </w:r>
      <w:proofErr w:type="spellEnd"/>
      <w:r w:rsidRPr="004B33BC">
        <w:t xml:space="preserve">, (5), 55–64. </w:t>
      </w:r>
      <w:hyperlink r:id="rId137" w:history="1">
        <w:r w:rsidRPr="004B33BC">
          <w:rPr>
            <w:rStyle w:val="Hyperlink"/>
            <w:lang w:val="de-DE"/>
          </w:rPr>
          <w:t>https://doi.org/10.54861/27131211_2025_5_55</w:t>
        </w:r>
      </w:hyperlink>
    </w:p>
    <w:p w14:paraId="0557CE54" w14:textId="33B764A1" w:rsidR="00707210" w:rsidRPr="004B33BC" w:rsidRDefault="00707210" w:rsidP="004B33BC">
      <w:pPr>
        <w:spacing w:line="240" w:lineRule="auto"/>
        <w:jc w:val="both"/>
      </w:pPr>
      <w:r w:rsidRPr="004B33BC">
        <w:rPr>
          <w:lang w:val="de-DE"/>
        </w:rPr>
        <w:t xml:space="preserve">Naveed, K., Farooq, M., Zahir-Ul-Hassan, M., &amp; Rauf, F. (2025). </w:t>
      </w:r>
      <w:r w:rsidRPr="004B33BC">
        <w:t>A</w:t>
      </w:r>
      <w:r w:rsidR="00D961F9">
        <w:t>I</w:t>
      </w:r>
      <w:r w:rsidRPr="004B33BC">
        <w:t xml:space="preserve"> adoption, </w:t>
      </w:r>
      <w:r w:rsidR="00D961F9">
        <w:t>ESG</w:t>
      </w:r>
      <w:r w:rsidRPr="004B33BC">
        <w:t xml:space="preserve"> disclosure quality and sustainability committee heterogeneity: Evidence from </w:t>
      </w:r>
      <w:r w:rsidR="00D961F9">
        <w:t>C</w:t>
      </w:r>
      <w:r w:rsidRPr="004B33BC">
        <w:t xml:space="preserve">hinese companies. </w:t>
      </w:r>
      <w:proofErr w:type="spellStart"/>
      <w:r w:rsidRPr="004B33BC">
        <w:rPr>
          <w:i/>
          <w:iCs/>
        </w:rPr>
        <w:t>Meditari</w:t>
      </w:r>
      <w:proofErr w:type="spellEnd"/>
      <w:r w:rsidRPr="004B33BC">
        <w:rPr>
          <w:i/>
          <w:iCs/>
        </w:rPr>
        <w:t xml:space="preserve"> Accountancy Research</w:t>
      </w:r>
      <w:r w:rsidRPr="004B33BC">
        <w:t xml:space="preserve">, </w:t>
      </w:r>
      <w:r w:rsidRPr="004B33BC">
        <w:rPr>
          <w:i/>
          <w:iCs/>
        </w:rPr>
        <w:t>33</w:t>
      </w:r>
      <w:r w:rsidRPr="004B33BC">
        <w:t xml:space="preserve">(2), 708–732. </w:t>
      </w:r>
      <w:hyperlink r:id="rId138" w:history="1">
        <w:r w:rsidRPr="004B33BC">
          <w:rPr>
            <w:rStyle w:val="Hyperlink"/>
          </w:rPr>
          <w:t>https://doi.org/10.1108/medar-02-2024-2374</w:t>
        </w:r>
      </w:hyperlink>
    </w:p>
    <w:p w14:paraId="14932B3C" w14:textId="77777777" w:rsidR="00707210" w:rsidRPr="004B33BC" w:rsidRDefault="00707210" w:rsidP="004B33BC">
      <w:pPr>
        <w:spacing w:line="240" w:lineRule="auto"/>
        <w:jc w:val="both"/>
      </w:pPr>
      <w:r w:rsidRPr="004B33BC">
        <w:rPr>
          <w:lang w:val="de-DE"/>
        </w:rPr>
        <w:t xml:space="preserve">Nawaz, N., Arunachalam, H., Pathi, B., &amp; Gajenderan, V. (2024). </w:t>
      </w:r>
      <w:r w:rsidRPr="004B33BC">
        <w:t xml:space="preserve">The adoption of artificial intelligence in human resources management practices. </w:t>
      </w:r>
      <w:r w:rsidRPr="004B33BC">
        <w:rPr>
          <w:i/>
          <w:iCs/>
        </w:rPr>
        <w:t>International Journal of Information Management Data Insights</w:t>
      </w:r>
      <w:r w:rsidRPr="004B33BC">
        <w:t xml:space="preserve">, </w:t>
      </w:r>
      <w:r w:rsidRPr="004B33BC">
        <w:rPr>
          <w:i/>
          <w:iCs/>
        </w:rPr>
        <w:t>4</w:t>
      </w:r>
      <w:r w:rsidRPr="004B33BC">
        <w:t xml:space="preserve">(1), 100208. </w:t>
      </w:r>
      <w:hyperlink r:id="rId139" w:history="1">
        <w:r w:rsidRPr="004B33BC">
          <w:rPr>
            <w:rStyle w:val="Hyperlink"/>
          </w:rPr>
          <w:t>https://doi.org/10.1016/j.jjimei.2023.100208</w:t>
        </w:r>
      </w:hyperlink>
    </w:p>
    <w:p w14:paraId="6CEE518B" w14:textId="77777777" w:rsidR="00707210" w:rsidRPr="004B33BC" w:rsidRDefault="00707210" w:rsidP="004B33BC">
      <w:pPr>
        <w:spacing w:line="240" w:lineRule="auto"/>
        <w:jc w:val="both"/>
      </w:pPr>
      <w:proofErr w:type="spellStart"/>
      <w:r w:rsidRPr="004B33BC">
        <w:t>Nwaimo</w:t>
      </w:r>
      <w:proofErr w:type="spellEnd"/>
      <w:r w:rsidRPr="004B33BC">
        <w:t xml:space="preserve">, C. S., Adegbola, A. E., Adegbola, M. D., &amp; </w:t>
      </w:r>
      <w:proofErr w:type="spellStart"/>
      <w:r w:rsidRPr="004B33BC">
        <w:t>Adeusi</w:t>
      </w:r>
      <w:proofErr w:type="spellEnd"/>
      <w:r w:rsidRPr="004B33BC">
        <w:t xml:space="preserve">, K. B. (2024). Forecasting </w:t>
      </w:r>
      <w:proofErr w:type="spellStart"/>
      <w:r w:rsidRPr="004B33BC">
        <w:t>hr</w:t>
      </w:r>
      <w:proofErr w:type="spellEnd"/>
      <w:r w:rsidRPr="004B33BC">
        <w:t xml:space="preserve"> expenses: A review of predictive analytics in financial planning for hr. </w:t>
      </w:r>
      <w:r w:rsidRPr="004B33BC">
        <w:rPr>
          <w:i/>
          <w:iCs/>
        </w:rPr>
        <w:t>International Journal of Management &amp; Entrepreneurship Research</w:t>
      </w:r>
      <w:r w:rsidRPr="004B33BC">
        <w:t xml:space="preserve">, </w:t>
      </w:r>
      <w:r w:rsidRPr="004B33BC">
        <w:rPr>
          <w:i/>
          <w:iCs/>
        </w:rPr>
        <w:t>6</w:t>
      </w:r>
      <w:r w:rsidRPr="004B33BC">
        <w:t xml:space="preserve">(6), 1842–1853. </w:t>
      </w:r>
      <w:hyperlink r:id="rId140" w:history="1">
        <w:r w:rsidRPr="004B33BC">
          <w:rPr>
            <w:rStyle w:val="Hyperlink"/>
          </w:rPr>
          <w:t>https://doi.org/10.51594/ijmer.v6i6.1169</w:t>
        </w:r>
      </w:hyperlink>
    </w:p>
    <w:p w14:paraId="0DBB3CE8" w14:textId="77777777" w:rsidR="00707210" w:rsidRPr="004B33BC" w:rsidRDefault="00707210" w:rsidP="004B33BC">
      <w:pPr>
        <w:spacing w:line="240" w:lineRule="auto"/>
        <w:jc w:val="both"/>
      </w:pPr>
      <w:r w:rsidRPr="004B33BC">
        <w:t xml:space="preserve">Nyberg, A. J., Cragun, O. R., Conroy, S. A., &amp; Weller, I. (2023). Artificial intelligence and pay information disclosure: Changing how pay is communicated. </w:t>
      </w:r>
      <w:r w:rsidRPr="004B33BC">
        <w:rPr>
          <w:i/>
          <w:iCs/>
        </w:rPr>
        <w:t>Compensation &amp; Benefits Review</w:t>
      </w:r>
      <w:r w:rsidRPr="004B33BC">
        <w:t xml:space="preserve">, </w:t>
      </w:r>
      <w:r w:rsidRPr="004B33BC">
        <w:rPr>
          <w:i/>
          <w:iCs/>
        </w:rPr>
        <w:t>56</w:t>
      </w:r>
      <w:r w:rsidRPr="004B33BC">
        <w:t xml:space="preserve">(2), 58–75. </w:t>
      </w:r>
      <w:hyperlink r:id="rId141" w:history="1">
        <w:r w:rsidRPr="004B33BC">
          <w:rPr>
            <w:rStyle w:val="Hyperlink"/>
          </w:rPr>
          <w:t>https://doi.org/10.1177/08863687231195477</w:t>
        </w:r>
      </w:hyperlink>
    </w:p>
    <w:p w14:paraId="631C4A0D" w14:textId="77777777" w:rsidR="00707210" w:rsidRPr="004B33BC" w:rsidRDefault="00707210" w:rsidP="004B33BC">
      <w:pPr>
        <w:spacing w:line="240" w:lineRule="auto"/>
        <w:jc w:val="both"/>
      </w:pPr>
      <w:bookmarkStart w:id="32" w:name="_Hlk216594863"/>
      <w:proofErr w:type="spellStart"/>
      <w:r w:rsidRPr="004B33BC">
        <w:t>Obloj</w:t>
      </w:r>
      <w:proofErr w:type="spellEnd"/>
      <w:r w:rsidRPr="004B33BC">
        <w:t>, T., &amp; Zenger, T. (2022)</w:t>
      </w:r>
      <w:bookmarkEnd w:id="32"/>
      <w:r w:rsidRPr="004B33BC">
        <w:t xml:space="preserve">. The influence of pay transparency </w:t>
      </w:r>
      <w:proofErr w:type="gramStart"/>
      <w:r w:rsidRPr="004B33BC">
        <w:t>on</w:t>
      </w:r>
      <w:proofErr w:type="gramEnd"/>
      <w:r w:rsidRPr="004B33BC">
        <w:t xml:space="preserve"> (gender) inequity, inequality and the performance basis of pay. </w:t>
      </w:r>
      <w:r w:rsidRPr="004B33BC">
        <w:rPr>
          <w:i/>
          <w:iCs/>
        </w:rPr>
        <w:t xml:space="preserve">Nature Human </w:t>
      </w:r>
      <w:proofErr w:type="spellStart"/>
      <w:r w:rsidRPr="004B33BC">
        <w:rPr>
          <w:i/>
          <w:iCs/>
        </w:rPr>
        <w:t>Behaviour</w:t>
      </w:r>
      <w:proofErr w:type="spellEnd"/>
      <w:r w:rsidRPr="004B33BC">
        <w:t xml:space="preserve">, </w:t>
      </w:r>
      <w:r w:rsidRPr="004B33BC">
        <w:rPr>
          <w:i/>
          <w:iCs/>
        </w:rPr>
        <w:t>6</w:t>
      </w:r>
      <w:r w:rsidRPr="004B33BC">
        <w:t xml:space="preserve">(5), 646–655. </w:t>
      </w:r>
      <w:hyperlink r:id="rId142" w:history="1">
        <w:r w:rsidRPr="004B33BC">
          <w:rPr>
            <w:rStyle w:val="Hyperlink"/>
          </w:rPr>
          <w:t>https://doi.org/10.1038/s41562-022-01288-9</w:t>
        </w:r>
      </w:hyperlink>
    </w:p>
    <w:p w14:paraId="4F51B049" w14:textId="77777777" w:rsidR="00707210" w:rsidRPr="004B33BC" w:rsidRDefault="00707210" w:rsidP="004B33BC">
      <w:pPr>
        <w:spacing w:line="240" w:lineRule="auto"/>
        <w:jc w:val="both"/>
      </w:pPr>
      <w:r w:rsidRPr="004B33BC">
        <w:t xml:space="preserve">Olajide, J. O., Otokiti, B. O., Nwani, S., </w:t>
      </w:r>
      <w:proofErr w:type="spellStart"/>
      <w:r w:rsidRPr="004B33BC">
        <w:t>Ogunmokun</w:t>
      </w:r>
      <w:proofErr w:type="spellEnd"/>
      <w:r w:rsidRPr="004B33BC">
        <w:t xml:space="preserve">, A. S., Adekunle, B. I., &amp; </w:t>
      </w:r>
      <w:proofErr w:type="spellStart"/>
      <w:r w:rsidRPr="004B33BC">
        <w:t>Fiemotongha</w:t>
      </w:r>
      <w:proofErr w:type="spellEnd"/>
      <w:r w:rsidRPr="004B33BC">
        <w:t xml:space="preserve">, J. E. (2024). A regulatory compliance model for financial reporting across global supply chain functions. </w:t>
      </w:r>
      <w:r w:rsidRPr="004B33BC">
        <w:rPr>
          <w:i/>
          <w:iCs/>
        </w:rPr>
        <w:t>International Journal of Scientific Research in Science and Technology</w:t>
      </w:r>
      <w:r w:rsidRPr="004B33BC">
        <w:t xml:space="preserve">, </w:t>
      </w:r>
      <w:r w:rsidRPr="004B33BC">
        <w:rPr>
          <w:i/>
          <w:iCs/>
        </w:rPr>
        <w:t>11</w:t>
      </w:r>
      <w:r w:rsidRPr="004B33BC">
        <w:t xml:space="preserve">(4), 619–635. </w:t>
      </w:r>
      <w:hyperlink r:id="rId143" w:history="1">
        <w:r w:rsidRPr="004B33BC">
          <w:rPr>
            <w:rStyle w:val="Hyperlink"/>
          </w:rPr>
          <w:t>https://doi.org/10.32628/ijsrst241151217</w:t>
        </w:r>
      </w:hyperlink>
    </w:p>
    <w:p w14:paraId="0BE4B903" w14:textId="77777777" w:rsidR="00707210" w:rsidRPr="004B33BC" w:rsidRDefault="00707210" w:rsidP="004B33BC">
      <w:pPr>
        <w:spacing w:line="240" w:lineRule="auto"/>
        <w:jc w:val="both"/>
      </w:pPr>
      <w:bookmarkStart w:id="33" w:name="_Hlk216789597"/>
      <w:r w:rsidRPr="004B33BC">
        <w:t>Omran, M. A., &amp; Ramdhony, D. (2015</w:t>
      </w:r>
      <w:bookmarkEnd w:id="33"/>
      <w:r w:rsidRPr="004B33BC">
        <w:t xml:space="preserve">). Theoretical perspectives on corporate social responsibility disclosure: A critical review. </w:t>
      </w:r>
      <w:r w:rsidRPr="004B33BC">
        <w:rPr>
          <w:i/>
          <w:iCs/>
        </w:rPr>
        <w:t>International Journal of Accounting and Financial Reporting</w:t>
      </w:r>
      <w:r w:rsidRPr="004B33BC">
        <w:t xml:space="preserve">, </w:t>
      </w:r>
      <w:r w:rsidRPr="004B33BC">
        <w:rPr>
          <w:i/>
          <w:iCs/>
        </w:rPr>
        <w:t>5</w:t>
      </w:r>
      <w:r w:rsidRPr="004B33BC">
        <w:t xml:space="preserve">(2), 38. </w:t>
      </w:r>
      <w:hyperlink r:id="rId144" w:history="1">
        <w:r w:rsidRPr="004B33BC">
          <w:rPr>
            <w:rStyle w:val="Hyperlink"/>
          </w:rPr>
          <w:t>https://doi.org/10.5296/ijafr.v5i2.8035</w:t>
        </w:r>
      </w:hyperlink>
    </w:p>
    <w:p w14:paraId="609A6F6B" w14:textId="327F1F1D" w:rsidR="00707210" w:rsidRPr="004B33BC" w:rsidRDefault="00707210" w:rsidP="004B33BC">
      <w:pPr>
        <w:spacing w:line="240" w:lineRule="auto"/>
        <w:jc w:val="both"/>
      </w:pPr>
      <w:bookmarkStart w:id="34" w:name="_Hlk216803761"/>
      <w:r w:rsidRPr="004B33BC">
        <w:t>Pan, Y., &amp; Froese, F. J. (2023</w:t>
      </w:r>
      <w:bookmarkEnd w:id="34"/>
      <w:r w:rsidRPr="004B33BC">
        <w:t xml:space="preserve">). An interdisciplinary review of </w:t>
      </w:r>
      <w:r w:rsidR="00D961F9">
        <w:t>AI</w:t>
      </w:r>
      <w:r w:rsidRPr="004B33BC">
        <w:t xml:space="preserve"> and </w:t>
      </w:r>
      <w:r w:rsidR="00D961F9">
        <w:t>HRM</w:t>
      </w:r>
      <w:r w:rsidRPr="004B33BC">
        <w:t xml:space="preserve">: Challenges and future directions. </w:t>
      </w:r>
      <w:r w:rsidRPr="004B33BC">
        <w:rPr>
          <w:i/>
          <w:iCs/>
        </w:rPr>
        <w:t>Human Resource Management Review</w:t>
      </w:r>
      <w:r w:rsidRPr="004B33BC">
        <w:t xml:space="preserve">, </w:t>
      </w:r>
      <w:r w:rsidRPr="004B33BC">
        <w:rPr>
          <w:i/>
          <w:iCs/>
        </w:rPr>
        <w:t>33</w:t>
      </w:r>
      <w:r w:rsidRPr="004B33BC">
        <w:t xml:space="preserve">(1), 100924. </w:t>
      </w:r>
      <w:hyperlink r:id="rId145" w:history="1">
        <w:r w:rsidRPr="004B33BC">
          <w:rPr>
            <w:rStyle w:val="Hyperlink"/>
          </w:rPr>
          <w:t>https://doi.org/10.1016/j.hrmr.2022.100924</w:t>
        </w:r>
      </w:hyperlink>
    </w:p>
    <w:p w14:paraId="1FB15914" w14:textId="1B765835" w:rsidR="00707210" w:rsidRPr="004B33BC" w:rsidRDefault="00707210" w:rsidP="004B33BC">
      <w:pPr>
        <w:spacing w:line="240" w:lineRule="auto"/>
        <w:jc w:val="both"/>
      </w:pPr>
      <w:r w:rsidRPr="004B33BC">
        <w:t xml:space="preserve">Pandit, G. M. (2023). The new human capital disclosures in form 10-ks of large and small </w:t>
      </w:r>
      <w:r w:rsidR="00D961F9">
        <w:t>S&amp;P</w:t>
      </w:r>
      <w:r w:rsidRPr="004B33BC">
        <w:t xml:space="preserve"> 500 companies. </w:t>
      </w:r>
      <w:r w:rsidRPr="004B33BC">
        <w:rPr>
          <w:i/>
          <w:iCs/>
        </w:rPr>
        <w:t>Journal of Applied Business and Economics</w:t>
      </w:r>
      <w:r w:rsidRPr="004B33BC">
        <w:t xml:space="preserve">, </w:t>
      </w:r>
      <w:r w:rsidRPr="004B33BC">
        <w:rPr>
          <w:i/>
          <w:iCs/>
        </w:rPr>
        <w:t>25</w:t>
      </w:r>
      <w:r w:rsidRPr="004B33BC">
        <w:t xml:space="preserve">(6). </w:t>
      </w:r>
      <w:hyperlink r:id="rId146" w:history="1">
        <w:r w:rsidRPr="004B33BC">
          <w:rPr>
            <w:rStyle w:val="Hyperlink"/>
          </w:rPr>
          <w:t>https://doi.org/10.33423/jabe.v25i6.6567</w:t>
        </w:r>
      </w:hyperlink>
    </w:p>
    <w:p w14:paraId="71B31BBF" w14:textId="77777777" w:rsidR="00707210" w:rsidRPr="004B33BC" w:rsidRDefault="00707210" w:rsidP="004B33BC">
      <w:pPr>
        <w:spacing w:line="240" w:lineRule="auto"/>
        <w:jc w:val="both"/>
      </w:pPr>
      <w:r w:rsidRPr="004B33BC">
        <w:t xml:space="preserve">Parasa, S. K. (2024). Impact of ai in compensation management in </w:t>
      </w:r>
      <w:proofErr w:type="spellStart"/>
      <w:r w:rsidRPr="004B33BC">
        <w:t>hr</w:t>
      </w:r>
      <w:proofErr w:type="spellEnd"/>
      <w:r w:rsidRPr="004B33BC">
        <w:t xml:space="preserve"> digital transformation. </w:t>
      </w:r>
      <w:r w:rsidRPr="004B33BC">
        <w:rPr>
          <w:i/>
          <w:iCs/>
        </w:rPr>
        <w:t>International Journal of Science and Research (IJSR)</w:t>
      </w:r>
      <w:r w:rsidRPr="004B33BC">
        <w:t xml:space="preserve">, </w:t>
      </w:r>
      <w:r w:rsidRPr="004B33BC">
        <w:rPr>
          <w:i/>
          <w:iCs/>
        </w:rPr>
        <w:t>13</w:t>
      </w:r>
      <w:r w:rsidRPr="004B33BC">
        <w:t xml:space="preserve">(6), 1391–1392. </w:t>
      </w:r>
      <w:hyperlink r:id="rId147" w:history="1">
        <w:r w:rsidRPr="004B33BC">
          <w:rPr>
            <w:rStyle w:val="Hyperlink"/>
          </w:rPr>
          <w:t>https://doi.org/10.21275/sr24621182320</w:t>
        </w:r>
      </w:hyperlink>
    </w:p>
    <w:p w14:paraId="7F3C5329" w14:textId="1D5B9023" w:rsidR="00707210" w:rsidRPr="004B33BC" w:rsidRDefault="00707210" w:rsidP="004B33BC">
      <w:pPr>
        <w:spacing w:line="240" w:lineRule="auto"/>
        <w:jc w:val="both"/>
      </w:pPr>
      <w:proofErr w:type="spellStart"/>
      <w:r w:rsidRPr="004B33BC">
        <w:t>Pasigai</w:t>
      </w:r>
      <w:proofErr w:type="spellEnd"/>
      <w:r w:rsidRPr="004B33BC">
        <w:t xml:space="preserve">, M., Rachman, M., &amp; </w:t>
      </w:r>
      <w:proofErr w:type="spellStart"/>
      <w:r w:rsidRPr="004B33BC">
        <w:t>Rasulong</w:t>
      </w:r>
      <w:proofErr w:type="spellEnd"/>
      <w:r w:rsidRPr="004B33BC">
        <w:t xml:space="preserve">, I. (2025). Human capital management in the digital and </w:t>
      </w:r>
      <w:r w:rsidR="00D961F9">
        <w:t>ESG</w:t>
      </w:r>
      <w:r w:rsidRPr="004B33BC">
        <w:t xml:space="preserve"> era: A systematic review of trends, gaps and strategic implications. </w:t>
      </w:r>
      <w:r w:rsidRPr="004B33BC">
        <w:rPr>
          <w:i/>
          <w:iCs/>
        </w:rPr>
        <w:t>Cognizance Journal of Multidisciplinary Studies</w:t>
      </w:r>
      <w:r w:rsidRPr="004B33BC">
        <w:t xml:space="preserve">, </w:t>
      </w:r>
      <w:r w:rsidRPr="004B33BC">
        <w:rPr>
          <w:i/>
          <w:iCs/>
        </w:rPr>
        <w:t>5</w:t>
      </w:r>
      <w:r w:rsidRPr="004B33BC">
        <w:t xml:space="preserve">(6), 379–397. </w:t>
      </w:r>
      <w:hyperlink r:id="rId148" w:history="1">
        <w:r w:rsidRPr="004B33BC">
          <w:rPr>
            <w:rStyle w:val="Hyperlink"/>
          </w:rPr>
          <w:t>https://doi.org/10.47760/cognizance.2025.v05i06.031</w:t>
        </w:r>
      </w:hyperlink>
    </w:p>
    <w:p w14:paraId="484F57EF" w14:textId="77777777" w:rsidR="00707210" w:rsidRPr="004B33BC" w:rsidRDefault="00707210" w:rsidP="004B33BC">
      <w:pPr>
        <w:spacing w:line="240" w:lineRule="auto"/>
        <w:jc w:val="both"/>
      </w:pPr>
      <w:r w:rsidRPr="004B33BC">
        <w:lastRenderedPageBreak/>
        <w:t xml:space="preserve">Patel, S. (2025). The impact of artificial intelligence and automation on </w:t>
      </w:r>
      <w:proofErr w:type="spellStart"/>
      <w:r w:rsidRPr="004B33BC">
        <w:t>hr</w:t>
      </w:r>
      <w:proofErr w:type="spellEnd"/>
      <w:r w:rsidRPr="004B33BC">
        <w:t xml:space="preserve"> practices: Opportunities and challenges. </w:t>
      </w:r>
      <w:r w:rsidRPr="004B33BC">
        <w:rPr>
          <w:i/>
          <w:iCs/>
        </w:rPr>
        <w:t xml:space="preserve">International Journal of Scientific Research </w:t>
      </w:r>
      <w:proofErr w:type="gramStart"/>
      <w:r w:rsidRPr="004B33BC">
        <w:rPr>
          <w:i/>
          <w:iCs/>
        </w:rPr>
        <w:t>In</w:t>
      </w:r>
      <w:proofErr w:type="gramEnd"/>
      <w:r w:rsidRPr="004B33BC">
        <w:rPr>
          <w:i/>
          <w:iCs/>
        </w:rPr>
        <w:t xml:space="preserve"> Engineering and Management</w:t>
      </w:r>
      <w:r w:rsidRPr="004B33BC">
        <w:t xml:space="preserve">, </w:t>
      </w:r>
      <w:r w:rsidRPr="004B33BC">
        <w:rPr>
          <w:i/>
          <w:iCs/>
        </w:rPr>
        <w:t>09</w:t>
      </w:r>
      <w:r w:rsidRPr="004B33BC">
        <w:t xml:space="preserve">(06), 1–9. </w:t>
      </w:r>
      <w:hyperlink r:id="rId149" w:history="1">
        <w:r w:rsidRPr="004B33BC">
          <w:rPr>
            <w:rStyle w:val="Hyperlink"/>
          </w:rPr>
          <w:t>https://doi.org/10.55041/ijsrem49994</w:t>
        </w:r>
      </w:hyperlink>
    </w:p>
    <w:p w14:paraId="26ED5866" w14:textId="77777777" w:rsidR="00707210" w:rsidRPr="004B33BC" w:rsidRDefault="00707210" w:rsidP="004B33BC">
      <w:pPr>
        <w:spacing w:line="240" w:lineRule="auto"/>
        <w:jc w:val="both"/>
      </w:pPr>
      <w:proofErr w:type="spellStart"/>
      <w:r w:rsidRPr="004B33BC">
        <w:t>Pathoori</w:t>
      </w:r>
      <w:proofErr w:type="spellEnd"/>
      <w:r w:rsidRPr="004B33BC">
        <w:t xml:space="preserve">, M. R. (2025). The evolution of workforce analytics: From historical reporting to predictive decision-making. </w:t>
      </w:r>
      <w:r w:rsidRPr="004B33BC">
        <w:rPr>
          <w:i/>
          <w:iCs/>
        </w:rPr>
        <w:t>European Journal of Computer Science and Information Technology</w:t>
      </w:r>
      <w:r w:rsidRPr="004B33BC">
        <w:t xml:space="preserve">, </w:t>
      </w:r>
      <w:r w:rsidRPr="004B33BC">
        <w:rPr>
          <w:i/>
          <w:iCs/>
        </w:rPr>
        <w:t>13</w:t>
      </w:r>
      <w:r w:rsidRPr="004B33BC">
        <w:t xml:space="preserve">(46), 68–83. </w:t>
      </w:r>
      <w:hyperlink r:id="rId150" w:history="1">
        <w:r w:rsidRPr="004B33BC">
          <w:rPr>
            <w:rStyle w:val="Hyperlink"/>
          </w:rPr>
          <w:t>https://doi.org/10.37745/ejcsit.2013/vol13n466883</w:t>
        </w:r>
      </w:hyperlink>
    </w:p>
    <w:p w14:paraId="7A64FC18" w14:textId="77777777" w:rsidR="00707210" w:rsidRPr="004B33BC" w:rsidRDefault="00707210" w:rsidP="004B33BC">
      <w:pPr>
        <w:spacing w:line="240" w:lineRule="auto"/>
        <w:jc w:val="both"/>
      </w:pPr>
      <w:bookmarkStart w:id="35" w:name="_Hlk216964175"/>
      <w:bookmarkStart w:id="36" w:name="_Hlk216808284"/>
      <w:r w:rsidRPr="004B33BC">
        <w:t xml:space="preserve">Pinski, M., &amp; </w:t>
      </w:r>
      <w:proofErr w:type="spellStart"/>
      <w:r w:rsidRPr="004B33BC">
        <w:t>Benlian</w:t>
      </w:r>
      <w:proofErr w:type="spellEnd"/>
      <w:r w:rsidRPr="004B33BC">
        <w:t>, A. (2023</w:t>
      </w:r>
      <w:bookmarkEnd w:id="35"/>
      <w:r w:rsidRPr="004B33BC">
        <w:t>)</w:t>
      </w:r>
      <w:bookmarkEnd w:id="36"/>
      <w:r w:rsidRPr="004B33BC">
        <w:t xml:space="preserve">. Ai literacy - towards measuring human competency in artificial intelligence. </w:t>
      </w:r>
      <w:r w:rsidRPr="004B33BC">
        <w:rPr>
          <w:i/>
          <w:iCs/>
        </w:rPr>
        <w:t>Proceedings of the 56th Hawaii International Conference on System Sciences</w:t>
      </w:r>
      <w:r w:rsidRPr="004B33BC">
        <w:t xml:space="preserve">, 165–174. </w:t>
      </w:r>
      <w:hyperlink r:id="rId151" w:history="1">
        <w:r w:rsidRPr="004B33BC">
          <w:rPr>
            <w:rStyle w:val="Hyperlink"/>
          </w:rPr>
          <w:t>https://doi.org/10.24251/hicss.2023.021</w:t>
        </w:r>
      </w:hyperlink>
    </w:p>
    <w:p w14:paraId="0F282A05" w14:textId="77777777" w:rsidR="00707210" w:rsidRPr="004B33BC" w:rsidRDefault="00707210" w:rsidP="004B33BC">
      <w:pPr>
        <w:spacing w:line="240" w:lineRule="auto"/>
        <w:jc w:val="both"/>
      </w:pPr>
      <w:proofErr w:type="spellStart"/>
      <w:r w:rsidRPr="004B33BC">
        <w:t>Ployhart</w:t>
      </w:r>
      <w:proofErr w:type="spellEnd"/>
      <w:r w:rsidRPr="004B33BC">
        <w:t xml:space="preserve">, R. E. (2021). Resources for what? understanding performance in the resource-based view and strategic human capital resource literatures. </w:t>
      </w:r>
      <w:r w:rsidRPr="004B33BC">
        <w:rPr>
          <w:i/>
          <w:iCs/>
        </w:rPr>
        <w:t>Journal of Management</w:t>
      </w:r>
      <w:r w:rsidRPr="004B33BC">
        <w:t xml:space="preserve">, </w:t>
      </w:r>
      <w:r w:rsidRPr="004B33BC">
        <w:rPr>
          <w:i/>
          <w:iCs/>
        </w:rPr>
        <w:t>47</w:t>
      </w:r>
      <w:r w:rsidRPr="004B33BC">
        <w:t xml:space="preserve">(7), 1771–1786. </w:t>
      </w:r>
      <w:hyperlink r:id="rId152" w:history="1">
        <w:r w:rsidRPr="004B33BC">
          <w:rPr>
            <w:rStyle w:val="Hyperlink"/>
          </w:rPr>
          <w:t>https://doi.org/10.1177/01492063211003137</w:t>
        </w:r>
      </w:hyperlink>
    </w:p>
    <w:p w14:paraId="12E0BAB1" w14:textId="77777777" w:rsidR="00707210" w:rsidRPr="004B33BC" w:rsidRDefault="00707210" w:rsidP="004B33BC">
      <w:pPr>
        <w:spacing w:line="240" w:lineRule="auto"/>
        <w:jc w:val="both"/>
      </w:pPr>
      <w:r w:rsidRPr="004B33BC">
        <w:rPr>
          <w:lang w:val="de-DE"/>
        </w:rPr>
        <w:t xml:space="preserve">Podsakoff, P. M., MacKenzie, S. B., Lee, J.-Y., &amp; Podsakoff, N. P. (2003). </w:t>
      </w:r>
      <w:r w:rsidRPr="004B33BC">
        <w:t xml:space="preserve">Common method biases in behavioral research: A critical review of the literature and recommended remedies. </w:t>
      </w:r>
      <w:r w:rsidRPr="004B33BC">
        <w:rPr>
          <w:i/>
          <w:iCs/>
        </w:rPr>
        <w:t>Journal of Applied Psychology</w:t>
      </w:r>
      <w:r w:rsidRPr="004B33BC">
        <w:t xml:space="preserve">, </w:t>
      </w:r>
      <w:r w:rsidRPr="004B33BC">
        <w:rPr>
          <w:i/>
          <w:iCs/>
        </w:rPr>
        <w:t>88</w:t>
      </w:r>
      <w:r w:rsidRPr="004B33BC">
        <w:t xml:space="preserve">(5), 879–903. </w:t>
      </w:r>
      <w:hyperlink r:id="rId153" w:history="1">
        <w:r w:rsidRPr="004B33BC">
          <w:rPr>
            <w:rStyle w:val="Hyperlink"/>
          </w:rPr>
          <w:t>https://doi.org/10.1037/0021-9010.88.5.879</w:t>
        </w:r>
      </w:hyperlink>
    </w:p>
    <w:p w14:paraId="5266C69B" w14:textId="77777777" w:rsidR="00707210" w:rsidRPr="004B33BC" w:rsidRDefault="00707210" w:rsidP="004B33BC">
      <w:pPr>
        <w:spacing w:line="240" w:lineRule="auto"/>
        <w:jc w:val="both"/>
      </w:pPr>
      <w:r w:rsidRPr="004B33BC">
        <w:t xml:space="preserve">Pokala, P. (2025). The integration and impact of artificial intelligence in modern enterprise resource planning systems: A comprehensive review. </w:t>
      </w:r>
      <w:r w:rsidRPr="004B33BC">
        <w:rPr>
          <w:i/>
          <w:iCs/>
        </w:rPr>
        <w:t>SSRN Electronic Journal</w:t>
      </w:r>
      <w:r w:rsidRPr="004B33BC">
        <w:t xml:space="preserve">, </w:t>
      </w:r>
      <w:r w:rsidRPr="004B33BC">
        <w:rPr>
          <w:i/>
          <w:iCs/>
        </w:rPr>
        <w:t>15</w:t>
      </w:r>
      <w:r w:rsidRPr="004B33BC">
        <w:t xml:space="preserve">(6), 79–88. </w:t>
      </w:r>
      <w:hyperlink r:id="rId154" w:history="1">
        <w:r w:rsidRPr="004B33BC">
          <w:rPr>
            <w:rStyle w:val="Hyperlink"/>
          </w:rPr>
          <w:t>https://doi.org/10.2139/ssrn.5069295</w:t>
        </w:r>
      </w:hyperlink>
    </w:p>
    <w:p w14:paraId="4BDE0BE3" w14:textId="5CB54B2E" w:rsidR="00707210" w:rsidRPr="004B33BC" w:rsidRDefault="00707210" w:rsidP="004B33BC">
      <w:pPr>
        <w:spacing w:line="240" w:lineRule="auto"/>
        <w:jc w:val="both"/>
      </w:pPr>
      <w:proofErr w:type="spellStart"/>
      <w:r w:rsidRPr="004B33BC">
        <w:t>Prasetia</w:t>
      </w:r>
      <w:proofErr w:type="spellEnd"/>
      <w:r w:rsidRPr="004B33BC">
        <w:t xml:space="preserve">, D., &amp; Maisarah, S. N. (2025). Human Capital accounting: A literature review of valuation, disclosure, and organizational impact. </w:t>
      </w:r>
      <w:r w:rsidRPr="004B33BC">
        <w:rPr>
          <w:i/>
          <w:iCs/>
        </w:rPr>
        <w:t xml:space="preserve">Citizen: </w:t>
      </w:r>
      <w:proofErr w:type="spellStart"/>
      <w:r w:rsidRPr="004B33BC">
        <w:rPr>
          <w:i/>
          <w:iCs/>
        </w:rPr>
        <w:t>Jurnal</w:t>
      </w:r>
      <w:proofErr w:type="spellEnd"/>
      <w:r w:rsidRPr="004B33BC">
        <w:rPr>
          <w:i/>
          <w:iCs/>
        </w:rPr>
        <w:t xml:space="preserve"> </w:t>
      </w:r>
      <w:proofErr w:type="spellStart"/>
      <w:r w:rsidRPr="004B33BC">
        <w:rPr>
          <w:i/>
          <w:iCs/>
        </w:rPr>
        <w:t>Ilmiah</w:t>
      </w:r>
      <w:proofErr w:type="spellEnd"/>
      <w:r w:rsidRPr="004B33BC">
        <w:rPr>
          <w:i/>
          <w:iCs/>
        </w:rPr>
        <w:t xml:space="preserve"> </w:t>
      </w:r>
      <w:proofErr w:type="spellStart"/>
      <w:r w:rsidRPr="004B33BC">
        <w:rPr>
          <w:i/>
          <w:iCs/>
        </w:rPr>
        <w:t>Multidisiplin</w:t>
      </w:r>
      <w:proofErr w:type="spellEnd"/>
      <w:r w:rsidRPr="004B33BC">
        <w:rPr>
          <w:i/>
          <w:iCs/>
        </w:rPr>
        <w:t xml:space="preserve"> Indonesia</w:t>
      </w:r>
      <w:r w:rsidRPr="004B33BC">
        <w:t xml:space="preserve">, </w:t>
      </w:r>
      <w:r w:rsidRPr="004B33BC">
        <w:rPr>
          <w:i/>
          <w:iCs/>
        </w:rPr>
        <w:t>5</w:t>
      </w:r>
      <w:r w:rsidRPr="004B33BC">
        <w:t xml:space="preserve">(4), 965–971. </w:t>
      </w:r>
      <w:hyperlink r:id="rId155" w:history="1">
        <w:r w:rsidRPr="004B33BC">
          <w:rPr>
            <w:rStyle w:val="Hyperlink"/>
          </w:rPr>
          <w:t>https://doi.org/10.53866/jimi.v5i4.939</w:t>
        </w:r>
      </w:hyperlink>
    </w:p>
    <w:p w14:paraId="207AECAB" w14:textId="77777777" w:rsidR="00707210" w:rsidRPr="004B33BC" w:rsidRDefault="00707210" w:rsidP="004B33BC">
      <w:pPr>
        <w:spacing w:line="240" w:lineRule="auto"/>
        <w:jc w:val="both"/>
      </w:pPr>
      <w:r w:rsidRPr="004B33BC">
        <w:t xml:space="preserve">Preacher, K. J., &amp; Hayes, A. F. (2008). Asymptotic and resampling strategies for assessing and comparing indirect effects in multiple mediator models. </w:t>
      </w:r>
      <w:r w:rsidRPr="004B33BC">
        <w:rPr>
          <w:i/>
          <w:iCs/>
        </w:rPr>
        <w:t>Behavior Research Methods</w:t>
      </w:r>
      <w:r w:rsidRPr="004B33BC">
        <w:t xml:space="preserve">, </w:t>
      </w:r>
      <w:r w:rsidRPr="004B33BC">
        <w:rPr>
          <w:i/>
          <w:iCs/>
        </w:rPr>
        <w:t>40</w:t>
      </w:r>
      <w:r w:rsidRPr="004B33BC">
        <w:t xml:space="preserve">(3), 879–891. </w:t>
      </w:r>
      <w:hyperlink r:id="rId156" w:history="1">
        <w:r w:rsidRPr="004B33BC">
          <w:rPr>
            <w:rStyle w:val="Hyperlink"/>
          </w:rPr>
          <w:t>https://doi.org/10.3758/brm.40.3.879</w:t>
        </w:r>
      </w:hyperlink>
    </w:p>
    <w:p w14:paraId="7D43B0B3" w14:textId="77777777" w:rsidR="00707210" w:rsidRPr="004B33BC" w:rsidRDefault="00707210" w:rsidP="004B33BC">
      <w:pPr>
        <w:spacing w:line="240" w:lineRule="auto"/>
        <w:jc w:val="both"/>
      </w:pPr>
      <w:r w:rsidRPr="004B33BC">
        <w:t xml:space="preserve">Raimo, N., Ricciardelli, A., Rubino, M., &amp; </w:t>
      </w:r>
      <w:proofErr w:type="spellStart"/>
      <w:r w:rsidRPr="004B33BC">
        <w:t>Vitolla</w:t>
      </w:r>
      <w:proofErr w:type="spellEnd"/>
      <w:r w:rsidRPr="004B33BC">
        <w:t xml:space="preserve">, F. (2020). Factors affecting human capital disclosure in an integrated reporting perspective. </w:t>
      </w:r>
      <w:r w:rsidRPr="004B33BC">
        <w:rPr>
          <w:i/>
          <w:iCs/>
        </w:rPr>
        <w:t>Measuring Business Excellence</w:t>
      </w:r>
      <w:r w:rsidRPr="004B33BC">
        <w:t xml:space="preserve">, </w:t>
      </w:r>
      <w:r w:rsidRPr="004B33BC">
        <w:rPr>
          <w:i/>
          <w:iCs/>
        </w:rPr>
        <w:t>24</w:t>
      </w:r>
      <w:r w:rsidRPr="004B33BC">
        <w:t xml:space="preserve">(4), 575–592. </w:t>
      </w:r>
      <w:hyperlink r:id="rId157" w:history="1">
        <w:r w:rsidRPr="004B33BC">
          <w:rPr>
            <w:rStyle w:val="Hyperlink"/>
          </w:rPr>
          <w:t>https://doi.org/10.1108/mbe-05-2020-0082</w:t>
        </w:r>
      </w:hyperlink>
    </w:p>
    <w:p w14:paraId="28DEB7B1" w14:textId="77777777" w:rsidR="00707210" w:rsidRPr="004B33BC" w:rsidRDefault="00707210" w:rsidP="004B33BC">
      <w:pPr>
        <w:spacing w:line="240" w:lineRule="auto"/>
        <w:jc w:val="both"/>
      </w:pPr>
      <w:r w:rsidRPr="004B33BC">
        <w:t xml:space="preserve">Ray, J. V. (2020). </w:t>
      </w:r>
      <w:r w:rsidRPr="004B33BC">
        <w:rPr>
          <w:i/>
          <w:iCs/>
        </w:rPr>
        <w:t>Cross-sectional research designs in criminology and criminal justice</w:t>
      </w:r>
      <w:r w:rsidRPr="004B33BC">
        <w:t xml:space="preserve"> (Oxford Bibliographies). </w:t>
      </w:r>
      <w:hyperlink r:id="rId158" w:history="1">
        <w:r w:rsidRPr="004B33BC">
          <w:rPr>
            <w:rStyle w:val="Hyperlink"/>
          </w:rPr>
          <w:t>https://doi.org/10.1093/obo/9780195396607-0281</w:t>
        </w:r>
      </w:hyperlink>
    </w:p>
    <w:p w14:paraId="0339D41A" w14:textId="77777777" w:rsidR="00707210" w:rsidRPr="004B33BC" w:rsidRDefault="00707210" w:rsidP="004B33BC">
      <w:pPr>
        <w:spacing w:line="240" w:lineRule="auto"/>
        <w:jc w:val="both"/>
      </w:pPr>
      <w:r w:rsidRPr="004B33BC">
        <w:t xml:space="preserve">Ricci, L., Lanfranchi, J.-B., </w:t>
      </w:r>
      <w:proofErr w:type="spellStart"/>
      <w:r w:rsidRPr="004B33BC">
        <w:t>Lemetayer</w:t>
      </w:r>
      <w:proofErr w:type="spellEnd"/>
      <w:r w:rsidRPr="004B33BC">
        <w:t xml:space="preserve">, F., Rotonda, C., Guillemin, F., Coste, J., &amp; Spitz, E. (2018). Qualitative methods used to generate questionnaire items: A systematic review. </w:t>
      </w:r>
      <w:r w:rsidRPr="004B33BC">
        <w:rPr>
          <w:i/>
          <w:iCs/>
        </w:rPr>
        <w:t>Qualitative Health Research</w:t>
      </w:r>
      <w:r w:rsidRPr="004B33BC">
        <w:t xml:space="preserve">, </w:t>
      </w:r>
      <w:r w:rsidRPr="004B33BC">
        <w:rPr>
          <w:i/>
          <w:iCs/>
        </w:rPr>
        <w:t>29</w:t>
      </w:r>
      <w:r w:rsidRPr="004B33BC">
        <w:t xml:space="preserve">(1), 149–156. </w:t>
      </w:r>
      <w:hyperlink r:id="rId159" w:history="1">
        <w:r w:rsidRPr="004B33BC">
          <w:rPr>
            <w:rStyle w:val="Hyperlink"/>
          </w:rPr>
          <w:t>https://doi.org/10.1177/1049732318783186</w:t>
        </w:r>
      </w:hyperlink>
    </w:p>
    <w:p w14:paraId="5C8A91E8" w14:textId="77777777" w:rsidR="00707210" w:rsidRPr="004B33BC" w:rsidRDefault="00707210" w:rsidP="004B33BC">
      <w:pPr>
        <w:spacing w:line="240" w:lineRule="auto"/>
        <w:jc w:val="both"/>
      </w:pPr>
      <w:r w:rsidRPr="004B33BC">
        <w:t xml:space="preserve">Rosenfeld, J., Oswalt, M. M., &amp; Denice, P. (2023). Power and pay secrecy. </w:t>
      </w:r>
      <w:r w:rsidRPr="004B33BC">
        <w:rPr>
          <w:i/>
          <w:iCs/>
        </w:rPr>
        <w:t>SSRN Electronic Journal</w:t>
      </w:r>
      <w:r w:rsidRPr="004B33BC">
        <w:t xml:space="preserve">. </w:t>
      </w:r>
      <w:hyperlink r:id="rId160" w:history="1">
        <w:r w:rsidRPr="004B33BC">
          <w:rPr>
            <w:rStyle w:val="Hyperlink"/>
          </w:rPr>
          <w:t>https://doi.org/10.2139/ssrn.4471187</w:t>
        </w:r>
      </w:hyperlink>
    </w:p>
    <w:p w14:paraId="3229473F" w14:textId="77777777" w:rsidR="00707210" w:rsidRPr="004B33BC" w:rsidRDefault="00707210" w:rsidP="004B33BC">
      <w:pPr>
        <w:spacing w:line="240" w:lineRule="auto"/>
        <w:jc w:val="both"/>
      </w:pPr>
      <w:r w:rsidRPr="004B33BC">
        <w:rPr>
          <w:lang w:val="de-DE"/>
        </w:rPr>
        <w:t xml:space="preserve">Saba, T., Hubert, A., &amp; Bernet, M. (2024). </w:t>
      </w:r>
      <w:r w:rsidRPr="004B33BC">
        <w:rPr>
          <w:i/>
          <w:iCs/>
        </w:rPr>
        <w:t>Shaping human capital standards: Exploring the intersections of the future of work and artificial intelligence</w:t>
      </w:r>
      <w:r w:rsidRPr="004B33BC">
        <w:t xml:space="preserve">. </w:t>
      </w:r>
      <w:proofErr w:type="spellStart"/>
      <w:r w:rsidRPr="004B33BC">
        <w:t>Obvia</w:t>
      </w:r>
      <w:proofErr w:type="spellEnd"/>
      <w:r w:rsidRPr="004B33BC">
        <w:t xml:space="preserve">. </w:t>
      </w:r>
      <w:hyperlink r:id="rId161" w:history="1">
        <w:r w:rsidRPr="004B33BC">
          <w:rPr>
            <w:rStyle w:val="Hyperlink"/>
          </w:rPr>
          <w:t>https://doi.org/10.61737/nnso3210</w:t>
        </w:r>
      </w:hyperlink>
    </w:p>
    <w:p w14:paraId="749F16B2" w14:textId="207D6191" w:rsidR="00707210" w:rsidRPr="004B33BC" w:rsidRDefault="00707210" w:rsidP="004B33BC">
      <w:pPr>
        <w:spacing w:line="240" w:lineRule="auto"/>
        <w:jc w:val="both"/>
      </w:pPr>
      <w:r w:rsidRPr="004B33BC">
        <w:rPr>
          <w:lang w:val="de-DE"/>
        </w:rPr>
        <w:lastRenderedPageBreak/>
        <w:t xml:space="preserve">Sahari, S., Nichol, E., &amp; Yusof, S. (2018). </w:t>
      </w:r>
      <w:r w:rsidRPr="004B33BC">
        <w:t xml:space="preserve">Stakeholders' expectations on human capital disclosure vs. corporate reporting practice in </w:t>
      </w:r>
      <w:r w:rsidR="00D961F9">
        <w:t>M</w:t>
      </w:r>
      <w:r w:rsidRPr="004B33BC">
        <w:t xml:space="preserve">alaysia. </w:t>
      </w:r>
      <w:r w:rsidRPr="004B33BC">
        <w:rPr>
          <w:i/>
          <w:iCs/>
        </w:rPr>
        <w:t>International Business Research</w:t>
      </w:r>
      <w:r w:rsidRPr="004B33BC">
        <w:t xml:space="preserve">, </w:t>
      </w:r>
      <w:r w:rsidRPr="004B33BC">
        <w:rPr>
          <w:i/>
          <w:iCs/>
        </w:rPr>
        <w:t>12</w:t>
      </w:r>
      <w:r w:rsidRPr="004B33BC">
        <w:t xml:space="preserve">(1), 148. </w:t>
      </w:r>
      <w:hyperlink r:id="rId162" w:history="1">
        <w:r w:rsidRPr="004B33BC">
          <w:rPr>
            <w:rStyle w:val="Hyperlink"/>
          </w:rPr>
          <w:t>https://doi.org/10.5539/ibr.v12n1p148</w:t>
        </w:r>
      </w:hyperlink>
    </w:p>
    <w:p w14:paraId="1636B090" w14:textId="77777777" w:rsidR="00707210" w:rsidRPr="004B33BC" w:rsidRDefault="00707210" w:rsidP="004B33BC">
      <w:pPr>
        <w:spacing w:line="240" w:lineRule="auto"/>
        <w:jc w:val="both"/>
      </w:pPr>
      <w:r w:rsidRPr="004B33BC">
        <w:t xml:space="preserve">Saldaña, J. (2025). </w:t>
      </w:r>
      <w:r w:rsidRPr="004B33BC">
        <w:rPr>
          <w:i/>
          <w:iCs/>
        </w:rPr>
        <w:t>The coding manual for qualitative researchers</w:t>
      </w:r>
      <w:r w:rsidRPr="004B33BC">
        <w:t xml:space="preserve"> (5th ed.). SAGE </w:t>
      </w:r>
      <w:proofErr w:type="gramStart"/>
      <w:r w:rsidRPr="004B33BC">
        <w:t>Publications,</w:t>
      </w:r>
      <w:proofErr w:type="gramEnd"/>
      <w:r w:rsidRPr="004B33BC">
        <w:t xml:space="preserve"> Ltd. (UK).</w:t>
      </w:r>
    </w:p>
    <w:p w14:paraId="4B204E91" w14:textId="097774FC" w:rsidR="00707210" w:rsidRPr="004B33BC" w:rsidRDefault="00707210" w:rsidP="004B33BC">
      <w:pPr>
        <w:spacing w:line="240" w:lineRule="auto"/>
        <w:jc w:val="both"/>
      </w:pPr>
      <w:r w:rsidRPr="004B33BC">
        <w:t xml:space="preserve">Santos, M. G. D., Borini, F., Pereira, R., &amp; Raziq, M. (2020). Institutional pressures and the diffusion of organizational innovation: Evidence from </w:t>
      </w:r>
      <w:r w:rsidR="00D961F9">
        <w:t>B</w:t>
      </w:r>
      <w:r w:rsidRPr="004B33BC">
        <w:t xml:space="preserve">razilian firms. </w:t>
      </w:r>
      <w:r w:rsidRPr="004B33BC">
        <w:rPr>
          <w:i/>
          <w:iCs/>
        </w:rPr>
        <w:t>Technology Analysis &amp; Strategic Management</w:t>
      </w:r>
      <w:r w:rsidRPr="004B33BC">
        <w:t xml:space="preserve">, </w:t>
      </w:r>
      <w:r w:rsidRPr="004B33BC">
        <w:rPr>
          <w:i/>
          <w:iCs/>
        </w:rPr>
        <w:t>32</w:t>
      </w:r>
      <w:r w:rsidRPr="004B33BC">
        <w:t xml:space="preserve">(7), 869–880. </w:t>
      </w:r>
      <w:hyperlink r:id="rId163" w:history="1">
        <w:r w:rsidRPr="004B33BC">
          <w:rPr>
            <w:rStyle w:val="Hyperlink"/>
          </w:rPr>
          <w:t>https://doi.org/10.1080/09537325.2020.1718089</w:t>
        </w:r>
      </w:hyperlink>
    </w:p>
    <w:p w14:paraId="3172EABE" w14:textId="24F9ACAC" w:rsidR="00707210" w:rsidRPr="004B33BC" w:rsidRDefault="00707210" w:rsidP="004B33BC">
      <w:pPr>
        <w:spacing w:line="240" w:lineRule="auto"/>
        <w:jc w:val="both"/>
      </w:pPr>
      <w:r w:rsidRPr="004B33BC">
        <w:rPr>
          <w:lang w:val="de-DE"/>
        </w:rPr>
        <w:t xml:space="preserve">Sardana, A., Sethuraman, S., &amp; Kalyanasundaram, P. (2024). </w:t>
      </w:r>
      <w:r w:rsidRPr="004B33BC">
        <w:t xml:space="preserve">Compliance-as-code 2.0: Orchestrating regulatory operations with agentic </w:t>
      </w:r>
      <w:r w:rsidR="00D961F9">
        <w:t>AI</w:t>
      </w:r>
      <w:r w:rsidRPr="004B33BC">
        <w:t xml:space="preserve">. </w:t>
      </w:r>
      <w:r w:rsidRPr="004B33BC">
        <w:rPr>
          <w:i/>
          <w:iCs/>
        </w:rPr>
        <w:t>Journal of Artificial Intelligence General science (JAIGS) ISSN:3006-4023</w:t>
      </w:r>
      <w:r w:rsidRPr="004B33BC">
        <w:t xml:space="preserve">, </w:t>
      </w:r>
      <w:r w:rsidRPr="004B33BC">
        <w:rPr>
          <w:i/>
          <w:iCs/>
        </w:rPr>
        <w:t>5</w:t>
      </w:r>
      <w:r w:rsidRPr="004B33BC">
        <w:t xml:space="preserve">(1), 546–563. </w:t>
      </w:r>
      <w:hyperlink r:id="rId164" w:history="1">
        <w:r w:rsidRPr="004B33BC">
          <w:rPr>
            <w:rStyle w:val="Hyperlink"/>
          </w:rPr>
          <w:t>https://doi.org/10.60087/jaigs.v5i1.366</w:t>
        </w:r>
      </w:hyperlink>
    </w:p>
    <w:p w14:paraId="20A43B3D" w14:textId="77777777" w:rsidR="00707210" w:rsidRPr="004B33BC" w:rsidRDefault="00707210" w:rsidP="004B33BC">
      <w:pPr>
        <w:spacing w:line="240" w:lineRule="auto"/>
        <w:jc w:val="both"/>
      </w:pPr>
      <w:r w:rsidRPr="004B33BC">
        <w:rPr>
          <w:lang w:val="de-DE"/>
        </w:rPr>
        <w:t xml:space="preserve">Sataloff, R. T., &amp; Vontela, S. (2021). </w:t>
      </w:r>
      <w:r w:rsidRPr="004B33BC">
        <w:t xml:space="preserve">Response rates in survey research. </w:t>
      </w:r>
      <w:r w:rsidRPr="004B33BC">
        <w:rPr>
          <w:i/>
          <w:iCs/>
        </w:rPr>
        <w:t>Journal of Voice</w:t>
      </w:r>
      <w:r w:rsidRPr="004B33BC">
        <w:t xml:space="preserve">, </w:t>
      </w:r>
      <w:r w:rsidRPr="004B33BC">
        <w:rPr>
          <w:i/>
          <w:iCs/>
        </w:rPr>
        <w:t>35</w:t>
      </w:r>
      <w:r w:rsidRPr="004B33BC">
        <w:t xml:space="preserve">(5), 683–684. </w:t>
      </w:r>
      <w:hyperlink r:id="rId165" w:history="1">
        <w:r w:rsidRPr="004B33BC">
          <w:rPr>
            <w:rStyle w:val="Hyperlink"/>
          </w:rPr>
          <w:t>https://doi.org/10.1016/j.jvoice.2020.12.043</w:t>
        </w:r>
      </w:hyperlink>
    </w:p>
    <w:p w14:paraId="5781602F" w14:textId="62DFD997" w:rsidR="00707210" w:rsidRPr="004B33BC" w:rsidRDefault="00707210" w:rsidP="004B33BC">
      <w:pPr>
        <w:spacing w:line="240" w:lineRule="auto"/>
        <w:jc w:val="both"/>
      </w:pPr>
      <w:proofErr w:type="spellStart"/>
      <w:r w:rsidRPr="004B33BC">
        <w:t>Sawangrat</w:t>
      </w:r>
      <w:proofErr w:type="spellEnd"/>
      <w:r w:rsidRPr="004B33BC">
        <w:t xml:space="preserve">, N. (2024). Approaches to developing the manufacturing industry of small and medium enterprises for readiness towards large businesses in </w:t>
      </w:r>
      <w:r w:rsidR="00D961F9">
        <w:t>T</w:t>
      </w:r>
      <w:r w:rsidRPr="004B33BC">
        <w:t xml:space="preserve">hailand. </w:t>
      </w:r>
      <w:r w:rsidRPr="004B33BC">
        <w:rPr>
          <w:i/>
          <w:iCs/>
        </w:rPr>
        <w:t>Community and Social Development Journal</w:t>
      </w:r>
      <w:r w:rsidRPr="004B33BC">
        <w:t xml:space="preserve">, </w:t>
      </w:r>
      <w:r w:rsidRPr="004B33BC">
        <w:rPr>
          <w:i/>
          <w:iCs/>
        </w:rPr>
        <w:t>25</w:t>
      </w:r>
      <w:r w:rsidRPr="004B33BC">
        <w:t xml:space="preserve">(2), 79–94. </w:t>
      </w:r>
      <w:hyperlink r:id="rId166" w:history="1">
        <w:r w:rsidRPr="004B33BC">
          <w:rPr>
            <w:rStyle w:val="Hyperlink"/>
          </w:rPr>
          <w:t>https://doi.org/10.57260/csdj.2024.267104</w:t>
        </w:r>
      </w:hyperlink>
    </w:p>
    <w:p w14:paraId="1953E0CA" w14:textId="0B811EC6" w:rsidR="00707210" w:rsidRPr="004B33BC" w:rsidRDefault="00707210" w:rsidP="004B33BC">
      <w:pPr>
        <w:spacing w:line="240" w:lineRule="auto"/>
        <w:jc w:val="both"/>
      </w:pPr>
      <w:r w:rsidRPr="004B33BC">
        <w:t xml:space="preserve">Sawant, K., </w:t>
      </w:r>
      <w:proofErr w:type="spellStart"/>
      <w:r w:rsidRPr="004B33BC">
        <w:t>Parhi</w:t>
      </w:r>
      <w:proofErr w:type="spellEnd"/>
      <w:r w:rsidRPr="004B33BC">
        <w:t xml:space="preserve">, A., &amp; Soni, H. (2025). Human capital valuation in financial forecasting: The role of </w:t>
      </w:r>
      <w:r w:rsidR="00D961F9">
        <w:t>AI</w:t>
      </w:r>
      <w:r w:rsidRPr="004B33BC">
        <w:t xml:space="preserve"> in workforce investment decisions. </w:t>
      </w:r>
      <w:r w:rsidRPr="004B33BC">
        <w:rPr>
          <w:i/>
          <w:iCs/>
        </w:rPr>
        <w:t>International Journal of Environmental Sciences</w:t>
      </w:r>
      <w:r w:rsidRPr="004B33BC">
        <w:t xml:space="preserve">, </w:t>
      </w:r>
      <w:r w:rsidRPr="004B33BC">
        <w:rPr>
          <w:i/>
          <w:iCs/>
        </w:rPr>
        <w:t>11</w:t>
      </w:r>
      <w:r w:rsidRPr="004B33BC">
        <w:t xml:space="preserve">(9s), 862–875. </w:t>
      </w:r>
      <w:hyperlink r:id="rId167" w:history="1">
        <w:r w:rsidRPr="004B33BC">
          <w:rPr>
            <w:rStyle w:val="Hyperlink"/>
          </w:rPr>
          <w:t>https://doi.org/10.64252/ddhf8863</w:t>
        </w:r>
      </w:hyperlink>
    </w:p>
    <w:p w14:paraId="41E36692" w14:textId="77777777" w:rsidR="00707210" w:rsidRPr="004B33BC" w:rsidRDefault="00707210" w:rsidP="004B33BC">
      <w:pPr>
        <w:spacing w:line="240" w:lineRule="auto"/>
        <w:jc w:val="both"/>
      </w:pPr>
      <w:r w:rsidRPr="004B33BC">
        <w:t xml:space="preserve">Schweber, L., &amp; Chow, V. (2023). Theory and the contribution of qualitative research to construction management research. In </w:t>
      </w:r>
      <w:r w:rsidRPr="004B33BC">
        <w:rPr>
          <w:i/>
          <w:iCs/>
        </w:rPr>
        <w:t>A research agenda for construction management</w:t>
      </w:r>
      <w:r w:rsidRPr="004B33BC">
        <w:t xml:space="preserve"> (pp. 67–92). Edward Elgar Publishing. </w:t>
      </w:r>
      <w:hyperlink r:id="rId168" w:history="1">
        <w:r w:rsidRPr="004B33BC">
          <w:rPr>
            <w:rStyle w:val="Hyperlink"/>
          </w:rPr>
          <w:t>https://doi.org/10.4337/9781800375451.00010</w:t>
        </w:r>
      </w:hyperlink>
    </w:p>
    <w:p w14:paraId="4BE2C9ED" w14:textId="77777777" w:rsidR="00707210" w:rsidRPr="004B33BC" w:rsidRDefault="00707210" w:rsidP="004B33BC">
      <w:pPr>
        <w:spacing w:line="240" w:lineRule="auto"/>
        <w:jc w:val="both"/>
      </w:pPr>
      <w:bookmarkStart w:id="37" w:name="_Hlk216868863"/>
      <w:proofErr w:type="spellStart"/>
      <w:r w:rsidRPr="004B33BC">
        <w:t>Selvamohana</w:t>
      </w:r>
      <w:bookmarkEnd w:id="37"/>
      <w:proofErr w:type="spellEnd"/>
      <w:r w:rsidRPr="004B33BC">
        <w:t xml:space="preserve">, K. (2025). From </w:t>
      </w:r>
      <w:proofErr w:type="spellStart"/>
      <w:r w:rsidRPr="004B33BC">
        <w:t>hr</w:t>
      </w:r>
      <w:proofErr w:type="spellEnd"/>
      <w:r w:rsidRPr="004B33BC">
        <w:t xml:space="preserve"> analytics to ai-driven </w:t>
      </w:r>
      <w:proofErr w:type="spellStart"/>
      <w:r w:rsidRPr="004B33BC">
        <w:t>hrm</w:t>
      </w:r>
      <w:proofErr w:type="spellEnd"/>
      <w:r w:rsidRPr="004B33BC">
        <w:t xml:space="preserve">: Enhancing workforce productivity and engagement. </w:t>
      </w:r>
      <w:r w:rsidRPr="004B33BC">
        <w:rPr>
          <w:i/>
          <w:iCs/>
        </w:rPr>
        <w:t>Journal of Information Systems Engineering and Management</w:t>
      </w:r>
      <w:r w:rsidRPr="004B33BC">
        <w:t xml:space="preserve">, </w:t>
      </w:r>
      <w:r w:rsidRPr="004B33BC">
        <w:rPr>
          <w:i/>
          <w:iCs/>
        </w:rPr>
        <w:t>10</w:t>
      </w:r>
      <w:r w:rsidRPr="004B33BC">
        <w:t xml:space="preserve">(21s), 578–585. </w:t>
      </w:r>
      <w:hyperlink r:id="rId169" w:history="1">
        <w:r w:rsidRPr="004B33BC">
          <w:rPr>
            <w:rStyle w:val="Hyperlink"/>
          </w:rPr>
          <w:t>https://doi.org/10.52783/jisem.v10i21s.3395</w:t>
        </w:r>
      </w:hyperlink>
    </w:p>
    <w:p w14:paraId="56696F99" w14:textId="77777777" w:rsidR="00707210" w:rsidRPr="004B33BC" w:rsidRDefault="00707210" w:rsidP="004B33BC">
      <w:pPr>
        <w:spacing w:line="240" w:lineRule="auto"/>
        <w:jc w:val="both"/>
      </w:pPr>
      <w:r w:rsidRPr="004B33BC">
        <w:t xml:space="preserve">Shenton, A. K. (2004). Strategies for ensuring trustworthiness in qualitative research projects. </w:t>
      </w:r>
      <w:r w:rsidRPr="004B33BC">
        <w:rPr>
          <w:i/>
          <w:iCs/>
        </w:rPr>
        <w:t>Education for Information</w:t>
      </w:r>
      <w:r w:rsidRPr="004B33BC">
        <w:t xml:space="preserve">, </w:t>
      </w:r>
      <w:r w:rsidRPr="004B33BC">
        <w:rPr>
          <w:i/>
          <w:iCs/>
        </w:rPr>
        <w:t>22</w:t>
      </w:r>
      <w:r w:rsidRPr="004B33BC">
        <w:t xml:space="preserve">(2), 63–75. </w:t>
      </w:r>
      <w:hyperlink r:id="rId170" w:history="1">
        <w:r w:rsidRPr="004B33BC">
          <w:rPr>
            <w:rStyle w:val="Hyperlink"/>
          </w:rPr>
          <w:t>https://doi.org/10.3233/efi-2004-22201</w:t>
        </w:r>
      </w:hyperlink>
    </w:p>
    <w:p w14:paraId="25EB2D01" w14:textId="010D595D" w:rsidR="00707210" w:rsidRPr="004B33BC" w:rsidRDefault="00707210" w:rsidP="004B33BC">
      <w:pPr>
        <w:spacing w:line="240" w:lineRule="auto"/>
        <w:jc w:val="both"/>
      </w:pPr>
      <w:r w:rsidRPr="004B33BC">
        <w:t xml:space="preserve">Sherer, S. A., Meyerhoefer, C. D., &amp; Peng, L. (2016). Applying institutional theory to the adoption of electronic health records in the </w:t>
      </w:r>
      <w:r w:rsidR="00D961F9">
        <w:t>U.S</w:t>
      </w:r>
      <w:r w:rsidRPr="004B33BC">
        <w:t xml:space="preserve">. </w:t>
      </w:r>
      <w:r w:rsidRPr="004B33BC">
        <w:rPr>
          <w:i/>
          <w:iCs/>
        </w:rPr>
        <w:t>Information &amp; Management</w:t>
      </w:r>
      <w:r w:rsidRPr="004B33BC">
        <w:t xml:space="preserve">, </w:t>
      </w:r>
      <w:r w:rsidRPr="004B33BC">
        <w:rPr>
          <w:i/>
          <w:iCs/>
        </w:rPr>
        <w:t>53</w:t>
      </w:r>
      <w:r w:rsidRPr="004B33BC">
        <w:t xml:space="preserve">(5), 570–580. </w:t>
      </w:r>
      <w:hyperlink r:id="rId171" w:history="1">
        <w:r w:rsidRPr="004B33BC">
          <w:rPr>
            <w:rStyle w:val="Hyperlink"/>
          </w:rPr>
          <w:t>https://doi.org/10.1016/j.im.2016.01.002</w:t>
        </w:r>
      </w:hyperlink>
    </w:p>
    <w:p w14:paraId="4A2A52D5" w14:textId="77777777" w:rsidR="00707210" w:rsidRPr="004B33BC" w:rsidRDefault="00707210" w:rsidP="004B33BC">
      <w:pPr>
        <w:spacing w:line="240" w:lineRule="auto"/>
        <w:jc w:val="both"/>
      </w:pPr>
      <w:proofErr w:type="spellStart"/>
      <w:r w:rsidRPr="004B33BC">
        <w:t>Shneiderman</w:t>
      </w:r>
      <w:proofErr w:type="spellEnd"/>
      <w:r w:rsidRPr="004B33BC">
        <w:t xml:space="preserve">, B. (2020). Bridging the gap between ethics and practice. </w:t>
      </w:r>
      <w:r w:rsidRPr="004B33BC">
        <w:rPr>
          <w:i/>
          <w:iCs/>
        </w:rPr>
        <w:t>ACM Transactions on Interactive Intelligent Systems</w:t>
      </w:r>
      <w:r w:rsidRPr="004B33BC">
        <w:t xml:space="preserve">, </w:t>
      </w:r>
      <w:r w:rsidRPr="004B33BC">
        <w:rPr>
          <w:i/>
          <w:iCs/>
        </w:rPr>
        <w:t>10</w:t>
      </w:r>
      <w:r w:rsidRPr="004B33BC">
        <w:t xml:space="preserve">(4), 1–31. </w:t>
      </w:r>
      <w:hyperlink r:id="rId172" w:history="1">
        <w:r w:rsidRPr="004B33BC">
          <w:rPr>
            <w:rStyle w:val="Hyperlink"/>
          </w:rPr>
          <w:t>https://doi.org/10.1145/3419764</w:t>
        </w:r>
      </w:hyperlink>
    </w:p>
    <w:p w14:paraId="54B89C8E" w14:textId="77777777" w:rsidR="00707210" w:rsidRPr="004B33BC" w:rsidRDefault="00707210" w:rsidP="004B33BC">
      <w:pPr>
        <w:spacing w:line="240" w:lineRule="auto"/>
        <w:jc w:val="both"/>
      </w:pPr>
      <w:r w:rsidRPr="004B33BC">
        <w:t xml:space="preserve">Singh, R., Joshi, A., Dissanayake, H., </w:t>
      </w:r>
      <w:proofErr w:type="spellStart"/>
      <w:r w:rsidRPr="004B33BC">
        <w:t>Nainanayake</w:t>
      </w:r>
      <w:proofErr w:type="spellEnd"/>
      <w:r w:rsidRPr="004B33BC">
        <w:t xml:space="preserve">, D., &amp; Kumar, V. (2025). Harnessing artificial intelligence and human resource management for circular economy and sustainability: A conceptual integration. </w:t>
      </w:r>
      <w:r w:rsidRPr="004B33BC">
        <w:rPr>
          <w:i/>
          <w:iCs/>
        </w:rPr>
        <w:t>Sustainability</w:t>
      </w:r>
      <w:r w:rsidRPr="004B33BC">
        <w:t xml:space="preserve">, </w:t>
      </w:r>
      <w:r w:rsidRPr="004B33BC">
        <w:rPr>
          <w:i/>
          <w:iCs/>
        </w:rPr>
        <w:t>17</w:t>
      </w:r>
      <w:r w:rsidRPr="004B33BC">
        <w:t xml:space="preserve">(15), 7054. </w:t>
      </w:r>
      <w:hyperlink r:id="rId173" w:history="1">
        <w:r w:rsidRPr="004B33BC">
          <w:rPr>
            <w:rStyle w:val="Hyperlink"/>
          </w:rPr>
          <w:t>https://doi.org/10.3390/su17157054</w:t>
        </w:r>
      </w:hyperlink>
    </w:p>
    <w:p w14:paraId="495AD1FF" w14:textId="7BAA8515" w:rsidR="00707210" w:rsidRPr="004B33BC" w:rsidRDefault="00707210" w:rsidP="004B33BC">
      <w:pPr>
        <w:spacing w:line="240" w:lineRule="auto"/>
        <w:jc w:val="both"/>
      </w:pPr>
      <w:r w:rsidRPr="004B33BC">
        <w:t xml:space="preserve">Sira, M. (2025). A gap analysis framework for enterprise </w:t>
      </w:r>
      <w:r w:rsidR="00D961F9">
        <w:t>AI</w:t>
      </w:r>
      <w:r w:rsidRPr="004B33BC">
        <w:t xml:space="preserve"> implementation. </w:t>
      </w:r>
      <w:r w:rsidRPr="004B33BC">
        <w:rPr>
          <w:i/>
          <w:iCs/>
        </w:rPr>
        <w:t>Production Engineering Archives</w:t>
      </w:r>
      <w:r w:rsidRPr="004B33BC">
        <w:t xml:space="preserve">, </w:t>
      </w:r>
      <w:r w:rsidRPr="004B33BC">
        <w:rPr>
          <w:i/>
          <w:iCs/>
        </w:rPr>
        <w:t>31</w:t>
      </w:r>
      <w:r w:rsidRPr="004B33BC">
        <w:t xml:space="preserve">(3), 291–310. </w:t>
      </w:r>
      <w:hyperlink r:id="rId174" w:history="1">
        <w:r w:rsidRPr="004B33BC">
          <w:rPr>
            <w:rStyle w:val="Hyperlink"/>
          </w:rPr>
          <w:t>https://doi.org/10.30657/pea.2025.31.28</w:t>
        </w:r>
      </w:hyperlink>
    </w:p>
    <w:p w14:paraId="3C36F862" w14:textId="0A8DBE4E" w:rsidR="00707210" w:rsidRPr="004B33BC" w:rsidRDefault="00707210" w:rsidP="004B33BC">
      <w:pPr>
        <w:spacing w:line="240" w:lineRule="auto"/>
        <w:jc w:val="both"/>
      </w:pPr>
      <w:proofErr w:type="spellStart"/>
      <w:r w:rsidRPr="004B33BC">
        <w:lastRenderedPageBreak/>
        <w:t>Sirangula</w:t>
      </w:r>
      <w:proofErr w:type="spellEnd"/>
      <w:r w:rsidRPr="004B33BC">
        <w:t>, V. (2025). S</w:t>
      </w:r>
      <w:r w:rsidR="00D961F9">
        <w:t>AP HCM</w:t>
      </w:r>
      <w:r w:rsidRPr="004B33BC">
        <w:t xml:space="preserve"> time management and payroll integration: Streamlining payroll processing. </w:t>
      </w:r>
      <w:r w:rsidRPr="004B33BC">
        <w:rPr>
          <w:i/>
          <w:iCs/>
        </w:rPr>
        <w:t>International Journal of Science and Research Archive</w:t>
      </w:r>
      <w:r w:rsidRPr="004B33BC">
        <w:t xml:space="preserve">, </w:t>
      </w:r>
      <w:r w:rsidRPr="004B33BC">
        <w:rPr>
          <w:i/>
          <w:iCs/>
        </w:rPr>
        <w:t>14</w:t>
      </w:r>
      <w:r w:rsidRPr="004B33BC">
        <w:t xml:space="preserve">(1), 1107–1115. </w:t>
      </w:r>
      <w:hyperlink r:id="rId175" w:history="1">
        <w:r w:rsidRPr="004B33BC">
          <w:rPr>
            <w:rStyle w:val="Hyperlink"/>
          </w:rPr>
          <w:t>https://doi.org/10.30574/ijsra.2025.14.1.0150</w:t>
        </w:r>
      </w:hyperlink>
    </w:p>
    <w:p w14:paraId="23E38BCA" w14:textId="44862880" w:rsidR="00707210" w:rsidRPr="004B33BC" w:rsidRDefault="00707210" w:rsidP="004B33BC">
      <w:pPr>
        <w:spacing w:line="240" w:lineRule="auto"/>
        <w:jc w:val="both"/>
      </w:pPr>
      <w:r w:rsidRPr="004B33BC">
        <w:t>Sohani, S. S., Pandey, J., Varma, A., &amp; Ray, P. (2025). Is it necessary</w:t>
      </w:r>
      <w:proofErr w:type="gramStart"/>
      <w:r w:rsidRPr="004B33BC">
        <w:t>? a</w:t>
      </w:r>
      <w:proofErr w:type="gramEnd"/>
      <w:r w:rsidRPr="004B33BC">
        <w:t xml:space="preserve"> framework for assessing the utility of </w:t>
      </w:r>
      <w:proofErr w:type="spellStart"/>
      <w:r w:rsidRPr="004B33BC">
        <w:t>a.i.</w:t>
      </w:r>
      <w:proofErr w:type="spellEnd"/>
      <w:r w:rsidRPr="004B33BC">
        <w:t xml:space="preserve"> in </w:t>
      </w:r>
      <w:r w:rsidR="00D961F9">
        <w:t>HRM</w:t>
      </w:r>
      <w:r w:rsidRPr="004B33BC">
        <w:t xml:space="preserve"> practices. </w:t>
      </w:r>
      <w:r w:rsidRPr="004B33BC">
        <w:rPr>
          <w:i/>
          <w:iCs/>
        </w:rPr>
        <w:t xml:space="preserve">Acta </w:t>
      </w:r>
      <w:proofErr w:type="spellStart"/>
      <w:r w:rsidRPr="004B33BC">
        <w:rPr>
          <w:i/>
          <w:iCs/>
        </w:rPr>
        <w:t>Psychologica</w:t>
      </w:r>
      <w:proofErr w:type="spellEnd"/>
      <w:r w:rsidRPr="004B33BC">
        <w:t xml:space="preserve">, </w:t>
      </w:r>
      <w:r w:rsidRPr="004B33BC">
        <w:rPr>
          <w:i/>
          <w:iCs/>
        </w:rPr>
        <w:t>254</w:t>
      </w:r>
      <w:r w:rsidRPr="004B33BC">
        <w:t xml:space="preserve">, 104816. </w:t>
      </w:r>
      <w:hyperlink r:id="rId176" w:history="1">
        <w:r w:rsidRPr="004B33BC">
          <w:rPr>
            <w:rStyle w:val="Hyperlink"/>
          </w:rPr>
          <w:t>https://doi.org/10.1016/j.actpsy.2025.104816</w:t>
        </w:r>
      </w:hyperlink>
    </w:p>
    <w:p w14:paraId="6B768318" w14:textId="659104E2" w:rsidR="00707210" w:rsidRPr="004B33BC" w:rsidRDefault="00707210" w:rsidP="004B33BC">
      <w:pPr>
        <w:spacing w:line="240" w:lineRule="auto"/>
        <w:jc w:val="both"/>
      </w:pPr>
      <w:r w:rsidRPr="004B33BC">
        <w:t xml:space="preserve">Sridhar, U. (2025). Ethical frameworks for responsible </w:t>
      </w:r>
      <w:r w:rsidR="00D961F9">
        <w:t>AI</w:t>
      </w:r>
      <w:r w:rsidRPr="004B33BC">
        <w:t xml:space="preserve"> development: Challenges and implementation strategies. </w:t>
      </w:r>
      <w:r w:rsidRPr="004B33BC">
        <w:rPr>
          <w:i/>
          <w:iCs/>
        </w:rPr>
        <w:t>World Journal of Advanced Engineering Technology and Sciences</w:t>
      </w:r>
      <w:r w:rsidRPr="004B33BC">
        <w:t xml:space="preserve">, </w:t>
      </w:r>
      <w:r w:rsidRPr="004B33BC">
        <w:rPr>
          <w:i/>
          <w:iCs/>
        </w:rPr>
        <w:t>15</w:t>
      </w:r>
      <w:r w:rsidRPr="004B33BC">
        <w:t xml:space="preserve">(1), 2028–2038. </w:t>
      </w:r>
      <w:hyperlink r:id="rId177" w:history="1">
        <w:r w:rsidRPr="004B33BC">
          <w:rPr>
            <w:rStyle w:val="Hyperlink"/>
          </w:rPr>
          <w:t>https://doi.org/10.30574/wjaets.2025.15.1.0420</w:t>
        </w:r>
      </w:hyperlink>
    </w:p>
    <w:p w14:paraId="02BC2036" w14:textId="77777777" w:rsidR="00707210" w:rsidRPr="004B33BC" w:rsidRDefault="00707210" w:rsidP="004B33BC">
      <w:pPr>
        <w:spacing w:line="240" w:lineRule="auto"/>
        <w:jc w:val="both"/>
      </w:pPr>
      <w:r w:rsidRPr="004B33BC">
        <w:t xml:space="preserve">Stofberg, R., Mabaso, C. M., &amp; </w:t>
      </w:r>
      <w:proofErr w:type="spellStart"/>
      <w:r w:rsidRPr="004B33BC">
        <w:t>Bussin</w:t>
      </w:r>
      <w:proofErr w:type="spellEnd"/>
      <w:r w:rsidRPr="004B33BC">
        <w:t xml:space="preserve">, M. H. (2022). Employee responses to pay transparency. </w:t>
      </w:r>
      <w:r w:rsidRPr="004B33BC">
        <w:rPr>
          <w:i/>
          <w:iCs/>
        </w:rPr>
        <w:t>SA Journal of Industrial Psychology</w:t>
      </w:r>
      <w:r w:rsidRPr="004B33BC">
        <w:t xml:space="preserve">, </w:t>
      </w:r>
      <w:r w:rsidRPr="004B33BC">
        <w:rPr>
          <w:i/>
          <w:iCs/>
        </w:rPr>
        <w:t>48</w:t>
      </w:r>
      <w:r w:rsidRPr="004B33BC">
        <w:t xml:space="preserve">, 1–12. </w:t>
      </w:r>
      <w:hyperlink r:id="rId178" w:history="1">
        <w:r w:rsidRPr="004B33BC">
          <w:rPr>
            <w:rStyle w:val="Hyperlink"/>
          </w:rPr>
          <w:t>https://doi.org/10.4102/sajip.v48i0.1906</w:t>
        </w:r>
      </w:hyperlink>
    </w:p>
    <w:p w14:paraId="062C7151" w14:textId="77777777" w:rsidR="00707210" w:rsidRPr="004B33BC" w:rsidRDefault="00707210" w:rsidP="004B33BC">
      <w:pPr>
        <w:spacing w:line="240" w:lineRule="auto"/>
        <w:jc w:val="both"/>
      </w:pPr>
      <w:bookmarkStart w:id="38" w:name="_Hlk216978368"/>
      <w:proofErr w:type="spellStart"/>
      <w:r w:rsidRPr="004B33BC">
        <w:t>Sumtotal</w:t>
      </w:r>
      <w:proofErr w:type="spellEnd"/>
      <w:r w:rsidRPr="004B33BC">
        <w:t xml:space="preserve"> Systems, S. (2009). Strategic workforce analytics &amp; the art of continuous improvement. </w:t>
      </w:r>
      <w:r w:rsidRPr="004B33BC">
        <w:rPr>
          <w:i/>
          <w:iCs/>
        </w:rPr>
        <w:t>SSRN Electronic Journal</w:t>
      </w:r>
      <w:r w:rsidRPr="004B33BC">
        <w:t xml:space="preserve">, 1–6. </w:t>
      </w:r>
      <w:hyperlink r:id="rId179" w:history="1">
        <w:r w:rsidRPr="004B33BC">
          <w:rPr>
            <w:rStyle w:val="Hyperlink"/>
          </w:rPr>
          <w:t>https://doi.org/10.2139/ssrn.1352504</w:t>
        </w:r>
      </w:hyperlink>
    </w:p>
    <w:p w14:paraId="7203DEA8" w14:textId="77777777" w:rsidR="00707210" w:rsidRPr="004B33BC" w:rsidRDefault="00707210" w:rsidP="004B33BC">
      <w:pPr>
        <w:spacing w:line="240" w:lineRule="auto"/>
        <w:jc w:val="both"/>
      </w:pPr>
      <w:bookmarkStart w:id="39" w:name="_Hlk216966426"/>
      <w:r w:rsidRPr="004B33BC">
        <w:t xml:space="preserve">Tabachnick, B., &amp; Fidell, L. (2021). </w:t>
      </w:r>
      <w:bookmarkEnd w:id="39"/>
      <w:r w:rsidRPr="004B33BC">
        <w:rPr>
          <w:i/>
          <w:iCs/>
        </w:rPr>
        <w:t>Using multivariate statistics</w:t>
      </w:r>
      <w:r w:rsidRPr="004B33BC">
        <w:t xml:space="preserve"> (7th ed.). Pearson.</w:t>
      </w:r>
    </w:p>
    <w:bookmarkEnd w:id="38"/>
    <w:p w14:paraId="1981C6A4" w14:textId="369EFD27" w:rsidR="00707210" w:rsidRPr="004B33BC" w:rsidRDefault="00707210" w:rsidP="004B33BC">
      <w:pPr>
        <w:spacing w:line="240" w:lineRule="auto"/>
        <w:jc w:val="both"/>
      </w:pPr>
      <w:r w:rsidRPr="004B33BC">
        <w:t xml:space="preserve">Tasleem, N., Saddi, A., Ansari, M., Raghav, R., &amp; Sharma, S. (2025). Don't build a rocket with bicycle blueprints: When </w:t>
      </w:r>
      <w:r w:rsidR="00D961F9">
        <w:t>AI</w:t>
      </w:r>
      <w:r w:rsidRPr="004B33BC">
        <w:t xml:space="preserve"> dreams meet </w:t>
      </w:r>
      <w:proofErr w:type="spellStart"/>
      <w:r w:rsidRPr="004B33BC">
        <w:t>hr</w:t>
      </w:r>
      <w:proofErr w:type="spellEnd"/>
      <w:r w:rsidRPr="004B33BC">
        <w:t xml:space="preserve"> realities. </w:t>
      </w:r>
      <w:r w:rsidRPr="004B33BC">
        <w:rPr>
          <w:i/>
          <w:iCs/>
        </w:rPr>
        <w:t>Journal of Artificial Intelligence General science (JAIGS) ISSN:3006-4023</w:t>
      </w:r>
      <w:r w:rsidRPr="004B33BC">
        <w:t xml:space="preserve">, </w:t>
      </w:r>
      <w:r w:rsidRPr="004B33BC">
        <w:rPr>
          <w:i/>
          <w:iCs/>
        </w:rPr>
        <w:t>8</w:t>
      </w:r>
      <w:r w:rsidRPr="004B33BC">
        <w:t xml:space="preserve">(1), 162–186. </w:t>
      </w:r>
      <w:hyperlink r:id="rId180" w:history="1">
        <w:r w:rsidRPr="004B33BC">
          <w:rPr>
            <w:rStyle w:val="Hyperlink"/>
          </w:rPr>
          <w:t>https://doi.org/10.60087/jaigs.v8i1.362</w:t>
        </w:r>
      </w:hyperlink>
    </w:p>
    <w:p w14:paraId="22AE3043" w14:textId="77777777" w:rsidR="00707210" w:rsidRPr="004B33BC" w:rsidRDefault="00707210" w:rsidP="004B33BC">
      <w:pPr>
        <w:spacing w:line="240" w:lineRule="auto"/>
        <w:jc w:val="both"/>
      </w:pPr>
      <w:proofErr w:type="spellStart"/>
      <w:r w:rsidRPr="004B33BC">
        <w:t>Tavakol</w:t>
      </w:r>
      <w:proofErr w:type="spellEnd"/>
      <w:r w:rsidRPr="004B33BC">
        <w:t xml:space="preserve">, M., &amp; Dennick, R. (2011). Making sense of </w:t>
      </w:r>
      <w:proofErr w:type="spellStart"/>
      <w:r w:rsidRPr="004B33BC">
        <w:t>cronbach's</w:t>
      </w:r>
      <w:proofErr w:type="spellEnd"/>
      <w:r w:rsidRPr="004B33BC">
        <w:t xml:space="preserve"> alpha. </w:t>
      </w:r>
      <w:r w:rsidRPr="004B33BC">
        <w:rPr>
          <w:i/>
          <w:iCs/>
        </w:rPr>
        <w:t>International Journal of Medical Education</w:t>
      </w:r>
      <w:r w:rsidRPr="004B33BC">
        <w:t xml:space="preserve">, </w:t>
      </w:r>
      <w:r w:rsidRPr="004B33BC">
        <w:rPr>
          <w:i/>
          <w:iCs/>
        </w:rPr>
        <w:t>2</w:t>
      </w:r>
      <w:r w:rsidRPr="004B33BC">
        <w:t xml:space="preserve">, 53–55. </w:t>
      </w:r>
      <w:hyperlink r:id="rId181" w:history="1">
        <w:r w:rsidRPr="004B33BC">
          <w:rPr>
            <w:rStyle w:val="Hyperlink"/>
          </w:rPr>
          <w:t>https://doi.org/10.5116/ijme.4dfb.8dfd</w:t>
        </w:r>
      </w:hyperlink>
    </w:p>
    <w:p w14:paraId="0F7E340A" w14:textId="77777777" w:rsidR="00707210" w:rsidRPr="004B33BC" w:rsidRDefault="00707210" w:rsidP="004B33BC">
      <w:pPr>
        <w:spacing w:line="240" w:lineRule="auto"/>
        <w:jc w:val="both"/>
      </w:pPr>
      <w:r w:rsidRPr="004B33BC">
        <w:rPr>
          <w:lang w:val="de-DE"/>
        </w:rPr>
        <w:t xml:space="preserve">Teo, H. H., Wei, K. K., &amp; Benbasat, I. (2003). </w:t>
      </w:r>
      <w:r w:rsidRPr="004B33BC">
        <w:t xml:space="preserve">Predicting intention to adopt interorganizational linkages: An institutional perspective1. </w:t>
      </w:r>
      <w:r w:rsidRPr="004B33BC">
        <w:rPr>
          <w:i/>
          <w:iCs/>
        </w:rPr>
        <w:t>MIS Quarterly</w:t>
      </w:r>
      <w:r w:rsidRPr="004B33BC">
        <w:t xml:space="preserve">, </w:t>
      </w:r>
      <w:r w:rsidRPr="004B33BC">
        <w:rPr>
          <w:i/>
          <w:iCs/>
        </w:rPr>
        <w:t>27</w:t>
      </w:r>
      <w:r w:rsidRPr="004B33BC">
        <w:t xml:space="preserve">(1), 19–49. </w:t>
      </w:r>
      <w:hyperlink r:id="rId182" w:history="1">
        <w:r w:rsidRPr="004B33BC">
          <w:rPr>
            <w:rStyle w:val="Hyperlink"/>
          </w:rPr>
          <w:t>https://doi.org/10.2307/30036518</w:t>
        </w:r>
      </w:hyperlink>
    </w:p>
    <w:p w14:paraId="779F11DC" w14:textId="3CC7BA13" w:rsidR="00707210" w:rsidRPr="004B33BC" w:rsidRDefault="00707210" w:rsidP="004B33BC">
      <w:pPr>
        <w:spacing w:line="240" w:lineRule="auto"/>
        <w:jc w:val="both"/>
      </w:pPr>
      <w:proofErr w:type="spellStart"/>
      <w:r w:rsidRPr="004B33BC">
        <w:t>Thijssens</w:t>
      </w:r>
      <w:proofErr w:type="spellEnd"/>
      <w:r w:rsidRPr="004B33BC">
        <w:t xml:space="preserve">, T., Bollen, L., &amp; </w:t>
      </w:r>
      <w:proofErr w:type="spellStart"/>
      <w:r w:rsidRPr="004B33BC">
        <w:t>Hassink</w:t>
      </w:r>
      <w:proofErr w:type="spellEnd"/>
      <w:r w:rsidRPr="004B33BC">
        <w:t xml:space="preserve">, H. (2015). Secondary stakeholder influence on </w:t>
      </w:r>
      <w:r w:rsidR="00D961F9">
        <w:t>CSR</w:t>
      </w:r>
      <w:r w:rsidRPr="004B33BC">
        <w:t xml:space="preserve"> disclosure: An application of stakeholder salience theory. </w:t>
      </w:r>
      <w:r w:rsidRPr="004B33BC">
        <w:rPr>
          <w:i/>
          <w:iCs/>
        </w:rPr>
        <w:t>Journal of Business Ethics</w:t>
      </w:r>
      <w:r w:rsidRPr="004B33BC">
        <w:t xml:space="preserve">, </w:t>
      </w:r>
      <w:r w:rsidRPr="004B33BC">
        <w:rPr>
          <w:i/>
          <w:iCs/>
        </w:rPr>
        <w:t>132</w:t>
      </w:r>
      <w:r w:rsidRPr="004B33BC">
        <w:t xml:space="preserve">(4), 873–891. </w:t>
      </w:r>
      <w:hyperlink r:id="rId183" w:history="1">
        <w:r w:rsidRPr="004B33BC">
          <w:rPr>
            <w:rStyle w:val="Hyperlink"/>
          </w:rPr>
          <w:t>https://doi.org/10.1007/s10551-015-2623-3</w:t>
        </w:r>
      </w:hyperlink>
    </w:p>
    <w:p w14:paraId="2C7D27E6" w14:textId="62DC501B" w:rsidR="00707210" w:rsidRPr="004B33BC" w:rsidRDefault="00707210" w:rsidP="004B33BC">
      <w:pPr>
        <w:spacing w:line="240" w:lineRule="auto"/>
        <w:jc w:val="both"/>
      </w:pPr>
      <w:proofErr w:type="spellStart"/>
      <w:r w:rsidRPr="004B33BC">
        <w:t>Thongsawang</w:t>
      </w:r>
      <w:proofErr w:type="spellEnd"/>
      <w:r w:rsidRPr="004B33BC">
        <w:t xml:space="preserve">, S. (2024). </w:t>
      </w:r>
      <w:proofErr w:type="spellStart"/>
      <w:r w:rsidRPr="004B33BC">
        <w:t>Sociospatial</w:t>
      </w:r>
      <w:proofErr w:type="spellEnd"/>
      <w:r w:rsidRPr="004B33BC">
        <w:t xml:space="preserve"> relations through development projects: The alignment of </w:t>
      </w:r>
      <w:r w:rsidR="00D961F9">
        <w:t>T</w:t>
      </w:r>
      <w:r w:rsidRPr="004B33BC">
        <w:t xml:space="preserve">hailand's </w:t>
      </w:r>
      <w:r w:rsidR="00D961F9">
        <w:t>EEC</w:t>
      </w:r>
      <w:r w:rsidRPr="004B33BC">
        <w:t xml:space="preserve"> and </w:t>
      </w:r>
      <w:r w:rsidR="00D961F9">
        <w:t>C</w:t>
      </w:r>
      <w:r w:rsidRPr="004B33BC">
        <w:t xml:space="preserve">hina's </w:t>
      </w:r>
      <w:proofErr w:type="spellStart"/>
      <w:r w:rsidRPr="004B33BC">
        <w:t>bri</w:t>
      </w:r>
      <w:proofErr w:type="spellEnd"/>
      <w:r w:rsidRPr="004B33BC">
        <w:t xml:space="preserve">. </w:t>
      </w:r>
      <w:r w:rsidRPr="004B33BC">
        <w:rPr>
          <w:i/>
          <w:iCs/>
        </w:rPr>
        <w:t>Asian Geographer</w:t>
      </w:r>
      <w:r w:rsidRPr="004B33BC">
        <w:t xml:space="preserve">, </w:t>
      </w:r>
      <w:r w:rsidRPr="004B33BC">
        <w:rPr>
          <w:i/>
          <w:iCs/>
        </w:rPr>
        <w:t>42</w:t>
      </w:r>
      <w:r w:rsidRPr="004B33BC">
        <w:t xml:space="preserve">(1), 23–38. </w:t>
      </w:r>
      <w:hyperlink r:id="rId184" w:history="1">
        <w:r w:rsidRPr="004B33BC">
          <w:rPr>
            <w:rStyle w:val="Hyperlink"/>
          </w:rPr>
          <w:t>https://doi.org/10.1080/10225706.2024.2308901</w:t>
        </w:r>
      </w:hyperlink>
    </w:p>
    <w:p w14:paraId="6B8CA0F3" w14:textId="2E0F5A15" w:rsidR="00707210" w:rsidRPr="004B33BC" w:rsidRDefault="00707210" w:rsidP="004B33BC">
      <w:pPr>
        <w:spacing w:line="240" w:lineRule="auto"/>
        <w:jc w:val="both"/>
      </w:pPr>
      <w:r w:rsidRPr="004B33BC">
        <w:t xml:space="preserve">Tolsdorf, J., Alan, L. F., </w:t>
      </w:r>
      <w:proofErr w:type="spellStart"/>
      <w:r w:rsidRPr="004B33BC">
        <w:t>Kodwani</w:t>
      </w:r>
      <w:proofErr w:type="spellEnd"/>
      <w:r w:rsidRPr="004B33BC">
        <w:t xml:space="preserve">, M., Eum, J., Sharif, M., Mazurek, M. L., &amp; Aviv, A. J. (2025). On a scale of 1 to 5, how reliable are </w:t>
      </w:r>
      <w:r w:rsidR="00D961F9">
        <w:t>AI</w:t>
      </w:r>
      <w:r w:rsidRPr="004B33BC">
        <w:t xml:space="preserve"> user studies? A call for developing validated, meaningful scales and metrics about user perceptions of </w:t>
      </w:r>
      <w:r w:rsidR="00D961F9">
        <w:t>AI</w:t>
      </w:r>
      <w:r w:rsidRPr="004B33BC">
        <w:t xml:space="preserve"> systems. </w:t>
      </w:r>
      <w:r w:rsidRPr="004B33BC">
        <w:rPr>
          <w:i/>
          <w:iCs/>
        </w:rPr>
        <w:t>9th Workshop on Technology and Consumer Protection (ConPro'25)</w:t>
      </w:r>
      <w:r w:rsidRPr="004B33BC">
        <w:t xml:space="preserve">, 1–6. </w:t>
      </w:r>
      <w:hyperlink r:id="rId185" w:history="1">
        <w:r w:rsidRPr="004B33BC">
          <w:rPr>
            <w:rStyle w:val="Hyperlink"/>
          </w:rPr>
          <w:t>https://conpro25.ieee-security.org/papers/tolsdorf-conpro25.pdf</w:t>
        </w:r>
      </w:hyperlink>
    </w:p>
    <w:p w14:paraId="0D078CBB" w14:textId="7134A935" w:rsidR="00707210" w:rsidRPr="004B33BC" w:rsidRDefault="00707210" w:rsidP="004B33BC">
      <w:pPr>
        <w:spacing w:line="240" w:lineRule="auto"/>
        <w:jc w:val="both"/>
      </w:pPr>
      <w:bookmarkStart w:id="40" w:name="_Hlk216432430"/>
      <w:proofErr w:type="spellStart"/>
      <w:r w:rsidRPr="004B33BC">
        <w:t>Tontisirin</w:t>
      </w:r>
      <w:proofErr w:type="spellEnd"/>
      <w:r w:rsidRPr="004B33BC">
        <w:t xml:space="preserve">, N., &amp; </w:t>
      </w:r>
      <w:proofErr w:type="spellStart"/>
      <w:r w:rsidRPr="004B33BC">
        <w:t>Anantsuksomsri</w:t>
      </w:r>
      <w:proofErr w:type="spellEnd"/>
      <w:r w:rsidRPr="004B33BC">
        <w:t>, S. (2021</w:t>
      </w:r>
      <w:bookmarkEnd w:id="40"/>
      <w:r w:rsidRPr="004B33BC">
        <w:t>). Economic development policies and land</w:t>
      </w:r>
      <w:r w:rsidR="00D961F9">
        <w:t>-use changes in Thailand: From the Eastern Seaboard to the Eastern Economic C</w:t>
      </w:r>
      <w:r w:rsidRPr="004B33BC">
        <w:t xml:space="preserve">orridor. </w:t>
      </w:r>
      <w:r w:rsidRPr="004B33BC">
        <w:rPr>
          <w:i/>
          <w:iCs/>
        </w:rPr>
        <w:t>Sustainability</w:t>
      </w:r>
      <w:r w:rsidRPr="004B33BC">
        <w:t xml:space="preserve">, </w:t>
      </w:r>
      <w:r w:rsidRPr="004B33BC">
        <w:rPr>
          <w:i/>
          <w:iCs/>
        </w:rPr>
        <w:t>13</w:t>
      </w:r>
      <w:r w:rsidRPr="004B33BC">
        <w:t xml:space="preserve">(11), 6153. </w:t>
      </w:r>
      <w:hyperlink r:id="rId186" w:history="1">
        <w:r w:rsidRPr="004B33BC">
          <w:rPr>
            <w:rStyle w:val="Hyperlink"/>
          </w:rPr>
          <w:t>https://doi.org/10.3390/su13116153</w:t>
        </w:r>
      </w:hyperlink>
    </w:p>
    <w:p w14:paraId="75AE9E8C" w14:textId="77777777" w:rsidR="00707210" w:rsidRPr="004B33BC" w:rsidRDefault="00707210" w:rsidP="004B33BC">
      <w:pPr>
        <w:spacing w:line="240" w:lineRule="auto"/>
        <w:jc w:val="both"/>
      </w:pPr>
      <w:r w:rsidRPr="004B33BC">
        <w:t xml:space="preserve">Tracy, S. J. (2025). Practicing qualitative research under the "big tent": Origins, development, and continuing relevance of the eight big-tent </w:t>
      </w:r>
      <w:proofErr w:type="gramStart"/>
      <w:r w:rsidRPr="004B33BC">
        <w:t>framework</w:t>
      </w:r>
      <w:proofErr w:type="gramEnd"/>
      <w:r w:rsidRPr="004B33BC">
        <w:t xml:space="preserve"> for qualitative quality. </w:t>
      </w:r>
      <w:r w:rsidRPr="004B33BC">
        <w:rPr>
          <w:i/>
          <w:iCs/>
        </w:rPr>
        <w:t>Qualitative Inquiry</w:t>
      </w:r>
      <w:r w:rsidRPr="004B33BC">
        <w:t xml:space="preserve">. </w:t>
      </w:r>
      <w:hyperlink r:id="rId187" w:history="1">
        <w:r w:rsidRPr="004B33BC">
          <w:rPr>
            <w:rStyle w:val="Hyperlink"/>
          </w:rPr>
          <w:t>https://doi.org/10.1177/10778004251348167</w:t>
        </w:r>
      </w:hyperlink>
    </w:p>
    <w:p w14:paraId="47055F0A" w14:textId="6783B97D" w:rsidR="00707210" w:rsidRPr="004B33BC" w:rsidRDefault="00707210" w:rsidP="004B33BC">
      <w:pPr>
        <w:spacing w:line="240" w:lineRule="auto"/>
        <w:jc w:val="both"/>
      </w:pPr>
      <w:bookmarkStart w:id="41" w:name="_Hlk216788704"/>
      <w:r w:rsidRPr="004B33BC">
        <w:lastRenderedPageBreak/>
        <w:t xml:space="preserve">Tran, M., &amp; </w:t>
      </w:r>
      <w:proofErr w:type="spellStart"/>
      <w:r w:rsidRPr="004B33BC">
        <w:t>Beddewela</w:t>
      </w:r>
      <w:proofErr w:type="spellEnd"/>
      <w:r w:rsidRPr="004B33BC">
        <w:t>, E. (2020</w:t>
      </w:r>
      <w:bookmarkEnd w:id="41"/>
      <w:r w:rsidRPr="004B33BC">
        <w:t xml:space="preserve">). Does context matter for sustainability disclosure? institutional factors in </w:t>
      </w:r>
      <w:r w:rsidR="00D961F9">
        <w:t>Southeast A</w:t>
      </w:r>
      <w:r w:rsidRPr="004B33BC">
        <w:t xml:space="preserve">sia. </w:t>
      </w:r>
      <w:r w:rsidRPr="004B33BC">
        <w:rPr>
          <w:i/>
          <w:iCs/>
        </w:rPr>
        <w:t>Business Ethics: A European Review</w:t>
      </w:r>
      <w:r w:rsidRPr="004B33BC">
        <w:t xml:space="preserve">, </w:t>
      </w:r>
      <w:r w:rsidRPr="004B33BC">
        <w:rPr>
          <w:i/>
          <w:iCs/>
        </w:rPr>
        <w:t>29</w:t>
      </w:r>
      <w:r w:rsidRPr="004B33BC">
        <w:t xml:space="preserve">(2), 282–302. </w:t>
      </w:r>
      <w:hyperlink r:id="rId188" w:history="1">
        <w:r w:rsidRPr="004B33BC">
          <w:rPr>
            <w:rStyle w:val="Hyperlink"/>
          </w:rPr>
          <w:t>https://doi.org/10.1111/beer.12265</w:t>
        </w:r>
      </w:hyperlink>
    </w:p>
    <w:p w14:paraId="341BD7FA" w14:textId="348355D8" w:rsidR="00707210" w:rsidRPr="004B33BC" w:rsidRDefault="00707210" w:rsidP="004B33BC">
      <w:pPr>
        <w:spacing w:line="240" w:lineRule="auto"/>
        <w:jc w:val="both"/>
      </w:pPr>
      <w:r w:rsidRPr="004B33BC">
        <w:t xml:space="preserve">Tsvetkov, V. V. (2025). Protection of workers' rights against wage discrimination: The experience of the </w:t>
      </w:r>
      <w:r w:rsidR="00D961F9">
        <w:t>European U</w:t>
      </w:r>
      <w:r w:rsidRPr="004B33BC">
        <w:t xml:space="preserve">nion. </w:t>
      </w:r>
      <w:r w:rsidRPr="004B33BC">
        <w:rPr>
          <w:i/>
          <w:iCs/>
        </w:rPr>
        <w:t>Actual Problems of Russian Law</w:t>
      </w:r>
      <w:r w:rsidRPr="004B33BC">
        <w:t xml:space="preserve">, </w:t>
      </w:r>
      <w:r w:rsidRPr="004B33BC">
        <w:rPr>
          <w:i/>
          <w:iCs/>
        </w:rPr>
        <w:t>20</w:t>
      </w:r>
      <w:r w:rsidRPr="004B33BC">
        <w:t xml:space="preserve">(9), 65–71. </w:t>
      </w:r>
      <w:hyperlink r:id="rId189" w:history="1">
        <w:r w:rsidRPr="004B33BC">
          <w:rPr>
            <w:rStyle w:val="Hyperlink"/>
          </w:rPr>
          <w:t>https://doi.org/10.17803/1994-1471.2025.178.9.065-071</w:t>
        </w:r>
      </w:hyperlink>
    </w:p>
    <w:p w14:paraId="2B396764" w14:textId="49B53FE7" w:rsidR="00707210" w:rsidRPr="004B33BC" w:rsidRDefault="00707210" w:rsidP="004B33BC">
      <w:pPr>
        <w:spacing w:line="240" w:lineRule="auto"/>
        <w:jc w:val="both"/>
      </w:pPr>
      <w:bookmarkStart w:id="42" w:name="_Hlk216806779"/>
      <w:r w:rsidRPr="004B33BC">
        <w:t>Uren, V., &amp; Edwards, J. S. (2023)</w:t>
      </w:r>
      <w:bookmarkEnd w:id="42"/>
      <w:r w:rsidRPr="004B33BC">
        <w:t xml:space="preserve">. Technology readiness and the organizational journey towards </w:t>
      </w:r>
      <w:r w:rsidR="00D961F9">
        <w:t>AI</w:t>
      </w:r>
      <w:r w:rsidRPr="004B33BC">
        <w:t xml:space="preserve"> adoption: An empirical study. </w:t>
      </w:r>
      <w:r w:rsidRPr="004B33BC">
        <w:rPr>
          <w:i/>
          <w:iCs/>
        </w:rPr>
        <w:t>International Journal of Information Management</w:t>
      </w:r>
      <w:r w:rsidRPr="004B33BC">
        <w:t xml:space="preserve">, </w:t>
      </w:r>
      <w:r w:rsidRPr="004B33BC">
        <w:rPr>
          <w:i/>
          <w:iCs/>
        </w:rPr>
        <w:t>68</w:t>
      </w:r>
      <w:r w:rsidRPr="004B33BC">
        <w:t xml:space="preserve">, 102588. </w:t>
      </w:r>
      <w:hyperlink r:id="rId190" w:history="1">
        <w:r w:rsidRPr="004B33BC">
          <w:rPr>
            <w:rStyle w:val="Hyperlink"/>
          </w:rPr>
          <w:t>https://doi.org/10.1016/j.ijinfomgt.2022.102588</w:t>
        </w:r>
      </w:hyperlink>
    </w:p>
    <w:p w14:paraId="54402B70" w14:textId="77777777" w:rsidR="00707210" w:rsidRPr="004B33BC" w:rsidRDefault="00707210" w:rsidP="004B33BC">
      <w:pPr>
        <w:spacing w:line="240" w:lineRule="auto"/>
        <w:jc w:val="both"/>
      </w:pPr>
      <w:r w:rsidRPr="004B33BC">
        <w:t xml:space="preserve">Vaio, A. D., Palladino, R., Hassan, R., &amp; Alvino, F. (2020). Human resources disclosure in the </w:t>
      </w:r>
      <w:proofErr w:type="spellStart"/>
      <w:r w:rsidRPr="004B33BC">
        <w:t>eu</w:t>
      </w:r>
      <w:proofErr w:type="spellEnd"/>
      <w:r w:rsidRPr="004B33BC">
        <w:t xml:space="preserve"> directive 2014/95/</w:t>
      </w:r>
      <w:proofErr w:type="spellStart"/>
      <w:r w:rsidRPr="004B33BC">
        <w:t>eu</w:t>
      </w:r>
      <w:proofErr w:type="spellEnd"/>
      <w:r w:rsidRPr="004B33BC">
        <w:t xml:space="preserve"> perspective: A systematic literature review. </w:t>
      </w:r>
      <w:r w:rsidRPr="004B33BC">
        <w:rPr>
          <w:i/>
          <w:iCs/>
        </w:rPr>
        <w:t>Journal of Cleaner Production</w:t>
      </w:r>
      <w:r w:rsidRPr="004B33BC">
        <w:t xml:space="preserve">, </w:t>
      </w:r>
      <w:r w:rsidRPr="004B33BC">
        <w:rPr>
          <w:i/>
          <w:iCs/>
        </w:rPr>
        <w:t>257</w:t>
      </w:r>
      <w:r w:rsidRPr="004B33BC">
        <w:t xml:space="preserve">, 120509. </w:t>
      </w:r>
      <w:hyperlink r:id="rId191" w:history="1">
        <w:r w:rsidRPr="004B33BC">
          <w:rPr>
            <w:rStyle w:val="Hyperlink"/>
          </w:rPr>
          <w:t>https://doi.org/10.1016/j.jclepro.2020.120509</w:t>
        </w:r>
      </w:hyperlink>
    </w:p>
    <w:p w14:paraId="3CCF45CC" w14:textId="77777777" w:rsidR="00707210" w:rsidRPr="004B33BC" w:rsidRDefault="00707210" w:rsidP="004B33BC">
      <w:pPr>
        <w:spacing w:line="240" w:lineRule="auto"/>
        <w:jc w:val="both"/>
      </w:pPr>
      <w:proofErr w:type="spellStart"/>
      <w:r w:rsidRPr="004B33BC">
        <w:t>Vasarhelyi</w:t>
      </w:r>
      <w:proofErr w:type="spellEnd"/>
      <w:r w:rsidRPr="004B33BC">
        <w:t xml:space="preserve">, M. A. (2012). Ais in a more rapidly evolving era. </w:t>
      </w:r>
      <w:r w:rsidRPr="004B33BC">
        <w:rPr>
          <w:i/>
          <w:iCs/>
        </w:rPr>
        <w:t>Journal of Information Systems</w:t>
      </w:r>
      <w:r w:rsidRPr="004B33BC">
        <w:t xml:space="preserve">, </w:t>
      </w:r>
      <w:r w:rsidRPr="004B33BC">
        <w:rPr>
          <w:i/>
          <w:iCs/>
        </w:rPr>
        <w:t>26</w:t>
      </w:r>
      <w:r w:rsidRPr="004B33BC">
        <w:t xml:space="preserve">(1), 1–5. </w:t>
      </w:r>
      <w:hyperlink r:id="rId192" w:history="1">
        <w:r w:rsidRPr="004B33BC">
          <w:rPr>
            <w:rStyle w:val="Hyperlink"/>
          </w:rPr>
          <w:t>https://doi.org/10.2308/isys-10280</w:t>
        </w:r>
      </w:hyperlink>
    </w:p>
    <w:p w14:paraId="76B58257" w14:textId="34FDCC01" w:rsidR="00707210" w:rsidRPr="004B33BC" w:rsidRDefault="00707210" w:rsidP="004B33BC">
      <w:pPr>
        <w:spacing w:line="240" w:lineRule="auto"/>
        <w:jc w:val="both"/>
      </w:pPr>
      <w:proofErr w:type="spellStart"/>
      <w:r w:rsidRPr="004B33BC">
        <w:t>Veldurthi</w:t>
      </w:r>
      <w:proofErr w:type="spellEnd"/>
      <w:r w:rsidRPr="004B33BC">
        <w:t xml:space="preserve">, A. K. (2025). The role of </w:t>
      </w:r>
      <w:r w:rsidR="00D961F9">
        <w:t>AI</w:t>
      </w:r>
      <w:r w:rsidRPr="004B33BC">
        <w:t xml:space="preserve"> and machine learning in fraud detection for financial services. </w:t>
      </w:r>
      <w:r w:rsidRPr="004B33BC">
        <w:rPr>
          <w:i/>
          <w:iCs/>
        </w:rPr>
        <w:t>Journal of Computer Science and Technology Studies</w:t>
      </w:r>
      <w:r w:rsidRPr="004B33BC">
        <w:t xml:space="preserve">, </w:t>
      </w:r>
      <w:r w:rsidRPr="004B33BC">
        <w:rPr>
          <w:i/>
          <w:iCs/>
        </w:rPr>
        <w:t>7</w:t>
      </w:r>
      <w:r w:rsidRPr="004B33BC">
        <w:t xml:space="preserve">(4), 757–771. </w:t>
      </w:r>
      <w:hyperlink r:id="rId193" w:history="1">
        <w:r w:rsidRPr="004B33BC">
          <w:rPr>
            <w:rStyle w:val="Hyperlink"/>
          </w:rPr>
          <w:t>https://doi.org/10.32996/jcsts.2025.7.4.88</w:t>
        </w:r>
      </w:hyperlink>
    </w:p>
    <w:p w14:paraId="2C563EA4" w14:textId="77777777" w:rsidR="00707210" w:rsidRPr="004B33BC" w:rsidRDefault="00707210" w:rsidP="004B33BC">
      <w:pPr>
        <w:spacing w:line="240" w:lineRule="auto"/>
        <w:jc w:val="both"/>
      </w:pPr>
      <w:r w:rsidRPr="004B33BC">
        <w:t xml:space="preserve">Verma, S. (2025). Leveraging predictive analytics for strategic compensation forecasting. </w:t>
      </w:r>
      <w:r w:rsidRPr="004B33BC">
        <w:rPr>
          <w:i/>
          <w:iCs/>
        </w:rPr>
        <w:t>Journal of Computer Science and Technology Studies</w:t>
      </w:r>
      <w:r w:rsidRPr="004B33BC">
        <w:t xml:space="preserve">, </w:t>
      </w:r>
      <w:r w:rsidRPr="004B33BC">
        <w:rPr>
          <w:i/>
          <w:iCs/>
        </w:rPr>
        <w:t>7</w:t>
      </w:r>
      <w:r w:rsidRPr="004B33BC">
        <w:t xml:space="preserve">(4), 283–288. </w:t>
      </w:r>
      <w:hyperlink r:id="rId194" w:history="1">
        <w:r w:rsidRPr="004B33BC">
          <w:rPr>
            <w:rStyle w:val="Hyperlink"/>
          </w:rPr>
          <w:t>https://doi.org/10.32996/jcsts.2025.7.4.32</w:t>
        </w:r>
      </w:hyperlink>
    </w:p>
    <w:p w14:paraId="03ADD6F3" w14:textId="77777777" w:rsidR="00707210" w:rsidRPr="004B33BC" w:rsidRDefault="00707210" w:rsidP="004B33BC">
      <w:pPr>
        <w:spacing w:line="240" w:lineRule="auto"/>
        <w:jc w:val="both"/>
      </w:pPr>
      <w:r w:rsidRPr="004B33BC">
        <w:t xml:space="preserve">Vong, K. C., </w:t>
      </w:r>
      <w:proofErr w:type="spellStart"/>
      <w:r w:rsidRPr="004B33BC">
        <w:t>Udomvitid</w:t>
      </w:r>
      <w:proofErr w:type="spellEnd"/>
      <w:r w:rsidRPr="004B33BC">
        <w:t xml:space="preserve">, K., Ueki, Y., </w:t>
      </w:r>
      <w:proofErr w:type="spellStart"/>
      <w:r w:rsidRPr="004B33BC">
        <w:t>Intalar</w:t>
      </w:r>
      <w:proofErr w:type="spellEnd"/>
      <w:r w:rsidRPr="004B33BC">
        <w:t xml:space="preserve">, N., </w:t>
      </w:r>
      <w:proofErr w:type="spellStart"/>
      <w:r w:rsidRPr="004B33BC">
        <w:t>Pongsathornwiwat</w:t>
      </w:r>
      <w:proofErr w:type="spellEnd"/>
      <w:r w:rsidRPr="004B33BC">
        <w:t xml:space="preserve">, A., </w:t>
      </w:r>
      <w:proofErr w:type="spellStart"/>
      <w:r w:rsidRPr="004B33BC">
        <w:t>Pannakkong</w:t>
      </w:r>
      <w:proofErr w:type="spellEnd"/>
      <w:r w:rsidRPr="004B33BC">
        <w:t xml:space="preserve">, W., </w:t>
      </w:r>
      <w:proofErr w:type="spellStart"/>
      <w:r w:rsidRPr="004B33BC">
        <w:t>Komolavanij</w:t>
      </w:r>
      <w:proofErr w:type="spellEnd"/>
      <w:r w:rsidRPr="004B33BC">
        <w:t xml:space="preserve">, S., &amp; </w:t>
      </w:r>
      <w:proofErr w:type="spellStart"/>
      <w:r w:rsidRPr="004B33BC">
        <w:t>Jeenanunta</w:t>
      </w:r>
      <w:proofErr w:type="spellEnd"/>
      <w:r w:rsidRPr="004B33BC">
        <w:t xml:space="preserve">, C. (2025). Strategic human resource development for industry 4.0 readiness: A sustainable transformation framework for emerging economies. </w:t>
      </w:r>
      <w:r w:rsidRPr="004B33BC">
        <w:rPr>
          <w:i/>
          <w:iCs/>
        </w:rPr>
        <w:t>Sustainability</w:t>
      </w:r>
      <w:r w:rsidRPr="004B33BC">
        <w:t xml:space="preserve">, </w:t>
      </w:r>
      <w:r w:rsidRPr="004B33BC">
        <w:rPr>
          <w:i/>
          <w:iCs/>
        </w:rPr>
        <w:t>17</w:t>
      </w:r>
      <w:r w:rsidRPr="004B33BC">
        <w:t xml:space="preserve">(15), 6988. </w:t>
      </w:r>
      <w:hyperlink r:id="rId195" w:history="1">
        <w:r w:rsidRPr="004B33BC">
          <w:rPr>
            <w:rStyle w:val="Hyperlink"/>
          </w:rPr>
          <w:t>https://doi.org/10.3390/su17156988</w:t>
        </w:r>
      </w:hyperlink>
    </w:p>
    <w:p w14:paraId="3F1BD2B0" w14:textId="77777777" w:rsidR="00707210" w:rsidRPr="004B33BC" w:rsidRDefault="00707210" w:rsidP="004B33BC">
      <w:pPr>
        <w:spacing w:line="240" w:lineRule="auto"/>
        <w:jc w:val="both"/>
      </w:pPr>
      <w:bookmarkStart w:id="43" w:name="_Hlk216354243"/>
      <w:proofErr w:type="spellStart"/>
      <w:r w:rsidRPr="004B33BC">
        <w:t>Voraseyanont</w:t>
      </w:r>
      <w:proofErr w:type="spellEnd"/>
      <w:r w:rsidRPr="004B33BC">
        <w:t>, P., &amp; Amali, H. (2020</w:t>
      </w:r>
      <w:bookmarkEnd w:id="43"/>
      <w:r w:rsidRPr="004B33BC">
        <w:t xml:space="preserve">). Industry policies, logistics 4.0 and competitiveness development of manufacturers in Thailand's eastern economic corridor. </w:t>
      </w:r>
      <w:r w:rsidRPr="004B33BC">
        <w:rPr>
          <w:i/>
          <w:iCs/>
        </w:rPr>
        <w:t>Thammasat Review</w:t>
      </w:r>
      <w:r w:rsidRPr="004B33BC">
        <w:t xml:space="preserve">, </w:t>
      </w:r>
      <w:r w:rsidRPr="004B33BC">
        <w:rPr>
          <w:i/>
          <w:iCs/>
        </w:rPr>
        <w:t>23</w:t>
      </w:r>
      <w:r w:rsidRPr="004B33BC">
        <w:t>(1), 40–69.</w:t>
      </w:r>
    </w:p>
    <w:p w14:paraId="296E7C6F" w14:textId="77777777" w:rsidR="00707210" w:rsidRPr="004B33BC" w:rsidRDefault="00707210" w:rsidP="004B33BC">
      <w:pPr>
        <w:spacing w:line="240" w:lineRule="auto"/>
        <w:jc w:val="both"/>
      </w:pPr>
      <w:r w:rsidRPr="004B33BC">
        <w:rPr>
          <w:lang w:val="de-DE"/>
        </w:rPr>
        <w:t xml:space="preserve">Waldman, D. E., Jensen, E. J., &amp; Ge, Q. (2025). </w:t>
      </w:r>
      <w:r w:rsidRPr="004B33BC">
        <w:rPr>
          <w:i/>
          <w:iCs/>
        </w:rPr>
        <w:t>Industrial organization: Theory and practice</w:t>
      </w:r>
      <w:r w:rsidRPr="004B33BC">
        <w:t xml:space="preserve"> (6th ed.).</w:t>
      </w:r>
    </w:p>
    <w:p w14:paraId="726865D5" w14:textId="77777777" w:rsidR="00707210" w:rsidRPr="004B33BC" w:rsidRDefault="00707210" w:rsidP="004B33BC">
      <w:pPr>
        <w:spacing w:line="240" w:lineRule="auto"/>
        <w:jc w:val="both"/>
      </w:pPr>
      <w:r w:rsidRPr="004B33BC">
        <w:t xml:space="preserve">Westland, J. C. (2010). Lower bounds on sample size in structural equation modeling. </w:t>
      </w:r>
      <w:r w:rsidRPr="004B33BC">
        <w:rPr>
          <w:i/>
          <w:iCs/>
        </w:rPr>
        <w:t>Electronic Commerce Research and Applications</w:t>
      </w:r>
      <w:r w:rsidRPr="004B33BC">
        <w:t xml:space="preserve">, </w:t>
      </w:r>
      <w:r w:rsidRPr="004B33BC">
        <w:rPr>
          <w:i/>
          <w:iCs/>
        </w:rPr>
        <w:t>9</w:t>
      </w:r>
      <w:r w:rsidRPr="004B33BC">
        <w:t xml:space="preserve">(6), 476–487. </w:t>
      </w:r>
      <w:hyperlink r:id="rId196" w:history="1">
        <w:r w:rsidRPr="004B33BC">
          <w:rPr>
            <w:rStyle w:val="Hyperlink"/>
          </w:rPr>
          <w:t>https://doi.org/10.1016/j.elerap.2010.07.003</w:t>
        </w:r>
      </w:hyperlink>
    </w:p>
    <w:p w14:paraId="65608326" w14:textId="717D476A" w:rsidR="00707210" w:rsidRPr="004B33BC" w:rsidRDefault="00707210" w:rsidP="004B33BC">
      <w:pPr>
        <w:spacing w:line="240" w:lineRule="auto"/>
        <w:jc w:val="both"/>
      </w:pPr>
      <w:bookmarkStart w:id="44" w:name="_Hlk216592872"/>
      <w:r w:rsidRPr="004B33BC">
        <w:t>Wings, S., &amp; Härkönen, J. (2023)</w:t>
      </w:r>
      <w:bookmarkEnd w:id="44"/>
      <w:r w:rsidRPr="004B33BC">
        <w:t xml:space="preserve">. Main data inhibitors and enablers for </w:t>
      </w:r>
      <w:r w:rsidR="00D961F9">
        <w:t>AI</w:t>
      </w:r>
      <w:r w:rsidRPr="004B33BC">
        <w:t xml:space="preserve"> applications. </w:t>
      </w:r>
      <w:r w:rsidRPr="004B33BC">
        <w:rPr>
          <w:i/>
          <w:iCs/>
        </w:rPr>
        <w:t>Industrial Engineering and Management, University of Oulu, Erkki Koiso-</w:t>
      </w:r>
      <w:proofErr w:type="spellStart"/>
      <w:r w:rsidRPr="004B33BC">
        <w:rPr>
          <w:i/>
          <w:iCs/>
        </w:rPr>
        <w:t>Kanttilankatu</w:t>
      </w:r>
      <w:proofErr w:type="spellEnd"/>
      <w:r w:rsidRPr="004B33BC">
        <w:rPr>
          <w:i/>
          <w:iCs/>
        </w:rPr>
        <w:t xml:space="preserve"> 1, 90014 University of Oulu, Oulu, Finland</w:t>
      </w:r>
      <w:r w:rsidRPr="004B33BC">
        <w:t>.</w:t>
      </w:r>
    </w:p>
    <w:p w14:paraId="42943B25" w14:textId="77777777" w:rsidR="00707210" w:rsidRPr="004B33BC" w:rsidRDefault="00707210" w:rsidP="004B33BC">
      <w:pPr>
        <w:spacing w:line="240" w:lineRule="auto"/>
        <w:jc w:val="both"/>
      </w:pPr>
      <w:r w:rsidRPr="004B33BC">
        <w:t xml:space="preserve">Wolf, E. J., Harrington, K. M., Clark, S. L., &amp; Miller, M. W. (2013). Sample size requirements for structural equation models. </w:t>
      </w:r>
      <w:r w:rsidRPr="004B33BC">
        <w:rPr>
          <w:i/>
          <w:iCs/>
        </w:rPr>
        <w:t>Educational and Psychological Measurement</w:t>
      </w:r>
      <w:r w:rsidRPr="004B33BC">
        <w:t xml:space="preserve">, </w:t>
      </w:r>
      <w:r w:rsidRPr="004B33BC">
        <w:rPr>
          <w:i/>
          <w:iCs/>
        </w:rPr>
        <w:t>73</w:t>
      </w:r>
      <w:r w:rsidRPr="004B33BC">
        <w:t xml:space="preserve">(6), 913–934. </w:t>
      </w:r>
      <w:hyperlink r:id="rId197" w:history="1">
        <w:r w:rsidRPr="004B33BC">
          <w:rPr>
            <w:rStyle w:val="Hyperlink"/>
          </w:rPr>
          <w:t>https://doi.org/10.1177/0013164413495237</w:t>
        </w:r>
      </w:hyperlink>
    </w:p>
    <w:p w14:paraId="4BADDB53" w14:textId="77777777" w:rsidR="00707210" w:rsidRPr="004B33BC" w:rsidRDefault="00707210" w:rsidP="004B33BC">
      <w:pPr>
        <w:spacing w:line="240" w:lineRule="auto"/>
        <w:jc w:val="both"/>
      </w:pPr>
      <w:r w:rsidRPr="004B33BC">
        <w:lastRenderedPageBreak/>
        <w:t xml:space="preserve">Worth, C. W. (2011). The future talent shortage will force global companies to use </w:t>
      </w:r>
      <w:proofErr w:type="spellStart"/>
      <w:r w:rsidRPr="004B33BC">
        <w:t>hr</w:t>
      </w:r>
      <w:proofErr w:type="spellEnd"/>
      <w:r w:rsidRPr="004B33BC">
        <w:t xml:space="preserve"> analytics to help manage and predict future human capital needs. </w:t>
      </w:r>
      <w:r w:rsidRPr="004B33BC">
        <w:rPr>
          <w:i/>
          <w:iCs/>
        </w:rPr>
        <w:t>International Journal of Business Intelligence Research</w:t>
      </w:r>
      <w:r w:rsidRPr="004B33BC">
        <w:t xml:space="preserve">, </w:t>
      </w:r>
      <w:r w:rsidRPr="004B33BC">
        <w:rPr>
          <w:i/>
          <w:iCs/>
        </w:rPr>
        <w:t>2</w:t>
      </w:r>
      <w:r w:rsidRPr="004B33BC">
        <w:t xml:space="preserve">(4), 55–65. </w:t>
      </w:r>
      <w:hyperlink r:id="rId198" w:history="1">
        <w:r w:rsidRPr="004B33BC">
          <w:rPr>
            <w:rStyle w:val="Hyperlink"/>
          </w:rPr>
          <w:t>https://doi.org/10.4018/jbir.2011100105</w:t>
        </w:r>
      </w:hyperlink>
    </w:p>
    <w:p w14:paraId="67C3D3AB" w14:textId="77777777" w:rsidR="00707210" w:rsidRPr="004B33BC" w:rsidRDefault="00707210" w:rsidP="004B33BC">
      <w:pPr>
        <w:spacing w:line="240" w:lineRule="auto"/>
        <w:jc w:val="both"/>
      </w:pPr>
      <w:r w:rsidRPr="004B33BC">
        <w:t xml:space="preserve">Wright, P. M., McMahan, G. C., &amp; McWilliams, A. (1994). Human resources and sustained competitive advantage: A resource-based perspective. </w:t>
      </w:r>
      <w:r w:rsidRPr="004B33BC">
        <w:rPr>
          <w:i/>
          <w:iCs/>
        </w:rPr>
        <w:t>The International Journal of Human Resource Management</w:t>
      </w:r>
      <w:r w:rsidRPr="004B33BC">
        <w:t xml:space="preserve">, </w:t>
      </w:r>
      <w:r w:rsidRPr="004B33BC">
        <w:rPr>
          <w:i/>
          <w:iCs/>
        </w:rPr>
        <w:t>5</w:t>
      </w:r>
      <w:r w:rsidRPr="004B33BC">
        <w:t xml:space="preserve">(2), 301–326. </w:t>
      </w:r>
      <w:hyperlink r:id="rId199" w:history="1">
        <w:r w:rsidRPr="004B33BC">
          <w:rPr>
            <w:rStyle w:val="Hyperlink"/>
          </w:rPr>
          <w:t>https://doi.org/10.1080/09585199400000020</w:t>
        </w:r>
      </w:hyperlink>
    </w:p>
    <w:p w14:paraId="5E9C4320" w14:textId="77777777" w:rsidR="00707210" w:rsidRPr="004B33BC" w:rsidRDefault="00707210" w:rsidP="004B33BC">
      <w:pPr>
        <w:spacing w:line="240" w:lineRule="auto"/>
        <w:jc w:val="both"/>
      </w:pPr>
      <w:r w:rsidRPr="004B33BC">
        <w:rPr>
          <w:lang w:val="de-DE"/>
        </w:rPr>
        <w:t xml:space="preserve">Wukich, J. J., Neuman, E. L., &amp; Fogarty, T. J. (2023). </w:t>
      </w:r>
      <w:r w:rsidRPr="004B33BC">
        <w:t xml:space="preserve">Show me? inspire me? make me? an institutional theory exploration of social and environmental reporting practices. </w:t>
      </w:r>
      <w:r w:rsidRPr="004B33BC">
        <w:rPr>
          <w:i/>
          <w:iCs/>
        </w:rPr>
        <w:t>Journal of Accounting &amp; Organizational Change</w:t>
      </w:r>
      <w:r w:rsidRPr="004B33BC">
        <w:t xml:space="preserve">, </w:t>
      </w:r>
      <w:r w:rsidRPr="004B33BC">
        <w:rPr>
          <w:i/>
          <w:iCs/>
        </w:rPr>
        <w:t>20</w:t>
      </w:r>
      <w:r w:rsidRPr="004B33BC">
        <w:t xml:space="preserve">(4), 673–701. </w:t>
      </w:r>
      <w:hyperlink r:id="rId200" w:history="1">
        <w:r w:rsidRPr="004B33BC">
          <w:rPr>
            <w:rStyle w:val="Hyperlink"/>
          </w:rPr>
          <w:t>https://doi.org/10.1108/jaoc-01-2023-0013</w:t>
        </w:r>
      </w:hyperlink>
    </w:p>
    <w:p w14:paraId="35B6AA2A" w14:textId="77777777" w:rsidR="00707210" w:rsidRPr="004B33BC" w:rsidRDefault="00707210" w:rsidP="004B33BC">
      <w:pPr>
        <w:spacing w:line="240" w:lineRule="auto"/>
        <w:jc w:val="both"/>
      </w:pPr>
      <w:r w:rsidRPr="004B33BC">
        <w:t xml:space="preserve">Zaini, S. M., Samkin, G., Sharma, U., &amp; Davey, H. (2018). Voluntary disclosure in emerging countries: A literature review. </w:t>
      </w:r>
      <w:r w:rsidRPr="004B33BC">
        <w:rPr>
          <w:i/>
          <w:iCs/>
        </w:rPr>
        <w:t>Journal of Accounting in Emerging Economies</w:t>
      </w:r>
      <w:r w:rsidRPr="004B33BC">
        <w:t xml:space="preserve">, </w:t>
      </w:r>
      <w:r w:rsidRPr="004B33BC">
        <w:rPr>
          <w:i/>
          <w:iCs/>
        </w:rPr>
        <w:t>8</w:t>
      </w:r>
      <w:r w:rsidRPr="004B33BC">
        <w:t xml:space="preserve">(1), 29–65. </w:t>
      </w:r>
      <w:hyperlink r:id="rId201" w:history="1">
        <w:r w:rsidRPr="004B33BC">
          <w:rPr>
            <w:rStyle w:val="Hyperlink"/>
          </w:rPr>
          <w:t>https://doi.org/10.1108/jaee-08-2016-0069</w:t>
        </w:r>
      </w:hyperlink>
    </w:p>
    <w:p w14:paraId="3BAAECDE" w14:textId="4F955551" w:rsidR="00707210" w:rsidRPr="004B33BC" w:rsidRDefault="00707210" w:rsidP="004B33BC">
      <w:pPr>
        <w:spacing w:line="240" w:lineRule="auto"/>
        <w:jc w:val="both"/>
      </w:pPr>
      <w:r w:rsidRPr="004B33BC">
        <w:rPr>
          <w:lang w:val="de-DE"/>
        </w:rPr>
        <w:t xml:space="preserve">Zhao, X., Lynch, J. G., Jr., &amp; Chen, Q. (2010). </w:t>
      </w:r>
      <w:r w:rsidRPr="004B33BC">
        <w:t xml:space="preserve">Reconsidering </w:t>
      </w:r>
      <w:r w:rsidR="00D961F9">
        <w:t>B</w:t>
      </w:r>
      <w:r w:rsidRPr="004B33BC">
        <w:t xml:space="preserve">aron and Kenny: Myths and truths about mediation analysis. </w:t>
      </w:r>
      <w:r w:rsidRPr="004B33BC">
        <w:rPr>
          <w:i/>
          <w:iCs/>
        </w:rPr>
        <w:t>Journal of Consumer Research</w:t>
      </w:r>
      <w:r w:rsidRPr="004B33BC">
        <w:t xml:space="preserve">, </w:t>
      </w:r>
      <w:r w:rsidRPr="004B33BC">
        <w:rPr>
          <w:i/>
          <w:iCs/>
        </w:rPr>
        <w:t>37</w:t>
      </w:r>
      <w:r w:rsidRPr="004B33BC">
        <w:t xml:space="preserve">(2), 197–206. </w:t>
      </w:r>
      <w:hyperlink r:id="rId202" w:history="1">
        <w:r w:rsidRPr="004B33BC">
          <w:rPr>
            <w:rStyle w:val="Hyperlink"/>
          </w:rPr>
          <w:t>https://doi.org/10.1086/651257</w:t>
        </w:r>
      </w:hyperlink>
    </w:p>
    <w:p w14:paraId="274DD1CC" w14:textId="4E49B8EE" w:rsidR="00707210" w:rsidRPr="004B33BC" w:rsidRDefault="00707210" w:rsidP="004B33BC">
      <w:pPr>
        <w:spacing w:line="240" w:lineRule="auto"/>
        <w:jc w:val="both"/>
      </w:pPr>
      <w:r w:rsidRPr="004B33BC">
        <w:rPr>
          <w:lang w:val="de-DE"/>
        </w:rPr>
        <w:t xml:space="preserve">Zhu, D., Ulrich, D., Das, S., &amp; Smallwood, N. (2024). </w:t>
      </w:r>
      <w:r w:rsidRPr="004B33BC">
        <w:t xml:space="preserve">A system for analyzing human capability at scale using </w:t>
      </w:r>
      <w:r w:rsidR="00D961F9">
        <w:t>AI</w:t>
      </w:r>
      <w:r w:rsidRPr="004B33BC">
        <w:t xml:space="preserve">. In </w:t>
      </w:r>
      <w:r w:rsidRPr="004B33BC">
        <w:rPr>
          <w:i/>
          <w:iCs/>
        </w:rPr>
        <w:t>Lecture notes in networks and systems</w:t>
      </w:r>
      <w:r w:rsidRPr="004B33BC">
        <w:t xml:space="preserve"> (pp. 308–324). Springer Nature Switzerland. </w:t>
      </w:r>
      <w:hyperlink r:id="rId203" w:history="1">
        <w:r w:rsidRPr="004B33BC">
          <w:rPr>
            <w:rStyle w:val="Hyperlink"/>
          </w:rPr>
          <w:t>https://doi.org/10.1007/978-3-031-47715-7_21</w:t>
        </w:r>
      </w:hyperlink>
    </w:p>
    <w:p w14:paraId="6F764E15" w14:textId="77777777" w:rsidR="00707210" w:rsidRPr="004B33BC" w:rsidRDefault="00707210" w:rsidP="004B33BC">
      <w:pPr>
        <w:spacing w:line="240" w:lineRule="auto"/>
        <w:jc w:val="both"/>
      </w:pPr>
      <w:r w:rsidRPr="004B33BC">
        <w:t xml:space="preserve">Zyl, J. Van. (2022). Human capital measurement and integrated reporting: An intra-systemic model. </w:t>
      </w:r>
      <w:r w:rsidRPr="004B33BC">
        <w:rPr>
          <w:i/>
          <w:iCs/>
        </w:rPr>
        <w:t>SSRN Electronic Journal</w:t>
      </w:r>
      <w:r w:rsidRPr="004B33BC">
        <w:t xml:space="preserve">. </w:t>
      </w:r>
      <w:hyperlink r:id="rId204" w:history="1">
        <w:r w:rsidRPr="004B33BC">
          <w:rPr>
            <w:rStyle w:val="Hyperlink"/>
          </w:rPr>
          <w:t>https://doi.org/10.2139/ssrn.4214440</w:t>
        </w:r>
      </w:hyperlink>
    </w:p>
    <w:p w14:paraId="7A9985EB" w14:textId="77777777" w:rsidR="004B33BC" w:rsidRPr="004B33BC" w:rsidRDefault="004B33BC" w:rsidP="004B33BC">
      <w:pPr>
        <w:spacing w:line="240" w:lineRule="auto"/>
        <w:jc w:val="both"/>
      </w:pPr>
    </w:p>
    <w:p w14:paraId="6EB36F9F" w14:textId="77777777" w:rsidR="004B33BC" w:rsidRPr="004B33BC" w:rsidRDefault="004B33BC" w:rsidP="004B33BC">
      <w:pPr>
        <w:spacing w:line="240" w:lineRule="auto"/>
        <w:jc w:val="both"/>
      </w:pPr>
    </w:p>
    <w:p w14:paraId="158F103E" w14:textId="77777777" w:rsidR="00DE76D7" w:rsidRDefault="00DE76D7" w:rsidP="00DE76D7">
      <w:pPr>
        <w:spacing w:line="240" w:lineRule="auto"/>
        <w:jc w:val="both"/>
      </w:pPr>
    </w:p>
    <w:sectPr w:rsidR="00DE76D7">
      <w:headerReference w:type="default" r:id="rId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465B" w14:textId="77777777" w:rsidR="00D70309" w:rsidRDefault="00D70309" w:rsidP="00B73C1F">
      <w:pPr>
        <w:spacing w:after="0" w:line="240" w:lineRule="auto"/>
      </w:pPr>
      <w:r>
        <w:separator/>
      </w:r>
    </w:p>
  </w:endnote>
  <w:endnote w:type="continuationSeparator" w:id="0">
    <w:p w14:paraId="3996A874" w14:textId="77777777" w:rsidR="00D70309" w:rsidRDefault="00D70309" w:rsidP="00B7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4F1B" w14:textId="77777777" w:rsidR="00D70309" w:rsidRDefault="00D70309" w:rsidP="00B73C1F">
      <w:pPr>
        <w:spacing w:after="0" w:line="240" w:lineRule="auto"/>
      </w:pPr>
      <w:r>
        <w:separator/>
      </w:r>
    </w:p>
  </w:footnote>
  <w:footnote w:type="continuationSeparator" w:id="0">
    <w:p w14:paraId="2F7ED358" w14:textId="77777777" w:rsidR="00D70309" w:rsidRDefault="00D70309" w:rsidP="00B7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EDAD" w14:textId="0055CA0A" w:rsidR="00B73C1F" w:rsidRDefault="00B73C1F">
    <w:pPr>
      <w:pStyle w:val="Header"/>
      <w:jc w:val="right"/>
    </w:pPr>
    <w:r>
      <w:t xml:space="preserve">Research </w:t>
    </w:r>
    <w:sdt>
      <w:sdtPr>
        <w:id w:val="-10278766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D363D9A" w14:textId="77777777" w:rsidR="00B73C1F" w:rsidRDefault="00B73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E16988"/>
    <w:multiLevelType w:val="multilevel"/>
    <w:tmpl w:val="BA5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B2F7D"/>
    <w:multiLevelType w:val="multilevel"/>
    <w:tmpl w:val="396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224A9"/>
    <w:multiLevelType w:val="multilevel"/>
    <w:tmpl w:val="1F6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6384B"/>
    <w:multiLevelType w:val="multilevel"/>
    <w:tmpl w:val="B4E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493415">
    <w:abstractNumId w:val="12"/>
  </w:num>
  <w:num w:numId="2" w16cid:durableId="595602801">
    <w:abstractNumId w:val="11"/>
  </w:num>
  <w:num w:numId="3" w16cid:durableId="1479418721">
    <w:abstractNumId w:val="9"/>
  </w:num>
  <w:num w:numId="4" w16cid:durableId="1322196995">
    <w:abstractNumId w:val="10"/>
  </w:num>
  <w:num w:numId="5" w16cid:durableId="1221751652">
    <w:abstractNumId w:val="8"/>
  </w:num>
  <w:num w:numId="6" w16cid:durableId="1521896378">
    <w:abstractNumId w:val="6"/>
  </w:num>
  <w:num w:numId="7" w16cid:durableId="2019386820">
    <w:abstractNumId w:val="5"/>
  </w:num>
  <w:num w:numId="8" w16cid:durableId="1698120250">
    <w:abstractNumId w:val="4"/>
  </w:num>
  <w:num w:numId="9" w16cid:durableId="1391152575">
    <w:abstractNumId w:val="7"/>
  </w:num>
  <w:num w:numId="10" w16cid:durableId="1203442619">
    <w:abstractNumId w:val="3"/>
  </w:num>
  <w:num w:numId="11" w16cid:durableId="2020426472">
    <w:abstractNumId w:val="2"/>
  </w:num>
  <w:num w:numId="12" w16cid:durableId="812597781">
    <w:abstractNumId w:val="1"/>
  </w:num>
  <w:num w:numId="13" w16cid:durableId="99734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wMze2MDK2NDcBspR0lIJTi4sz8/NACoxrAct3UNQsAAAA"/>
  </w:docVars>
  <w:rsids>
    <w:rsidRoot w:val="00DE76D7"/>
    <w:rsid w:val="000405F1"/>
    <w:rsid w:val="000971E4"/>
    <w:rsid w:val="00145F3F"/>
    <w:rsid w:val="00201DC0"/>
    <w:rsid w:val="0023718D"/>
    <w:rsid w:val="003072EF"/>
    <w:rsid w:val="003252B3"/>
    <w:rsid w:val="0035507D"/>
    <w:rsid w:val="00393FE3"/>
    <w:rsid w:val="00394486"/>
    <w:rsid w:val="003F08F1"/>
    <w:rsid w:val="004B33BC"/>
    <w:rsid w:val="004E3BC8"/>
    <w:rsid w:val="00541A73"/>
    <w:rsid w:val="005B50FD"/>
    <w:rsid w:val="006014E4"/>
    <w:rsid w:val="006235D2"/>
    <w:rsid w:val="0064196A"/>
    <w:rsid w:val="00677017"/>
    <w:rsid w:val="00707210"/>
    <w:rsid w:val="00724C44"/>
    <w:rsid w:val="00811927"/>
    <w:rsid w:val="00845999"/>
    <w:rsid w:val="00866428"/>
    <w:rsid w:val="008B1F43"/>
    <w:rsid w:val="00906B72"/>
    <w:rsid w:val="00911C13"/>
    <w:rsid w:val="00A725CA"/>
    <w:rsid w:val="00AF285B"/>
    <w:rsid w:val="00B73C1F"/>
    <w:rsid w:val="00BC65DD"/>
    <w:rsid w:val="00BE52AD"/>
    <w:rsid w:val="00C313FF"/>
    <w:rsid w:val="00D70309"/>
    <w:rsid w:val="00D961F9"/>
    <w:rsid w:val="00DE76D7"/>
    <w:rsid w:val="00E133F2"/>
    <w:rsid w:val="00E53091"/>
    <w:rsid w:val="00E90243"/>
    <w:rsid w:val="00E95ADF"/>
    <w:rsid w:val="00EB4FF5"/>
    <w:rsid w:val="00EB4FFA"/>
    <w:rsid w:val="00EC357C"/>
    <w:rsid w:val="00F34061"/>
    <w:rsid w:val="00F658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A788"/>
  <w15:chartTrackingRefBased/>
  <w15:docId w15:val="{A438CE70-5FC1-4D76-B0DE-4F05F8B4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7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76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6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76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76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76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76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76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6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76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76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6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76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76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76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76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76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7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6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6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76D7"/>
    <w:pPr>
      <w:spacing w:before="160"/>
      <w:jc w:val="center"/>
    </w:pPr>
    <w:rPr>
      <w:i/>
      <w:iCs/>
      <w:color w:val="404040" w:themeColor="text1" w:themeTint="BF"/>
    </w:rPr>
  </w:style>
  <w:style w:type="character" w:customStyle="1" w:styleId="QuoteChar">
    <w:name w:val="Quote Char"/>
    <w:basedOn w:val="DefaultParagraphFont"/>
    <w:link w:val="Quote"/>
    <w:uiPriority w:val="29"/>
    <w:rsid w:val="00DE76D7"/>
    <w:rPr>
      <w:i/>
      <w:iCs/>
      <w:color w:val="404040" w:themeColor="text1" w:themeTint="BF"/>
    </w:rPr>
  </w:style>
  <w:style w:type="paragraph" w:styleId="ListParagraph">
    <w:name w:val="List Paragraph"/>
    <w:basedOn w:val="Normal"/>
    <w:uiPriority w:val="34"/>
    <w:qFormat/>
    <w:rsid w:val="00DE76D7"/>
    <w:pPr>
      <w:ind w:left="720"/>
      <w:contextualSpacing/>
    </w:pPr>
  </w:style>
  <w:style w:type="character" w:styleId="IntenseEmphasis">
    <w:name w:val="Intense Emphasis"/>
    <w:basedOn w:val="DefaultParagraphFont"/>
    <w:uiPriority w:val="21"/>
    <w:qFormat/>
    <w:rsid w:val="00DE76D7"/>
    <w:rPr>
      <w:i/>
      <w:iCs/>
      <w:color w:val="2F5496" w:themeColor="accent1" w:themeShade="BF"/>
    </w:rPr>
  </w:style>
  <w:style w:type="paragraph" w:styleId="IntenseQuote">
    <w:name w:val="Intense Quote"/>
    <w:basedOn w:val="Normal"/>
    <w:next w:val="Normal"/>
    <w:link w:val="IntenseQuoteChar"/>
    <w:uiPriority w:val="30"/>
    <w:qFormat/>
    <w:rsid w:val="00DE7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6D7"/>
    <w:rPr>
      <w:i/>
      <w:iCs/>
      <w:color w:val="2F5496" w:themeColor="accent1" w:themeShade="BF"/>
    </w:rPr>
  </w:style>
  <w:style w:type="character" w:styleId="IntenseReference">
    <w:name w:val="Intense Reference"/>
    <w:basedOn w:val="DefaultParagraphFont"/>
    <w:uiPriority w:val="32"/>
    <w:qFormat/>
    <w:rsid w:val="00DE76D7"/>
    <w:rPr>
      <w:b/>
      <w:bCs/>
      <w:smallCaps/>
      <w:color w:val="2F5496" w:themeColor="accent1" w:themeShade="BF"/>
      <w:spacing w:val="5"/>
    </w:rPr>
  </w:style>
  <w:style w:type="paragraph" w:styleId="Header">
    <w:name w:val="header"/>
    <w:basedOn w:val="Normal"/>
    <w:link w:val="HeaderChar"/>
    <w:uiPriority w:val="99"/>
    <w:unhideWhenUsed/>
    <w:rsid w:val="00B7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C1F"/>
  </w:style>
  <w:style w:type="paragraph" w:styleId="Footer">
    <w:name w:val="footer"/>
    <w:basedOn w:val="Normal"/>
    <w:link w:val="FooterChar"/>
    <w:uiPriority w:val="99"/>
    <w:unhideWhenUsed/>
    <w:rsid w:val="00B7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C1F"/>
  </w:style>
  <w:style w:type="character" w:styleId="Hyperlink">
    <w:name w:val="Hyperlink"/>
    <w:basedOn w:val="DefaultParagraphFont"/>
    <w:uiPriority w:val="99"/>
    <w:unhideWhenUsed/>
    <w:rsid w:val="004B33BC"/>
    <w:rPr>
      <w:color w:val="0563C1" w:themeColor="hyperlink"/>
      <w:u w:val="single"/>
    </w:rPr>
  </w:style>
  <w:style w:type="character" w:styleId="UnresolvedMention">
    <w:name w:val="Unresolved Mention"/>
    <w:basedOn w:val="DefaultParagraphFont"/>
    <w:uiPriority w:val="99"/>
    <w:semiHidden/>
    <w:unhideWhenUsed/>
    <w:rsid w:val="004B33BC"/>
    <w:rPr>
      <w:color w:val="605E5C"/>
      <w:shd w:val="clear" w:color="auto" w:fill="E1DFDD"/>
    </w:rPr>
  </w:style>
  <w:style w:type="character" w:styleId="FollowedHyperlink">
    <w:name w:val="FollowedHyperlink"/>
    <w:basedOn w:val="DefaultParagraphFont"/>
    <w:uiPriority w:val="99"/>
    <w:semiHidden/>
    <w:unhideWhenUsed/>
    <w:rsid w:val="004B33BC"/>
    <w:rPr>
      <w:color w:val="954F72" w:themeColor="followedHyperlink"/>
      <w:u w:val="single"/>
    </w:rPr>
  </w:style>
  <w:style w:type="table" w:styleId="TableGrid">
    <w:name w:val="Table Grid"/>
    <w:basedOn w:val="TableNormal"/>
    <w:uiPriority w:val="59"/>
    <w:rsid w:val="004B3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4C44"/>
    <w:pPr>
      <w:spacing w:after="0" w:line="240" w:lineRule="auto"/>
    </w:pPr>
    <w:rPr>
      <w:rFonts w:asciiTheme="minorHAnsi" w:eastAsiaTheme="minorEastAsia" w:hAnsiTheme="minorHAnsi" w:cstheme="minorBidi"/>
      <w:kern w:val="0"/>
      <w:sz w:val="22"/>
      <w:szCs w:val="22"/>
      <w14:ligatures w14:val="none"/>
    </w:rPr>
  </w:style>
  <w:style w:type="paragraph" w:styleId="BodyText">
    <w:name w:val="Body Text"/>
    <w:basedOn w:val="Normal"/>
    <w:link w:val="BodyTextChar"/>
    <w:uiPriority w:val="99"/>
    <w:unhideWhenUsed/>
    <w:rsid w:val="00724C44"/>
    <w:pPr>
      <w:spacing w:after="120" w:line="480" w:lineRule="auto"/>
    </w:pPr>
    <w:rPr>
      <w:rFonts w:eastAsiaTheme="minorEastAsia" w:cstheme="minorBidi"/>
      <w:kern w:val="0"/>
      <w:szCs w:val="22"/>
      <w14:ligatures w14:val="none"/>
    </w:rPr>
  </w:style>
  <w:style w:type="character" w:customStyle="1" w:styleId="BodyTextChar">
    <w:name w:val="Body Text Char"/>
    <w:basedOn w:val="DefaultParagraphFont"/>
    <w:link w:val="BodyText"/>
    <w:uiPriority w:val="99"/>
    <w:rsid w:val="00724C44"/>
    <w:rPr>
      <w:rFonts w:eastAsiaTheme="minorEastAsia" w:cstheme="minorBidi"/>
      <w:kern w:val="0"/>
      <w:szCs w:val="22"/>
      <w14:ligatures w14:val="none"/>
    </w:rPr>
  </w:style>
  <w:style w:type="paragraph" w:styleId="BodyText2">
    <w:name w:val="Body Text 2"/>
    <w:basedOn w:val="Normal"/>
    <w:link w:val="BodyText2Char"/>
    <w:uiPriority w:val="99"/>
    <w:unhideWhenUsed/>
    <w:rsid w:val="00724C44"/>
    <w:pPr>
      <w:spacing w:after="120" w:line="480" w:lineRule="auto"/>
    </w:pPr>
    <w:rPr>
      <w:rFonts w:eastAsiaTheme="minorEastAsia" w:cstheme="minorBidi"/>
      <w:kern w:val="0"/>
      <w:szCs w:val="22"/>
      <w14:ligatures w14:val="none"/>
    </w:rPr>
  </w:style>
  <w:style w:type="character" w:customStyle="1" w:styleId="BodyText2Char">
    <w:name w:val="Body Text 2 Char"/>
    <w:basedOn w:val="DefaultParagraphFont"/>
    <w:link w:val="BodyText2"/>
    <w:uiPriority w:val="99"/>
    <w:rsid w:val="00724C44"/>
    <w:rPr>
      <w:rFonts w:eastAsiaTheme="minorEastAsia" w:cstheme="minorBidi"/>
      <w:kern w:val="0"/>
      <w:szCs w:val="22"/>
      <w14:ligatures w14:val="none"/>
    </w:rPr>
  </w:style>
  <w:style w:type="paragraph" w:styleId="BodyText3">
    <w:name w:val="Body Text 3"/>
    <w:basedOn w:val="Normal"/>
    <w:link w:val="BodyText3Char"/>
    <w:uiPriority w:val="99"/>
    <w:unhideWhenUsed/>
    <w:rsid w:val="00724C44"/>
    <w:pPr>
      <w:spacing w:after="120" w:line="480" w:lineRule="auto"/>
    </w:pPr>
    <w:rPr>
      <w:rFonts w:eastAsiaTheme="minorEastAsia" w:cstheme="minorBidi"/>
      <w:kern w:val="0"/>
      <w:sz w:val="16"/>
      <w:szCs w:val="16"/>
      <w14:ligatures w14:val="none"/>
    </w:rPr>
  </w:style>
  <w:style w:type="character" w:customStyle="1" w:styleId="BodyText3Char">
    <w:name w:val="Body Text 3 Char"/>
    <w:basedOn w:val="DefaultParagraphFont"/>
    <w:link w:val="BodyText3"/>
    <w:uiPriority w:val="99"/>
    <w:rsid w:val="00724C44"/>
    <w:rPr>
      <w:rFonts w:eastAsiaTheme="minorEastAsia" w:cstheme="minorBidi"/>
      <w:kern w:val="0"/>
      <w:sz w:val="16"/>
      <w:szCs w:val="16"/>
      <w14:ligatures w14:val="none"/>
    </w:rPr>
  </w:style>
  <w:style w:type="paragraph" w:styleId="List">
    <w:name w:val="List"/>
    <w:basedOn w:val="Normal"/>
    <w:uiPriority w:val="99"/>
    <w:unhideWhenUsed/>
    <w:rsid w:val="00724C44"/>
    <w:pPr>
      <w:spacing w:after="0" w:line="480" w:lineRule="auto"/>
      <w:ind w:left="360" w:hanging="360"/>
      <w:contextualSpacing/>
    </w:pPr>
    <w:rPr>
      <w:rFonts w:eastAsiaTheme="minorEastAsia" w:cstheme="minorBidi"/>
      <w:kern w:val="0"/>
      <w:szCs w:val="22"/>
      <w14:ligatures w14:val="none"/>
    </w:rPr>
  </w:style>
  <w:style w:type="paragraph" w:styleId="List2">
    <w:name w:val="List 2"/>
    <w:basedOn w:val="Normal"/>
    <w:uiPriority w:val="99"/>
    <w:unhideWhenUsed/>
    <w:rsid w:val="00724C44"/>
    <w:pPr>
      <w:spacing w:after="0" w:line="480" w:lineRule="auto"/>
      <w:ind w:left="720" w:hanging="360"/>
      <w:contextualSpacing/>
    </w:pPr>
    <w:rPr>
      <w:rFonts w:eastAsiaTheme="minorEastAsia" w:cstheme="minorBidi"/>
      <w:kern w:val="0"/>
      <w:szCs w:val="22"/>
      <w14:ligatures w14:val="none"/>
    </w:rPr>
  </w:style>
  <w:style w:type="paragraph" w:styleId="List3">
    <w:name w:val="List 3"/>
    <w:basedOn w:val="Normal"/>
    <w:uiPriority w:val="99"/>
    <w:unhideWhenUsed/>
    <w:rsid w:val="00724C44"/>
    <w:pPr>
      <w:spacing w:after="0" w:line="480" w:lineRule="auto"/>
      <w:ind w:left="1080" w:hanging="360"/>
      <w:contextualSpacing/>
    </w:pPr>
    <w:rPr>
      <w:rFonts w:eastAsiaTheme="minorEastAsia" w:cstheme="minorBidi"/>
      <w:kern w:val="0"/>
      <w:szCs w:val="22"/>
      <w14:ligatures w14:val="none"/>
    </w:rPr>
  </w:style>
  <w:style w:type="paragraph" w:styleId="ListBullet">
    <w:name w:val="List Bullet"/>
    <w:basedOn w:val="Normal"/>
    <w:uiPriority w:val="99"/>
    <w:unhideWhenUsed/>
    <w:rsid w:val="00724C44"/>
    <w:pPr>
      <w:numPr>
        <w:numId w:val="5"/>
      </w:numPr>
      <w:tabs>
        <w:tab w:val="clear" w:pos="360"/>
      </w:tabs>
      <w:spacing w:after="0" w:line="480" w:lineRule="auto"/>
      <w:ind w:left="0" w:firstLine="0"/>
      <w:contextualSpacing/>
    </w:pPr>
    <w:rPr>
      <w:rFonts w:eastAsiaTheme="minorEastAsia" w:cstheme="minorBidi"/>
      <w:kern w:val="0"/>
      <w:szCs w:val="22"/>
      <w14:ligatures w14:val="none"/>
    </w:rPr>
  </w:style>
  <w:style w:type="paragraph" w:styleId="ListBullet2">
    <w:name w:val="List Bullet 2"/>
    <w:basedOn w:val="Normal"/>
    <w:uiPriority w:val="99"/>
    <w:unhideWhenUsed/>
    <w:rsid w:val="00724C44"/>
    <w:pPr>
      <w:numPr>
        <w:numId w:val="6"/>
      </w:numPr>
      <w:tabs>
        <w:tab w:val="clear" w:pos="720"/>
      </w:tabs>
      <w:spacing w:after="0" w:line="480" w:lineRule="auto"/>
      <w:ind w:left="0" w:firstLine="0"/>
      <w:contextualSpacing/>
    </w:pPr>
    <w:rPr>
      <w:rFonts w:eastAsiaTheme="minorEastAsia" w:cstheme="minorBidi"/>
      <w:kern w:val="0"/>
      <w:szCs w:val="22"/>
      <w14:ligatures w14:val="none"/>
    </w:rPr>
  </w:style>
  <w:style w:type="paragraph" w:styleId="ListBullet3">
    <w:name w:val="List Bullet 3"/>
    <w:basedOn w:val="Normal"/>
    <w:uiPriority w:val="99"/>
    <w:unhideWhenUsed/>
    <w:rsid w:val="00724C44"/>
    <w:pPr>
      <w:numPr>
        <w:numId w:val="7"/>
      </w:numPr>
      <w:tabs>
        <w:tab w:val="clear" w:pos="1080"/>
      </w:tabs>
      <w:spacing w:after="0" w:line="480" w:lineRule="auto"/>
      <w:ind w:left="0" w:firstLine="0"/>
      <w:contextualSpacing/>
    </w:pPr>
    <w:rPr>
      <w:rFonts w:eastAsiaTheme="minorEastAsia" w:cstheme="minorBidi"/>
      <w:kern w:val="0"/>
      <w:szCs w:val="22"/>
      <w14:ligatures w14:val="none"/>
    </w:rPr>
  </w:style>
  <w:style w:type="paragraph" w:styleId="ListNumber">
    <w:name w:val="List Number"/>
    <w:basedOn w:val="Normal"/>
    <w:uiPriority w:val="99"/>
    <w:unhideWhenUsed/>
    <w:rsid w:val="00724C44"/>
    <w:pPr>
      <w:numPr>
        <w:numId w:val="9"/>
      </w:numPr>
      <w:tabs>
        <w:tab w:val="clear" w:pos="360"/>
      </w:tabs>
      <w:spacing w:after="0" w:line="480" w:lineRule="auto"/>
      <w:ind w:left="0" w:firstLine="0"/>
      <w:contextualSpacing/>
    </w:pPr>
    <w:rPr>
      <w:rFonts w:eastAsiaTheme="minorEastAsia" w:cstheme="minorBidi"/>
      <w:kern w:val="0"/>
      <w:szCs w:val="22"/>
      <w14:ligatures w14:val="none"/>
    </w:rPr>
  </w:style>
  <w:style w:type="paragraph" w:styleId="ListNumber2">
    <w:name w:val="List Number 2"/>
    <w:basedOn w:val="Normal"/>
    <w:uiPriority w:val="99"/>
    <w:unhideWhenUsed/>
    <w:rsid w:val="00724C44"/>
    <w:pPr>
      <w:numPr>
        <w:numId w:val="10"/>
      </w:numPr>
      <w:tabs>
        <w:tab w:val="clear" w:pos="720"/>
      </w:tabs>
      <w:spacing w:after="0" w:line="480" w:lineRule="auto"/>
      <w:ind w:left="0" w:firstLine="0"/>
      <w:contextualSpacing/>
    </w:pPr>
    <w:rPr>
      <w:rFonts w:eastAsiaTheme="minorEastAsia" w:cstheme="minorBidi"/>
      <w:kern w:val="0"/>
      <w:szCs w:val="22"/>
      <w14:ligatures w14:val="none"/>
    </w:rPr>
  </w:style>
  <w:style w:type="paragraph" w:styleId="ListNumber3">
    <w:name w:val="List Number 3"/>
    <w:basedOn w:val="Normal"/>
    <w:uiPriority w:val="99"/>
    <w:unhideWhenUsed/>
    <w:rsid w:val="00724C44"/>
    <w:pPr>
      <w:numPr>
        <w:numId w:val="11"/>
      </w:numPr>
      <w:tabs>
        <w:tab w:val="clear" w:pos="1080"/>
      </w:tabs>
      <w:spacing w:after="0" w:line="480" w:lineRule="auto"/>
      <w:ind w:left="0" w:firstLine="0"/>
      <w:contextualSpacing/>
    </w:pPr>
    <w:rPr>
      <w:rFonts w:eastAsiaTheme="minorEastAsia" w:cstheme="minorBidi"/>
      <w:kern w:val="0"/>
      <w:szCs w:val="22"/>
      <w14:ligatures w14:val="none"/>
    </w:rPr>
  </w:style>
  <w:style w:type="paragraph" w:styleId="ListContinue">
    <w:name w:val="List Continue"/>
    <w:basedOn w:val="Normal"/>
    <w:uiPriority w:val="99"/>
    <w:unhideWhenUsed/>
    <w:rsid w:val="00724C44"/>
    <w:pPr>
      <w:spacing w:after="120" w:line="480" w:lineRule="auto"/>
      <w:ind w:left="360"/>
      <w:contextualSpacing/>
    </w:pPr>
    <w:rPr>
      <w:rFonts w:eastAsiaTheme="minorEastAsia" w:cstheme="minorBidi"/>
      <w:kern w:val="0"/>
      <w:szCs w:val="22"/>
      <w14:ligatures w14:val="none"/>
    </w:rPr>
  </w:style>
  <w:style w:type="paragraph" w:styleId="ListContinue2">
    <w:name w:val="List Continue 2"/>
    <w:basedOn w:val="Normal"/>
    <w:uiPriority w:val="99"/>
    <w:unhideWhenUsed/>
    <w:rsid w:val="00724C44"/>
    <w:pPr>
      <w:spacing w:after="120" w:line="480" w:lineRule="auto"/>
      <w:ind w:left="720"/>
      <w:contextualSpacing/>
    </w:pPr>
    <w:rPr>
      <w:rFonts w:eastAsiaTheme="minorEastAsia" w:cstheme="minorBidi"/>
      <w:kern w:val="0"/>
      <w:szCs w:val="22"/>
      <w14:ligatures w14:val="none"/>
    </w:rPr>
  </w:style>
  <w:style w:type="paragraph" w:styleId="ListContinue3">
    <w:name w:val="List Continue 3"/>
    <w:basedOn w:val="Normal"/>
    <w:uiPriority w:val="99"/>
    <w:unhideWhenUsed/>
    <w:rsid w:val="00724C44"/>
    <w:pPr>
      <w:spacing w:after="120" w:line="480" w:lineRule="auto"/>
      <w:ind w:left="1080"/>
      <w:contextualSpacing/>
    </w:pPr>
    <w:rPr>
      <w:rFonts w:eastAsiaTheme="minorEastAsia" w:cstheme="minorBidi"/>
      <w:kern w:val="0"/>
      <w:szCs w:val="22"/>
      <w14:ligatures w14:val="none"/>
    </w:rPr>
  </w:style>
  <w:style w:type="paragraph" w:styleId="MacroText">
    <w:name w:val="macro"/>
    <w:link w:val="MacroTextChar"/>
    <w:uiPriority w:val="99"/>
    <w:unhideWhenUsed/>
    <w:rsid w:val="00724C4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kern w:val="0"/>
      <w:sz w:val="20"/>
      <w:szCs w:val="20"/>
      <w14:ligatures w14:val="none"/>
    </w:rPr>
  </w:style>
  <w:style w:type="character" w:customStyle="1" w:styleId="MacroTextChar">
    <w:name w:val="Macro Text Char"/>
    <w:basedOn w:val="DefaultParagraphFont"/>
    <w:link w:val="MacroText"/>
    <w:uiPriority w:val="99"/>
    <w:rsid w:val="00724C44"/>
    <w:rPr>
      <w:rFonts w:ascii="Courier" w:eastAsiaTheme="minorEastAsia" w:hAnsi="Courier" w:cstheme="minorBidi"/>
      <w:kern w:val="0"/>
      <w:sz w:val="20"/>
      <w:szCs w:val="20"/>
      <w14:ligatures w14:val="none"/>
    </w:rPr>
  </w:style>
  <w:style w:type="paragraph" w:styleId="Caption">
    <w:name w:val="caption"/>
    <w:basedOn w:val="Normal"/>
    <w:next w:val="Normal"/>
    <w:uiPriority w:val="35"/>
    <w:semiHidden/>
    <w:unhideWhenUsed/>
    <w:qFormat/>
    <w:rsid w:val="00724C44"/>
    <w:pPr>
      <w:spacing w:after="0" w:line="240" w:lineRule="auto"/>
    </w:pPr>
    <w:rPr>
      <w:rFonts w:eastAsiaTheme="minorEastAsia" w:cstheme="minorBidi"/>
      <w:b/>
      <w:bCs/>
      <w:color w:val="4472C4" w:themeColor="accent1"/>
      <w:kern w:val="0"/>
      <w:sz w:val="18"/>
      <w:szCs w:val="18"/>
      <w14:ligatures w14:val="none"/>
    </w:rPr>
  </w:style>
  <w:style w:type="character" w:styleId="Strong">
    <w:name w:val="Strong"/>
    <w:basedOn w:val="DefaultParagraphFont"/>
    <w:uiPriority w:val="22"/>
    <w:qFormat/>
    <w:rsid w:val="00724C44"/>
    <w:rPr>
      <w:b/>
      <w:bCs/>
    </w:rPr>
  </w:style>
  <w:style w:type="character" w:styleId="Emphasis">
    <w:name w:val="Emphasis"/>
    <w:basedOn w:val="DefaultParagraphFont"/>
    <w:uiPriority w:val="20"/>
    <w:qFormat/>
    <w:rsid w:val="00724C44"/>
    <w:rPr>
      <w:i/>
      <w:iCs/>
    </w:rPr>
  </w:style>
  <w:style w:type="character" w:styleId="SubtleEmphasis">
    <w:name w:val="Subtle Emphasis"/>
    <w:basedOn w:val="DefaultParagraphFont"/>
    <w:uiPriority w:val="19"/>
    <w:qFormat/>
    <w:rsid w:val="00724C44"/>
    <w:rPr>
      <w:i/>
      <w:iCs/>
      <w:color w:val="808080" w:themeColor="text1" w:themeTint="7F"/>
    </w:rPr>
  </w:style>
  <w:style w:type="character" w:styleId="SubtleReference">
    <w:name w:val="Subtle Reference"/>
    <w:basedOn w:val="DefaultParagraphFont"/>
    <w:uiPriority w:val="31"/>
    <w:qFormat/>
    <w:rsid w:val="00724C44"/>
    <w:rPr>
      <w:smallCaps/>
      <w:color w:val="ED7D31" w:themeColor="accent2"/>
      <w:u w:val="single"/>
    </w:rPr>
  </w:style>
  <w:style w:type="character" w:styleId="BookTitle">
    <w:name w:val="Book Title"/>
    <w:basedOn w:val="DefaultParagraphFont"/>
    <w:uiPriority w:val="33"/>
    <w:qFormat/>
    <w:rsid w:val="00724C44"/>
    <w:rPr>
      <w:b/>
      <w:bCs/>
      <w:smallCaps/>
      <w:spacing w:val="5"/>
    </w:rPr>
  </w:style>
  <w:style w:type="paragraph" w:styleId="TOCHeading">
    <w:name w:val="TOC Heading"/>
    <w:basedOn w:val="Heading1"/>
    <w:next w:val="Normal"/>
    <w:uiPriority w:val="39"/>
    <w:semiHidden/>
    <w:unhideWhenUsed/>
    <w:qFormat/>
    <w:rsid w:val="00724C44"/>
    <w:pPr>
      <w:spacing w:before="480" w:after="0" w:line="480" w:lineRule="auto"/>
      <w:outlineLvl w:val="9"/>
    </w:pPr>
    <w:rPr>
      <w:b/>
      <w:bCs/>
      <w:kern w:val="0"/>
      <w:sz w:val="28"/>
      <w:szCs w:val="28"/>
      <w14:ligatures w14:val="none"/>
    </w:rPr>
  </w:style>
  <w:style w:type="table" w:styleId="LightShading">
    <w:name w:val="Light Shading"/>
    <w:basedOn w:val="TableNormal"/>
    <w:uiPriority w:val="60"/>
    <w:rsid w:val="00724C44"/>
    <w:pPr>
      <w:spacing w:after="0" w:line="240" w:lineRule="auto"/>
    </w:pPr>
    <w:rPr>
      <w:rFonts w:asciiTheme="minorHAnsi" w:eastAsiaTheme="minorEastAsia" w:hAnsiTheme="minorHAnsi" w:cstheme="minorBidi"/>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24C44"/>
    <w:pPr>
      <w:spacing w:after="0" w:line="240" w:lineRule="auto"/>
    </w:pPr>
    <w:rPr>
      <w:rFonts w:asciiTheme="minorHAnsi" w:eastAsiaTheme="minorEastAsia" w:hAnsiTheme="minorHAnsi" w:cstheme="minorBidi"/>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24C44"/>
    <w:pPr>
      <w:spacing w:after="0" w:line="240" w:lineRule="auto"/>
    </w:pPr>
    <w:rPr>
      <w:rFonts w:asciiTheme="minorHAnsi" w:eastAsiaTheme="minorEastAsia" w:hAnsiTheme="minorHAnsi" w:cstheme="minorBidi"/>
      <w:color w:val="C45911" w:themeColor="accent2" w:themeShade="BF"/>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24C44"/>
    <w:pPr>
      <w:spacing w:after="0" w:line="240" w:lineRule="auto"/>
    </w:pPr>
    <w:rPr>
      <w:rFonts w:asciiTheme="minorHAnsi" w:eastAsiaTheme="minorEastAsia" w:hAnsiTheme="minorHAnsi" w:cstheme="minorBidi"/>
      <w:color w:val="7B7B7B" w:themeColor="accent3" w:themeShade="BF"/>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24C44"/>
    <w:pPr>
      <w:spacing w:after="0" w:line="240" w:lineRule="auto"/>
    </w:pPr>
    <w:rPr>
      <w:rFonts w:asciiTheme="minorHAnsi" w:eastAsiaTheme="minorEastAsia" w:hAnsiTheme="minorHAnsi" w:cstheme="minorBidi"/>
      <w:color w:val="BF8F00" w:themeColor="accent4" w:themeShade="BF"/>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24C44"/>
    <w:pPr>
      <w:spacing w:after="0" w:line="240" w:lineRule="auto"/>
    </w:pPr>
    <w:rPr>
      <w:rFonts w:asciiTheme="minorHAnsi" w:eastAsiaTheme="minorEastAsia" w:hAnsiTheme="minorHAnsi" w:cstheme="minorBidi"/>
      <w:color w:val="2E74B5" w:themeColor="accent5" w:themeShade="BF"/>
      <w:kern w:val="0"/>
      <w:sz w:val="22"/>
      <w:szCs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24C44"/>
    <w:pPr>
      <w:spacing w:after="0" w:line="240" w:lineRule="auto"/>
    </w:pPr>
    <w:rPr>
      <w:rFonts w:asciiTheme="minorHAnsi" w:eastAsiaTheme="minorEastAsia" w:hAnsiTheme="minorHAnsi" w:cstheme="minorBidi"/>
      <w:color w:val="538135" w:themeColor="accent6" w:themeShade="BF"/>
      <w:kern w:val="0"/>
      <w:sz w:val="22"/>
      <w:szCs w:val="22"/>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24C4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24C44"/>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24C44"/>
    <w:pPr>
      <w:spacing w:after="0" w:line="240" w:lineRule="auto"/>
    </w:pPr>
    <w:rPr>
      <w:rFonts w:asciiTheme="minorHAnsi" w:eastAsiaTheme="minorEastAsia" w:hAnsiTheme="minorHAnsi" w:cstheme="minorBidi"/>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24C44"/>
    <w:pPr>
      <w:spacing w:after="0" w:line="240" w:lineRule="auto"/>
    </w:pPr>
    <w:rPr>
      <w:rFonts w:asciiTheme="minorHAnsi" w:eastAsiaTheme="minorEastAsia" w:hAnsiTheme="minorHAnsi" w:cstheme="minorBidi"/>
      <w:color w:val="FFFFFF" w:themeColor="background1"/>
      <w:kern w:val="0"/>
      <w:sz w:val="22"/>
      <w:szCs w:val="22"/>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24C44"/>
    <w:pPr>
      <w:spacing w:after="0" w:line="240" w:lineRule="auto"/>
    </w:pPr>
    <w:rPr>
      <w:rFonts w:asciiTheme="minorHAnsi" w:eastAsiaTheme="minorEastAsia" w:hAnsiTheme="minorHAnsi" w:cstheme="minorBidi"/>
      <w:color w:val="FFFFFF" w:themeColor="background1"/>
      <w:kern w:val="0"/>
      <w:sz w:val="22"/>
      <w:szCs w:val="22"/>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24C44"/>
    <w:pPr>
      <w:spacing w:after="0" w:line="240" w:lineRule="auto"/>
    </w:pPr>
    <w:rPr>
      <w:rFonts w:asciiTheme="minorHAnsi" w:eastAsiaTheme="minorEastAsia" w:hAnsiTheme="minorHAnsi" w:cstheme="minorBidi"/>
      <w:color w:val="FFFFFF" w:themeColor="background1"/>
      <w:kern w:val="0"/>
      <w:sz w:val="22"/>
      <w:szCs w:val="22"/>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24C44"/>
    <w:pPr>
      <w:spacing w:after="0" w:line="240" w:lineRule="auto"/>
    </w:pPr>
    <w:rPr>
      <w:rFonts w:asciiTheme="minorHAnsi" w:eastAsiaTheme="minorEastAsia" w:hAnsiTheme="minorHAnsi" w:cstheme="minorBidi"/>
      <w:color w:val="FFFFFF" w:themeColor="background1"/>
      <w:kern w:val="0"/>
      <w:sz w:val="22"/>
      <w:szCs w:val="22"/>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24C44"/>
    <w:pPr>
      <w:spacing w:after="0" w:line="240" w:lineRule="auto"/>
    </w:pPr>
    <w:rPr>
      <w:rFonts w:asciiTheme="minorHAnsi" w:eastAsiaTheme="minorEastAsia" w:hAnsiTheme="minorHAnsi" w:cstheme="minorBidi"/>
      <w:color w:val="FFFFFF" w:themeColor="background1"/>
      <w:kern w:val="0"/>
      <w:sz w:val="22"/>
      <w:szCs w:val="22"/>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24C44"/>
    <w:pPr>
      <w:spacing w:after="0" w:line="240" w:lineRule="auto"/>
    </w:pPr>
    <w:rPr>
      <w:rFonts w:asciiTheme="minorHAnsi" w:eastAsiaTheme="minorEastAsia" w:hAnsiTheme="minorHAnsi" w:cstheme="minorBidi"/>
      <w:color w:val="FFFFFF" w:themeColor="background1"/>
      <w:kern w:val="0"/>
      <w:sz w:val="22"/>
      <w:szCs w:val="22"/>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24C44"/>
    <w:pPr>
      <w:spacing w:after="0" w:line="240" w:lineRule="auto"/>
    </w:pPr>
    <w:rPr>
      <w:rFonts w:asciiTheme="minorHAnsi" w:eastAsiaTheme="minorEastAsia" w:hAnsiTheme="minorHAnsi" w:cstheme="minorBidi"/>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1275/sr24505004835" TargetMode="External"/><Relationship Id="rId21" Type="http://schemas.openxmlformats.org/officeDocument/2006/relationships/hyperlink" Target="https://doi.org/10.1177/0256090920070307" TargetMode="External"/><Relationship Id="rId42" Type="http://schemas.openxmlformats.org/officeDocument/2006/relationships/hyperlink" Target="https://doi.org/10.1111/1467-8551.12824" TargetMode="External"/><Relationship Id="rId63" Type="http://schemas.openxmlformats.org/officeDocument/2006/relationships/hyperlink" Target="https://doi.org/10.1177/1558689817714066" TargetMode="External"/><Relationship Id="rId84" Type="http://schemas.openxmlformats.org/officeDocument/2006/relationships/hyperlink" Target="https://doi.org/10.2139/ssrn.3978478" TargetMode="External"/><Relationship Id="rId138" Type="http://schemas.openxmlformats.org/officeDocument/2006/relationships/hyperlink" Target="https://doi.org/10.1108/medar-02-2024-2374" TargetMode="External"/><Relationship Id="rId159" Type="http://schemas.openxmlformats.org/officeDocument/2006/relationships/hyperlink" Target="https://doi.org/10.1177/1049732318783186" TargetMode="External"/><Relationship Id="rId170" Type="http://schemas.openxmlformats.org/officeDocument/2006/relationships/hyperlink" Target="https://doi.org/10.3233/efi-2004-22201" TargetMode="External"/><Relationship Id="rId191" Type="http://schemas.openxmlformats.org/officeDocument/2006/relationships/hyperlink" Target="https://doi.org/10.1016/j.jclepro.2020.120509" TargetMode="External"/><Relationship Id="rId205" Type="http://schemas.openxmlformats.org/officeDocument/2006/relationships/header" Target="header1.xml"/><Relationship Id="rId107" Type="http://schemas.openxmlformats.org/officeDocument/2006/relationships/hyperlink" Target="https://doi.org/10.1001/archsurg.2011.2169" TargetMode="External"/><Relationship Id="rId11" Type="http://schemas.openxmlformats.org/officeDocument/2006/relationships/hyperlink" Target="https://doi.org/10.3390/economies12080199" TargetMode="External"/><Relationship Id="rId32" Type="http://schemas.openxmlformats.org/officeDocument/2006/relationships/hyperlink" Target="https://doi.org/10.1109/TENCON61640.2024.10902844" TargetMode="External"/><Relationship Id="rId53" Type="http://schemas.openxmlformats.org/officeDocument/2006/relationships/hyperlink" Target="https://doi.org/10.1016/j.annepidem.2018.04.011" TargetMode="External"/><Relationship Id="rId74" Type="http://schemas.openxmlformats.org/officeDocument/2006/relationships/hyperlink" Target="https://doi.org/10.1108/ebr-11-2018-0203" TargetMode="External"/><Relationship Id="rId128" Type="http://schemas.openxmlformats.org/officeDocument/2006/relationships/hyperlink" Target="https://doi.org/10.1111/1467-8551.12154" TargetMode="External"/><Relationship Id="rId149" Type="http://schemas.openxmlformats.org/officeDocument/2006/relationships/hyperlink" Target="https://doi.org/10.55041/ijsrem49994" TargetMode="External"/><Relationship Id="rId5" Type="http://schemas.openxmlformats.org/officeDocument/2006/relationships/footnotes" Target="footnotes.xml"/><Relationship Id="rId95" Type="http://schemas.openxmlformats.org/officeDocument/2006/relationships/hyperlink" Target="https://doi.org/10.1080/13814788.2017.1375092" TargetMode="External"/><Relationship Id="rId160" Type="http://schemas.openxmlformats.org/officeDocument/2006/relationships/hyperlink" Target="https://doi.org/10.2139/ssrn.4471187" TargetMode="External"/><Relationship Id="rId181" Type="http://schemas.openxmlformats.org/officeDocument/2006/relationships/hyperlink" Target="https://doi.org/10.5116/ijme.4dfb.8dfd" TargetMode="External"/><Relationship Id="rId22" Type="http://schemas.openxmlformats.org/officeDocument/2006/relationships/hyperlink" Target="https://doi.org/10.2139/ssrn.4573340" TargetMode="External"/><Relationship Id="rId43" Type="http://schemas.openxmlformats.org/officeDocument/2006/relationships/hyperlink" Target="https://doi.org/10.4324/9780203771587" TargetMode="External"/><Relationship Id="rId64" Type="http://schemas.openxmlformats.org/officeDocument/2006/relationships/hyperlink" Target="https://doi.org/10.1111/1475-6773.12117" TargetMode="External"/><Relationship Id="rId118" Type="http://schemas.openxmlformats.org/officeDocument/2006/relationships/hyperlink" Target="https://doi.org/10.4337/9781784713171.00007" TargetMode="External"/><Relationship Id="rId139" Type="http://schemas.openxmlformats.org/officeDocument/2006/relationships/hyperlink" Target="https://doi.org/10.1016/j.jjimei.2023.100208" TargetMode="External"/><Relationship Id="rId85" Type="http://schemas.openxmlformats.org/officeDocument/2006/relationships/hyperlink" Target="https://doi.org/10.2139/ssrn.4833377" TargetMode="External"/><Relationship Id="rId150" Type="http://schemas.openxmlformats.org/officeDocument/2006/relationships/hyperlink" Target="https://doi.org/10.37745/ejcsit.2013/vol13n466883" TargetMode="External"/><Relationship Id="rId171" Type="http://schemas.openxmlformats.org/officeDocument/2006/relationships/hyperlink" Target="https://doi.org/10.1016/j.im.2016.01.002" TargetMode="External"/><Relationship Id="rId192" Type="http://schemas.openxmlformats.org/officeDocument/2006/relationships/hyperlink" Target="https://doi.org/10.2308/isys-10280" TargetMode="External"/><Relationship Id="rId206" Type="http://schemas.openxmlformats.org/officeDocument/2006/relationships/fontTable" Target="fontTable.xml"/><Relationship Id="rId12" Type="http://schemas.openxmlformats.org/officeDocument/2006/relationships/hyperlink" Target="https://doi.org/10.1016/j.sapharm.2020.02.005" TargetMode="External"/><Relationship Id="rId33" Type="http://schemas.openxmlformats.org/officeDocument/2006/relationships/hyperlink" Target="https://doi.org/10.2139/ssrn.4138543" TargetMode="External"/><Relationship Id="rId108" Type="http://schemas.openxmlformats.org/officeDocument/2006/relationships/hyperlink" Target="https://doi.org/10.1108/jbim-07-2021-0354" TargetMode="External"/><Relationship Id="rId129" Type="http://schemas.openxmlformats.org/officeDocument/2006/relationships/hyperlink" Target="https://doi.org/10.1109/ICRITO61523.2024.10522141" TargetMode="External"/><Relationship Id="rId54" Type="http://schemas.openxmlformats.org/officeDocument/2006/relationships/hyperlink" Target="https://doi.org/10.1080/08898480.2018.1553411" TargetMode="External"/><Relationship Id="rId75" Type="http://schemas.openxmlformats.org/officeDocument/2006/relationships/hyperlink" Target="https://doi.org/10.2139/ssrn.3991257" TargetMode="External"/><Relationship Id="rId96" Type="http://schemas.openxmlformats.org/officeDocument/2006/relationships/hyperlink" Target="https://doi.org/10.4467/23921943rp.24.037.21189" TargetMode="External"/><Relationship Id="rId140" Type="http://schemas.openxmlformats.org/officeDocument/2006/relationships/hyperlink" Target="https://doi.org/10.51594/ijmer.v6i6.1169" TargetMode="External"/><Relationship Id="rId161" Type="http://schemas.openxmlformats.org/officeDocument/2006/relationships/hyperlink" Target="https://doi.org/10.61737/nnso3210" TargetMode="External"/><Relationship Id="rId182" Type="http://schemas.openxmlformats.org/officeDocument/2006/relationships/hyperlink" Target="https://doi.org/10.2307/30036518" TargetMode="External"/><Relationship Id="rId6" Type="http://schemas.openxmlformats.org/officeDocument/2006/relationships/endnotes" Target="endnotes.xml"/><Relationship Id="rId23" Type="http://schemas.openxmlformats.org/officeDocument/2006/relationships/hyperlink" Target="https://doi.org/10.1177/08863687231181454" TargetMode="External"/><Relationship Id="rId119" Type="http://schemas.openxmlformats.org/officeDocument/2006/relationships/hyperlink" Target="https://doi.org/10.1093/ije/dyr194" TargetMode="External"/><Relationship Id="rId44" Type="http://schemas.openxmlformats.org/officeDocument/2006/relationships/hyperlink" Target="https://doi.org/10.4324/9780203774441" TargetMode="External"/><Relationship Id="rId65" Type="http://schemas.openxmlformats.org/officeDocument/2006/relationships/hyperlink" Target="https://doi.org/10.5860/choice.48-2175" TargetMode="External"/><Relationship Id="rId86" Type="http://schemas.openxmlformats.org/officeDocument/2006/relationships/hyperlink" Target="https://doi.org/10.1177/1525822x05282260" TargetMode="External"/><Relationship Id="rId130" Type="http://schemas.openxmlformats.org/officeDocument/2006/relationships/hyperlink" Target="https://doi.org/10.5465/amr.1997.9711022105" TargetMode="External"/><Relationship Id="rId151" Type="http://schemas.openxmlformats.org/officeDocument/2006/relationships/hyperlink" Target="https://doi.org/10.24251/hicss.2023.021" TargetMode="External"/><Relationship Id="rId172" Type="http://schemas.openxmlformats.org/officeDocument/2006/relationships/hyperlink" Target="https://doi.org/10.1145/3419764" TargetMode="External"/><Relationship Id="rId193" Type="http://schemas.openxmlformats.org/officeDocument/2006/relationships/hyperlink" Target="https://doi.org/10.32996/jcsts.2025.7.4.88" TargetMode="External"/><Relationship Id="rId207" Type="http://schemas.openxmlformats.org/officeDocument/2006/relationships/theme" Target="theme/theme1.xml"/><Relationship Id="rId13" Type="http://schemas.openxmlformats.org/officeDocument/2006/relationships/hyperlink" Target="https://doi.org/10.2139/ssrn.4625279" TargetMode="External"/><Relationship Id="rId109" Type="http://schemas.openxmlformats.org/officeDocument/2006/relationships/hyperlink" Target="https://doi.org/10.2139/ssrn.2245223" TargetMode="External"/><Relationship Id="rId34" Type="http://schemas.openxmlformats.org/officeDocument/2006/relationships/hyperlink" Target="https://doi.org/10.1177/135910457000100301" TargetMode="External"/><Relationship Id="rId55" Type="http://schemas.openxmlformats.org/officeDocument/2006/relationships/hyperlink" Target="https://doi.org/10.1108/shr-11-2018-0096" TargetMode="External"/><Relationship Id="rId76" Type="http://schemas.openxmlformats.org/officeDocument/2006/relationships/hyperlink" Target="https://doi.org/10.1002/smj.421" TargetMode="External"/><Relationship Id="rId97" Type="http://schemas.openxmlformats.org/officeDocument/2006/relationships/hyperlink" Target="https://doi.org/10.2139/ssrn.4111185" TargetMode="External"/><Relationship Id="rId120" Type="http://schemas.openxmlformats.org/officeDocument/2006/relationships/hyperlink" Target="https://doi.org/10.1016/j.orgdyn.2024.101039" TargetMode="External"/><Relationship Id="rId141" Type="http://schemas.openxmlformats.org/officeDocument/2006/relationships/hyperlink" Target="https://doi.org/10.1177/08863687231195477" TargetMode="External"/><Relationship Id="rId7" Type="http://schemas.openxmlformats.org/officeDocument/2006/relationships/image" Target="media/image1.png"/><Relationship Id="rId162" Type="http://schemas.openxmlformats.org/officeDocument/2006/relationships/hyperlink" Target="https://doi.org/10.5539/ibr.v12n1p148" TargetMode="External"/><Relationship Id="rId183" Type="http://schemas.openxmlformats.org/officeDocument/2006/relationships/hyperlink" Target="https://doi.org/10.1007/s10551-015-2623-3" TargetMode="External"/><Relationship Id="rId24" Type="http://schemas.openxmlformats.org/officeDocument/2006/relationships/hyperlink" Target="https://doi.org/10.3390/su16051864" TargetMode="External"/><Relationship Id="rId40" Type="http://schemas.openxmlformats.org/officeDocument/2006/relationships/hyperlink" Target="http://dx.doi.org/10.5539/ijef.v5n8p74" TargetMode="External"/><Relationship Id="rId45" Type="http://schemas.openxmlformats.org/officeDocument/2006/relationships/hyperlink" Target="https://doi.org/10.1080/09585192.2019.1711442" TargetMode="External"/><Relationship Id="rId66" Type="http://schemas.openxmlformats.org/officeDocument/2006/relationships/hyperlink" Target="https://doi.org/10.1108/eb055364" TargetMode="External"/><Relationship Id="rId87" Type="http://schemas.openxmlformats.org/officeDocument/2006/relationships/hyperlink" Target="https://doi.org/10.14707/ajbr.220128" TargetMode="External"/><Relationship Id="rId110" Type="http://schemas.openxmlformats.org/officeDocument/2006/relationships/hyperlink" Target="https://doi.org/10.1108/gkmc-12-2024-0890" TargetMode="External"/><Relationship Id="rId115" Type="http://schemas.openxmlformats.org/officeDocument/2006/relationships/hyperlink" Target="https://doi.org/10.1016/j.ijinfomgt.2023.102625" TargetMode="External"/><Relationship Id="rId131" Type="http://schemas.openxmlformats.org/officeDocument/2006/relationships/hyperlink" Target="https://doi.org/10.9790/487x-1904013337" TargetMode="External"/><Relationship Id="rId136" Type="http://schemas.openxmlformats.org/officeDocument/2006/relationships/hyperlink" Target="https://doi.org/10.1016/j.rlp.2015.09.009" TargetMode="External"/><Relationship Id="rId157" Type="http://schemas.openxmlformats.org/officeDocument/2006/relationships/hyperlink" Target="https://doi.org/10.1108/mbe-05-2020-0082" TargetMode="External"/><Relationship Id="rId178" Type="http://schemas.openxmlformats.org/officeDocument/2006/relationships/hyperlink" Target="https://doi.org/10.4102/sajip.v48i0.1906" TargetMode="External"/><Relationship Id="rId61" Type="http://schemas.openxmlformats.org/officeDocument/2006/relationships/hyperlink" Target="https://doi.org/10.62225/2583049x.2025.5.4.4592" TargetMode="External"/><Relationship Id="rId82" Type="http://schemas.openxmlformats.org/officeDocument/2006/relationships/hyperlink" Target="https://doi.org/10.1080/10705519909540118" TargetMode="External"/><Relationship Id="rId152" Type="http://schemas.openxmlformats.org/officeDocument/2006/relationships/hyperlink" Target="https://doi.org/10.1177/01492063211003137" TargetMode="External"/><Relationship Id="rId173" Type="http://schemas.openxmlformats.org/officeDocument/2006/relationships/hyperlink" Target="https://doi.org/10.3390/su17157054" TargetMode="External"/><Relationship Id="rId194" Type="http://schemas.openxmlformats.org/officeDocument/2006/relationships/hyperlink" Target="https://doi.org/10.32996/jcsts.2025.7.4.32" TargetMode="External"/><Relationship Id="rId199" Type="http://schemas.openxmlformats.org/officeDocument/2006/relationships/hyperlink" Target="https://doi.org/10.1080/09585199400000020" TargetMode="External"/><Relationship Id="rId203" Type="http://schemas.openxmlformats.org/officeDocument/2006/relationships/hyperlink" Target="https://doi.org/10.1007/978-3-031-47715-7_21" TargetMode="External"/><Relationship Id="rId19" Type="http://schemas.openxmlformats.org/officeDocument/2006/relationships/hyperlink" Target="https://doi.org/10.1177/08863687231200802" TargetMode="External"/><Relationship Id="rId14" Type="http://schemas.openxmlformats.org/officeDocument/2006/relationships/hyperlink" Target="https://doi.org/10.9734/ajaees/2023/v41i102224" TargetMode="External"/><Relationship Id="rId30" Type="http://schemas.openxmlformats.org/officeDocument/2006/relationships/hyperlink" Target="https://doi.org/10.1108/14013381011105957" TargetMode="External"/><Relationship Id="rId35" Type="http://schemas.openxmlformats.org/officeDocument/2006/relationships/hyperlink" Target="https://doi.org/10.1080/09585192.2022.2035161" TargetMode="External"/><Relationship Id="rId56" Type="http://schemas.openxmlformats.org/officeDocument/2006/relationships/hyperlink" Target="https://doi.org/10.30844/aistes.v6i1.26" TargetMode="External"/><Relationship Id="rId77" Type="http://schemas.openxmlformats.org/officeDocument/2006/relationships/hyperlink" Target="https://doi.org/10.1136/eb-2015-102129" TargetMode="External"/><Relationship Id="rId100" Type="http://schemas.openxmlformats.org/officeDocument/2006/relationships/hyperlink" Target="https://doi.org/10.1016/j.im.2006.09.003" TargetMode="External"/><Relationship Id="rId105" Type="http://schemas.openxmlformats.org/officeDocument/2006/relationships/hyperlink" Target="https://doi.org/10.1037/0021-9010.86.1.114" TargetMode="External"/><Relationship Id="rId126" Type="http://schemas.openxmlformats.org/officeDocument/2006/relationships/hyperlink" Target="https://doi.org/10.36948/ijfmr.2025.v07i05.55396" TargetMode="External"/><Relationship Id="rId147" Type="http://schemas.openxmlformats.org/officeDocument/2006/relationships/hyperlink" Target="https://doi.org/10.21275/sr24621182320" TargetMode="External"/><Relationship Id="rId168" Type="http://schemas.openxmlformats.org/officeDocument/2006/relationships/hyperlink" Target="https://doi.org/10.4337/9781800375451.00010" TargetMode="External"/><Relationship Id="rId8" Type="http://schemas.openxmlformats.org/officeDocument/2006/relationships/image" Target="media/image2.png"/><Relationship Id="rId51" Type="http://schemas.openxmlformats.org/officeDocument/2006/relationships/hyperlink" Target="https://doi.org/10.2139/ssrn.4153845" TargetMode="External"/><Relationship Id="rId72" Type="http://schemas.openxmlformats.org/officeDocument/2006/relationships/hyperlink" Target="https://doi.org/10.2307/41166664" TargetMode="External"/><Relationship Id="rId93" Type="http://schemas.openxmlformats.org/officeDocument/2006/relationships/hyperlink" Target="https://doi.org/10.58567/jre02010002" TargetMode="External"/><Relationship Id="rId98" Type="http://schemas.openxmlformats.org/officeDocument/2006/relationships/hyperlink" Target="https://doi.org/10.2139/ssrn.4822419" TargetMode="External"/><Relationship Id="rId121" Type="http://schemas.openxmlformats.org/officeDocument/2006/relationships/hyperlink" Target="https://doi.org/10.1177/08863687241234860" TargetMode="External"/><Relationship Id="rId142" Type="http://schemas.openxmlformats.org/officeDocument/2006/relationships/hyperlink" Target="https://doi.org/10.1038/s41562-022-01288-9" TargetMode="External"/><Relationship Id="rId163" Type="http://schemas.openxmlformats.org/officeDocument/2006/relationships/hyperlink" Target="https://doi.org/10.1080/09537325.2020.1718089" TargetMode="External"/><Relationship Id="rId184" Type="http://schemas.openxmlformats.org/officeDocument/2006/relationships/hyperlink" Target="https://doi.org/10.1080/10225706.2024.2308901" TargetMode="External"/><Relationship Id="rId189" Type="http://schemas.openxmlformats.org/officeDocument/2006/relationships/hyperlink" Target="https://doi.org/10.17803/1994-1471.2025.178.9.065-071" TargetMode="External"/><Relationship Id="rId3" Type="http://schemas.openxmlformats.org/officeDocument/2006/relationships/settings" Target="settings.xml"/><Relationship Id="rId25" Type="http://schemas.openxmlformats.org/officeDocument/2006/relationships/hyperlink" Target="https://doi.org/10.30574/wjarr.2025.25.2.0571" TargetMode="External"/><Relationship Id="rId46" Type="http://schemas.openxmlformats.org/officeDocument/2006/relationships/hyperlink" Target="https://doi.org/10.1188/14.onf.89-91" TargetMode="External"/><Relationship Id="rId67" Type="http://schemas.openxmlformats.org/officeDocument/2006/relationships/hyperlink" Target="https://doi.org/10.4468/2024.1.07fornasari.traversi" TargetMode="External"/><Relationship Id="rId116" Type="http://schemas.openxmlformats.org/officeDocument/2006/relationships/hyperlink" Target="https://doi.org/10.21002/seam.v17i1.1280" TargetMode="External"/><Relationship Id="rId137" Type="http://schemas.openxmlformats.org/officeDocument/2006/relationships/hyperlink" Target="https://doi.org/10.54861/27131211_2025_5_55" TargetMode="External"/><Relationship Id="rId158" Type="http://schemas.openxmlformats.org/officeDocument/2006/relationships/hyperlink" Target="https://doi.org/10.1093/obo/9780195396607-0281" TargetMode="External"/><Relationship Id="rId20" Type="http://schemas.openxmlformats.org/officeDocument/2006/relationships/hyperlink" Target="https://doi.org/10.36948/ijfmr.2025.v07i01.37392" TargetMode="External"/><Relationship Id="rId41" Type="http://schemas.openxmlformats.org/officeDocument/2006/relationships/hyperlink" Target="https://doi.org/10.36459/jom.2025.49.2.1" TargetMode="External"/><Relationship Id="rId62" Type="http://schemas.openxmlformats.org/officeDocument/2006/relationships/hyperlink" Target="https://doi.org/10.1177/160940690600500107" TargetMode="External"/><Relationship Id="rId83" Type="http://schemas.openxmlformats.org/officeDocument/2006/relationships/hyperlink" Target="https://doi.org/10.1016/j.apmrv.2023.04.004" TargetMode="External"/><Relationship Id="rId88" Type="http://schemas.openxmlformats.org/officeDocument/2006/relationships/hyperlink" Target="https://doi.org/10.1080/10919392.2020.1776033" TargetMode="External"/><Relationship Id="rId111" Type="http://schemas.openxmlformats.org/officeDocument/2006/relationships/hyperlink" Target="https://doi.org/10.1002/smj.3483" TargetMode="External"/><Relationship Id="rId132" Type="http://schemas.openxmlformats.org/officeDocument/2006/relationships/hyperlink" Target="https://doi.org/10.32602/jafas.2023.016" TargetMode="External"/><Relationship Id="rId153" Type="http://schemas.openxmlformats.org/officeDocument/2006/relationships/hyperlink" Target="https://doi.org/10.1037/0021-9010.88.5.879" TargetMode="External"/><Relationship Id="rId174" Type="http://schemas.openxmlformats.org/officeDocument/2006/relationships/hyperlink" Target="https://doi.org/10.30657/pea.2025.31.28" TargetMode="External"/><Relationship Id="rId179" Type="http://schemas.openxmlformats.org/officeDocument/2006/relationships/hyperlink" Target="https://doi.org/10.2139/ssrn.1352504" TargetMode="External"/><Relationship Id="rId195" Type="http://schemas.openxmlformats.org/officeDocument/2006/relationships/hyperlink" Target="https://doi.org/10.3390/su17156988" TargetMode="External"/><Relationship Id="rId190" Type="http://schemas.openxmlformats.org/officeDocument/2006/relationships/hyperlink" Target="https://doi.org/10.1016/j.ijinfomgt.2022.102588" TargetMode="External"/><Relationship Id="rId204" Type="http://schemas.openxmlformats.org/officeDocument/2006/relationships/hyperlink" Target="https://doi.org/10.2139/ssrn.4214440" TargetMode="External"/><Relationship Id="rId15" Type="http://schemas.openxmlformats.org/officeDocument/2006/relationships/hyperlink" Target="https://doi.org/10.51594/farj.v6i6.1235" TargetMode="External"/><Relationship Id="rId36" Type="http://schemas.openxmlformats.org/officeDocument/2006/relationships/hyperlink" Target="https://doi.org/10.5465/ambpp.2020.14179abstract" TargetMode="External"/><Relationship Id="rId57" Type="http://schemas.openxmlformats.org/officeDocument/2006/relationships/hyperlink" Target="https://app.perrla.com/www.eeco.or.th" TargetMode="External"/><Relationship Id="rId106" Type="http://schemas.openxmlformats.org/officeDocument/2006/relationships/hyperlink" Target="https://doi.org/10.37433/aad.v5i2.351" TargetMode="External"/><Relationship Id="rId127" Type="http://schemas.openxmlformats.org/officeDocument/2006/relationships/hyperlink" Target="https://doi.org/10.1787/5JM5HKP7V145-EN" TargetMode="External"/><Relationship Id="rId10" Type="http://schemas.openxmlformats.org/officeDocument/2006/relationships/hyperlink" Target="https://doi.org/10.1016/j.glmedi.2024.100051" TargetMode="External"/><Relationship Id="rId31" Type="http://schemas.openxmlformats.org/officeDocument/2006/relationships/hyperlink" Target="https://doi.org/10.1111/jofi.13136" TargetMode="External"/><Relationship Id="rId52" Type="http://schemas.openxmlformats.org/officeDocument/2006/relationships/hyperlink" Target="https://doi.org/10.61841/turcomat.v15i1.14940" TargetMode="External"/><Relationship Id="rId73" Type="http://schemas.openxmlformats.org/officeDocument/2006/relationships/hyperlink" Target="https://doi.org/10.1080/09638180.2011.585792" TargetMode="External"/><Relationship Id="rId78" Type="http://schemas.openxmlformats.org/officeDocument/2006/relationships/hyperlink" Target="https://doi.org/10.1007/s11747-014-0403-8" TargetMode="External"/><Relationship Id="rId94" Type="http://schemas.openxmlformats.org/officeDocument/2006/relationships/hyperlink" Target="https://doi.org/10.1108/shr-10-2023-0053" TargetMode="External"/><Relationship Id="rId99" Type="http://schemas.openxmlformats.org/officeDocument/2006/relationships/hyperlink" Target="https://doi.org/10.52783/jisem.v10i44s.8576" TargetMode="External"/><Relationship Id="rId101" Type="http://schemas.openxmlformats.org/officeDocument/2006/relationships/hyperlink" Target="https://doi.org/10.23919/PICMET59654.2023.10216866" TargetMode="External"/><Relationship Id="rId122" Type="http://schemas.openxmlformats.org/officeDocument/2006/relationships/hyperlink" Target="https://doi.org/10.14513/tge-jres.00415" TargetMode="External"/><Relationship Id="rId143" Type="http://schemas.openxmlformats.org/officeDocument/2006/relationships/hyperlink" Target="https://doi.org/10.32628/ijsrst241151217" TargetMode="External"/><Relationship Id="rId148" Type="http://schemas.openxmlformats.org/officeDocument/2006/relationships/hyperlink" Target="https://doi.org/10.47760/cognizance.2025.v05i06.031" TargetMode="External"/><Relationship Id="rId164" Type="http://schemas.openxmlformats.org/officeDocument/2006/relationships/hyperlink" Target="https://doi.org/10.60087/jaigs.v5i1.366" TargetMode="External"/><Relationship Id="rId169" Type="http://schemas.openxmlformats.org/officeDocument/2006/relationships/hyperlink" Target="https://doi.org/10.52783/jisem.v10i21s.3395" TargetMode="External"/><Relationship Id="rId185" Type="http://schemas.openxmlformats.org/officeDocument/2006/relationships/hyperlink" Target="https://conpro25.ieee-security.org/papers/tolsdorf-conpro25.pdf" TargetMode="External"/><Relationship Id="rId4" Type="http://schemas.openxmlformats.org/officeDocument/2006/relationships/webSettings" Target="webSettings.xml"/><Relationship Id="rId9" Type="http://schemas.openxmlformats.org/officeDocument/2006/relationships/hyperlink" Target="https://doi.org/10.1108/tg-03-2025-0065" TargetMode="External"/><Relationship Id="rId180" Type="http://schemas.openxmlformats.org/officeDocument/2006/relationships/hyperlink" Target="https://doi.org/10.60087/jaigs.v8i1.362" TargetMode="External"/><Relationship Id="rId26" Type="http://schemas.openxmlformats.org/officeDocument/2006/relationships/hyperlink" Target="https://doi.org/10.1093/acrefore/9780190224851.013.347" TargetMode="External"/><Relationship Id="rId47" Type="http://schemas.openxmlformats.org/officeDocument/2006/relationships/hyperlink" Target="https://doi.org/10.3386/w31060" TargetMode="External"/><Relationship Id="rId68" Type="http://schemas.openxmlformats.org/officeDocument/2006/relationships/hyperlink" Target="https://doi.org/10.1177/002224378101800104" TargetMode="External"/><Relationship Id="rId89" Type="http://schemas.openxmlformats.org/officeDocument/2006/relationships/hyperlink" Target="https://doi.org/10.59615/ijimes.4.4.33" TargetMode="External"/><Relationship Id="rId112" Type="http://schemas.openxmlformats.org/officeDocument/2006/relationships/hyperlink" Target="https://doi.org/10.1016/j.jretai.2012.08.001" TargetMode="External"/><Relationship Id="rId133" Type="http://schemas.openxmlformats.org/officeDocument/2006/relationships/hyperlink" Target="https://doi.org/10.1142/s1363919624400061" TargetMode="External"/><Relationship Id="rId154" Type="http://schemas.openxmlformats.org/officeDocument/2006/relationships/hyperlink" Target="https://doi.org/10.2139/ssrn.5069295" TargetMode="External"/><Relationship Id="rId175" Type="http://schemas.openxmlformats.org/officeDocument/2006/relationships/hyperlink" Target="https://doi.org/10.30574/ijsra.2025.14.1.0150" TargetMode="External"/><Relationship Id="rId196" Type="http://schemas.openxmlformats.org/officeDocument/2006/relationships/hyperlink" Target="https://doi.org/10.1016/j.elerap.2010.07.003" TargetMode="External"/><Relationship Id="rId200" Type="http://schemas.openxmlformats.org/officeDocument/2006/relationships/hyperlink" Target="https://doi.org/10.1108/jaoc-01-2023-0013" TargetMode="External"/><Relationship Id="rId16" Type="http://schemas.openxmlformats.org/officeDocument/2006/relationships/hyperlink" Target="https://doi.org/10.2139/ssrn.4222506" TargetMode="External"/><Relationship Id="rId37" Type="http://schemas.openxmlformats.org/officeDocument/2006/relationships/hyperlink" Target="https://doi.org/10.1016/0361-3682(76)90018-0" TargetMode="External"/><Relationship Id="rId58" Type="http://schemas.openxmlformats.org/officeDocument/2006/relationships/hyperlink" Target="https://doi.org/10.1177/104973201129119217" TargetMode="External"/><Relationship Id="rId79" Type="http://schemas.openxmlformats.org/officeDocument/2006/relationships/hyperlink" Target="https://doi.org/10.14254/jems.2018.3-2.1" TargetMode="External"/><Relationship Id="rId102" Type="http://schemas.openxmlformats.org/officeDocument/2006/relationships/hyperlink" Target="https://doi.org/10.55014/pij.v7i2.224" TargetMode="External"/><Relationship Id="rId123" Type="http://schemas.openxmlformats.org/officeDocument/2006/relationships/hyperlink" Target="https://doi.org/10.30574/wjarr.2025.26.1.1275" TargetMode="External"/><Relationship Id="rId144" Type="http://schemas.openxmlformats.org/officeDocument/2006/relationships/hyperlink" Target="https://doi.org/10.5296/ijafr.v5i2.8035" TargetMode="External"/><Relationship Id="rId90" Type="http://schemas.openxmlformats.org/officeDocument/2006/relationships/hyperlink" Target="https://doi.org/10.15379/ijmst.v10i2.2700" TargetMode="External"/><Relationship Id="rId165" Type="http://schemas.openxmlformats.org/officeDocument/2006/relationships/hyperlink" Target="https://doi.org/10.1016/j.jvoice.2020.12.043" TargetMode="External"/><Relationship Id="rId186" Type="http://schemas.openxmlformats.org/officeDocument/2006/relationships/hyperlink" Target="https://doi.org/10.3390/su13116153" TargetMode="External"/><Relationship Id="rId27" Type="http://schemas.openxmlformats.org/officeDocument/2006/relationships/hyperlink" Target="https://doi.org/10.1177/014920639101700108" TargetMode="External"/><Relationship Id="rId48" Type="http://schemas.openxmlformats.org/officeDocument/2006/relationships/hyperlink" Target="https://doi.org/10.60079/aaar.v3i1.430" TargetMode="External"/><Relationship Id="rId69" Type="http://schemas.openxmlformats.org/officeDocument/2006/relationships/hyperlink" Target="https://doi.org/10.52783/jisem.v10i35s.6285" TargetMode="External"/><Relationship Id="rId113" Type="http://schemas.openxmlformats.org/officeDocument/2006/relationships/hyperlink" Target="https://doi.org/10.2307/23044045" TargetMode="External"/><Relationship Id="rId134" Type="http://schemas.openxmlformats.org/officeDocument/2006/relationships/hyperlink" Target="https://doi.org/10.22495/cgsrapp17" TargetMode="External"/><Relationship Id="rId80" Type="http://schemas.openxmlformats.org/officeDocument/2006/relationships/hyperlink" Target="https://doi.org/10.1362/1469347042772428" TargetMode="External"/><Relationship Id="rId155" Type="http://schemas.openxmlformats.org/officeDocument/2006/relationships/hyperlink" Target="https://doi.org/10.53866/jimi.v5i4.939" TargetMode="External"/><Relationship Id="rId176" Type="http://schemas.openxmlformats.org/officeDocument/2006/relationships/hyperlink" Target="https://doi.org/10.1016/j.actpsy.2025.104816" TargetMode="External"/><Relationship Id="rId197" Type="http://schemas.openxmlformats.org/officeDocument/2006/relationships/hyperlink" Target="https://doi.org/10.1177/0013164413495237" TargetMode="External"/><Relationship Id="rId201" Type="http://schemas.openxmlformats.org/officeDocument/2006/relationships/hyperlink" Target="https://doi.org/10.1108/jaee-08-2016-0069" TargetMode="External"/><Relationship Id="rId17" Type="http://schemas.openxmlformats.org/officeDocument/2006/relationships/hyperlink" Target="https://ssrn.com/abstract=2828077" TargetMode="External"/><Relationship Id="rId38" Type="http://schemas.openxmlformats.org/officeDocument/2006/relationships/hyperlink" Target="https://doi.org/10.46743/2160-3715/2016.2337" TargetMode="External"/><Relationship Id="rId59" Type="http://schemas.openxmlformats.org/officeDocument/2006/relationships/hyperlink" Target="https://doi.org/10.51594/gjabr.v3i9.157" TargetMode="External"/><Relationship Id="rId103" Type="http://schemas.openxmlformats.org/officeDocument/2006/relationships/hyperlink" Target="https://doi.org/10.1287/mnsc.2021.4199" TargetMode="External"/><Relationship Id="rId124" Type="http://schemas.openxmlformats.org/officeDocument/2006/relationships/hyperlink" Target="https://doi.org/10.30574/gjeta.2025.23.1.0103" TargetMode="External"/><Relationship Id="rId70" Type="http://schemas.openxmlformats.org/officeDocument/2006/relationships/hyperlink" Target="https://doi.org/10.1177/0149206320978799" TargetMode="External"/><Relationship Id="rId91" Type="http://schemas.openxmlformats.org/officeDocument/2006/relationships/hyperlink" Target="https://doi.org/10.55014/pij.v7i2.224" TargetMode="External"/><Relationship Id="rId145" Type="http://schemas.openxmlformats.org/officeDocument/2006/relationships/hyperlink" Target="https://doi.org/10.1016/j.hrmr.2022.100924" TargetMode="External"/><Relationship Id="rId166" Type="http://schemas.openxmlformats.org/officeDocument/2006/relationships/hyperlink" Target="https://doi.org/10.57260/csdj.2024.267104" TargetMode="External"/><Relationship Id="rId187" Type="http://schemas.openxmlformats.org/officeDocument/2006/relationships/hyperlink" Target="https://doi.org/10.1177/10778004251348167" TargetMode="External"/><Relationship Id="rId1" Type="http://schemas.openxmlformats.org/officeDocument/2006/relationships/numbering" Target="numbering.xml"/><Relationship Id="rId28" Type="http://schemas.openxmlformats.org/officeDocument/2006/relationships/hyperlink" Target="https://doi.org/10.1177/0018726708094863" TargetMode="External"/><Relationship Id="rId49" Type="http://schemas.openxmlformats.org/officeDocument/2006/relationships/hyperlink" Target="https://doi.org/10.1111/1748-8583.12137" TargetMode="External"/><Relationship Id="rId114" Type="http://schemas.openxmlformats.org/officeDocument/2006/relationships/hyperlink" Target="https://doi.org/10.33019/ijbe.v8i3.1025" TargetMode="External"/><Relationship Id="rId60" Type="http://schemas.openxmlformats.org/officeDocument/2006/relationships/hyperlink" Target="https://doi.org/10.1108/9781839825040" TargetMode="External"/><Relationship Id="rId81" Type="http://schemas.openxmlformats.org/officeDocument/2006/relationships/hyperlink" Target="https://doi.org/10.7748/nr2013.03.20.4.12.e326" TargetMode="External"/><Relationship Id="rId135" Type="http://schemas.openxmlformats.org/officeDocument/2006/relationships/hyperlink" Target="https://doi.org/10.1108/ict-06-2024-0055" TargetMode="External"/><Relationship Id="rId156" Type="http://schemas.openxmlformats.org/officeDocument/2006/relationships/hyperlink" Target="https://doi.org/10.3758/brm.40.3.879" TargetMode="External"/><Relationship Id="rId177" Type="http://schemas.openxmlformats.org/officeDocument/2006/relationships/hyperlink" Target="https://doi.org/10.30574/wjaets.2025.15.1.0420" TargetMode="External"/><Relationship Id="rId198" Type="http://schemas.openxmlformats.org/officeDocument/2006/relationships/hyperlink" Target="https://doi.org/10.4018/jbir.2011100105" TargetMode="External"/><Relationship Id="rId202" Type="http://schemas.openxmlformats.org/officeDocument/2006/relationships/hyperlink" Target="https://doi.org/10.1086/651257" TargetMode="External"/><Relationship Id="rId18" Type="http://schemas.openxmlformats.org/officeDocument/2006/relationships/hyperlink" Target="https://doi.org/10.1177/002224377701400320" TargetMode="External"/><Relationship Id="rId39" Type="http://schemas.openxmlformats.org/officeDocument/2006/relationships/hyperlink" Target="https://doi.org/10.9734/ajeba/2023/v23i151015" TargetMode="External"/><Relationship Id="rId50" Type="http://schemas.openxmlformats.org/officeDocument/2006/relationships/hyperlink" Target="https://doi.org/10.2139/ssrn.1711785" TargetMode="External"/><Relationship Id="rId104" Type="http://schemas.openxmlformats.org/officeDocument/2006/relationships/hyperlink" Target="https://doi.org/10.1108/00251741211279602" TargetMode="External"/><Relationship Id="rId125" Type="http://schemas.openxmlformats.org/officeDocument/2006/relationships/hyperlink" Target="https://doi.org/10.30574/wjaets.2025.15.1.0379" TargetMode="External"/><Relationship Id="rId146" Type="http://schemas.openxmlformats.org/officeDocument/2006/relationships/hyperlink" Target="https://doi.org/10.33423/jabe.v25i6.6567" TargetMode="External"/><Relationship Id="rId167" Type="http://schemas.openxmlformats.org/officeDocument/2006/relationships/hyperlink" Target="https://doi.org/10.64252/ddhf8863" TargetMode="External"/><Relationship Id="rId188" Type="http://schemas.openxmlformats.org/officeDocument/2006/relationships/hyperlink" Target="https://doi.org/10.1111/beer.12265" TargetMode="External"/><Relationship Id="rId71" Type="http://schemas.openxmlformats.org/officeDocument/2006/relationships/hyperlink" Target="https://doi.org/10.22214/ijraset.2024.58022" TargetMode="External"/><Relationship Id="rId92" Type="http://schemas.openxmlformats.org/officeDocument/2006/relationships/hyperlink" Target="https://doi.org/10.32628/ijsrst52310291" TargetMode="External"/><Relationship Id="rId2" Type="http://schemas.openxmlformats.org/officeDocument/2006/relationships/styles" Target="styles.xml"/><Relationship Id="rId29" Type="http://schemas.openxmlformats.org/officeDocument/2006/relationships/hyperlink" Target="https://papers.ssrn.com/sol3/papers.cfm?abstract_id=384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87</Pages>
  <Words>48784</Words>
  <Characters>230753</Characters>
  <Application>Microsoft Office Word</Application>
  <DocSecurity>0</DocSecurity>
  <Lines>3662</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Ouanhlee</dc:creator>
  <cp:keywords/>
  <dc:description/>
  <cp:lastModifiedBy>Eric Ouanhlee</cp:lastModifiedBy>
  <cp:revision>13</cp:revision>
  <dcterms:created xsi:type="dcterms:W3CDTF">2026-04-30T09:23:00Z</dcterms:created>
  <dcterms:modified xsi:type="dcterms:W3CDTF">2026-05-01T09:00:00Z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5d882cd2-bd88-4a5f-8c10-fb3dc9063d4b</vt:lpwstr>
  </property>
</Properties>
</file>