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1DC9" w14:textId="3A7EE387" w:rsidR="007B5BC4" w:rsidRPr="004E247D" w:rsidRDefault="00795734" w:rsidP="00C66B68">
      <w:pPr>
        <w:spacing w:before="240" w:after="240"/>
        <w:jc w:val="center"/>
        <w:rPr>
          <w:b/>
          <w:bCs/>
          <w:color w:val="000000" w:themeColor="text1"/>
          <w:sz w:val="36"/>
          <w:szCs w:val="36"/>
          <w:lang w:val="en-PH"/>
        </w:rPr>
      </w:pPr>
      <w:r w:rsidRPr="004E247D">
        <w:rPr>
          <w:b/>
          <w:bCs/>
          <w:color w:val="000000" w:themeColor="text1"/>
          <w:sz w:val="36"/>
          <w:szCs w:val="36"/>
          <w:lang w:val="en-PH"/>
        </w:rPr>
        <w:t>The Impact of Welding Competencies of Senior High</w:t>
      </w:r>
      <w:r w:rsidR="00F706A6" w:rsidRPr="004E247D">
        <w:rPr>
          <w:b/>
          <w:bCs/>
          <w:color w:val="000000" w:themeColor="text1"/>
          <w:sz w:val="36"/>
          <w:szCs w:val="36"/>
          <w:lang w:val="en-PH"/>
        </w:rPr>
        <w:t xml:space="preserve"> S</w:t>
      </w:r>
      <w:r w:rsidRPr="004E247D">
        <w:rPr>
          <w:b/>
          <w:bCs/>
          <w:color w:val="000000" w:themeColor="text1"/>
          <w:sz w:val="36"/>
          <w:szCs w:val="36"/>
          <w:lang w:val="en-PH"/>
        </w:rPr>
        <w:t xml:space="preserve">chool and Differentiated Instruction on the Academic Performance of College Welding Students </w:t>
      </w:r>
    </w:p>
    <w:p w14:paraId="3B314054" w14:textId="020A0591" w:rsidR="00C66B68" w:rsidRPr="004E247D" w:rsidRDefault="00C66B68" w:rsidP="00C66B68">
      <w:pPr>
        <w:spacing w:before="240" w:after="240"/>
        <w:jc w:val="center"/>
        <w:rPr>
          <w:b/>
          <w:bCs/>
          <w:color w:val="000000" w:themeColor="text1"/>
          <w:sz w:val="24"/>
          <w:szCs w:val="24"/>
          <w:lang w:val="en-PH"/>
        </w:rPr>
      </w:pPr>
      <w:r w:rsidRPr="004E247D">
        <w:rPr>
          <w:b/>
          <w:bCs/>
          <w:color w:val="000000" w:themeColor="text1"/>
          <w:sz w:val="24"/>
          <w:szCs w:val="24"/>
          <w:lang w:val="en-PH"/>
        </w:rPr>
        <w:t>Joana M. Sumalinog</w:t>
      </w:r>
    </w:p>
    <w:p w14:paraId="47B4BD5C" w14:textId="558449F1" w:rsidR="00C66B68" w:rsidRPr="004E247D" w:rsidRDefault="00C66B68" w:rsidP="00795734">
      <w:pPr>
        <w:spacing w:before="240" w:after="240"/>
        <w:jc w:val="center"/>
        <w:rPr>
          <w:b/>
          <w:bCs/>
          <w:color w:val="000000" w:themeColor="text1"/>
          <w:sz w:val="24"/>
          <w:szCs w:val="24"/>
          <w:lang w:val="en-PH"/>
        </w:rPr>
      </w:pPr>
      <w:r w:rsidRPr="004E247D">
        <w:rPr>
          <w:b/>
          <w:bCs/>
          <w:color w:val="000000" w:themeColor="text1"/>
          <w:sz w:val="24"/>
          <w:szCs w:val="24"/>
          <w:lang w:val="en-PH"/>
        </w:rPr>
        <w:t>Cebu Technological University – Main Campus</w:t>
      </w:r>
    </w:p>
    <w:p w14:paraId="68A7181E" w14:textId="45168DE4" w:rsidR="00C66B68" w:rsidRPr="004E247D" w:rsidRDefault="00795734" w:rsidP="00BB7EF0">
      <w:pPr>
        <w:spacing w:before="240" w:after="240"/>
        <w:jc w:val="both"/>
        <w:rPr>
          <w:b/>
          <w:bCs/>
          <w:color w:val="000000" w:themeColor="text1"/>
          <w:sz w:val="24"/>
          <w:szCs w:val="24"/>
          <w:lang w:val="en-PH"/>
        </w:rPr>
      </w:pPr>
      <w:r w:rsidRPr="004E247D">
        <w:rPr>
          <w:b/>
          <w:bCs/>
          <w:color w:val="000000" w:themeColor="text1"/>
          <w:sz w:val="28"/>
          <w:szCs w:val="28"/>
          <w:lang w:val="en-PH"/>
        </w:rPr>
        <w:t>ABSTRACT</w:t>
      </w:r>
    </w:p>
    <w:p w14:paraId="2EEF2964" w14:textId="3163C29D" w:rsidR="003E28D4" w:rsidRPr="004E247D" w:rsidRDefault="003E28D4" w:rsidP="003E28D4">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This study examined the relationship between Senior High School (SHS) welding competencies, differentiated instruction, and the academic performance of college welding students at Cebu Technological University–Main Campus enrolled in the Bachelor of Technical-Vocational Teacher Education (BTVTED) major in Welding and Fabrication Technology during the academic year 2025–2026. A descriptive-correlational research design was employed, and data were collected from 46 respondents using a structured questionnaire that assessed SHS welding competencies in terms of academic preparedness, practical skills, and technical knowledge, as well as students’ perceptions of differentiated instruction in terms of content, process, and product. Academic performance was measured using self-reported grades. The findings revealed that respondents demonstrated a moderate level of SHS welding competencies, </w:t>
      </w:r>
      <w:r w:rsidR="00E21B18" w:rsidRPr="004E247D">
        <w:rPr>
          <w:color w:val="000000" w:themeColor="text1"/>
          <w:sz w:val="24"/>
          <w:szCs w:val="24"/>
          <w:lang w:val="en-PH"/>
        </w:rPr>
        <w:t>indicating the presence of foundational skills but insufficient preparation for college-level demands</w:t>
      </w:r>
      <w:r w:rsidRPr="004E247D">
        <w:rPr>
          <w:color w:val="000000" w:themeColor="text1"/>
          <w:sz w:val="24"/>
          <w:szCs w:val="24"/>
          <w:lang w:val="en-PH"/>
        </w:rPr>
        <w:t>. In contrast, differentiated instruction practices were perceived to be highly evident, reflecting the use of varied teaching strategies to address diverse learner needs in technical-vocational education. Statistical analysis showed a significant moderate positive relationship between SHS welding competencies and differentiated instruction. However, no statistically significant relationship was found between SHS welding competencies and academic performance, nor between differentiated instruction and academic performance. These findings suggest that while prior competencies influence students’ engagement with instructional strategies, academic performance may be affected by other factors beyond SHS preparation and teaching approaches. The study recommends strengthening bridging programs, enhancing hands-on training, improving assessment practices, and sustaining differentiated instruction to better support student learning outcomes.</w:t>
      </w:r>
    </w:p>
    <w:p w14:paraId="3CCAF644" w14:textId="6AA09E8B" w:rsidR="00C66B68" w:rsidRPr="004E247D" w:rsidRDefault="00795734" w:rsidP="00BB7EF0">
      <w:pPr>
        <w:spacing w:before="240" w:after="240"/>
        <w:jc w:val="both"/>
        <w:rPr>
          <w:color w:val="000000" w:themeColor="text1"/>
          <w:sz w:val="24"/>
          <w:szCs w:val="24"/>
          <w:lang w:val="en-PH"/>
        </w:rPr>
      </w:pPr>
      <w:r w:rsidRPr="004E247D">
        <w:rPr>
          <w:b/>
          <w:bCs/>
          <w:color w:val="000000" w:themeColor="text1"/>
          <w:sz w:val="24"/>
          <w:szCs w:val="24"/>
          <w:lang w:val="en-PH"/>
        </w:rPr>
        <w:t>Keywords:</w:t>
      </w:r>
      <w:r w:rsidRPr="004E247D">
        <w:rPr>
          <w:color w:val="000000" w:themeColor="text1"/>
          <w:sz w:val="24"/>
          <w:szCs w:val="24"/>
          <w:lang w:val="en-PH"/>
        </w:rPr>
        <w:t xml:space="preserve"> Technology and Vocational Education, SHS welding competencies, differentiated instruction, academic performance, descriptive-correlational design, Cebu City Philippines</w:t>
      </w:r>
    </w:p>
    <w:p w14:paraId="421FEC75" w14:textId="38391DA0" w:rsidR="00BB7EF0" w:rsidRPr="004E247D" w:rsidRDefault="00BB7EF0" w:rsidP="00BB7EF0">
      <w:pPr>
        <w:spacing w:before="240" w:after="240"/>
        <w:jc w:val="both"/>
        <w:rPr>
          <w:b/>
          <w:bCs/>
          <w:color w:val="000000" w:themeColor="text1"/>
          <w:sz w:val="28"/>
          <w:szCs w:val="28"/>
          <w:lang w:val="en-PH"/>
        </w:rPr>
      </w:pPr>
      <w:r w:rsidRPr="004E247D">
        <w:rPr>
          <w:b/>
          <w:bCs/>
          <w:color w:val="000000" w:themeColor="text1"/>
          <w:sz w:val="28"/>
          <w:szCs w:val="28"/>
          <w:lang w:val="en-PH"/>
        </w:rPr>
        <w:t>INTRODUCTION</w:t>
      </w:r>
    </w:p>
    <w:p w14:paraId="7A3C3FF4"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t>Technical-vocational education plays a crucial role in developing industry-relevant competencies, particularly in specialized fields such as welding and fabrication technology. In the Philippines, the implementation of the K to 12 Basic Education Program has positioned Senior High School (SHS) as a preparatory stage where learners acquire foundational knowledge and technical skills through the Technical-Vocational-Livelihood (TVL) track. This initiative aims to enhance students’ readiness for higher education and employment by equipping them with competencies aligned with industry standards.</w:t>
      </w:r>
    </w:p>
    <w:p w14:paraId="746E7DCE"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t>Despite this objective, students entering college welding programs exhibit varying levels of preparedness. While some learners possess prior exposure to welding through SHS training, a significant number come from non-technical strands and lack foundational knowledge and hands-on experience. This variation creates disparities in students’ ability to understand theoretical concepts, perform practical tasks, and adapt to the demands of college-level welding courses.</w:t>
      </w:r>
    </w:p>
    <w:p w14:paraId="4DDD45F1"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t>To address these differences in learner readiness, differentiated instruction has been widely implemented in technical-vocational education. This approach emphasizes the adaptation of instructional content, learning processes, and assessment outputs based on students’ varying abilities, interests, and learning profiles. Through differentiated instruction, educators aim to provide equitable learning opportunities and support students in achieving desired learning outcomes regardless of their prior preparation.</w:t>
      </w:r>
    </w:p>
    <w:p w14:paraId="3CD0FD00"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lastRenderedPageBreak/>
        <w:t>However, while previous studies have examined SHS preparation and differentiated instruction independently, limited empirical evidence exists on how these two factors jointly influence the academic performance of college welding students, particularly within the Philippine technical-vocational education context. Moreover, the extent to which prior welding competencies shape students’ engagement with differentiated instruction and contribute to their academic success remains insufficiently explored.</w:t>
      </w:r>
    </w:p>
    <w:p w14:paraId="3886C9A9"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t>Given these gaps, this study aims to examine the relationship between SHS welding competencies, differentiated instruction, and the academic performance of college welding students enrolled in the Bachelor of Technical-Vocational Teacher Education (BTVTED) program major in Welding and Fabrication Technology at Cebu Technological University–Main Campus. Specifically, it seeks to determine the level of SHS welding competencies, assess students’ perceptions of differentiated instruction practices, and analyze the relationships among these variables in relation to academic performance.</w:t>
      </w:r>
    </w:p>
    <w:p w14:paraId="25F31803" w14:textId="77777777" w:rsidR="000A4EAF" w:rsidRPr="004E247D" w:rsidRDefault="000A4EAF" w:rsidP="000A4EAF">
      <w:pPr>
        <w:spacing w:before="240" w:after="240"/>
        <w:ind w:firstLine="720"/>
        <w:jc w:val="both"/>
        <w:rPr>
          <w:color w:val="000000" w:themeColor="text1"/>
          <w:sz w:val="24"/>
          <w:szCs w:val="24"/>
          <w:lang w:val="en-SG"/>
        </w:rPr>
      </w:pPr>
      <w:r w:rsidRPr="004E247D">
        <w:rPr>
          <w:color w:val="000000" w:themeColor="text1"/>
          <w:sz w:val="24"/>
          <w:szCs w:val="24"/>
          <w:lang w:val="en-SG"/>
        </w:rPr>
        <w:t>By providing empirical evidence on the interplay between prior competencies and instructional strategies, this study contributes to the improvement of teaching practices and curriculum alignment in technical-vocational education. The findings may serve as a basis for designing targeted interventions, strengthening bridging programs, and enhancing instructional approaches to better support diverse learners in welding education.</w:t>
      </w:r>
    </w:p>
    <w:p w14:paraId="7A90D2B1" w14:textId="60867DB6" w:rsidR="00C66B68" w:rsidRPr="004E247D" w:rsidRDefault="004F3807" w:rsidP="00BB7EF0">
      <w:pPr>
        <w:spacing w:before="240" w:after="240"/>
        <w:jc w:val="both"/>
        <w:rPr>
          <w:b/>
          <w:bCs/>
          <w:color w:val="000000" w:themeColor="text1"/>
          <w:sz w:val="28"/>
          <w:szCs w:val="28"/>
          <w:lang w:val="en-PH"/>
        </w:rPr>
      </w:pPr>
      <w:r w:rsidRPr="004E247D">
        <w:rPr>
          <w:b/>
          <w:bCs/>
          <w:color w:val="000000" w:themeColor="text1"/>
          <w:sz w:val="28"/>
          <w:szCs w:val="28"/>
          <w:lang w:val="en-PH"/>
        </w:rPr>
        <w:t>THEORETICAL BACKGROUND</w:t>
      </w:r>
    </w:p>
    <w:p w14:paraId="4BEEF261" w14:textId="295ABC5B" w:rsidR="00EA2BA1" w:rsidRPr="004E247D" w:rsidRDefault="00EA2BA1" w:rsidP="00EA2BA1">
      <w:pPr>
        <w:spacing w:before="240" w:after="240"/>
        <w:ind w:firstLine="720"/>
        <w:jc w:val="both"/>
        <w:rPr>
          <w:color w:val="000000" w:themeColor="text1"/>
          <w:sz w:val="24"/>
          <w:szCs w:val="24"/>
          <w:lang w:val="en-PH"/>
        </w:rPr>
      </w:pPr>
      <w:r w:rsidRPr="004E247D">
        <w:rPr>
          <w:color w:val="000000" w:themeColor="text1"/>
          <w:sz w:val="24"/>
          <w:szCs w:val="24"/>
          <w:lang w:val="en-PH"/>
        </w:rPr>
        <w:t>This study examines how SHS-acquired welding competencies and differentiated instruction contribute to the academic performance of college welding students. It is anchored on Constructivist Learning Theory, Differentiated Instruction Theory, and the College and Career Readiness Model, all of which emphasize the role of prior learning experiences and instructional strategies in shaping student outcomes. Furthermore, this study supports key Philippine education policies, including Republic Act No. 10533 (Enhanced Basic Education Act of 2013), Republic Act No. 7722 (Higher Education Act of 1994), and Republic Act No. 7796 (TESDA Act of 1994), which collectively promote quality, industry-relevant, and competency-based technical education. These frameworks underscore the importance of examining SHS welding competencies and instructional practices in relation to the academic performance of Bachelor of Technical-Vocational Teacher Education (BTVTED) students majoring in Welding and Fabrication Technology.</w:t>
      </w:r>
    </w:p>
    <w:p w14:paraId="28D545BC" w14:textId="77777777" w:rsidR="00EA2BA1" w:rsidRPr="004E247D" w:rsidRDefault="00EA2BA1" w:rsidP="00EA2BA1">
      <w:pPr>
        <w:spacing w:before="240" w:after="240"/>
        <w:ind w:firstLine="720"/>
        <w:jc w:val="both"/>
        <w:rPr>
          <w:color w:val="000000" w:themeColor="text1"/>
          <w:sz w:val="24"/>
          <w:szCs w:val="24"/>
          <w:lang w:val="en-PH"/>
        </w:rPr>
      </w:pPr>
      <w:r w:rsidRPr="004E247D">
        <w:rPr>
          <w:color w:val="000000" w:themeColor="text1"/>
          <w:sz w:val="24"/>
          <w:szCs w:val="24"/>
          <w:lang w:val="en-PH"/>
        </w:rPr>
        <w:t>This study is grounded in Constructivist Learning Theory as proposed by Jean Piaget (1972) and Lev Vygotsky (1978), as interpreted by Kouicem (2020), which posits that learning is an active process wherein learners construct knowledge based on prior experiences. In this context, SHS TVL-Welding education serves as the foundational learning experience that influences students’ readiness for advanced college-level welding instruction. Learners who have undergone SHS welding training are expected to demonstrate higher levels of academic and practical preparedness compared to those without such exposure. Vygotsky’s concept of the Zone of Proximal Development further emphasizes the importance of scaffolding and instructional support in bridging learners’ current abilities toward higher levels of competence. In addition, Differentiated Instruction Theory (Tomlinson, 2017) highlights the need for responsive teaching strategies that address learners’ varying readiness levels, interests, and learning profiles through modifications in content, process, and product. Meanwhile, Conley’s (2007) College and Career Readiness Model provides a framework for understanding preparedness through cognitive strategies, content knowledge, academic behaviors, and contextual skills. Together, these theories establish that both prior SHS welding experiences and adaptive instructional practices significantly influence students’ academic performance and skill development in higher education.</w:t>
      </w:r>
    </w:p>
    <w:p w14:paraId="18E1169D" w14:textId="77777777" w:rsidR="00EA2BA1" w:rsidRPr="004E247D" w:rsidRDefault="00EA2BA1" w:rsidP="00EA2BA1">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The legal foundations of this study further reinforce its conceptual framework. Republic Act No. 10533, or the Enhanced Basic Education Act of 2013, institutionalizes the K to 12 curriculum, which includes the SHS TVL track designed to provide students with industry-relevant competencies in fields such as welding. This ensures that learners are introduced to foundational technical skills prior to entering college-level specialization. Republic Act No. 7722, or the Higher Education Act of 1994, mandates the Commission on Higher Education (CHED) to ensure quality and relevant tertiary education, including technical-vocational programs such as BTVTED. Meanwhile, Republic Act No. 7796, or the TESDA Act of 1994, establishes competency-based technical and vocational training standards that emphasize the integration of theory and hands-on practice in </w:t>
      </w:r>
      <w:r w:rsidRPr="004E247D">
        <w:rPr>
          <w:color w:val="000000" w:themeColor="text1"/>
          <w:sz w:val="24"/>
          <w:szCs w:val="24"/>
          <w:lang w:val="en-PH"/>
        </w:rPr>
        <w:lastRenderedPageBreak/>
        <w:t>skill acquisition. Collectively, these policies support the need to examine the alignment between SHS preparation, instructional strategies in college, and student performance outcomes in welding education.</w:t>
      </w:r>
    </w:p>
    <w:p w14:paraId="5DE1794E" w14:textId="555504E7" w:rsidR="002B7D4A" w:rsidRPr="004E247D" w:rsidRDefault="002B7D4A" w:rsidP="002B7D4A">
      <w:pPr>
        <w:spacing w:before="240" w:after="240"/>
        <w:jc w:val="both"/>
        <w:rPr>
          <w:b/>
          <w:bCs/>
          <w:color w:val="000000" w:themeColor="text1"/>
          <w:sz w:val="24"/>
          <w:szCs w:val="24"/>
          <w:lang w:val="en-PH"/>
        </w:rPr>
      </w:pPr>
      <w:r w:rsidRPr="004E247D">
        <w:rPr>
          <w:b/>
          <w:bCs/>
          <w:color w:val="000000" w:themeColor="text1"/>
          <w:sz w:val="24"/>
          <w:szCs w:val="24"/>
          <w:lang w:val="en-PH"/>
        </w:rPr>
        <w:t>Figure 1. Theoretical and Conceptual Framework of the Study</w:t>
      </w:r>
    </w:p>
    <w:p w14:paraId="1A15523A" w14:textId="1DB36119" w:rsidR="00EA2BA1" w:rsidRPr="004E247D" w:rsidRDefault="004F3807" w:rsidP="00EA2BA1">
      <w:pPr>
        <w:spacing w:before="240" w:after="240"/>
        <w:ind w:firstLine="720"/>
        <w:jc w:val="center"/>
        <w:rPr>
          <w:color w:val="000000" w:themeColor="text1"/>
          <w:sz w:val="24"/>
          <w:szCs w:val="24"/>
          <w:lang w:val="en-PH"/>
        </w:rPr>
      </w:pPr>
      <w:r w:rsidRPr="004E247D">
        <w:rPr>
          <w:noProof/>
          <w:color w:val="000000" w:themeColor="text1"/>
          <w:sz w:val="24"/>
          <w:szCs w:val="24"/>
          <w:lang w:val="en-PH"/>
        </w:rPr>
        <w:drawing>
          <wp:inline distT="0" distB="0" distL="0" distR="0" wp14:anchorId="0273BC1E" wp14:editId="60CE3B40">
            <wp:extent cx="5430787" cy="7306734"/>
            <wp:effectExtent l="0" t="0" r="0" b="8890"/>
            <wp:docPr id="105914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2675" name=""/>
                    <pic:cNvPicPr/>
                  </pic:nvPicPr>
                  <pic:blipFill rotWithShape="1">
                    <a:blip r:embed="rId7"/>
                    <a:srcRect b="7334"/>
                    <a:stretch>
                      <a:fillRect/>
                    </a:stretch>
                  </pic:blipFill>
                  <pic:spPr bwMode="auto">
                    <a:xfrm>
                      <a:off x="0" y="0"/>
                      <a:ext cx="5488133" cy="7383889"/>
                    </a:xfrm>
                    <a:prstGeom prst="rect">
                      <a:avLst/>
                    </a:prstGeom>
                    <a:ln>
                      <a:noFill/>
                    </a:ln>
                    <a:extLst>
                      <a:ext uri="{53640926-AAD7-44D8-BBD7-CCE9431645EC}">
                        <a14:shadowObscured xmlns:a14="http://schemas.microsoft.com/office/drawing/2010/main"/>
                      </a:ext>
                    </a:extLst>
                  </pic:spPr>
                </pic:pic>
              </a:graphicData>
            </a:graphic>
          </wp:inline>
        </w:drawing>
      </w:r>
    </w:p>
    <w:p w14:paraId="3C034451" w14:textId="7C95CE39" w:rsidR="004F3807" w:rsidRPr="004E247D" w:rsidRDefault="00543E11" w:rsidP="00BB7EF0">
      <w:pPr>
        <w:spacing w:before="240" w:after="240"/>
        <w:jc w:val="both"/>
        <w:rPr>
          <w:b/>
          <w:bCs/>
          <w:color w:val="000000" w:themeColor="text1"/>
          <w:sz w:val="28"/>
          <w:szCs w:val="28"/>
          <w:lang w:val="en-PH"/>
        </w:rPr>
      </w:pPr>
      <w:r w:rsidRPr="004E247D">
        <w:rPr>
          <w:b/>
          <w:bCs/>
          <w:color w:val="000000" w:themeColor="text1"/>
          <w:sz w:val="28"/>
          <w:szCs w:val="28"/>
          <w:lang w:val="en-PH"/>
        </w:rPr>
        <w:t>RESEARCH METHODOLOGY</w:t>
      </w:r>
    </w:p>
    <w:p w14:paraId="3E4C01D3" w14:textId="77777777" w:rsidR="00543E11" w:rsidRPr="004E247D" w:rsidRDefault="00543E11" w:rsidP="00BB7EF0">
      <w:pPr>
        <w:spacing w:before="240" w:after="240"/>
        <w:jc w:val="both"/>
        <w:rPr>
          <w:b/>
          <w:bCs/>
          <w:color w:val="000000" w:themeColor="text1"/>
          <w:sz w:val="24"/>
          <w:szCs w:val="24"/>
          <w:lang w:val="en-PH"/>
        </w:rPr>
      </w:pPr>
      <w:r w:rsidRPr="004E247D">
        <w:rPr>
          <w:b/>
          <w:bCs/>
          <w:color w:val="000000" w:themeColor="text1"/>
          <w:sz w:val="24"/>
          <w:szCs w:val="24"/>
          <w:lang w:val="en-PH"/>
        </w:rPr>
        <w:t>Design</w:t>
      </w:r>
    </w:p>
    <w:p w14:paraId="74BBBFDE" w14:textId="77777777" w:rsidR="00584A76" w:rsidRPr="004E247D" w:rsidRDefault="00584A76" w:rsidP="00584A76">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This study employed a descriptive-correlational research design to examine the relationship between Senior High School (SHS) welding competencies, differentiated instruction, and the academic performance of college welding students. This design was appropriate for the study as it enabled the researcher to describe the </w:t>
      </w:r>
      <w:r w:rsidRPr="004E247D">
        <w:rPr>
          <w:color w:val="000000" w:themeColor="text1"/>
          <w:sz w:val="24"/>
          <w:szCs w:val="24"/>
          <w:lang w:val="en-PH"/>
        </w:rPr>
        <w:lastRenderedPageBreak/>
        <w:t>characteristics of the respondents and determine the relationships among variables without manipulating any conditions. According to Creswell (2017), correlational research is used to measure the strength and direction of relationships between variables, while Seeram (2019) emphasizes its usefulness in identifying factors that influence educational outcomes. The study focused on Bachelor of Technical-Vocational Teacher Education (BTVTED) students majoring in Welding and Fabrication Technology, analyzing how their SHS welding background and exposure to differentiated instruction relate to their academic performance in welding courses. Data were collected using research instruments and analyzed through statistical methods to determine the extent and significance of the relationships among the variables.</w:t>
      </w:r>
    </w:p>
    <w:p w14:paraId="7BD29039" w14:textId="7CAF862F" w:rsidR="00543E11" w:rsidRPr="004E247D" w:rsidRDefault="00543E11" w:rsidP="00BB7EF0">
      <w:pPr>
        <w:spacing w:before="240" w:after="240"/>
        <w:jc w:val="both"/>
        <w:rPr>
          <w:b/>
          <w:bCs/>
          <w:color w:val="000000" w:themeColor="text1"/>
          <w:sz w:val="24"/>
          <w:szCs w:val="24"/>
          <w:lang w:val="en-PH"/>
        </w:rPr>
      </w:pPr>
      <w:r w:rsidRPr="004E247D">
        <w:rPr>
          <w:b/>
          <w:bCs/>
          <w:color w:val="000000" w:themeColor="text1"/>
          <w:sz w:val="24"/>
          <w:szCs w:val="24"/>
          <w:lang w:val="en-PH"/>
        </w:rPr>
        <w:t>Environment</w:t>
      </w:r>
    </w:p>
    <w:p w14:paraId="274ABD5E"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This study was conducted at Cebu Technological University – Main Campus (CTU–Main), located along M.J. Cuenco Avenue, Cebu City. As the flagship campus of the CTU system, it is recognized as one of the leading state universities in the Visayas, offering quality higher education and technical-vocational programs. Guided by its mission to promote innovation, research, and lifelong learning, CTU–Main accommodates a diverse student population from various regions of the Philippines, thereby fostering academic excellence and technical competence.</w:t>
      </w:r>
    </w:p>
    <w:p w14:paraId="794F7492"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The university offers a wide range of programs in science, engineering, and technology, including Welding and Fabrication Technology under the College of Education. It is equipped with modern facilities such as laboratories, fabrication shops, and simulation rooms that support both theoretical and practical learning experiences. Qualified faculty members provide training in welding techniques, fabrication processes, and safety standards that are aligned with industry requirements, ensuring that students gain relevant and up-to-date competencies.</w:t>
      </w:r>
    </w:p>
    <w:p w14:paraId="7837F26E"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Located in the center of Cebu City, CTU–Main is strategically situated near industrial and commercial establishments that support students’ exposure to on-the-job training and hands-on learning opportunities. These linkages enhance the employability of graduates by providing real-world experience prior to employment. As such, the campus serves as an appropriate setting for examining the influence of Senior High School preparation and differentiated instruction on the academic performance of college welding students.</w:t>
      </w:r>
    </w:p>
    <w:p w14:paraId="2C8E303E" w14:textId="60117C0D" w:rsidR="006B2D0D" w:rsidRPr="004E247D" w:rsidRDefault="006B2D0D" w:rsidP="006B2D0D">
      <w:pPr>
        <w:spacing w:before="240" w:after="240"/>
        <w:jc w:val="both"/>
        <w:rPr>
          <w:b/>
          <w:bCs/>
          <w:color w:val="000000" w:themeColor="text1"/>
          <w:sz w:val="24"/>
          <w:szCs w:val="24"/>
          <w:lang w:val="en-PH"/>
        </w:rPr>
      </w:pPr>
      <w:r w:rsidRPr="004E247D">
        <w:rPr>
          <w:b/>
          <w:bCs/>
          <w:color w:val="000000" w:themeColor="text1"/>
          <w:sz w:val="24"/>
          <w:szCs w:val="24"/>
          <w:lang w:val="en-PH"/>
        </w:rPr>
        <w:t>Respondents</w:t>
      </w:r>
    </w:p>
    <w:p w14:paraId="710B15D9" w14:textId="2DB7F9F9" w:rsidR="00597E12" w:rsidRPr="004E247D" w:rsidRDefault="00597E12" w:rsidP="00597E12">
      <w:pPr>
        <w:spacing w:before="240" w:after="240"/>
        <w:ind w:firstLine="720"/>
        <w:jc w:val="both"/>
        <w:rPr>
          <w:color w:val="000000" w:themeColor="text1"/>
          <w:sz w:val="24"/>
          <w:szCs w:val="24"/>
          <w:lang w:val="en-PH"/>
        </w:rPr>
      </w:pPr>
      <w:r w:rsidRPr="004E247D">
        <w:rPr>
          <w:color w:val="000000" w:themeColor="text1"/>
          <w:sz w:val="24"/>
          <w:szCs w:val="24"/>
          <w:lang w:val="en-PH"/>
        </w:rPr>
        <w:t>A total of forty-six (46) Bachelor of Technical-Vocational Teacher Education (BTVTED) students majoring in Welding and Fabrication Technology participated in the study. These respondents were distributed across year levels as follows: ten (10) first-year students (21.74%), twelve (12) second-year students (26.09%), thirteen (13) third-year students (28.26%), and eleven (11) fourth-year students (23.91%), as shown in Table 1. This distribution indicates that the respondents were fairly spread across all year levels, with a slightly higher concentration in the third-year level.</w:t>
      </w:r>
    </w:p>
    <w:p w14:paraId="5359C954" w14:textId="49B1CF57" w:rsidR="00597E12" w:rsidRPr="004E247D" w:rsidRDefault="00597E12" w:rsidP="00597E12">
      <w:pPr>
        <w:spacing w:before="240" w:after="240"/>
        <w:ind w:firstLine="720"/>
        <w:jc w:val="both"/>
        <w:rPr>
          <w:color w:val="000000" w:themeColor="text1"/>
          <w:sz w:val="24"/>
          <w:szCs w:val="24"/>
          <w:lang w:val="en-PH"/>
        </w:rPr>
      </w:pPr>
      <w:r w:rsidRPr="004E247D">
        <w:rPr>
          <w:color w:val="000000" w:themeColor="text1"/>
          <w:sz w:val="24"/>
          <w:szCs w:val="24"/>
          <w:lang w:val="en-PH"/>
        </w:rPr>
        <w:t>The initial pool of respondents consisted of seventy-two (72) students who were identified as potential participants in the study. However, only forty-six (46) students fully accomplished and returned the research questionnaire, resulting in a response rate of approximately 63.89%. The reduction in respondents was due to non-response factors such as unavailability during data collection, incomplete questionnaire submission, and refusal or failure to participate within the allotted data gathering period. No replacement sampling was conducted; thus, only the valid and complete responses were included in the final analysis.</w:t>
      </w:r>
    </w:p>
    <w:p w14:paraId="7674C9C6" w14:textId="368D8577" w:rsidR="00EA2BA1" w:rsidRPr="004E247D" w:rsidRDefault="00597E12" w:rsidP="00597E12">
      <w:pPr>
        <w:spacing w:before="240" w:after="240"/>
        <w:ind w:firstLine="720"/>
        <w:jc w:val="both"/>
        <w:rPr>
          <w:color w:val="000000" w:themeColor="text1"/>
          <w:sz w:val="24"/>
          <w:szCs w:val="24"/>
          <w:lang w:val="en-PH"/>
        </w:rPr>
      </w:pPr>
      <w:r w:rsidRPr="004E247D">
        <w:rPr>
          <w:color w:val="000000" w:themeColor="text1"/>
          <w:sz w:val="24"/>
          <w:szCs w:val="24"/>
          <w:lang w:val="en-PH"/>
        </w:rPr>
        <w:t>To ensure the adequacy of the final sample, the researcher proceeded with 46 respondents, which is considered sufficient for descriptive-correlational analysis. In addition, efforts were made to minimize potential non-response bias by confirming that the available respondents still reflected the characteristics of the target population in terms of year level distribution and program enrollment. Accordingly, the analysis was conducted under the assumption that the collected responses adequately represent the accessible population. Nevertheless, the findings were interpreted with caution, acknowledging that the perceptions and competencies of non-respondents may differ from those included in the study.</w:t>
      </w:r>
    </w:p>
    <w:tbl>
      <w:tblPr>
        <w:tblStyle w:val="TableGrid"/>
        <w:tblW w:w="81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21"/>
        <w:gridCol w:w="1721"/>
        <w:gridCol w:w="1721"/>
      </w:tblGrid>
      <w:tr w:rsidR="002B7D4A" w:rsidRPr="004E247D" w14:paraId="4CEC09D3" w14:textId="77777777" w:rsidTr="002B7D4A">
        <w:trPr>
          <w:trHeight w:val="517"/>
        </w:trPr>
        <w:tc>
          <w:tcPr>
            <w:tcW w:w="8133" w:type="dxa"/>
            <w:gridSpan w:val="4"/>
            <w:tcBorders>
              <w:top w:val="nil"/>
              <w:bottom w:val="single" w:sz="4" w:space="0" w:color="auto"/>
            </w:tcBorders>
          </w:tcPr>
          <w:p w14:paraId="5DBD9438" w14:textId="40296BD6" w:rsidR="002B7D4A" w:rsidRPr="004E247D" w:rsidRDefault="002B7D4A" w:rsidP="002B7D4A">
            <w:pPr>
              <w:rPr>
                <w:rFonts w:eastAsia="Calibri"/>
                <w:b/>
                <w:color w:val="000000" w:themeColor="text1"/>
                <w:sz w:val="24"/>
                <w:szCs w:val="24"/>
              </w:rPr>
            </w:pPr>
            <w:r w:rsidRPr="004E247D">
              <w:rPr>
                <w:rFonts w:eastAsia="Calibri"/>
                <w:b/>
                <w:color w:val="000000" w:themeColor="text1"/>
                <w:sz w:val="24"/>
                <w:szCs w:val="24"/>
              </w:rPr>
              <w:lastRenderedPageBreak/>
              <w:t>Table 1. Distribution of Respondents</w:t>
            </w:r>
          </w:p>
        </w:tc>
      </w:tr>
      <w:tr w:rsidR="002B7D4A" w:rsidRPr="004E247D" w14:paraId="292AE6B7" w14:textId="77777777" w:rsidTr="002B7D4A">
        <w:trPr>
          <w:trHeight w:val="318"/>
        </w:trPr>
        <w:tc>
          <w:tcPr>
            <w:tcW w:w="2970" w:type="dxa"/>
            <w:tcBorders>
              <w:top w:val="single" w:sz="4" w:space="0" w:color="auto"/>
              <w:bottom w:val="single" w:sz="4" w:space="0" w:color="auto"/>
            </w:tcBorders>
          </w:tcPr>
          <w:p w14:paraId="1641C98F" w14:textId="77777777" w:rsidR="002B7D4A" w:rsidRPr="004E247D" w:rsidRDefault="002B7D4A" w:rsidP="002322A9">
            <w:pPr>
              <w:jc w:val="center"/>
              <w:rPr>
                <w:color w:val="000000" w:themeColor="text1"/>
                <w:sz w:val="24"/>
                <w:szCs w:val="24"/>
              </w:rPr>
            </w:pPr>
            <w:r w:rsidRPr="004E247D">
              <w:rPr>
                <w:color w:val="000000" w:themeColor="text1"/>
                <w:sz w:val="24"/>
                <w:szCs w:val="24"/>
              </w:rPr>
              <w:t>Category</w:t>
            </w:r>
          </w:p>
        </w:tc>
        <w:tc>
          <w:tcPr>
            <w:tcW w:w="1721" w:type="dxa"/>
            <w:tcBorders>
              <w:top w:val="single" w:sz="4" w:space="0" w:color="auto"/>
              <w:bottom w:val="single" w:sz="4" w:space="0" w:color="auto"/>
            </w:tcBorders>
          </w:tcPr>
          <w:p w14:paraId="74DE279F" w14:textId="77777777" w:rsidR="002B7D4A" w:rsidRPr="004E247D" w:rsidRDefault="002B7D4A" w:rsidP="002322A9">
            <w:pPr>
              <w:jc w:val="center"/>
              <w:rPr>
                <w:color w:val="000000" w:themeColor="text1"/>
                <w:sz w:val="24"/>
                <w:szCs w:val="24"/>
              </w:rPr>
            </w:pPr>
            <w:r w:rsidRPr="004E247D">
              <w:rPr>
                <w:color w:val="000000" w:themeColor="text1"/>
                <w:sz w:val="24"/>
                <w:szCs w:val="24"/>
              </w:rPr>
              <w:t>Year Level</w:t>
            </w:r>
          </w:p>
        </w:tc>
        <w:tc>
          <w:tcPr>
            <w:tcW w:w="1721" w:type="dxa"/>
            <w:tcBorders>
              <w:top w:val="single" w:sz="4" w:space="0" w:color="auto"/>
              <w:bottom w:val="single" w:sz="4" w:space="0" w:color="auto"/>
            </w:tcBorders>
            <w:vAlign w:val="center"/>
          </w:tcPr>
          <w:p w14:paraId="09A2F334" w14:textId="77777777" w:rsidR="002B7D4A" w:rsidRPr="004E247D" w:rsidRDefault="002B7D4A" w:rsidP="002322A9">
            <w:pPr>
              <w:jc w:val="center"/>
              <w:rPr>
                <w:color w:val="000000" w:themeColor="text1"/>
                <w:sz w:val="24"/>
                <w:szCs w:val="24"/>
              </w:rPr>
            </w:pPr>
            <w:r w:rsidRPr="004E247D">
              <w:rPr>
                <w:color w:val="000000" w:themeColor="text1"/>
                <w:sz w:val="24"/>
                <w:szCs w:val="24"/>
              </w:rPr>
              <w:t>Sample (n)</w:t>
            </w:r>
          </w:p>
        </w:tc>
        <w:tc>
          <w:tcPr>
            <w:tcW w:w="1721" w:type="dxa"/>
            <w:tcBorders>
              <w:top w:val="single" w:sz="4" w:space="0" w:color="auto"/>
              <w:bottom w:val="single" w:sz="4" w:space="0" w:color="auto"/>
            </w:tcBorders>
            <w:vAlign w:val="center"/>
          </w:tcPr>
          <w:p w14:paraId="4B58CFDB" w14:textId="77777777" w:rsidR="002B7D4A" w:rsidRPr="004E247D" w:rsidRDefault="002B7D4A" w:rsidP="002322A9">
            <w:pPr>
              <w:jc w:val="center"/>
              <w:rPr>
                <w:color w:val="000000" w:themeColor="text1"/>
                <w:sz w:val="24"/>
                <w:szCs w:val="24"/>
              </w:rPr>
            </w:pPr>
            <w:r w:rsidRPr="004E247D">
              <w:rPr>
                <w:color w:val="000000" w:themeColor="text1"/>
                <w:sz w:val="24"/>
                <w:szCs w:val="24"/>
              </w:rPr>
              <w:t>Percentage (%)</w:t>
            </w:r>
          </w:p>
        </w:tc>
      </w:tr>
      <w:tr w:rsidR="002B7D4A" w:rsidRPr="004E247D" w14:paraId="6909C40C" w14:textId="77777777" w:rsidTr="002B7D4A">
        <w:trPr>
          <w:trHeight w:val="318"/>
        </w:trPr>
        <w:tc>
          <w:tcPr>
            <w:tcW w:w="2970" w:type="dxa"/>
            <w:vMerge w:val="restart"/>
            <w:tcBorders>
              <w:top w:val="single" w:sz="4" w:space="0" w:color="auto"/>
            </w:tcBorders>
            <w:vAlign w:val="center"/>
          </w:tcPr>
          <w:p w14:paraId="6DE1D25E" w14:textId="77777777" w:rsidR="002B7D4A" w:rsidRPr="004E247D" w:rsidRDefault="002B7D4A" w:rsidP="002322A9">
            <w:pPr>
              <w:jc w:val="center"/>
              <w:rPr>
                <w:color w:val="000000" w:themeColor="text1"/>
                <w:sz w:val="24"/>
                <w:szCs w:val="24"/>
              </w:rPr>
            </w:pPr>
            <w:r w:rsidRPr="004E247D">
              <w:rPr>
                <w:color w:val="000000" w:themeColor="text1"/>
                <w:sz w:val="24"/>
                <w:szCs w:val="24"/>
                <w:lang w:val="en-PH"/>
              </w:rPr>
              <w:t>BTVTED – Welding and Fabrication Technology</w:t>
            </w:r>
          </w:p>
        </w:tc>
        <w:tc>
          <w:tcPr>
            <w:tcW w:w="1721" w:type="dxa"/>
            <w:tcBorders>
              <w:top w:val="single" w:sz="4" w:space="0" w:color="auto"/>
            </w:tcBorders>
          </w:tcPr>
          <w:p w14:paraId="0B5062D4" w14:textId="77777777" w:rsidR="002B7D4A" w:rsidRPr="004E247D" w:rsidRDefault="002B7D4A" w:rsidP="002322A9">
            <w:pPr>
              <w:jc w:val="center"/>
              <w:rPr>
                <w:color w:val="000000" w:themeColor="text1"/>
                <w:sz w:val="24"/>
                <w:szCs w:val="24"/>
              </w:rPr>
            </w:pPr>
            <w:r w:rsidRPr="004E247D">
              <w:rPr>
                <w:color w:val="000000" w:themeColor="text1"/>
                <w:sz w:val="24"/>
                <w:szCs w:val="24"/>
              </w:rPr>
              <w:t>1</w:t>
            </w:r>
            <w:r w:rsidRPr="004E247D">
              <w:rPr>
                <w:color w:val="000000" w:themeColor="text1"/>
                <w:sz w:val="24"/>
                <w:szCs w:val="24"/>
                <w:vertAlign w:val="superscript"/>
              </w:rPr>
              <w:t>st</w:t>
            </w:r>
            <w:r w:rsidRPr="004E247D">
              <w:rPr>
                <w:color w:val="000000" w:themeColor="text1"/>
                <w:sz w:val="24"/>
                <w:szCs w:val="24"/>
              </w:rPr>
              <w:t xml:space="preserve"> Year</w:t>
            </w:r>
          </w:p>
        </w:tc>
        <w:tc>
          <w:tcPr>
            <w:tcW w:w="1721" w:type="dxa"/>
            <w:tcBorders>
              <w:top w:val="single" w:sz="4" w:space="0" w:color="auto"/>
            </w:tcBorders>
          </w:tcPr>
          <w:p w14:paraId="25EC0A1A" w14:textId="4DBA7164" w:rsidR="002B7D4A" w:rsidRPr="004E247D" w:rsidRDefault="002B7D4A" w:rsidP="002322A9">
            <w:pPr>
              <w:jc w:val="center"/>
              <w:rPr>
                <w:color w:val="000000" w:themeColor="text1"/>
                <w:sz w:val="24"/>
                <w:szCs w:val="24"/>
              </w:rPr>
            </w:pPr>
            <w:r w:rsidRPr="004E247D">
              <w:rPr>
                <w:color w:val="000000" w:themeColor="text1"/>
                <w:sz w:val="24"/>
                <w:szCs w:val="24"/>
              </w:rPr>
              <w:t>1</w:t>
            </w:r>
            <w:r w:rsidR="007E3BBD" w:rsidRPr="004E247D">
              <w:rPr>
                <w:color w:val="000000" w:themeColor="text1"/>
                <w:sz w:val="24"/>
                <w:szCs w:val="24"/>
              </w:rPr>
              <w:t>0</w:t>
            </w:r>
          </w:p>
        </w:tc>
        <w:tc>
          <w:tcPr>
            <w:tcW w:w="1721" w:type="dxa"/>
            <w:tcBorders>
              <w:top w:val="single" w:sz="4" w:space="0" w:color="auto"/>
            </w:tcBorders>
          </w:tcPr>
          <w:p w14:paraId="6B4C4BED" w14:textId="527030EF" w:rsidR="002B7D4A" w:rsidRPr="004E247D" w:rsidRDefault="002B7D4A" w:rsidP="002322A9">
            <w:pPr>
              <w:jc w:val="center"/>
              <w:rPr>
                <w:color w:val="000000" w:themeColor="text1"/>
                <w:sz w:val="24"/>
                <w:szCs w:val="24"/>
              </w:rPr>
            </w:pPr>
            <w:r w:rsidRPr="004E247D">
              <w:rPr>
                <w:color w:val="000000" w:themeColor="text1"/>
                <w:sz w:val="24"/>
                <w:szCs w:val="24"/>
                <w:lang w:val="en-PH"/>
              </w:rPr>
              <w:t>2</w:t>
            </w:r>
            <w:r w:rsidR="002956FA" w:rsidRPr="004E247D">
              <w:rPr>
                <w:color w:val="000000" w:themeColor="text1"/>
                <w:sz w:val="24"/>
                <w:szCs w:val="24"/>
                <w:lang w:val="en-PH"/>
              </w:rPr>
              <w:t>1</w:t>
            </w:r>
            <w:r w:rsidRPr="004E247D">
              <w:rPr>
                <w:color w:val="000000" w:themeColor="text1"/>
                <w:sz w:val="24"/>
                <w:szCs w:val="24"/>
                <w:lang w:val="en-PH"/>
              </w:rPr>
              <w:t>.</w:t>
            </w:r>
            <w:r w:rsidR="002956FA" w:rsidRPr="004E247D">
              <w:rPr>
                <w:color w:val="000000" w:themeColor="text1"/>
                <w:sz w:val="24"/>
                <w:szCs w:val="24"/>
                <w:lang w:val="en-PH"/>
              </w:rPr>
              <w:t>74</w:t>
            </w:r>
          </w:p>
        </w:tc>
      </w:tr>
      <w:tr w:rsidR="002B7D4A" w:rsidRPr="004E247D" w14:paraId="6CC7C3B9" w14:textId="77777777" w:rsidTr="002B7D4A">
        <w:trPr>
          <w:trHeight w:val="318"/>
        </w:trPr>
        <w:tc>
          <w:tcPr>
            <w:tcW w:w="2970" w:type="dxa"/>
            <w:vMerge/>
            <w:hideMark/>
          </w:tcPr>
          <w:p w14:paraId="36B2F16D" w14:textId="77777777" w:rsidR="002B7D4A" w:rsidRPr="004E247D" w:rsidRDefault="002B7D4A" w:rsidP="002322A9">
            <w:pPr>
              <w:jc w:val="center"/>
              <w:rPr>
                <w:color w:val="000000" w:themeColor="text1"/>
                <w:sz w:val="24"/>
                <w:szCs w:val="24"/>
              </w:rPr>
            </w:pPr>
          </w:p>
        </w:tc>
        <w:tc>
          <w:tcPr>
            <w:tcW w:w="1721" w:type="dxa"/>
          </w:tcPr>
          <w:p w14:paraId="09E4C01D" w14:textId="77777777" w:rsidR="002B7D4A" w:rsidRPr="004E247D" w:rsidRDefault="002B7D4A" w:rsidP="002322A9">
            <w:pPr>
              <w:jc w:val="center"/>
              <w:rPr>
                <w:color w:val="000000" w:themeColor="text1"/>
                <w:sz w:val="24"/>
                <w:szCs w:val="24"/>
              </w:rPr>
            </w:pPr>
            <w:r w:rsidRPr="004E247D">
              <w:rPr>
                <w:color w:val="000000" w:themeColor="text1"/>
                <w:sz w:val="24"/>
                <w:szCs w:val="24"/>
              </w:rPr>
              <w:t>2</w:t>
            </w:r>
            <w:r w:rsidRPr="004E247D">
              <w:rPr>
                <w:color w:val="000000" w:themeColor="text1"/>
                <w:sz w:val="24"/>
                <w:szCs w:val="24"/>
                <w:vertAlign w:val="superscript"/>
              </w:rPr>
              <w:t>nd</w:t>
            </w:r>
            <w:r w:rsidRPr="004E247D">
              <w:rPr>
                <w:color w:val="000000" w:themeColor="text1"/>
                <w:sz w:val="24"/>
                <w:szCs w:val="24"/>
              </w:rPr>
              <w:t xml:space="preserve"> Year</w:t>
            </w:r>
          </w:p>
        </w:tc>
        <w:tc>
          <w:tcPr>
            <w:tcW w:w="1721" w:type="dxa"/>
          </w:tcPr>
          <w:p w14:paraId="27AAC006" w14:textId="148C9A39" w:rsidR="002B7D4A" w:rsidRPr="004E247D" w:rsidRDefault="002B7D4A" w:rsidP="002322A9">
            <w:pPr>
              <w:jc w:val="center"/>
              <w:rPr>
                <w:color w:val="000000" w:themeColor="text1"/>
                <w:sz w:val="24"/>
                <w:szCs w:val="24"/>
              </w:rPr>
            </w:pPr>
            <w:r w:rsidRPr="004E247D">
              <w:rPr>
                <w:color w:val="000000" w:themeColor="text1"/>
                <w:sz w:val="24"/>
                <w:szCs w:val="24"/>
              </w:rPr>
              <w:t>1</w:t>
            </w:r>
            <w:r w:rsidR="007E3BBD" w:rsidRPr="004E247D">
              <w:rPr>
                <w:color w:val="000000" w:themeColor="text1"/>
                <w:sz w:val="24"/>
                <w:szCs w:val="24"/>
              </w:rPr>
              <w:t>2</w:t>
            </w:r>
          </w:p>
        </w:tc>
        <w:tc>
          <w:tcPr>
            <w:tcW w:w="1721" w:type="dxa"/>
          </w:tcPr>
          <w:p w14:paraId="5C957574" w14:textId="35122ED2" w:rsidR="002B7D4A" w:rsidRPr="004E247D" w:rsidRDefault="002B7D4A" w:rsidP="002322A9">
            <w:pPr>
              <w:jc w:val="center"/>
              <w:rPr>
                <w:color w:val="000000" w:themeColor="text1"/>
                <w:sz w:val="24"/>
                <w:szCs w:val="24"/>
              </w:rPr>
            </w:pPr>
            <w:r w:rsidRPr="004E247D">
              <w:rPr>
                <w:color w:val="000000" w:themeColor="text1"/>
                <w:sz w:val="24"/>
                <w:szCs w:val="24"/>
                <w:lang w:val="en-PH"/>
              </w:rPr>
              <w:t>2</w:t>
            </w:r>
            <w:r w:rsidR="002956FA" w:rsidRPr="004E247D">
              <w:rPr>
                <w:color w:val="000000" w:themeColor="text1"/>
                <w:sz w:val="24"/>
                <w:szCs w:val="24"/>
                <w:lang w:val="en-PH"/>
              </w:rPr>
              <w:t>6</w:t>
            </w:r>
            <w:r w:rsidRPr="004E247D">
              <w:rPr>
                <w:color w:val="000000" w:themeColor="text1"/>
                <w:sz w:val="24"/>
                <w:szCs w:val="24"/>
                <w:lang w:val="en-PH"/>
              </w:rPr>
              <w:t>.</w:t>
            </w:r>
            <w:r w:rsidR="002956FA" w:rsidRPr="004E247D">
              <w:rPr>
                <w:color w:val="000000" w:themeColor="text1"/>
                <w:sz w:val="24"/>
                <w:szCs w:val="24"/>
                <w:lang w:val="en-PH"/>
              </w:rPr>
              <w:t>09</w:t>
            </w:r>
          </w:p>
        </w:tc>
      </w:tr>
      <w:tr w:rsidR="002B7D4A" w:rsidRPr="004E247D" w14:paraId="629BC2F4" w14:textId="77777777" w:rsidTr="002B7D4A">
        <w:trPr>
          <w:trHeight w:val="318"/>
        </w:trPr>
        <w:tc>
          <w:tcPr>
            <w:tcW w:w="2970" w:type="dxa"/>
            <w:vMerge/>
          </w:tcPr>
          <w:p w14:paraId="46AC6F37" w14:textId="77777777" w:rsidR="002B7D4A" w:rsidRPr="004E247D" w:rsidRDefault="002B7D4A" w:rsidP="002322A9">
            <w:pPr>
              <w:jc w:val="center"/>
              <w:rPr>
                <w:color w:val="000000" w:themeColor="text1"/>
                <w:sz w:val="24"/>
                <w:szCs w:val="24"/>
              </w:rPr>
            </w:pPr>
          </w:p>
        </w:tc>
        <w:tc>
          <w:tcPr>
            <w:tcW w:w="1721" w:type="dxa"/>
          </w:tcPr>
          <w:p w14:paraId="6033771B" w14:textId="42CCF8CC" w:rsidR="002B7D4A" w:rsidRPr="004E247D" w:rsidRDefault="002B7D4A" w:rsidP="002322A9">
            <w:pPr>
              <w:jc w:val="center"/>
              <w:rPr>
                <w:color w:val="000000" w:themeColor="text1"/>
                <w:sz w:val="24"/>
                <w:szCs w:val="24"/>
              </w:rPr>
            </w:pPr>
            <w:r w:rsidRPr="004E247D">
              <w:rPr>
                <w:color w:val="000000" w:themeColor="text1"/>
                <w:sz w:val="24"/>
                <w:szCs w:val="24"/>
              </w:rPr>
              <w:t>3</w:t>
            </w:r>
            <w:r w:rsidRPr="004E247D">
              <w:rPr>
                <w:color w:val="000000" w:themeColor="text1"/>
                <w:sz w:val="24"/>
                <w:szCs w:val="24"/>
                <w:vertAlign w:val="superscript"/>
              </w:rPr>
              <w:t>rd</w:t>
            </w:r>
            <w:r w:rsidRPr="004E247D">
              <w:rPr>
                <w:color w:val="000000" w:themeColor="text1"/>
                <w:sz w:val="24"/>
                <w:szCs w:val="24"/>
              </w:rPr>
              <w:t xml:space="preserve"> Year</w:t>
            </w:r>
          </w:p>
        </w:tc>
        <w:tc>
          <w:tcPr>
            <w:tcW w:w="1721" w:type="dxa"/>
          </w:tcPr>
          <w:p w14:paraId="316D36C1" w14:textId="7115F5B9" w:rsidR="002B7D4A" w:rsidRPr="004E247D" w:rsidRDefault="002B7D4A" w:rsidP="002322A9">
            <w:pPr>
              <w:jc w:val="center"/>
              <w:rPr>
                <w:color w:val="000000" w:themeColor="text1"/>
                <w:sz w:val="24"/>
                <w:szCs w:val="24"/>
              </w:rPr>
            </w:pPr>
            <w:r w:rsidRPr="004E247D">
              <w:rPr>
                <w:color w:val="000000" w:themeColor="text1"/>
                <w:sz w:val="24"/>
                <w:szCs w:val="24"/>
              </w:rPr>
              <w:t>1</w:t>
            </w:r>
            <w:r w:rsidR="007E3BBD" w:rsidRPr="004E247D">
              <w:rPr>
                <w:color w:val="000000" w:themeColor="text1"/>
                <w:sz w:val="24"/>
                <w:szCs w:val="24"/>
              </w:rPr>
              <w:t>3</w:t>
            </w:r>
          </w:p>
        </w:tc>
        <w:tc>
          <w:tcPr>
            <w:tcW w:w="1721" w:type="dxa"/>
          </w:tcPr>
          <w:p w14:paraId="45DA4BD3" w14:textId="159AFAA5" w:rsidR="002B7D4A" w:rsidRPr="004E247D" w:rsidRDefault="002B7D4A" w:rsidP="002322A9">
            <w:pPr>
              <w:jc w:val="center"/>
              <w:rPr>
                <w:color w:val="000000" w:themeColor="text1"/>
                <w:sz w:val="24"/>
                <w:szCs w:val="24"/>
              </w:rPr>
            </w:pPr>
            <w:r w:rsidRPr="004E247D">
              <w:rPr>
                <w:color w:val="000000" w:themeColor="text1"/>
                <w:sz w:val="24"/>
                <w:szCs w:val="24"/>
                <w:lang w:val="en-PH"/>
              </w:rPr>
              <w:t>2</w:t>
            </w:r>
            <w:r w:rsidR="002956FA" w:rsidRPr="004E247D">
              <w:rPr>
                <w:color w:val="000000" w:themeColor="text1"/>
                <w:sz w:val="24"/>
                <w:szCs w:val="24"/>
                <w:lang w:val="en-PH"/>
              </w:rPr>
              <w:t>8</w:t>
            </w:r>
            <w:r w:rsidRPr="004E247D">
              <w:rPr>
                <w:color w:val="000000" w:themeColor="text1"/>
                <w:sz w:val="24"/>
                <w:szCs w:val="24"/>
                <w:lang w:val="en-PH"/>
              </w:rPr>
              <w:t>.</w:t>
            </w:r>
            <w:r w:rsidR="002956FA" w:rsidRPr="004E247D">
              <w:rPr>
                <w:color w:val="000000" w:themeColor="text1"/>
                <w:sz w:val="24"/>
                <w:szCs w:val="24"/>
                <w:lang w:val="en-PH"/>
              </w:rPr>
              <w:t>26</w:t>
            </w:r>
          </w:p>
        </w:tc>
      </w:tr>
      <w:tr w:rsidR="002B7D4A" w:rsidRPr="004E247D" w14:paraId="7D0A3935" w14:textId="77777777" w:rsidTr="002B7D4A">
        <w:trPr>
          <w:trHeight w:val="318"/>
        </w:trPr>
        <w:tc>
          <w:tcPr>
            <w:tcW w:w="2970" w:type="dxa"/>
            <w:vMerge/>
          </w:tcPr>
          <w:p w14:paraId="0C92FAA9" w14:textId="77777777" w:rsidR="002B7D4A" w:rsidRPr="004E247D" w:rsidRDefault="002B7D4A" w:rsidP="002322A9">
            <w:pPr>
              <w:jc w:val="center"/>
              <w:rPr>
                <w:color w:val="000000" w:themeColor="text1"/>
                <w:sz w:val="24"/>
                <w:szCs w:val="24"/>
              </w:rPr>
            </w:pPr>
          </w:p>
        </w:tc>
        <w:tc>
          <w:tcPr>
            <w:tcW w:w="1721" w:type="dxa"/>
          </w:tcPr>
          <w:p w14:paraId="7DA6EE12" w14:textId="77777777" w:rsidR="002B7D4A" w:rsidRPr="004E247D" w:rsidRDefault="002B7D4A" w:rsidP="002322A9">
            <w:pPr>
              <w:jc w:val="center"/>
              <w:rPr>
                <w:color w:val="000000" w:themeColor="text1"/>
                <w:sz w:val="24"/>
                <w:szCs w:val="24"/>
              </w:rPr>
            </w:pPr>
            <w:r w:rsidRPr="004E247D">
              <w:rPr>
                <w:color w:val="000000" w:themeColor="text1"/>
                <w:sz w:val="24"/>
                <w:szCs w:val="24"/>
              </w:rPr>
              <w:t>4</w:t>
            </w:r>
            <w:r w:rsidRPr="004E247D">
              <w:rPr>
                <w:color w:val="000000" w:themeColor="text1"/>
                <w:sz w:val="24"/>
                <w:szCs w:val="24"/>
                <w:vertAlign w:val="superscript"/>
              </w:rPr>
              <w:t>th</w:t>
            </w:r>
            <w:r w:rsidRPr="004E247D">
              <w:rPr>
                <w:color w:val="000000" w:themeColor="text1"/>
                <w:sz w:val="24"/>
                <w:szCs w:val="24"/>
              </w:rPr>
              <w:t xml:space="preserve"> year</w:t>
            </w:r>
          </w:p>
        </w:tc>
        <w:tc>
          <w:tcPr>
            <w:tcW w:w="1721" w:type="dxa"/>
          </w:tcPr>
          <w:p w14:paraId="08083017" w14:textId="4EB8A8AF" w:rsidR="002B7D4A" w:rsidRPr="004E247D" w:rsidRDefault="002B7D4A" w:rsidP="002322A9">
            <w:pPr>
              <w:jc w:val="center"/>
              <w:rPr>
                <w:color w:val="000000" w:themeColor="text1"/>
                <w:sz w:val="24"/>
                <w:szCs w:val="24"/>
              </w:rPr>
            </w:pPr>
            <w:r w:rsidRPr="004E247D">
              <w:rPr>
                <w:color w:val="000000" w:themeColor="text1"/>
                <w:sz w:val="24"/>
                <w:szCs w:val="24"/>
              </w:rPr>
              <w:t>1</w:t>
            </w:r>
            <w:r w:rsidR="007E3BBD" w:rsidRPr="004E247D">
              <w:rPr>
                <w:color w:val="000000" w:themeColor="text1"/>
                <w:sz w:val="24"/>
                <w:szCs w:val="24"/>
              </w:rPr>
              <w:t>1</w:t>
            </w:r>
          </w:p>
        </w:tc>
        <w:tc>
          <w:tcPr>
            <w:tcW w:w="1721" w:type="dxa"/>
          </w:tcPr>
          <w:p w14:paraId="3D298619" w14:textId="758E42F0" w:rsidR="002B7D4A" w:rsidRPr="004E247D" w:rsidRDefault="002B7D4A" w:rsidP="002322A9">
            <w:pPr>
              <w:jc w:val="center"/>
              <w:rPr>
                <w:color w:val="000000" w:themeColor="text1"/>
                <w:sz w:val="24"/>
                <w:szCs w:val="24"/>
              </w:rPr>
            </w:pPr>
            <w:r w:rsidRPr="004E247D">
              <w:rPr>
                <w:color w:val="000000" w:themeColor="text1"/>
                <w:sz w:val="24"/>
                <w:szCs w:val="24"/>
                <w:lang w:val="en-PH"/>
              </w:rPr>
              <w:t>23.</w:t>
            </w:r>
            <w:r w:rsidR="002956FA" w:rsidRPr="004E247D">
              <w:rPr>
                <w:color w:val="000000" w:themeColor="text1"/>
                <w:sz w:val="24"/>
                <w:szCs w:val="24"/>
                <w:lang w:val="en-PH"/>
              </w:rPr>
              <w:t>9</w:t>
            </w:r>
            <w:r w:rsidRPr="004E247D">
              <w:rPr>
                <w:color w:val="000000" w:themeColor="text1"/>
                <w:sz w:val="24"/>
                <w:szCs w:val="24"/>
                <w:lang w:val="en-PH"/>
              </w:rPr>
              <w:t>1</w:t>
            </w:r>
          </w:p>
        </w:tc>
      </w:tr>
      <w:tr w:rsidR="002B7D4A" w:rsidRPr="004E247D" w14:paraId="0E8F69E4" w14:textId="77777777" w:rsidTr="002B7D4A">
        <w:trPr>
          <w:trHeight w:val="318"/>
        </w:trPr>
        <w:tc>
          <w:tcPr>
            <w:tcW w:w="2970" w:type="dxa"/>
            <w:hideMark/>
          </w:tcPr>
          <w:p w14:paraId="0C419514" w14:textId="77777777" w:rsidR="002B7D4A" w:rsidRPr="004E247D" w:rsidRDefault="002B7D4A" w:rsidP="002322A9">
            <w:pPr>
              <w:jc w:val="center"/>
              <w:rPr>
                <w:b/>
                <w:bCs/>
                <w:color w:val="000000" w:themeColor="text1"/>
                <w:sz w:val="24"/>
                <w:szCs w:val="24"/>
              </w:rPr>
            </w:pPr>
            <w:r w:rsidRPr="004E247D">
              <w:rPr>
                <w:b/>
                <w:bCs/>
                <w:color w:val="000000" w:themeColor="text1"/>
                <w:sz w:val="24"/>
                <w:szCs w:val="24"/>
              </w:rPr>
              <w:t>Total</w:t>
            </w:r>
          </w:p>
        </w:tc>
        <w:tc>
          <w:tcPr>
            <w:tcW w:w="1721" w:type="dxa"/>
          </w:tcPr>
          <w:p w14:paraId="4B00C641" w14:textId="77777777" w:rsidR="002B7D4A" w:rsidRPr="004E247D" w:rsidRDefault="002B7D4A" w:rsidP="002322A9">
            <w:pPr>
              <w:jc w:val="center"/>
              <w:rPr>
                <w:b/>
                <w:bCs/>
                <w:color w:val="000000" w:themeColor="text1"/>
                <w:sz w:val="24"/>
                <w:szCs w:val="24"/>
              </w:rPr>
            </w:pPr>
          </w:p>
        </w:tc>
        <w:tc>
          <w:tcPr>
            <w:tcW w:w="1721" w:type="dxa"/>
          </w:tcPr>
          <w:p w14:paraId="77C288F9" w14:textId="128F0626" w:rsidR="002B7D4A" w:rsidRPr="004E247D" w:rsidRDefault="007E3BBD" w:rsidP="002322A9">
            <w:pPr>
              <w:jc w:val="center"/>
              <w:rPr>
                <w:b/>
                <w:bCs/>
                <w:color w:val="000000" w:themeColor="text1"/>
                <w:sz w:val="24"/>
                <w:szCs w:val="24"/>
              </w:rPr>
            </w:pPr>
            <w:r w:rsidRPr="004E247D">
              <w:rPr>
                <w:b/>
                <w:bCs/>
                <w:color w:val="000000" w:themeColor="text1"/>
                <w:sz w:val="24"/>
                <w:szCs w:val="24"/>
              </w:rPr>
              <w:t>46</w:t>
            </w:r>
          </w:p>
        </w:tc>
        <w:tc>
          <w:tcPr>
            <w:tcW w:w="1721" w:type="dxa"/>
          </w:tcPr>
          <w:p w14:paraId="7D0D9EBB" w14:textId="6DAAD776" w:rsidR="002B7D4A" w:rsidRPr="004E247D" w:rsidRDefault="002B7D4A" w:rsidP="002322A9">
            <w:pPr>
              <w:jc w:val="center"/>
              <w:rPr>
                <w:b/>
                <w:bCs/>
                <w:color w:val="000000" w:themeColor="text1"/>
                <w:sz w:val="24"/>
                <w:szCs w:val="24"/>
              </w:rPr>
            </w:pPr>
            <w:r w:rsidRPr="004E247D">
              <w:rPr>
                <w:b/>
                <w:bCs/>
                <w:color w:val="000000" w:themeColor="text1"/>
                <w:sz w:val="24"/>
                <w:szCs w:val="24"/>
              </w:rPr>
              <w:t>100</w:t>
            </w:r>
          </w:p>
        </w:tc>
      </w:tr>
    </w:tbl>
    <w:p w14:paraId="127A23C5" w14:textId="04610E1D" w:rsidR="004E38A0" w:rsidRPr="004E247D" w:rsidRDefault="004E38A0" w:rsidP="006B2D0D">
      <w:pPr>
        <w:spacing w:before="240" w:after="240"/>
        <w:jc w:val="both"/>
        <w:rPr>
          <w:b/>
          <w:bCs/>
          <w:color w:val="000000" w:themeColor="text1"/>
          <w:sz w:val="24"/>
          <w:szCs w:val="24"/>
          <w:lang w:val="en-PH"/>
        </w:rPr>
      </w:pPr>
      <w:r w:rsidRPr="004E247D">
        <w:rPr>
          <w:b/>
          <w:bCs/>
          <w:color w:val="000000" w:themeColor="text1"/>
          <w:sz w:val="24"/>
          <w:szCs w:val="24"/>
          <w:lang w:val="en-PH"/>
        </w:rPr>
        <w:t>Instrument</w:t>
      </w:r>
    </w:p>
    <w:p w14:paraId="3CF5D382"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The survey questionnaire used in this study was adapted from Alinea et al. (2024) and Perez (2024), with necessary modifications to align with the objectives of the research. These modifications were made to examine the influence of Senior High School (SHS) welding competencies and differentiated instruction on the academic performance of college welding students, as well as to gather information on students’ perceived skills prior to college enrollment, their academic preparedness upon entry to college, and their perceptions of differentiated instruction. It also assessed students’ self-perceived competencies after completing SHS, particularly since objective expert ratings were not separately available. The respondents were part of the first batch of the K–12 program, where basic education was extended from 10 to 13 years.</w:t>
      </w:r>
    </w:p>
    <w:p w14:paraId="3DBFF818"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The research instrument consists of three main parts. Part I, the Profile of the Respondents, collects demographic information such as gender, age, year level, SHS strand completed, and prior exposure to welding during SHS. Part II, Senior High School Welding Competencies, assesses respondents’ academic preparedness, practical skills, and technical knowledge in welding through 31 items. Part III, Differentiated Instruction Practices, evaluates students’ perceptions of content, process, and product differentiation implemented in their college welding classes through 15 items. Collectively, these sections provide a comprehensive assessment of the influence of SHS preparation and instructional practices on students’ learning experiences in college welding education. A 5-point Likert scale ranging from Strongly Disagree (1) to Strongly Agree (5) was used to measure respondents’ perceptions quantitatively.</w:t>
      </w:r>
    </w:p>
    <w:p w14:paraId="56968363" w14:textId="77777777" w:rsidR="00530910" w:rsidRPr="004E247D" w:rsidRDefault="00530910" w:rsidP="00530910">
      <w:pPr>
        <w:spacing w:before="240" w:after="240"/>
        <w:ind w:firstLine="720"/>
        <w:jc w:val="both"/>
        <w:rPr>
          <w:color w:val="000000" w:themeColor="text1"/>
          <w:sz w:val="24"/>
          <w:szCs w:val="24"/>
          <w:lang w:val="en-PH"/>
        </w:rPr>
      </w:pPr>
      <w:r w:rsidRPr="004E247D">
        <w:rPr>
          <w:color w:val="000000" w:themeColor="text1"/>
          <w:sz w:val="24"/>
          <w:szCs w:val="24"/>
          <w:lang w:val="en-PH"/>
        </w:rPr>
        <w:t>The study ensures strict confidentiality of all respondents’ responses in accordance with the Data Privacy Act of 2012 (Republic Act No. 10173). All data collected were used solely for research purposes and were reported in a manner that guarantees anonymity and protects the identity of the participants.</w:t>
      </w:r>
    </w:p>
    <w:p w14:paraId="07D8F1FC" w14:textId="317AFF07" w:rsidR="004C3B11" w:rsidRPr="004E247D" w:rsidRDefault="004C3B11" w:rsidP="00530910">
      <w:pPr>
        <w:spacing w:before="240" w:after="240"/>
        <w:jc w:val="both"/>
        <w:rPr>
          <w:color w:val="000000" w:themeColor="text1"/>
          <w:sz w:val="24"/>
          <w:szCs w:val="24"/>
          <w:lang w:val="en-PH"/>
        </w:rPr>
      </w:pPr>
      <w:r w:rsidRPr="004E247D">
        <w:rPr>
          <w:b/>
          <w:bCs/>
          <w:color w:val="000000" w:themeColor="text1"/>
          <w:sz w:val="24"/>
          <w:szCs w:val="24"/>
          <w:lang w:val="en-PH"/>
        </w:rPr>
        <w:t>Data Sources and Measurement of Variables</w:t>
      </w:r>
    </w:p>
    <w:p w14:paraId="47A235E6" w14:textId="0C86F617" w:rsidR="00675334" w:rsidRPr="004E247D" w:rsidRDefault="00675334" w:rsidP="00675334">
      <w:pPr>
        <w:spacing w:before="240" w:after="240"/>
        <w:ind w:firstLine="720"/>
        <w:jc w:val="both"/>
        <w:rPr>
          <w:color w:val="000000" w:themeColor="text1"/>
          <w:sz w:val="24"/>
          <w:szCs w:val="24"/>
        </w:rPr>
      </w:pPr>
      <w:r w:rsidRPr="004E247D">
        <w:rPr>
          <w:color w:val="000000" w:themeColor="text1"/>
          <w:sz w:val="24"/>
          <w:szCs w:val="24"/>
        </w:rPr>
        <w:t>The SHS welding competencies and differentiated instruction were measured using a structured questionnaire aligned with the study objectives and adapted from Alinea et al. (2024) and Perez (2024). SHS competencies were assessed in terms of academic preparedness, practical skills, and technical knowledge, while differentiated instruction was evaluated based on students’ perceptions of content, process, and product differentiation in college welding classes. Data were analyzed using weighted mean and standard deviation, with verbal interpretations used to describe the level of perception.</w:t>
      </w:r>
    </w:p>
    <w:p w14:paraId="00D0FF45" w14:textId="6943C9C9" w:rsidR="00836B67" w:rsidRPr="004E247D" w:rsidRDefault="006D16A3" w:rsidP="004E38A0">
      <w:pPr>
        <w:spacing w:before="240" w:after="240"/>
        <w:jc w:val="both"/>
        <w:rPr>
          <w:color w:val="000000" w:themeColor="text1"/>
          <w:sz w:val="24"/>
          <w:szCs w:val="24"/>
        </w:rPr>
      </w:pPr>
      <w:r w:rsidRPr="004E247D">
        <w:rPr>
          <w:color w:val="000000" w:themeColor="text1"/>
          <w:sz w:val="24"/>
          <w:szCs w:val="24"/>
        </w:rPr>
        <w:t>Academic performance was measured using self-reported general weighted averages categorized according to institutional grading standards</w:t>
      </w:r>
      <w:r w:rsidR="00836B67" w:rsidRPr="004E247D">
        <w:rPr>
          <w:color w:val="000000" w:themeColor="text1"/>
          <w:sz w:val="24"/>
          <w:szCs w:val="24"/>
        </w:rPr>
        <w:t>.</w:t>
      </w:r>
      <w:r w:rsidRPr="004E247D">
        <w:rPr>
          <w:color w:val="000000" w:themeColor="text1"/>
          <w:sz w:val="24"/>
          <w:szCs w:val="24"/>
        </w:rPr>
        <w:t xml:space="preserve"> </w:t>
      </w:r>
      <w:r w:rsidR="00836B67" w:rsidRPr="004E247D">
        <w:rPr>
          <w:color w:val="000000" w:themeColor="text1"/>
          <w:sz w:val="24"/>
          <w:szCs w:val="24"/>
        </w:rPr>
        <w:t>The responses were categorized according to the following Academic Performance (Grade Range): Excellent (1.00–1.75), Very Good (1.76–2.00), Good (2.01–2.50), and Fair (2.51–3.00). Due to limitations in accessing official academic records and in compliance with the Data Privacy Act of 2012 (Republic Act No. 10173), self-reported grades were used as proxy data. These responses were then classified into categorical performance levels for purposes of statistical analysis.</w:t>
      </w:r>
    </w:p>
    <w:p w14:paraId="04EC17A6" w14:textId="54489D8D" w:rsidR="004E38A0" w:rsidRPr="004E247D" w:rsidRDefault="004E38A0" w:rsidP="004E38A0">
      <w:pPr>
        <w:spacing w:before="240" w:after="240"/>
        <w:jc w:val="both"/>
        <w:rPr>
          <w:b/>
          <w:bCs/>
          <w:color w:val="000000" w:themeColor="text1"/>
          <w:sz w:val="24"/>
          <w:szCs w:val="24"/>
          <w:lang w:val="en-PH"/>
        </w:rPr>
      </w:pPr>
      <w:r w:rsidRPr="004E247D">
        <w:rPr>
          <w:b/>
          <w:bCs/>
          <w:color w:val="000000" w:themeColor="text1"/>
          <w:sz w:val="24"/>
          <w:szCs w:val="24"/>
          <w:lang w:val="en-PH"/>
        </w:rPr>
        <w:t>Data Gathering Procedure</w:t>
      </w:r>
    </w:p>
    <w:p w14:paraId="6332FC4C" w14:textId="090BA981" w:rsidR="004E38A0" w:rsidRPr="004E247D" w:rsidRDefault="004E38A0" w:rsidP="004E38A0">
      <w:pPr>
        <w:spacing w:before="240" w:after="240"/>
        <w:ind w:firstLine="720"/>
        <w:jc w:val="both"/>
        <w:rPr>
          <w:color w:val="000000" w:themeColor="text1"/>
          <w:sz w:val="24"/>
          <w:szCs w:val="24"/>
          <w:lang w:val="en-PH"/>
        </w:rPr>
      </w:pPr>
      <w:r w:rsidRPr="004E247D">
        <w:rPr>
          <w:b/>
          <w:bCs/>
          <w:color w:val="000000" w:themeColor="text1"/>
          <w:sz w:val="24"/>
          <w:szCs w:val="24"/>
          <w:lang w:val="en-PH"/>
        </w:rPr>
        <w:t>Preliminary stage.</w:t>
      </w:r>
      <w:r w:rsidRPr="004E247D">
        <w:rPr>
          <w:color w:val="000000" w:themeColor="text1"/>
          <w:sz w:val="24"/>
          <w:szCs w:val="24"/>
          <w:lang w:val="en-PH"/>
        </w:rPr>
        <w:t xml:space="preserve"> </w:t>
      </w:r>
      <w:r w:rsidR="00667776" w:rsidRPr="004E247D">
        <w:rPr>
          <w:color w:val="000000" w:themeColor="text1"/>
          <w:sz w:val="24"/>
          <w:szCs w:val="24"/>
          <w:lang w:val="en-PH"/>
        </w:rPr>
        <w:t xml:space="preserve">During this stage, formal letters requesting permission to conduct the study were prepared and submitted to the appropriate authorities through the Department Head of the program. Upon approval, informed consent forms were developed and distributed to the respondents for their review and </w:t>
      </w:r>
      <w:r w:rsidR="00667776" w:rsidRPr="004E247D">
        <w:rPr>
          <w:color w:val="000000" w:themeColor="text1"/>
          <w:sz w:val="24"/>
          <w:szCs w:val="24"/>
          <w:lang w:val="en-PH"/>
        </w:rPr>
        <w:lastRenderedPageBreak/>
        <w:t>voluntary confirmation. After securing all necessary permissions and consent, the researcher proceeded to the data collection phase.</w:t>
      </w:r>
    </w:p>
    <w:p w14:paraId="3605D477" w14:textId="38EF4CDC" w:rsidR="004E38A0" w:rsidRPr="004E247D" w:rsidRDefault="004E38A0" w:rsidP="004E38A0">
      <w:pPr>
        <w:spacing w:before="240" w:after="240"/>
        <w:jc w:val="both"/>
        <w:rPr>
          <w:color w:val="000000" w:themeColor="text1"/>
          <w:sz w:val="24"/>
          <w:szCs w:val="24"/>
          <w:lang w:val="en-PH"/>
        </w:rPr>
      </w:pPr>
      <w:r w:rsidRPr="004E247D">
        <w:rPr>
          <w:color w:val="000000" w:themeColor="text1"/>
          <w:sz w:val="24"/>
          <w:szCs w:val="24"/>
          <w:lang w:val="en-PH"/>
        </w:rPr>
        <w:tab/>
      </w:r>
      <w:r w:rsidRPr="004E247D">
        <w:rPr>
          <w:b/>
          <w:bCs/>
          <w:color w:val="000000" w:themeColor="text1"/>
          <w:sz w:val="24"/>
          <w:szCs w:val="24"/>
          <w:lang w:val="en-PH"/>
        </w:rPr>
        <w:t>Data gathering stage.</w:t>
      </w:r>
      <w:r w:rsidRPr="004E247D">
        <w:rPr>
          <w:color w:val="000000" w:themeColor="text1"/>
          <w:sz w:val="24"/>
          <w:szCs w:val="24"/>
          <w:lang w:val="en-PH"/>
        </w:rPr>
        <w:t xml:space="preserve"> </w:t>
      </w:r>
      <w:r w:rsidR="00667776" w:rsidRPr="004E247D">
        <w:rPr>
          <w:color w:val="000000" w:themeColor="text1"/>
          <w:sz w:val="24"/>
          <w:szCs w:val="24"/>
          <w:lang w:val="en-PH"/>
        </w:rPr>
        <w:t>The research instrument was administered to the respondents following a brief orientation. During this session, participants were guided on how to properly accomplish the questionnaire, including an explanation of the response format and allotted time. Emphasis was also placed on the confidentiality of the respondents’ information in accordance with the Data Privacy Act.</w:t>
      </w:r>
    </w:p>
    <w:p w14:paraId="02205052" w14:textId="7D365C15" w:rsidR="004E38A0" w:rsidRPr="004E247D" w:rsidRDefault="004E38A0" w:rsidP="004E38A0">
      <w:pPr>
        <w:spacing w:before="240" w:after="240"/>
        <w:jc w:val="both"/>
        <w:rPr>
          <w:color w:val="000000" w:themeColor="text1"/>
          <w:sz w:val="24"/>
          <w:szCs w:val="24"/>
          <w:lang w:val="en-PH"/>
        </w:rPr>
      </w:pPr>
      <w:r w:rsidRPr="004E247D">
        <w:rPr>
          <w:color w:val="000000" w:themeColor="text1"/>
          <w:sz w:val="24"/>
          <w:szCs w:val="24"/>
          <w:lang w:val="en-PH"/>
        </w:rPr>
        <w:tab/>
      </w:r>
      <w:r w:rsidRPr="004E247D">
        <w:rPr>
          <w:b/>
          <w:bCs/>
          <w:color w:val="000000" w:themeColor="text1"/>
          <w:sz w:val="24"/>
          <w:szCs w:val="24"/>
          <w:lang w:val="en-PH"/>
        </w:rPr>
        <w:t>Post Data Gathering stage</w:t>
      </w:r>
      <w:r w:rsidRPr="004E247D">
        <w:rPr>
          <w:color w:val="000000" w:themeColor="text1"/>
          <w:sz w:val="24"/>
          <w:szCs w:val="24"/>
          <w:lang w:val="en-PH"/>
        </w:rPr>
        <w:t xml:space="preserve">. </w:t>
      </w:r>
      <w:r w:rsidR="00667776" w:rsidRPr="004E247D">
        <w:rPr>
          <w:color w:val="000000" w:themeColor="text1"/>
          <w:sz w:val="24"/>
          <w:szCs w:val="24"/>
          <w:lang w:val="en-PH"/>
        </w:rPr>
        <w:t>Upon completion of data collection, the responses were organized, encoded, and subjected to appropriate statistical analysis. The processed data were then prepared for systematic presentation, thorough analysis, and interpretation in alignment with the objectives of the study.</w:t>
      </w:r>
    </w:p>
    <w:p w14:paraId="179EB08B" w14:textId="53E4FAE6" w:rsidR="006B2D0D" w:rsidRPr="004E247D" w:rsidRDefault="006B2D0D" w:rsidP="006B2D0D">
      <w:pPr>
        <w:spacing w:before="240" w:after="240"/>
        <w:jc w:val="both"/>
        <w:rPr>
          <w:b/>
          <w:bCs/>
          <w:color w:val="000000" w:themeColor="text1"/>
          <w:sz w:val="28"/>
          <w:szCs w:val="28"/>
          <w:lang w:val="en-PH"/>
        </w:rPr>
      </w:pPr>
      <w:r w:rsidRPr="004E247D">
        <w:rPr>
          <w:b/>
          <w:bCs/>
          <w:color w:val="000000" w:themeColor="text1"/>
          <w:sz w:val="28"/>
          <w:szCs w:val="28"/>
          <w:lang w:val="en-PH"/>
        </w:rPr>
        <w:t>RESULTS AND DISCUSSIONS</w:t>
      </w:r>
    </w:p>
    <w:p w14:paraId="46F8016D" w14:textId="22C2A0F8" w:rsidR="004F3807" w:rsidRPr="004E247D" w:rsidRDefault="004E38A0" w:rsidP="004E38A0">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This </w:t>
      </w:r>
      <w:r w:rsidR="007409A8" w:rsidRPr="004E247D">
        <w:rPr>
          <w:color w:val="000000" w:themeColor="text1"/>
          <w:sz w:val="24"/>
          <w:szCs w:val="24"/>
          <w:lang w:val="en-PH"/>
        </w:rPr>
        <w:t>section present the</w:t>
      </w:r>
      <w:r w:rsidR="00D22EF1" w:rsidRPr="004E247D">
        <w:rPr>
          <w:color w:val="000000" w:themeColor="text1"/>
          <w:sz w:val="24"/>
          <w:szCs w:val="24"/>
          <w:lang w:val="en-PH"/>
        </w:rPr>
        <w:t xml:space="preserve"> study’s</w:t>
      </w:r>
      <w:r w:rsidRPr="004E247D">
        <w:rPr>
          <w:color w:val="000000" w:themeColor="text1"/>
          <w:sz w:val="24"/>
          <w:szCs w:val="24"/>
          <w:lang w:val="en-PH"/>
        </w:rPr>
        <w:t xml:space="preserve"> findings based on the data collected from the respondents. It explains how the data was analyzed and describes the respondents’ profile to give a clear view of who participated in the study. The results are presented in an organized way to show key patterns and relationships.</w:t>
      </w:r>
    </w:p>
    <w:p w14:paraId="29ABE75F" w14:textId="1120C1FD" w:rsidR="00C66B68" w:rsidRPr="004E247D" w:rsidRDefault="004E38A0" w:rsidP="00BB7EF0">
      <w:pPr>
        <w:spacing w:before="240" w:after="240"/>
        <w:jc w:val="both"/>
        <w:rPr>
          <w:b/>
          <w:bCs/>
          <w:color w:val="000000" w:themeColor="text1"/>
          <w:sz w:val="24"/>
          <w:szCs w:val="24"/>
          <w:lang w:val="en-PH"/>
        </w:rPr>
      </w:pPr>
      <w:r w:rsidRPr="004E247D">
        <w:rPr>
          <w:b/>
          <w:bCs/>
          <w:color w:val="000000" w:themeColor="text1"/>
          <w:sz w:val="24"/>
          <w:szCs w:val="24"/>
          <w:lang w:val="en-PH"/>
        </w:rPr>
        <w:t>PROFILE OF THE RESPONDENTS</w:t>
      </w:r>
    </w:p>
    <w:p w14:paraId="7761664E" w14:textId="1FDFB5F2" w:rsidR="00A11CBD" w:rsidRPr="004E247D" w:rsidRDefault="00A11CBD" w:rsidP="00A11CBD">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The following section presents and discusses the findings individually regarding the respondents’ profile, specifically in terms of </w:t>
      </w:r>
      <w:r w:rsidR="005806B5" w:rsidRPr="004E247D">
        <w:rPr>
          <w:color w:val="000000" w:themeColor="text1"/>
          <w:sz w:val="24"/>
          <w:szCs w:val="24"/>
          <w:lang w:val="en-PH"/>
        </w:rPr>
        <w:t xml:space="preserve">age, </w:t>
      </w:r>
      <w:r w:rsidRPr="004E247D">
        <w:rPr>
          <w:color w:val="000000" w:themeColor="text1"/>
          <w:sz w:val="24"/>
          <w:szCs w:val="24"/>
          <w:lang w:val="en-PH"/>
        </w:rPr>
        <w:t>gender (male or female), year level, and completed Senior High School strand.</w:t>
      </w:r>
    </w:p>
    <w:p w14:paraId="791AE7E9" w14:textId="28A1916A" w:rsidR="004E38A0" w:rsidRPr="004E247D" w:rsidRDefault="004E38A0" w:rsidP="004E38A0">
      <w:pPr>
        <w:spacing w:before="240" w:after="240"/>
        <w:jc w:val="both"/>
        <w:rPr>
          <w:b/>
          <w:bCs/>
          <w:color w:val="000000" w:themeColor="text1"/>
          <w:sz w:val="24"/>
          <w:szCs w:val="24"/>
          <w:lang w:val="en-PH"/>
        </w:rPr>
      </w:pPr>
      <w:r w:rsidRPr="004E247D">
        <w:rPr>
          <w:b/>
          <w:bCs/>
          <w:color w:val="000000" w:themeColor="text1"/>
          <w:sz w:val="24"/>
          <w:szCs w:val="24"/>
          <w:lang w:val="en-PH"/>
        </w:rPr>
        <w:t>Age</w:t>
      </w:r>
    </w:p>
    <w:p w14:paraId="3BBC4993" w14:textId="62C400D5" w:rsidR="00FB46F9" w:rsidRPr="004E247D" w:rsidRDefault="00FB46F9" w:rsidP="00FB46F9">
      <w:pPr>
        <w:spacing w:before="240" w:after="240"/>
        <w:ind w:firstLine="720"/>
        <w:jc w:val="both"/>
        <w:rPr>
          <w:color w:val="000000" w:themeColor="text1"/>
          <w:sz w:val="24"/>
          <w:szCs w:val="24"/>
          <w:lang w:val="en-PH"/>
        </w:rPr>
      </w:pPr>
      <w:r w:rsidRPr="004E247D">
        <w:rPr>
          <w:color w:val="000000" w:themeColor="text1"/>
          <w:sz w:val="24"/>
          <w:szCs w:val="24"/>
          <w:lang w:val="en-PH"/>
        </w:rPr>
        <w:t>The distribution of respondents according to their age</w:t>
      </w:r>
      <w:r w:rsidR="00D36C8A" w:rsidRPr="004E247D">
        <w:rPr>
          <w:color w:val="000000" w:themeColor="text1"/>
          <w:sz w:val="24"/>
          <w:szCs w:val="24"/>
          <w:lang w:val="en-PH"/>
        </w:rPr>
        <w:t xml:space="preserve"> in years </w:t>
      </w:r>
      <w:r w:rsidRPr="004E247D">
        <w:rPr>
          <w:color w:val="000000" w:themeColor="text1"/>
          <w:sz w:val="24"/>
          <w:szCs w:val="24"/>
          <w:lang w:val="en-PH"/>
        </w:rPr>
        <w:t xml:space="preserve">is presented, showing the frequency and percentage of participants within each category, specifically those aged 16–20, 21–25, and 26 years and above. </w:t>
      </w:r>
    </w:p>
    <w:p w14:paraId="578B650F" w14:textId="3D8894AB" w:rsidR="00810BD0" w:rsidRPr="004E247D" w:rsidRDefault="00810BD0" w:rsidP="00810BD0">
      <w:pPr>
        <w:spacing w:before="240" w:after="240"/>
        <w:jc w:val="both"/>
        <w:rPr>
          <w:b/>
          <w:bCs/>
          <w:color w:val="000000" w:themeColor="text1"/>
          <w:sz w:val="24"/>
          <w:szCs w:val="24"/>
          <w:lang w:val="en-PH"/>
        </w:rPr>
      </w:pPr>
      <w:r w:rsidRPr="004E247D">
        <w:rPr>
          <w:b/>
          <w:bCs/>
          <w:color w:val="000000" w:themeColor="text1"/>
          <w:sz w:val="24"/>
          <w:szCs w:val="24"/>
          <w:lang w:val="en-PH"/>
        </w:rPr>
        <w:t>Table 2. Age of the Respondents</w:t>
      </w:r>
    </w:p>
    <w:tbl>
      <w:tblPr>
        <w:tblW w:w="0" w:type="auto"/>
        <w:tblLook w:val="04A0" w:firstRow="1" w:lastRow="0" w:firstColumn="1" w:lastColumn="0" w:noHBand="0" w:noVBand="1"/>
      </w:tblPr>
      <w:tblGrid>
        <w:gridCol w:w="2070"/>
        <w:gridCol w:w="1980"/>
        <w:gridCol w:w="2160"/>
      </w:tblGrid>
      <w:tr w:rsidR="00810BD0" w:rsidRPr="004E247D" w14:paraId="36690018" w14:textId="77777777" w:rsidTr="00810BD0">
        <w:tc>
          <w:tcPr>
            <w:tcW w:w="2070" w:type="dxa"/>
            <w:tcBorders>
              <w:top w:val="single" w:sz="4" w:space="0" w:color="auto"/>
              <w:bottom w:val="single" w:sz="4" w:space="0" w:color="auto"/>
            </w:tcBorders>
          </w:tcPr>
          <w:p w14:paraId="6000789A"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Age (in years)</w:t>
            </w:r>
          </w:p>
        </w:tc>
        <w:tc>
          <w:tcPr>
            <w:tcW w:w="1980" w:type="dxa"/>
            <w:tcBorders>
              <w:top w:val="single" w:sz="4" w:space="0" w:color="auto"/>
              <w:bottom w:val="single" w:sz="4" w:space="0" w:color="auto"/>
            </w:tcBorders>
          </w:tcPr>
          <w:p w14:paraId="0D1FA03D"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f</w:t>
            </w:r>
          </w:p>
        </w:tc>
        <w:tc>
          <w:tcPr>
            <w:tcW w:w="2160" w:type="dxa"/>
            <w:tcBorders>
              <w:top w:val="single" w:sz="4" w:space="0" w:color="auto"/>
              <w:bottom w:val="single" w:sz="4" w:space="0" w:color="auto"/>
            </w:tcBorders>
          </w:tcPr>
          <w:p w14:paraId="1152F40B"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w:t>
            </w:r>
          </w:p>
        </w:tc>
      </w:tr>
      <w:tr w:rsidR="00810BD0" w:rsidRPr="004E247D" w14:paraId="75A45F65" w14:textId="77777777" w:rsidTr="00810BD0">
        <w:tc>
          <w:tcPr>
            <w:tcW w:w="2070" w:type="dxa"/>
          </w:tcPr>
          <w:p w14:paraId="75357819"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26 and above</w:t>
            </w:r>
          </w:p>
        </w:tc>
        <w:tc>
          <w:tcPr>
            <w:tcW w:w="1980" w:type="dxa"/>
          </w:tcPr>
          <w:p w14:paraId="1F4D600E"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1</w:t>
            </w:r>
          </w:p>
        </w:tc>
        <w:tc>
          <w:tcPr>
            <w:tcW w:w="2160" w:type="dxa"/>
          </w:tcPr>
          <w:p w14:paraId="766AAE0F" w14:textId="77777777" w:rsidR="00810BD0" w:rsidRPr="004E247D" w:rsidRDefault="00810BD0" w:rsidP="00953A5B">
            <w:pPr>
              <w:jc w:val="center"/>
              <w:rPr>
                <w:color w:val="000000" w:themeColor="text1"/>
                <w:sz w:val="24"/>
                <w:szCs w:val="24"/>
              </w:rPr>
            </w:pPr>
            <w:r w:rsidRPr="004E247D">
              <w:rPr>
                <w:color w:val="000000" w:themeColor="text1"/>
                <w:sz w:val="24"/>
                <w:szCs w:val="24"/>
              </w:rPr>
              <w:t>2.17</w:t>
            </w:r>
          </w:p>
        </w:tc>
      </w:tr>
      <w:tr w:rsidR="00810BD0" w:rsidRPr="004E247D" w14:paraId="4B93BABE" w14:textId="77777777" w:rsidTr="00360A62">
        <w:trPr>
          <w:trHeight w:val="379"/>
        </w:trPr>
        <w:tc>
          <w:tcPr>
            <w:tcW w:w="2070" w:type="dxa"/>
          </w:tcPr>
          <w:p w14:paraId="3DEC9FE6"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21-25</w:t>
            </w:r>
          </w:p>
        </w:tc>
        <w:tc>
          <w:tcPr>
            <w:tcW w:w="1980" w:type="dxa"/>
          </w:tcPr>
          <w:p w14:paraId="39BF1E49"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21</w:t>
            </w:r>
          </w:p>
        </w:tc>
        <w:tc>
          <w:tcPr>
            <w:tcW w:w="2160" w:type="dxa"/>
          </w:tcPr>
          <w:p w14:paraId="73F9A74A" w14:textId="77777777" w:rsidR="00810BD0" w:rsidRPr="004E247D" w:rsidRDefault="00810BD0" w:rsidP="00953A5B">
            <w:pPr>
              <w:jc w:val="center"/>
              <w:rPr>
                <w:color w:val="000000" w:themeColor="text1"/>
                <w:sz w:val="24"/>
                <w:szCs w:val="24"/>
              </w:rPr>
            </w:pPr>
            <w:r w:rsidRPr="004E247D">
              <w:rPr>
                <w:color w:val="000000" w:themeColor="text1"/>
                <w:sz w:val="24"/>
                <w:szCs w:val="24"/>
              </w:rPr>
              <w:t>45.65</w:t>
            </w:r>
          </w:p>
        </w:tc>
      </w:tr>
      <w:tr w:rsidR="00810BD0" w:rsidRPr="004E247D" w14:paraId="1E867AB4" w14:textId="77777777" w:rsidTr="00810BD0">
        <w:tc>
          <w:tcPr>
            <w:tcW w:w="2070" w:type="dxa"/>
          </w:tcPr>
          <w:p w14:paraId="7D6FE469"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16-20</w:t>
            </w:r>
          </w:p>
        </w:tc>
        <w:tc>
          <w:tcPr>
            <w:tcW w:w="1980" w:type="dxa"/>
          </w:tcPr>
          <w:p w14:paraId="489A84BC"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24</w:t>
            </w:r>
          </w:p>
        </w:tc>
        <w:tc>
          <w:tcPr>
            <w:tcW w:w="2160" w:type="dxa"/>
          </w:tcPr>
          <w:p w14:paraId="6AE2EC0C" w14:textId="77777777" w:rsidR="00810BD0" w:rsidRPr="004E247D" w:rsidRDefault="00810BD0" w:rsidP="00953A5B">
            <w:pPr>
              <w:jc w:val="center"/>
              <w:rPr>
                <w:color w:val="000000" w:themeColor="text1"/>
                <w:sz w:val="24"/>
                <w:szCs w:val="24"/>
              </w:rPr>
            </w:pPr>
            <w:r w:rsidRPr="004E247D">
              <w:rPr>
                <w:color w:val="000000" w:themeColor="text1"/>
                <w:sz w:val="24"/>
                <w:szCs w:val="24"/>
              </w:rPr>
              <w:t>52.17</w:t>
            </w:r>
          </w:p>
        </w:tc>
      </w:tr>
      <w:tr w:rsidR="00810BD0" w:rsidRPr="004E247D" w14:paraId="4378B967" w14:textId="77777777" w:rsidTr="00810BD0">
        <w:tc>
          <w:tcPr>
            <w:tcW w:w="2070" w:type="dxa"/>
            <w:tcBorders>
              <w:bottom w:val="single" w:sz="4" w:space="0" w:color="auto"/>
            </w:tcBorders>
          </w:tcPr>
          <w:p w14:paraId="281E0610" w14:textId="77777777" w:rsidR="00810BD0" w:rsidRPr="004E247D" w:rsidRDefault="00810BD0" w:rsidP="00953A5B">
            <w:pPr>
              <w:spacing w:line="360" w:lineRule="auto"/>
              <w:jc w:val="center"/>
              <w:rPr>
                <w:b/>
                <w:color w:val="000000" w:themeColor="text1"/>
                <w:sz w:val="24"/>
                <w:szCs w:val="24"/>
              </w:rPr>
            </w:pPr>
            <w:r w:rsidRPr="004E247D">
              <w:rPr>
                <w:b/>
                <w:color w:val="000000" w:themeColor="text1"/>
                <w:sz w:val="24"/>
                <w:szCs w:val="24"/>
              </w:rPr>
              <w:t>Total</w:t>
            </w:r>
          </w:p>
        </w:tc>
        <w:tc>
          <w:tcPr>
            <w:tcW w:w="1980" w:type="dxa"/>
            <w:tcBorders>
              <w:bottom w:val="single" w:sz="4" w:space="0" w:color="auto"/>
            </w:tcBorders>
          </w:tcPr>
          <w:p w14:paraId="22DB4FE8" w14:textId="77777777" w:rsidR="00810BD0" w:rsidRPr="004E247D" w:rsidRDefault="00810BD0" w:rsidP="00953A5B">
            <w:pPr>
              <w:spacing w:line="360" w:lineRule="auto"/>
              <w:jc w:val="center"/>
              <w:rPr>
                <w:b/>
                <w:color w:val="000000" w:themeColor="text1"/>
                <w:sz w:val="24"/>
                <w:szCs w:val="24"/>
              </w:rPr>
            </w:pPr>
            <w:r w:rsidRPr="004E247D">
              <w:rPr>
                <w:b/>
                <w:color w:val="000000" w:themeColor="text1"/>
                <w:sz w:val="24"/>
                <w:szCs w:val="24"/>
              </w:rPr>
              <w:t>46</w:t>
            </w:r>
          </w:p>
        </w:tc>
        <w:tc>
          <w:tcPr>
            <w:tcW w:w="2160" w:type="dxa"/>
            <w:tcBorders>
              <w:bottom w:val="single" w:sz="4" w:space="0" w:color="auto"/>
            </w:tcBorders>
          </w:tcPr>
          <w:p w14:paraId="529544AE" w14:textId="77777777" w:rsidR="00810BD0" w:rsidRPr="004E247D" w:rsidRDefault="00810BD0" w:rsidP="00953A5B">
            <w:pPr>
              <w:jc w:val="center"/>
              <w:rPr>
                <w:b/>
                <w:color w:val="000000" w:themeColor="text1"/>
                <w:sz w:val="24"/>
                <w:szCs w:val="24"/>
              </w:rPr>
            </w:pPr>
            <w:r w:rsidRPr="004E247D">
              <w:rPr>
                <w:b/>
                <w:color w:val="000000" w:themeColor="text1"/>
                <w:sz w:val="24"/>
                <w:szCs w:val="24"/>
              </w:rPr>
              <w:t>100.00</w:t>
            </w:r>
          </w:p>
        </w:tc>
      </w:tr>
    </w:tbl>
    <w:p w14:paraId="51383530" w14:textId="3B900FF3" w:rsidR="00C66AFC" w:rsidRPr="004E247D" w:rsidRDefault="00C66AFC" w:rsidP="00C66AFC">
      <w:pPr>
        <w:spacing w:before="240" w:after="240"/>
        <w:ind w:firstLine="720"/>
        <w:jc w:val="both"/>
        <w:rPr>
          <w:color w:val="000000" w:themeColor="text1"/>
          <w:sz w:val="24"/>
          <w:szCs w:val="24"/>
          <w:lang w:val="en-PH"/>
        </w:rPr>
      </w:pPr>
      <w:r w:rsidRPr="004E247D">
        <w:rPr>
          <w:color w:val="000000" w:themeColor="text1"/>
          <w:sz w:val="24"/>
          <w:szCs w:val="24"/>
          <w:lang w:val="en-PH"/>
        </w:rPr>
        <w:t>The data in Table 2 indicate that the majority of the respondents were aged 16–20 years, comprising 52.17% of the total sample, followed by those aged 21–25 years at 45.65%. Only a small proportion, 2.17%, belonged to the 26 years and above category. This distribution suggests that the respondents were predominantly within the younger age bracket, which is typical of students enrolled in undergraduate programs. The concentration of participants in the 16–25 age range implies that most are in the early stages of their higher education, where foundational knowledge and skills are still being developed.</w:t>
      </w:r>
    </w:p>
    <w:p w14:paraId="279C8B13" w14:textId="77777777" w:rsidR="00C66AFC" w:rsidRPr="004E247D" w:rsidRDefault="00C66AFC" w:rsidP="00C66AFC">
      <w:pPr>
        <w:spacing w:before="240" w:after="240"/>
        <w:ind w:firstLine="720"/>
        <w:jc w:val="both"/>
        <w:rPr>
          <w:color w:val="000000" w:themeColor="text1"/>
          <w:sz w:val="24"/>
          <w:szCs w:val="24"/>
          <w:lang w:val="en-PH"/>
        </w:rPr>
      </w:pPr>
      <w:r w:rsidRPr="004E247D">
        <w:rPr>
          <w:color w:val="000000" w:themeColor="text1"/>
          <w:sz w:val="24"/>
          <w:szCs w:val="24"/>
          <w:lang w:val="en-PH"/>
        </w:rPr>
        <w:t>Overall, the findings reflect a relatively homogeneous age distribution dominated by younger learners, which provides a focused context for interpreting the study’s results. This suggests that the conclusions drawn are most applicable to college welding students within this common age range, particularly those transitioning directly from Senior High School to higher education.</w:t>
      </w:r>
    </w:p>
    <w:p w14:paraId="671BF785" w14:textId="51398B29" w:rsidR="00810BD0" w:rsidRPr="004E247D" w:rsidRDefault="00810BD0" w:rsidP="00C66AFC">
      <w:pPr>
        <w:spacing w:before="240" w:after="240"/>
        <w:jc w:val="both"/>
        <w:rPr>
          <w:b/>
          <w:bCs/>
          <w:color w:val="000000" w:themeColor="text1"/>
          <w:sz w:val="24"/>
          <w:szCs w:val="24"/>
          <w:lang w:val="en-PH"/>
        </w:rPr>
      </w:pPr>
      <w:r w:rsidRPr="004E247D">
        <w:rPr>
          <w:b/>
          <w:bCs/>
          <w:color w:val="000000" w:themeColor="text1"/>
          <w:sz w:val="24"/>
          <w:szCs w:val="24"/>
          <w:lang w:val="en-PH"/>
        </w:rPr>
        <w:t xml:space="preserve">Gender </w:t>
      </w:r>
    </w:p>
    <w:p w14:paraId="7770E887" w14:textId="77777777" w:rsidR="00FB46F9" w:rsidRPr="004E247D" w:rsidRDefault="00FB46F9" w:rsidP="00FB46F9">
      <w:pPr>
        <w:spacing w:before="240" w:after="240"/>
        <w:ind w:firstLine="720"/>
        <w:jc w:val="both"/>
        <w:rPr>
          <w:color w:val="000000" w:themeColor="text1"/>
          <w:sz w:val="24"/>
          <w:szCs w:val="24"/>
        </w:rPr>
      </w:pPr>
      <w:r w:rsidRPr="004E247D">
        <w:rPr>
          <w:color w:val="000000" w:themeColor="text1"/>
          <w:sz w:val="24"/>
          <w:szCs w:val="24"/>
        </w:rPr>
        <w:t xml:space="preserve">The frequency and percentage distribution of respondents according to gender are presented, showing the proportion of male and female participants in the study. This provides an overview of the gender composition of the sample, which is essential in understanding the demographic profile of the respondents involved in the </w:t>
      </w:r>
      <w:r w:rsidRPr="004E247D">
        <w:rPr>
          <w:color w:val="000000" w:themeColor="text1"/>
          <w:sz w:val="24"/>
          <w:szCs w:val="24"/>
        </w:rPr>
        <w:lastRenderedPageBreak/>
        <w:t>study, as shown in Table 3.</w:t>
      </w:r>
    </w:p>
    <w:p w14:paraId="3E8602A1" w14:textId="09A41972" w:rsidR="00810BD0" w:rsidRPr="004E247D" w:rsidRDefault="00810BD0" w:rsidP="00810BD0">
      <w:pPr>
        <w:spacing w:before="240" w:after="240"/>
        <w:jc w:val="both"/>
        <w:rPr>
          <w:b/>
          <w:bCs/>
          <w:color w:val="000000" w:themeColor="text1"/>
          <w:sz w:val="24"/>
          <w:szCs w:val="24"/>
          <w:lang w:val="en-PH"/>
        </w:rPr>
      </w:pPr>
      <w:r w:rsidRPr="004E247D">
        <w:rPr>
          <w:b/>
          <w:bCs/>
          <w:color w:val="000000" w:themeColor="text1"/>
          <w:sz w:val="24"/>
          <w:szCs w:val="24"/>
          <w:lang w:val="en-PH"/>
        </w:rPr>
        <w:t>Table 3. Gender of the Respondents</w:t>
      </w:r>
    </w:p>
    <w:tbl>
      <w:tblPr>
        <w:tblW w:w="0" w:type="auto"/>
        <w:tblLook w:val="04A0" w:firstRow="1" w:lastRow="0" w:firstColumn="1" w:lastColumn="0" w:noHBand="0" w:noVBand="1"/>
      </w:tblPr>
      <w:tblGrid>
        <w:gridCol w:w="2070"/>
        <w:gridCol w:w="1980"/>
        <w:gridCol w:w="2160"/>
      </w:tblGrid>
      <w:tr w:rsidR="00810BD0" w:rsidRPr="004E247D" w14:paraId="2B6E81D8" w14:textId="77777777" w:rsidTr="00810BD0">
        <w:tc>
          <w:tcPr>
            <w:tcW w:w="2070" w:type="dxa"/>
            <w:tcBorders>
              <w:top w:val="single" w:sz="4" w:space="0" w:color="auto"/>
              <w:bottom w:val="single" w:sz="4" w:space="0" w:color="auto"/>
            </w:tcBorders>
          </w:tcPr>
          <w:p w14:paraId="1E2E9541"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Gender</w:t>
            </w:r>
          </w:p>
        </w:tc>
        <w:tc>
          <w:tcPr>
            <w:tcW w:w="1980" w:type="dxa"/>
            <w:tcBorders>
              <w:top w:val="single" w:sz="4" w:space="0" w:color="auto"/>
              <w:bottom w:val="single" w:sz="4" w:space="0" w:color="auto"/>
            </w:tcBorders>
          </w:tcPr>
          <w:p w14:paraId="7C20A412"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f</w:t>
            </w:r>
          </w:p>
        </w:tc>
        <w:tc>
          <w:tcPr>
            <w:tcW w:w="2160" w:type="dxa"/>
            <w:tcBorders>
              <w:top w:val="single" w:sz="4" w:space="0" w:color="auto"/>
              <w:bottom w:val="single" w:sz="4" w:space="0" w:color="auto"/>
            </w:tcBorders>
          </w:tcPr>
          <w:p w14:paraId="0B432EFE" w14:textId="77777777" w:rsidR="00810BD0" w:rsidRPr="004E247D" w:rsidRDefault="00810BD0" w:rsidP="00953A5B">
            <w:pPr>
              <w:spacing w:line="360" w:lineRule="auto"/>
              <w:jc w:val="center"/>
              <w:rPr>
                <w:b/>
                <w:bCs/>
                <w:color w:val="000000" w:themeColor="text1"/>
                <w:sz w:val="24"/>
                <w:szCs w:val="24"/>
              </w:rPr>
            </w:pPr>
            <w:r w:rsidRPr="004E247D">
              <w:rPr>
                <w:b/>
                <w:bCs/>
                <w:color w:val="000000" w:themeColor="text1"/>
                <w:sz w:val="24"/>
                <w:szCs w:val="24"/>
              </w:rPr>
              <w:t>%</w:t>
            </w:r>
          </w:p>
        </w:tc>
      </w:tr>
      <w:tr w:rsidR="00810BD0" w:rsidRPr="004E247D" w14:paraId="6C5CD04C" w14:textId="77777777" w:rsidTr="00810BD0">
        <w:tc>
          <w:tcPr>
            <w:tcW w:w="2070" w:type="dxa"/>
          </w:tcPr>
          <w:p w14:paraId="4977FE74"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Female</w:t>
            </w:r>
          </w:p>
        </w:tc>
        <w:tc>
          <w:tcPr>
            <w:tcW w:w="1980" w:type="dxa"/>
          </w:tcPr>
          <w:p w14:paraId="1B6990D1"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28</w:t>
            </w:r>
          </w:p>
        </w:tc>
        <w:tc>
          <w:tcPr>
            <w:tcW w:w="2160" w:type="dxa"/>
          </w:tcPr>
          <w:p w14:paraId="3BE57240" w14:textId="77777777" w:rsidR="00810BD0" w:rsidRPr="004E247D" w:rsidRDefault="00810BD0" w:rsidP="00953A5B">
            <w:pPr>
              <w:jc w:val="center"/>
              <w:rPr>
                <w:color w:val="000000" w:themeColor="text1"/>
                <w:sz w:val="24"/>
                <w:szCs w:val="24"/>
              </w:rPr>
            </w:pPr>
            <w:r w:rsidRPr="004E247D">
              <w:rPr>
                <w:color w:val="000000" w:themeColor="text1"/>
                <w:sz w:val="24"/>
                <w:szCs w:val="24"/>
              </w:rPr>
              <w:t>60.87</w:t>
            </w:r>
          </w:p>
        </w:tc>
      </w:tr>
      <w:tr w:rsidR="00810BD0" w:rsidRPr="004E247D" w14:paraId="2CBD1C1F" w14:textId="77777777" w:rsidTr="00810BD0">
        <w:tc>
          <w:tcPr>
            <w:tcW w:w="2070" w:type="dxa"/>
          </w:tcPr>
          <w:p w14:paraId="3FAFE5A7"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Male</w:t>
            </w:r>
          </w:p>
        </w:tc>
        <w:tc>
          <w:tcPr>
            <w:tcW w:w="1980" w:type="dxa"/>
          </w:tcPr>
          <w:p w14:paraId="5A09FCD3" w14:textId="77777777" w:rsidR="00810BD0" w:rsidRPr="004E247D" w:rsidRDefault="00810BD0" w:rsidP="00953A5B">
            <w:pPr>
              <w:spacing w:line="360" w:lineRule="auto"/>
              <w:jc w:val="center"/>
              <w:rPr>
                <w:color w:val="000000" w:themeColor="text1"/>
                <w:sz w:val="24"/>
                <w:szCs w:val="24"/>
              </w:rPr>
            </w:pPr>
            <w:r w:rsidRPr="004E247D">
              <w:rPr>
                <w:color w:val="000000" w:themeColor="text1"/>
                <w:sz w:val="24"/>
                <w:szCs w:val="24"/>
              </w:rPr>
              <w:t>18</w:t>
            </w:r>
          </w:p>
        </w:tc>
        <w:tc>
          <w:tcPr>
            <w:tcW w:w="2160" w:type="dxa"/>
          </w:tcPr>
          <w:p w14:paraId="4C351D98" w14:textId="77777777" w:rsidR="00810BD0" w:rsidRPr="004E247D" w:rsidRDefault="00810BD0" w:rsidP="00953A5B">
            <w:pPr>
              <w:jc w:val="center"/>
              <w:rPr>
                <w:color w:val="000000" w:themeColor="text1"/>
                <w:sz w:val="24"/>
                <w:szCs w:val="24"/>
              </w:rPr>
            </w:pPr>
            <w:r w:rsidRPr="004E247D">
              <w:rPr>
                <w:color w:val="000000" w:themeColor="text1"/>
                <w:sz w:val="24"/>
                <w:szCs w:val="24"/>
              </w:rPr>
              <w:t>39.13</w:t>
            </w:r>
          </w:p>
        </w:tc>
      </w:tr>
      <w:tr w:rsidR="00810BD0" w:rsidRPr="004E247D" w14:paraId="2336132F" w14:textId="77777777" w:rsidTr="00810BD0">
        <w:tc>
          <w:tcPr>
            <w:tcW w:w="2070" w:type="dxa"/>
            <w:tcBorders>
              <w:bottom w:val="single" w:sz="4" w:space="0" w:color="auto"/>
            </w:tcBorders>
          </w:tcPr>
          <w:p w14:paraId="6DECAB2C" w14:textId="77777777" w:rsidR="00810BD0" w:rsidRPr="004E247D" w:rsidRDefault="00810BD0" w:rsidP="00953A5B">
            <w:pPr>
              <w:spacing w:line="360" w:lineRule="auto"/>
              <w:jc w:val="center"/>
              <w:rPr>
                <w:b/>
                <w:color w:val="000000" w:themeColor="text1"/>
                <w:sz w:val="24"/>
                <w:szCs w:val="24"/>
              </w:rPr>
            </w:pPr>
            <w:r w:rsidRPr="004E247D">
              <w:rPr>
                <w:b/>
                <w:color w:val="000000" w:themeColor="text1"/>
                <w:sz w:val="24"/>
                <w:szCs w:val="24"/>
              </w:rPr>
              <w:t>Total</w:t>
            </w:r>
          </w:p>
        </w:tc>
        <w:tc>
          <w:tcPr>
            <w:tcW w:w="1980" w:type="dxa"/>
            <w:tcBorders>
              <w:bottom w:val="single" w:sz="4" w:space="0" w:color="auto"/>
            </w:tcBorders>
          </w:tcPr>
          <w:p w14:paraId="2B6FB5FD" w14:textId="77777777" w:rsidR="00810BD0" w:rsidRPr="004E247D" w:rsidRDefault="00810BD0" w:rsidP="00953A5B">
            <w:pPr>
              <w:spacing w:line="360" w:lineRule="auto"/>
              <w:jc w:val="center"/>
              <w:rPr>
                <w:b/>
                <w:color w:val="000000" w:themeColor="text1"/>
                <w:sz w:val="24"/>
                <w:szCs w:val="24"/>
              </w:rPr>
            </w:pPr>
            <w:r w:rsidRPr="004E247D">
              <w:rPr>
                <w:b/>
                <w:color w:val="000000" w:themeColor="text1"/>
                <w:sz w:val="24"/>
                <w:szCs w:val="24"/>
              </w:rPr>
              <w:t>46</w:t>
            </w:r>
          </w:p>
        </w:tc>
        <w:tc>
          <w:tcPr>
            <w:tcW w:w="2160" w:type="dxa"/>
            <w:tcBorders>
              <w:bottom w:val="single" w:sz="4" w:space="0" w:color="auto"/>
            </w:tcBorders>
          </w:tcPr>
          <w:p w14:paraId="77A58040" w14:textId="77777777" w:rsidR="00810BD0" w:rsidRPr="004E247D" w:rsidRDefault="00810BD0" w:rsidP="00953A5B">
            <w:pPr>
              <w:jc w:val="center"/>
              <w:rPr>
                <w:b/>
                <w:color w:val="000000" w:themeColor="text1"/>
                <w:sz w:val="24"/>
                <w:szCs w:val="24"/>
              </w:rPr>
            </w:pPr>
            <w:r w:rsidRPr="004E247D">
              <w:rPr>
                <w:b/>
                <w:color w:val="000000" w:themeColor="text1"/>
                <w:sz w:val="24"/>
                <w:szCs w:val="24"/>
              </w:rPr>
              <w:t>100.00</w:t>
            </w:r>
          </w:p>
        </w:tc>
      </w:tr>
    </w:tbl>
    <w:p w14:paraId="245112A5" w14:textId="77777777" w:rsidR="008A2F3E" w:rsidRPr="004E247D" w:rsidRDefault="008A2F3E" w:rsidP="008A2F3E">
      <w:pPr>
        <w:spacing w:before="240" w:after="240"/>
        <w:ind w:firstLine="720"/>
        <w:jc w:val="both"/>
        <w:rPr>
          <w:color w:val="000000" w:themeColor="text1"/>
          <w:sz w:val="24"/>
          <w:szCs w:val="24"/>
          <w:lang w:val="en-PH"/>
        </w:rPr>
      </w:pPr>
      <w:r w:rsidRPr="004E247D">
        <w:rPr>
          <w:color w:val="000000" w:themeColor="text1"/>
          <w:sz w:val="24"/>
          <w:szCs w:val="24"/>
          <w:lang w:val="en-PH"/>
        </w:rPr>
        <w:t>The data presented in Table 3 show that the majority of the respondents were female, comprising 60.87% (f = 28) of the total sample, while male respondents accounted for 39.13% (f = 18). This indicates that female participants outnumbered their male counterparts in the study population. The distribution suggests a relatively uneven representation in terms of gender, with a higher participation rate among female students.</w:t>
      </w:r>
    </w:p>
    <w:p w14:paraId="55836B20" w14:textId="77777777" w:rsidR="008A2F3E" w:rsidRPr="004E247D" w:rsidRDefault="008A2F3E" w:rsidP="008A2F3E">
      <w:pPr>
        <w:spacing w:before="240" w:after="240"/>
        <w:ind w:firstLine="720"/>
        <w:jc w:val="both"/>
        <w:rPr>
          <w:color w:val="000000" w:themeColor="text1"/>
          <w:sz w:val="24"/>
          <w:szCs w:val="24"/>
          <w:lang w:val="en-PH"/>
        </w:rPr>
      </w:pPr>
      <w:r w:rsidRPr="004E247D">
        <w:rPr>
          <w:color w:val="000000" w:themeColor="text1"/>
          <w:sz w:val="24"/>
          <w:szCs w:val="24"/>
          <w:lang w:val="en-PH"/>
        </w:rPr>
        <w:t>Overall, the findings indicate that the study is primarily represented by female respondents, which may influence the interpretation of results in relation to gender-related differences in learning experiences, competencies, and perceptions of differentiated instruction.</w:t>
      </w:r>
    </w:p>
    <w:p w14:paraId="358C60FC" w14:textId="50F614EF" w:rsidR="004E38A0" w:rsidRPr="004E247D" w:rsidRDefault="004E38A0" w:rsidP="003614AD">
      <w:pPr>
        <w:spacing w:before="240" w:after="240"/>
        <w:jc w:val="both"/>
        <w:rPr>
          <w:b/>
          <w:bCs/>
          <w:color w:val="000000" w:themeColor="text1"/>
          <w:sz w:val="24"/>
          <w:szCs w:val="24"/>
          <w:lang w:val="en-PH"/>
        </w:rPr>
      </w:pPr>
      <w:r w:rsidRPr="004E247D">
        <w:rPr>
          <w:b/>
          <w:bCs/>
          <w:color w:val="000000" w:themeColor="text1"/>
          <w:sz w:val="24"/>
          <w:szCs w:val="24"/>
          <w:lang w:val="en-PH"/>
        </w:rPr>
        <w:t>Year Level</w:t>
      </w:r>
    </w:p>
    <w:p w14:paraId="5C985E31" w14:textId="18F3C512" w:rsidR="00A11CBD" w:rsidRPr="004E247D" w:rsidRDefault="00A11CBD" w:rsidP="00A11CBD">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Table </w:t>
      </w:r>
      <w:r w:rsidR="00FB46F9" w:rsidRPr="004E247D">
        <w:rPr>
          <w:color w:val="000000" w:themeColor="text1"/>
          <w:sz w:val="24"/>
          <w:szCs w:val="24"/>
          <w:lang w:val="en-PH"/>
        </w:rPr>
        <w:t>4</w:t>
      </w:r>
      <w:r w:rsidRPr="004E247D">
        <w:rPr>
          <w:color w:val="000000" w:themeColor="text1"/>
          <w:sz w:val="24"/>
          <w:szCs w:val="24"/>
          <w:lang w:val="en-PH"/>
        </w:rPr>
        <w:t xml:space="preserve"> presents the distribution of respondents according to their respective year levels, along with the corresponding percentages for each category. It illustrates the number of participants coming from first-year, second-year, third-year, and fourth-year levels, thereby showing how the sample is spread across different stages of academic progression. This information provides a clearer understanding of how respondents from various year levels are represented in the study. Moreover, it indicates that the data were gathered from students who have already been exposed to welding and fabrication-related subjects, ensuring relevance to the research focus.</w:t>
      </w:r>
    </w:p>
    <w:p w14:paraId="7B0BCA3E" w14:textId="1D6ED55E" w:rsidR="002B7D4A" w:rsidRPr="004E247D" w:rsidRDefault="002B7D4A" w:rsidP="002B7D4A">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FB46F9" w:rsidRPr="004E247D">
        <w:rPr>
          <w:b/>
          <w:bCs/>
          <w:color w:val="000000" w:themeColor="text1"/>
          <w:sz w:val="24"/>
          <w:szCs w:val="24"/>
          <w:lang w:val="en-PH"/>
        </w:rPr>
        <w:t>4</w:t>
      </w:r>
      <w:r w:rsidRPr="004E247D">
        <w:rPr>
          <w:b/>
          <w:bCs/>
          <w:color w:val="000000" w:themeColor="text1"/>
          <w:sz w:val="24"/>
          <w:szCs w:val="24"/>
          <w:lang w:val="en-PH"/>
        </w:rPr>
        <w:t>. Year Level of the Respondents</w:t>
      </w:r>
    </w:p>
    <w:tbl>
      <w:tblPr>
        <w:tblW w:w="5755" w:type="dxa"/>
        <w:tblLook w:val="04A0" w:firstRow="1" w:lastRow="0" w:firstColumn="1" w:lastColumn="0" w:noHBand="0" w:noVBand="1"/>
      </w:tblPr>
      <w:tblGrid>
        <w:gridCol w:w="2245"/>
        <w:gridCol w:w="1800"/>
        <w:gridCol w:w="1710"/>
      </w:tblGrid>
      <w:tr w:rsidR="004E38A0" w:rsidRPr="004E247D" w14:paraId="7B5C6A41" w14:textId="77777777" w:rsidTr="002B7D4A">
        <w:trPr>
          <w:trHeight w:val="288"/>
        </w:trPr>
        <w:tc>
          <w:tcPr>
            <w:tcW w:w="2245" w:type="dxa"/>
            <w:tcBorders>
              <w:top w:val="single" w:sz="4" w:space="0" w:color="auto"/>
              <w:bottom w:val="single" w:sz="4" w:space="0" w:color="auto"/>
            </w:tcBorders>
            <w:noWrap/>
            <w:vAlign w:val="center"/>
            <w:hideMark/>
          </w:tcPr>
          <w:p w14:paraId="5129F079"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 xml:space="preserve">Year Level </w:t>
            </w:r>
          </w:p>
        </w:tc>
        <w:tc>
          <w:tcPr>
            <w:tcW w:w="1800" w:type="dxa"/>
            <w:tcBorders>
              <w:top w:val="single" w:sz="4" w:space="0" w:color="auto"/>
              <w:bottom w:val="single" w:sz="4" w:space="0" w:color="auto"/>
            </w:tcBorders>
            <w:noWrap/>
            <w:vAlign w:val="center"/>
            <w:hideMark/>
          </w:tcPr>
          <w:p w14:paraId="50FB395B"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f</w:t>
            </w:r>
          </w:p>
        </w:tc>
        <w:tc>
          <w:tcPr>
            <w:tcW w:w="1710" w:type="dxa"/>
            <w:tcBorders>
              <w:top w:val="single" w:sz="4" w:space="0" w:color="auto"/>
              <w:bottom w:val="single" w:sz="4" w:space="0" w:color="auto"/>
            </w:tcBorders>
            <w:noWrap/>
            <w:vAlign w:val="center"/>
            <w:hideMark/>
          </w:tcPr>
          <w:p w14:paraId="50D44B5F"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w:t>
            </w:r>
          </w:p>
        </w:tc>
      </w:tr>
      <w:tr w:rsidR="004E38A0" w:rsidRPr="004E247D" w14:paraId="6CDE5503" w14:textId="77777777" w:rsidTr="002B7D4A">
        <w:trPr>
          <w:trHeight w:val="288"/>
        </w:trPr>
        <w:tc>
          <w:tcPr>
            <w:tcW w:w="2245" w:type="dxa"/>
            <w:tcBorders>
              <w:top w:val="single" w:sz="4" w:space="0" w:color="auto"/>
            </w:tcBorders>
            <w:noWrap/>
            <w:vAlign w:val="center"/>
            <w:hideMark/>
          </w:tcPr>
          <w:p w14:paraId="23652B4A" w14:textId="77777777" w:rsidR="004E38A0" w:rsidRPr="004E247D" w:rsidRDefault="004E38A0" w:rsidP="007233F6">
            <w:pPr>
              <w:jc w:val="center"/>
              <w:rPr>
                <w:color w:val="000000" w:themeColor="text1"/>
                <w:sz w:val="24"/>
                <w:szCs w:val="24"/>
              </w:rPr>
            </w:pPr>
            <w:r w:rsidRPr="004E247D">
              <w:rPr>
                <w:color w:val="000000" w:themeColor="text1"/>
                <w:sz w:val="24"/>
                <w:szCs w:val="24"/>
              </w:rPr>
              <w:t>4th Year</w:t>
            </w:r>
          </w:p>
        </w:tc>
        <w:tc>
          <w:tcPr>
            <w:tcW w:w="1800" w:type="dxa"/>
            <w:tcBorders>
              <w:top w:val="single" w:sz="4" w:space="0" w:color="auto"/>
            </w:tcBorders>
            <w:noWrap/>
            <w:vAlign w:val="center"/>
            <w:hideMark/>
          </w:tcPr>
          <w:p w14:paraId="7B3A6A1B" w14:textId="77777777" w:rsidR="004E38A0" w:rsidRPr="004E247D" w:rsidRDefault="004E38A0" w:rsidP="007233F6">
            <w:pPr>
              <w:jc w:val="center"/>
              <w:rPr>
                <w:color w:val="000000" w:themeColor="text1"/>
                <w:sz w:val="24"/>
                <w:szCs w:val="24"/>
              </w:rPr>
            </w:pPr>
            <w:r w:rsidRPr="004E247D">
              <w:rPr>
                <w:color w:val="000000" w:themeColor="text1"/>
                <w:sz w:val="24"/>
                <w:szCs w:val="24"/>
              </w:rPr>
              <w:t>11</w:t>
            </w:r>
          </w:p>
        </w:tc>
        <w:tc>
          <w:tcPr>
            <w:tcW w:w="1710" w:type="dxa"/>
            <w:tcBorders>
              <w:top w:val="single" w:sz="4" w:space="0" w:color="auto"/>
            </w:tcBorders>
            <w:noWrap/>
            <w:vAlign w:val="center"/>
            <w:hideMark/>
          </w:tcPr>
          <w:p w14:paraId="0B057ECE" w14:textId="77777777" w:rsidR="004E38A0" w:rsidRPr="004E247D" w:rsidRDefault="004E38A0" w:rsidP="007233F6">
            <w:pPr>
              <w:jc w:val="center"/>
              <w:rPr>
                <w:color w:val="000000" w:themeColor="text1"/>
                <w:sz w:val="24"/>
                <w:szCs w:val="24"/>
              </w:rPr>
            </w:pPr>
            <w:r w:rsidRPr="004E247D">
              <w:rPr>
                <w:color w:val="000000" w:themeColor="text1"/>
                <w:sz w:val="24"/>
                <w:szCs w:val="24"/>
              </w:rPr>
              <w:t>23.91</w:t>
            </w:r>
          </w:p>
        </w:tc>
      </w:tr>
      <w:tr w:rsidR="004E38A0" w:rsidRPr="004E247D" w14:paraId="624A67B4" w14:textId="77777777" w:rsidTr="002B7D4A">
        <w:trPr>
          <w:trHeight w:val="288"/>
        </w:trPr>
        <w:tc>
          <w:tcPr>
            <w:tcW w:w="2245" w:type="dxa"/>
            <w:noWrap/>
            <w:vAlign w:val="center"/>
            <w:hideMark/>
          </w:tcPr>
          <w:p w14:paraId="28704C6D" w14:textId="77777777" w:rsidR="004E38A0" w:rsidRPr="004E247D" w:rsidRDefault="004E38A0" w:rsidP="007233F6">
            <w:pPr>
              <w:jc w:val="center"/>
              <w:rPr>
                <w:color w:val="000000" w:themeColor="text1"/>
                <w:sz w:val="24"/>
                <w:szCs w:val="24"/>
              </w:rPr>
            </w:pPr>
            <w:r w:rsidRPr="004E247D">
              <w:rPr>
                <w:color w:val="000000" w:themeColor="text1"/>
                <w:sz w:val="24"/>
                <w:szCs w:val="24"/>
              </w:rPr>
              <w:t>3rd Year</w:t>
            </w:r>
          </w:p>
        </w:tc>
        <w:tc>
          <w:tcPr>
            <w:tcW w:w="1800" w:type="dxa"/>
            <w:noWrap/>
            <w:vAlign w:val="center"/>
            <w:hideMark/>
          </w:tcPr>
          <w:p w14:paraId="7730C0A5" w14:textId="77777777" w:rsidR="004E38A0" w:rsidRPr="004E247D" w:rsidRDefault="004E38A0" w:rsidP="007233F6">
            <w:pPr>
              <w:jc w:val="center"/>
              <w:rPr>
                <w:color w:val="000000" w:themeColor="text1"/>
                <w:sz w:val="24"/>
                <w:szCs w:val="24"/>
              </w:rPr>
            </w:pPr>
            <w:r w:rsidRPr="004E247D">
              <w:rPr>
                <w:color w:val="000000" w:themeColor="text1"/>
                <w:sz w:val="24"/>
                <w:szCs w:val="24"/>
              </w:rPr>
              <w:t>13</w:t>
            </w:r>
          </w:p>
        </w:tc>
        <w:tc>
          <w:tcPr>
            <w:tcW w:w="1710" w:type="dxa"/>
            <w:noWrap/>
            <w:vAlign w:val="center"/>
            <w:hideMark/>
          </w:tcPr>
          <w:p w14:paraId="245B6BFC" w14:textId="77777777" w:rsidR="004E38A0" w:rsidRPr="004E247D" w:rsidRDefault="004E38A0" w:rsidP="007233F6">
            <w:pPr>
              <w:jc w:val="center"/>
              <w:rPr>
                <w:color w:val="000000" w:themeColor="text1"/>
                <w:sz w:val="24"/>
                <w:szCs w:val="24"/>
              </w:rPr>
            </w:pPr>
            <w:r w:rsidRPr="004E247D">
              <w:rPr>
                <w:color w:val="000000" w:themeColor="text1"/>
                <w:sz w:val="24"/>
                <w:szCs w:val="24"/>
              </w:rPr>
              <w:t>28.26</w:t>
            </w:r>
          </w:p>
        </w:tc>
      </w:tr>
      <w:tr w:rsidR="004E38A0" w:rsidRPr="004E247D" w14:paraId="37A77EAE" w14:textId="77777777" w:rsidTr="002B7D4A">
        <w:trPr>
          <w:trHeight w:val="288"/>
        </w:trPr>
        <w:tc>
          <w:tcPr>
            <w:tcW w:w="2245" w:type="dxa"/>
            <w:noWrap/>
            <w:vAlign w:val="center"/>
            <w:hideMark/>
          </w:tcPr>
          <w:p w14:paraId="5B795754" w14:textId="77777777" w:rsidR="004E38A0" w:rsidRPr="004E247D" w:rsidRDefault="004E38A0" w:rsidP="007233F6">
            <w:pPr>
              <w:jc w:val="center"/>
              <w:rPr>
                <w:color w:val="000000" w:themeColor="text1"/>
                <w:sz w:val="24"/>
                <w:szCs w:val="24"/>
              </w:rPr>
            </w:pPr>
            <w:r w:rsidRPr="004E247D">
              <w:rPr>
                <w:color w:val="000000" w:themeColor="text1"/>
                <w:sz w:val="24"/>
                <w:szCs w:val="24"/>
              </w:rPr>
              <w:t>2nd Year</w:t>
            </w:r>
          </w:p>
        </w:tc>
        <w:tc>
          <w:tcPr>
            <w:tcW w:w="1800" w:type="dxa"/>
            <w:noWrap/>
            <w:vAlign w:val="center"/>
            <w:hideMark/>
          </w:tcPr>
          <w:p w14:paraId="591823C8" w14:textId="77777777" w:rsidR="004E38A0" w:rsidRPr="004E247D" w:rsidRDefault="004E38A0" w:rsidP="007233F6">
            <w:pPr>
              <w:jc w:val="center"/>
              <w:rPr>
                <w:color w:val="000000" w:themeColor="text1"/>
                <w:sz w:val="24"/>
                <w:szCs w:val="24"/>
              </w:rPr>
            </w:pPr>
            <w:r w:rsidRPr="004E247D">
              <w:rPr>
                <w:color w:val="000000" w:themeColor="text1"/>
                <w:sz w:val="24"/>
                <w:szCs w:val="24"/>
              </w:rPr>
              <w:t>12</w:t>
            </w:r>
          </w:p>
        </w:tc>
        <w:tc>
          <w:tcPr>
            <w:tcW w:w="1710" w:type="dxa"/>
            <w:noWrap/>
            <w:vAlign w:val="center"/>
            <w:hideMark/>
          </w:tcPr>
          <w:p w14:paraId="0E218993" w14:textId="77777777" w:rsidR="004E38A0" w:rsidRPr="004E247D" w:rsidRDefault="004E38A0" w:rsidP="007233F6">
            <w:pPr>
              <w:jc w:val="center"/>
              <w:rPr>
                <w:color w:val="000000" w:themeColor="text1"/>
                <w:sz w:val="24"/>
                <w:szCs w:val="24"/>
              </w:rPr>
            </w:pPr>
            <w:r w:rsidRPr="004E247D">
              <w:rPr>
                <w:color w:val="000000" w:themeColor="text1"/>
                <w:sz w:val="24"/>
                <w:szCs w:val="24"/>
              </w:rPr>
              <w:t>26.09</w:t>
            </w:r>
          </w:p>
        </w:tc>
      </w:tr>
      <w:tr w:rsidR="004E38A0" w:rsidRPr="004E247D" w14:paraId="0F19C67D" w14:textId="77777777" w:rsidTr="002B7D4A">
        <w:trPr>
          <w:trHeight w:val="288"/>
        </w:trPr>
        <w:tc>
          <w:tcPr>
            <w:tcW w:w="2245" w:type="dxa"/>
            <w:noWrap/>
            <w:vAlign w:val="center"/>
            <w:hideMark/>
          </w:tcPr>
          <w:p w14:paraId="2FB3AE7B" w14:textId="77777777" w:rsidR="004E38A0" w:rsidRPr="004E247D" w:rsidRDefault="004E38A0" w:rsidP="007233F6">
            <w:pPr>
              <w:jc w:val="center"/>
              <w:rPr>
                <w:color w:val="000000" w:themeColor="text1"/>
                <w:sz w:val="24"/>
                <w:szCs w:val="24"/>
              </w:rPr>
            </w:pPr>
            <w:r w:rsidRPr="004E247D">
              <w:rPr>
                <w:color w:val="000000" w:themeColor="text1"/>
                <w:sz w:val="24"/>
                <w:szCs w:val="24"/>
              </w:rPr>
              <w:t>1st Year</w:t>
            </w:r>
          </w:p>
        </w:tc>
        <w:tc>
          <w:tcPr>
            <w:tcW w:w="1800" w:type="dxa"/>
            <w:noWrap/>
            <w:vAlign w:val="center"/>
            <w:hideMark/>
          </w:tcPr>
          <w:p w14:paraId="1B397349" w14:textId="77777777" w:rsidR="004E38A0" w:rsidRPr="004E247D" w:rsidRDefault="004E38A0" w:rsidP="007233F6">
            <w:pPr>
              <w:jc w:val="center"/>
              <w:rPr>
                <w:color w:val="000000" w:themeColor="text1"/>
                <w:sz w:val="24"/>
                <w:szCs w:val="24"/>
              </w:rPr>
            </w:pPr>
            <w:r w:rsidRPr="004E247D">
              <w:rPr>
                <w:color w:val="000000" w:themeColor="text1"/>
                <w:sz w:val="24"/>
                <w:szCs w:val="24"/>
              </w:rPr>
              <w:t>10</w:t>
            </w:r>
          </w:p>
        </w:tc>
        <w:tc>
          <w:tcPr>
            <w:tcW w:w="1710" w:type="dxa"/>
            <w:noWrap/>
            <w:vAlign w:val="center"/>
            <w:hideMark/>
          </w:tcPr>
          <w:p w14:paraId="06087FC1" w14:textId="77777777" w:rsidR="004E38A0" w:rsidRPr="004E247D" w:rsidRDefault="004E38A0" w:rsidP="007233F6">
            <w:pPr>
              <w:jc w:val="center"/>
              <w:rPr>
                <w:color w:val="000000" w:themeColor="text1"/>
                <w:sz w:val="24"/>
                <w:szCs w:val="24"/>
              </w:rPr>
            </w:pPr>
            <w:r w:rsidRPr="004E247D">
              <w:rPr>
                <w:color w:val="000000" w:themeColor="text1"/>
                <w:sz w:val="24"/>
                <w:szCs w:val="24"/>
              </w:rPr>
              <w:t>21.74</w:t>
            </w:r>
          </w:p>
        </w:tc>
      </w:tr>
      <w:tr w:rsidR="004E38A0" w:rsidRPr="004E247D" w14:paraId="70B58C08" w14:textId="77777777" w:rsidTr="002B7D4A">
        <w:trPr>
          <w:trHeight w:val="288"/>
        </w:trPr>
        <w:tc>
          <w:tcPr>
            <w:tcW w:w="2245" w:type="dxa"/>
            <w:tcBorders>
              <w:bottom w:val="single" w:sz="4" w:space="0" w:color="auto"/>
            </w:tcBorders>
            <w:noWrap/>
            <w:vAlign w:val="center"/>
            <w:hideMark/>
          </w:tcPr>
          <w:p w14:paraId="6AE065CD"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 xml:space="preserve">Total </w:t>
            </w:r>
          </w:p>
        </w:tc>
        <w:tc>
          <w:tcPr>
            <w:tcW w:w="1800" w:type="dxa"/>
            <w:tcBorders>
              <w:bottom w:val="single" w:sz="4" w:space="0" w:color="auto"/>
            </w:tcBorders>
            <w:noWrap/>
            <w:vAlign w:val="center"/>
            <w:hideMark/>
          </w:tcPr>
          <w:p w14:paraId="3DAE52BF"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46</w:t>
            </w:r>
          </w:p>
        </w:tc>
        <w:tc>
          <w:tcPr>
            <w:tcW w:w="1710" w:type="dxa"/>
            <w:tcBorders>
              <w:bottom w:val="single" w:sz="4" w:space="0" w:color="auto"/>
            </w:tcBorders>
            <w:noWrap/>
            <w:vAlign w:val="center"/>
            <w:hideMark/>
          </w:tcPr>
          <w:p w14:paraId="63A94B2B" w14:textId="77777777" w:rsidR="004E38A0" w:rsidRPr="004E247D" w:rsidRDefault="004E38A0" w:rsidP="007233F6">
            <w:pPr>
              <w:jc w:val="center"/>
              <w:rPr>
                <w:b/>
                <w:bCs/>
                <w:color w:val="000000" w:themeColor="text1"/>
                <w:sz w:val="24"/>
                <w:szCs w:val="24"/>
              </w:rPr>
            </w:pPr>
            <w:r w:rsidRPr="004E247D">
              <w:rPr>
                <w:b/>
                <w:bCs/>
                <w:color w:val="000000" w:themeColor="text1"/>
                <w:sz w:val="24"/>
                <w:szCs w:val="24"/>
              </w:rPr>
              <w:t>100.00</w:t>
            </w:r>
          </w:p>
        </w:tc>
      </w:tr>
    </w:tbl>
    <w:p w14:paraId="12624C7A" w14:textId="461A07E6" w:rsidR="00407E27" w:rsidRPr="004E247D" w:rsidRDefault="00407E27" w:rsidP="00407E27">
      <w:pPr>
        <w:spacing w:before="240" w:after="240"/>
        <w:ind w:firstLine="720"/>
        <w:jc w:val="both"/>
        <w:rPr>
          <w:color w:val="000000" w:themeColor="text1"/>
          <w:sz w:val="24"/>
          <w:szCs w:val="24"/>
          <w:lang w:val="en-PH"/>
        </w:rPr>
      </w:pPr>
      <w:r w:rsidRPr="004E247D">
        <w:rPr>
          <w:color w:val="000000" w:themeColor="text1"/>
          <w:sz w:val="24"/>
          <w:szCs w:val="24"/>
          <w:lang w:val="en-PH"/>
        </w:rPr>
        <w:t>The data presented in Table</w:t>
      </w:r>
      <w:r w:rsidR="00FB46F9" w:rsidRPr="004E247D">
        <w:rPr>
          <w:color w:val="000000" w:themeColor="text1"/>
          <w:sz w:val="24"/>
          <w:szCs w:val="24"/>
          <w:lang w:val="en-PH"/>
        </w:rPr>
        <w:t xml:space="preserve"> 4</w:t>
      </w:r>
      <w:r w:rsidRPr="004E247D">
        <w:rPr>
          <w:color w:val="000000" w:themeColor="text1"/>
          <w:sz w:val="24"/>
          <w:szCs w:val="24"/>
          <w:lang w:val="en-PH"/>
        </w:rPr>
        <w:t xml:space="preserve"> show that respondents were fairly distributed across different year levels, with third-year students having the highest representation (28.26%), followed closely by second-year students (26.09%). Fourth-year students accounted for 23.91%, while first-year students had the lowest participation at 21.74%. This relatively even distribution suggests that the study captured perspectives from various stages of the academic journey, although there is a slight concentration in the middle years. Such a spread allows for a more comprehensive understanding of students’ experiences and skill development in welding programs.</w:t>
      </w:r>
    </w:p>
    <w:p w14:paraId="43E13FD1" w14:textId="77777777" w:rsidR="00407E27" w:rsidRPr="004E247D" w:rsidRDefault="00407E27" w:rsidP="00407E27">
      <w:pPr>
        <w:spacing w:before="240" w:after="240"/>
        <w:ind w:firstLine="720"/>
        <w:jc w:val="both"/>
        <w:rPr>
          <w:color w:val="000000" w:themeColor="text1"/>
          <w:sz w:val="24"/>
          <w:szCs w:val="24"/>
          <w:lang w:val="en-PH"/>
        </w:rPr>
      </w:pPr>
      <w:r w:rsidRPr="004E247D">
        <w:rPr>
          <w:color w:val="000000" w:themeColor="text1"/>
          <w:sz w:val="24"/>
          <w:szCs w:val="24"/>
          <w:lang w:val="en-PH"/>
        </w:rPr>
        <w:t>In summary, the inclusion of respondents from all year levels, with a slight emphasis on the middle years, contributed to a balanced and diverse dataset. This distribution strengthens the study by providing a broader perspective on student experiences, thereby supporting more accurate and meaningful interpretations of the findings.</w:t>
      </w:r>
    </w:p>
    <w:p w14:paraId="66E3E7D0" w14:textId="5A92A20C" w:rsidR="002B7D4A" w:rsidRPr="004E247D" w:rsidRDefault="002B7D4A" w:rsidP="002B7D4A">
      <w:pPr>
        <w:spacing w:before="240" w:after="240"/>
        <w:jc w:val="both"/>
        <w:rPr>
          <w:b/>
          <w:bCs/>
          <w:color w:val="000000" w:themeColor="text1"/>
          <w:sz w:val="24"/>
          <w:szCs w:val="24"/>
          <w:lang w:val="en-PH"/>
        </w:rPr>
      </w:pPr>
      <w:r w:rsidRPr="004E247D">
        <w:rPr>
          <w:b/>
          <w:bCs/>
          <w:color w:val="000000" w:themeColor="text1"/>
          <w:sz w:val="24"/>
          <w:szCs w:val="24"/>
          <w:lang w:val="en-PH"/>
        </w:rPr>
        <w:t>Senior High School Strand Completed</w:t>
      </w:r>
    </w:p>
    <w:p w14:paraId="7AD2D6F5" w14:textId="729E474D" w:rsidR="00F25F29" w:rsidRPr="004E247D" w:rsidRDefault="00F25F29" w:rsidP="00F25F29">
      <w:pPr>
        <w:spacing w:before="240" w:after="240"/>
        <w:ind w:firstLine="720"/>
        <w:jc w:val="both"/>
        <w:rPr>
          <w:color w:val="000000" w:themeColor="text1"/>
          <w:sz w:val="24"/>
          <w:szCs w:val="24"/>
        </w:rPr>
      </w:pPr>
      <w:r w:rsidRPr="004E247D">
        <w:rPr>
          <w:color w:val="000000" w:themeColor="text1"/>
          <w:sz w:val="24"/>
          <w:szCs w:val="24"/>
        </w:rPr>
        <w:t xml:space="preserve">The distribution of respondents according to the Senior High School (SHS) strand they completed is presented to examine how their respective academic tracks may have contributed to their preparation in relation to their chosen field and skill set. This classification provides a clearer understanding of the respondents’ </w:t>
      </w:r>
      <w:r w:rsidRPr="004E247D">
        <w:rPr>
          <w:color w:val="000000" w:themeColor="text1"/>
          <w:sz w:val="24"/>
          <w:szCs w:val="24"/>
        </w:rPr>
        <w:lastRenderedPageBreak/>
        <w:t>academic background and prior specialization, as summarized in Table 5.</w:t>
      </w:r>
    </w:p>
    <w:p w14:paraId="6E99D769" w14:textId="71D45BCE" w:rsidR="003050C2" w:rsidRPr="004E247D" w:rsidRDefault="003050C2" w:rsidP="003050C2">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3930E0" w:rsidRPr="004E247D">
        <w:rPr>
          <w:b/>
          <w:bCs/>
          <w:color w:val="000000" w:themeColor="text1"/>
          <w:sz w:val="24"/>
          <w:szCs w:val="24"/>
          <w:lang w:val="en-PH"/>
        </w:rPr>
        <w:t>5</w:t>
      </w:r>
      <w:r w:rsidRPr="004E247D">
        <w:rPr>
          <w:b/>
          <w:bCs/>
          <w:color w:val="000000" w:themeColor="text1"/>
          <w:sz w:val="24"/>
          <w:szCs w:val="24"/>
          <w:lang w:val="en-PH"/>
        </w:rPr>
        <w:t xml:space="preserve">. </w:t>
      </w:r>
      <w:r w:rsidR="003930E0" w:rsidRPr="004E247D">
        <w:rPr>
          <w:b/>
          <w:bCs/>
          <w:color w:val="000000" w:themeColor="text1"/>
          <w:sz w:val="24"/>
          <w:szCs w:val="24"/>
          <w:lang w:val="en-PH"/>
        </w:rPr>
        <w:t>Senior High School Strand Completed by the Respondents</w:t>
      </w:r>
    </w:p>
    <w:tbl>
      <w:tblPr>
        <w:tblW w:w="5778" w:type="dxa"/>
        <w:tblLook w:val="04A0" w:firstRow="1" w:lastRow="0" w:firstColumn="1" w:lastColumn="0" w:noHBand="0" w:noVBand="1"/>
      </w:tblPr>
      <w:tblGrid>
        <w:gridCol w:w="2988"/>
        <w:gridCol w:w="990"/>
        <w:gridCol w:w="1800"/>
      </w:tblGrid>
      <w:tr w:rsidR="002B7D4A" w:rsidRPr="004E247D" w14:paraId="0B8AFB95" w14:textId="77777777" w:rsidTr="00810BD0">
        <w:trPr>
          <w:trHeight w:val="288"/>
        </w:trPr>
        <w:tc>
          <w:tcPr>
            <w:tcW w:w="2988" w:type="dxa"/>
            <w:tcBorders>
              <w:top w:val="single" w:sz="4" w:space="0" w:color="auto"/>
              <w:bottom w:val="single" w:sz="4" w:space="0" w:color="auto"/>
            </w:tcBorders>
            <w:noWrap/>
            <w:vAlign w:val="center"/>
            <w:hideMark/>
          </w:tcPr>
          <w:p w14:paraId="0CE28770" w14:textId="77777777" w:rsidR="002B7D4A" w:rsidRPr="004E247D" w:rsidRDefault="002B7D4A" w:rsidP="007233F6">
            <w:pPr>
              <w:jc w:val="center"/>
              <w:rPr>
                <w:b/>
                <w:bCs/>
                <w:color w:val="000000" w:themeColor="text1"/>
                <w:sz w:val="24"/>
                <w:szCs w:val="24"/>
              </w:rPr>
            </w:pPr>
            <w:r w:rsidRPr="004E247D">
              <w:rPr>
                <w:b/>
                <w:bCs/>
                <w:color w:val="000000" w:themeColor="text1"/>
                <w:sz w:val="24"/>
                <w:szCs w:val="24"/>
              </w:rPr>
              <w:t xml:space="preserve">SHS Strand </w:t>
            </w:r>
          </w:p>
        </w:tc>
        <w:tc>
          <w:tcPr>
            <w:tcW w:w="990" w:type="dxa"/>
            <w:tcBorders>
              <w:top w:val="single" w:sz="4" w:space="0" w:color="auto"/>
              <w:bottom w:val="single" w:sz="4" w:space="0" w:color="auto"/>
            </w:tcBorders>
            <w:noWrap/>
            <w:vAlign w:val="center"/>
            <w:hideMark/>
          </w:tcPr>
          <w:p w14:paraId="69729C97" w14:textId="77777777" w:rsidR="002B7D4A" w:rsidRPr="004E247D" w:rsidRDefault="002B7D4A" w:rsidP="007233F6">
            <w:pPr>
              <w:jc w:val="center"/>
              <w:rPr>
                <w:b/>
                <w:bCs/>
                <w:color w:val="000000" w:themeColor="text1"/>
                <w:sz w:val="24"/>
                <w:szCs w:val="24"/>
              </w:rPr>
            </w:pPr>
            <w:r w:rsidRPr="004E247D">
              <w:rPr>
                <w:b/>
                <w:bCs/>
                <w:color w:val="000000" w:themeColor="text1"/>
                <w:sz w:val="24"/>
                <w:szCs w:val="24"/>
              </w:rPr>
              <w:t>f</w:t>
            </w:r>
          </w:p>
        </w:tc>
        <w:tc>
          <w:tcPr>
            <w:tcW w:w="1800" w:type="dxa"/>
            <w:tcBorders>
              <w:top w:val="single" w:sz="4" w:space="0" w:color="auto"/>
              <w:bottom w:val="single" w:sz="4" w:space="0" w:color="auto"/>
            </w:tcBorders>
            <w:noWrap/>
            <w:vAlign w:val="center"/>
            <w:hideMark/>
          </w:tcPr>
          <w:p w14:paraId="6CEE42F1" w14:textId="77777777" w:rsidR="002B7D4A" w:rsidRPr="004E247D" w:rsidRDefault="002B7D4A" w:rsidP="007233F6">
            <w:pPr>
              <w:jc w:val="center"/>
              <w:rPr>
                <w:b/>
                <w:bCs/>
                <w:color w:val="000000" w:themeColor="text1"/>
                <w:sz w:val="24"/>
                <w:szCs w:val="24"/>
              </w:rPr>
            </w:pPr>
            <w:r w:rsidRPr="004E247D">
              <w:rPr>
                <w:b/>
                <w:bCs/>
                <w:color w:val="000000" w:themeColor="text1"/>
                <w:sz w:val="24"/>
                <w:szCs w:val="24"/>
              </w:rPr>
              <w:t>%</w:t>
            </w:r>
          </w:p>
        </w:tc>
      </w:tr>
      <w:tr w:rsidR="002B7D4A" w:rsidRPr="004E247D" w14:paraId="3B271777" w14:textId="77777777" w:rsidTr="00810BD0">
        <w:trPr>
          <w:trHeight w:val="288"/>
        </w:trPr>
        <w:tc>
          <w:tcPr>
            <w:tcW w:w="2988" w:type="dxa"/>
            <w:tcBorders>
              <w:top w:val="single" w:sz="4" w:space="0" w:color="auto"/>
            </w:tcBorders>
            <w:noWrap/>
            <w:vAlign w:val="center"/>
            <w:hideMark/>
          </w:tcPr>
          <w:p w14:paraId="6DE2497C" w14:textId="77777777" w:rsidR="002B7D4A" w:rsidRPr="004E247D" w:rsidRDefault="002B7D4A" w:rsidP="007233F6">
            <w:pPr>
              <w:rPr>
                <w:color w:val="000000" w:themeColor="text1"/>
                <w:sz w:val="24"/>
                <w:szCs w:val="24"/>
              </w:rPr>
            </w:pPr>
            <w:r w:rsidRPr="004E247D">
              <w:rPr>
                <w:color w:val="000000" w:themeColor="text1"/>
                <w:sz w:val="24"/>
                <w:szCs w:val="24"/>
              </w:rPr>
              <w:t>Accountancy, Business, and Management (ABM)</w:t>
            </w:r>
          </w:p>
        </w:tc>
        <w:tc>
          <w:tcPr>
            <w:tcW w:w="990" w:type="dxa"/>
            <w:tcBorders>
              <w:top w:val="single" w:sz="4" w:space="0" w:color="auto"/>
            </w:tcBorders>
            <w:noWrap/>
            <w:vAlign w:val="center"/>
            <w:hideMark/>
          </w:tcPr>
          <w:p w14:paraId="1D2A0965" w14:textId="77777777" w:rsidR="002B7D4A" w:rsidRPr="004E247D" w:rsidRDefault="002B7D4A" w:rsidP="007233F6">
            <w:pPr>
              <w:jc w:val="center"/>
              <w:rPr>
                <w:color w:val="000000" w:themeColor="text1"/>
                <w:sz w:val="24"/>
                <w:szCs w:val="24"/>
              </w:rPr>
            </w:pPr>
            <w:r w:rsidRPr="004E247D">
              <w:rPr>
                <w:color w:val="000000" w:themeColor="text1"/>
                <w:sz w:val="24"/>
                <w:szCs w:val="24"/>
              </w:rPr>
              <w:t>3</w:t>
            </w:r>
          </w:p>
        </w:tc>
        <w:tc>
          <w:tcPr>
            <w:tcW w:w="1800" w:type="dxa"/>
            <w:tcBorders>
              <w:top w:val="single" w:sz="4" w:space="0" w:color="auto"/>
            </w:tcBorders>
            <w:noWrap/>
            <w:vAlign w:val="center"/>
            <w:hideMark/>
          </w:tcPr>
          <w:p w14:paraId="70B7182B" w14:textId="77777777" w:rsidR="002B7D4A" w:rsidRPr="004E247D" w:rsidRDefault="002B7D4A" w:rsidP="007233F6">
            <w:pPr>
              <w:jc w:val="center"/>
              <w:rPr>
                <w:color w:val="000000" w:themeColor="text1"/>
                <w:sz w:val="24"/>
                <w:szCs w:val="24"/>
              </w:rPr>
            </w:pPr>
            <w:r w:rsidRPr="004E247D">
              <w:rPr>
                <w:color w:val="000000" w:themeColor="text1"/>
                <w:sz w:val="24"/>
                <w:szCs w:val="24"/>
              </w:rPr>
              <w:t>6.52</w:t>
            </w:r>
          </w:p>
        </w:tc>
      </w:tr>
      <w:tr w:rsidR="002B7D4A" w:rsidRPr="004E247D" w14:paraId="47ABDC09" w14:textId="77777777" w:rsidTr="00810BD0">
        <w:trPr>
          <w:trHeight w:val="288"/>
        </w:trPr>
        <w:tc>
          <w:tcPr>
            <w:tcW w:w="2988" w:type="dxa"/>
            <w:noWrap/>
            <w:vAlign w:val="center"/>
            <w:hideMark/>
          </w:tcPr>
          <w:p w14:paraId="65BC1528" w14:textId="77777777" w:rsidR="002B7D4A" w:rsidRPr="004E247D" w:rsidRDefault="002B7D4A" w:rsidP="007233F6">
            <w:pPr>
              <w:rPr>
                <w:color w:val="000000" w:themeColor="text1"/>
                <w:sz w:val="24"/>
                <w:szCs w:val="24"/>
              </w:rPr>
            </w:pPr>
            <w:r w:rsidRPr="004E247D">
              <w:rPr>
                <w:color w:val="000000" w:themeColor="text1"/>
                <w:sz w:val="24"/>
                <w:szCs w:val="24"/>
              </w:rPr>
              <w:t>General Academic Strand (GAS)</w:t>
            </w:r>
          </w:p>
        </w:tc>
        <w:tc>
          <w:tcPr>
            <w:tcW w:w="990" w:type="dxa"/>
            <w:noWrap/>
            <w:vAlign w:val="center"/>
            <w:hideMark/>
          </w:tcPr>
          <w:p w14:paraId="7B849311" w14:textId="77777777" w:rsidR="002B7D4A" w:rsidRPr="004E247D" w:rsidRDefault="002B7D4A" w:rsidP="007233F6">
            <w:pPr>
              <w:jc w:val="center"/>
              <w:rPr>
                <w:color w:val="000000" w:themeColor="text1"/>
                <w:sz w:val="24"/>
                <w:szCs w:val="24"/>
              </w:rPr>
            </w:pPr>
            <w:r w:rsidRPr="004E247D">
              <w:rPr>
                <w:color w:val="000000" w:themeColor="text1"/>
                <w:sz w:val="24"/>
                <w:szCs w:val="24"/>
              </w:rPr>
              <w:t>10</w:t>
            </w:r>
          </w:p>
        </w:tc>
        <w:tc>
          <w:tcPr>
            <w:tcW w:w="1800" w:type="dxa"/>
            <w:noWrap/>
            <w:vAlign w:val="center"/>
            <w:hideMark/>
          </w:tcPr>
          <w:p w14:paraId="280AF6D4" w14:textId="77777777" w:rsidR="002B7D4A" w:rsidRPr="004E247D" w:rsidRDefault="002B7D4A" w:rsidP="007233F6">
            <w:pPr>
              <w:jc w:val="center"/>
              <w:rPr>
                <w:color w:val="000000" w:themeColor="text1"/>
                <w:sz w:val="24"/>
                <w:szCs w:val="24"/>
              </w:rPr>
            </w:pPr>
            <w:r w:rsidRPr="004E247D">
              <w:rPr>
                <w:color w:val="000000" w:themeColor="text1"/>
                <w:sz w:val="24"/>
                <w:szCs w:val="24"/>
              </w:rPr>
              <w:t>21.74</w:t>
            </w:r>
          </w:p>
        </w:tc>
      </w:tr>
      <w:tr w:rsidR="002B7D4A" w:rsidRPr="004E247D" w14:paraId="10295EE0" w14:textId="77777777" w:rsidTr="00810BD0">
        <w:trPr>
          <w:trHeight w:val="288"/>
        </w:trPr>
        <w:tc>
          <w:tcPr>
            <w:tcW w:w="2988" w:type="dxa"/>
            <w:noWrap/>
            <w:vAlign w:val="center"/>
            <w:hideMark/>
          </w:tcPr>
          <w:p w14:paraId="272527E1" w14:textId="77777777" w:rsidR="002B7D4A" w:rsidRPr="004E247D" w:rsidRDefault="002B7D4A" w:rsidP="007233F6">
            <w:pPr>
              <w:rPr>
                <w:color w:val="000000" w:themeColor="text1"/>
                <w:sz w:val="24"/>
                <w:szCs w:val="24"/>
              </w:rPr>
            </w:pPr>
            <w:r w:rsidRPr="004E247D">
              <w:rPr>
                <w:color w:val="000000" w:themeColor="text1"/>
                <w:sz w:val="24"/>
                <w:szCs w:val="24"/>
              </w:rPr>
              <w:t>Humanities and Social Sciences (HUMSS)</w:t>
            </w:r>
          </w:p>
        </w:tc>
        <w:tc>
          <w:tcPr>
            <w:tcW w:w="990" w:type="dxa"/>
            <w:noWrap/>
            <w:vAlign w:val="center"/>
            <w:hideMark/>
          </w:tcPr>
          <w:p w14:paraId="577797B6" w14:textId="77777777" w:rsidR="002B7D4A" w:rsidRPr="004E247D" w:rsidRDefault="002B7D4A" w:rsidP="007233F6">
            <w:pPr>
              <w:jc w:val="center"/>
              <w:rPr>
                <w:color w:val="000000" w:themeColor="text1"/>
                <w:sz w:val="24"/>
                <w:szCs w:val="24"/>
              </w:rPr>
            </w:pPr>
            <w:r w:rsidRPr="004E247D">
              <w:rPr>
                <w:color w:val="000000" w:themeColor="text1"/>
                <w:sz w:val="24"/>
                <w:szCs w:val="24"/>
              </w:rPr>
              <w:t>16</w:t>
            </w:r>
          </w:p>
        </w:tc>
        <w:tc>
          <w:tcPr>
            <w:tcW w:w="1800" w:type="dxa"/>
            <w:noWrap/>
            <w:vAlign w:val="center"/>
            <w:hideMark/>
          </w:tcPr>
          <w:p w14:paraId="22040B11" w14:textId="77777777" w:rsidR="002B7D4A" w:rsidRPr="004E247D" w:rsidRDefault="002B7D4A" w:rsidP="007233F6">
            <w:pPr>
              <w:jc w:val="center"/>
              <w:rPr>
                <w:color w:val="000000" w:themeColor="text1"/>
                <w:sz w:val="24"/>
                <w:szCs w:val="24"/>
              </w:rPr>
            </w:pPr>
            <w:r w:rsidRPr="004E247D">
              <w:rPr>
                <w:color w:val="000000" w:themeColor="text1"/>
                <w:sz w:val="24"/>
                <w:szCs w:val="24"/>
              </w:rPr>
              <w:t>34.78</w:t>
            </w:r>
          </w:p>
        </w:tc>
      </w:tr>
      <w:tr w:rsidR="002B7D4A" w:rsidRPr="004E247D" w14:paraId="5CBF66B4" w14:textId="77777777" w:rsidTr="00810BD0">
        <w:trPr>
          <w:trHeight w:val="288"/>
        </w:trPr>
        <w:tc>
          <w:tcPr>
            <w:tcW w:w="2988" w:type="dxa"/>
            <w:noWrap/>
            <w:vAlign w:val="center"/>
            <w:hideMark/>
          </w:tcPr>
          <w:p w14:paraId="1E2966BB" w14:textId="77777777" w:rsidR="002B7D4A" w:rsidRPr="004E247D" w:rsidRDefault="002B7D4A" w:rsidP="007233F6">
            <w:pPr>
              <w:rPr>
                <w:color w:val="000000" w:themeColor="text1"/>
                <w:sz w:val="24"/>
                <w:szCs w:val="24"/>
              </w:rPr>
            </w:pPr>
            <w:r w:rsidRPr="004E247D">
              <w:rPr>
                <w:color w:val="000000" w:themeColor="text1"/>
                <w:sz w:val="24"/>
                <w:szCs w:val="24"/>
              </w:rPr>
              <w:t xml:space="preserve">Information Communication and Technology (ICT) </w:t>
            </w:r>
          </w:p>
        </w:tc>
        <w:tc>
          <w:tcPr>
            <w:tcW w:w="990" w:type="dxa"/>
            <w:noWrap/>
            <w:vAlign w:val="center"/>
            <w:hideMark/>
          </w:tcPr>
          <w:p w14:paraId="3556E5FB" w14:textId="77777777" w:rsidR="002B7D4A" w:rsidRPr="004E247D" w:rsidRDefault="002B7D4A" w:rsidP="007233F6">
            <w:pPr>
              <w:jc w:val="center"/>
              <w:rPr>
                <w:color w:val="000000" w:themeColor="text1"/>
                <w:sz w:val="24"/>
                <w:szCs w:val="24"/>
              </w:rPr>
            </w:pPr>
            <w:r w:rsidRPr="004E247D">
              <w:rPr>
                <w:color w:val="000000" w:themeColor="text1"/>
                <w:sz w:val="24"/>
                <w:szCs w:val="24"/>
              </w:rPr>
              <w:t>1</w:t>
            </w:r>
          </w:p>
        </w:tc>
        <w:tc>
          <w:tcPr>
            <w:tcW w:w="1800" w:type="dxa"/>
            <w:noWrap/>
            <w:vAlign w:val="center"/>
            <w:hideMark/>
          </w:tcPr>
          <w:p w14:paraId="61C1A40D" w14:textId="77777777" w:rsidR="002B7D4A" w:rsidRPr="004E247D" w:rsidRDefault="002B7D4A" w:rsidP="007233F6">
            <w:pPr>
              <w:jc w:val="center"/>
              <w:rPr>
                <w:color w:val="000000" w:themeColor="text1"/>
                <w:sz w:val="24"/>
                <w:szCs w:val="24"/>
              </w:rPr>
            </w:pPr>
            <w:r w:rsidRPr="004E247D">
              <w:rPr>
                <w:color w:val="000000" w:themeColor="text1"/>
                <w:sz w:val="24"/>
                <w:szCs w:val="24"/>
              </w:rPr>
              <w:t>2.17</w:t>
            </w:r>
          </w:p>
        </w:tc>
      </w:tr>
      <w:tr w:rsidR="002B7D4A" w:rsidRPr="004E247D" w14:paraId="51F11084" w14:textId="77777777" w:rsidTr="00810BD0">
        <w:trPr>
          <w:trHeight w:val="288"/>
        </w:trPr>
        <w:tc>
          <w:tcPr>
            <w:tcW w:w="2988" w:type="dxa"/>
            <w:noWrap/>
            <w:vAlign w:val="center"/>
            <w:hideMark/>
          </w:tcPr>
          <w:p w14:paraId="35D3FB61" w14:textId="77777777" w:rsidR="002B7D4A" w:rsidRPr="004E247D" w:rsidRDefault="002B7D4A" w:rsidP="007233F6">
            <w:pPr>
              <w:rPr>
                <w:color w:val="000000" w:themeColor="text1"/>
                <w:sz w:val="24"/>
                <w:szCs w:val="24"/>
              </w:rPr>
            </w:pPr>
            <w:r w:rsidRPr="004E247D">
              <w:rPr>
                <w:color w:val="000000" w:themeColor="text1"/>
                <w:sz w:val="24"/>
                <w:szCs w:val="24"/>
              </w:rPr>
              <w:t>Science, Technology, Engineering, and Mathematics (STEM)</w:t>
            </w:r>
          </w:p>
        </w:tc>
        <w:tc>
          <w:tcPr>
            <w:tcW w:w="990" w:type="dxa"/>
            <w:noWrap/>
            <w:vAlign w:val="center"/>
            <w:hideMark/>
          </w:tcPr>
          <w:p w14:paraId="205F98F9" w14:textId="77777777" w:rsidR="002B7D4A" w:rsidRPr="004E247D" w:rsidRDefault="002B7D4A" w:rsidP="007233F6">
            <w:pPr>
              <w:jc w:val="center"/>
              <w:rPr>
                <w:color w:val="000000" w:themeColor="text1"/>
                <w:sz w:val="24"/>
                <w:szCs w:val="24"/>
              </w:rPr>
            </w:pPr>
            <w:r w:rsidRPr="004E247D">
              <w:rPr>
                <w:color w:val="000000" w:themeColor="text1"/>
                <w:sz w:val="24"/>
                <w:szCs w:val="24"/>
              </w:rPr>
              <w:t>1</w:t>
            </w:r>
          </w:p>
        </w:tc>
        <w:tc>
          <w:tcPr>
            <w:tcW w:w="1800" w:type="dxa"/>
            <w:noWrap/>
            <w:vAlign w:val="center"/>
            <w:hideMark/>
          </w:tcPr>
          <w:p w14:paraId="0E7C4F0B" w14:textId="77777777" w:rsidR="002B7D4A" w:rsidRPr="004E247D" w:rsidRDefault="002B7D4A" w:rsidP="007233F6">
            <w:pPr>
              <w:jc w:val="center"/>
              <w:rPr>
                <w:color w:val="000000" w:themeColor="text1"/>
                <w:sz w:val="24"/>
                <w:szCs w:val="24"/>
              </w:rPr>
            </w:pPr>
            <w:r w:rsidRPr="004E247D">
              <w:rPr>
                <w:color w:val="000000" w:themeColor="text1"/>
                <w:sz w:val="24"/>
                <w:szCs w:val="24"/>
              </w:rPr>
              <w:t>2.17</w:t>
            </w:r>
          </w:p>
        </w:tc>
      </w:tr>
      <w:tr w:rsidR="002B7D4A" w:rsidRPr="004E247D" w14:paraId="0BB19A6A" w14:textId="77777777" w:rsidTr="00810BD0">
        <w:trPr>
          <w:trHeight w:val="288"/>
        </w:trPr>
        <w:tc>
          <w:tcPr>
            <w:tcW w:w="2988" w:type="dxa"/>
            <w:noWrap/>
            <w:vAlign w:val="center"/>
            <w:hideMark/>
          </w:tcPr>
          <w:p w14:paraId="281388A6" w14:textId="77777777" w:rsidR="002B7D4A" w:rsidRPr="004E247D" w:rsidRDefault="002B7D4A" w:rsidP="007233F6">
            <w:pPr>
              <w:rPr>
                <w:color w:val="000000" w:themeColor="text1"/>
                <w:sz w:val="24"/>
                <w:szCs w:val="24"/>
              </w:rPr>
            </w:pPr>
            <w:r w:rsidRPr="004E247D">
              <w:rPr>
                <w:color w:val="000000" w:themeColor="text1"/>
                <w:sz w:val="24"/>
                <w:szCs w:val="24"/>
              </w:rPr>
              <w:t>Technical-Vocational-Livelihood (TVL)</w:t>
            </w:r>
          </w:p>
        </w:tc>
        <w:tc>
          <w:tcPr>
            <w:tcW w:w="990" w:type="dxa"/>
            <w:noWrap/>
            <w:vAlign w:val="center"/>
            <w:hideMark/>
          </w:tcPr>
          <w:p w14:paraId="106E02FA" w14:textId="77777777" w:rsidR="002B7D4A" w:rsidRPr="004E247D" w:rsidRDefault="002B7D4A" w:rsidP="007233F6">
            <w:pPr>
              <w:jc w:val="center"/>
              <w:rPr>
                <w:color w:val="000000" w:themeColor="text1"/>
                <w:sz w:val="24"/>
                <w:szCs w:val="24"/>
              </w:rPr>
            </w:pPr>
            <w:r w:rsidRPr="004E247D">
              <w:rPr>
                <w:color w:val="000000" w:themeColor="text1"/>
                <w:sz w:val="24"/>
                <w:szCs w:val="24"/>
              </w:rPr>
              <w:t>15</w:t>
            </w:r>
          </w:p>
        </w:tc>
        <w:tc>
          <w:tcPr>
            <w:tcW w:w="1800" w:type="dxa"/>
            <w:noWrap/>
            <w:vAlign w:val="center"/>
            <w:hideMark/>
          </w:tcPr>
          <w:p w14:paraId="6774ECE9" w14:textId="77777777" w:rsidR="002B7D4A" w:rsidRPr="004E247D" w:rsidRDefault="002B7D4A" w:rsidP="007233F6">
            <w:pPr>
              <w:jc w:val="center"/>
              <w:rPr>
                <w:color w:val="000000" w:themeColor="text1"/>
                <w:sz w:val="24"/>
                <w:szCs w:val="24"/>
              </w:rPr>
            </w:pPr>
            <w:r w:rsidRPr="004E247D">
              <w:rPr>
                <w:color w:val="000000" w:themeColor="text1"/>
                <w:sz w:val="24"/>
                <w:szCs w:val="24"/>
              </w:rPr>
              <w:t>32.61</w:t>
            </w:r>
          </w:p>
        </w:tc>
      </w:tr>
      <w:tr w:rsidR="002B7D4A" w:rsidRPr="004E247D" w14:paraId="79D32D9A" w14:textId="77777777" w:rsidTr="00810BD0">
        <w:trPr>
          <w:trHeight w:val="288"/>
        </w:trPr>
        <w:tc>
          <w:tcPr>
            <w:tcW w:w="2988" w:type="dxa"/>
            <w:tcBorders>
              <w:bottom w:val="single" w:sz="4" w:space="0" w:color="auto"/>
            </w:tcBorders>
            <w:noWrap/>
            <w:vAlign w:val="center"/>
            <w:hideMark/>
          </w:tcPr>
          <w:p w14:paraId="377D79F9" w14:textId="77777777" w:rsidR="002B7D4A" w:rsidRPr="004E247D" w:rsidRDefault="002B7D4A" w:rsidP="003050C2">
            <w:pPr>
              <w:rPr>
                <w:b/>
                <w:bCs/>
                <w:color w:val="000000" w:themeColor="text1"/>
                <w:sz w:val="24"/>
                <w:szCs w:val="24"/>
              </w:rPr>
            </w:pPr>
            <w:r w:rsidRPr="004E247D">
              <w:rPr>
                <w:b/>
                <w:bCs/>
                <w:color w:val="000000" w:themeColor="text1"/>
                <w:sz w:val="24"/>
                <w:szCs w:val="24"/>
              </w:rPr>
              <w:t>Total</w:t>
            </w:r>
          </w:p>
        </w:tc>
        <w:tc>
          <w:tcPr>
            <w:tcW w:w="990" w:type="dxa"/>
            <w:tcBorders>
              <w:bottom w:val="single" w:sz="4" w:space="0" w:color="auto"/>
            </w:tcBorders>
            <w:noWrap/>
            <w:vAlign w:val="center"/>
            <w:hideMark/>
          </w:tcPr>
          <w:p w14:paraId="63BD1867" w14:textId="77777777" w:rsidR="002B7D4A" w:rsidRPr="004E247D" w:rsidRDefault="002B7D4A" w:rsidP="007233F6">
            <w:pPr>
              <w:jc w:val="center"/>
              <w:rPr>
                <w:b/>
                <w:bCs/>
                <w:color w:val="000000" w:themeColor="text1"/>
                <w:sz w:val="24"/>
                <w:szCs w:val="24"/>
              </w:rPr>
            </w:pPr>
            <w:r w:rsidRPr="004E247D">
              <w:rPr>
                <w:b/>
                <w:bCs/>
                <w:color w:val="000000" w:themeColor="text1"/>
                <w:sz w:val="24"/>
                <w:szCs w:val="24"/>
              </w:rPr>
              <w:t>46</w:t>
            </w:r>
          </w:p>
        </w:tc>
        <w:tc>
          <w:tcPr>
            <w:tcW w:w="1800" w:type="dxa"/>
            <w:tcBorders>
              <w:bottom w:val="single" w:sz="4" w:space="0" w:color="auto"/>
            </w:tcBorders>
            <w:noWrap/>
            <w:vAlign w:val="center"/>
            <w:hideMark/>
          </w:tcPr>
          <w:p w14:paraId="685E042D" w14:textId="77777777" w:rsidR="002B7D4A" w:rsidRPr="004E247D" w:rsidRDefault="002B7D4A" w:rsidP="007233F6">
            <w:pPr>
              <w:jc w:val="center"/>
              <w:rPr>
                <w:b/>
                <w:bCs/>
                <w:color w:val="000000" w:themeColor="text1"/>
                <w:sz w:val="24"/>
                <w:szCs w:val="24"/>
              </w:rPr>
            </w:pPr>
            <w:r w:rsidRPr="004E247D">
              <w:rPr>
                <w:b/>
                <w:bCs/>
                <w:color w:val="000000" w:themeColor="text1"/>
                <w:sz w:val="24"/>
                <w:szCs w:val="24"/>
              </w:rPr>
              <w:t>100.00</w:t>
            </w:r>
          </w:p>
        </w:tc>
      </w:tr>
    </w:tbl>
    <w:p w14:paraId="7AC4E376" w14:textId="34E54BD3"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The data in Table </w:t>
      </w:r>
      <w:r w:rsidR="003930E0" w:rsidRPr="004E247D">
        <w:rPr>
          <w:color w:val="000000" w:themeColor="text1"/>
          <w:sz w:val="24"/>
          <w:szCs w:val="24"/>
          <w:lang w:val="en-PH"/>
        </w:rPr>
        <w:t>5</w:t>
      </w:r>
      <w:r w:rsidRPr="004E247D">
        <w:rPr>
          <w:color w:val="000000" w:themeColor="text1"/>
          <w:sz w:val="24"/>
          <w:szCs w:val="24"/>
          <w:lang w:val="en-PH"/>
        </w:rPr>
        <w:t xml:space="preserve"> show that most respondents came from the HUMSS strand (34.78%) and TVL (32.61%), followed by GAS (21.74%), while ABM (6.52%), ICT, and STEM (2.17% each) had minimal representation. This indicates that a large portion of the respondents did not primarily come from highly technical strands, with only a small percentage having strong technical or science-based backgrounds. Such variation suggests that students entering welding programs possess differing levels of prior knowledge and skills, which may influence their adaptability and performance in technical coursework.</w:t>
      </w:r>
    </w:p>
    <w:p w14:paraId="1D73D3B5" w14:textId="77777777"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In summary, the varied SHS strand backgrounds of the respondents reflect differences in technical preparedness, which may affect their welding competencies and academic performance. This diversity underscores the need for adaptive and differentiated teaching strategies to support students with both technical and non-technical backgrounds, ensuring more inclusive and effective learning outcomes in welding education.</w:t>
      </w:r>
    </w:p>
    <w:p w14:paraId="5614B28C" w14:textId="4820EF31" w:rsidR="00C25616" w:rsidRPr="004E247D" w:rsidRDefault="00C25616" w:rsidP="00C25616">
      <w:pPr>
        <w:spacing w:before="240" w:after="240"/>
        <w:jc w:val="both"/>
        <w:rPr>
          <w:b/>
          <w:bCs/>
          <w:color w:val="000000" w:themeColor="text1"/>
          <w:sz w:val="24"/>
          <w:szCs w:val="24"/>
          <w:lang w:val="en-PH"/>
        </w:rPr>
      </w:pPr>
      <w:r w:rsidRPr="004E247D">
        <w:rPr>
          <w:b/>
          <w:bCs/>
          <w:color w:val="000000" w:themeColor="text1"/>
          <w:sz w:val="24"/>
          <w:szCs w:val="24"/>
          <w:lang w:val="en-PH"/>
        </w:rPr>
        <w:t>Enrollment in Welding under the TVL Track in Senior High School</w:t>
      </w:r>
    </w:p>
    <w:p w14:paraId="7845EA59" w14:textId="77777777" w:rsidR="001F1957" w:rsidRPr="004E247D" w:rsidRDefault="001F1957" w:rsidP="001F1957">
      <w:pPr>
        <w:spacing w:before="240" w:after="240"/>
        <w:ind w:firstLine="720"/>
        <w:jc w:val="both"/>
        <w:rPr>
          <w:color w:val="000000" w:themeColor="text1"/>
          <w:sz w:val="24"/>
          <w:szCs w:val="24"/>
          <w:lang w:val="en-PH"/>
        </w:rPr>
      </w:pPr>
      <w:r w:rsidRPr="004E247D">
        <w:rPr>
          <w:color w:val="000000" w:themeColor="text1"/>
          <w:sz w:val="24"/>
          <w:szCs w:val="24"/>
          <w:lang w:val="en-PH"/>
        </w:rPr>
        <w:t>The enrollment profile of the respondents who took welding subjects under the Technical-Vocational-Livelihood (TVL) track in Senior High School is examined, with particular emphasis on those who have completed formal training in welding. This information serves as a basis for understanding their foundational knowledge and exposure to welding competencies, which may influence their preparedness for more advanced welding instruction at the tertiary level. The summarized distribution of these respondents is presented in Table 6.</w:t>
      </w:r>
    </w:p>
    <w:p w14:paraId="73E0482B" w14:textId="77183F6B" w:rsidR="00C25616" w:rsidRPr="004E247D" w:rsidRDefault="00C25616" w:rsidP="00C25616">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5806B5" w:rsidRPr="004E247D">
        <w:rPr>
          <w:b/>
          <w:bCs/>
          <w:color w:val="000000" w:themeColor="text1"/>
          <w:sz w:val="24"/>
          <w:szCs w:val="24"/>
          <w:lang w:val="en-PH"/>
        </w:rPr>
        <w:t>6</w:t>
      </w:r>
      <w:r w:rsidRPr="004E247D">
        <w:rPr>
          <w:b/>
          <w:bCs/>
          <w:color w:val="000000" w:themeColor="text1"/>
          <w:sz w:val="24"/>
          <w:szCs w:val="24"/>
          <w:lang w:val="en-PH"/>
        </w:rPr>
        <w:t xml:space="preserve">. </w:t>
      </w:r>
      <w:r w:rsidR="005806B5" w:rsidRPr="004E247D">
        <w:rPr>
          <w:b/>
          <w:bCs/>
          <w:color w:val="000000" w:themeColor="text1"/>
          <w:sz w:val="24"/>
          <w:szCs w:val="24"/>
          <w:lang w:val="en-PH"/>
        </w:rPr>
        <w:t>Senior High School Welding Experience of the Respondents</w:t>
      </w:r>
    </w:p>
    <w:tbl>
      <w:tblPr>
        <w:tblW w:w="5778" w:type="dxa"/>
        <w:tblLook w:val="04A0" w:firstRow="1" w:lastRow="0" w:firstColumn="1" w:lastColumn="0" w:noHBand="0" w:noVBand="1"/>
      </w:tblPr>
      <w:tblGrid>
        <w:gridCol w:w="2718"/>
        <w:gridCol w:w="1451"/>
        <w:gridCol w:w="1609"/>
      </w:tblGrid>
      <w:tr w:rsidR="00C25616" w:rsidRPr="004E247D" w14:paraId="2FAB398D" w14:textId="77777777" w:rsidTr="00810BD0">
        <w:trPr>
          <w:trHeight w:val="288"/>
        </w:trPr>
        <w:tc>
          <w:tcPr>
            <w:tcW w:w="2718" w:type="dxa"/>
            <w:tcBorders>
              <w:top w:val="single" w:sz="4" w:space="0" w:color="auto"/>
              <w:bottom w:val="single" w:sz="4" w:space="0" w:color="auto"/>
            </w:tcBorders>
            <w:noWrap/>
            <w:vAlign w:val="center"/>
            <w:hideMark/>
          </w:tcPr>
          <w:p w14:paraId="40D428B5"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Enrolled in TVL Welding</w:t>
            </w:r>
          </w:p>
        </w:tc>
        <w:tc>
          <w:tcPr>
            <w:tcW w:w="1451" w:type="dxa"/>
            <w:tcBorders>
              <w:top w:val="single" w:sz="4" w:space="0" w:color="auto"/>
              <w:bottom w:val="single" w:sz="4" w:space="0" w:color="auto"/>
            </w:tcBorders>
            <w:noWrap/>
            <w:vAlign w:val="center"/>
            <w:hideMark/>
          </w:tcPr>
          <w:p w14:paraId="262A8AF6"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f</w:t>
            </w:r>
          </w:p>
        </w:tc>
        <w:tc>
          <w:tcPr>
            <w:tcW w:w="1609" w:type="dxa"/>
            <w:tcBorders>
              <w:top w:val="single" w:sz="4" w:space="0" w:color="auto"/>
              <w:bottom w:val="single" w:sz="4" w:space="0" w:color="auto"/>
            </w:tcBorders>
            <w:noWrap/>
            <w:vAlign w:val="center"/>
            <w:hideMark/>
          </w:tcPr>
          <w:p w14:paraId="4921C5BA"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w:t>
            </w:r>
          </w:p>
        </w:tc>
      </w:tr>
      <w:tr w:rsidR="00C25616" w:rsidRPr="004E247D" w14:paraId="7C5F0365" w14:textId="77777777" w:rsidTr="00810BD0">
        <w:trPr>
          <w:trHeight w:val="288"/>
        </w:trPr>
        <w:tc>
          <w:tcPr>
            <w:tcW w:w="2718" w:type="dxa"/>
            <w:tcBorders>
              <w:top w:val="single" w:sz="4" w:space="0" w:color="auto"/>
            </w:tcBorders>
            <w:noWrap/>
            <w:vAlign w:val="center"/>
            <w:hideMark/>
          </w:tcPr>
          <w:p w14:paraId="56CBACEA" w14:textId="77777777" w:rsidR="00C25616" w:rsidRPr="004E247D" w:rsidRDefault="00C25616" w:rsidP="007233F6">
            <w:pPr>
              <w:jc w:val="center"/>
              <w:rPr>
                <w:color w:val="000000" w:themeColor="text1"/>
                <w:sz w:val="24"/>
                <w:szCs w:val="24"/>
              </w:rPr>
            </w:pPr>
            <w:r w:rsidRPr="004E247D">
              <w:rPr>
                <w:color w:val="000000" w:themeColor="text1"/>
                <w:sz w:val="24"/>
                <w:szCs w:val="24"/>
              </w:rPr>
              <w:t>No</w:t>
            </w:r>
          </w:p>
        </w:tc>
        <w:tc>
          <w:tcPr>
            <w:tcW w:w="1451" w:type="dxa"/>
            <w:tcBorders>
              <w:top w:val="single" w:sz="4" w:space="0" w:color="auto"/>
            </w:tcBorders>
            <w:noWrap/>
            <w:vAlign w:val="center"/>
            <w:hideMark/>
          </w:tcPr>
          <w:p w14:paraId="5EB56CEA" w14:textId="77777777" w:rsidR="00C25616" w:rsidRPr="004E247D" w:rsidRDefault="00C25616" w:rsidP="007233F6">
            <w:pPr>
              <w:jc w:val="center"/>
              <w:rPr>
                <w:color w:val="000000" w:themeColor="text1"/>
                <w:sz w:val="24"/>
                <w:szCs w:val="24"/>
              </w:rPr>
            </w:pPr>
            <w:r w:rsidRPr="004E247D">
              <w:rPr>
                <w:color w:val="000000" w:themeColor="text1"/>
                <w:sz w:val="24"/>
                <w:szCs w:val="24"/>
              </w:rPr>
              <w:t>38</w:t>
            </w:r>
          </w:p>
        </w:tc>
        <w:tc>
          <w:tcPr>
            <w:tcW w:w="1609" w:type="dxa"/>
            <w:tcBorders>
              <w:top w:val="single" w:sz="4" w:space="0" w:color="auto"/>
            </w:tcBorders>
            <w:noWrap/>
            <w:vAlign w:val="center"/>
            <w:hideMark/>
          </w:tcPr>
          <w:p w14:paraId="71203A07" w14:textId="77777777" w:rsidR="00C25616" w:rsidRPr="004E247D" w:rsidRDefault="00C25616" w:rsidP="007233F6">
            <w:pPr>
              <w:jc w:val="center"/>
              <w:rPr>
                <w:color w:val="000000" w:themeColor="text1"/>
                <w:sz w:val="24"/>
                <w:szCs w:val="24"/>
              </w:rPr>
            </w:pPr>
            <w:r w:rsidRPr="004E247D">
              <w:rPr>
                <w:color w:val="000000" w:themeColor="text1"/>
                <w:sz w:val="24"/>
                <w:szCs w:val="24"/>
              </w:rPr>
              <w:t>82.61</w:t>
            </w:r>
          </w:p>
        </w:tc>
      </w:tr>
      <w:tr w:rsidR="00C25616" w:rsidRPr="004E247D" w14:paraId="10473A3F" w14:textId="77777777" w:rsidTr="00810BD0">
        <w:trPr>
          <w:trHeight w:val="288"/>
        </w:trPr>
        <w:tc>
          <w:tcPr>
            <w:tcW w:w="2718" w:type="dxa"/>
            <w:noWrap/>
            <w:vAlign w:val="center"/>
            <w:hideMark/>
          </w:tcPr>
          <w:p w14:paraId="64122669" w14:textId="77777777" w:rsidR="00C25616" w:rsidRPr="004E247D" w:rsidRDefault="00C25616" w:rsidP="007233F6">
            <w:pPr>
              <w:jc w:val="center"/>
              <w:rPr>
                <w:color w:val="000000" w:themeColor="text1"/>
                <w:sz w:val="24"/>
                <w:szCs w:val="24"/>
              </w:rPr>
            </w:pPr>
            <w:r w:rsidRPr="004E247D">
              <w:rPr>
                <w:color w:val="000000" w:themeColor="text1"/>
                <w:sz w:val="24"/>
                <w:szCs w:val="24"/>
              </w:rPr>
              <w:t>Yes</w:t>
            </w:r>
          </w:p>
        </w:tc>
        <w:tc>
          <w:tcPr>
            <w:tcW w:w="1451" w:type="dxa"/>
            <w:noWrap/>
            <w:vAlign w:val="center"/>
            <w:hideMark/>
          </w:tcPr>
          <w:p w14:paraId="27587991" w14:textId="77777777" w:rsidR="00C25616" w:rsidRPr="004E247D" w:rsidRDefault="00C25616" w:rsidP="007233F6">
            <w:pPr>
              <w:jc w:val="center"/>
              <w:rPr>
                <w:color w:val="000000" w:themeColor="text1"/>
                <w:sz w:val="24"/>
                <w:szCs w:val="24"/>
              </w:rPr>
            </w:pPr>
            <w:r w:rsidRPr="004E247D">
              <w:rPr>
                <w:color w:val="000000" w:themeColor="text1"/>
                <w:sz w:val="24"/>
                <w:szCs w:val="24"/>
              </w:rPr>
              <w:t>8</w:t>
            </w:r>
          </w:p>
        </w:tc>
        <w:tc>
          <w:tcPr>
            <w:tcW w:w="1609" w:type="dxa"/>
            <w:noWrap/>
            <w:vAlign w:val="center"/>
            <w:hideMark/>
          </w:tcPr>
          <w:p w14:paraId="083C66FA" w14:textId="77777777" w:rsidR="00C25616" w:rsidRPr="004E247D" w:rsidRDefault="00C25616" w:rsidP="007233F6">
            <w:pPr>
              <w:jc w:val="center"/>
              <w:rPr>
                <w:color w:val="000000" w:themeColor="text1"/>
                <w:sz w:val="24"/>
                <w:szCs w:val="24"/>
              </w:rPr>
            </w:pPr>
            <w:r w:rsidRPr="004E247D">
              <w:rPr>
                <w:color w:val="000000" w:themeColor="text1"/>
                <w:sz w:val="24"/>
                <w:szCs w:val="24"/>
              </w:rPr>
              <w:t>17.39</w:t>
            </w:r>
          </w:p>
        </w:tc>
      </w:tr>
      <w:tr w:rsidR="00C25616" w:rsidRPr="004E247D" w14:paraId="0DF5B858" w14:textId="77777777" w:rsidTr="00810BD0">
        <w:trPr>
          <w:trHeight w:val="288"/>
        </w:trPr>
        <w:tc>
          <w:tcPr>
            <w:tcW w:w="2718" w:type="dxa"/>
            <w:tcBorders>
              <w:bottom w:val="single" w:sz="4" w:space="0" w:color="auto"/>
            </w:tcBorders>
            <w:noWrap/>
            <w:vAlign w:val="center"/>
            <w:hideMark/>
          </w:tcPr>
          <w:p w14:paraId="179249EC"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 xml:space="preserve">Total </w:t>
            </w:r>
          </w:p>
        </w:tc>
        <w:tc>
          <w:tcPr>
            <w:tcW w:w="1451" w:type="dxa"/>
            <w:tcBorders>
              <w:bottom w:val="single" w:sz="4" w:space="0" w:color="auto"/>
            </w:tcBorders>
            <w:noWrap/>
            <w:vAlign w:val="center"/>
            <w:hideMark/>
          </w:tcPr>
          <w:p w14:paraId="622A9DB4"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46</w:t>
            </w:r>
          </w:p>
        </w:tc>
        <w:tc>
          <w:tcPr>
            <w:tcW w:w="1609" w:type="dxa"/>
            <w:tcBorders>
              <w:bottom w:val="single" w:sz="4" w:space="0" w:color="auto"/>
            </w:tcBorders>
            <w:noWrap/>
            <w:vAlign w:val="center"/>
            <w:hideMark/>
          </w:tcPr>
          <w:p w14:paraId="17F0DA5C" w14:textId="77777777" w:rsidR="00C25616" w:rsidRPr="004E247D" w:rsidRDefault="00C25616" w:rsidP="007233F6">
            <w:pPr>
              <w:jc w:val="center"/>
              <w:rPr>
                <w:b/>
                <w:bCs/>
                <w:color w:val="000000" w:themeColor="text1"/>
                <w:sz w:val="24"/>
                <w:szCs w:val="24"/>
              </w:rPr>
            </w:pPr>
            <w:r w:rsidRPr="004E247D">
              <w:rPr>
                <w:b/>
                <w:bCs/>
                <w:color w:val="000000" w:themeColor="text1"/>
                <w:sz w:val="24"/>
                <w:szCs w:val="24"/>
              </w:rPr>
              <w:t>100.00</w:t>
            </w:r>
          </w:p>
        </w:tc>
      </w:tr>
    </w:tbl>
    <w:p w14:paraId="6F190C0E" w14:textId="0C5DF10A"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The data in Table </w:t>
      </w:r>
      <w:r w:rsidR="005806B5" w:rsidRPr="004E247D">
        <w:rPr>
          <w:color w:val="000000" w:themeColor="text1"/>
          <w:sz w:val="24"/>
          <w:szCs w:val="24"/>
          <w:lang w:val="en-PH"/>
        </w:rPr>
        <w:t>6</w:t>
      </w:r>
      <w:r w:rsidRPr="004E247D">
        <w:rPr>
          <w:color w:val="000000" w:themeColor="text1"/>
          <w:sz w:val="24"/>
          <w:szCs w:val="24"/>
          <w:lang w:val="en-PH"/>
        </w:rPr>
        <w:t xml:space="preserve"> reveal that a significant majority of respondents (82.61% or 38 students) had no prior exposure to welding courses during their Senior High School education, while only 17.39% (8 students) had taken welding under the TVL track. This indicates that most students entered college welding programs without foundational knowledge or hands-on experience, which may affect their initial performance, confidence, and ability to grasp practical skills. The findings highlight a gap in prior technical preparation among the respondents.</w:t>
      </w:r>
    </w:p>
    <w:p w14:paraId="7AFEB841" w14:textId="374135EE" w:rsidR="00821972" w:rsidRPr="004E247D" w:rsidRDefault="001464C1" w:rsidP="00675334">
      <w:pPr>
        <w:spacing w:before="240" w:after="240"/>
        <w:ind w:firstLine="720"/>
        <w:jc w:val="both"/>
        <w:rPr>
          <w:color w:val="000000" w:themeColor="text1"/>
          <w:sz w:val="24"/>
          <w:szCs w:val="24"/>
          <w:lang w:val="en-PH"/>
        </w:rPr>
      </w:pPr>
      <w:r w:rsidRPr="004E247D">
        <w:rPr>
          <w:color w:val="000000" w:themeColor="text1"/>
          <w:sz w:val="24"/>
          <w:szCs w:val="24"/>
          <w:lang w:val="en-PH"/>
        </w:rPr>
        <w:lastRenderedPageBreak/>
        <w:t>In summary, the findings show that only a small portion of students had formal welding training before college, while the majority relied solely on their college education to develop their skills. This situation underscores the importance of implementing differentiated instruction to accommodate varying levels of experience, helping students build confidence, improve competence, and successfully adapt to the demands of welding education.</w:t>
      </w:r>
    </w:p>
    <w:p w14:paraId="63FCE40B" w14:textId="30CA36B2" w:rsidR="002B7D4A" w:rsidRPr="004E247D" w:rsidRDefault="003050C2" w:rsidP="002B7D4A">
      <w:pPr>
        <w:spacing w:before="240" w:after="240"/>
        <w:jc w:val="both"/>
        <w:rPr>
          <w:b/>
          <w:bCs/>
          <w:color w:val="000000" w:themeColor="text1"/>
          <w:sz w:val="24"/>
          <w:szCs w:val="24"/>
          <w:lang w:val="en-PH"/>
        </w:rPr>
      </w:pPr>
      <w:r w:rsidRPr="004E247D">
        <w:rPr>
          <w:b/>
          <w:bCs/>
          <w:color w:val="000000" w:themeColor="text1"/>
          <w:sz w:val="24"/>
          <w:szCs w:val="24"/>
          <w:lang w:val="en-PH"/>
        </w:rPr>
        <w:t>RESPONDENT'S PERCEIVED LEVEL OF SHS WELDING COMPETENCIES</w:t>
      </w:r>
    </w:p>
    <w:p w14:paraId="478440AC" w14:textId="77777777" w:rsidR="00F3725C" w:rsidRPr="004E247D" w:rsidRDefault="00F3725C" w:rsidP="00F3725C">
      <w:pPr>
        <w:spacing w:before="240" w:after="240"/>
        <w:ind w:firstLine="720"/>
        <w:jc w:val="both"/>
        <w:rPr>
          <w:color w:val="000000" w:themeColor="text1"/>
          <w:sz w:val="24"/>
          <w:szCs w:val="24"/>
        </w:rPr>
      </w:pPr>
      <w:r w:rsidRPr="004E247D">
        <w:rPr>
          <w:color w:val="000000" w:themeColor="text1"/>
          <w:sz w:val="24"/>
          <w:szCs w:val="24"/>
        </w:rPr>
        <w:t>The following section presents the respondents’ perceptions of their Senior High School (SHS) welding competency levels, focusing on three key components: academic readiness, practical experience in performing welding tasks, and technical expertise in welding. This information is essential in understanding how respondents evaluate their own preparedness in relation to learning readiness, hands-on welding experience, and overall competency in the field. These perceived competencies may have significant implications for their academic performance in college-level welding courses. Furthermore, examining these perceptions provides valuable insights that may guide the development of appropriate instructional strategies aimed at enhancing both academic and technical performance in welding education.</w:t>
      </w:r>
    </w:p>
    <w:p w14:paraId="011488B4" w14:textId="1C320F5E" w:rsidR="003050C2" w:rsidRPr="004E247D" w:rsidRDefault="003050C2" w:rsidP="002B7D4A">
      <w:pPr>
        <w:spacing w:before="240" w:after="240"/>
        <w:jc w:val="both"/>
        <w:rPr>
          <w:b/>
          <w:bCs/>
          <w:color w:val="000000" w:themeColor="text1"/>
          <w:sz w:val="24"/>
          <w:szCs w:val="24"/>
          <w:lang w:val="en-PH"/>
        </w:rPr>
      </w:pPr>
      <w:r w:rsidRPr="004E247D">
        <w:rPr>
          <w:b/>
          <w:bCs/>
          <w:color w:val="000000" w:themeColor="text1"/>
          <w:sz w:val="24"/>
          <w:szCs w:val="24"/>
          <w:lang w:val="en-PH"/>
        </w:rPr>
        <w:t>Academic Preparedness</w:t>
      </w:r>
    </w:p>
    <w:p w14:paraId="5806337E" w14:textId="77777777" w:rsidR="00BA1C6D" w:rsidRPr="004E247D" w:rsidRDefault="00BA1C6D" w:rsidP="00BA1C6D">
      <w:pPr>
        <w:spacing w:before="240" w:after="240"/>
        <w:ind w:firstLine="720"/>
        <w:jc w:val="both"/>
        <w:rPr>
          <w:color w:val="000000" w:themeColor="text1"/>
          <w:sz w:val="24"/>
          <w:szCs w:val="24"/>
          <w:lang w:val="en-PH"/>
        </w:rPr>
      </w:pPr>
      <w:r w:rsidRPr="004E247D">
        <w:rPr>
          <w:color w:val="000000" w:themeColor="text1"/>
          <w:sz w:val="24"/>
          <w:szCs w:val="24"/>
          <w:lang w:val="en-PH"/>
        </w:rPr>
        <w:t>The respondents’ Senior High School (SHS) welding competence was examined to determine their level of preparedness for college-level instruction, with particular attention to their study skills, understanding of welding theory, problem-solving abilities, and overall readiness for advanced technical training. This assessment provides an indication of the extent to which their prior learning experiences have equipped them with the foundational competencies required in higher education welding courses. The summarized results of this evaluation are presented in Table 7.</w:t>
      </w:r>
    </w:p>
    <w:p w14:paraId="48C04A5F" w14:textId="00C9C7E4" w:rsidR="003050C2" w:rsidRPr="004E247D" w:rsidRDefault="003050C2" w:rsidP="003050C2">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D73792" w:rsidRPr="004E247D">
        <w:rPr>
          <w:b/>
          <w:bCs/>
          <w:color w:val="000000" w:themeColor="text1"/>
          <w:sz w:val="24"/>
          <w:szCs w:val="24"/>
          <w:lang w:val="en-PH"/>
        </w:rPr>
        <w:t>7</w:t>
      </w:r>
      <w:r w:rsidRPr="004E247D">
        <w:rPr>
          <w:b/>
          <w:bCs/>
          <w:color w:val="000000" w:themeColor="text1"/>
          <w:sz w:val="24"/>
          <w:szCs w:val="24"/>
          <w:lang w:val="en-PH"/>
        </w:rPr>
        <w:t>. Respondent's Perceived Level of SHS Welding Competencies in Terms of Academic Preparedness</w:t>
      </w:r>
    </w:p>
    <w:tbl>
      <w:tblPr>
        <w:tblW w:w="9558" w:type="dxa"/>
        <w:tblLook w:val="04A0" w:firstRow="1" w:lastRow="0" w:firstColumn="1" w:lastColumn="0" w:noHBand="0" w:noVBand="1"/>
      </w:tblPr>
      <w:tblGrid>
        <w:gridCol w:w="617"/>
        <w:gridCol w:w="4782"/>
        <w:gridCol w:w="721"/>
        <w:gridCol w:w="900"/>
        <w:gridCol w:w="2538"/>
      </w:tblGrid>
      <w:tr w:rsidR="003050C2" w:rsidRPr="004E247D" w14:paraId="023D4A6A" w14:textId="77777777" w:rsidTr="003050C2">
        <w:trPr>
          <w:trHeight w:val="203"/>
        </w:trPr>
        <w:tc>
          <w:tcPr>
            <w:tcW w:w="617" w:type="dxa"/>
            <w:tcBorders>
              <w:top w:val="single" w:sz="4" w:space="0" w:color="auto"/>
              <w:bottom w:val="single" w:sz="4" w:space="0" w:color="auto"/>
            </w:tcBorders>
            <w:noWrap/>
            <w:vAlign w:val="center"/>
            <w:hideMark/>
          </w:tcPr>
          <w:p w14:paraId="50C1E937"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S/N</w:t>
            </w:r>
          </w:p>
        </w:tc>
        <w:tc>
          <w:tcPr>
            <w:tcW w:w="4782" w:type="dxa"/>
            <w:tcBorders>
              <w:top w:val="single" w:sz="4" w:space="0" w:color="auto"/>
              <w:bottom w:val="single" w:sz="4" w:space="0" w:color="auto"/>
            </w:tcBorders>
            <w:noWrap/>
            <w:vAlign w:val="center"/>
            <w:hideMark/>
          </w:tcPr>
          <w:p w14:paraId="3A1CC776"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 xml:space="preserve">Indicators </w:t>
            </w:r>
          </w:p>
        </w:tc>
        <w:tc>
          <w:tcPr>
            <w:tcW w:w="721" w:type="dxa"/>
            <w:tcBorders>
              <w:top w:val="single" w:sz="4" w:space="0" w:color="auto"/>
              <w:bottom w:val="single" w:sz="4" w:space="0" w:color="auto"/>
            </w:tcBorders>
            <w:noWrap/>
            <w:vAlign w:val="center"/>
            <w:hideMark/>
          </w:tcPr>
          <w:p w14:paraId="7D1CC398"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WM</w:t>
            </w:r>
          </w:p>
        </w:tc>
        <w:tc>
          <w:tcPr>
            <w:tcW w:w="900" w:type="dxa"/>
            <w:tcBorders>
              <w:top w:val="single" w:sz="4" w:space="0" w:color="auto"/>
              <w:bottom w:val="single" w:sz="4" w:space="0" w:color="auto"/>
            </w:tcBorders>
            <w:noWrap/>
            <w:vAlign w:val="center"/>
            <w:hideMark/>
          </w:tcPr>
          <w:p w14:paraId="5388943B"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SD</w:t>
            </w:r>
          </w:p>
        </w:tc>
        <w:tc>
          <w:tcPr>
            <w:tcW w:w="2538" w:type="dxa"/>
            <w:tcBorders>
              <w:top w:val="single" w:sz="4" w:space="0" w:color="auto"/>
              <w:bottom w:val="single" w:sz="4" w:space="0" w:color="auto"/>
            </w:tcBorders>
            <w:noWrap/>
            <w:vAlign w:val="center"/>
            <w:hideMark/>
          </w:tcPr>
          <w:p w14:paraId="39AB7892"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 xml:space="preserve">Verbal Description </w:t>
            </w:r>
          </w:p>
        </w:tc>
      </w:tr>
      <w:tr w:rsidR="003050C2" w:rsidRPr="004E247D" w14:paraId="15302F10" w14:textId="77777777" w:rsidTr="003050C2">
        <w:trPr>
          <w:trHeight w:val="203"/>
        </w:trPr>
        <w:tc>
          <w:tcPr>
            <w:tcW w:w="617" w:type="dxa"/>
            <w:tcBorders>
              <w:top w:val="single" w:sz="4" w:space="0" w:color="auto"/>
            </w:tcBorders>
            <w:noWrap/>
            <w:vAlign w:val="center"/>
            <w:hideMark/>
          </w:tcPr>
          <w:p w14:paraId="045C820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4782" w:type="dxa"/>
            <w:tcBorders>
              <w:top w:val="single" w:sz="4" w:space="0" w:color="auto"/>
            </w:tcBorders>
            <w:noWrap/>
            <w:vAlign w:val="center"/>
            <w:hideMark/>
          </w:tcPr>
          <w:p w14:paraId="6BF4FEE4"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SHS education helped me develop study habits useful for college welding courses. </w:t>
            </w:r>
          </w:p>
        </w:tc>
        <w:tc>
          <w:tcPr>
            <w:tcW w:w="721" w:type="dxa"/>
            <w:tcBorders>
              <w:top w:val="single" w:sz="4" w:space="0" w:color="auto"/>
            </w:tcBorders>
            <w:noWrap/>
            <w:vAlign w:val="center"/>
            <w:hideMark/>
          </w:tcPr>
          <w:p w14:paraId="30E35214"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2.72</w:t>
            </w:r>
          </w:p>
        </w:tc>
        <w:tc>
          <w:tcPr>
            <w:tcW w:w="900" w:type="dxa"/>
            <w:tcBorders>
              <w:top w:val="single" w:sz="4" w:space="0" w:color="auto"/>
            </w:tcBorders>
            <w:noWrap/>
            <w:vAlign w:val="center"/>
            <w:hideMark/>
          </w:tcPr>
          <w:p w14:paraId="1BD08B21"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1.46</w:t>
            </w:r>
          </w:p>
        </w:tc>
        <w:tc>
          <w:tcPr>
            <w:tcW w:w="2538" w:type="dxa"/>
            <w:tcBorders>
              <w:top w:val="single" w:sz="4" w:space="0" w:color="auto"/>
            </w:tcBorders>
            <w:noWrap/>
            <w:vAlign w:val="center"/>
            <w:hideMark/>
          </w:tcPr>
          <w:p w14:paraId="2A763DDE"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6CB69B31" w14:textId="77777777" w:rsidTr="003050C2">
        <w:trPr>
          <w:trHeight w:val="203"/>
        </w:trPr>
        <w:tc>
          <w:tcPr>
            <w:tcW w:w="617" w:type="dxa"/>
            <w:noWrap/>
            <w:vAlign w:val="center"/>
            <w:hideMark/>
          </w:tcPr>
          <w:p w14:paraId="748A423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4782" w:type="dxa"/>
            <w:noWrap/>
            <w:vAlign w:val="center"/>
            <w:hideMark/>
          </w:tcPr>
          <w:p w14:paraId="771C1EA9"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was academically prepared for theoretical concepts in college welding subjects. </w:t>
            </w:r>
          </w:p>
        </w:tc>
        <w:tc>
          <w:tcPr>
            <w:tcW w:w="721" w:type="dxa"/>
            <w:noWrap/>
            <w:vAlign w:val="center"/>
            <w:hideMark/>
          </w:tcPr>
          <w:p w14:paraId="0CD12705"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2.76</w:t>
            </w:r>
          </w:p>
        </w:tc>
        <w:tc>
          <w:tcPr>
            <w:tcW w:w="900" w:type="dxa"/>
            <w:noWrap/>
            <w:vAlign w:val="center"/>
            <w:hideMark/>
          </w:tcPr>
          <w:p w14:paraId="4ED2946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1.23</w:t>
            </w:r>
          </w:p>
        </w:tc>
        <w:tc>
          <w:tcPr>
            <w:tcW w:w="2538" w:type="dxa"/>
            <w:noWrap/>
            <w:vAlign w:val="center"/>
            <w:hideMark/>
          </w:tcPr>
          <w:p w14:paraId="7F9405FC"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124336B5" w14:textId="77777777" w:rsidTr="003050C2">
        <w:trPr>
          <w:trHeight w:val="203"/>
        </w:trPr>
        <w:tc>
          <w:tcPr>
            <w:tcW w:w="617" w:type="dxa"/>
            <w:noWrap/>
            <w:vAlign w:val="center"/>
            <w:hideMark/>
          </w:tcPr>
          <w:p w14:paraId="346C906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4782" w:type="dxa"/>
            <w:noWrap/>
            <w:vAlign w:val="center"/>
            <w:hideMark/>
          </w:tcPr>
          <w:p w14:paraId="43EB8A2B"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had sufficient mathematics knowledge before entering college. </w:t>
            </w:r>
          </w:p>
        </w:tc>
        <w:tc>
          <w:tcPr>
            <w:tcW w:w="721" w:type="dxa"/>
            <w:noWrap/>
            <w:vAlign w:val="center"/>
            <w:hideMark/>
          </w:tcPr>
          <w:p w14:paraId="3E205E8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3.15</w:t>
            </w:r>
          </w:p>
        </w:tc>
        <w:tc>
          <w:tcPr>
            <w:tcW w:w="900" w:type="dxa"/>
            <w:noWrap/>
            <w:vAlign w:val="center"/>
            <w:hideMark/>
          </w:tcPr>
          <w:p w14:paraId="7AD81346"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1.03</w:t>
            </w:r>
          </w:p>
        </w:tc>
        <w:tc>
          <w:tcPr>
            <w:tcW w:w="2538" w:type="dxa"/>
            <w:noWrap/>
            <w:vAlign w:val="center"/>
            <w:hideMark/>
          </w:tcPr>
          <w:p w14:paraId="4E684C4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6DD164FE" w14:textId="77777777" w:rsidTr="003050C2">
        <w:trPr>
          <w:trHeight w:val="203"/>
        </w:trPr>
        <w:tc>
          <w:tcPr>
            <w:tcW w:w="617" w:type="dxa"/>
            <w:noWrap/>
            <w:vAlign w:val="center"/>
            <w:hideMark/>
          </w:tcPr>
          <w:p w14:paraId="37967B59"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4782" w:type="dxa"/>
            <w:noWrap/>
            <w:vAlign w:val="center"/>
            <w:hideMark/>
          </w:tcPr>
          <w:p w14:paraId="2306C4A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had sufficient science knowledge before entering college. </w:t>
            </w:r>
          </w:p>
        </w:tc>
        <w:tc>
          <w:tcPr>
            <w:tcW w:w="721" w:type="dxa"/>
            <w:noWrap/>
            <w:vAlign w:val="center"/>
            <w:hideMark/>
          </w:tcPr>
          <w:p w14:paraId="55B2DA7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3.30</w:t>
            </w:r>
          </w:p>
        </w:tc>
        <w:tc>
          <w:tcPr>
            <w:tcW w:w="900" w:type="dxa"/>
            <w:noWrap/>
            <w:vAlign w:val="center"/>
            <w:hideMark/>
          </w:tcPr>
          <w:p w14:paraId="4972D52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0.96</w:t>
            </w:r>
          </w:p>
        </w:tc>
        <w:tc>
          <w:tcPr>
            <w:tcW w:w="2538" w:type="dxa"/>
            <w:noWrap/>
            <w:vAlign w:val="center"/>
            <w:hideMark/>
          </w:tcPr>
          <w:p w14:paraId="55670FAE"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5DF757A4" w14:textId="77777777" w:rsidTr="003050C2">
        <w:trPr>
          <w:trHeight w:val="203"/>
        </w:trPr>
        <w:tc>
          <w:tcPr>
            <w:tcW w:w="617" w:type="dxa"/>
            <w:noWrap/>
            <w:vAlign w:val="center"/>
            <w:hideMark/>
          </w:tcPr>
          <w:p w14:paraId="151C5BD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4782" w:type="dxa"/>
            <w:noWrap/>
            <w:vAlign w:val="center"/>
            <w:hideMark/>
          </w:tcPr>
          <w:p w14:paraId="7BFCDCDC"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developed problem-solving skills applicable to welding tasks. </w:t>
            </w:r>
          </w:p>
        </w:tc>
        <w:tc>
          <w:tcPr>
            <w:tcW w:w="721" w:type="dxa"/>
            <w:noWrap/>
            <w:vAlign w:val="center"/>
            <w:hideMark/>
          </w:tcPr>
          <w:p w14:paraId="2EB1F13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3.04</w:t>
            </w:r>
          </w:p>
        </w:tc>
        <w:tc>
          <w:tcPr>
            <w:tcW w:w="900" w:type="dxa"/>
            <w:noWrap/>
            <w:vAlign w:val="center"/>
            <w:hideMark/>
          </w:tcPr>
          <w:p w14:paraId="7B807AD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1.01</w:t>
            </w:r>
          </w:p>
        </w:tc>
        <w:tc>
          <w:tcPr>
            <w:tcW w:w="2538" w:type="dxa"/>
            <w:noWrap/>
            <w:vAlign w:val="center"/>
            <w:hideMark/>
          </w:tcPr>
          <w:p w14:paraId="0AF46C9C"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4D3E1B9B" w14:textId="77777777" w:rsidTr="003050C2">
        <w:trPr>
          <w:trHeight w:val="203"/>
        </w:trPr>
        <w:tc>
          <w:tcPr>
            <w:tcW w:w="617" w:type="dxa"/>
            <w:noWrap/>
            <w:vAlign w:val="center"/>
            <w:hideMark/>
          </w:tcPr>
          <w:p w14:paraId="74EA068B"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6</w:t>
            </w:r>
          </w:p>
        </w:tc>
        <w:tc>
          <w:tcPr>
            <w:tcW w:w="4782" w:type="dxa"/>
            <w:noWrap/>
            <w:vAlign w:val="center"/>
            <w:hideMark/>
          </w:tcPr>
          <w:p w14:paraId="5109E5C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understand welding theories taught in college without difficulty. </w:t>
            </w:r>
          </w:p>
        </w:tc>
        <w:tc>
          <w:tcPr>
            <w:tcW w:w="721" w:type="dxa"/>
            <w:noWrap/>
            <w:vAlign w:val="center"/>
            <w:hideMark/>
          </w:tcPr>
          <w:p w14:paraId="03C0D0B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2.89</w:t>
            </w:r>
          </w:p>
        </w:tc>
        <w:tc>
          <w:tcPr>
            <w:tcW w:w="900" w:type="dxa"/>
            <w:noWrap/>
            <w:vAlign w:val="center"/>
            <w:hideMark/>
          </w:tcPr>
          <w:p w14:paraId="1713087F"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0.97</w:t>
            </w:r>
          </w:p>
        </w:tc>
        <w:tc>
          <w:tcPr>
            <w:tcW w:w="2538" w:type="dxa"/>
            <w:noWrap/>
            <w:vAlign w:val="center"/>
            <w:hideMark/>
          </w:tcPr>
          <w:p w14:paraId="50399CB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204C5141" w14:textId="77777777" w:rsidTr="003050C2">
        <w:trPr>
          <w:trHeight w:val="203"/>
        </w:trPr>
        <w:tc>
          <w:tcPr>
            <w:tcW w:w="617" w:type="dxa"/>
            <w:noWrap/>
            <w:vAlign w:val="center"/>
            <w:hideMark/>
          </w:tcPr>
          <w:p w14:paraId="62B5DE3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7</w:t>
            </w:r>
          </w:p>
        </w:tc>
        <w:tc>
          <w:tcPr>
            <w:tcW w:w="4782" w:type="dxa"/>
            <w:noWrap/>
            <w:vAlign w:val="center"/>
            <w:hideMark/>
          </w:tcPr>
          <w:p w14:paraId="761A4302"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SHS background helped me perform better in college welding subjects. </w:t>
            </w:r>
          </w:p>
        </w:tc>
        <w:tc>
          <w:tcPr>
            <w:tcW w:w="721" w:type="dxa"/>
            <w:noWrap/>
            <w:vAlign w:val="center"/>
            <w:hideMark/>
          </w:tcPr>
          <w:p w14:paraId="6889A6E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2.70</w:t>
            </w:r>
          </w:p>
        </w:tc>
        <w:tc>
          <w:tcPr>
            <w:tcW w:w="900" w:type="dxa"/>
            <w:noWrap/>
            <w:vAlign w:val="center"/>
            <w:hideMark/>
          </w:tcPr>
          <w:p w14:paraId="03D5AE0A"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1.24</w:t>
            </w:r>
          </w:p>
        </w:tc>
        <w:tc>
          <w:tcPr>
            <w:tcW w:w="2538" w:type="dxa"/>
            <w:noWrap/>
            <w:vAlign w:val="center"/>
            <w:hideMark/>
          </w:tcPr>
          <w:p w14:paraId="3782643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211788B4" w14:textId="77777777" w:rsidTr="003050C2">
        <w:trPr>
          <w:trHeight w:val="203"/>
        </w:trPr>
        <w:tc>
          <w:tcPr>
            <w:tcW w:w="617" w:type="dxa"/>
            <w:noWrap/>
            <w:vAlign w:val="center"/>
            <w:hideMark/>
          </w:tcPr>
          <w:p w14:paraId="2AD5DCF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8</w:t>
            </w:r>
          </w:p>
        </w:tc>
        <w:tc>
          <w:tcPr>
            <w:tcW w:w="4782" w:type="dxa"/>
            <w:noWrap/>
            <w:vAlign w:val="center"/>
            <w:hideMark/>
          </w:tcPr>
          <w:p w14:paraId="698ACBF7"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relate theoretical knowledge from SHS to welding applications in college. </w:t>
            </w:r>
          </w:p>
        </w:tc>
        <w:tc>
          <w:tcPr>
            <w:tcW w:w="721" w:type="dxa"/>
            <w:noWrap/>
            <w:vAlign w:val="center"/>
            <w:hideMark/>
          </w:tcPr>
          <w:p w14:paraId="0CBFB39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2.67</w:t>
            </w:r>
          </w:p>
        </w:tc>
        <w:tc>
          <w:tcPr>
            <w:tcW w:w="900" w:type="dxa"/>
            <w:noWrap/>
            <w:vAlign w:val="center"/>
            <w:hideMark/>
          </w:tcPr>
          <w:p w14:paraId="3158D702"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1.19</w:t>
            </w:r>
          </w:p>
        </w:tc>
        <w:tc>
          <w:tcPr>
            <w:tcW w:w="2538" w:type="dxa"/>
            <w:noWrap/>
            <w:vAlign w:val="center"/>
            <w:hideMark/>
          </w:tcPr>
          <w:p w14:paraId="383D41F1"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5700ADEA" w14:textId="77777777" w:rsidTr="003050C2">
        <w:trPr>
          <w:trHeight w:val="203"/>
        </w:trPr>
        <w:tc>
          <w:tcPr>
            <w:tcW w:w="617" w:type="dxa"/>
            <w:noWrap/>
            <w:vAlign w:val="center"/>
            <w:hideMark/>
          </w:tcPr>
          <w:p w14:paraId="1EE4262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9</w:t>
            </w:r>
          </w:p>
        </w:tc>
        <w:tc>
          <w:tcPr>
            <w:tcW w:w="4782" w:type="dxa"/>
            <w:noWrap/>
            <w:vAlign w:val="center"/>
            <w:hideMark/>
          </w:tcPr>
          <w:p w14:paraId="31995C72"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needed minimal additional guidance from college instructors. </w:t>
            </w:r>
          </w:p>
        </w:tc>
        <w:tc>
          <w:tcPr>
            <w:tcW w:w="721" w:type="dxa"/>
            <w:noWrap/>
            <w:vAlign w:val="center"/>
            <w:hideMark/>
          </w:tcPr>
          <w:p w14:paraId="637C61EB"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3.76</w:t>
            </w:r>
          </w:p>
        </w:tc>
        <w:tc>
          <w:tcPr>
            <w:tcW w:w="900" w:type="dxa"/>
            <w:noWrap/>
            <w:vAlign w:val="center"/>
            <w:hideMark/>
          </w:tcPr>
          <w:p w14:paraId="35C572C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1.08</w:t>
            </w:r>
          </w:p>
        </w:tc>
        <w:tc>
          <w:tcPr>
            <w:tcW w:w="2538" w:type="dxa"/>
            <w:noWrap/>
            <w:vAlign w:val="center"/>
            <w:hideMark/>
          </w:tcPr>
          <w:p w14:paraId="72D1002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3050C2" w:rsidRPr="004E247D" w14:paraId="1BA73E86" w14:textId="77777777" w:rsidTr="003050C2">
        <w:trPr>
          <w:trHeight w:val="203"/>
        </w:trPr>
        <w:tc>
          <w:tcPr>
            <w:tcW w:w="617" w:type="dxa"/>
            <w:noWrap/>
            <w:vAlign w:val="center"/>
            <w:hideMark/>
          </w:tcPr>
          <w:p w14:paraId="501CD5AE"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w:t>
            </w:r>
          </w:p>
        </w:tc>
        <w:tc>
          <w:tcPr>
            <w:tcW w:w="4782" w:type="dxa"/>
            <w:noWrap/>
            <w:vAlign w:val="center"/>
            <w:hideMark/>
          </w:tcPr>
          <w:p w14:paraId="7D3E4EB9"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SHS foundation positively influenced my academic performance in welding. </w:t>
            </w:r>
          </w:p>
        </w:tc>
        <w:tc>
          <w:tcPr>
            <w:tcW w:w="721" w:type="dxa"/>
            <w:noWrap/>
            <w:vAlign w:val="center"/>
            <w:hideMark/>
          </w:tcPr>
          <w:p w14:paraId="5A5EF93B"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2.85</w:t>
            </w:r>
          </w:p>
        </w:tc>
        <w:tc>
          <w:tcPr>
            <w:tcW w:w="900" w:type="dxa"/>
            <w:noWrap/>
            <w:vAlign w:val="center"/>
            <w:hideMark/>
          </w:tcPr>
          <w:p w14:paraId="088C272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1.15</w:t>
            </w:r>
          </w:p>
        </w:tc>
        <w:tc>
          <w:tcPr>
            <w:tcW w:w="2538" w:type="dxa"/>
            <w:noWrap/>
            <w:vAlign w:val="center"/>
            <w:hideMark/>
          </w:tcPr>
          <w:p w14:paraId="03C79B8E"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7E76FC39" w14:textId="77777777" w:rsidTr="003050C2">
        <w:trPr>
          <w:trHeight w:val="95"/>
        </w:trPr>
        <w:tc>
          <w:tcPr>
            <w:tcW w:w="617" w:type="dxa"/>
            <w:noWrap/>
            <w:vAlign w:val="center"/>
            <w:hideMark/>
          </w:tcPr>
          <w:p w14:paraId="7A166D6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82" w:type="dxa"/>
            <w:noWrap/>
            <w:vAlign w:val="center"/>
            <w:hideMark/>
          </w:tcPr>
          <w:p w14:paraId="496FD046"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721" w:type="dxa"/>
            <w:noWrap/>
            <w:vAlign w:val="center"/>
            <w:hideMark/>
          </w:tcPr>
          <w:p w14:paraId="6195EEC3"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2.98</w:t>
            </w:r>
          </w:p>
        </w:tc>
        <w:tc>
          <w:tcPr>
            <w:tcW w:w="900" w:type="dxa"/>
            <w:noWrap/>
            <w:vAlign w:val="center"/>
            <w:hideMark/>
          </w:tcPr>
          <w:p w14:paraId="4FF586CE"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c>
          <w:tcPr>
            <w:tcW w:w="2538" w:type="dxa"/>
            <w:noWrap/>
            <w:vAlign w:val="bottom"/>
            <w:hideMark/>
          </w:tcPr>
          <w:p w14:paraId="1941701E"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Moderate</w:t>
            </w:r>
          </w:p>
        </w:tc>
      </w:tr>
      <w:tr w:rsidR="003050C2" w:rsidRPr="004E247D" w14:paraId="1ED4F048" w14:textId="77777777" w:rsidTr="003050C2">
        <w:trPr>
          <w:trHeight w:val="203"/>
        </w:trPr>
        <w:tc>
          <w:tcPr>
            <w:tcW w:w="617" w:type="dxa"/>
            <w:tcBorders>
              <w:bottom w:val="single" w:sz="4" w:space="0" w:color="auto"/>
            </w:tcBorders>
            <w:noWrap/>
            <w:vAlign w:val="center"/>
            <w:hideMark/>
          </w:tcPr>
          <w:p w14:paraId="35B701EE"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82" w:type="dxa"/>
            <w:tcBorders>
              <w:bottom w:val="single" w:sz="4" w:space="0" w:color="auto"/>
            </w:tcBorders>
            <w:noWrap/>
            <w:vAlign w:val="center"/>
            <w:hideMark/>
          </w:tcPr>
          <w:p w14:paraId="48D1DE9A"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Standard Deviation</w:t>
            </w:r>
          </w:p>
        </w:tc>
        <w:tc>
          <w:tcPr>
            <w:tcW w:w="721" w:type="dxa"/>
            <w:tcBorders>
              <w:bottom w:val="single" w:sz="4" w:space="0" w:color="auto"/>
            </w:tcBorders>
            <w:noWrap/>
            <w:vAlign w:val="center"/>
            <w:hideMark/>
          </w:tcPr>
          <w:p w14:paraId="36559D4D"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c>
          <w:tcPr>
            <w:tcW w:w="900" w:type="dxa"/>
            <w:tcBorders>
              <w:bottom w:val="single" w:sz="4" w:space="0" w:color="auto"/>
            </w:tcBorders>
            <w:noWrap/>
            <w:vAlign w:val="center"/>
            <w:hideMark/>
          </w:tcPr>
          <w:p w14:paraId="0D806745"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1.13</w:t>
            </w:r>
          </w:p>
        </w:tc>
        <w:tc>
          <w:tcPr>
            <w:tcW w:w="2538" w:type="dxa"/>
            <w:tcBorders>
              <w:bottom w:val="single" w:sz="4" w:space="0" w:color="auto"/>
            </w:tcBorders>
            <w:noWrap/>
            <w:vAlign w:val="center"/>
            <w:hideMark/>
          </w:tcPr>
          <w:p w14:paraId="120682CF"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r>
    </w:tbl>
    <w:p w14:paraId="5FFE54DF" w14:textId="5849C5F4" w:rsidR="005A68A8" w:rsidRPr="004E247D" w:rsidRDefault="005A68A8" w:rsidP="005A68A8">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31977AFA" w14:textId="505245F4"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An examination of Table </w:t>
      </w:r>
      <w:r w:rsidR="00D73792" w:rsidRPr="004E247D">
        <w:rPr>
          <w:color w:val="000000" w:themeColor="text1"/>
          <w:sz w:val="24"/>
          <w:szCs w:val="24"/>
          <w:lang w:val="en-PH"/>
        </w:rPr>
        <w:t>7</w:t>
      </w:r>
      <w:r w:rsidRPr="004E247D">
        <w:rPr>
          <w:color w:val="000000" w:themeColor="text1"/>
          <w:sz w:val="24"/>
          <w:szCs w:val="24"/>
          <w:lang w:val="en-PH"/>
        </w:rPr>
        <w:t xml:space="preserve"> presents the respondents perceived competence in Senior High School (SHS) welding and how it relates to their preparedness for college welding classes. The overall weighted mean falls </w:t>
      </w:r>
      <w:r w:rsidRPr="004E247D">
        <w:rPr>
          <w:color w:val="000000" w:themeColor="text1"/>
          <w:sz w:val="24"/>
          <w:szCs w:val="24"/>
          <w:lang w:val="en-PH"/>
        </w:rPr>
        <w:lastRenderedPageBreak/>
        <w:t>under the Moderate category, indicating that while students consider their SHS preparation to be adequate, it is not strong enough to fully meet the academic and technical demands of college-level welding. This suggests that students possess foundational knowledge but may struggle with more complex concepts such as measurements, calculations, and advanced applications required in higher education.</w:t>
      </w:r>
    </w:p>
    <w:p w14:paraId="3DA78077" w14:textId="77777777"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In summary, the weighted mean of 2.98 indicates that respondents have a moderately good level of academic readiness, but notable gaps remain in their preparation for college welding. Although SHS provides a basic foundation, it is not sufficient to fully support the demands of advanced learning. This highlights the need for differentiated instruction in college, allowing educators to tailor teaching strategies and assessments to students’ varying competencies, ultimately enhancing their skills, confidence, and overall performance in welding education.</w:t>
      </w:r>
    </w:p>
    <w:p w14:paraId="74A9A53D" w14:textId="7F0D4B43" w:rsidR="003050C2" w:rsidRPr="004E247D" w:rsidRDefault="003050C2" w:rsidP="002B7D4A">
      <w:pPr>
        <w:spacing w:before="240" w:after="240"/>
        <w:jc w:val="both"/>
        <w:rPr>
          <w:b/>
          <w:bCs/>
          <w:color w:val="000000" w:themeColor="text1"/>
          <w:sz w:val="24"/>
          <w:szCs w:val="24"/>
          <w:lang w:val="en-PH"/>
        </w:rPr>
      </w:pPr>
      <w:r w:rsidRPr="004E247D">
        <w:rPr>
          <w:b/>
          <w:bCs/>
          <w:color w:val="000000" w:themeColor="text1"/>
          <w:sz w:val="24"/>
          <w:szCs w:val="24"/>
          <w:lang w:val="en-PH"/>
        </w:rPr>
        <w:t>Practical Skills</w:t>
      </w:r>
    </w:p>
    <w:p w14:paraId="3B0A0A66" w14:textId="77777777" w:rsidR="00CC2E87" w:rsidRPr="004E247D" w:rsidRDefault="00CC2E87" w:rsidP="00CC2E87">
      <w:pPr>
        <w:spacing w:before="240" w:after="240"/>
        <w:ind w:firstLine="720"/>
        <w:jc w:val="both"/>
        <w:rPr>
          <w:color w:val="000000" w:themeColor="text1"/>
          <w:sz w:val="24"/>
          <w:szCs w:val="24"/>
          <w:lang w:val="en-PH"/>
        </w:rPr>
      </w:pPr>
      <w:r w:rsidRPr="004E247D">
        <w:rPr>
          <w:color w:val="000000" w:themeColor="text1"/>
          <w:sz w:val="24"/>
          <w:szCs w:val="24"/>
          <w:lang w:val="en-PH"/>
        </w:rPr>
        <w:t>The respondents’ self-assessed practical welding skills were evaluated to determine their proficiency, safety compliance, and readiness for college-level welding activities. The assessment covered equipment use, welding procedures, safety practices, and understanding of technical instructions, providing insight into how their SHS exposure has developed their hands-on competencies. It also identified their strengths and areas needing improvement to meet required proficiency standards. The summarized results are presented in Table 8.</w:t>
      </w:r>
    </w:p>
    <w:p w14:paraId="128EEB24" w14:textId="086237F9" w:rsidR="003237C8" w:rsidRPr="004E247D" w:rsidRDefault="003237C8" w:rsidP="003237C8">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D73792" w:rsidRPr="004E247D">
        <w:rPr>
          <w:b/>
          <w:bCs/>
          <w:color w:val="000000" w:themeColor="text1"/>
          <w:sz w:val="24"/>
          <w:szCs w:val="24"/>
          <w:lang w:val="en-PH"/>
        </w:rPr>
        <w:t>8</w:t>
      </w:r>
      <w:r w:rsidRPr="004E247D">
        <w:rPr>
          <w:b/>
          <w:bCs/>
          <w:color w:val="000000" w:themeColor="text1"/>
          <w:sz w:val="24"/>
          <w:szCs w:val="24"/>
          <w:lang w:val="en-PH"/>
        </w:rPr>
        <w:t>. Respondent's Perceived Level of SHS Welding Competencies in Terms of Practical Skills</w:t>
      </w:r>
    </w:p>
    <w:tbl>
      <w:tblPr>
        <w:tblW w:w="9288" w:type="dxa"/>
        <w:tblLook w:val="04A0" w:firstRow="1" w:lastRow="0" w:firstColumn="1" w:lastColumn="0" w:noHBand="0" w:noVBand="1"/>
      </w:tblPr>
      <w:tblGrid>
        <w:gridCol w:w="616"/>
        <w:gridCol w:w="4754"/>
        <w:gridCol w:w="744"/>
        <w:gridCol w:w="816"/>
        <w:gridCol w:w="2358"/>
      </w:tblGrid>
      <w:tr w:rsidR="003050C2" w:rsidRPr="004E247D" w14:paraId="4DA18716" w14:textId="77777777" w:rsidTr="003237C8">
        <w:trPr>
          <w:trHeight w:val="273"/>
        </w:trPr>
        <w:tc>
          <w:tcPr>
            <w:tcW w:w="616" w:type="dxa"/>
            <w:tcBorders>
              <w:top w:val="single" w:sz="4" w:space="0" w:color="auto"/>
              <w:bottom w:val="single" w:sz="4" w:space="0" w:color="auto"/>
            </w:tcBorders>
            <w:noWrap/>
            <w:vAlign w:val="center"/>
            <w:hideMark/>
          </w:tcPr>
          <w:p w14:paraId="72270631"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S/N</w:t>
            </w:r>
          </w:p>
        </w:tc>
        <w:tc>
          <w:tcPr>
            <w:tcW w:w="4754" w:type="dxa"/>
            <w:tcBorders>
              <w:top w:val="single" w:sz="4" w:space="0" w:color="auto"/>
              <w:bottom w:val="single" w:sz="4" w:space="0" w:color="auto"/>
            </w:tcBorders>
            <w:noWrap/>
            <w:vAlign w:val="center"/>
            <w:hideMark/>
          </w:tcPr>
          <w:p w14:paraId="5E2572BF"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 xml:space="preserve">Indicators </w:t>
            </w:r>
          </w:p>
        </w:tc>
        <w:tc>
          <w:tcPr>
            <w:tcW w:w="744" w:type="dxa"/>
            <w:tcBorders>
              <w:top w:val="single" w:sz="4" w:space="0" w:color="auto"/>
              <w:bottom w:val="single" w:sz="4" w:space="0" w:color="auto"/>
            </w:tcBorders>
            <w:noWrap/>
            <w:vAlign w:val="center"/>
            <w:hideMark/>
          </w:tcPr>
          <w:p w14:paraId="5DAFE76C"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WM</w:t>
            </w:r>
          </w:p>
        </w:tc>
        <w:tc>
          <w:tcPr>
            <w:tcW w:w="816" w:type="dxa"/>
            <w:tcBorders>
              <w:top w:val="single" w:sz="4" w:space="0" w:color="auto"/>
              <w:bottom w:val="single" w:sz="4" w:space="0" w:color="auto"/>
            </w:tcBorders>
            <w:noWrap/>
            <w:vAlign w:val="center"/>
            <w:hideMark/>
          </w:tcPr>
          <w:p w14:paraId="404DF280"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SD</w:t>
            </w:r>
          </w:p>
        </w:tc>
        <w:tc>
          <w:tcPr>
            <w:tcW w:w="2358" w:type="dxa"/>
            <w:tcBorders>
              <w:top w:val="single" w:sz="4" w:space="0" w:color="auto"/>
              <w:bottom w:val="single" w:sz="4" w:space="0" w:color="auto"/>
            </w:tcBorders>
            <w:noWrap/>
            <w:vAlign w:val="center"/>
            <w:hideMark/>
          </w:tcPr>
          <w:p w14:paraId="095CF14B" w14:textId="77777777" w:rsidR="003050C2" w:rsidRPr="004E247D" w:rsidRDefault="003050C2" w:rsidP="007233F6">
            <w:pPr>
              <w:jc w:val="center"/>
              <w:rPr>
                <w:b/>
                <w:bCs/>
                <w:color w:val="000000" w:themeColor="text1"/>
                <w:sz w:val="24"/>
                <w:szCs w:val="24"/>
              </w:rPr>
            </w:pPr>
            <w:r w:rsidRPr="004E247D">
              <w:rPr>
                <w:b/>
                <w:bCs/>
                <w:color w:val="000000" w:themeColor="text1"/>
                <w:sz w:val="24"/>
                <w:szCs w:val="24"/>
              </w:rPr>
              <w:t xml:space="preserve">Verbal Description </w:t>
            </w:r>
          </w:p>
        </w:tc>
      </w:tr>
      <w:tr w:rsidR="003050C2" w:rsidRPr="004E247D" w14:paraId="4CFD729E" w14:textId="77777777" w:rsidTr="003237C8">
        <w:trPr>
          <w:trHeight w:val="263"/>
        </w:trPr>
        <w:tc>
          <w:tcPr>
            <w:tcW w:w="616" w:type="dxa"/>
            <w:tcBorders>
              <w:top w:val="single" w:sz="4" w:space="0" w:color="auto"/>
            </w:tcBorders>
            <w:noWrap/>
            <w:vAlign w:val="center"/>
            <w:hideMark/>
          </w:tcPr>
          <w:p w14:paraId="48C843B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4754" w:type="dxa"/>
            <w:tcBorders>
              <w:top w:val="single" w:sz="4" w:space="0" w:color="auto"/>
            </w:tcBorders>
            <w:noWrap/>
            <w:vAlign w:val="center"/>
            <w:hideMark/>
          </w:tcPr>
          <w:p w14:paraId="45DA8C7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had opportunities to prepare materials, tools, and equipment for welding before college. </w:t>
            </w:r>
          </w:p>
        </w:tc>
        <w:tc>
          <w:tcPr>
            <w:tcW w:w="744" w:type="dxa"/>
            <w:tcBorders>
              <w:top w:val="single" w:sz="4" w:space="0" w:color="auto"/>
            </w:tcBorders>
            <w:noWrap/>
            <w:vAlign w:val="center"/>
            <w:hideMark/>
          </w:tcPr>
          <w:p w14:paraId="6C4B618F"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2.67</w:t>
            </w:r>
          </w:p>
        </w:tc>
        <w:tc>
          <w:tcPr>
            <w:tcW w:w="816" w:type="dxa"/>
            <w:tcBorders>
              <w:top w:val="single" w:sz="4" w:space="0" w:color="auto"/>
            </w:tcBorders>
            <w:noWrap/>
            <w:vAlign w:val="center"/>
            <w:hideMark/>
          </w:tcPr>
          <w:p w14:paraId="22EA8ADC"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1.14</w:t>
            </w:r>
          </w:p>
        </w:tc>
        <w:tc>
          <w:tcPr>
            <w:tcW w:w="2358" w:type="dxa"/>
            <w:tcBorders>
              <w:top w:val="single" w:sz="4" w:space="0" w:color="auto"/>
            </w:tcBorders>
            <w:noWrap/>
            <w:vAlign w:val="center"/>
            <w:hideMark/>
          </w:tcPr>
          <w:p w14:paraId="1ADDE095"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19316D17" w14:textId="77777777" w:rsidTr="003237C8">
        <w:trPr>
          <w:trHeight w:val="263"/>
        </w:trPr>
        <w:tc>
          <w:tcPr>
            <w:tcW w:w="616" w:type="dxa"/>
            <w:noWrap/>
            <w:vAlign w:val="center"/>
            <w:hideMark/>
          </w:tcPr>
          <w:p w14:paraId="322303F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4754" w:type="dxa"/>
            <w:noWrap/>
            <w:vAlign w:val="center"/>
            <w:hideMark/>
          </w:tcPr>
          <w:p w14:paraId="045C2281"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was familiar with performing welding operations. </w:t>
            </w:r>
          </w:p>
        </w:tc>
        <w:tc>
          <w:tcPr>
            <w:tcW w:w="744" w:type="dxa"/>
            <w:noWrap/>
            <w:vAlign w:val="center"/>
            <w:hideMark/>
          </w:tcPr>
          <w:p w14:paraId="5DA4676F"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2.87</w:t>
            </w:r>
          </w:p>
        </w:tc>
        <w:tc>
          <w:tcPr>
            <w:tcW w:w="816" w:type="dxa"/>
            <w:noWrap/>
            <w:vAlign w:val="center"/>
            <w:hideMark/>
          </w:tcPr>
          <w:p w14:paraId="0720EC7D"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1.22</w:t>
            </w:r>
          </w:p>
        </w:tc>
        <w:tc>
          <w:tcPr>
            <w:tcW w:w="2358" w:type="dxa"/>
            <w:noWrap/>
            <w:vAlign w:val="center"/>
            <w:hideMark/>
          </w:tcPr>
          <w:p w14:paraId="151D1EC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506E9B3F" w14:textId="77777777" w:rsidTr="003237C8">
        <w:trPr>
          <w:trHeight w:val="263"/>
        </w:trPr>
        <w:tc>
          <w:tcPr>
            <w:tcW w:w="616" w:type="dxa"/>
            <w:noWrap/>
            <w:vAlign w:val="center"/>
            <w:hideMark/>
          </w:tcPr>
          <w:p w14:paraId="1832CDD2"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4754" w:type="dxa"/>
            <w:noWrap/>
            <w:vAlign w:val="center"/>
            <w:hideMark/>
          </w:tcPr>
          <w:p w14:paraId="700EA92F"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follow welding procedures accurately. </w:t>
            </w:r>
          </w:p>
        </w:tc>
        <w:tc>
          <w:tcPr>
            <w:tcW w:w="744" w:type="dxa"/>
            <w:noWrap/>
            <w:vAlign w:val="center"/>
            <w:hideMark/>
          </w:tcPr>
          <w:p w14:paraId="7D7D5D3E"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3.07</w:t>
            </w:r>
          </w:p>
        </w:tc>
        <w:tc>
          <w:tcPr>
            <w:tcW w:w="816" w:type="dxa"/>
            <w:noWrap/>
            <w:vAlign w:val="center"/>
            <w:hideMark/>
          </w:tcPr>
          <w:p w14:paraId="4D6F066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1.18</w:t>
            </w:r>
          </w:p>
        </w:tc>
        <w:tc>
          <w:tcPr>
            <w:tcW w:w="2358" w:type="dxa"/>
            <w:noWrap/>
            <w:vAlign w:val="center"/>
            <w:hideMark/>
          </w:tcPr>
          <w:p w14:paraId="3754EF5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15AD0150" w14:textId="77777777" w:rsidTr="003237C8">
        <w:trPr>
          <w:trHeight w:val="263"/>
        </w:trPr>
        <w:tc>
          <w:tcPr>
            <w:tcW w:w="616" w:type="dxa"/>
            <w:noWrap/>
            <w:vAlign w:val="center"/>
            <w:hideMark/>
          </w:tcPr>
          <w:p w14:paraId="3E46940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4754" w:type="dxa"/>
            <w:noWrap/>
            <w:vAlign w:val="center"/>
            <w:hideMark/>
          </w:tcPr>
          <w:p w14:paraId="34A9D012"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applied proper safety procedures and consistently used PPE. </w:t>
            </w:r>
          </w:p>
        </w:tc>
        <w:tc>
          <w:tcPr>
            <w:tcW w:w="744" w:type="dxa"/>
            <w:noWrap/>
            <w:vAlign w:val="center"/>
            <w:hideMark/>
          </w:tcPr>
          <w:p w14:paraId="71A0223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3.67</w:t>
            </w:r>
          </w:p>
        </w:tc>
        <w:tc>
          <w:tcPr>
            <w:tcW w:w="816" w:type="dxa"/>
            <w:noWrap/>
            <w:vAlign w:val="center"/>
            <w:hideMark/>
          </w:tcPr>
          <w:p w14:paraId="274DBCD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1.21</w:t>
            </w:r>
          </w:p>
        </w:tc>
        <w:tc>
          <w:tcPr>
            <w:tcW w:w="2358" w:type="dxa"/>
            <w:noWrap/>
            <w:vAlign w:val="center"/>
            <w:hideMark/>
          </w:tcPr>
          <w:p w14:paraId="6C51B581"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3050C2" w:rsidRPr="004E247D" w14:paraId="51D59AEF" w14:textId="77777777" w:rsidTr="003237C8">
        <w:trPr>
          <w:trHeight w:val="263"/>
        </w:trPr>
        <w:tc>
          <w:tcPr>
            <w:tcW w:w="616" w:type="dxa"/>
            <w:noWrap/>
            <w:vAlign w:val="center"/>
            <w:hideMark/>
          </w:tcPr>
          <w:p w14:paraId="29181FD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4754" w:type="dxa"/>
            <w:noWrap/>
            <w:vAlign w:val="center"/>
            <w:hideMark/>
          </w:tcPr>
          <w:p w14:paraId="1D899940"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produce welding outputs according to specifications and quality standards. </w:t>
            </w:r>
          </w:p>
        </w:tc>
        <w:tc>
          <w:tcPr>
            <w:tcW w:w="744" w:type="dxa"/>
            <w:noWrap/>
            <w:vAlign w:val="center"/>
            <w:hideMark/>
          </w:tcPr>
          <w:p w14:paraId="42C8FD8C"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3.07</w:t>
            </w:r>
          </w:p>
        </w:tc>
        <w:tc>
          <w:tcPr>
            <w:tcW w:w="816" w:type="dxa"/>
            <w:noWrap/>
            <w:vAlign w:val="center"/>
            <w:hideMark/>
          </w:tcPr>
          <w:p w14:paraId="33B3C0C6"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1.14</w:t>
            </w:r>
          </w:p>
        </w:tc>
        <w:tc>
          <w:tcPr>
            <w:tcW w:w="2358" w:type="dxa"/>
            <w:noWrap/>
            <w:vAlign w:val="center"/>
            <w:hideMark/>
          </w:tcPr>
          <w:p w14:paraId="11F72866"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213FE7B6" w14:textId="77777777" w:rsidTr="003237C8">
        <w:trPr>
          <w:trHeight w:val="263"/>
        </w:trPr>
        <w:tc>
          <w:tcPr>
            <w:tcW w:w="616" w:type="dxa"/>
            <w:noWrap/>
            <w:vAlign w:val="center"/>
            <w:hideMark/>
          </w:tcPr>
          <w:p w14:paraId="0AA5A06A"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6</w:t>
            </w:r>
          </w:p>
        </w:tc>
        <w:tc>
          <w:tcPr>
            <w:tcW w:w="4754" w:type="dxa"/>
            <w:noWrap/>
            <w:vAlign w:val="center"/>
            <w:hideMark/>
          </w:tcPr>
          <w:p w14:paraId="0F07B0F7"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check and inspect welds for quality and accuracy. </w:t>
            </w:r>
          </w:p>
        </w:tc>
        <w:tc>
          <w:tcPr>
            <w:tcW w:w="744" w:type="dxa"/>
            <w:noWrap/>
            <w:vAlign w:val="center"/>
            <w:hideMark/>
          </w:tcPr>
          <w:p w14:paraId="351CBEE2"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3.04</w:t>
            </w:r>
          </w:p>
        </w:tc>
        <w:tc>
          <w:tcPr>
            <w:tcW w:w="816" w:type="dxa"/>
            <w:noWrap/>
            <w:vAlign w:val="center"/>
            <w:hideMark/>
          </w:tcPr>
          <w:p w14:paraId="2AD3C50F"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1.23</w:t>
            </w:r>
          </w:p>
        </w:tc>
        <w:tc>
          <w:tcPr>
            <w:tcW w:w="2358" w:type="dxa"/>
            <w:noWrap/>
            <w:vAlign w:val="center"/>
            <w:hideMark/>
          </w:tcPr>
          <w:p w14:paraId="193BABF0"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47BAD7C9" w14:textId="77777777" w:rsidTr="003237C8">
        <w:trPr>
          <w:trHeight w:val="263"/>
        </w:trPr>
        <w:tc>
          <w:tcPr>
            <w:tcW w:w="616" w:type="dxa"/>
            <w:noWrap/>
            <w:vAlign w:val="center"/>
            <w:hideMark/>
          </w:tcPr>
          <w:p w14:paraId="2BA8FC92"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7</w:t>
            </w:r>
          </w:p>
        </w:tc>
        <w:tc>
          <w:tcPr>
            <w:tcW w:w="4754" w:type="dxa"/>
            <w:noWrap/>
            <w:vAlign w:val="center"/>
            <w:hideMark/>
          </w:tcPr>
          <w:p w14:paraId="0CEE4382"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developed good hand-eye coordination and technical craftsmanship. </w:t>
            </w:r>
          </w:p>
        </w:tc>
        <w:tc>
          <w:tcPr>
            <w:tcW w:w="744" w:type="dxa"/>
            <w:noWrap/>
            <w:vAlign w:val="center"/>
            <w:hideMark/>
          </w:tcPr>
          <w:p w14:paraId="2BA09D3B"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3.04</w:t>
            </w:r>
          </w:p>
        </w:tc>
        <w:tc>
          <w:tcPr>
            <w:tcW w:w="816" w:type="dxa"/>
            <w:noWrap/>
            <w:vAlign w:val="center"/>
            <w:hideMark/>
          </w:tcPr>
          <w:p w14:paraId="4BBCB374"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1.07</w:t>
            </w:r>
          </w:p>
        </w:tc>
        <w:tc>
          <w:tcPr>
            <w:tcW w:w="2358" w:type="dxa"/>
            <w:noWrap/>
            <w:vAlign w:val="center"/>
            <w:hideMark/>
          </w:tcPr>
          <w:p w14:paraId="213D4CDF"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60374AD8" w14:textId="77777777" w:rsidTr="003237C8">
        <w:trPr>
          <w:trHeight w:val="263"/>
        </w:trPr>
        <w:tc>
          <w:tcPr>
            <w:tcW w:w="616" w:type="dxa"/>
            <w:noWrap/>
            <w:vAlign w:val="center"/>
            <w:hideMark/>
          </w:tcPr>
          <w:p w14:paraId="65F50C8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8</w:t>
            </w:r>
          </w:p>
        </w:tc>
        <w:tc>
          <w:tcPr>
            <w:tcW w:w="4754" w:type="dxa"/>
            <w:noWrap/>
            <w:vAlign w:val="center"/>
            <w:hideMark/>
          </w:tcPr>
          <w:p w14:paraId="04EDFD4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was confident performing welding tasks before entering college. </w:t>
            </w:r>
          </w:p>
        </w:tc>
        <w:tc>
          <w:tcPr>
            <w:tcW w:w="744" w:type="dxa"/>
            <w:noWrap/>
            <w:vAlign w:val="center"/>
            <w:hideMark/>
          </w:tcPr>
          <w:p w14:paraId="391A0753"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2.65</w:t>
            </w:r>
          </w:p>
        </w:tc>
        <w:tc>
          <w:tcPr>
            <w:tcW w:w="816" w:type="dxa"/>
            <w:noWrap/>
            <w:vAlign w:val="center"/>
            <w:hideMark/>
          </w:tcPr>
          <w:p w14:paraId="3697CB0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1.30</w:t>
            </w:r>
          </w:p>
        </w:tc>
        <w:tc>
          <w:tcPr>
            <w:tcW w:w="2358" w:type="dxa"/>
            <w:noWrap/>
            <w:vAlign w:val="center"/>
            <w:hideMark/>
          </w:tcPr>
          <w:p w14:paraId="78549724"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0548A522" w14:textId="77777777" w:rsidTr="003237C8">
        <w:trPr>
          <w:trHeight w:val="263"/>
        </w:trPr>
        <w:tc>
          <w:tcPr>
            <w:tcW w:w="616" w:type="dxa"/>
            <w:noWrap/>
            <w:vAlign w:val="center"/>
            <w:hideMark/>
          </w:tcPr>
          <w:p w14:paraId="443F299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9</w:t>
            </w:r>
          </w:p>
        </w:tc>
        <w:tc>
          <w:tcPr>
            <w:tcW w:w="4754" w:type="dxa"/>
            <w:noWrap/>
            <w:vAlign w:val="center"/>
            <w:hideMark/>
          </w:tcPr>
          <w:p w14:paraId="462B7FFD"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SHS practical training helped me adapt quickly to college-level welding tasks. </w:t>
            </w:r>
          </w:p>
        </w:tc>
        <w:tc>
          <w:tcPr>
            <w:tcW w:w="744" w:type="dxa"/>
            <w:noWrap/>
            <w:vAlign w:val="center"/>
            <w:hideMark/>
          </w:tcPr>
          <w:p w14:paraId="0DD9E99A"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2.70</w:t>
            </w:r>
          </w:p>
        </w:tc>
        <w:tc>
          <w:tcPr>
            <w:tcW w:w="816" w:type="dxa"/>
            <w:noWrap/>
            <w:vAlign w:val="center"/>
            <w:hideMark/>
          </w:tcPr>
          <w:p w14:paraId="7BE36081"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1.21</w:t>
            </w:r>
          </w:p>
        </w:tc>
        <w:tc>
          <w:tcPr>
            <w:tcW w:w="2358" w:type="dxa"/>
            <w:noWrap/>
            <w:vAlign w:val="center"/>
            <w:hideMark/>
          </w:tcPr>
          <w:p w14:paraId="5CFA3178"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5A7B1AA5" w14:textId="77777777" w:rsidTr="003237C8">
        <w:trPr>
          <w:trHeight w:val="263"/>
        </w:trPr>
        <w:tc>
          <w:tcPr>
            <w:tcW w:w="616" w:type="dxa"/>
            <w:noWrap/>
            <w:vAlign w:val="center"/>
            <w:hideMark/>
          </w:tcPr>
          <w:p w14:paraId="4EF3C957"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w:t>
            </w:r>
          </w:p>
        </w:tc>
        <w:tc>
          <w:tcPr>
            <w:tcW w:w="4754" w:type="dxa"/>
            <w:noWrap/>
            <w:vAlign w:val="center"/>
            <w:hideMark/>
          </w:tcPr>
          <w:p w14:paraId="797FED16"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needed minimal supervision during hands-on activities. </w:t>
            </w:r>
          </w:p>
        </w:tc>
        <w:tc>
          <w:tcPr>
            <w:tcW w:w="744" w:type="dxa"/>
            <w:noWrap/>
            <w:vAlign w:val="center"/>
            <w:hideMark/>
          </w:tcPr>
          <w:p w14:paraId="3BB76711"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3.20</w:t>
            </w:r>
          </w:p>
        </w:tc>
        <w:tc>
          <w:tcPr>
            <w:tcW w:w="816" w:type="dxa"/>
            <w:noWrap/>
            <w:vAlign w:val="center"/>
            <w:hideMark/>
          </w:tcPr>
          <w:p w14:paraId="05F9DD9B"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1.19</w:t>
            </w:r>
          </w:p>
        </w:tc>
        <w:tc>
          <w:tcPr>
            <w:tcW w:w="2358" w:type="dxa"/>
            <w:noWrap/>
            <w:vAlign w:val="center"/>
            <w:hideMark/>
          </w:tcPr>
          <w:p w14:paraId="5DB74266" w14:textId="77777777" w:rsidR="003050C2" w:rsidRPr="004E247D" w:rsidRDefault="003050C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3050C2" w:rsidRPr="004E247D" w14:paraId="1BE045D9" w14:textId="77777777" w:rsidTr="003237C8">
        <w:trPr>
          <w:trHeight w:val="273"/>
        </w:trPr>
        <w:tc>
          <w:tcPr>
            <w:tcW w:w="616" w:type="dxa"/>
            <w:noWrap/>
            <w:vAlign w:val="center"/>
            <w:hideMark/>
          </w:tcPr>
          <w:p w14:paraId="3FBA12BE"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54" w:type="dxa"/>
            <w:noWrap/>
            <w:vAlign w:val="center"/>
            <w:hideMark/>
          </w:tcPr>
          <w:p w14:paraId="606DE4F4"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744" w:type="dxa"/>
            <w:noWrap/>
            <w:vAlign w:val="center"/>
            <w:hideMark/>
          </w:tcPr>
          <w:p w14:paraId="72F54DFD"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3.00</w:t>
            </w:r>
          </w:p>
        </w:tc>
        <w:tc>
          <w:tcPr>
            <w:tcW w:w="816" w:type="dxa"/>
            <w:noWrap/>
            <w:vAlign w:val="center"/>
            <w:hideMark/>
          </w:tcPr>
          <w:p w14:paraId="47BDCB96"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c>
          <w:tcPr>
            <w:tcW w:w="2358" w:type="dxa"/>
            <w:noWrap/>
            <w:vAlign w:val="center"/>
            <w:hideMark/>
          </w:tcPr>
          <w:p w14:paraId="573809E4"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Moderate</w:t>
            </w:r>
          </w:p>
        </w:tc>
      </w:tr>
      <w:tr w:rsidR="003050C2" w:rsidRPr="004E247D" w14:paraId="2549E212" w14:textId="77777777" w:rsidTr="003237C8">
        <w:trPr>
          <w:trHeight w:val="273"/>
        </w:trPr>
        <w:tc>
          <w:tcPr>
            <w:tcW w:w="616" w:type="dxa"/>
            <w:tcBorders>
              <w:bottom w:val="single" w:sz="4" w:space="0" w:color="auto"/>
            </w:tcBorders>
            <w:noWrap/>
            <w:vAlign w:val="center"/>
            <w:hideMark/>
          </w:tcPr>
          <w:p w14:paraId="05E45D64" w14:textId="77777777" w:rsidR="003050C2" w:rsidRPr="004E247D" w:rsidRDefault="003050C2"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54" w:type="dxa"/>
            <w:tcBorders>
              <w:bottom w:val="single" w:sz="4" w:space="0" w:color="auto"/>
            </w:tcBorders>
            <w:noWrap/>
            <w:vAlign w:val="center"/>
            <w:hideMark/>
          </w:tcPr>
          <w:p w14:paraId="24DF8AB7"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Standard Deviation</w:t>
            </w:r>
          </w:p>
        </w:tc>
        <w:tc>
          <w:tcPr>
            <w:tcW w:w="744" w:type="dxa"/>
            <w:tcBorders>
              <w:bottom w:val="single" w:sz="4" w:space="0" w:color="auto"/>
            </w:tcBorders>
            <w:noWrap/>
            <w:vAlign w:val="center"/>
            <w:hideMark/>
          </w:tcPr>
          <w:p w14:paraId="2ED9499A"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c>
          <w:tcPr>
            <w:tcW w:w="816" w:type="dxa"/>
            <w:tcBorders>
              <w:bottom w:val="single" w:sz="4" w:space="0" w:color="auto"/>
            </w:tcBorders>
            <w:noWrap/>
            <w:vAlign w:val="center"/>
            <w:hideMark/>
          </w:tcPr>
          <w:p w14:paraId="60E9587C"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1.19</w:t>
            </w:r>
          </w:p>
        </w:tc>
        <w:tc>
          <w:tcPr>
            <w:tcW w:w="2358" w:type="dxa"/>
            <w:tcBorders>
              <w:bottom w:val="single" w:sz="4" w:space="0" w:color="auto"/>
            </w:tcBorders>
            <w:noWrap/>
            <w:vAlign w:val="center"/>
            <w:hideMark/>
          </w:tcPr>
          <w:p w14:paraId="72F46815" w14:textId="77777777" w:rsidR="003050C2" w:rsidRPr="004E247D" w:rsidRDefault="003050C2" w:rsidP="007233F6">
            <w:pPr>
              <w:pStyle w:val="NoSpacing"/>
              <w:jc w:val="center"/>
              <w:rPr>
                <w:rFonts w:ascii="Times New Roman" w:hAnsi="Times New Roman" w:cs="Times New Roman"/>
                <w:b/>
                <w:bCs/>
                <w:color w:val="000000" w:themeColor="text1"/>
                <w:sz w:val="24"/>
                <w:szCs w:val="24"/>
              </w:rPr>
            </w:pPr>
          </w:p>
        </w:tc>
      </w:tr>
    </w:tbl>
    <w:p w14:paraId="2E5629C8" w14:textId="77777777" w:rsidR="005A68A8" w:rsidRPr="004E247D" w:rsidRDefault="005A68A8" w:rsidP="005A68A8">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28064246" w14:textId="77777777" w:rsidR="00CC2E87" w:rsidRPr="004E247D" w:rsidRDefault="00CC2E87" w:rsidP="001464C1">
      <w:pPr>
        <w:spacing w:before="240" w:after="240"/>
        <w:ind w:firstLine="720"/>
        <w:jc w:val="both"/>
        <w:rPr>
          <w:color w:val="000000" w:themeColor="text1"/>
          <w:sz w:val="24"/>
          <w:szCs w:val="24"/>
          <w:lang w:val="en-PH"/>
        </w:rPr>
      </w:pPr>
      <w:r w:rsidRPr="004E247D">
        <w:rPr>
          <w:color w:val="000000" w:themeColor="text1"/>
          <w:sz w:val="24"/>
          <w:szCs w:val="24"/>
          <w:lang w:val="en-PH"/>
        </w:rPr>
        <w:t>The respondents’ perceived level of practical competence in SHS welding is illustrated in Table 8, based on their self-assessment of skills. The overall weighted mean of 3.00 indicates a moderate level of proficiency, suggesting that students have developed basic practical abilities but have not yet attained advanced skill mastery. Most indicators, including adherence to welding procedures, quality of output, and hand-eye coordination, were rated as “Moderate,” while safety practices and proper use of personal protective equipment (PPE) obtained a “High” rating (WM = 3.67). This implies that although students demonstrate strong awareness of safety protocols, their technical execution and refinement of welding skills still require further development.</w:t>
      </w:r>
    </w:p>
    <w:p w14:paraId="42668BDE" w14:textId="77777777" w:rsidR="001464C1" w:rsidRPr="004E247D" w:rsidRDefault="001464C1" w:rsidP="001464C1">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In summary, the results indicate that respondents possess an average level of practical welding skills acquired during SHS, with strong awareness of safety but moderate technical proficiency. This underscores the </w:t>
      </w:r>
      <w:r w:rsidRPr="004E247D">
        <w:rPr>
          <w:color w:val="000000" w:themeColor="text1"/>
          <w:sz w:val="24"/>
          <w:szCs w:val="24"/>
          <w:lang w:val="en-PH"/>
        </w:rPr>
        <w:lastRenderedPageBreak/>
        <w:t>need for more advanced, hands-on, and differentiated instructional strategies in college to further develop students’ skills, enhance their confidence, and ensure their readiness for higher-level welding tasks.</w:t>
      </w:r>
    </w:p>
    <w:p w14:paraId="07B531CF" w14:textId="55D1509C" w:rsidR="003050C2" w:rsidRPr="004E247D" w:rsidRDefault="005A68A8" w:rsidP="002B7D4A">
      <w:pPr>
        <w:spacing w:before="240" w:after="240"/>
        <w:jc w:val="both"/>
        <w:rPr>
          <w:b/>
          <w:bCs/>
          <w:color w:val="000000" w:themeColor="text1"/>
          <w:sz w:val="24"/>
          <w:szCs w:val="24"/>
          <w:lang w:val="en-PH"/>
        </w:rPr>
      </w:pPr>
      <w:r w:rsidRPr="004E247D">
        <w:rPr>
          <w:b/>
          <w:bCs/>
          <w:color w:val="000000" w:themeColor="text1"/>
          <w:sz w:val="24"/>
          <w:szCs w:val="24"/>
          <w:lang w:val="en-PH"/>
        </w:rPr>
        <w:t>Technical Knowledge Related to Welding</w:t>
      </w:r>
    </w:p>
    <w:p w14:paraId="37CE7371" w14:textId="77777777" w:rsidR="00CC2E87" w:rsidRPr="004E247D" w:rsidRDefault="00CC2E87" w:rsidP="00CC2E87">
      <w:pPr>
        <w:spacing w:before="240" w:after="240"/>
        <w:ind w:firstLine="720"/>
        <w:jc w:val="both"/>
        <w:rPr>
          <w:color w:val="000000" w:themeColor="text1"/>
          <w:sz w:val="24"/>
          <w:szCs w:val="24"/>
          <w:lang w:val="en-PH"/>
        </w:rPr>
      </w:pPr>
      <w:r w:rsidRPr="004E247D">
        <w:rPr>
          <w:color w:val="000000" w:themeColor="text1"/>
          <w:sz w:val="24"/>
          <w:szCs w:val="24"/>
          <w:lang w:val="en-PH"/>
        </w:rPr>
        <w:t>The respondents’ perceived welding competency in terms of technical know-how was assessed based on their mastery of materials, equipment, methods, and standards, as these are essential factors affecting their academic performance in college welding courses. The evaluation reflects how their foundational technical knowledge supports their progression in advanced training. The results are presented in Table 9.</w:t>
      </w:r>
    </w:p>
    <w:p w14:paraId="48126622" w14:textId="15E4D6A2" w:rsidR="007C1B96" w:rsidRPr="004E247D" w:rsidRDefault="007C1B96" w:rsidP="007C1B96">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D73792" w:rsidRPr="004E247D">
        <w:rPr>
          <w:b/>
          <w:bCs/>
          <w:color w:val="000000" w:themeColor="text1"/>
          <w:sz w:val="24"/>
          <w:szCs w:val="24"/>
          <w:lang w:val="en-PH"/>
        </w:rPr>
        <w:t>9</w:t>
      </w:r>
      <w:r w:rsidRPr="004E247D">
        <w:rPr>
          <w:b/>
          <w:bCs/>
          <w:color w:val="000000" w:themeColor="text1"/>
          <w:sz w:val="24"/>
          <w:szCs w:val="24"/>
          <w:lang w:val="en-PH"/>
        </w:rPr>
        <w:t>. Respondent's Perceived Level of SHS Welding Competencies in Terms of Technical Knowledge Related to Welding</w:t>
      </w:r>
    </w:p>
    <w:tbl>
      <w:tblPr>
        <w:tblW w:w="9288" w:type="dxa"/>
        <w:tblLook w:val="04A0" w:firstRow="1" w:lastRow="0" w:firstColumn="1" w:lastColumn="0" w:noHBand="0" w:noVBand="1"/>
      </w:tblPr>
      <w:tblGrid>
        <w:gridCol w:w="720"/>
        <w:gridCol w:w="4608"/>
        <w:gridCol w:w="810"/>
        <w:gridCol w:w="1080"/>
        <w:gridCol w:w="2070"/>
      </w:tblGrid>
      <w:tr w:rsidR="007C1B96" w:rsidRPr="004E247D" w14:paraId="2F1ECFCD" w14:textId="77777777" w:rsidTr="00B36532">
        <w:trPr>
          <w:trHeight w:val="267"/>
        </w:trPr>
        <w:tc>
          <w:tcPr>
            <w:tcW w:w="720" w:type="dxa"/>
            <w:tcBorders>
              <w:top w:val="single" w:sz="4" w:space="0" w:color="auto"/>
              <w:bottom w:val="single" w:sz="4" w:space="0" w:color="auto"/>
            </w:tcBorders>
            <w:noWrap/>
            <w:vAlign w:val="center"/>
            <w:hideMark/>
          </w:tcPr>
          <w:p w14:paraId="0EE62841" w14:textId="77777777" w:rsidR="007C1B96" w:rsidRPr="004E247D" w:rsidRDefault="007C1B96" w:rsidP="007233F6">
            <w:pPr>
              <w:jc w:val="center"/>
              <w:rPr>
                <w:b/>
                <w:bCs/>
                <w:color w:val="000000" w:themeColor="text1"/>
                <w:sz w:val="24"/>
                <w:szCs w:val="24"/>
              </w:rPr>
            </w:pPr>
            <w:r w:rsidRPr="004E247D">
              <w:rPr>
                <w:b/>
                <w:bCs/>
                <w:color w:val="000000" w:themeColor="text1"/>
                <w:sz w:val="24"/>
                <w:szCs w:val="24"/>
              </w:rPr>
              <w:t>S/N</w:t>
            </w:r>
          </w:p>
        </w:tc>
        <w:tc>
          <w:tcPr>
            <w:tcW w:w="4608" w:type="dxa"/>
            <w:tcBorders>
              <w:top w:val="single" w:sz="4" w:space="0" w:color="auto"/>
              <w:bottom w:val="single" w:sz="4" w:space="0" w:color="auto"/>
            </w:tcBorders>
            <w:noWrap/>
            <w:vAlign w:val="center"/>
            <w:hideMark/>
          </w:tcPr>
          <w:p w14:paraId="2EA307C7" w14:textId="77777777" w:rsidR="007C1B96" w:rsidRPr="004E247D" w:rsidRDefault="007C1B96" w:rsidP="007233F6">
            <w:pPr>
              <w:jc w:val="center"/>
              <w:rPr>
                <w:b/>
                <w:bCs/>
                <w:color w:val="000000" w:themeColor="text1"/>
                <w:sz w:val="24"/>
                <w:szCs w:val="24"/>
              </w:rPr>
            </w:pPr>
            <w:r w:rsidRPr="004E247D">
              <w:rPr>
                <w:b/>
                <w:bCs/>
                <w:color w:val="000000" w:themeColor="text1"/>
                <w:sz w:val="24"/>
                <w:szCs w:val="24"/>
              </w:rPr>
              <w:t xml:space="preserve">Indicators </w:t>
            </w:r>
          </w:p>
        </w:tc>
        <w:tc>
          <w:tcPr>
            <w:tcW w:w="810" w:type="dxa"/>
            <w:tcBorders>
              <w:top w:val="single" w:sz="4" w:space="0" w:color="auto"/>
              <w:bottom w:val="single" w:sz="4" w:space="0" w:color="auto"/>
            </w:tcBorders>
            <w:noWrap/>
            <w:vAlign w:val="center"/>
            <w:hideMark/>
          </w:tcPr>
          <w:p w14:paraId="3F6E1FAE" w14:textId="77777777" w:rsidR="007C1B96" w:rsidRPr="004E247D" w:rsidRDefault="007C1B96" w:rsidP="007233F6">
            <w:pPr>
              <w:jc w:val="center"/>
              <w:rPr>
                <w:b/>
                <w:bCs/>
                <w:color w:val="000000" w:themeColor="text1"/>
                <w:sz w:val="24"/>
                <w:szCs w:val="24"/>
              </w:rPr>
            </w:pPr>
            <w:r w:rsidRPr="004E247D">
              <w:rPr>
                <w:b/>
                <w:bCs/>
                <w:color w:val="000000" w:themeColor="text1"/>
                <w:sz w:val="24"/>
                <w:szCs w:val="24"/>
              </w:rPr>
              <w:t>WM</w:t>
            </w:r>
          </w:p>
        </w:tc>
        <w:tc>
          <w:tcPr>
            <w:tcW w:w="1080" w:type="dxa"/>
            <w:tcBorders>
              <w:top w:val="single" w:sz="4" w:space="0" w:color="auto"/>
              <w:bottom w:val="single" w:sz="4" w:space="0" w:color="auto"/>
            </w:tcBorders>
            <w:noWrap/>
            <w:vAlign w:val="center"/>
            <w:hideMark/>
          </w:tcPr>
          <w:p w14:paraId="7EC22D80" w14:textId="77777777" w:rsidR="007C1B96" w:rsidRPr="004E247D" w:rsidRDefault="007C1B96" w:rsidP="007233F6">
            <w:pPr>
              <w:jc w:val="center"/>
              <w:rPr>
                <w:b/>
                <w:bCs/>
                <w:color w:val="000000" w:themeColor="text1"/>
                <w:sz w:val="24"/>
                <w:szCs w:val="24"/>
              </w:rPr>
            </w:pPr>
            <w:r w:rsidRPr="004E247D">
              <w:rPr>
                <w:b/>
                <w:bCs/>
                <w:color w:val="000000" w:themeColor="text1"/>
                <w:sz w:val="24"/>
                <w:szCs w:val="24"/>
              </w:rPr>
              <w:t>SD</w:t>
            </w:r>
          </w:p>
        </w:tc>
        <w:tc>
          <w:tcPr>
            <w:tcW w:w="2070" w:type="dxa"/>
            <w:tcBorders>
              <w:top w:val="single" w:sz="4" w:space="0" w:color="auto"/>
              <w:bottom w:val="single" w:sz="4" w:space="0" w:color="auto"/>
            </w:tcBorders>
            <w:noWrap/>
            <w:vAlign w:val="center"/>
            <w:hideMark/>
          </w:tcPr>
          <w:p w14:paraId="7A5878CA" w14:textId="77777777" w:rsidR="007C1B96" w:rsidRPr="004E247D" w:rsidRDefault="007C1B96" w:rsidP="007233F6">
            <w:pPr>
              <w:jc w:val="center"/>
              <w:rPr>
                <w:b/>
                <w:bCs/>
                <w:color w:val="000000" w:themeColor="text1"/>
                <w:sz w:val="24"/>
                <w:szCs w:val="24"/>
              </w:rPr>
            </w:pPr>
            <w:r w:rsidRPr="004E247D">
              <w:rPr>
                <w:b/>
                <w:bCs/>
                <w:color w:val="000000" w:themeColor="text1"/>
                <w:sz w:val="24"/>
                <w:szCs w:val="24"/>
              </w:rPr>
              <w:t xml:space="preserve">Verbal Description </w:t>
            </w:r>
          </w:p>
        </w:tc>
      </w:tr>
      <w:tr w:rsidR="007C1B96" w:rsidRPr="004E247D" w14:paraId="524AB261" w14:textId="77777777" w:rsidTr="00B36532">
        <w:trPr>
          <w:trHeight w:val="257"/>
        </w:trPr>
        <w:tc>
          <w:tcPr>
            <w:tcW w:w="720" w:type="dxa"/>
            <w:tcBorders>
              <w:top w:val="single" w:sz="4" w:space="0" w:color="auto"/>
            </w:tcBorders>
            <w:noWrap/>
            <w:vAlign w:val="center"/>
            <w:hideMark/>
          </w:tcPr>
          <w:p w14:paraId="4C16AD09"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4608" w:type="dxa"/>
            <w:tcBorders>
              <w:top w:val="single" w:sz="4" w:space="0" w:color="auto"/>
            </w:tcBorders>
            <w:noWrap/>
            <w:vAlign w:val="center"/>
            <w:hideMark/>
          </w:tcPr>
          <w:p w14:paraId="1CF909A3"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had knowledge of different metals and materials before college. </w:t>
            </w:r>
          </w:p>
        </w:tc>
        <w:tc>
          <w:tcPr>
            <w:tcW w:w="810" w:type="dxa"/>
            <w:tcBorders>
              <w:top w:val="single" w:sz="4" w:space="0" w:color="auto"/>
            </w:tcBorders>
            <w:noWrap/>
            <w:vAlign w:val="center"/>
            <w:hideMark/>
          </w:tcPr>
          <w:p w14:paraId="18F3841D"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2.70</w:t>
            </w:r>
          </w:p>
        </w:tc>
        <w:tc>
          <w:tcPr>
            <w:tcW w:w="1080" w:type="dxa"/>
            <w:tcBorders>
              <w:top w:val="single" w:sz="4" w:space="0" w:color="auto"/>
            </w:tcBorders>
            <w:noWrap/>
            <w:vAlign w:val="center"/>
            <w:hideMark/>
          </w:tcPr>
          <w:p w14:paraId="51201477"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1.17</w:t>
            </w:r>
          </w:p>
        </w:tc>
        <w:tc>
          <w:tcPr>
            <w:tcW w:w="2070" w:type="dxa"/>
            <w:tcBorders>
              <w:top w:val="single" w:sz="4" w:space="0" w:color="auto"/>
            </w:tcBorders>
            <w:noWrap/>
            <w:vAlign w:val="center"/>
            <w:hideMark/>
          </w:tcPr>
          <w:p w14:paraId="56BE0174"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4C4F1CDC" w14:textId="77777777" w:rsidTr="00B36532">
        <w:trPr>
          <w:trHeight w:val="257"/>
        </w:trPr>
        <w:tc>
          <w:tcPr>
            <w:tcW w:w="720" w:type="dxa"/>
            <w:noWrap/>
            <w:vAlign w:val="center"/>
            <w:hideMark/>
          </w:tcPr>
          <w:p w14:paraId="16AA1B04"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4608" w:type="dxa"/>
            <w:noWrap/>
            <w:vAlign w:val="center"/>
            <w:hideMark/>
          </w:tcPr>
          <w:p w14:paraId="16DB31E3"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understood the properties of metals used in welding. </w:t>
            </w:r>
          </w:p>
        </w:tc>
        <w:tc>
          <w:tcPr>
            <w:tcW w:w="810" w:type="dxa"/>
            <w:noWrap/>
            <w:vAlign w:val="center"/>
            <w:hideMark/>
          </w:tcPr>
          <w:p w14:paraId="7215853D"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2.89</w:t>
            </w:r>
          </w:p>
        </w:tc>
        <w:tc>
          <w:tcPr>
            <w:tcW w:w="1080" w:type="dxa"/>
            <w:noWrap/>
            <w:vAlign w:val="center"/>
            <w:hideMark/>
          </w:tcPr>
          <w:p w14:paraId="3EA562B5"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1.20</w:t>
            </w:r>
          </w:p>
        </w:tc>
        <w:tc>
          <w:tcPr>
            <w:tcW w:w="2070" w:type="dxa"/>
            <w:noWrap/>
            <w:vAlign w:val="center"/>
            <w:hideMark/>
          </w:tcPr>
          <w:p w14:paraId="69C882CF"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517F4BFD" w14:textId="77777777" w:rsidTr="00B36532">
        <w:trPr>
          <w:trHeight w:val="257"/>
        </w:trPr>
        <w:tc>
          <w:tcPr>
            <w:tcW w:w="720" w:type="dxa"/>
            <w:noWrap/>
            <w:vAlign w:val="center"/>
            <w:hideMark/>
          </w:tcPr>
          <w:p w14:paraId="1212FFB6"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4608" w:type="dxa"/>
            <w:noWrap/>
            <w:vAlign w:val="center"/>
            <w:hideMark/>
          </w:tcPr>
          <w:p w14:paraId="7DE8B025"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was familiar with workshop tools and equipment. </w:t>
            </w:r>
          </w:p>
        </w:tc>
        <w:tc>
          <w:tcPr>
            <w:tcW w:w="810" w:type="dxa"/>
            <w:noWrap/>
            <w:vAlign w:val="center"/>
            <w:hideMark/>
          </w:tcPr>
          <w:p w14:paraId="62BA8322"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3.35</w:t>
            </w:r>
          </w:p>
        </w:tc>
        <w:tc>
          <w:tcPr>
            <w:tcW w:w="1080" w:type="dxa"/>
            <w:noWrap/>
            <w:vAlign w:val="center"/>
            <w:hideMark/>
          </w:tcPr>
          <w:p w14:paraId="2845ADC2"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1.18</w:t>
            </w:r>
          </w:p>
        </w:tc>
        <w:tc>
          <w:tcPr>
            <w:tcW w:w="2070" w:type="dxa"/>
            <w:noWrap/>
            <w:vAlign w:val="center"/>
            <w:hideMark/>
          </w:tcPr>
          <w:p w14:paraId="1427AF5D"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5C33455C" w14:textId="77777777" w:rsidTr="00B36532">
        <w:trPr>
          <w:trHeight w:val="257"/>
        </w:trPr>
        <w:tc>
          <w:tcPr>
            <w:tcW w:w="720" w:type="dxa"/>
            <w:noWrap/>
            <w:vAlign w:val="center"/>
            <w:hideMark/>
          </w:tcPr>
          <w:p w14:paraId="1B931482"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4608" w:type="dxa"/>
            <w:noWrap/>
            <w:vAlign w:val="center"/>
            <w:hideMark/>
          </w:tcPr>
          <w:p w14:paraId="748692C5"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understood basic fabrication procedures. </w:t>
            </w:r>
          </w:p>
        </w:tc>
        <w:tc>
          <w:tcPr>
            <w:tcW w:w="810" w:type="dxa"/>
            <w:noWrap/>
            <w:vAlign w:val="center"/>
            <w:hideMark/>
          </w:tcPr>
          <w:p w14:paraId="69B97DB5"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2.85</w:t>
            </w:r>
          </w:p>
        </w:tc>
        <w:tc>
          <w:tcPr>
            <w:tcW w:w="1080" w:type="dxa"/>
            <w:noWrap/>
            <w:vAlign w:val="center"/>
            <w:hideMark/>
          </w:tcPr>
          <w:p w14:paraId="0C18898F"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1.28</w:t>
            </w:r>
          </w:p>
        </w:tc>
        <w:tc>
          <w:tcPr>
            <w:tcW w:w="2070" w:type="dxa"/>
            <w:noWrap/>
            <w:vAlign w:val="center"/>
            <w:hideMark/>
          </w:tcPr>
          <w:p w14:paraId="2461EFA5"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481BCCE4" w14:textId="77777777" w:rsidTr="00B36532">
        <w:trPr>
          <w:trHeight w:val="257"/>
        </w:trPr>
        <w:tc>
          <w:tcPr>
            <w:tcW w:w="720" w:type="dxa"/>
            <w:noWrap/>
            <w:vAlign w:val="center"/>
            <w:hideMark/>
          </w:tcPr>
          <w:p w14:paraId="35F8D202"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4608" w:type="dxa"/>
            <w:noWrap/>
            <w:vAlign w:val="center"/>
            <w:hideMark/>
          </w:tcPr>
          <w:p w14:paraId="259D6CAC"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had exposure to basic welding or industrial tasks before college. </w:t>
            </w:r>
          </w:p>
        </w:tc>
        <w:tc>
          <w:tcPr>
            <w:tcW w:w="810" w:type="dxa"/>
            <w:noWrap/>
            <w:vAlign w:val="center"/>
            <w:hideMark/>
          </w:tcPr>
          <w:p w14:paraId="235EC313"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2.48</w:t>
            </w:r>
          </w:p>
        </w:tc>
        <w:tc>
          <w:tcPr>
            <w:tcW w:w="1080" w:type="dxa"/>
            <w:noWrap/>
            <w:vAlign w:val="center"/>
            <w:hideMark/>
          </w:tcPr>
          <w:p w14:paraId="056E7969"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1.30</w:t>
            </w:r>
          </w:p>
        </w:tc>
        <w:tc>
          <w:tcPr>
            <w:tcW w:w="2070" w:type="dxa"/>
            <w:noWrap/>
            <w:vAlign w:val="center"/>
            <w:hideMark/>
          </w:tcPr>
          <w:p w14:paraId="7A346BE3"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Low</w:t>
            </w:r>
          </w:p>
        </w:tc>
      </w:tr>
      <w:tr w:rsidR="007C1B96" w:rsidRPr="004E247D" w14:paraId="11B8E84E" w14:textId="77777777" w:rsidTr="00B36532">
        <w:trPr>
          <w:trHeight w:val="257"/>
        </w:trPr>
        <w:tc>
          <w:tcPr>
            <w:tcW w:w="720" w:type="dxa"/>
            <w:noWrap/>
            <w:vAlign w:val="center"/>
            <w:hideMark/>
          </w:tcPr>
          <w:p w14:paraId="6D90102E"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6</w:t>
            </w:r>
          </w:p>
        </w:tc>
        <w:tc>
          <w:tcPr>
            <w:tcW w:w="4608" w:type="dxa"/>
            <w:noWrap/>
            <w:vAlign w:val="center"/>
            <w:hideMark/>
          </w:tcPr>
          <w:p w14:paraId="4AC9AE3F"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understood the importance of worksite safety and health standards. </w:t>
            </w:r>
          </w:p>
        </w:tc>
        <w:tc>
          <w:tcPr>
            <w:tcW w:w="810" w:type="dxa"/>
            <w:noWrap/>
            <w:vAlign w:val="center"/>
            <w:hideMark/>
          </w:tcPr>
          <w:p w14:paraId="362E7257"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3.59</w:t>
            </w:r>
          </w:p>
        </w:tc>
        <w:tc>
          <w:tcPr>
            <w:tcW w:w="1080" w:type="dxa"/>
            <w:noWrap/>
            <w:vAlign w:val="center"/>
            <w:hideMark/>
          </w:tcPr>
          <w:p w14:paraId="2EE54A13"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1.42</w:t>
            </w:r>
          </w:p>
        </w:tc>
        <w:tc>
          <w:tcPr>
            <w:tcW w:w="2070" w:type="dxa"/>
            <w:noWrap/>
            <w:vAlign w:val="center"/>
            <w:hideMark/>
          </w:tcPr>
          <w:p w14:paraId="2D5785E8"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C1B96" w:rsidRPr="004E247D" w14:paraId="5E7EE49F" w14:textId="77777777" w:rsidTr="00B36532">
        <w:trPr>
          <w:trHeight w:val="257"/>
        </w:trPr>
        <w:tc>
          <w:tcPr>
            <w:tcW w:w="720" w:type="dxa"/>
            <w:noWrap/>
            <w:vAlign w:val="center"/>
            <w:hideMark/>
          </w:tcPr>
          <w:p w14:paraId="7DB4B5B3"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7</w:t>
            </w:r>
          </w:p>
        </w:tc>
        <w:tc>
          <w:tcPr>
            <w:tcW w:w="4608" w:type="dxa"/>
            <w:noWrap/>
            <w:vAlign w:val="center"/>
            <w:hideMark/>
          </w:tcPr>
          <w:p w14:paraId="18AB8B2B"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read and interpret welding drawings or diagrams. </w:t>
            </w:r>
          </w:p>
        </w:tc>
        <w:tc>
          <w:tcPr>
            <w:tcW w:w="810" w:type="dxa"/>
            <w:noWrap/>
            <w:vAlign w:val="center"/>
            <w:hideMark/>
          </w:tcPr>
          <w:p w14:paraId="08069CE8"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2.80</w:t>
            </w:r>
          </w:p>
        </w:tc>
        <w:tc>
          <w:tcPr>
            <w:tcW w:w="1080" w:type="dxa"/>
            <w:noWrap/>
            <w:vAlign w:val="center"/>
            <w:hideMark/>
          </w:tcPr>
          <w:p w14:paraId="00BE312C"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1.20</w:t>
            </w:r>
          </w:p>
        </w:tc>
        <w:tc>
          <w:tcPr>
            <w:tcW w:w="2070" w:type="dxa"/>
            <w:noWrap/>
            <w:vAlign w:val="center"/>
            <w:hideMark/>
          </w:tcPr>
          <w:p w14:paraId="1B712400"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35D32911" w14:textId="77777777" w:rsidTr="00B36532">
        <w:trPr>
          <w:trHeight w:val="257"/>
        </w:trPr>
        <w:tc>
          <w:tcPr>
            <w:tcW w:w="720" w:type="dxa"/>
            <w:noWrap/>
            <w:vAlign w:val="center"/>
            <w:hideMark/>
          </w:tcPr>
          <w:p w14:paraId="45159E30"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8</w:t>
            </w:r>
          </w:p>
        </w:tc>
        <w:tc>
          <w:tcPr>
            <w:tcW w:w="4608" w:type="dxa"/>
            <w:noWrap/>
            <w:vAlign w:val="center"/>
            <w:hideMark/>
          </w:tcPr>
          <w:p w14:paraId="69626151"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could apply theoretical knowledge in practical tasks. </w:t>
            </w:r>
          </w:p>
        </w:tc>
        <w:tc>
          <w:tcPr>
            <w:tcW w:w="810" w:type="dxa"/>
            <w:noWrap/>
            <w:vAlign w:val="center"/>
            <w:hideMark/>
          </w:tcPr>
          <w:p w14:paraId="7E3C3E02"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2.87</w:t>
            </w:r>
          </w:p>
        </w:tc>
        <w:tc>
          <w:tcPr>
            <w:tcW w:w="1080" w:type="dxa"/>
            <w:noWrap/>
            <w:vAlign w:val="center"/>
            <w:hideMark/>
          </w:tcPr>
          <w:p w14:paraId="6823CDE8"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1.17</w:t>
            </w:r>
          </w:p>
        </w:tc>
        <w:tc>
          <w:tcPr>
            <w:tcW w:w="2070" w:type="dxa"/>
            <w:noWrap/>
            <w:vAlign w:val="center"/>
            <w:hideMark/>
          </w:tcPr>
          <w:p w14:paraId="409F2ECC"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7C1B96" w:rsidRPr="004E247D" w14:paraId="319E14A6" w14:textId="77777777" w:rsidTr="00B36532">
        <w:trPr>
          <w:trHeight w:val="257"/>
        </w:trPr>
        <w:tc>
          <w:tcPr>
            <w:tcW w:w="720" w:type="dxa"/>
            <w:noWrap/>
            <w:vAlign w:val="center"/>
            <w:hideMark/>
          </w:tcPr>
          <w:p w14:paraId="00DB4CAB"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9</w:t>
            </w:r>
          </w:p>
        </w:tc>
        <w:tc>
          <w:tcPr>
            <w:tcW w:w="4608" w:type="dxa"/>
            <w:noWrap/>
            <w:vAlign w:val="center"/>
            <w:hideMark/>
          </w:tcPr>
          <w:p w14:paraId="7818E747"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Support from instructors helped me improved my technical knowledge. </w:t>
            </w:r>
          </w:p>
        </w:tc>
        <w:tc>
          <w:tcPr>
            <w:tcW w:w="810" w:type="dxa"/>
            <w:noWrap/>
            <w:vAlign w:val="center"/>
            <w:hideMark/>
          </w:tcPr>
          <w:p w14:paraId="6E6D809C"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3.74</w:t>
            </w:r>
          </w:p>
        </w:tc>
        <w:tc>
          <w:tcPr>
            <w:tcW w:w="1080" w:type="dxa"/>
            <w:noWrap/>
            <w:vAlign w:val="center"/>
            <w:hideMark/>
          </w:tcPr>
          <w:p w14:paraId="79EBC2C0"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1.10</w:t>
            </w:r>
          </w:p>
        </w:tc>
        <w:tc>
          <w:tcPr>
            <w:tcW w:w="2070" w:type="dxa"/>
            <w:noWrap/>
            <w:vAlign w:val="center"/>
            <w:hideMark/>
          </w:tcPr>
          <w:p w14:paraId="649B371C"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C1B96" w:rsidRPr="004E247D" w14:paraId="7343C3A6" w14:textId="77777777" w:rsidTr="00B36532">
        <w:trPr>
          <w:trHeight w:val="257"/>
        </w:trPr>
        <w:tc>
          <w:tcPr>
            <w:tcW w:w="720" w:type="dxa"/>
            <w:noWrap/>
            <w:vAlign w:val="center"/>
            <w:hideMark/>
          </w:tcPr>
          <w:p w14:paraId="188AF83A"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w:t>
            </w:r>
          </w:p>
        </w:tc>
        <w:tc>
          <w:tcPr>
            <w:tcW w:w="4608" w:type="dxa"/>
            <w:noWrap/>
            <w:vAlign w:val="center"/>
            <w:hideMark/>
          </w:tcPr>
          <w:p w14:paraId="26618D55" w14:textId="77777777" w:rsidR="007C1B96" w:rsidRPr="004E247D" w:rsidRDefault="007C1B96"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technical knowledge from SHS contributed to better performance in college welding courses. </w:t>
            </w:r>
          </w:p>
        </w:tc>
        <w:tc>
          <w:tcPr>
            <w:tcW w:w="810" w:type="dxa"/>
            <w:noWrap/>
            <w:vAlign w:val="center"/>
            <w:hideMark/>
          </w:tcPr>
          <w:p w14:paraId="0777BB91"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2.52</w:t>
            </w:r>
          </w:p>
        </w:tc>
        <w:tc>
          <w:tcPr>
            <w:tcW w:w="1080" w:type="dxa"/>
            <w:noWrap/>
            <w:vAlign w:val="center"/>
            <w:hideMark/>
          </w:tcPr>
          <w:p w14:paraId="17635A4F"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1.26</w:t>
            </w:r>
          </w:p>
        </w:tc>
        <w:tc>
          <w:tcPr>
            <w:tcW w:w="2070" w:type="dxa"/>
            <w:noWrap/>
            <w:vAlign w:val="center"/>
            <w:hideMark/>
          </w:tcPr>
          <w:p w14:paraId="598C37C1" w14:textId="77777777" w:rsidR="007C1B96" w:rsidRPr="004E247D" w:rsidRDefault="007C1B96"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Low</w:t>
            </w:r>
          </w:p>
        </w:tc>
      </w:tr>
      <w:tr w:rsidR="007C1B96" w:rsidRPr="004E247D" w14:paraId="052AB43F" w14:textId="77777777" w:rsidTr="00B36532">
        <w:trPr>
          <w:trHeight w:val="267"/>
        </w:trPr>
        <w:tc>
          <w:tcPr>
            <w:tcW w:w="720" w:type="dxa"/>
            <w:noWrap/>
            <w:vAlign w:val="center"/>
            <w:hideMark/>
          </w:tcPr>
          <w:p w14:paraId="09B59DA9" w14:textId="77777777" w:rsidR="007C1B96" w:rsidRPr="004E247D" w:rsidRDefault="007C1B96" w:rsidP="007233F6">
            <w:pPr>
              <w:pStyle w:val="NoSpacing"/>
              <w:jc w:val="center"/>
              <w:rPr>
                <w:rFonts w:ascii="Times New Roman" w:hAnsi="Times New Roman" w:cs="Times New Roman"/>
                <w:color w:val="000000" w:themeColor="text1"/>
                <w:sz w:val="24"/>
                <w:szCs w:val="24"/>
              </w:rPr>
            </w:pPr>
          </w:p>
        </w:tc>
        <w:tc>
          <w:tcPr>
            <w:tcW w:w="4608" w:type="dxa"/>
            <w:noWrap/>
            <w:vAlign w:val="center"/>
            <w:hideMark/>
          </w:tcPr>
          <w:p w14:paraId="176E14AB" w14:textId="77777777" w:rsidR="007C1B96" w:rsidRPr="004E247D" w:rsidRDefault="007C1B96" w:rsidP="007233F6">
            <w:pPr>
              <w:pStyle w:val="NoSpacing"/>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810" w:type="dxa"/>
            <w:noWrap/>
            <w:vAlign w:val="center"/>
            <w:hideMark/>
          </w:tcPr>
          <w:p w14:paraId="751BA767"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2.98</w:t>
            </w:r>
          </w:p>
        </w:tc>
        <w:tc>
          <w:tcPr>
            <w:tcW w:w="1080" w:type="dxa"/>
            <w:noWrap/>
            <w:vAlign w:val="center"/>
            <w:hideMark/>
          </w:tcPr>
          <w:p w14:paraId="40F21EF7"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p>
        </w:tc>
        <w:tc>
          <w:tcPr>
            <w:tcW w:w="2070" w:type="dxa"/>
            <w:noWrap/>
            <w:vAlign w:val="center"/>
            <w:hideMark/>
          </w:tcPr>
          <w:p w14:paraId="239AD002"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Moderate</w:t>
            </w:r>
          </w:p>
        </w:tc>
      </w:tr>
      <w:tr w:rsidR="007C1B96" w:rsidRPr="004E247D" w14:paraId="5F2667B1" w14:textId="77777777" w:rsidTr="00B36532">
        <w:trPr>
          <w:trHeight w:val="267"/>
        </w:trPr>
        <w:tc>
          <w:tcPr>
            <w:tcW w:w="720" w:type="dxa"/>
            <w:tcBorders>
              <w:bottom w:val="single" w:sz="4" w:space="0" w:color="auto"/>
            </w:tcBorders>
            <w:noWrap/>
            <w:vAlign w:val="center"/>
            <w:hideMark/>
          </w:tcPr>
          <w:p w14:paraId="52518E5B" w14:textId="77777777" w:rsidR="007C1B96" w:rsidRPr="004E247D" w:rsidRDefault="007C1B96" w:rsidP="007233F6">
            <w:pPr>
              <w:pStyle w:val="NoSpacing"/>
              <w:jc w:val="center"/>
              <w:rPr>
                <w:rFonts w:ascii="Times New Roman" w:hAnsi="Times New Roman" w:cs="Times New Roman"/>
                <w:color w:val="000000" w:themeColor="text1"/>
                <w:sz w:val="24"/>
                <w:szCs w:val="24"/>
              </w:rPr>
            </w:pPr>
          </w:p>
        </w:tc>
        <w:tc>
          <w:tcPr>
            <w:tcW w:w="4608" w:type="dxa"/>
            <w:tcBorders>
              <w:bottom w:val="single" w:sz="4" w:space="0" w:color="auto"/>
            </w:tcBorders>
            <w:noWrap/>
            <w:vAlign w:val="center"/>
            <w:hideMark/>
          </w:tcPr>
          <w:p w14:paraId="1DCF1F1D" w14:textId="77777777" w:rsidR="007C1B96" w:rsidRPr="004E247D" w:rsidRDefault="007C1B96" w:rsidP="007233F6">
            <w:pPr>
              <w:pStyle w:val="NoSpacing"/>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 xml:space="preserve">Aggregate Standard Deviation </w:t>
            </w:r>
          </w:p>
        </w:tc>
        <w:tc>
          <w:tcPr>
            <w:tcW w:w="810" w:type="dxa"/>
            <w:tcBorders>
              <w:bottom w:val="single" w:sz="4" w:space="0" w:color="auto"/>
            </w:tcBorders>
            <w:noWrap/>
            <w:vAlign w:val="center"/>
            <w:hideMark/>
          </w:tcPr>
          <w:p w14:paraId="2DE95E26"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p>
        </w:tc>
        <w:tc>
          <w:tcPr>
            <w:tcW w:w="1080" w:type="dxa"/>
            <w:tcBorders>
              <w:bottom w:val="single" w:sz="4" w:space="0" w:color="auto"/>
            </w:tcBorders>
            <w:noWrap/>
            <w:vAlign w:val="center"/>
            <w:hideMark/>
          </w:tcPr>
          <w:p w14:paraId="6CCD9DA3"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1.23</w:t>
            </w:r>
          </w:p>
        </w:tc>
        <w:tc>
          <w:tcPr>
            <w:tcW w:w="2070" w:type="dxa"/>
            <w:tcBorders>
              <w:bottom w:val="single" w:sz="4" w:space="0" w:color="auto"/>
            </w:tcBorders>
            <w:noWrap/>
            <w:vAlign w:val="center"/>
            <w:hideMark/>
          </w:tcPr>
          <w:p w14:paraId="27255B25" w14:textId="77777777" w:rsidR="007C1B96" w:rsidRPr="004E247D" w:rsidRDefault="007C1B96" w:rsidP="007233F6">
            <w:pPr>
              <w:pStyle w:val="NoSpacing"/>
              <w:jc w:val="center"/>
              <w:rPr>
                <w:rFonts w:ascii="Times New Roman" w:hAnsi="Times New Roman" w:cs="Times New Roman"/>
                <w:b/>
                <w:bCs/>
                <w:color w:val="000000" w:themeColor="text1"/>
                <w:sz w:val="24"/>
                <w:szCs w:val="24"/>
              </w:rPr>
            </w:pPr>
          </w:p>
        </w:tc>
      </w:tr>
    </w:tbl>
    <w:p w14:paraId="7DC8A2B6" w14:textId="77777777" w:rsidR="007C1B96" w:rsidRPr="004E247D" w:rsidRDefault="007C1B96" w:rsidP="007C1B96">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2D933498" w14:textId="77777777" w:rsidR="00CC2E87" w:rsidRPr="004E247D" w:rsidRDefault="00CC2E87" w:rsidP="00175499">
      <w:pPr>
        <w:spacing w:before="240" w:after="240"/>
        <w:ind w:firstLine="720"/>
        <w:jc w:val="both"/>
        <w:rPr>
          <w:color w:val="000000" w:themeColor="text1"/>
          <w:sz w:val="24"/>
          <w:szCs w:val="24"/>
          <w:lang w:val="en-PH"/>
        </w:rPr>
      </w:pPr>
      <w:r w:rsidRPr="004E247D">
        <w:rPr>
          <w:color w:val="000000" w:themeColor="text1"/>
          <w:sz w:val="24"/>
          <w:szCs w:val="24"/>
          <w:lang w:val="en-PH"/>
        </w:rPr>
        <w:t>The respondents’ perceived level of SHS welding competencies in terms of technical knowledge, as shown in Table 9, indicates an overall weighted mean of 2.98, interpreted as a moderate level of technical understanding among the respondents. This suggests that the students have acquired basic theoretical knowledge in areas such as metals, fabrication processes, weld drawings, and application of concepts; however, their mastery of these competencies remains limited. Notably, worksite safety and instructor support obtained high ratings, with weighted means of 3.59 and 3.74, respectively, reflecting strong awareness of safety protocols and the significant role of instructors in the development of technical skills. In contrast, basic welding processes and the perceived contribution of SHS technical knowledge were rated lower, with weighted means of 2.48 and 2.52, indicating gaps in foundational technical competencies.</w:t>
      </w:r>
    </w:p>
    <w:p w14:paraId="34783907" w14:textId="77777777" w:rsidR="00175499" w:rsidRPr="004E247D" w:rsidRDefault="00175499" w:rsidP="00175499">
      <w:pPr>
        <w:spacing w:before="240" w:after="240"/>
        <w:ind w:firstLine="720"/>
        <w:jc w:val="both"/>
        <w:rPr>
          <w:color w:val="000000" w:themeColor="text1"/>
          <w:sz w:val="24"/>
          <w:szCs w:val="24"/>
          <w:lang w:val="en-PH"/>
        </w:rPr>
      </w:pPr>
      <w:r w:rsidRPr="004E247D">
        <w:rPr>
          <w:color w:val="000000" w:themeColor="text1"/>
          <w:sz w:val="24"/>
          <w:szCs w:val="24"/>
          <w:lang w:val="en-PH"/>
        </w:rPr>
        <w:t>In summary, the respondents demonstrated a moderate level of technical knowledge in SHS welding, with strong awareness of safety and reliance on instructor support but weaker mastery of core welding processes. This indicates that while SHS provides an essential foundation, it is not enough to ensure full technical competence. Therefore, targeted and differentiated instructional strategies in college are necessary to bridge these gaps, strengthen technical skills, and improve overall performance in welding education.</w:t>
      </w:r>
    </w:p>
    <w:p w14:paraId="258FD267" w14:textId="77777777" w:rsidR="00342251" w:rsidRPr="004E247D" w:rsidRDefault="00342251" w:rsidP="00175499">
      <w:pPr>
        <w:spacing w:before="240" w:after="240"/>
        <w:ind w:firstLine="720"/>
        <w:jc w:val="both"/>
        <w:rPr>
          <w:color w:val="000000" w:themeColor="text1"/>
          <w:sz w:val="24"/>
          <w:szCs w:val="24"/>
          <w:lang w:val="en-PH"/>
        </w:rPr>
      </w:pPr>
    </w:p>
    <w:p w14:paraId="7FE7B3BB" w14:textId="4AC34C9B" w:rsidR="003050C2" w:rsidRPr="004E247D" w:rsidRDefault="007C1B96" w:rsidP="002B7D4A">
      <w:pPr>
        <w:spacing w:before="240" w:after="240"/>
        <w:jc w:val="both"/>
        <w:rPr>
          <w:b/>
          <w:bCs/>
          <w:color w:val="000000" w:themeColor="text1"/>
          <w:sz w:val="24"/>
          <w:szCs w:val="24"/>
          <w:lang w:val="en-PH"/>
        </w:rPr>
      </w:pPr>
      <w:r w:rsidRPr="004E247D">
        <w:rPr>
          <w:b/>
          <w:bCs/>
          <w:color w:val="000000" w:themeColor="text1"/>
          <w:sz w:val="24"/>
          <w:szCs w:val="24"/>
          <w:lang w:val="en-PH"/>
        </w:rPr>
        <w:lastRenderedPageBreak/>
        <w:t>Summary on the Respondents’ Perceived Level of SHS Welding Competencies</w:t>
      </w:r>
    </w:p>
    <w:p w14:paraId="6B615367" w14:textId="22F40D8C" w:rsidR="007C1B96" w:rsidRPr="004E247D" w:rsidRDefault="007C1B96" w:rsidP="007C1B96">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The analysis of the respondents’ self-perception regarding their proficiency in welding skills at the Senior High School (SHS) level in terms of academic preparation, skill development, and knowledge regarding welding was given. The statistical measures used include the computation of weighted means, standard deviation, and description in words. This will help in understanding the self-perception of the respondents on their SHS welding competencies, as shown in Table </w:t>
      </w:r>
      <w:r w:rsidR="00D73792" w:rsidRPr="004E247D">
        <w:rPr>
          <w:color w:val="000000" w:themeColor="text1"/>
          <w:sz w:val="24"/>
          <w:szCs w:val="24"/>
          <w:lang w:val="en-PH"/>
        </w:rPr>
        <w:t>10</w:t>
      </w:r>
      <w:r w:rsidRPr="004E247D">
        <w:rPr>
          <w:color w:val="000000" w:themeColor="text1"/>
          <w:sz w:val="24"/>
          <w:szCs w:val="24"/>
          <w:lang w:val="en-PH"/>
        </w:rPr>
        <w:t>.</w:t>
      </w:r>
    </w:p>
    <w:p w14:paraId="3F1211BE" w14:textId="79BD9160" w:rsidR="00F3687E" w:rsidRPr="004E247D" w:rsidRDefault="00F3687E" w:rsidP="00F3687E">
      <w:pPr>
        <w:spacing w:before="240" w:after="240"/>
        <w:jc w:val="both"/>
        <w:rPr>
          <w:b/>
          <w:bCs/>
          <w:color w:val="000000" w:themeColor="text1"/>
          <w:sz w:val="24"/>
          <w:szCs w:val="24"/>
          <w:lang w:val="en-PH"/>
        </w:rPr>
      </w:pPr>
      <w:r w:rsidRPr="004E247D">
        <w:rPr>
          <w:b/>
          <w:bCs/>
          <w:color w:val="000000" w:themeColor="text1"/>
          <w:sz w:val="24"/>
          <w:szCs w:val="24"/>
          <w:lang w:val="en-PH"/>
        </w:rPr>
        <w:t xml:space="preserve">Table </w:t>
      </w:r>
      <w:r w:rsidR="00D73792" w:rsidRPr="004E247D">
        <w:rPr>
          <w:b/>
          <w:bCs/>
          <w:color w:val="000000" w:themeColor="text1"/>
          <w:sz w:val="24"/>
          <w:szCs w:val="24"/>
          <w:lang w:val="en-PH"/>
        </w:rPr>
        <w:t>10</w:t>
      </w:r>
      <w:r w:rsidRPr="004E247D">
        <w:rPr>
          <w:b/>
          <w:bCs/>
          <w:color w:val="000000" w:themeColor="text1"/>
          <w:sz w:val="24"/>
          <w:szCs w:val="24"/>
          <w:lang w:val="en-PH"/>
        </w:rPr>
        <w:t>. Summary on the Respondents’ Perceived Level of SHS Welding Competencies</w:t>
      </w:r>
    </w:p>
    <w:tbl>
      <w:tblPr>
        <w:tblW w:w="856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673"/>
        <w:gridCol w:w="709"/>
        <w:gridCol w:w="708"/>
        <w:gridCol w:w="2478"/>
      </w:tblGrid>
      <w:tr w:rsidR="00F3687E" w:rsidRPr="004E247D" w14:paraId="2173617E" w14:textId="77777777" w:rsidTr="00F3687E">
        <w:trPr>
          <w:trHeight w:val="414"/>
        </w:trPr>
        <w:tc>
          <w:tcPr>
            <w:tcW w:w="4673" w:type="dxa"/>
            <w:tcBorders>
              <w:top w:val="single" w:sz="4" w:space="0" w:color="auto"/>
              <w:bottom w:val="single" w:sz="4" w:space="0" w:color="auto"/>
              <w:right w:val="nil"/>
            </w:tcBorders>
            <w:vAlign w:val="center"/>
          </w:tcPr>
          <w:p w14:paraId="178EC2B1" w14:textId="77777777" w:rsidR="00F3687E" w:rsidRPr="004E247D" w:rsidRDefault="00F3687E" w:rsidP="00F3687E">
            <w:pPr>
              <w:pStyle w:val="NoSpacing"/>
              <w:spacing w:line="360" w:lineRule="auto"/>
              <w:jc w:val="center"/>
              <w:rPr>
                <w:rFonts w:ascii="Times New Roman" w:hAnsi="Times New Roman" w:cs="Times New Roman"/>
                <w:b/>
                <w:color w:val="000000" w:themeColor="text1"/>
                <w:sz w:val="24"/>
                <w:szCs w:val="24"/>
              </w:rPr>
            </w:pPr>
            <w:bookmarkStart w:id="0" w:name="_Hlk210839277"/>
            <w:r w:rsidRPr="004E247D">
              <w:rPr>
                <w:rFonts w:ascii="Times New Roman" w:hAnsi="Times New Roman" w:cs="Times New Roman"/>
                <w:b/>
                <w:color w:val="000000" w:themeColor="text1"/>
                <w:sz w:val="24"/>
                <w:szCs w:val="24"/>
              </w:rPr>
              <w:t>Components</w:t>
            </w:r>
          </w:p>
        </w:tc>
        <w:tc>
          <w:tcPr>
            <w:tcW w:w="709" w:type="dxa"/>
            <w:tcBorders>
              <w:top w:val="single" w:sz="4" w:space="0" w:color="auto"/>
              <w:left w:val="nil"/>
              <w:bottom w:val="single" w:sz="4" w:space="0" w:color="auto"/>
              <w:right w:val="nil"/>
            </w:tcBorders>
            <w:vAlign w:val="center"/>
          </w:tcPr>
          <w:p w14:paraId="5ACFC994" w14:textId="77777777" w:rsidR="00F3687E" w:rsidRPr="004E247D" w:rsidRDefault="00F3687E" w:rsidP="00F3687E">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WM</w:t>
            </w:r>
          </w:p>
        </w:tc>
        <w:tc>
          <w:tcPr>
            <w:tcW w:w="708" w:type="dxa"/>
            <w:tcBorders>
              <w:top w:val="single" w:sz="4" w:space="0" w:color="auto"/>
              <w:left w:val="nil"/>
              <w:bottom w:val="single" w:sz="4" w:space="0" w:color="auto"/>
              <w:right w:val="nil"/>
            </w:tcBorders>
            <w:vAlign w:val="center"/>
          </w:tcPr>
          <w:p w14:paraId="70752554" w14:textId="77777777" w:rsidR="00F3687E" w:rsidRPr="004E247D" w:rsidRDefault="00F3687E" w:rsidP="00F3687E">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SD</w:t>
            </w:r>
          </w:p>
        </w:tc>
        <w:tc>
          <w:tcPr>
            <w:tcW w:w="2478" w:type="dxa"/>
            <w:tcBorders>
              <w:top w:val="single" w:sz="4" w:space="0" w:color="auto"/>
              <w:left w:val="nil"/>
              <w:bottom w:val="single" w:sz="4" w:space="0" w:color="auto"/>
            </w:tcBorders>
            <w:vAlign w:val="center"/>
          </w:tcPr>
          <w:p w14:paraId="5925FD4D" w14:textId="77777777" w:rsidR="00F3687E" w:rsidRPr="004E247D" w:rsidRDefault="00F3687E" w:rsidP="00F3687E">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Verbal Description</w:t>
            </w:r>
          </w:p>
        </w:tc>
      </w:tr>
      <w:tr w:rsidR="00F3687E" w:rsidRPr="004E247D" w14:paraId="1522F3BF" w14:textId="77777777" w:rsidTr="00F3687E">
        <w:trPr>
          <w:trHeight w:val="159"/>
        </w:trPr>
        <w:tc>
          <w:tcPr>
            <w:tcW w:w="4673" w:type="dxa"/>
            <w:tcBorders>
              <w:top w:val="single" w:sz="4" w:space="0" w:color="auto"/>
              <w:bottom w:val="nil"/>
              <w:right w:val="nil"/>
            </w:tcBorders>
            <w:vAlign w:val="center"/>
          </w:tcPr>
          <w:p w14:paraId="626FF58A"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Academic Preparedness</w:t>
            </w:r>
          </w:p>
        </w:tc>
        <w:tc>
          <w:tcPr>
            <w:tcW w:w="709" w:type="dxa"/>
            <w:tcBorders>
              <w:top w:val="nil"/>
              <w:left w:val="nil"/>
              <w:bottom w:val="nil"/>
              <w:right w:val="nil"/>
            </w:tcBorders>
            <w:vAlign w:val="center"/>
          </w:tcPr>
          <w:p w14:paraId="7C2B9602"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F26B3A1"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1.13</w:t>
            </w:r>
          </w:p>
        </w:tc>
        <w:tc>
          <w:tcPr>
            <w:tcW w:w="2478" w:type="dxa"/>
            <w:tcBorders>
              <w:top w:val="single" w:sz="4" w:space="0" w:color="auto"/>
              <w:left w:val="nil"/>
              <w:bottom w:val="nil"/>
            </w:tcBorders>
            <w:vAlign w:val="center"/>
          </w:tcPr>
          <w:p w14:paraId="7AC5E65A"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F3687E" w:rsidRPr="004E247D" w14:paraId="7F81B45C" w14:textId="77777777" w:rsidTr="00F3687E">
        <w:trPr>
          <w:trHeight w:val="193"/>
        </w:trPr>
        <w:tc>
          <w:tcPr>
            <w:tcW w:w="4673" w:type="dxa"/>
            <w:tcBorders>
              <w:top w:val="nil"/>
              <w:bottom w:val="nil"/>
              <w:right w:val="nil"/>
            </w:tcBorders>
            <w:vAlign w:val="center"/>
          </w:tcPr>
          <w:p w14:paraId="78EDB356"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lang w:val="en-PH"/>
              </w:rPr>
              <w:t>Practical Skills</w:t>
            </w:r>
          </w:p>
        </w:tc>
        <w:tc>
          <w:tcPr>
            <w:tcW w:w="709" w:type="dxa"/>
            <w:tcBorders>
              <w:top w:val="nil"/>
              <w:left w:val="nil"/>
              <w:bottom w:val="nil"/>
              <w:right w:val="nil"/>
            </w:tcBorders>
            <w:vAlign w:val="center"/>
          </w:tcPr>
          <w:p w14:paraId="5205D8FC"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3.00</w:t>
            </w:r>
          </w:p>
        </w:tc>
        <w:tc>
          <w:tcPr>
            <w:tcW w:w="708" w:type="dxa"/>
            <w:tcBorders>
              <w:top w:val="nil"/>
              <w:left w:val="nil"/>
              <w:bottom w:val="nil"/>
              <w:right w:val="nil"/>
            </w:tcBorders>
            <w:vAlign w:val="center"/>
          </w:tcPr>
          <w:p w14:paraId="4562275E"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1.19</w:t>
            </w:r>
          </w:p>
        </w:tc>
        <w:tc>
          <w:tcPr>
            <w:tcW w:w="2478" w:type="dxa"/>
            <w:tcBorders>
              <w:top w:val="nil"/>
              <w:left w:val="nil"/>
              <w:bottom w:val="nil"/>
            </w:tcBorders>
            <w:vAlign w:val="center"/>
          </w:tcPr>
          <w:p w14:paraId="618D2999"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F3687E" w:rsidRPr="004E247D" w14:paraId="3AC79913" w14:textId="77777777" w:rsidTr="00F3687E">
        <w:trPr>
          <w:trHeight w:val="79"/>
        </w:trPr>
        <w:tc>
          <w:tcPr>
            <w:tcW w:w="4673" w:type="dxa"/>
            <w:tcBorders>
              <w:top w:val="nil"/>
              <w:bottom w:val="nil"/>
              <w:right w:val="nil"/>
            </w:tcBorders>
            <w:vAlign w:val="center"/>
          </w:tcPr>
          <w:p w14:paraId="2DF12F33"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lang w:val="en-PH"/>
              </w:rPr>
              <w:t>Technical Knowledge Related to Welding</w:t>
            </w:r>
          </w:p>
        </w:tc>
        <w:tc>
          <w:tcPr>
            <w:tcW w:w="709" w:type="dxa"/>
            <w:tcBorders>
              <w:top w:val="nil"/>
              <w:left w:val="nil"/>
              <w:bottom w:val="nil"/>
              <w:right w:val="nil"/>
            </w:tcBorders>
            <w:vAlign w:val="center"/>
          </w:tcPr>
          <w:p w14:paraId="18AC8215"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D072F34"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1.23</w:t>
            </w:r>
          </w:p>
        </w:tc>
        <w:tc>
          <w:tcPr>
            <w:tcW w:w="2478" w:type="dxa"/>
            <w:tcBorders>
              <w:top w:val="nil"/>
              <w:left w:val="nil"/>
              <w:bottom w:val="nil"/>
            </w:tcBorders>
            <w:vAlign w:val="center"/>
          </w:tcPr>
          <w:p w14:paraId="07AAB3FD"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Moderate</w:t>
            </w:r>
          </w:p>
        </w:tc>
      </w:tr>
      <w:tr w:rsidR="00F3687E" w:rsidRPr="004E247D" w14:paraId="0EE061CA" w14:textId="77777777" w:rsidTr="00F3687E">
        <w:trPr>
          <w:trHeight w:val="79"/>
        </w:trPr>
        <w:tc>
          <w:tcPr>
            <w:tcW w:w="4673" w:type="dxa"/>
            <w:tcBorders>
              <w:top w:val="nil"/>
              <w:bottom w:val="nil"/>
              <w:right w:val="nil"/>
            </w:tcBorders>
            <w:vAlign w:val="center"/>
          </w:tcPr>
          <w:p w14:paraId="16482F2B"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lang w:val="en-PH"/>
              </w:rPr>
            </w:pPr>
            <w:r w:rsidRPr="004E247D">
              <w:rPr>
                <w:rFonts w:ascii="Times New Roman" w:hAnsi="Times New Roman" w:cs="Times New Roman"/>
                <w:b/>
                <w:bCs/>
                <w:color w:val="000000" w:themeColor="text1"/>
                <w:sz w:val="24"/>
                <w:szCs w:val="24"/>
              </w:rPr>
              <w:t>Grand Mean</w:t>
            </w:r>
          </w:p>
        </w:tc>
        <w:tc>
          <w:tcPr>
            <w:tcW w:w="709" w:type="dxa"/>
            <w:tcBorders>
              <w:top w:val="nil"/>
              <w:left w:val="nil"/>
              <w:bottom w:val="nil"/>
              <w:right w:val="nil"/>
            </w:tcBorders>
            <w:vAlign w:val="center"/>
          </w:tcPr>
          <w:p w14:paraId="6A46401D"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b/>
                <w:bCs/>
                <w:color w:val="000000" w:themeColor="text1"/>
                <w:sz w:val="24"/>
                <w:szCs w:val="24"/>
              </w:rPr>
              <w:t>2.99</w:t>
            </w:r>
          </w:p>
        </w:tc>
        <w:tc>
          <w:tcPr>
            <w:tcW w:w="708" w:type="dxa"/>
            <w:tcBorders>
              <w:top w:val="nil"/>
              <w:left w:val="nil"/>
              <w:bottom w:val="nil"/>
              <w:right w:val="nil"/>
            </w:tcBorders>
            <w:vAlign w:val="center"/>
          </w:tcPr>
          <w:p w14:paraId="24167AEB"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p>
        </w:tc>
        <w:tc>
          <w:tcPr>
            <w:tcW w:w="2478" w:type="dxa"/>
            <w:tcBorders>
              <w:top w:val="nil"/>
              <w:left w:val="nil"/>
              <w:bottom w:val="nil"/>
            </w:tcBorders>
            <w:vAlign w:val="center"/>
          </w:tcPr>
          <w:p w14:paraId="0D764FCF" w14:textId="77777777" w:rsidR="00F3687E" w:rsidRPr="004E247D" w:rsidRDefault="00F3687E" w:rsidP="00F3687E">
            <w:pPr>
              <w:pStyle w:val="NoSpacing"/>
              <w:contextual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Moderate</w:t>
            </w:r>
          </w:p>
        </w:tc>
      </w:tr>
      <w:tr w:rsidR="00F3687E" w:rsidRPr="004E247D" w14:paraId="3A0E3084" w14:textId="77777777" w:rsidTr="00F3687E">
        <w:trPr>
          <w:trHeight w:val="79"/>
        </w:trPr>
        <w:tc>
          <w:tcPr>
            <w:tcW w:w="4673" w:type="dxa"/>
            <w:tcBorders>
              <w:top w:val="nil"/>
              <w:bottom w:val="single" w:sz="4" w:space="0" w:color="auto"/>
              <w:right w:val="nil"/>
            </w:tcBorders>
            <w:vAlign w:val="center"/>
          </w:tcPr>
          <w:p w14:paraId="51142E97"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lang w:val="en-PH"/>
              </w:rPr>
            </w:pPr>
            <w:r w:rsidRPr="004E247D">
              <w:rPr>
                <w:rFonts w:ascii="Times New Roman" w:hAnsi="Times New Roman" w:cs="Times New Roman"/>
                <w:b/>
                <w:bCs/>
                <w:color w:val="000000" w:themeColor="text1"/>
                <w:sz w:val="24"/>
                <w:szCs w:val="24"/>
              </w:rPr>
              <w:t>Grand Standard Deviation</w:t>
            </w:r>
          </w:p>
        </w:tc>
        <w:tc>
          <w:tcPr>
            <w:tcW w:w="709" w:type="dxa"/>
            <w:tcBorders>
              <w:top w:val="nil"/>
              <w:left w:val="nil"/>
              <w:bottom w:val="single" w:sz="4" w:space="0" w:color="auto"/>
              <w:right w:val="nil"/>
            </w:tcBorders>
            <w:vAlign w:val="center"/>
          </w:tcPr>
          <w:p w14:paraId="0E4C3724"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p>
        </w:tc>
        <w:tc>
          <w:tcPr>
            <w:tcW w:w="708" w:type="dxa"/>
            <w:tcBorders>
              <w:top w:val="nil"/>
              <w:left w:val="nil"/>
              <w:bottom w:val="single" w:sz="4" w:space="0" w:color="auto"/>
              <w:right w:val="nil"/>
            </w:tcBorders>
            <w:vAlign w:val="center"/>
          </w:tcPr>
          <w:p w14:paraId="1CEC2337"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b/>
                <w:bCs/>
                <w:color w:val="000000" w:themeColor="text1"/>
                <w:sz w:val="24"/>
                <w:szCs w:val="24"/>
              </w:rPr>
              <w:t>1.18</w:t>
            </w:r>
          </w:p>
        </w:tc>
        <w:tc>
          <w:tcPr>
            <w:tcW w:w="2478" w:type="dxa"/>
            <w:tcBorders>
              <w:top w:val="nil"/>
              <w:left w:val="nil"/>
              <w:bottom w:val="single" w:sz="4" w:space="0" w:color="auto"/>
            </w:tcBorders>
            <w:vAlign w:val="center"/>
          </w:tcPr>
          <w:p w14:paraId="2A0FC53B" w14:textId="77777777" w:rsidR="00F3687E" w:rsidRPr="004E247D" w:rsidRDefault="00F3687E" w:rsidP="00F3687E">
            <w:pPr>
              <w:pStyle w:val="NoSpacing"/>
              <w:contextualSpacing/>
              <w:jc w:val="center"/>
              <w:rPr>
                <w:rFonts w:ascii="Times New Roman" w:hAnsi="Times New Roman" w:cs="Times New Roman"/>
                <w:color w:val="000000" w:themeColor="text1"/>
                <w:sz w:val="24"/>
                <w:szCs w:val="24"/>
              </w:rPr>
            </w:pPr>
          </w:p>
        </w:tc>
      </w:tr>
    </w:tbl>
    <w:bookmarkEnd w:id="0"/>
    <w:p w14:paraId="02112F5C" w14:textId="77777777" w:rsidR="00BD3BA8" w:rsidRPr="004E247D" w:rsidRDefault="00BD3BA8" w:rsidP="00BD3BA8">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0F1E37BE" w14:textId="03A42F33" w:rsidR="00EB7048" w:rsidRPr="004E247D" w:rsidRDefault="00EB7048" w:rsidP="00EB7048">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Table </w:t>
      </w:r>
      <w:r w:rsidR="00D73792" w:rsidRPr="004E247D">
        <w:rPr>
          <w:color w:val="000000" w:themeColor="text1"/>
          <w:sz w:val="24"/>
          <w:szCs w:val="24"/>
          <w:lang w:val="en-PH"/>
        </w:rPr>
        <w:t>10</w:t>
      </w:r>
      <w:r w:rsidRPr="004E247D">
        <w:rPr>
          <w:color w:val="000000" w:themeColor="text1"/>
          <w:sz w:val="24"/>
          <w:szCs w:val="24"/>
          <w:lang w:val="en-PH"/>
        </w:rPr>
        <w:t xml:space="preserve"> presents a comprehensive view of the respondents’ perceived SHS competencies in welding in terms of academic preparedness, practical skills, and technical knowledge. The overall mean score of 2.99 falls under the Moderate category, indicating that respondents felt they were only sufficiently prepared for welding in Senior High School but not fully equipped for advanced demands. Specifically, academic preparedness (WM = 2.98) suggests that students had a fair understanding of theoretical concepts, while practical skills (WM = 3.00) reflect a moderate level of hands-on experience in welding activities. Likewise, technical knowledge (WM = 2.98) shows that respondents had basic awareness of materials, equipment, and welding techniques, but not at an advanced or highly competent level.</w:t>
      </w:r>
    </w:p>
    <w:p w14:paraId="4C784518" w14:textId="77777777" w:rsidR="00EB7048" w:rsidRPr="004E247D" w:rsidRDefault="00EB7048" w:rsidP="00EB7048">
      <w:pPr>
        <w:spacing w:before="240" w:after="240"/>
        <w:ind w:firstLine="720"/>
        <w:jc w:val="both"/>
        <w:rPr>
          <w:color w:val="000000" w:themeColor="text1"/>
          <w:sz w:val="24"/>
          <w:szCs w:val="24"/>
          <w:lang w:val="en-PH"/>
        </w:rPr>
      </w:pPr>
      <w:r w:rsidRPr="004E247D">
        <w:rPr>
          <w:color w:val="000000" w:themeColor="text1"/>
          <w:sz w:val="24"/>
          <w:szCs w:val="24"/>
          <w:lang w:val="en-PH"/>
        </w:rPr>
        <w:t>In summary, the findings indicate that respondents possess an average level of SHS welding competency across academic, practical, and technical dimensions. While SHS provides essential foundational learning, it is not sufficient to fully prepare students for the complexities of college-level welding. This reinforces the need for differentiated instruction and more advanced training strategies in college to address varying student competencies and ensure improved performance in welding education.</w:t>
      </w:r>
    </w:p>
    <w:p w14:paraId="1785197D" w14:textId="0C85A3C0" w:rsidR="003050C2" w:rsidRPr="004E247D" w:rsidRDefault="00F3687E" w:rsidP="002B7D4A">
      <w:pPr>
        <w:spacing w:before="240" w:after="240"/>
        <w:jc w:val="both"/>
        <w:rPr>
          <w:b/>
          <w:bCs/>
          <w:color w:val="000000" w:themeColor="text1"/>
          <w:sz w:val="24"/>
          <w:szCs w:val="24"/>
          <w:lang w:val="en-PH"/>
        </w:rPr>
      </w:pPr>
      <w:r w:rsidRPr="004E247D">
        <w:rPr>
          <w:b/>
          <w:bCs/>
          <w:color w:val="000000" w:themeColor="text1"/>
          <w:sz w:val="24"/>
          <w:szCs w:val="24"/>
          <w:lang w:val="en-PH"/>
        </w:rPr>
        <w:t>RESPONDENTS' LEVEL OF PERCEPTION ON DIFFERENTIATED INSTRUCTION PRACTICES EXPERIENCED IN THEIR COLLEGE WELDING CLASSES</w:t>
      </w:r>
    </w:p>
    <w:p w14:paraId="61332EDB" w14:textId="77777777" w:rsidR="00EC57CF" w:rsidRPr="004E247D" w:rsidRDefault="00EC57CF" w:rsidP="00EC57CF">
      <w:pPr>
        <w:spacing w:before="240" w:after="240"/>
        <w:ind w:firstLine="720"/>
        <w:jc w:val="both"/>
        <w:rPr>
          <w:color w:val="000000" w:themeColor="text1"/>
          <w:sz w:val="24"/>
          <w:szCs w:val="24"/>
          <w:lang w:val="en-PH"/>
        </w:rPr>
      </w:pPr>
      <w:r w:rsidRPr="004E247D">
        <w:rPr>
          <w:color w:val="000000" w:themeColor="text1"/>
          <w:sz w:val="24"/>
          <w:szCs w:val="24"/>
          <w:lang w:val="en-PH"/>
        </w:rPr>
        <w:t>This section presents the respondents’ level of perception on the differentiated instruction practices experienced in their college welding classes. It examines how instructional strategies are adapted to address learners’ varying abilities, needs, and learning preferences. Specifically, the analysis focuses on three key dimensions of differentiated instruction: content differentiation, process differentiation, and product differentiation. These components provide a comprehensive understanding of how instructors modify learning materials, teaching methods, and assessment outputs to support diverse learners in welding education.</w:t>
      </w:r>
    </w:p>
    <w:p w14:paraId="4428B4E1" w14:textId="20F13962" w:rsidR="003050C2" w:rsidRPr="004E247D" w:rsidRDefault="00BD3BA8" w:rsidP="002B7D4A">
      <w:pPr>
        <w:spacing w:before="240" w:after="240"/>
        <w:jc w:val="both"/>
        <w:rPr>
          <w:b/>
          <w:bCs/>
          <w:color w:val="000000" w:themeColor="text1"/>
          <w:sz w:val="24"/>
          <w:szCs w:val="24"/>
          <w:lang w:val="en-PH"/>
        </w:rPr>
      </w:pPr>
      <w:r w:rsidRPr="004E247D">
        <w:rPr>
          <w:b/>
          <w:bCs/>
          <w:color w:val="000000" w:themeColor="text1"/>
          <w:sz w:val="24"/>
          <w:szCs w:val="24"/>
          <w:lang w:val="en-PH"/>
        </w:rPr>
        <w:t>Content Differentiation</w:t>
      </w:r>
    </w:p>
    <w:p w14:paraId="7BA6986C" w14:textId="4A5F6314" w:rsidR="00342251" w:rsidRPr="004E247D" w:rsidRDefault="00942B41" w:rsidP="00EC57CF">
      <w:pPr>
        <w:spacing w:before="240" w:after="240"/>
        <w:ind w:firstLine="720"/>
        <w:jc w:val="both"/>
        <w:rPr>
          <w:color w:val="000000" w:themeColor="text1"/>
          <w:sz w:val="24"/>
          <w:szCs w:val="24"/>
          <w:lang w:val="en-PH"/>
        </w:rPr>
      </w:pPr>
      <w:r w:rsidRPr="004E247D">
        <w:rPr>
          <w:color w:val="000000" w:themeColor="text1"/>
          <w:sz w:val="24"/>
          <w:szCs w:val="24"/>
          <w:lang w:val="en-PH"/>
        </w:rPr>
        <w:t>The degree of respondents’ perception of differentiated instruction strategies experienced in their college welding courses, particularly in terms of content differentiation, was assessed. This aspect focuses on how instructional materials, teaching approaches, and learning resources are adapted to accommodate students’ varying levels of ability and learning needs. As presented in Table 11, the analysis includes the computed weighted mean scores, standard deviations, and corresponding interpretations for each indicator. These statistical measures provide a clear representation of how students perceive the extent to which instructors modify lesson content, utilize diverse teaching methods, incorporate practical and real-world examples, and adjust instructional delivery to address differences in learners’ competencies. Through this assessment, the study highlights the role of content differentiation in promoting inclusive and responsive teaching practices in college welding education.</w:t>
      </w:r>
    </w:p>
    <w:p w14:paraId="6BCCFC56" w14:textId="63618CD9" w:rsidR="00BD3BA8" w:rsidRPr="004E247D" w:rsidRDefault="00BD3BA8" w:rsidP="00BD3BA8">
      <w:pPr>
        <w:spacing w:before="240" w:after="240"/>
        <w:jc w:val="both"/>
        <w:rPr>
          <w:b/>
          <w:bCs/>
          <w:color w:val="000000" w:themeColor="text1"/>
          <w:sz w:val="24"/>
          <w:szCs w:val="24"/>
          <w:lang w:val="en-PH"/>
        </w:rPr>
      </w:pPr>
      <w:r w:rsidRPr="004E247D">
        <w:rPr>
          <w:b/>
          <w:bCs/>
          <w:color w:val="000000" w:themeColor="text1"/>
          <w:sz w:val="24"/>
          <w:szCs w:val="24"/>
          <w:lang w:val="en-PH"/>
        </w:rPr>
        <w:lastRenderedPageBreak/>
        <w:t>Table 1</w:t>
      </w:r>
      <w:r w:rsidR="00D73792" w:rsidRPr="004E247D">
        <w:rPr>
          <w:b/>
          <w:bCs/>
          <w:color w:val="000000" w:themeColor="text1"/>
          <w:sz w:val="24"/>
          <w:szCs w:val="24"/>
          <w:lang w:val="en-PH"/>
        </w:rPr>
        <w:t>1</w:t>
      </w:r>
      <w:r w:rsidRPr="004E247D">
        <w:rPr>
          <w:b/>
          <w:bCs/>
          <w:color w:val="000000" w:themeColor="text1"/>
          <w:sz w:val="24"/>
          <w:szCs w:val="24"/>
          <w:lang w:val="en-PH"/>
        </w:rPr>
        <w:t>. Respondents' Level of Perception on Differentiated Instruction Practices Experienced in their College Welding Classes in Terms of Content Differentiation</w:t>
      </w:r>
    </w:p>
    <w:tbl>
      <w:tblPr>
        <w:tblW w:w="9198" w:type="dxa"/>
        <w:tblLook w:val="04A0" w:firstRow="1" w:lastRow="0" w:firstColumn="1" w:lastColumn="0" w:noHBand="0" w:noVBand="1"/>
      </w:tblPr>
      <w:tblGrid>
        <w:gridCol w:w="583"/>
        <w:gridCol w:w="4915"/>
        <w:gridCol w:w="698"/>
        <w:gridCol w:w="825"/>
        <w:gridCol w:w="2177"/>
      </w:tblGrid>
      <w:tr w:rsidR="00BD3BA8" w:rsidRPr="004E247D" w14:paraId="68705E9A" w14:textId="77777777" w:rsidTr="00BD3BA8">
        <w:trPr>
          <w:trHeight w:val="241"/>
        </w:trPr>
        <w:tc>
          <w:tcPr>
            <w:tcW w:w="583" w:type="dxa"/>
            <w:tcBorders>
              <w:top w:val="single" w:sz="4" w:space="0" w:color="auto"/>
              <w:bottom w:val="single" w:sz="4" w:space="0" w:color="auto"/>
            </w:tcBorders>
            <w:noWrap/>
            <w:vAlign w:val="center"/>
            <w:hideMark/>
          </w:tcPr>
          <w:p w14:paraId="497B1DD8" w14:textId="77777777" w:rsidR="00BD3BA8" w:rsidRPr="004E247D" w:rsidRDefault="00BD3BA8" w:rsidP="007233F6">
            <w:pPr>
              <w:jc w:val="center"/>
              <w:rPr>
                <w:b/>
                <w:bCs/>
                <w:color w:val="000000" w:themeColor="text1"/>
              </w:rPr>
            </w:pPr>
            <w:r w:rsidRPr="004E247D">
              <w:rPr>
                <w:b/>
                <w:bCs/>
                <w:color w:val="000000" w:themeColor="text1"/>
              </w:rPr>
              <w:t>S/N</w:t>
            </w:r>
          </w:p>
        </w:tc>
        <w:tc>
          <w:tcPr>
            <w:tcW w:w="4915" w:type="dxa"/>
            <w:tcBorders>
              <w:top w:val="single" w:sz="4" w:space="0" w:color="auto"/>
              <w:bottom w:val="single" w:sz="4" w:space="0" w:color="auto"/>
            </w:tcBorders>
            <w:noWrap/>
            <w:vAlign w:val="center"/>
            <w:hideMark/>
          </w:tcPr>
          <w:p w14:paraId="1334B912" w14:textId="77777777" w:rsidR="00BD3BA8" w:rsidRPr="004E247D" w:rsidRDefault="00BD3BA8" w:rsidP="007233F6">
            <w:pPr>
              <w:jc w:val="center"/>
              <w:rPr>
                <w:b/>
                <w:bCs/>
                <w:color w:val="000000" w:themeColor="text1"/>
              </w:rPr>
            </w:pPr>
            <w:r w:rsidRPr="004E247D">
              <w:rPr>
                <w:b/>
                <w:bCs/>
                <w:color w:val="000000" w:themeColor="text1"/>
              </w:rPr>
              <w:t xml:space="preserve">INDICATORS </w:t>
            </w:r>
          </w:p>
        </w:tc>
        <w:tc>
          <w:tcPr>
            <w:tcW w:w="698" w:type="dxa"/>
            <w:tcBorders>
              <w:top w:val="single" w:sz="4" w:space="0" w:color="auto"/>
              <w:bottom w:val="single" w:sz="4" w:space="0" w:color="auto"/>
            </w:tcBorders>
            <w:noWrap/>
            <w:vAlign w:val="center"/>
            <w:hideMark/>
          </w:tcPr>
          <w:p w14:paraId="68AC9398" w14:textId="77777777" w:rsidR="00BD3BA8" w:rsidRPr="004E247D" w:rsidRDefault="00BD3BA8" w:rsidP="007233F6">
            <w:pPr>
              <w:jc w:val="center"/>
              <w:rPr>
                <w:b/>
                <w:bCs/>
                <w:color w:val="000000" w:themeColor="text1"/>
              </w:rPr>
            </w:pPr>
            <w:r w:rsidRPr="004E247D">
              <w:rPr>
                <w:b/>
                <w:bCs/>
                <w:color w:val="000000" w:themeColor="text1"/>
              </w:rPr>
              <w:t>WM</w:t>
            </w:r>
          </w:p>
        </w:tc>
        <w:tc>
          <w:tcPr>
            <w:tcW w:w="825" w:type="dxa"/>
            <w:tcBorders>
              <w:top w:val="single" w:sz="4" w:space="0" w:color="auto"/>
              <w:bottom w:val="single" w:sz="4" w:space="0" w:color="auto"/>
            </w:tcBorders>
            <w:noWrap/>
            <w:vAlign w:val="center"/>
            <w:hideMark/>
          </w:tcPr>
          <w:p w14:paraId="3FA726EE" w14:textId="77777777" w:rsidR="00BD3BA8" w:rsidRPr="004E247D" w:rsidRDefault="00BD3BA8" w:rsidP="007233F6">
            <w:pPr>
              <w:jc w:val="center"/>
              <w:rPr>
                <w:b/>
                <w:bCs/>
                <w:color w:val="000000" w:themeColor="text1"/>
              </w:rPr>
            </w:pPr>
            <w:r w:rsidRPr="004E247D">
              <w:rPr>
                <w:b/>
                <w:bCs/>
                <w:color w:val="000000" w:themeColor="text1"/>
              </w:rPr>
              <w:t>SD</w:t>
            </w:r>
          </w:p>
        </w:tc>
        <w:tc>
          <w:tcPr>
            <w:tcW w:w="2177" w:type="dxa"/>
            <w:tcBorders>
              <w:top w:val="single" w:sz="4" w:space="0" w:color="auto"/>
              <w:bottom w:val="single" w:sz="4" w:space="0" w:color="auto"/>
            </w:tcBorders>
            <w:noWrap/>
            <w:vAlign w:val="center"/>
            <w:hideMark/>
          </w:tcPr>
          <w:p w14:paraId="0A8D43D8" w14:textId="77777777" w:rsidR="00BD3BA8" w:rsidRPr="004E247D" w:rsidRDefault="00BD3BA8" w:rsidP="007233F6">
            <w:pPr>
              <w:jc w:val="center"/>
              <w:rPr>
                <w:b/>
                <w:bCs/>
                <w:color w:val="000000" w:themeColor="text1"/>
              </w:rPr>
            </w:pPr>
            <w:r w:rsidRPr="004E247D">
              <w:rPr>
                <w:b/>
                <w:bCs/>
                <w:color w:val="000000" w:themeColor="text1"/>
              </w:rPr>
              <w:t xml:space="preserve">Verbal Description </w:t>
            </w:r>
          </w:p>
        </w:tc>
      </w:tr>
      <w:tr w:rsidR="00BD3BA8" w:rsidRPr="004E247D" w14:paraId="389C5290" w14:textId="77777777" w:rsidTr="00BD3BA8">
        <w:trPr>
          <w:trHeight w:val="231"/>
        </w:trPr>
        <w:tc>
          <w:tcPr>
            <w:tcW w:w="583" w:type="dxa"/>
            <w:tcBorders>
              <w:top w:val="single" w:sz="4" w:space="0" w:color="auto"/>
            </w:tcBorders>
            <w:noWrap/>
            <w:vAlign w:val="center"/>
            <w:hideMark/>
          </w:tcPr>
          <w:p w14:paraId="39EA2F6F"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4915" w:type="dxa"/>
            <w:tcBorders>
              <w:top w:val="single" w:sz="4" w:space="0" w:color="auto"/>
            </w:tcBorders>
            <w:noWrap/>
            <w:vAlign w:val="center"/>
            <w:hideMark/>
          </w:tcPr>
          <w:p w14:paraId="682A87F8"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instructor provides different learning materials suited to our skill levels. </w:t>
            </w:r>
          </w:p>
        </w:tc>
        <w:tc>
          <w:tcPr>
            <w:tcW w:w="698" w:type="dxa"/>
            <w:tcBorders>
              <w:top w:val="single" w:sz="4" w:space="0" w:color="auto"/>
            </w:tcBorders>
            <w:noWrap/>
            <w:vAlign w:val="center"/>
            <w:hideMark/>
          </w:tcPr>
          <w:p w14:paraId="42AF1C58"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3.80</w:t>
            </w:r>
          </w:p>
        </w:tc>
        <w:tc>
          <w:tcPr>
            <w:tcW w:w="825" w:type="dxa"/>
            <w:tcBorders>
              <w:top w:val="single" w:sz="4" w:space="0" w:color="auto"/>
            </w:tcBorders>
            <w:noWrap/>
            <w:vAlign w:val="center"/>
            <w:hideMark/>
          </w:tcPr>
          <w:p w14:paraId="52DF4159"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1.13</w:t>
            </w:r>
          </w:p>
        </w:tc>
        <w:tc>
          <w:tcPr>
            <w:tcW w:w="2177" w:type="dxa"/>
            <w:tcBorders>
              <w:top w:val="single" w:sz="4" w:space="0" w:color="auto"/>
            </w:tcBorders>
            <w:noWrap/>
            <w:vAlign w:val="center"/>
            <w:hideMark/>
          </w:tcPr>
          <w:p w14:paraId="59DAC3F4"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4FAB8079" w14:textId="77777777" w:rsidTr="00BD3BA8">
        <w:trPr>
          <w:trHeight w:val="231"/>
        </w:trPr>
        <w:tc>
          <w:tcPr>
            <w:tcW w:w="583" w:type="dxa"/>
            <w:noWrap/>
            <w:vAlign w:val="center"/>
            <w:hideMark/>
          </w:tcPr>
          <w:p w14:paraId="60183FDE"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4915" w:type="dxa"/>
            <w:noWrap/>
            <w:vAlign w:val="center"/>
            <w:hideMark/>
          </w:tcPr>
          <w:p w14:paraId="1D571486"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Lessons are presented using varied teaching methods. </w:t>
            </w:r>
          </w:p>
        </w:tc>
        <w:tc>
          <w:tcPr>
            <w:tcW w:w="698" w:type="dxa"/>
            <w:noWrap/>
            <w:vAlign w:val="center"/>
            <w:hideMark/>
          </w:tcPr>
          <w:p w14:paraId="30BB093C"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3.78</w:t>
            </w:r>
          </w:p>
        </w:tc>
        <w:tc>
          <w:tcPr>
            <w:tcW w:w="825" w:type="dxa"/>
            <w:noWrap/>
            <w:vAlign w:val="center"/>
            <w:hideMark/>
          </w:tcPr>
          <w:p w14:paraId="125E1140"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1.03</w:t>
            </w:r>
          </w:p>
        </w:tc>
        <w:tc>
          <w:tcPr>
            <w:tcW w:w="2177" w:type="dxa"/>
            <w:noWrap/>
            <w:vAlign w:val="center"/>
            <w:hideMark/>
          </w:tcPr>
          <w:p w14:paraId="3DC87E8B"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05FC26F1" w14:textId="77777777" w:rsidTr="00BD3BA8">
        <w:trPr>
          <w:trHeight w:val="231"/>
        </w:trPr>
        <w:tc>
          <w:tcPr>
            <w:tcW w:w="583" w:type="dxa"/>
            <w:noWrap/>
            <w:vAlign w:val="center"/>
            <w:hideMark/>
          </w:tcPr>
          <w:p w14:paraId="016C83F8"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4915" w:type="dxa"/>
            <w:noWrap/>
            <w:vAlign w:val="center"/>
            <w:hideMark/>
          </w:tcPr>
          <w:p w14:paraId="3B0F64AF"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instructor explains topics using examples related to real welding situations. </w:t>
            </w:r>
          </w:p>
        </w:tc>
        <w:tc>
          <w:tcPr>
            <w:tcW w:w="698" w:type="dxa"/>
            <w:noWrap/>
            <w:vAlign w:val="center"/>
            <w:hideMark/>
          </w:tcPr>
          <w:p w14:paraId="58967221"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3.93</w:t>
            </w:r>
          </w:p>
        </w:tc>
        <w:tc>
          <w:tcPr>
            <w:tcW w:w="825" w:type="dxa"/>
            <w:noWrap/>
            <w:vAlign w:val="center"/>
            <w:hideMark/>
          </w:tcPr>
          <w:p w14:paraId="1EA53827"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1.18</w:t>
            </w:r>
          </w:p>
        </w:tc>
        <w:tc>
          <w:tcPr>
            <w:tcW w:w="2177" w:type="dxa"/>
            <w:noWrap/>
            <w:vAlign w:val="center"/>
            <w:hideMark/>
          </w:tcPr>
          <w:p w14:paraId="4367F3AE"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5D96BC60" w14:textId="77777777" w:rsidTr="00BD3BA8">
        <w:trPr>
          <w:trHeight w:val="231"/>
        </w:trPr>
        <w:tc>
          <w:tcPr>
            <w:tcW w:w="583" w:type="dxa"/>
            <w:noWrap/>
            <w:vAlign w:val="center"/>
            <w:hideMark/>
          </w:tcPr>
          <w:p w14:paraId="356E9F07"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4915" w:type="dxa"/>
            <w:noWrap/>
            <w:vAlign w:val="center"/>
            <w:hideMark/>
          </w:tcPr>
          <w:p w14:paraId="6FD7A136"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receive additional materials when I find a topic difficult. </w:t>
            </w:r>
          </w:p>
        </w:tc>
        <w:tc>
          <w:tcPr>
            <w:tcW w:w="698" w:type="dxa"/>
            <w:noWrap/>
            <w:vAlign w:val="center"/>
            <w:hideMark/>
          </w:tcPr>
          <w:p w14:paraId="3E50945F"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3.52</w:t>
            </w:r>
          </w:p>
        </w:tc>
        <w:tc>
          <w:tcPr>
            <w:tcW w:w="825" w:type="dxa"/>
            <w:noWrap/>
            <w:vAlign w:val="center"/>
            <w:hideMark/>
          </w:tcPr>
          <w:p w14:paraId="3458CED0"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1.17</w:t>
            </w:r>
          </w:p>
        </w:tc>
        <w:tc>
          <w:tcPr>
            <w:tcW w:w="2177" w:type="dxa"/>
            <w:noWrap/>
            <w:vAlign w:val="center"/>
            <w:hideMark/>
          </w:tcPr>
          <w:p w14:paraId="4E02D448"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7CDC1A5C" w14:textId="77777777" w:rsidTr="00BD3BA8">
        <w:trPr>
          <w:trHeight w:val="231"/>
        </w:trPr>
        <w:tc>
          <w:tcPr>
            <w:tcW w:w="583" w:type="dxa"/>
            <w:noWrap/>
            <w:vAlign w:val="center"/>
            <w:hideMark/>
          </w:tcPr>
          <w:p w14:paraId="7AC59021"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4915" w:type="dxa"/>
            <w:noWrap/>
            <w:vAlign w:val="center"/>
            <w:hideMark/>
          </w:tcPr>
          <w:p w14:paraId="0837395A"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instructor adjusts lessons to help both advance and struggling students. </w:t>
            </w:r>
          </w:p>
        </w:tc>
        <w:tc>
          <w:tcPr>
            <w:tcW w:w="698" w:type="dxa"/>
            <w:noWrap/>
            <w:vAlign w:val="center"/>
            <w:hideMark/>
          </w:tcPr>
          <w:p w14:paraId="499FF2CF"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3.87</w:t>
            </w:r>
          </w:p>
        </w:tc>
        <w:tc>
          <w:tcPr>
            <w:tcW w:w="825" w:type="dxa"/>
            <w:noWrap/>
            <w:vAlign w:val="center"/>
            <w:hideMark/>
          </w:tcPr>
          <w:p w14:paraId="1832C31F"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1.22</w:t>
            </w:r>
          </w:p>
        </w:tc>
        <w:tc>
          <w:tcPr>
            <w:tcW w:w="2177" w:type="dxa"/>
            <w:noWrap/>
            <w:vAlign w:val="center"/>
            <w:hideMark/>
          </w:tcPr>
          <w:p w14:paraId="6E744085"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2CD816DE" w14:textId="77777777" w:rsidTr="00BD3BA8">
        <w:trPr>
          <w:trHeight w:val="241"/>
        </w:trPr>
        <w:tc>
          <w:tcPr>
            <w:tcW w:w="583" w:type="dxa"/>
            <w:noWrap/>
            <w:vAlign w:val="center"/>
            <w:hideMark/>
          </w:tcPr>
          <w:p w14:paraId="22EC38EE" w14:textId="77777777" w:rsidR="00BD3BA8" w:rsidRPr="004E247D" w:rsidRDefault="00BD3BA8" w:rsidP="007233F6">
            <w:pPr>
              <w:pStyle w:val="NoSpacing"/>
              <w:jc w:val="center"/>
              <w:rPr>
                <w:rFonts w:ascii="Times New Roman" w:hAnsi="Times New Roman" w:cs="Times New Roman"/>
                <w:color w:val="000000" w:themeColor="text1"/>
                <w:sz w:val="24"/>
                <w:szCs w:val="24"/>
              </w:rPr>
            </w:pPr>
          </w:p>
        </w:tc>
        <w:tc>
          <w:tcPr>
            <w:tcW w:w="4915" w:type="dxa"/>
            <w:noWrap/>
            <w:vAlign w:val="center"/>
            <w:hideMark/>
          </w:tcPr>
          <w:p w14:paraId="5B50BF87"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698" w:type="dxa"/>
            <w:noWrap/>
            <w:vAlign w:val="center"/>
            <w:hideMark/>
          </w:tcPr>
          <w:p w14:paraId="43D0794E"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3.78</w:t>
            </w:r>
          </w:p>
        </w:tc>
        <w:tc>
          <w:tcPr>
            <w:tcW w:w="825" w:type="dxa"/>
            <w:noWrap/>
            <w:vAlign w:val="center"/>
            <w:hideMark/>
          </w:tcPr>
          <w:p w14:paraId="2FCA8851"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c>
          <w:tcPr>
            <w:tcW w:w="2177" w:type="dxa"/>
            <w:noWrap/>
            <w:vAlign w:val="center"/>
            <w:hideMark/>
          </w:tcPr>
          <w:p w14:paraId="07DC633F"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High</w:t>
            </w:r>
          </w:p>
        </w:tc>
      </w:tr>
      <w:tr w:rsidR="00BD3BA8" w:rsidRPr="004E247D" w14:paraId="0F2FF528" w14:textId="77777777" w:rsidTr="00BD3BA8">
        <w:trPr>
          <w:trHeight w:val="241"/>
        </w:trPr>
        <w:tc>
          <w:tcPr>
            <w:tcW w:w="583" w:type="dxa"/>
            <w:tcBorders>
              <w:bottom w:val="single" w:sz="4" w:space="0" w:color="auto"/>
            </w:tcBorders>
            <w:noWrap/>
            <w:vAlign w:val="center"/>
            <w:hideMark/>
          </w:tcPr>
          <w:p w14:paraId="78F21837" w14:textId="77777777" w:rsidR="00BD3BA8" w:rsidRPr="004E247D" w:rsidRDefault="00BD3BA8" w:rsidP="007233F6">
            <w:pPr>
              <w:pStyle w:val="NoSpacing"/>
              <w:jc w:val="center"/>
              <w:rPr>
                <w:rFonts w:ascii="Times New Roman" w:hAnsi="Times New Roman" w:cs="Times New Roman"/>
                <w:color w:val="000000" w:themeColor="text1"/>
                <w:sz w:val="24"/>
                <w:szCs w:val="24"/>
              </w:rPr>
            </w:pPr>
          </w:p>
        </w:tc>
        <w:tc>
          <w:tcPr>
            <w:tcW w:w="4915" w:type="dxa"/>
            <w:tcBorders>
              <w:bottom w:val="single" w:sz="4" w:space="0" w:color="auto"/>
            </w:tcBorders>
            <w:noWrap/>
            <w:vAlign w:val="center"/>
            <w:hideMark/>
          </w:tcPr>
          <w:p w14:paraId="7A97E073"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Standard Deviation</w:t>
            </w:r>
          </w:p>
        </w:tc>
        <w:tc>
          <w:tcPr>
            <w:tcW w:w="698" w:type="dxa"/>
            <w:tcBorders>
              <w:bottom w:val="single" w:sz="4" w:space="0" w:color="auto"/>
            </w:tcBorders>
            <w:noWrap/>
            <w:vAlign w:val="center"/>
            <w:hideMark/>
          </w:tcPr>
          <w:p w14:paraId="2F8AA054"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c>
          <w:tcPr>
            <w:tcW w:w="825" w:type="dxa"/>
            <w:tcBorders>
              <w:bottom w:val="single" w:sz="4" w:space="0" w:color="auto"/>
            </w:tcBorders>
            <w:noWrap/>
            <w:vAlign w:val="center"/>
            <w:hideMark/>
          </w:tcPr>
          <w:p w14:paraId="7435766D"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1.15</w:t>
            </w:r>
          </w:p>
        </w:tc>
        <w:tc>
          <w:tcPr>
            <w:tcW w:w="2177" w:type="dxa"/>
            <w:tcBorders>
              <w:bottom w:val="single" w:sz="4" w:space="0" w:color="auto"/>
            </w:tcBorders>
            <w:noWrap/>
            <w:vAlign w:val="center"/>
            <w:hideMark/>
          </w:tcPr>
          <w:p w14:paraId="420D317A"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r>
    </w:tbl>
    <w:p w14:paraId="4FF10FEE" w14:textId="77777777" w:rsidR="00BD3BA8" w:rsidRPr="004E247D" w:rsidRDefault="00BD3BA8" w:rsidP="00BD3BA8">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4066F104" w14:textId="3A1DA0E7" w:rsidR="00EB7048" w:rsidRPr="004E247D" w:rsidRDefault="00EB7048" w:rsidP="00EB7048">
      <w:pPr>
        <w:spacing w:before="240" w:after="240"/>
        <w:ind w:firstLine="720"/>
        <w:jc w:val="both"/>
        <w:rPr>
          <w:color w:val="000000" w:themeColor="text1"/>
          <w:sz w:val="24"/>
          <w:szCs w:val="24"/>
          <w:lang w:val="en-PH"/>
        </w:rPr>
      </w:pPr>
      <w:r w:rsidRPr="004E247D">
        <w:rPr>
          <w:color w:val="000000" w:themeColor="text1"/>
          <w:sz w:val="24"/>
          <w:szCs w:val="24"/>
          <w:lang w:val="en-PH"/>
        </w:rPr>
        <w:t>Table 1</w:t>
      </w:r>
      <w:r w:rsidR="00D73792" w:rsidRPr="004E247D">
        <w:rPr>
          <w:color w:val="000000" w:themeColor="text1"/>
          <w:sz w:val="24"/>
          <w:szCs w:val="24"/>
          <w:lang w:val="en-PH"/>
        </w:rPr>
        <w:t>1</w:t>
      </w:r>
      <w:r w:rsidRPr="004E247D">
        <w:rPr>
          <w:color w:val="000000" w:themeColor="text1"/>
          <w:sz w:val="24"/>
          <w:szCs w:val="24"/>
          <w:lang w:val="en-PH"/>
        </w:rPr>
        <w:t xml:space="preserve"> presents the respondents’ perception of differentiated instruction practices in college welding courses specifically in terms of content differentiation. The results show a computed weighted mean of 3.78, which falls under the High category. This indicates that respondents strongly perceive that instructional content is appropriately adjusted according to learners’ varying abilities. It further suggests that instructors in college welding classes actively provide differentiated learning materials, ensuring that both advanced and struggling learners are given appropriate academic support. As a result, students experience lessons that are better aligned with their individual learning needs and skill levels.</w:t>
      </w:r>
    </w:p>
    <w:p w14:paraId="4FFAB5D4" w14:textId="77777777" w:rsidR="00EB7048" w:rsidRPr="004E247D" w:rsidRDefault="00EB7048" w:rsidP="00EB7048">
      <w:pPr>
        <w:spacing w:before="240" w:after="240"/>
        <w:ind w:firstLine="720"/>
        <w:jc w:val="both"/>
        <w:rPr>
          <w:color w:val="000000" w:themeColor="text1"/>
          <w:sz w:val="24"/>
          <w:szCs w:val="24"/>
          <w:lang w:val="en-PH"/>
        </w:rPr>
      </w:pPr>
      <w:r w:rsidRPr="004E247D">
        <w:rPr>
          <w:color w:val="000000" w:themeColor="text1"/>
          <w:sz w:val="24"/>
          <w:szCs w:val="24"/>
          <w:lang w:val="en-PH"/>
        </w:rPr>
        <w:t>In summary, the high level of content differentiation reflects the effectiveness of instructors in adapting learning materials to meet diverse student needs. This practice helps bridge competency gaps, supports both weak and advanced learners, and promotes better understanding of welding concepts. Overall, differentiated content contributes to a more inclusive and responsive learning environment where students are better able to participate, comprehend lessons, and succeed in their welding coursework.</w:t>
      </w:r>
    </w:p>
    <w:p w14:paraId="4D0261C7" w14:textId="570B107A" w:rsidR="003050C2" w:rsidRPr="004E247D" w:rsidRDefault="00BD3BA8" w:rsidP="002B7D4A">
      <w:pPr>
        <w:spacing w:before="240" w:after="240"/>
        <w:jc w:val="both"/>
        <w:rPr>
          <w:b/>
          <w:bCs/>
          <w:color w:val="000000" w:themeColor="text1"/>
          <w:sz w:val="24"/>
          <w:szCs w:val="24"/>
          <w:lang w:val="en-PH"/>
        </w:rPr>
      </w:pPr>
      <w:r w:rsidRPr="004E247D">
        <w:rPr>
          <w:b/>
          <w:bCs/>
          <w:color w:val="000000" w:themeColor="text1"/>
          <w:sz w:val="24"/>
          <w:szCs w:val="24"/>
          <w:lang w:val="en-PH"/>
        </w:rPr>
        <w:t>Process Differentiation</w:t>
      </w:r>
    </w:p>
    <w:p w14:paraId="2C2FA430" w14:textId="77777777" w:rsidR="009906A6" w:rsidRPr="004E247D" w:rsidRDefault="009906A6" w:rsidP="009906A6">
      <w:pPr>
        <w:spacing w:before="240" w:after="240"/>
        <w:ind w:firstLine="720"/>
        <w:jc w:val="both"/>
        <w:rPr>
          <w:color w:val="000000" w:themeColor="text1"/>
          <w:sz w:val="24"/>
          <w:szCs w:val="24"/>
          <w:lang w:val="en-PH"/>
        </w:rPr>
      </w:pPr>
      <w:r w:rsidRPr="004E247D">
        <w:rPr>
          <w:color w:val="000000" w:themeColor="text1"/>
          <w:sz w:val="24"/>
          <w:szCs w:val="24"/>
          <w:lang w:val="en-PH"/>
        </w:rPr>
        <w:t>This study examined respondents’ perception of differentiated instruction in college welding classes, particularly in terms of process differentiation, as shown in Table 12. These strategies reflect how instruction is adapted through pacing, grouping, practice, feedback, and demonstration to address varying skill levels and learning styles in welding education.</w:t>
      </w:r>
    </w:p>
    <w:p w14:paraId="2C190CF7" w14:textId="7C538C05" w:rsidR="00BD3BA8" w:rsidRPr="004E247D" w:rsidRDefault="00BD3BA8" w:rsidP="00BD3BA8">
      <w:pPr>
        <w:spacing w:before="240" w:after="240"/>
        <w:jc w:val="both"/>
        <w:rPr>
          <w:b/>
          <w:bCs/>
          <w:color w:val="000000" w:themeColor="text1"/>
          <w:sz w:val="24"/>
          <w:szCs w:val="24"/>
          <w:lang w:val="en-PH"/>
        </w:rPr>
      </w:pPr>
      <w:r w:rsidRPr="004E247D">
        <w:rPr>
          <w:b/>
          <w:bCs/>
          <w:color w:val="000000" w:themeColor="text1"/>
          <w:sz w:val="24"/>
          <w:szCs w:val="24"/>
          <w:lang w:val="en-PH"/>
        </w:rPr>
        <w:t>Table 1</w:t>
      </w:r>
      <w:r w:rsidR="00D73792" w:rsidRPr="004E247D">
        <w:rPr>
          <w:b/>
          <w:bCs/>
          <w:color w:val="000000" w:themeColor="text1"/>
          <w:sz w:val="24"/>
          <w:szCs w:val="24"/>
          <w:lang w:val="en-PH"/>
        </w:rPr>
        <w:t>2</w:t>
      </w:r>
      <w:r w:rsidRPr="004E247D">
        <w:rPr>
          <w:b/>
          <w:bCs/>
          <w:color w:val="000000" w:themeColor="text1"/>
          <w:sz w:val="24"/>
          <w:szCs w:val="24"/>
          <w:lang w:val="en-PH"/>
        </w:rPr>
        <w:t>. Respondents' Level of Perception on Differentiated Instruction Practices Experienced in their College Welding Classes in Terms of Process Differentiation</w:t>
      </w:r>
    </w:p>
    <w:tbl>
      <w:tblPr>
        <w:tblW w:w="9108" w:type="dxa"/>
        <w:tblLook w:val="04A0" w:firstRow="1" w:lastRow="0" w:firstColumn="1" w:lastColumn="0" w:noHBand="0" w:noVBand="1"/>
      </w:tblPr>
      <w:tblGrid>
        <w:gridCol w:w="590"/>
        <w:gridCol w:w="4791"/>
        <w:gridCol w:w="831"/>
        <w:gridCol w:w="725"/>
        <w:gridCol w:w="2171"/>
      </w:tblGrid>
      <w:tr w:rsidR="00BD3BA8" w:rsidRPr="004E247D" w14:paraId="709411E6" w14:textId="77777777" w:rsidTr="007669DA">
        <w:trPr>
          <w:trHeight w:val="268"/>
        </w:trPr>
        <w:tc>
          <w:tcPr>
            <w:tcW w:w="590" w:type="dxa"/>
            <w:tcBorders>
              <w:top w:val="single" w:sz="4" w:space="0" w:color="auto"/>
              <w:bottom w:val="single" w:sz="4" w:space="0" w:color="auto"/>
            </w:tcBorders>
            <w:noWrap/>
            <w:vAlign w:val="center"/>
            <w:hideMark/>
          </w:tcPr>
          <w:p w14:paraId="2DFEC50F" w14:textId="77777777" w:rsidR="00BD3BA8" w:rsidRPr="004E247D" w:rsidRDefault="00BD3BA8" w:rsidP="007233F6">
            <w:pPr>
              <w:jc w:val="center"/>
              <w:rPr>
                <w:b/>
                <w:bCs/>
                <w:color w:val="000000" w:themeColor="text1"/>
                <w:sz w:val="24"/>
                <w:szCs w:val="24"/>
              </w:rPr>
            </w:pPr>
            <w:r w:rsidRPr="004E247D">
              <w:rPr>
                <w:b/>
                <w:bCs/>
                <w:color w:val="000000" w:themeColor="text1"/>
                <w:sz w:val="24"/>
                <w:szCs w:val="24"/>
              </w:rPr>
              <w:t>S/N</w:t>
            </w:r>
          </w:p>
        </w:tc>
        <w:tc>
          <w:tcPr>
            <w:tcW w:w="4791" w:type="dxa"/>
            <w:tcBorders>
              <w:top w:val="single" w:sz="4" w:space="0" w:color="auto"/>
              <w:bottom w:val="single" w:sz="4" w:space="0" w:color="auto"/>
            </w:tcBorders>
            <w:noWrap/>
            <w:vAlign w:val="center"/>
            <w:hideMark/>
          </w:tcPr>
          <w:p w14:paraId="21DA9589" w14:textId="77777777" w:rsidR="00BD3BA8" w:rsidRPr="004E247D" w:rsidRDefault="00BD3BA8" w:rsidP="007233F6">
            <w:pPr>
              <w:jc w:val="center"/>
              <w:rPr>
                <w:b/>
                <w:bCs/>
                <w:color w:val="000000" w:themeColor="text1"/>
                <w:sz w:val="24"/>
                <w:szCs w:val="24"/>
              </w:rPr>
            </w:pPr>
            <w:r w:rsidRPr="004E247D">
              <w:rPr>
                <w:b/>
                <w:bCs/>
                <w:color w:val="000000" w:themeColor="text1"/>
                <w:sz w:val="24"/>
                <w:szCs w:val="24"/>
              </w:rPr>
              <w:t xml:space="preserve">INDICATORS </w:t>
            </w:r>
          </w:p>
        </w:tc>
        <w:tc>
          <w:tcPr>
            <w:tcW w:w="831" w:type="dxa"/>
            <w:tcBorders>
              <w:top w:val="single" w:sz="4" w:space="0" w:color="auto"/>
              <w:bottom w:val="single" w:sz="4" w:space="0" w:color="auto"/>
            </w:tcBorders>
            <w:noWrap/>
            <w:vAlign w:val="center"/>
            <w:hideMark/>
          </w:tcPr>
          <w:p w14:paraId="59A76E60" w14:textId="77777777" w:rsidR="00BD3BA8" w:rsidRPr="004E247D" w:rsidRDefault="00BD3BA8" w:rsidP="007233F6">
            <w:pPr>
              <w:jc w:val="center"/>
              <w:rPr>
                <w:b/>
                <w:bCs/>
                <w:color w:val="000000" w:themeColor="text1"/>
                <w:sz w:val="24"/>
                <w:szCs w:val="24"/>
              </w:rPr>
            </w:pPr>
            <w:r w:rsidRPr="004E247D">
              <w:rPr>
                <w:b/>
                <w:bCs/>
                <w:color w:val="000000" w:themeColor="text1"/>
                <w:sz w:val="24"/>
                <w:szCs w:val="24"/>
              </w:rPr>
              <w:t>WM</w:t>
            </w:r>
          </w:p>
        </w:tc>
        <w:tc>
          <w:tcPr>
            <w:tcW w:w="725" w:type="dxa"/>
            <w:tcBorders>
              <w:top w:val="single" w:sz="4" w:space="0" w:color="auto"/>
              <w:bottom w:val="single" w:sz="4" w:space="0" w:color="auto"/>
            </w:tcBorders>
            <w:noWrap/>
            <w:vAlign w:val="center"/>
            <w:hideMark/>
          </w:tcPr>
          <w:p w14:paraId="07424F44" w14:textId="77777777" w:rsidR="00BD3BA8" w:rsidRPr="004E247D" w:rsidRDefault="00BD3BA8" w:rsidP="007233F6">
            <w:pPr>
              <w:jc w:val="center"/>
              <w:rPr>
                <w:b/>
                <w:bCs/>
                <w:color w:val="000000" w:themeColor="text1"/>
                <w:sz w:val="24"/>
                <w:szCs w:val="24"/>
              </w:rPr>
            </w:pPr>
            <w:r w:rsidRPr="004E247D">
              <w:rPr>
                <w:b/>
                <w:bCs/>
                <w:color w:val="000000" w:themeColor="text1"/>
                <w:sz w:val="24"/>
                <w:szCs w:val="24"/>
              </w:rPr>
              <w:t>SD</w:t>
            </w:r>
          </w:p>
        </w:tc>
        <w:tc>
          <w:tcPr>
            <w:tcW w:w="2171" w:type="dxa"/>
            <w:tcBorders>
              <w:top w:val="single" w:sz="4" w:space="0" w:color="auto"/>
              <w:bottom w:val="single" w:sz="4" w:space="0" w:color="auto"/>
            </w:tcBorders>
            <w:noWrap/>
            <w:vAlign w:val="center"/>
            <w:hideMark/>
          </w:tcPr>
          <w:p w14:paraId="15E796E2" w14:textId="77777777" w:rsidR="00BD3BA8" w:rsidRPr="004E247D" w:rsidRDefault="00BD3BA8" w:rsidP="007233F6">
            <w:pPr>
              <w:jc w:val="center"/>
              <w:rPr>
                <w:b/>
                <w:bCs/>
                <w:color w:val="000000" w:themeColor="text1"/>
                <w:sz w:val="24"/>
                <w:szCs w:val="24"/>
              </w:rPr>
            </w:pPr>
            <w:r w:rsidRPr="004E247D">
              <w:rPr>
                <w:b/>
                <w:bCs/>
                <w:color w:val="000000" w:themeColor="text1"/>
                <w:sz w:val="24"/>
                <w:szCs w:val="24"/>
              </w:rPr>
              <w:t xml:space="preserve">Verbal Description </w:t>
            </w:r>
          </w:p>
        </w:tc>
      </w:tr>
      <w:tr w:rsidR="00BD3BA8" w:rsidRPr="004E247D" w14:paraId="70453A22" w14:textId="77777777" w:rsidTr="007669DA">
        <w:trPr>
          <w:trHeight w:val="257"/>
        </w:trPr>
        <w:tc>
          <w:tcPr>
            <w:tcW w:w="590" w:type="dxa"/>
            <w:tcBorders>
              <w:top w:val="single" w:sz="4" w:space="0" w:color="auto"/>
            </w:tcBorders>
            <w:noWrap/>
            <w:vAlign w:val="center"/>
            <w:hideMark/>
          </w:tcPr>
          <w:p w14:paraId="7B7F8E6D"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4791" w:type="dxa"/>
            <w:tcBorders>
              <w:top w:val="single" w:sz="4" w:space="0" w:color="auto"/>
            </w:tcBorders>
            <w:noWrap/>
            <w:vAlign w:val="center"/>
            <w:hideMark/>
          </w:tcPr>
          <w:p w14:paraId="6787DEC3"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instructor provides step-by-step guidance during hands-on activities. </w:t>
            </w:r>
          </w:p>
        </w:tc>
        <w:tc>
          <w:tcPr>
            <w:tcW w:w="831" w:type="dxa"/>
            <w:tcBorders>
              <w:top w:val="single" w:sz="4" w:space="0" w:color="auto"/>
            </w:tcBorders>
            <w:noWrap/>
            <w:vAlign w:val="center"/>
            <w:hideMark/>
          </w:tcPr>
          <w:p w14:paraId="6279BFB8"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4.00</w:t>
            </w:r>
          </w:p>
        </w:tc>
        <w:tc>
          <w:tcPr>
            <w:tcW w:w="725" w:type="dxa"/>
            <w:tcBorders>
              <w:top w:val="single" w:sz="4" w:space="0" w:color="auto"/>
            </w:tcBorders>
            <w:noWrap/>
            <w:vAlign w:val="center"/>
            <w:hideMark/>
          </w:tcPr>
          <w:p w14:paraId="73BCF0B9"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1.03</w:t>
            </w:r>
          </w:p>
        </w:tc>
        <w:tc>
          <w:tcPr>
            <w:tcW w:w="2171" w:type="dxa"/>
            <w:tcBorders>
              <w:top w:val="single" w:sz="4" w:space="0" w:color="auto"/>
            </w:tcBorders>
            <w:noWrap/>
            <w:vAlign w:val="center"/>
            <w:hideMark/>
          </w:tcPr>
          <w:p w14:paraId="326BE537"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6C3D3516" w14:textId="77777777" w:rsidTr="007669DA">
        <w:trPr>
          <w:trHeight w:val="257"/>
        </w:trPr>
        <w:tc>
          <w:tcPr>
            <w:tcW w:w="590" w:type="dxa"/>
            <w:noWrap/>
            <w:vAlign w:val="center"/>
            <w:hideMark/>
          </w:tcPr>
          <w:p w14:paraId="2AD40B4F"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4791" w:type="dxa"/>
            <w:noWrap/>
            <w:vAlign w:val="center"/>
            <w:hideMark/>
          </w:tcPr>
          <w:p w14:paraId="23C2B157"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am given opportunities to learn at my own pace. </w:t>
            </w:r>
          </w:p>
        </w:tc>
        <w:tc>
          <w:tcPr>
            <w:tcW w:w="831" w:type="dxa"/>
            <w:noWrap/>
            <w:vAlign w:val="center"/>
            <w:hideMark/>
          </w:tcPr>
          <w:p w14:paraId="7F1A0FB3"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3.78</w:t>
            </w:r>
          </w:p>
        </w:tc>
        <w:tc>
          <w:tcPr>
            <w:tcW w:w="725" w:type="dxa"/>
            <w:noWrap/>
            <w:vAlign w:val="center"/>
            <w:hideMark/>
          </w:tcPr>
          <w:p w14:paraId="25D92F9A"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1.03</w:t>
            </w:r>
          </w:p>
        </w:tc>
        <w:tc>
          <w:tcPr>
            <w:tcW w:w="2171" w:type="dxa"/>
            <w:noWrap/>
            <w:vAlign w:val="center"/>
            <w:hideMark/>
          </w:tcPr>
          <w:p w14:paraId="1803FE3D"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70FF2162" w14:textId="77777777" w:rsidTr="007669DA">
        <w:trPr>
          <w:trHeight w:val="257"/>
        </w:trPr>
        <w:tc>
          <w:tcPr>
            <w:tcW w:w="590" w:type="dxa"/>
            <w:noWrap/>
            <w:vAlign w:val="center"/>
            <w:hideMark/>
          </w:tcPr>
          <w:p w14:paraId="032A7F69"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4791" w:type="dxa"/>
            <w:noWrap/>
            <w:vAlign w:val="center"/>
            <w:hideMark/>
          </w:tcPr>
          <w:p w14:paraId="1066A0B6"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The instructor groups us based on our abilities or learning needs. </w:t>
            </w:r>
          </w:p>
        </w:tc>
        <w:tc>
          <w:tcPr>
            <w:tcW w:w="831" w:type="dxa"/>
            <w:noWrap/>
            <w:vAlign w:val="center"/>
            <w:hideMark/>
          </w:tcPr>
          <w:p w14:paraId="4C30171F"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3.54</w:t>
            </w:r>
          </w:p>
        </w:tc>
        <w:tc>
          <w:tcPr>
            <w:tcW w:w="725" w:type="dxa"/>
            <w:noWrap/>
            <w:vAlign w:val="center"/>
            <w:hideMark/>
          </w:tcPr>
          <w:p w14:paraId="6BF3E929"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1.19</w:t>
            </w:r>
          </w:p>
        </w:tc>
        <w:tc>
          <w:tcPr>
            <w:tcW w:w="2171" w:type="dxa"/>
            <w:noWrap/>
            <w:vAlign w:val="center"/>
            <w:hideMark/>
          </w:tcPr>
          <w:p w14:paraId="0744AF20"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34BDBB08" w14:textId="77777777" w:rsidTr="007669DA">
        <w:trPr>
          <w:trHeight w:val="257"/>
        </w:trPr>
        <w:tc>
          <w:tcPr>
            <w:tcW w:w="590" w:type="dxa"/>
            <w:noWrap/>
            <w:vAlign w:val="center"/>
            <w:hideMark/>
          </w:tcPr>
          <w:p w14:paraId="06B0A6BD"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4791" w:type="dxa"/>
            <w:noWrap/>
            <w:vAlign w:val="center"/>
            <w:hideMark/>
          </w:tcPr>
          <w:p w14:paraId="41F95722"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receive feedback that helps me improve my practical performance. </w:t>
            </w:r>
          </w:p>
        </w:tc>
        <w:tc>
          <w:tcPr>
            <w:tcW w:w="831" w:type="dxa"/>
            <w:noWrap/>
            <w:vAlign w:val="center"/>
            <w:hideMark/>
          </w:tcPr>
          <w:p w14:paraId="15908F37"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3.93</w:t>
            </w:r>
          </w:p>
        </w:tc>
        <w:tc>
          <w:tcPr>
            <w:tcW w:w="725" w:type="dxa"/>
            <w:noWrap/>
            <w:vAlign w:val="center"/>
            <w:hideMark/>
          </w:tcPr>
          <w:p w14:paraId="65D2FEFB"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1.10</w:t>
            </w:r>
          </w:p>
        </w:tc>
        <w:tc>
          <w:tcPr>
            <w:tcW w:w="2171" w:type="dxa"/>
            <w:noWrap/>
            <w:vAlign w:val="center"/>
            <w:hideMark/>
          </w:tcPr>
          <w:p w14:paraId="6A8CC064"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33DE3EA4" w14:textId="77777777" w:rsidTr="007669DA">
        <w:trPr>
          <w:trHeight w:val="257"/>
        </w:trPr>
        <w:tc>
          <w:tcPr>
            <w:tcW w:w="590" w:type="dxa"/>
            <w:noWrap/>
            <w:vAlign w:val="center"/>
            <w:hideMark/>
          </w:tcPr>
          <w:p w14:paraId="6DBD01AA"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4791" w:type="dxa"/>
            <w:noWrap/>
            <w:vAlign w:val="center"/>
            <w:hideMark/>
          </w:tcPr>
          <w:p w14:paraId="06F5B5D8"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instructor uses demonstrations suited to our learning styles. </w:t>
            </w:r>
          </w:p>
        </w:tc>
        <w:tc>
          <w:tcPr>
            <w:tcW w:w="831" w:type="dxa"/>
            <w:noWrap/>
            <w:vAlign w:val="center"/>
            <w:hideMark/>
          </w:tcPr>
          <w:p w14:paraId="1B4DE647"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3.83</w:t>
            </w:r>
          </w:p>
        </w:tc>
        <w:tc>
          <w:tcPr>
            <w:tcW w:w="725" w:type="dxa"/>
            <w:noWrap/>
            <w:vAlign w:val="center"/>
            <w:hideMark/>
          </w:tcPr>
          <w:p w14:paraId="1687FE39"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1.12</w:t>
            </w:r>
          </w:p>
        </w:tc>
        <w:tc>
          <w:tcPr>
            <w:tcW w:w="2171" w:type="dxa"/>
            <w:noWrap/>
            <w:vAlign w:val="center"/>
            <w:hideMark/>
          </w:tcPr>
          <w:p w14:paraId="7A308EAB" w14:textId="77777777" w:rsidR="00BD3BA8" w:rsidRPr="004E247D" w:rsidRDefault="00BD3BA8"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BD3BA8" w:rsidRPr="004E247D" w14:paraId="1B2D3DB8" w14:textId="77777777" w:rsidTr="007669DA">
        <w:trPr>
          <w:trHeight w:val="268"/>
        </w:trPr>
        <w:tc>
          <w:tcPr>
            <w:tcW w:w="590" w:type="dxa"/>
            <w:noWrap/>
            <w:vAlign w:val="center"/>
            <w:hideMark/>
          </w:tcPr>
          <w:p w14:paraId="7015F19E"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91" w:type="dxa"/>
            <w:noWrap/>
            <w:vAlign w:val="center"/>
            <w:hideMark/>
          </w:tcPr>
          <w:p w14:paraId="14E324A6"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831" w:type="dxa"/>
            <w:noWrap/>
            <w:vAlign w:val="center"/>
            <w:hideMark/>
          </w:tcPr>
          <w:p w14:paraId="6901BDA8"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3.82</w:t>
            </w:r>
          </w:p>
        </w:tc>
        <w:tc>
          <w:tcPr>
            <w:tcW w:w="725" w:type="dxa"/>
            <w:noWrap/>
            <w:vAlign w:val="center"/>
            <w:hideMark/>
          </w:tcPr>
          <w:p w14:paraId="02D5CF92"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c>
          <w:tcPr>
            <w:tcW w:w="2171" w:type="dxa"/>
            <w:noWrap/>
            <w:vAlign w:val="center"/>
            <w:hideMark/>
          </w:tcPr>
          <w:p w14:paraId="5F88B8FA"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High</w:t>
            </w:r>
          </w:p>
        </w:tc>
      </w:tr>
      <w:tr w:rsidR="00BD3BA8" w:rsidRPr="004E247D" w14:paraId="3C7E5860" w14:textId="77777777" w:rsidTr="007669DA">
        <w:trPr>
          <w:trHeight w:val="268"/>
        </w:trPr>
        <w:tc>
          <w:tcPr>
            <w:tcW w:w="590" w:type="dxa"/>
            <w:tcBorders>
              <w:bottom w:val="single" w:sz="4" w:space="0" w:color="auto"/>
            </w:tcBorders>
            <w:noWrap/>
            <w:vAlign w:val="center"/>
            <w:hideMark/>
          </w:tcPr>
          <w:p w14:paraId="31A57FBB" w14:textId="77777777" w:rsidR="00BD3BA8" w:rsidRPr="004E247D" w:rsidRDefault="00BD3BA8"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4791" w:type="dxa"/>
            <w:tcBorders>
              <w:bottom w:val="single" w:sz="4" w:space="0" w:color="auto"/>
            </w:tcBorders>
            <w:noWrap/>
            <w:vAlign w:val="center"/>
            <w:hideMark/>
          </w:tcPr>
          <w:p w14:paraId="3521F224"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Standard Deviation</w:t>
            </w:r>
          </w:p>
        </w:tc>
        <w:tc>
          <w:tcPr>
            <w:tcW w:w="831" w:type="dxa"/>
            <w:tcBorders>
              <w:bottom w:val="single" w:sz="4" w:space="0" w:color="auto"/>
            </w:tcBorders>
            <w:noWrap/>
            <w:vAlign w:val="center"/>
            <w:hideMark/>
          </w:tcPr>
          <w:p w14:paraId="7253144F"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c>
          <w:tcPr>
            <w:tcW w:w="725" w:type="dxa"/>
            <w:tcBorders>
              <w:bottom w:val="single" w:sz="4" w:space="0" w:color="auto"/>
            </w:tcBorders>
            <w:noWrap/>
            <w:vAlign w:val="center"/>
            <w:hideMark/>
          </w:tcPr>
          <w:p w14:paraId="783F149B"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1.10</w:t>
            </w:r>
          </w:p>
        </w:tc>
        <w:tc>
          <w:tcPr>
            <w:tcW w:w="2171" w:type="dxa"/>
            <w:tcBorders>
              <w:bottom w:val="single" w:sz="4" w:space="0" w:color="auto"/>
            </w:tcBorders>
            <w:noWrap/>
            <w:vAlign w:val="center"/>
            <w:hideMark/>
          </w:tcPr>
          <w:p w14:paraId="27066C88" w14:textId="77777777" w:rsidR="00BD3BA8" w:rsidRPr="004E247D" w:rsidRDefault="00BD3BA8" w:rsidP="007233F6">
            <w:pPr>
              <w:pStyle w:val="NoSpacing"/>
              <w:jc w:val="center"/>
              <w:rPr>
                <w:rFonts w:ascii="Times New Roman" w:hAnsi="Times New Roman" w:cs="Times New Roman"/>
                <w:b/>
                <w:bCs/>
                <w:color w:val="000000" w:themeColor="text1"/>
                <w:sz w:val="24"/>
                <w:szCs w:val="24"/>
              </w:rPr>
            </w:pPr>
          </w:p>
        </w:tc>
      </w:tr>
    </w:tbl>
    <w:p w14:paraId="08C1EB3B" w14:textId="77777777" w:rsidR="00BD3BA8" w:rsidRPr="004E247D" w:rsidRDefault="00BD3BA8" w:rsidP="00BD3BA8">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6607C5E4" w14:textId="59E22019" w:rsidR="00177E67" w:rsidRPr="004E247D" w:rsidRDefault="00177E67" w:rsidP="00177E67">
      <w:pPr>
        <w:spacing w:before="240" w:after="240"/>
        <w:ind w:firstLine="720"/>
        <w:jc w:val="both"/>
        <w:rPr>
          <w:color w:val="000000" w:themeColor="text1"/>
          <w:sz w:val="24"/>
          <w:szCs w:val="24"/>
          <w:lang w:val="en-PH"/>
        </w:rPr>
      </w:pPr>
      <w:r w:rsidRPr="004E247D">
        <w:rPr>
          <w:color w:val="000000" w:themeColor="text1"/>
          <w:sz w:val="24"/>
          <w:szCs w:val="24"/>
          <w:lang w:val="en-PH"/>
        </w:rPr>
        <w:lastRenderedPageBreak/>
        <w:t>Table 1</w:t>
      </w:r>
      <w:r w:rsidR="00D73792" w:rsidRPr="004E247D">
        <w:rPr>
          <w:color w:val="000000" w:themeColor="text1"/>
          <w:sz w:val="24"/>
          <w:szCs w:val="24"/>
          <w:lang w:val="en-PH"/>
        </w:rPr>
        <w:t>2</w:t>
      </w:r>
      <w:r w:rsidRPr="004E247D">
        <w:rPr>
          <w:color w:val="000000" w:themeColor="text1"/>
          <w:sz w:val="24"/>
          <w:szCs w:val="24"/>
          <w:lang w:val="en-PH"/>
        </w:rPr>
        <w:t xml:space="preserve"> presents the respondents’ perception of process differentiation in college welding lessons. The results reveal a high level of perception, with a weighted mean of 3.82, indicating that instructors frequently employ varied teaching strategies to accommodate diverse learners. The highest-rated indicators include the use of detailed instructions during hands-on activities (WM = 4.00) and the provision of constructive feedback to improve student performance (WM = 3.93). This suggests that the teaching process in welding classes is actively adjusted to support students with different learning needs and skill levels.</w:t>
      </w:r>
    </w:p>
    <w:p w14:paraId="4E5F991D" w14:textId="77777777" w:rsidR="00177E67" w:rsidRPr="004E247D" w:rsidRDefault="00177E67" w:rsidP="00177E67">
      <w:pPr>
        <w:spacing w:before="240" w:after="240"/>
        <w:ind w:firstLine="720"/>
        <w:jc w:val="both"/>
        <w:rPr>
          <w:color w:val="000000" w:themeColor="text1"/>
          <w:sz w:val="24"/>
          <w:szCs w:val="24"/>
          <w:lang w:val="en-PH"/>
        </w:rPr>
      </w:pPr>
      <w:r w:rsidRPr="004E247D">
        <w:rPr>
          <w:color w:val="000000" w:themeColor="text1"/>
          <w:sz w:val="24"/>
          <w:szCs w:val="24"/>
          <w:lang w:val="en-PH"/>
        </w:rPr>
        <w:t>In summary, the high level of process differentiation demonstrates that instructors effectively adjust teaching methods to support varying learner needs in welding education. This approach enhances student engagement, improves skill development, and strengthens understanding of both theoretical and practical components. Overall, process differentiation plays a crucial role in improving learning outcomes and supporting the success of college welding students.</w:t>
      </w:r>
    </w:p>
    <w:p w14:paraId="40B99A75" w14:textId="5AAAEFB4" w:rsidR="00BD3BA8" w:rsidRPr="004E247D" w:rsidRDefault="00B143F3" w:rsidP="002B7D4A">
      <w:pPr>
        <w:spacing w:before="240" w:after="240"/>
        <w:jc w:val="both"/>
        <w:rPr>
          <w:b/>
          <w:bCs/>
          <w:color w:val="000000" w:themeColor="text1"/>
          <w:sz w:val="24"/>
          <w:szCs w:val="24"/>
          <w:lang w:val="en-PH"/>
        </w:rPr>
      </w:pPr>
      <w:r w:rsidRPr="004E247D">
        <w:rPr>
          <w:b/>
          <w:bCs/>
          <w:color w:val="000000" w:themeColor="text1"/>
          <w:sz w:val="24"/>
          <w:szCs w:val="24"/>
          <w:lang w:val="en-PH"/>
        </w:rPr>
        <w:t>Product Differentiation</w:t>
      </w:r>
    </w:p>
    <w:p w14:paraId="5E17223B" w14:textId="77777777" w:rsidR="00EC3C43" w:rsidRPr="004E247D" w:rsidRDefault="00EC3C43" w:rsidP="00EC3C43">
      <w:pPr>
        <w:spacing w:before="240" w:after="240"/>
        <w:ind w:firstLine="720"/>
        <w:jc w:val="both"/>
        <w:rPr>
          <w:color w:val="000000" w:themeColor="text1"/>
          <w:sz w:val="24"/>
          <w:szCs w:val="24"/>
          <w:lang w:val="en-PH"/>
        </w:rPr>
      </w:pPr>
      <w:r w:rsidRPr="004E247D">
        <w:rPr>
          <w:color w:val="000000" w:themeColor="text1"/>
          <w:sz w:val="24"/>
          <w:szCs w:val="24"/>
          <w:lang w:val="en-PH"/>
        </w:rPr>
        <w:t>The degree of respondents’ perception of differentiated instructional strategies experienced during their college welding training in terms of product differentiation was determined, with results presented in Table 13 reflecting weighted mean values, standard deviations, and verbal descriptions related to flexibility in demonstrating outputs, choice, feedback, creativity, and equitable assessment.</w:t>
      </w:r>
    </w:p>
    <w:p w14:paraId="3646A3B4" w14:textId="37D76A55" w:rsidR="00BD3BA8" w:rsidRPr="004E247D" w:rsidRDefault="007669DA" w:rsidP="007669DA">
      <w:pPr>
        <w:spacing w:before="240" w:after="240"/>
        <w:jc w:val="both"/>
        <w:rPr>
          <w:b/>
          <w:bCs/>
          <w:color w:val="000000" w:themeColor="text1"/>
          <w:sz w:val="24"/>
          <w:szCs w:val="24"/>
          <w:lang w:val="en-PH"/>
        </w:rPr>
      </w:pPr>
      <w:r w:rsidRPr="004E247D">
        <w:rPr>
          <w:b/>
          <w:bCs/>
          <w:color w:val="000000" w:themeColor="text1"/>
          <w:sz w:val="24"/>
          <w:szCs w:val="24"/>
          <w:lang w:val="en-PH"/>
        </w:rPr>
        <w:t>Table 1</w:t>
      </w:r>
      <w:r w:rsidR="00D73792" w:rsidRPr="004E247D">
        <w:rPr>
          <w:b/>
          <w:bCs/>
          <w:color w:val="000000" w:themeColor="text1"/>
          <w:sz w:val="24"/>
          <w:szCs w:val="24"/>
          <w:lang w:val="en-PH"/>
        </w:rPr>
        <w:t>3</w:t>
      </w:r>
      <w:r w:rsidRPr="004E247D">
        <w:rPr>
          <w:b/>
          <w:bCs/>
          <w:color w:val="000000" w:themeColor="text1"/>
          <w:sz w:val="24"/>
          <w:szCs w:val="24"/>
          <w:lang w:val="en-PH"/>
        </w:rPr>
        <w:t>. Respondents' Level of Perception on Differentiated Instruction Practices Experienced in their College Welding Classes in Terms of Product Differentiation</w:t>
      </w:r>
    </w:p>
    <w:tbl>
      <w:tblPr>
        <w:tblW w:w="9288" w:type="dxa"/>
        <w:tblLook w:val="04A0" w:firstRow="1" w:lastRow="0" w:firstColumn="1" w:lastColumn="0" w:noHBand="0" w:noVBand="1"/>
      </w:tblPr>
      <w:tblGrid>
        <w:gridCol w:w="590"/>
        <w:gridCol w:w="5008"/>
        <w:gridCol w:w="696"/>
        <w:gridCol w:w="734"/>
        <w:gridCol w:w="2260"/>
      </w:tblGrid>
      <w:tr w:rsidR="007669DA" w:rsidRPr="004E247D" w14:paraId="3B381EBE" w14:textId="77777777" w:rsidTr="007669DA">
        <w:trPr>
          <w:trHeight w:val="278"/>
        </w:trPr>
        <w:tc>
          <w:tcPr>
            <w:tcW w:w="590" w:type="dxa"/>
            <w:tcBorders>
              <w:top w:val="single" w:sz="4" w:space="0" w:color="auto"/>
              <w:bottom w:val="single" w:sz="4" w:space="0" w:color="auto"/>
            </w:tcBorders>
            <w:noWrap/>
            <w:vAlign w:val="center"/>
            <w:hideMark/>
          </w:tcPr>
          <w:p w14:paraId="3DEA1D87" w14:textId="77777777" w:rsidR="007669DA" w:rsidRPr="004E247D" w:rsidRDefault="007669DA" w:rsidP="007233F6">
            <w:pPr>
              <w:jc w:val="center"/>
              <w:rPr>
                <w:b/>
                <w:bCs/>
                <w:color w:val="000000" w:themeColor="text1"/>
                <w:sz w:val="24"/>
                <w:szCs w:val="24"/>
              </w:rPr>
            </w:pPr>
            <w:r w:rsidRPr="004E247D">
              <w:rPr>
                <w:b/>
                <w:bCs/>
                <w:color w:val="000000" w:themeColor="text1"/>
                <w:sz w:val="24"/>
                <w:szCs w:val="24"/>
              </w:rPr>
              <w:t>S/N</w:t>
            </w:r>
          </w:p>
        </w:tc>
        <w:tc>
          <w:tcPr>
            <w:tcW w:w="5008" w:type="dxa"/>
            <w:tcBorders>
              <w:top w:val="single" w:sz="4" w:space="0" w:color="auto"/>
              <w:bottom w:val="single" w:sz="4" w:space="0" w:color="auto"/>
            </w:tcBorders>
            <w:noWrap/>
            <w:vAlign w:val="center"/>
            <w:hideMark/>
          </w:tcPr>
          <w:p w14:paraId="597BA214" w14:textId="77777777" w:rsidR="007669DA" w:rsidRPr="004E247D" w:rsidRDefault="007669DA" w:rsidP="007233F6">
            <w:pPr>
              <w:jc w:val="center"/>
              <w:rPr>
                <w:b/>
                <w:bCs/>
                <w:color w:val="000000" w:themeColor="text1"/>
                <w:sz w:val="24"/>
                <w:szCs w:val="24"/>
              </w:rPr>
            </w:pPr>
            <w:r w:rsidRPr="004E247D">
              <w:rPr>
                <w:b/>
                <w:bCs/>
                <w:color w:val="000000" w:themeColor="text1"/>
                <w:sz w:val="24"/>
                <w:szCs w:val="24"/>
              </w:rPr>
              <w:t xml:space="preserve">INDICATORS </w:t>
            </w:r>
          </w:p>
        </w:tc>
        <w:tc>
          <w:tcPr>
            <w:tcW w:w="696" w:type="dxa"/>
            <w:tcBorders>
              <w:top w:val="single" w:sz="4" w:space="0" w:color="auto"/>
              <w:bottom w:val="single" w:sz="4" w:space="0" w:color="auto"/>
            </w:tcBorders>
            <w:noWrap/>
            <w:vAlign w:val="center"/>
            <w:hideMark/>
          </w:tcPr>
          <w:p w14:paraId="7705B187" w14:textId="77777777" w:rsidR="007669DA" w:rsidRPr="004E247D" w:rsidRDefault="007669DA" w:rsidP="007233F6">
            <w:pPr>
              <w:jc w:val="center"/>
              <w:rPr>
                <w:b/>
                <w:bCs/>
                <w:color w:val="000000" w:themeColor="text1"/>
                <w:sz w:val="24"/>
                <w:szCs w:val="24"/>
              </w:rPr>
            </w:pPr>
            <w:r w:rsidRPr="004E247D">
              <w:rPr>
                <w:b/>
                <w:bCs/>
                <w:color w:val="000000" w:themeColor="text1"/>
                <w:sz w:val="24"/>
                <w:szCs w:val="24"/>
              </w:rPr>
              <w:t>WM</w:t>
            </w:r>
          </w:p>
        </w:tc>
        <w:tc>
          <w:tcPr>
            <w:tcW w:w="734" w:type="dxa"/>
            <w:tcBorders>
              <w:top w:val="single" w:sz="4" w:space="0" w:color="auto"/>
              <w:bottom w:val="single" w:sz="4" w:space="0" w:color="auto"/>
            </w:tcBorders>
            <w:noWrap/>
            <w:vAlign w:val="center"/>
            <w:hideMark/>
          </w:tcPr>
          <w:p w14:paraId="30788733" w14:textId="77777777" w:rsidR="007669DA" w:rsidRPr="004E247D" w:rsidRDefault="007669DA" w:rsidP="007233F6">
            <w:pPr>
              <w:jc w:val="center"/>
              <w:rPr>
                <w:b/>
                <w:bCs/>
                <w:color w:val="000000" w:themeColor="text1"/>
                <w:sz w:val="24"/>
                <w:szCs w:val="24"/>
              </w:rPr>
            </w:pPr>
            <w:r w:rsidRPr="004E247D">
              <w:rPr>
                <w:b/>
                <w:bCs/>
                <w:color w:val="000000" w:themeColor="text1"/>
                <w:sz w:val="24"/>
                <w:szCs w:val="24"/>
              </w:rPr>
              <w:t>SD</w:t>
            </w:r>
          </w:p>
        </w:tc>
        <w:tc>
          <w:tcPr>
            <w:tcW w:w="2260" w:type="dxa"/>
            <w:tcBorders>
              <w:top w:val="single" w:sz="4" w:space="0" w:color="auto"/>
              <w:bottom w:val="single" w:sz="4" w:space="0" w:color="auto"/>
            </w:tcBorders>
            <w:noWrap/>
            <w:vAlign w:val="center"/>
            <w:hideMark/>
          </w:tcPr>
          <w:p w14:paraId="1AE76C72" w14:textId="77777777" w:rsidR="007669DA" w:rsidRPr="004E247D" w:rsidRDefault="007669DA" w:rsidP="007233F6">
            <w:pPr>
              <w:jc w:val="center"/>
              <w:rPr>
                <w:b/>
                <w:bCs/>
                <w:color w:val="000000" w:themeColor="text1"/>
                <w:sz w:val="24"/>
                <w:szCs w:val="24"/>
              </w:rPr>
            </w:pPr>
            <w:r w:rsidRPr="004E247D">
              <w:rPr>
                <w:b/>
                <w:bCs/>
                <w:color w:val="000000" w:themeColor="text1"/>
                <w:sz w:val="24"/>
                <w:szCs w:val="24"/>
              </w:rPr>
              <w:t xml:space="preserve">Verbal Description </w:t>
            </w:r>
          </w:p>
        </w:tc>
      </w:tr>
      <w:tr w:rsidR="007669DA" w:rsidRPr="004E247D" w14:paraId="184E17F3" w14:textId="77777777" w:rsidTr="007669DA">
        <w:trPr>
          <w:trHeight w:val="267"/>
        </w:trPr>
        <w:tc>
          <w:tcPr>
            <w:tcW w:w="590" w:type="dxa"/>
            <w:tcBorders>
              <w:top w:val="single" w:sz="4" w:space="0" w:color="auto"/>
            </w:tcBorders>
            <w:noWrap/>
            <w:vAlign w:val="center"/>
            <w:hideMark/>
          </w:tcPr>
          <w:p w14:paraId="730023E1"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w:t>
            </w:r>
          </w:p>
        </w:tc>
        <w:tc>
          <w:tcPr>
            <w:tcW w:w="5008" w:type="dxa"/>
            <w:tcBorders>
              <w:top w:val="single" w:sz="4" w:space="0" w:color="auto"/>
            </w:tcBorders>
            <w:noWrap/>
            <w:vAlign w:val="center"/>
            <w:hideMark/>
          </w:tcPr>
          <w:p w14:paraId="676D6C2B"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We are allowed to show learning outcomes in different formats (project, report, or performance). </w:t>
            </w:r>
          </w:p>
        </w:tc>
        <w:tc>
          <w:tcPr>
            <w:tcW w:w="696" w:type="dxa"/>
            <w:tcBorders>
              <w:top w:val="single" w:sz="4" w:space="0" w:color="auto"/>
            </w:tcBorders>
            <w:noWrap/>
            <w:vAlign w:val="center"/>
            <w:hideMark/>
          </w:tcPr>
          <w:p w14:paraId="6BDB8A28"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3.98</w:t>
            </w:r>
          </w:p>
        </w:tc>
        <w:tc>
          <w:tcPr>
            <w:tcW w:w="734" w:type="dxa"/>
            <w:tcBorders>
              <w:top w:val="single" w:sz="4" w:space="0" w:color="auto"/>
            </w:tcBorders>
            <w:noWrap/>
            <w:vAlign w:val="center"/>
            <w:hideMark/>
          </w:tcPr>
          <w:p w14:paraId="605006E2"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1.00</w:t>
            </w:r>
          </w:p>
        </w:tc>
        <w:tc>
          <w:tcPr>
            <w:tcW w:w="2260" w:type="dxa"/>
            <w:tcBorders>
              <w:top w:val="single" w:sz="4" w:space="0" w:color="auto"/>
            </w:tcBorders>
            <w:noWrap/>
            <w:vAlign w:val="center"/>
            <w:hideMark/>
          </w:tcPr>
          <w:p w14:paraId="7924EABC"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669DA" w:rsidRPr="004E247D" w14:paraId="13242A12" w14:textId="77777777" w:rsidTr="007669DA">
        <w:trPr>
          <w:trHeight w:val="267"/>
        </w:trPr>
        <w:tc>
          <w:tcPr>
            <w:tcW w:w="590" w:type="dxa"/>
            <w:noWrap/>
            <w:vAlign w:val="center"/>
            <w:hideMark/>
          </w:tcPr>
          <w:p w14:paraId="06F97D41"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2</w:t>
            </w:r>
          </w:p>
        </w:tc>
        <w:tc>
          <w:tcPr>
            <w:tcW w:w="5008" w:type="dxa"/>
            <w:noWrap/>
            <w:vAlign w:val="center"/>
            <w:hideMark/>
          </w:tcPr>
          <w:p w14:paraId="2C46CE07"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am given options to choose project topics or designs. </w:t>
            </w:r>
          </w:p>
        </w:tc>
        <w:tc>
          <w:tcPr>
            <w:tcW w:w="696" w:type="dxa"/>
            <w:noWrap/>
            <w:vAlign w:val="center"/>
            <w:hideMark/>
          </w:tcPr>
          <w:p w14:paraId="335AAADA"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3.61</w:t>
            </w:r>
          </w:p>
        </w:tc>
        <w:tc>
          <w:tcPr>
            <w:tcW w:w="734" w:type="dxa"/>
            <w:noWrap/>
            <w:vAlign w:val="center"/>
            <w:hideMark/>
          </w:tcPr>
          <w:p w14:paraId="38592B89"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1.06</w:t>
            </w:r>
          </w:p>
        </w:tc>
        <w:tc>
          <w:tcPr>
            <w:tcW w:w="2260" w:type="dxa"/>
            <w:noWrap/>
            <w:vAlign w:val="center"/>
            <w:hideMark/>
          </w:tcPr>
          <w:p w14:paraId="4FE80567"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669DA" w:rsidRPr="004E247D" w14:paraId="0E139949" w14:textId="77777777" w:rsidTr="007669DA">
        <w:trPr>
          <w:trHeight w:val="267"/>
        </w:trPr>
        <w:tc>
          <w:tcPr>
            <w:tcW w:w="590" w:type="dxa"/>
            <w:noWrap/>
            <w:vAlign w:val="center"/>
            <w:hideMark/>
          </w:tcPr>
          <w:p w14:paraId="6D6EAC5C"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w:t>
            </w:r>
          </w:p>
        </w:tc>
        <w:tc>
          <w:tcPr>
            <w:tcW w:w="5008" w:type="dxa"/>
            <w:noWrap/>
            <w:vAlign w:val="center"/>
            <w:hideMark/>
          </w:tcPr>
          <w:p w14:paraId="49D72BA0"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I receive individual feedback for my completed works. </w:t>
            </w:r>
          </w:p>
        </w:tc>
        <w:tc>
          <w:tcPr>
            <w:tcW w:w="696" w:type="dxa"/>
            <w:noWrap/>
            <w:vAlign w:val="center"/>
            <w:hideMark/>
          </w:tcPr>
          <w:p w14:paraId="5EB169AC"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3.83</w:t>
            </w:r>
          </w:p>
        </w:tc>
        <w:tc>
          <w:tcPr>
            <w:tcW w:w="734" w:type="dxa"/>
            <w:noWrap/>
            <w:vAlign w:val="center"/>
            <w:hideMark/>
          </w:tcPr>
          <w:p w14:paraId="572FCF70"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1.04</w:t>
            </w:r>
          </w:p>
        </w:tc>
        <w:tc>
          <w:tcPr>
            <w:tcW w:w="2260" w:type="dxa"/>
            <w:noWrap/>
            <w:vAlign w:val="center"/>
            <w:hideMark/>
          </w:tcPr>
          <w:p w14:paraId="6035E15D"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669DA" w:rsidRPr="004E247D" w14:paraId="116C1455" w14:textId="77777777" w:rsidTr="007669DA">
        <w:trPr>
          <w:trHeight w:val="267"/>
        </w:trPr>
        <w:tc>
          <w:tcPr>
            <w:tcW w:w="590" w:type="dxa"/>
            <w:noWrap/>
            <w:vAlign w:val="center"/>
            <w:hideMark/>
          </w:tcPr>
          <w:p w14:paraId="20EC3999"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4</w:t>
            </w:r>
          </w:p>
        </w:tc>
        <w:tc>
          <w:tcPr>
            <w:tcW w:w="5008" w:type="dxa"/>
            <w:noWrap/>
            <w:vAlign w:val="center"/>
            <w:hideMark/>
          </w:tcPr>
          <w:p w14:paraId="216A5F47"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The instructor recognizes our creativity and initiative in welding projects. </w:t>
            </w:r>
          </w:p>
        </w:tc>
        <w:tc>
          <w:tcPr>
            <w:tcW w:w="696" w:type="dxa"/>
            <w:noWrap/>
            <w:vAlign w:val="center"/>
            <w:hideMark/>
          </w:tcPr>
          <w:p w14:paraId="08D5DF38"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3.78</w:t>
            </w:r>
          </w:p>
        </w:tc>
        <w:tc>
          <w:tcPr>
            <w:tcW w:w="734" w:type="dxa"/>
            <w:noWrap/>
            <w:vAlign w:val="center"/>
            <w:hideMark/>
          </w:tcPr>
          <w:p w14:paraId="0FE11235"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1.03</w:t>
            </w:r>
          </w:p>
        </w:tc>
        <w:tc>
          <w:tcPr>
            <w:tcW w:w="2260" w:type="dxa"/>
            <w:noWrap/>
            <w:vAlign w:val="center"/>
            <w:hideMark/>
          </w:tcPr>
          <w:p w14:paraId="48842AD5"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669DA" w:rsidRPr="004E247D" w14:paraId="288497BF" w14:textId="77777777" w:rsidTr="007669DA">
        <w:trPr>
          <w:trHeight w:val="267"/>
        </w:trPr>
        <w:tc>
          <w:tcPr>
            <w:tcW w:w="590" w:type="dxa"/>
            <w:noWrap/>
            <w:vAlign w:val="center"/>
            <w:hideMark/>
          </w:tcPr>
          <w:p w14:paraId="7A54CA61"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5</w:t>
            </w:r>
          </w:p>
        </w:tc>
        <w:tc>
          <w:tcPr>
            <w:tcW w:w="5008" w:type="dxa"/>
            <w:noWrap/>
            <w:vAlign w:val="center"/>
            <w:hideMark/>
          </w:tcPr>
          <w:p w14:paraId="21E4F2B6"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xml:space="preserve">My grades reflect both effort and performance in practical work. </w:t>
            </w:r>
          </w:p>
        </w:tc>
        <w:tc>
          <w:tcPr>
            <w:tcW w:w="696" w:type="dxa"/>
            <w:noWrap/>
            <w:vAlign w:val="center"/>
            <w:hideMark/>
          </w:tcPr>
          <w:p w14:paraId="673FF32D"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3.85</w:t>
            </w:r>
          </w:p>
        </w:tc>
        <w:tc>
          <w:tcPr>
            <w:tcW w:w="734" w:type="dxa"/>
            <w:noWrap/>
            <w:vAlign w:val="center"/>
            <w:hideMark/>
          </w:tcPr>
          <w:p w14:paraId="1B60F4FE"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1.13</w:t>
            </w:r>
          </w:p>
        </w:tc>
        <w:tc>
          <w:tcPr>
            <w:tcW w:w="2260" w:type="dxa"/>
            <w:noWrap/>
            <w:vAlign w:val="center"/>
            <w:hideMark/>
          </w:tcPr>
          <w:p w14:paraId="71A38079" w14:textId="77777777" w:rsidR="007669DA" w:rsidRPr="004E247D" w:rsidRDefault="007669DA"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7669DA" w:rsidRPr="004E247D" w14:paraId="3A01D537" w14:textId="77777777" w:rsidTr="007669DA">
        <w:trPr>
          <w:trHeight w:val="278"/>
        </w:trPr>
        <w:tc>
          <w:tcPr>
            <w:tcW w:w="590" w:type="dxa"/>
            <w:noWrap/>
            <w:vAlign w:val="center"/>
            <w:hideMark/>
          </w:tcPr>
          <w:p w14:paraId="01BE428C"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5008" w:type="dxa"/>
            <w:noWrap/>
            <w:vAlign w:val="center"/>
            <w:hideMark/>
          </w:tcPr>
          <w:p w14:paraId="7B0BA543"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Weighted Mean</w:t>
            </w:r>
          </w:p>
        </w:tc>
        <w:tc>
          <w:tcPr>
            <w:tcW w:w="696" w:type="dxa"/>
            <w:noWrap/>
            <w:vAlign w:val="center"/>
            <w:hideMark/>
          </w:tcPr>
          <w:p w14:paraId="08CFE239"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3.81</w:t>
            </w:r>
          </w:p>
        </w:tc>
        <w:tc>
          <w:tcPr>
            <w:tcW w:w="734" w:type="dxa"/>
            <w:noWrap/>
            <w:vAlign w:val="center"/>
            <w:hideMark/>
          </w:tcPr>
          <w:p w14:paraId="2A2657E2"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p>
        </w:tc>
        <w:tc>
          <w:tcPr>
            <w:tcW w:w="2260" w:type="dxa"/>
            <w:noWrap/>
            <w:vAlign w:val="center"/>
            <w:hideMark/>
          </w:tcPr>
          <w:p w14:paraId="1C065544"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High</w:t>
            </w:r>
          </w:p>
        </w:tc>
      </w:tr>
      <w:tr w:rsidR="007669DA" w:rsidRPr="004E247D" w14:paraId="45BF9AFF" w14:textId="77777777" w:rsidTr="007669DA">
        <w:trPr>
          <w:trHeight w:val="278"/>
        </w:trPr>
        <w:tc>
          <w:tcPr>
            <w:tcW w:w="590" w:type="dxa"/>
            <w:tcBorders>
              <w:bottom w:val="single" w:sz="4" w:space="0" w:color="auto"/>
            </w:tcBorders>
            <w:noWrap/>
            <w:vAlign w:val="center"/>
            <w:hideMark/>
          </w:tcPr>
          <w:p w14:paraId="735D6BB4" w14:textId="77777777" w:rsidR="007669DA" w:rsidRPr="004E247D" w:rsidRDefault="007669DA" w:rsidP="007233F6">
            <w:pPr>
              <w:pStyle w:val="NoSpacing"/>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 </w:t>
            </w:r>
          </w:p>
        </w:tc>
        <w:tc>
          <w:tcPr>
            <w:tcW w:w="5008" w:type="dxa"/>
            <w:tcBorders>
              <w:bottom w:val="single" w:sz="4" w:space="0" w:color="auto"/>
            </w:tcBorders>
            <w:noWrap/>
            <w:vAlign w:val="center"/>
            <w:hideMark/>
          </w:tcPr>
          <w:p w14:paraId="61F9D897"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Aggregate Standard Deviation</w:t>
            </w:r>
          </w:p>
        </w:tc>
        <w:tc>
          <w:tcPr>
            <w:tcW w:w="696" w:type="dxa"/>
            <w:tcBorders>
              <w:bottom w:val="single" w:sz="4" w:space="0" w:color="auto"/>
            </w:tcBorders>
            <w:noWrap/>
            <w:vAlign w:val="center"/>
            <w:hideMark/>
          </w:tcPr>
          <w:p w14:paraId="48F710F7"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p>
        </w:tc>
        <w:tc>
          <w:tcPr>
            <w:tcW w:w="734" w:type="dxa"/>
            <w:tcBorders>
              <w:bottom w:val="single" w:sz="4" w:space="0" w:color="auto"/>
            </w:tcBorders>
            <w:noWrap/>
            <w:vAlign w:val="center"/>
            <w:hideMark/>
          </w:tcPr>
          <w:p w14:paraId="4952B417"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1.05</w:t>
            </w:r>
          </w:p>
        </w:tc>
        <w:tc>
          <w:tcPr>
            <w:tcW w:w="2260" w:type="dxa"/>
            <w:tcBorders>
              <w:bottom w:val="single" w:sz="4" w:space="0" w:color="auto"/>
            </w:tcBorders>
            <w:noWrap/>
            <w:vAlign w:val="center"/>
            <w:hideMark/>
          </w:tcPr>
          <w:p w14:paraId="04D3A077" w14:textId="77777777" w:rsidR="007669DA" w:rsidRPr="004E247D" w:rsidRDefault="007669DA" w:rsidP="007233F6">
            <w:pPr>
              <w:pStyle w:val="NoSpacing"/>
              <w:jc w:val="center"/>
              <w:rPr>
                <w:rFonts w:ascii="Times New Roman" w:hAnsi="Times New Roman" w:cs="Times New Roman"/>
                <w:b/>
                <w:bCs/>
                <w:color w:val="000000" w:themeColor="text1"/>
                <w:sz w:val="24"/>
                <w:szCs w:val="24"/>
              </w:rPr>
            </w:pPr>
          </w:p>
        </w:tc>
      </w:tr>
    </w:tbl>
    <w:p w14:paraId="138B3179" w14:textId="77777777" w:rsidR="00DE22D9" w:rsidRPr="004E247D" w:rsidRDefault="00DE22D9" w:rsidP="00DE22D9">
      <w:pPr>
        <w:spacing w:after="240"/>
        <w:rPr>
          <w:color w:val="000000" w:themeColor="text1"/>
          <w:sz w:val="16"/>
          <w:szCs w:val="14"/>
        </w:rPr>
      </w:pPr>
      <w:r w:rsidRPr="004E247D">
        <w:rPr>
          <w:b/>
          <w:bCs/>
          <w:color w:val="000000" w:themeColor="text1"/>
          <w:sz w:val="16"/>
          <w:szCs w:val="14"/>
        </w:rPr>
        <w:t>Legend:</w:t>
      </w:r>
      <w:r w:rsidRPr="004E247D">
        <w:rPr>
          <w:color w:val="000000" w:themeColor="text1"/>
          <w:sz w:val="16"/>
          <w:szCs w:val="14"/>
        </w:rPr>
        <w:t xml:space="preserve"> 4.21-5.00 – Very High; 3.41-4.20 – High; 2.61-3.40 – Moderate; 1.81-2.60 – Low; 1.00-1.80 – Very Low </w:t>
      </w:r>
    </w:p>
    <w:p w14:paraId="3877DC3B" w14:textId="441FA7FD" w:rsidR="00F77206" w:rsidRPr="004E247D" w:rsidRDefault="00F77206" w:rsidP="00F77206">
      <w:pPr>
        <w:spacing w:before="240" w:after="240"/>
        <w:ind w:firstLine="720"/>
        <w:jc w:val="both"/>
        <w:rPr>
          <w:color w:val="000000" w:themeColor="text1"/>
          <w:sz w:val="24"/>
          <w:szCs w:val="24"/>
          <w:lang w:val="en-PH"/>
        </w:rPr>
      </w:pPr>
      <w:r w:rsidRPr="004E247D">
        <w:rPr>
          <w:color w:val="000000" w:themeColor="text1"/>
          <w:sz w:val="24"/>
          <w:szCs w:val="24"/>
          <w:lang w:val="en-PH"/>
        </w:rPr>
        <w:t>Table 1</w:t>
      </w:r>
      <w:r w:rsidR="00D73792" w:rsidRPr="004E247D">
        <w:rPr>
          <w:color w:val="000000" w:themeColor="text1"/>
          <w:sz w:val="24"/>
          <w:szCs w:val="24"/>
          <w:lang w:val="en-PH"/>
        </w:rPr>
        <w:t>3</w:t>
      </w:r>
      <w:r w:rsidRPr="004E247D">
        <w:rPr>
          <w:color w:val="000000" w:themeColor="text1"/>
          <w:sz w:val="24"/>
          <w:szCs w:val="24"/>
          <w:lang w:val="en-PH"/>
        </w:rPr>
        <w:t xml:space="preserve"> presents the respondents’ perception of differentiated instruction practices in terms of product differentiation. The results show an overall weighted mean of 3.81, interpreted as a High level of perception. This indicates that students strongly recognize and appreciate the flexibility provided by instructors in allowing them to demonstrate learning outcomes through various outputs such as projects, reports, and hands-on demonstrations. It suggests that assessment practices in college welding courses are designed to accommodate different strengths and learning preferences among students.</w:t>
      </w:r>
    </w:p>
    <w:p w14:paraId="1E95FCD5" w14:textId="77777777" w:rsidR="00F77206" w:rsidRPr="004E247D" w:rsidRDefault="00F77206" w:rsidP="00F77206">
      <w:pPr>
        <w:spacing w:before="240" w:after="240"/>
        <w:ind w:firstLine="720"/>
        <w:jc w:val="both"/>
        <w:rPr>
          <w:color w:val="000000" w:themeColor="text1"/>
          <w:sz w:val="24"/>
          <w:szCs w:val="24"/>
          <w:lang w:val="en-PH"/>
        </w:rPr>
      </w:pPr>
      <w:r w:rsidRPr="004E247D">
        <w:rPr>
          <w:color w:val="000000" w:themeColor="text1"/>
          <w:sz w:val="24"/>
          <w:szCs w:val="24"/>
          <w:lang w:val="en-PH"/>
        </w:rPr>
        <w:t>In summary, the high level of perceived product differentiation reflects the effectiveness of allowing students to express their competencies through varied assessment methods. This approach enables learners to demonstrate skills according to their strengths and capabilities, resulting in a more inclusive and flexible evaluation process. Overall, product differentiation enhances confidence, encourages active participation, and supports both technical and academic development among college welding students.</w:t>
      </w:r>
    </w:p>
    <w:p w14:paraId="06212317" w14:textId="5CA907EC" w:rsidR="00DE22D9" w:rsidRPr="004E247D" w:rsidRDefault="00DE22D9" w:rsidP="00DE22D9">
      <w:pPr>
        <w:spacing w:before="240" w:after="240"/>
        <w:jc w:val="both"/>
        <w:rPr>
          <w:b/>
          <w:bCs/>
          <w:color w:val="000000" w:themeColor="text1"/>
          <w:sz w:val="24"/>
          <w:szCs w:val="24"/>
          <w:lang w:val="en-PH"/>
        </w:rPr>
      </w:pPr>
      <w:r w:rsidRPr="004E247D">
        <w:rPr>
          <w:b/>
          <w:bCs/>
          <w:color w:val="000000" w:themeColor="text1"/>
          <w:sz w:val="24"/>
          <w:szCs w:val="24"/>
          <w:lang w:val="en-PH"/>
        </w:rPr>
        <w:t>Summary on the Respondents’ Level of Perception on Differentiated Instruction Practices Experienced in Their College Welding Classes</w:t>
      </w:r>
    </w:p>
    <w:p w14:paraId="67BDD28E" w14:textId="33FA55DB" w:rsidR="00DE22D9" w:rsidRPr="004E247D" w:rsidRDefault="00DE22D9" w:rsidP="00DE22D9">
      <w:pPr>
        <w:spacing w:before="240" w:after="240"/>
        <w:ind w:firstLine="720"/>
        <w:jc w:val="both"/>
        <w:rPr>
          <w:color w:val="000000" w:themeColor="text1"/>
          <w:sz w:val="24"/>
          <w:szCs w:val="24"/>
          <w:lang w:val="en-PH"/>
        </w:rPr>
      </w:pPr>
      <w:r w:rsidRPr="004E247D">
        <w:rPr>
          <w:color w:val="000000" w:themeColor="text1"/>
          <w:sz w:val="24"/>
          <w:szCs w:val="24"/>
          <w:lang w:val="en-PH"/>
        </w:rPr>
        <w:t xml:space="preserve">A summary of the perceptions level of the respondents concerning the differentiated instruction practices </w:t>
      </w:r>
      <w:r w:rsidRPr="004E247D">
        <w:rPr>
          <w:color w:val="000000" w:themeColor="text1"/>
          <w:sz w:val="24"/>
          <w:szCs w:val="24"/>
          <w:lang w:val="en-PH"/>
        </w:rPr>
        <w:lastRenderedPageBreak/>
        <w:t>which they have encountered in their college welding subjects was provided</w:t>
      </w:r>
      <w:r w:rsidR="00D73792" w:rsidRPr="004E247D">
        <w:rPr>
          <w:color w:val="000000" w:themeColor="text1"/>
          <w:sz w:val="24"/>
          <w:szCs w:val="24"/>
          <w:lang w:val="en-PH"/>
        </w:rPr>
        <w:t xml:space="preserve"> shown in table 14</w:t>
      </w:r>
      <w:r w:rsidRPr="004E247D">
        <w:rPr>
          <w:color w:val="000000" w:themeColor="text1"/>
          <w:sz w:val="24"/>
          <w:szCs w:val="24"/>
          <w:lang w:val="en-PH"/>
        </w:rPr>
        <w:t>, pointing out the three main factors involved in differentiated instruction: content, process, and product differentiation. These factors were shown through the analysis of mean scores, standard deviations, and description of each category. The results showed a general picture of how students viewed differentiated instruction practices tailored to various learning styles and skills in terms of content, process, and product.</w:t>
      </w:r>
    </w:p>
    <w:p w14:paraId="38249768" w14:textId="70CDA2FD" w:rsidR="00DE22D9" w:rsidRPr="004E247D" w:rsidRDefault="00DE22D9" w:rsidP="00DE22D9">
      <w:pPr>
        <w:spacing w:before="240" w:after="240"/>
        <w:jc w:val="both"/>
        <w:rPr>
          <w:b/>
          <w:bCs/>
          <w:color w:val="000000" w:themeColor="text1"/>
          <w:sz w:val="24"/>
          <w:szCs w:val="24"/>
          <w:lang w:val="en-PH"/>
        </w:rPr>
      </w:pPr>
      <w:r w:rsidRPr="004E247D">
        <w:rPr>
          <w:b/>
          <w:bCs/>
          <w:color w:val="000000" w:themeColor="text1"/>
          <w:sz w:val="24"/>
          <w:szCs w:val="24"/>
          <w:lang w:val="en-PH"/>
        </w:rPr>
        <w:t>Table 1</w:t>
      </w:r>
      <w:r w:rsidR="00D73792" w:rsidRPr="004E247D">
        <w:rPr>
          <w:b/>
          <w:bCs/>
          <w:color w:val="000000" w:themeColor="text1"/>
          <w:sz w:val="24"/>
          <w:szCs w:val="24"/>
          <w:lang w:val="en-PH"/>
        </w:rPr>
        <w:t>4</w:t>
      </w:r>
      <w:r w:rsidRPr="004E247D">
        <w:rPr>
          <w:b/>
          <w:bCs/>
          <w:color w:val="000000" w:themeColor="text1"/>
          <w:sz w:val="24"/>
          <w:szCs w:val="24"/>
          <w:lang w:val="en-PH"/>
        </w:rPr>
        <w:t>. Summary on the Respondents’ Level of Perception on Differentiated Instruction Practices Experienced in Their College Welding Classes</w:t>
      </w:r>
    </w:p>
    <w:tbl>
      <w:tblPr>
        <w:tblW w:w="838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584"/>
        <w:gridCol w:w="694"/>
        <w:gridCol w:w="694"/>
        <w:gridCol w:w="2416"/>
      </w:tblGrid>
      <w:tr w:rsidR="00DE22D9" w:rsidRPr="004E247D" w14:paraId="7D8435C5" w14:textId="77777777" w:rsidTr="00DE22D9">
        <w:trPr>
          <w:trHeight w:val="445"/>
        </w:trPr>
        <w:tc>
          <w:tcPr>
            <w:tcW w:w="4584" w:type="dxa"/>
            <w:tcBorders>
              <w:top w:val="single" w:sz="4" w:space="0" w:color="auto"/>
              <w:bottom w:val="single" w:sz="4" w:space="0" w:color="auto"/>
              <w:right w:val="nil"/>
            </w:tcBorders>
            <w:vAlign w:val="center"/>
          </w:tcPr>
          <w:p w14:paraId="7CF1980E" w14:textId="77777777" w:rsidR="00DE22D9" w:rsidRPr="004E247D" w:rsidRDefault="00DE22D9" w:rsidP="00DE22D9">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Components</w:t>
            </w:r>
          </w:p>
        </w:tc>
        <w:tc>
          <w:tcPr>
            <w:tcW w:w="694" w:type="dxa"/>
            <w:tcBorders>
              <w:top w:val="single" w:sz="4" w:space="0" w:color="auto"/>
              <w:left w:val="nil"/>
              <w:bottom w:val="single" w:sz="4" w:space="0" w:color="auto"/>
              <w:right w:val="nil"/>
            </w:tcBorders>
            <w:vAlign w:val="center"/>
          </w:tcPr>
          <w:p w14:paraId="5B633F87" w14:textId="77777777" w:rsidR="00DE22D9" w:rsidRPr="004E247D" w:rsidRDefault="00DE22D9" w:rsidP="00DE22D9">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WM</w:t>
            </w:r>
          </w:p>
        </w:tc>
        <w:tc>
          <w:tcPr>
            <w:tcW w:w="694" w:type="dxa"/>
            <w:tcBorders>
              <w:top w:val="single" w:sz="4" w:space="0" w:color="auto"/>
              <w:left w:val="nil"/>
              <w:bottom w:val="single" w:sz="4" w:space="0" w:color="auto"/>
              <w:right w:val="nil"/>
            </w:tcBorders>
            <w:vAlign w:val="center"/>
          </w:tcPr>
          <w:p w14:paraId="0989145C" w14:textId="77777777" w:rsidR="00DE22D9" w:rsidRPr="004E247D" w:rsidRDefault="00DE22D9" w:rsidP="00DE22D9">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SD</w:t>
            </w:r>
          </w:p>
        </w:tc>
        <w:tc>
          <w:tcPr>
            <w:tcW w:w="2416" w:type="dxa"/>
            <w:tcBorders>
              <w:top w:val="single" w:sz="4" w:space="0" w:color="auto"/>
              <w:left w:val="nil"/>
              <w:bottom w:val="single" w:sz="4" w:space="0" w:color="auto"/>
            </w:tcBorders>
            <w:vAlign w:val="center"/>
          </w:tcPr>
          <w:p w14:paraId="6ADEB9A1" w14:textId="77777777" w:rsidR="00DE22D9" w:rsidRPr="004E247D" w:rsidRDefault="00DE22D9" w:rsidP="00DE22D9">
            <w:pPr>
              <w:pStyle w:val="NoSpacing"/>
              <w:spacing w:line="360" w:lineRule="auto"/>
              <w:jc w:val="center"/>
              <w:rPr>
                <w:rFonts w:ascii="Times New Roman" w:hAnsi="Times New Roman" w:cs="Times New Roman"/>
                <w:b/>
                <w:color w:val="000000" w:themeColor="text1"/>
                <w:sz w:val="24"/>
                <w:szCs w:val="24"/>
              </w:rPr>
            </w:pPr>
            <w:r w:rsidRPr="004E247D">
              <w:rPr>
                <w:rFonts w:ascii="Times New Roman" w:hAnsi="Times New Roman" w:cs="Times New Roman"/>
                <w:b/>
                <w:color w:val="000000" w:themeColor="text1"/>
                <w:sz w:val="24"/>
                <w:szCs w:val="24"/>
              </w:rPr>
              <w:t>Verbal Description</w:t>
            </w:r>
          </w:p>
        </w:tc>
      </w:tr>
      <w:tr w:rsidR="00DE22D9" w:rsidRPr="004E247D" w14:paraId="7EDD174B" w14:textId="77777777" w:rsidTr="00DE22D9">
        <w:trPr>
          <w:trHeight w:val="170"/>
        </w:trPr>
        <w:tc>
          <w:tcPr>
            <w:tcW w:w="4584" w:type="dxa"/>
            <w:tcBorders>
              <w:top w:val="single" w:sz="4" w:space="0" w:color="auto"/>
              <w:bottom w:val="nil"/>
              <w:right w:val="nil"/>
            </w:tcBorders>
            <w:vAlign w:val="center"/>
          </w:tcPr>
          <w:p w14:paraId="540FB024"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Content Differentiation</w:t>
            </w:r>
          </w:p>
        </w:tc>
        <w:tc>
          <w:tcPr>
            <w:tcW w:w="694" w:type="dxa"/>
            <w:tcBorders>
              <w:top w:val="nil"/>
              <w:left w:val="nil"/>
              <w:bottom w:val="nil"/>
              <w:right w:val="nil"/>
            </w:tcBorders>
            <w:vAlign w:val="center"/>
          </w:tcPr>
          <w:p w14:paraId="78E52C5E"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3.78</w:t>
            </w:r>
          </w:p>
        </w:tc>
        <w:tc>
          <w:tcPr>
            <w:tcW w:w="694" w:type="dxa"/>
            <w:tcBorders>
              <w:top w:val="nil"/>
              <w:left w:val="nil"/>
              <w:bottom w:val="nil"/>
              <w:right w:val="nil"/>
            </w:tcBorders>
            <w:vAlign w:val="center"/>
          </w:tcPr>
          <w:p w14:paraId="0AE40372"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1.15</w:t>
            </w:r>
          </w:p>
        </w:tc>
        <w:tc>
          <w:tcPr>
            <w:tcW w:w="2416" w:type="dxa"/>
            <w:tcBorders>
              <w:top w:val="single" w:sz="4" w:space="0" w:color="auto"/>
              <w:left w:val="nil"/>
              <w:bottom w:val="nil"/>
            </w:tcBorders>
            <w:vAlign w:val="center"/>
          </w:tcPr>
          <w:p w14:paraId="6864D21A"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DE22D9" w:rsidRPr="004E247D" w14:paraId="64DE75BA" w14:textId="77777777" w:rsidTr="00DE22D9">
        <w:trPr>
          <w:trHeight w:val="207"/>
        </w:trPr>
        <w:tc>
          <w:tcPr>
            <w:tcW w:w="4584" w:type="dxa"/>
            <w:tcBorders>
              <w:top w:val="nil"/>
              <w:bottom w:val="nil"/>
              <w:right w:val="nil"/>
            </w:tcBorders>
            <w:vAlign w:val="center"/>
          </w:tcPr>
          <w:p w14:paraId="02D38F03"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Process Differentiation</w:t>
            </w:r>
          </w:p>
        </w:tc>
        <w:tc>
          <w:tcPr>
            <w:tcW w:w="694" w:type="dxa"/>
            <w:tcBorders>
              <w:top w:val="nil"/>
              <w:left w:val="nil"/>
              <w:bottom w:val="nil"/>
              <w:right w:val="nil"/>
            </w:tcBorders>
            <w:vAlign w:val="center"/>
          </w:tcPr>
          <w:p w14:paraId="092215D3"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3.82</w:t>
            </w:r>
          </w:p>
        </w:tc>
        <w:tc>
          <w:tcPr>
            <w:tcW w:w="694" w:type="dxa"/>
            <w:tcBorders>
              <w:top w:val="nil"/>
              <w:left w:val="nil"/>
              <w:bottom w:val="nil"/>
              <w:right w:val="nil"/>
            </w:tcBorders>
            <w:vAlign w:val="center"/>
          </w:tcPr>
          <w:p w14:paraId="7BABE7D0"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1.10</w:t>
            </w:r>
          </w:p>
        </w:tc>
        <w:tc>
          <w:tcPr>
            <w:tcW w:w="2416" w:type="dxa"/>
            <w:tcBorders>
              <w:top w:val="nil"/>
              <w:left w:val="nil"/>
              <w:bottom w:val="nil"/>
            </w:tcBorders>
            <w:vAlign w:val="center"/>
          </w:tcPr>
          <w:p w14:paraId="0CE9152F"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DE22D9" w:rsidRPr="004E247D" w14:paraId="027952DA" w14:textId="77777777" w:rsidTr="00DE22D9">
        <w:trPr>
          <w:trHeight w:val="84"/>
        </w:trPr>
        <w:tc>
          <w:tcPr>
            <w:tcW w:w="4584" w:type="dxa"/>
            <w:tcBorders>
              <w:top w:val="nil"/>
              <w:bottom w:val="nil"/>
              <w:right w:val="nil"/>
            </w:tcBorders>
            <w:vAlign w:val="center"/>
          </w:tcPr>
          <w:p w14:paraId="45574F9D"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Product Differentiation</w:t>
            </w:r>
          </w:p>
        </w:tc>
        <w:tc>
          <w:tcPr>
            <w:tcW w:w="694" w:type="dxa"/>
            <w:tcBorders>
              <w:top w:val="nil"/>
              <w:left w:val="nil"/>
              <w:bottom w:val="nil"/>
              <w:right w:val="nil"/>
            </w:tcBorders>
            <w:vAlign w:val="center"/>
          </w:tcPr>
          <w:p w14:paraId="41961B38"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3.81</w:t>
            </w:r>
          </w:p>
        </w:tc>
        <w:tc>
          <w:tcPr>
            <w:tcW w:w="694" w:type="dxa"/>
            <w:tcBorders>
              <w:top w:val="nil"/>
              <w:left w:val="nil"/>
              <w:bottom w:val="nil"/>
              <w:right w:val="nil"/>
            </w:tcBorders>
            <w:vAlign w:val="center"/>
          </w:tcPr>
          <w:p w14:paraId="369EFD60"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1.05</w:t>
            </w:r>
          </w:p>
        </w:tc>
        <w:tc>
          <w:tcPr>
            <w:tcW w:w="2416" w:type="dxa"/>
            <w:tcBorders>
              <w:top w:val="nil"/>
              <w:left w:val="nil"/>
              <w:bottom w:val="nil"/>
            </w:tcBorders>
            <w:vAlign w:val="center"/>
          </w:tcPr>
          <w:p w14:paraId="0C6B110A"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High</w:t>
            </w:r>
          </w:p>
        </w:tc>
      </w:tr>
      <w:tr w:rsidR="00DE22D9" w:rsidRPr="004E247D" w14:paraId="5B4957CE" w14:textId="77777777" w:rsidTr="00DE22D9">
        <w:trPr>
          <w:trHeight w:val="84"/>
        </w:trPr>
        <w:tc>
          <w:tcPr>
            <w:tcW w:w="4584" w:type="dxa"/>
            <w:tcBorders>
              <w:top w:val="nil"/>
              <w:bottom w:val="nil"/>
              <w:right w:val="nil"/>
            </w:tcBorders>
            <w:vAlign w:val="center"/>
          </w:tcPr>
          <w:p w14:paraId="036C1ABD"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lang w:val="en-PH"/>
              </w:rPr>
            </w:pPr>
            <w:r w:rsidRPr="004E247D">
              <w:rPr>
                <w:rFonts w:ascii="Times New Roman" w:hAnsi="Times New Roman" w:cs="Times New Roman"/>
                <w:b/>
                <w:bCs/>
                <w:color w:val="000000" w:themeColor="text1"/>
                <w:sz w:val="24"/>
                <w:szCs w:val="24"/>
              </w:rPr>
              <w:t>Grand Mean</w:t>
            </w:r>
          </w:p>
        </w:tc>
        <w:tc>
          <w:tcPr>
            <w:tcW w:w="694" w:type="dxa"/>
            <w:tcBorders>
              <w:top w:val="nil"/>
              <w:left w:val="nil"/>
              <w:bottom w:val="nil"/>
              <w:right w:val="nil"/>
            </w:tcBorders>
            <w:vAlign w:val="center"/>
          </w:tcPr>
          <w:p w14:paraId="654A7836"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b/>
                <w:bCs/>
                <w:color w:val="000000" w:themeColor="text1"/>
                <w:sz w:val="24"/>
                <w:szCs w:val="24"/>
              </w:rPr>
              <w:t>3.80</w:t>
            </w:r>
          </w:p>
        </w:tc>
        <w:tc>
          <w:tcPr>
            <w:tcW w:w="694" w:type="dxa"/>
            <w:tcBorders>
              <w:top w:val="nil"/>
              <w:left w:val="nil"/>
              <w:bottom w:val="nil"/>
              <w:right w:val="nil"/>
            </w:tcBorders>
            <w:vAlign w:val="center"/>
          </w:tcPr>
          <w:p w14:paraId="74F29F40"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p>
        </w:tc>
        <w:tc>
          <w:tcPr>
            <w:tcW w:w="2416" w:type="dxa"/>
            <w:tcBorders>
              <w:top w:val="nil"/>
              <w:left w:val="nil"/>
              <w:bottom w:val="nil"/>
            </w:tcBorders>
            <w:vAlign w:val="bottom"/>
          </w:tcPr>
          <w:p w14:paraId="1AD43D88" w14:textId="77777777" w:rsidR="00DE22D9" w:rsidRPr="004E247D" w:rsidRDefault="00DE22D9" w:rsidP="00DE22D9">
            <w:pPr>
              <w:pStyle w:val="NoSpacing"/>
              <w:contextualSpacing/>
              <w:jc w:val="center"/>
              <w:rPr>
                <w:rFonts w:ascii="Times New Roman" w:hAnsi="Times New Roman" w:cs="Times New Roman"/>
                <w:b/>
                <w:bCs/>
                <w:color w:val="000000" w:themeColor="text1"/>
                <w:sz w:val="24"/>
                <w:szCs w:val="24"/>
              </w:rPr>
            </w:pPr>
            <w:r w:rsidRPr="004E247D">
              <w:rPr>
                <w:rFonts w:ascii="Times New Roman" w:hAnsi="Times New Roman" w:cs="Times New Roman"/>
                <w:b/>
                <w:bCs/>
                <w:color w:val="000000" w:themeColor="text1"/>
                <w:sz w:val="24"/>
                <w:szCs w:val="24"/>
              </w:rPr>
              <w:t>High</w:t>
            </w:r>
          </w:p>
        </w:tc>
      </w:tr>
      <w:tr w:rsidR="00DE22D9" w:rsidRPr="004E247D" w14:paraId="756EA4DB" w14:textId="77777777" w:rsidTr="00DE22D9">
        <w:trPr>
          <w:trHeight w:val="84"/>
        </w:trPr>
        <w:tc>
          <w:tcPr>
            <w:tcW w:w="4584" w:type="dxa"/>
            <w:tcBorders>
              <w:top w:val="nil"/>
              <w:bottom w:val="single" w:sz="4" w:space="0" w:color="auto"/>
              <w:right w:val="nil"/>
            </w:tcBorders>
            <w:vAlign w:val="center"/>
          </w:tcPr>
          <w:p w14:paraId="27BA6C07"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lang w:val="en-PH"/>
              </w:rPr>
            </w:pPr>
            <w:r w:rsidRPr="004E247D">
              <w:rPr>
                <w:rFonts w:ascii="Times New Roman" w:hAnsi="Times New Roman" w:cs="Times New Roman"/>
                <w:b/>
                <w:bCs/>
                <w:color w:val="000000" w:themeColor="text1"/>
                <w:sz w:val="24"/>
                <w:szCs w:val="24"/>
              </w:rPr>
              <w:t>Grand Standard Deviation</w:t>
            </w:r>
          </w:p>
        </w:tc>
        <w:tc>
          <w:tcPr>
            <w:tcW w:w="694" w:type="dxa"/>
            <w:tcBorders>
              <w:top w:val="nil"/>
              <w:left w:val="nil"/>
              <w:bottom w:val="single" w:sz="4" w:space="0" w:color="auto"/>
              <w:right w:val="nil"/>
            </w:tcBorders>
            <w:vAlign w:val="center"/>
          </w:tcPr>
          <w:p w14:paraId="35CF1B7D"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p>
        </w:tc>
        <w:tc>
          <w:tcPr>
            <w:tcW w:w="694" w:type="dxa"/>
            <w:tcBorders>
              <w:top w:val="nil"/>
              <w:left w:val="nil"/>
              <w:bottom w:val="single" w:sz="4" w:space="0" w:color="auto"/>
              <w:right w:val="nil"/>
            </w:tcBorders>
            <w:vAlign w:val="center"/>
          </w:tcPr>
          <w:p w14:paraId="655E672B"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r w:rsidRPr="004E247D">
              <w:rPr>
                <w:rFonts w:ascii="Times New Roman" w:hAnsi="Times New Roman" w:cs="Times New Roman"/>
                <w:b/>
                <w:bCs/>
                <w:color w:val="000000" w:themeColor="text1"/>
                <w:sz w:val="24"/>
                <w:szCs w:val="24"/>
              </w:rPr>
              <w:t>1.10</w:t>
            </w:r>
          </w:p>
        </w:tc>
        <w:tc>
          <w:tcPr>
            <w:tcW w:w="2416" w:type="dxa"/>
            <w:tcBorders>
              <w:top w:val="nil"/>
              <w:left w:val="nil"/>
              <w:bottom w:val="single" w:sz="4" w:space="0" w:color="auto"/>
            </w:tcBorders>
            <w:vAlign w:val="center"/>
          </w:tcPr>
          <w:p w14:paraId="71A8D7E0" w14:textId="77777777" w:rsidR="00DE22D9" w:rsidRPr="004E247D" w:rsidRDefault="00DE22D9" w:rsidP="00DE22D9">
            <w:pPr>
              <w:pStyle w:val="NoSpacing"/>
              <w:contextualSpacing/>
              <w:jc w:val="center"/>
              <w:rPr>
                <w:rFonts w:ascii="Times New Roman" w:hAnsi="Times New Roman" w:cs="Times New Roman"/>
                <w:color w:val="000000" w:themeColor="text1"/>
                <w:sz w:val="24"/>
                <w:szCs w:val="24"/>
              </w:rPr>
            </w:pPr>
          </w:p>
        </w:tc>
      </w:tr>
    </w:tbl>
    <w:p w14:paraId="23D4BF80" w14:textId="4ADED227" w:rsidR="00016120" w:rsidRPr="004E247D" w:rsidRDefault="00016120" w:rsidP="00016120">
      <w:pPr>
        <w:spacing w:before="240" w:after="240"/>
        <w:ind w:firstLine="720"/>
        <w:jc w:val="both"/>
        <w:rPr>
          <w:color w:val="000000" w:themeColor="text1"/>
          <w:sz w:val="24"/>
          <w:szCs w:val="24"/>
          <w:lang w:val="en-PH"/>
        </w:rPr>
      </w:pPr>
      <w:r w:rsidRPr="004E247D">
        <w:rPr>
          <w:color w:val="000000" w:themeColor="text1"/>
          <w:sz w:val="24"/>
          <w:szCs w:val="24"/>
          <w:lang w:val="en-PH"/>
        </w:rPr>
        <w:t>Table 1</w:t>
      </w:r>
      <w:r w:rsidR="00D73792" w:rsidRPr="004E247D">
        <w:rPr>
          <w:color w:val="000000" w:themeColor="text1"/>
          <w:sz w:val="24"/>
          <w:szCs w:val="24"/>
          <w:lang w:val="en-PH"/>
        </w:rPr>
        <w:t>4</w:t>
      </w:r>
      <w:r w:rsidRPr="004E247D">
        <w:rPr>
          <w:color w:val="000000" w:themeColor="text1"/>
          <w:sz w:val="24"/>
          <w:szCs w:val="24"/>
          <w:lang w:val="en-PH"/>
        </w:rPr>
        <w:t xml:space="preserve"> presents the overall level of respondents’ perception of differentiated instruction strategies in college welding classes, focusing on content, process, and product differentiation. The results show consistently high weighted mean scores for all three areas: content (3.78), process (3.82), and product (3.81), all of which fall under the High category. This indicates that students generally perceive differentiated instruction practices as effectively implemented in their welding classes. It further suggests that learning experiences are appropriately adjusted in terms of instructional materials, teaching strategies, and assessment outputs to meet the varying needs of learners.</w:t>
      </w:r>
    </w:p>
    <w:p w14:paraId="682B1A9B" w14:textId="77777777" w:rsidR="00016120" w:rsidRPr="004E247D" w:rsidRDefault="00016120" w:rsidP="00016120">
      <w:pPr>
        <w:spacing w:before="240" w:after="240"/>
        <w:ind w:firstLine="720"/>
        <w:jc w:val="both"/>
        <w:rPr>
          <w:color w:val="000000" w:themeColor="text1"/>
          <w:sz w:val="24"/>
          <w:szCs w:val="24"/>
          <w:lang w:val="en-PH"/>
        </w:rPr>
      </w:pPr>
      <w:r w:rsidRPr="004E247D">
        <w:rPr>
          <w:color w:val="000000" w:themeColor="text1"/>
          <w:sz w:val="24"/>
          <w:szCs w:val="24"/>
          <w:lang w:val="en-PH"/>
        </w:rPr>
        <w:t>In summary, the consistently high perception across content, process, and product differentiation indicates that differentiated instruction is effectively practiced in college welding classes. These strategies not only enhance student engagement and skill development but also strengthen the connection between Senior High School preparation and college-level learning demands. Overall, differentiated instruction plays a vital role in improving academic performance, technical competence, and readiness in welding education.</w:t>
      </w:r>
    </w:p>
    <w:p w14:paraId="7630D630" w14:textId="4919BF94" w:rsidR="00024E89" w:rsidRPr="004E247D" w:rsidRDefault="00D0753A" w:rsidP="00024E89">
      <w:pPr>
        <w:spacing w:before="240" w:after="240"/>
        <w:jc w:val="both"/>
        <w:rPr>
          <w:color w:val="000000" w:themeColor="text1"/>
          <w:sz w:val="24"/>
          <w:szCs w:val="24"/>
          <w:lang w:val="en-PH"/>
        </w:rPr>
      </w:pPr>
      <w:r w:rsidRPr="004E247D">
        <w:rPr>
          <w:b/>
          <w:bCs/>
          <w:color w:val="000000" w:themeColor="text1"/>
          <w:sz w:val="24"/>
          <w:szCs w:val="24"/>
          <w:lang w:val="en-PH"/>
        </w:rPr>
        <w:t>ACADEMIC PERFORMANCE</w:t>
      </w:r>
    </w:p>
    <w:p w14:paraId="68026823" w14:textId="77777777" w:rsidR="00AA1DF8" w:rsidRPr="004E247D" w:rsidRDefault="00AA1DF8" w:rsidP="00AA1DF8">
      <w:pPr>
        <w:spacing w:before="240" w:after="240"/>
        <w:ind w:firstLine="720"/>
        <w:jc w:val="both"/>
        <w:rPr>
          <w:color w:val="000000" w:themeColor="text1"/>
          <w:sz w:val="24"/>
          <w:szCs w:val="24"/>
        </w:rPr>
      </w:pPr>
      <w:r w:rsidRPr="004E247D">
        <w:rPr>
          <w:color w:val="000000" w:themeColor="text1"/>
          <w:sz w:val="24"/>
          <w:szCs w:val="24"/>
        </w:rPr>
        <w:t>The academic performance of the respondents in their college welding courses was assessed to determine their overall level of achievement based on their self-reported grades. This provides an indication of how well the students are performing in relation to the demands of their program. It also offers insight into their ability to meet both the theoretical and practical requirements of welding education. Furthermore, this assessment serves as a basis for examining the relationship between students’ competencies and instructional practices. The results are presented in Table 15.</w:t>
      </w:r>
    </w:p>
    <w:p w14:paraId="5B2AECF5" w14:textId="2E8B6B4B" w:rsidR="00D640E8" w:rsidRPr="004E247D" w:rsidRDefault="00D640E8" w:rsidP="00D640E8">
      <w:pPr>
        <w:spacing w:before="240" w:after="240"/>
        <w:jc w:val="both"/>
        <w:rPr>
          <w:b/>
          <w:bCs/>
          <w:color w:val="000000" w:themeColor="text1"/>
          <w:sz w:val="24"/>
          <w:szCs w:val="24"/>
          <w:lang w:val="en-PH"/>
        </w:rPr>
      </w:pPr>
      <w:r w:rsidRPr="004E247D">
        <w:rPr>
          <w:b/>
          <w:bCs/>
          <w:color w:val="000000" w:themeColor="text1"/>
          <w:sz w:val="24"/>
          <w:szCs w:val="24"/>
          <w:lang w:val="en-PH"/>
        </w:rPr>
        <w:t>Table 1</w:t>
      </w:r>
      <w:r w:rsidR="00AA1DF8" w:rsidRPr="004E247D">
        <w:rPr>
          <w:b/>
          <w:bCs/>
          <w:color w:val="000000" w:themeColor="text1"/>
          <w:sz w:val="24"/>
          <w:szCs w:val="24"/>
          <w:lang w:val="en-PH"/>
        </w:rPr>
        <w:t>5</w:t>
      </w:r>
      <w:r w:rsidRPr="004E247D">
        <w:rPr>
          <w:b/>
          <w:bCs/>
          <w:color w:val="000000" w:themeColor="text1"/>
          <w:sz w:val="24"/>
          <w:szCs w:val="24"/>
          <w:lang w:val="en-PH"/>
        </w:rPr>
        <w:t xml:space="preserve">. </w:t>
      </w:r>
      <w:r w:rsidR="00D8479E" w:rsidRPr="004E247D">
        <w:rPr>
          <w:b/>
          <w:bCs/>
          <w:color w:val="000000" w:themeColor="text1"/>
          <w:sz w:val="24"/>
          <w:szCs w:val="24"/>
          <w:lang w:val="en-PH"/>
        </w:rPr>
        <w:t>Distribution of Respondents’ Academic Performance</w:t>
      </w:r>
    </w:p>
    <w:tbl>
      <w:tblPr>
        <w:tblW w:w="5778" w:type="dxa"/>
        <w:tblLook w:val="04A0" w:firstRow="1" w:lastRow="0" w:firstColumn="1" w:lastColumn="0" w:noHBand="0" w:noVBand="1"/>
      </w:tblPr>
      <w:tblGrid>
        <w:gridCol w:w="2988"/>
        <w:gridCol w:w="990"/>
        <w:gridCol w:w="1800"/>
      </w:tblGrid>
      <w:tr w:rsidR="00D0753A" w:rsidRPr="004E247D" w14:paraId="0C7E7439" w14:textId="77777777" w:rsidTr="00BF5587">
        <w:trPr>
          <w:trHeight w:val="288"/>
        </w:trPr>
        <w:tc>
          <w:tcPr>
            <w:tcW w:w="2988" w:type="dxa"/>
            <w:tcBorders>
              <w:top w:val="single" w:sz="4" w:space="0" w:color="auto"/>
              <w:bottom w:val="single" w:sz="4" w:space="0" w:color="auto"/>
            </w:tcBorders>
            <w:noWrap/>
            <w:vAlign w:val="center"/>
            <w:hideMark/>
          </w:tcPr>
          <w:p w14:paraId="22882392" w14:textId="1517A2D1" w:rsidR="00D0753A" w:rsidRPr="004E247D" w:rsidRDefault="00F3708D" w:rsidP="00BF5587">
            <w:pPr>
              <w:jc w:val="center"/>
              <w:rPr>
                <w:b/>
                <w:bCs/>
                <w:color w:val="000000" w:themeColor="text1"/>
                <w:sz w:val="24"/>
                <w:szCs w:val="24"/>
              </w:rPr>
            </w:pPr>
            <w:r w:rsidRPr="004E247D">
              <w:rPr>
                <w:b/>
                <w:bCs/>
                <w:color w:val="000000" w:themeColor="text1"/>
                <w:sz w:val="24"/>
                <w:szCs w:val="24"/>
              </w:rPr>
              <w:t>Academic Performance (Grade Range)</w:t>
            </w:r>
          </w:p>
        </w:tc>
        <w:tc>
          <w:tcPr>
            <w:tcW w:w="990" w:type="dxa"/>
            <w:tcBorders>
              <w:top w:val="single" w:sz="4" w:space="0" w:color="auto"/>
              <w:bottom w:val="single" w:sz="4" w:space="0" w:color="auto"/>
            </w:tcBorders>
            <w:noWrap/>
            <w:vAlign w:val="center"/>
            <w:hideMark/>
          </w:tcPr>
          <w:p w14:paraId="5BC951E2" w14:textId="77777777" w:rsidR="00D0753A" w:rsidRPr="004E247D" w:rsidRDefault="00D0753A" w:rsidP="00BF5587">
            <w:pPr>
              <w:jc w:val="center"/>
              <w:rPr>
                <w:b/>
                <w:bCs/>
                <w:color w:val="000000" w:themeColor="text1"/>
                <w:sz w:val="24"/>
                <w:szCs w:val="24"/>
              </w:rPr>
            </w:pPr>
            <w:r w:rsidRPr="004E247D">
              <w:rPr>
                <w:b/>
                <w:bCs/>
                <w:color w:val="000000" w:themeColor="text1"/>
                <w:sz w:val="24"/>
                <w:szCs w:val="24"/>
              </w:rPr>
              <w:t>f</w:t>
            </w:r>
          </w:p>
        </w:tc>
        <w:tc>
          <w:tcPr>
            <w:tcW w:w="1800" w:type="dxa"/>
            <w:tcBorders>
              <w:top w:val="single" w:sz="4" w:space="0" w:color="auto"/>
              <w:bottom w:val="single" w:sz="4" w:space="0" w:color="auto"/>
            </w:tcBorders>
            <w:noWrap/>
            <w:vAlign w:val="center"/>
            <w:hideMark/>
          </w:tcPr>
          <w:p w14:paraId="55572DA2" w14:textId="77777777" w:rsidR="00D0753A" w:rsidRPr="004E247D" w:rsidRDefault="00D0753A" w:rsidP="00BF5587">
            <w:pPr>
              <w:jc w:val="center"/>
              <w:rPr>
                <w:b/>
                <w:bCs/>
                <w:color w:val="000000" w:themeColor="text1"/>
                <w:sz w:val="24"/>
                <w:szCs w:val="24"/>
              </w:rPr>
            </w:pPr>
            <w:r w:rsidRPr="004E247D">
              <w:rPr>
                <w:b/>
                <w:bCs/>
                <w:color w:val="000000" w:themeColor="text1"/>
                <w:sz w:val="24"/>
                <w:szCs w:val="24"/>
              </w:rPr>
              <w:t>%</w:t>
            </w:r>
          </w:p>
        </w:tc>
      </w:tr>
      <w:tr w:rsidR="00D0753A" w:rsidRPr="004E247D" w14:paraId="39948764" w14:textId="77777777" w:rsidTr="00F3708D">
        <w:trPr>
          <w:trHeight w:val="288"/>
        </w:trPr>
        <w:tc>
          <w:tcPr>
            <w:tcW w:w="2988" w:type="dxa"/>
            <w:noWrap/>
            <w:vAlign w:val="center"/>
          </w:tcPr>
          <w:p w14:paraId="51F585B2" w14:textId="1EBE3B1C" w:rsidR="00D0753A" w:rsidRPr="004E247D" w:rsidRDefault="00D553BF" w:rsidP="00BF5587">
            <w:pPr>
              <w:rPr>
                <w:color w:val="000000" w:themeColor="text1"/>
                <w:sz w:val="24"/>
                <w:szCs w:val="24"/>
              </w:rPr>
            </w:pPr>
            <w:r w:rsidRPr="004E247D">
              <w:rPr>
                <w:color w:val="000000" w:themeColor="text1"/>
                <w:sz w:val="24"/>
                <w:szCs w:val="24"/>
              </w:rPr>
              <w:t>Excellent (1.00–1.75)</w:t>
            </w:r>
          </w:p>
        </w:tc>
        <w:tc>
          <w:tcPr>
            <w:tcW w:w="990" w:type="dxa"/>
            <w:noWrap/>
            <w:vAlign w:val="center"/>
          </w:tcPr>
          <w:p w14:paraId="5316EF54" w14:textId="3A97E0EB" w:rsidR="00D0753A" w:rsidRPr="004E247D" w:rsidRDefault="00D553BF" w:rsidP="00BF5587">
            <w:pPr>
              <w:jc w:val="center"/>
              <w:rPr>
                <w:color w:val="000000" w:themeColor="text1"/>
                <w:sz w:val="24"/>
                <w:szCs w:val="24"/>
              </w:rPr>
            </w:pPr>
            <w:r w:rsidRPr="004E247D">
              <w:rPr>
                <w:color w:val="000000" w:themeColor="text1"/>
                <w:sz w:val="24"/>
                <w:szCs w:val="24"/>
              </w:rPr>
              <w:t>37</w:t>
            </w:r>
          </w:p>
        </w:tc>
        <w:tc>
          <w:tcPr>
            <w:tcW w:w="1800" w:type="dxa"/>
            <w:noWrap/>
            <w:vAlign w:val="center"/>
          </w:tcPr>
          <w:p w14:paraId="31E85869" w14:textId="7ED8F3C7" w:rsidR="00D0753A" w:rsidRPr="004E247D" w:rsidRDefault="00D553BF" w:rsidP="00BF5587">
            <w:pPr>
              <w:jc w:val="center"/>
              <w:rPr>
                <w:color w:val="000000" w:themeColor="text1"/>
                <w:sz w:val="24"/>
                <w:szCs w:val="24"/>
              </w:rPr>
            </w:pPr>
            <w:r w:rsidRPr="004E247D">
              <w:rPr>
                <w:color w:val="000000" w:themeColor="text1"/>
                <w:sz w:val="24"/>
                <w:szCs w:val="24"/>
              </w:rPr>
              <w:t>80.43</w:t>
            </w:r>
          </w:p>
        </w:tc>
      </w:tr>
      <w:tr w:rsidR="00D0753A" w:rsidRPr="004E247D" w14:paraId="7DF294F5" w14:textId="77777777" w:rsidTr="00F3708D">
        <w:trPr>
          <w:trHeight w:val="288"/>
        </w:trPr>
        <w:tc>
          <w:tcPr>
            <w:tcW w:w="2988" w:type="dxa"/>
            <w:noWrap/>
            <w:vAlign w:val="center"/>
          </w:tcPr>
          <w:p w14:paraId="121AD99A" w14:textId="499B1DAD" w:rsidR="00D0753A" w:rsidRPr="004E247D" w:rsidRDefault="00D553BF" w:rsidP="00BF5587">
            <w:pPr>
              <w:rPr>
                <w:color w:val="000000" w:themeColor="text1"/>
                <w:sz w:val="24"/>
                <w:szCs w:val="24"/>
              </w:rPr>
            </w:pPr>
            <w:r w:rsidRPr="004E247D">
              <w:rPr>
                <w:color w:val="000000" w:themeColor="text1"/>
                <w:sz w:val="24"/>
                <w:szCs w:val="24"/>
              </w:rPr>
              <w:t>Very Good (1.76–2.00)</w:t>
            </w:r>
          </w:p>
        </w:tc>
        <w:tc>
          <w:tcPr>
            <w:tcW w:w="990" w:type="dxa"/>
            <w:noWrap/>
            <w:vAlign w:val="center"/>
          </w:tcPr>
          <w:p w14:paraId="2B1AAD5B" w14:textId="6F9C6FDC" w:rsidR="00D0753A" w:rsidRPr="004E247D" w:rsidRDefault="00D553BF" w:rsidP="00BF5587">
            <w:pPr>
              <w:jc w:val="center"/>
              <w:rPr>
                <w:color w:val="000000" w:themeColor="text1"/>
                <w:sz w:val="24"/>
                <w:szCs w:val="24"/>
              </w:rPr>
            </w:pPr>
            <w:r w:rsidRPr="004E247D">
              <w:rPr>
                <w:color w:val="000000" w:themeColor="text1"/>
                <w:sz w:val="24"/>
                <w:szCs w:val="24"/>
              </w:rPr>
              <w:t>7</w:t>
            </w:r>
          </w:p>
        </w:tc>
        <w:tc>
          <w:tcPr>
            <w:tcW w:w="1800" w:type="dxa"/>
            <w:noWrap/>
            <w:vAlign w:val="center"/>
          </w:tcPr>
          <w:p w14:paraId="39794FAE" w14:textId="04AA5E0A" w:rsidR="00D0753A" w:rsidRPr="004E247D" w:rsidRDefault="00B27C0A" w:rsidP="00BF5587">
            <w:pPr>
              <w:jc w:val="center"/>
              <w:rPr>
                <w:color w:val="000000" w:themeColor="text1"/>
                <w:sz w:val="24"/>
                <w:szCs w:val="24"/>
              </w:rPr>
            </w:pPr>
            <w:r w:rsidRPr="004E247D">
              <w:rPr>
                <w:color w:val="000000" w:themeColor="text1"/>
                <w:sz w:val="24"/>
                <w:szCs w:val="24"/>
              </w:rPr>
              <w:t>15.22</w:t>
            </w:r>
          </w:p>
        </w:tc>
      </w:tr>
      <w:tr w:rsidR="00D0753A" w:rsidRPr="004E247D" w14:paraId="597E857B" w14:textId="77777777" w:rsidTr="00F3708D">
        <w:trPr>
          <w:trHeight w:val="288"/>
        </w:trPr>
        <w:tc>
          <w:tcPr>
            <w:tcW w:w="2988" w:type="dxa"/>
            <w:noWrap/>
            <w:vAlign w:val="center"/>
          </w:tcPr>
          <w:p w14:paraId="5E497789" w14:textId="20ECA51B" w:rsidR="00D0753A" w:rsidRPr="004E247D" w:rsidRDefault="00D553BF" w:rsidP="00BF5587">
            <w:pPr>
              <w:rPr>
                <w:color w:val="000000" w:themeColor="text1"/>
                <w:sz w:val="24"/>
                <w:szCs w:val="24"/>
              </w:rPr>
            </w:pPr>
            <w:r w:rsidRPr="004E247D">
              <w:rPr>
                <w:color w:val="000000" w:themeColor="text1"/>
                <w:sz w:val="24"/>
                <w:szCs w:val="24"/>
              </w:rPr>
              <w:t>Good (2.01–2.50)</w:t>
            </w:r>
          </w:p>
        </w:tc>
        <w:tc>
          <w:tcPr>
            <w:tcW w:w="990" w:type="dxa"/>
            <w:noWrap/>
            <w:vAlign w:val="center"/>
          </w:tcPr>
          <w:p w14:paraId="437B986A" w14:textId="5F7C389E" w:rsidR="00D0753A" w:rsidRPr="004E247D" w:rsidRDefault="00D553BF" w:rsidP="00BF5587">
            <w:pPr>
              <w:jc w:val="center"/>
              <w:rPr>
                <w:color w:val="000000" w:themeColor="text1"/>
                <w:sz w:val="24"/>
                <w:szCs w:val="24"/>
              </w:rPr>
            </w:pPr>
            <w:r w:rsidRPr="004E247D">
              <w:rPr>
                <w:color w:val="000000" w:themeColor="text1"/>
                <w:sz w:val="24"/>
                <w:szCs w:val="24"/>
              </w:rPr>
              <w:t>2</w:t>
            </w:r>
          </w:p>
        </w:tc>
        <w:tc>
          <w:tcPr>
            <w:tcW w:w="1800" w:type="dxa"/>
            <w:noWrap/>
            <w:vAlign w:val="center"/>
          </w:tcPr>
          <w:p w14:paraId="7792E595" w14:textId="608E814D" w:rsidR="00D0753A" w:rsidRPr="004E247D" w:rsidRDefault="00B27C0A" w:rsidP="00BF5587">
            <w:pPr>
              <w:jc w:val="center"/>
              <w:rPr>
                <w:color w:val="000000" w:themeColor="text1"/>
                <w:sz w:val="24"/>
                <w:szCs w:val="24"/>
              </w:rPr>
            </w:pPr>
            <w:r w:rsidRPr="004E247D">
              <w:rPr>
                <w:color w:val="000000" w:themeColor="text1"/>
                <w:sz w:val="24"/>
                <w:szCs w:val="24"/>
              </w:rPr>
              <w:t>4.35</w:t>
            </w:r>
          </w:p>
        </w:tc>
      </w:tr>
      <w:tr w:rsidR="00D0753A" w:rsidRPr="004E247D" w14:paraId="75F25B08" w14:textId="77777777" w:rsidTr="00F3708D">
        <w:trPr>
          <w:trHeight w:val="288"/>
        </w:trPr>
        <w:tc>
          <w:tcPr>
            <w:tcW w:w="2988" w:type="dxa"/>
            <w:noWrap/>
            <w:vAlign w:val="center"/>
          </w:tcPr>
          <w:p w14:paraId="65D39F5D" w14:textId="1B1276CB" w:rsidR="00D0753A" w:rsidRPr="004E247D" w:rsidRDefault="00D553BF" w:rsidP="00BF5587">
            <w:pPr>
              <w:rPr>
                <w:color w:val="000000" w:themeColor="text1"/>
                <w:sz w:val="24"/>
                <w:szCs w:val="24"/>
              </w:rPr>
            </w:pPr>
            <w:r w:rsidRPr="004E247D">
              <w:rPr>
                <w:color w:val="000000" w:themeColor="text1"/>
                <w:sz w:val="24"/>
                <w:szCs w:val="24"/>
              </w:rPr>
              <w:t>Fair (2.51–3.00)</w:t>
            </w:r>
          </w:p>
        </w:tc>
        <w:tc>
          <w:tcPr>
            <w:tcW w:w="990" w:type="dxa"/>
            <w:noWrap/>
            <w:vAlign w:val="center"/>
          </w:tcPr>
          <w:p w14:paraId="0295B145" w14:textId="3B94DC3E" w:rsidR="00D0753A" w:rsidRPr="004E247D" w:rsidRDefault="00D553BF" w:rsidP="00BF5587">
            <w:pPr>
              <w:jc w:val="center"/>
              <w:rPr>
                <w:color w:val="000000" w:themeColor="text1"/>
                <w:sz w:val="24"/>
                <w:szCs w:val="24"/>
              </w:rPr>
            </w:pPr>
            <w:r w:rsidRPr="004E247D">
              <w:rPr>
                <w:color w:val="000000" w:themeColor="text1"/>
                <w:sz w:val="24"/>
                <w:szCs w:val="24"/>
              </w:rPr>
              <w:t>0</w:t>
            </w:r>
          </w:p>
        </w:tc>
        <w:tc>
          <w:tcPr>
            <w:tcW w:w="1800" w:type="dxa"/>
            <w:noWrap/>
            <w:vAlign w:val="center"/>
          </w:tcPr>
          <w:p w14:paraId="43BE488E" w14:textId="60EC316A" w:rsidR="00D0753A" w:rsidRPr="004E247D" w:rsidRDefault="00B27C0A" w:rsidP="00BF5587">
            <w:pPr>
              <w:jc w:val="center"/>
              <w:rPr>
                <w:color w:val="000000" w:themeColor="text1"/>
                <w:sz w:val="24"/>
                <w:szCs w:val="24"/>
              </w:rPr>
            </w:pPr>
            <w:r w:rsidRPr="004E247D">
              <w:rPr>
                <w:color w:val="000000" w:themeColor="text1"/>
                <w:sz w:val="24"/>
                <w:szCs w:val="24"/>
              </w:rPr>
              <w:t>0.00</w:t>
            </w:r>
          </w:p>
        </w:tc>
      </w:tr>
      <w:tr w:rsidR="00D0753A" w:rsidRPr="004E247D" w14:paraId="735E5621" w14:textId="77777777" w:rsidTr="00BF5587">
        <w:trPr>
          <w:trHeight w:val="288"/>
        </w:trPr>
        <w:tc>
          <w:tcPr>
            <w:tcW w:w="2988" w:type="dxa"/>
            <w:tcBorders>
              <w:bottom w:val="single" w:sz="4" w:space="0" w:color="auto"/>
            </w:tcBorders>
            <w:noWrap/>
            <w:vAlign w:val="center"/>
            <w:hideMark/>
          </w:tcPr>
          <w:p w14:paraId="68B6F5F8" w14:textId="77777777" w:rsidR="00D0753A" w:rsidRPr="004E247D" w:rsidRDefault="00D0753A" w:rsidP="00BF5587">
            <w:pPr>
              <w:rPr>
                <w:b/>
                <w:bCs/>
                <w:color w:val="000000" w:themeColor="text1"/>
                <w:sz w:val="24"/>
                <w:szCs w:val="24"/>
              </w:rPr>
            </w:pPr>
            <w:r w:rsidRPr="004E247D">
              <w:rPr>
                <w:b/>
                <w:bCs/>
                <w:color w:val="000000" w:themeColor="text1"/>
                <w:sz w:val="24"/>
                <w:szCs w:val="24"/>
              </w:rPr>
              <w:t>Total</w:t>
            </w:r>
          </w:p>
        </w:tc>
        <w:tc>
          <w:tcPr>
            <w:tcW w:w="990" w:type="dxa"/>
            <w:tcBorders>
              <w:bottom w:val="single" w:sz="4" w:space="0" w:color="auto"/>
            </w:tcBorders>
            <w:noWrap/>
            <w:vAlign w:val="center"/>
            <w:hideMark/>
          </w:tcPr>
          <w:p w14:paraId="4E071E8F" w14:textId="77777777" w:rsidR="00D0753A" w:rsidRPr="004E247D" w:rsidRDefault="00D0753A" w:rsidP="00BF5587">
            <w:pPr>
              <w:jc w:val="center"/>
              <w:rPr>
                <w:b/>
                <w:bCs/>
                <w:color w:val="000000" w:themeColor="text1"/>
                <w:sz w:val="24"/>
                <w:szCs w:val="24"/>
              </w:rPr>
            </w:pPr>
            <w:r w:rsidRPr="004E247D">
              <w:rPr>
                <w:b/>
                <w:bCs/>
                <w:color w:val="000000" w:themeColor="text1"/>
                <w:sz w:val="24"/>
                <w:szCs w:val="24"/>
              </w:rPr>
              <w:t>46</w:t>
            </w:r>
          </w:p>
        </w:tc>
        <w:tc>
          <w:tcPr>
            <w:tcW w:w="1800" w:type="dxa"/>
            <w:tcBorders>
              <w:bottom w:val="single" w:sz="4" w:space="0" w:color="auto"/>
            </w:tcBorders>
            <w:noWrap/>
            <w:vAlign w:val="center"/>
            <w:hideMark/>
          </w:tcPr>
          <w:p w14:paraId="022C2A45" w14:textId="77777777" w:rsidR="00D0753A" w:rsidRPr="004E247D" w:rsidRDefault="00D0753A" w:rsidP="00BF5587">
            <w:pPr>
              <w:jc w:val="center"/>
              <w:rPr>
                <w:b/>
                <w:bCs/>
                <w:color w:val="000000" w:themeColor="text1"/>
                <w:sz w:val="24"/>
                <w:szCs w:val="24"/>
              </w:rPr>
            </w:pPr>
            <w:r w:rsidRPr="004E247D">
              <w:rPr>
                <w:b/>
                <w:bCs/>
                <w:color w:val="000000" w:themeColor="text1"/>
                <w:sz w:val="24"/>
                <w:szCs w:val="24"/>
              </w:rPr>
              <w:t>100.00</w:t>
            </w:r>
          </w:p>
        </w:tc>
      </w:tr>
    </w:tbl>
    <w:p w14:paraId="13028D24" w14:textId="6F553187" w:rsidR="002F1BCE" w:rsidRPr="004E247D" w:rsidRDefault="002F1BCE" w:rsidP="002F1BCE">
      <w:pPr>
        <w:spacing w:before="240" w:after="240"/>
        <w:ind w:firstLine="720"/>
        <w:jc w:val="both"/>
        <w:rPr>
          <w:color w:val="000000" w:themeColor="text1"/>
          <w:sz w:val="24"/>
          <w:szCs w:val="24"/>
          <w:lang w:val="en-SG"/>
        </w:rPr>
      </w:pPr>
      <w:r w:rsidRPr="004E247D">
        <w:rPr>
          <w:color w:val="000000" w:themeColor="text1"/>
          <w:sz w:val="24"/>
          <w:szCs w:val="24"/>
          <w:lang w:val="en-SG"/>
        </w:rPr>
        <w:t>Table 15 presents the distribution of respondents’ academic performance based on self-reported grades. The majority of respondents (80.43%) fall under the Excellent category, followed by 15.22% classified as Very Good and 4.35% as Good, with no respondents under the Fair category.</w:t>
      </w:r>
    </w:p>
    <w:p w14:paraId="4151BDC6" w14:textId="77777777" w:rsidR="002F1BCE" w:rsidRPr="004E247D" w:rsidRDefault="002F1BCE" w:rsidP="002F1BCE">
      <w:pPr>
        <w:spacing w:before="240" w:after="240"/>
        <w:ind w:firstLine="720"/>
        <w:jc w:val="both"/>
        <w:rPr>
          <w:color w:val="000000" w:themeColor="text1"/>
          <w:sz w:val="24"/>
          <w:szCs w:val="24"/>
          <w:lang w:val="en-SG"/>
        </w:rPr>
      </w:pPr>
      <w:r w:rsidRPr="004E247D">
        <w:rPr>
          <w:color w:val="000000" w:themeColor="text1"/>
          <w:sz w:val="24"/>
          <w:szCs w:val="24"/>
          <w:lang w:val="en-SG"/>
        </w:rPr>
        <w:t xml:space="preserve">These results indicate a consistently high level of academic performance among the respondents. However, the concentration of scores in the Excellent category suggests limited variability, which may influence </w:t>
      </w:r>
      <w:r w:rsidRPr="004E247D">
        <w:rPr>
          <w:color w:val="000000" w:themeColor="text1"/>
          <w:sz w:val="24"/>
          <w:szCs w:val="24"/>
          <w:lang w:val="en-SG"/>
        </w:rPr>
        <w:lastRenderedPageBreak/>
        <w:t>the detection of significant relationships with other variables. Overall, the findings reflect strong academic achievement among college welding students.</w:t>
      </w:r>
    </w:p>
    <w:p w14:paraId="03C44F9D" w14:textId="3259FD28" w:rsidR="007005D6" w:rsidRPr="004E247D" w:rsidRDefault="007005D6" w:rsidP="002F1BCE">
      <w:pPr>
        <w:spacing w:before="240" w:after="240"/>
        <w:ind w:firstLine="720"/>
        <w:jc w:val="both"/>
        <w:rPr>
          <w:b/>
          <w:bCs/>
          <w:color w:val="000000" w:themeColor="text1"/>
          <w:sz w:val="24"/>
          <w:szCs w:val="24"/>
          <w:lang w:val="en-PH"/>
        </w:rPr>
      </w:pPr>
      <w:r w:rsidRPr="004E247D">
        <w:rPr>
          <w:b/>
          <w:bCs/>
          <w:color w:val="000000" w:themeColor="text1"/>
          <w:sz w:val="24"/>
          <w:szCs w:val="24"/>
          <w:lang w:val="en-PH"/>
        </w:rPr>
        <w:t>TEST OF SIGNIFICANCE OF RELATIONSHIPS AMONG SHS WELDING COMPETENCIES, DIFFERENTIATED INSTRUCTION, AND ACADEMIC PERFORMANCE</w:t>
      </w:r>
    </w:p>
    <w:p w14:paraId="3F2FDB92" w14:textId="5504B30C" w:rsidR="00A10C80" w:rsidRPr="004E247D" w:rsidRDefault="00FB027E" w:rsidP="00A10C80">
      <w:pPr>
        <w:spacing w:before="240" w:after="240"/>
        <w:ind w:firstLine="720"/>
        <w:jc w:val="both"/>
        <w:rPr>
          <w:color w:val="000000" w:themeColor="text1"/>
          <w:sz w:val="24"/>
          <w:szCs w:val="24"/>
          <w:lang w:val="en-PH"/>
        </w:rPr>
      </w:pPr>
      <w:r w:rsidRPr="004E247D">
        <w:rPr>
          <w:color w:val="000000" w:themeColor="text1"/>
          <w:sz w:val="24"/>
          <w:szCs w:val="24"/>
          <w:lang w:val="en-PH"/>
        </w:rPr>
        <w:t>Test for the correlation between students' perception of SHS welding skills and perception of differentiated instruction was conducted. The test entails the r-value, strength of correlation, p-value, and the null hypothesis decision. It proved if there was a significant correlation between students' welding skills acquired in high school and the use of differentiated instruction in college welding courses. This enabled one to find out if the skills acquired in high schools influenced the students' perception of differentiated instruction in college, as presented in Table 1</w:t>
      </w:r>
      <w:r w:rsidR="00024E89" w:rsidRPr="004E247D">
        <w:rPr>
          <w:color w:val="000000" w:themeColor="text1"/>
          <w:sz w:val="24"/>
          <w:szCs w:val="24"/>
          <w:lang w:val="en-PH"/>
        </w:rPr>
        <w:t>6</w:t>
      </w:r>
      <w:r w:rsidRPr="004E247D">
        <w:rPr>
          <w:color w:val="000000" w:themeColor="text1"/>
          <w:sz w:val="24"/>
          <w:szCs w:val="24"/>
          <w:lang w:val="en-PH"/>
        </w:rPr>
        <w:t xml:space="preserve"> below.</w:t>
      </w:r>
    </w:p>
    <w:p w14:paraId="7695C581" w14:textId="03F10EE2" w:rsidR="00DE22D9" w:rsidRPr="004E247D" w:rsidRDefault="00FB027E" w:rsidP="00FB027E">
      <w:pPr>
        <w:spacing w:before="240" w:after="240"/>
        <w:jc w:val="both"/>
        <w:rPr>
          <w:b/>
          <w:bCs/>
          <w:color w:val="000000" w:themeColor="text1"/>
          <w:sz w:val="24"/>
          <w:szCs w:val="24"/>
          <w:lang w:val="en-PH"/>
        </w:rPr>
      </w:pPr>
      <w:r w:rsidRPr="004E247D">
        <w:rPr>
          <w:b/>
          <w:bCs/>
          <w:color w:val="000000" w:themeColor="text1"/>
          <w:sz w:val="24"/>
          <w:szCs w:val="24"/>
          <w:lang w:val="en-PH"/>
        </w:rPr>
        <w:t>Table 1</w:t>
      </w:r>
      <w:r w:rsidR="00024E89" w:rsidRPr="004E247D">
        <w:rPr>
          <w:b/>
          <w:bCs/>
          <w:color w:val="000000" w:themeColor="text1"/>
          <w:sz w:val="24"/>
          <w:szCs w:val="24"/>
          <w:lang w:val="en-PH"/>
        </w:rPr>
        <w:t>6</w:t>
      </w:r>
      <w:r w:rsidRPr="004E247D">
        <w:rPr>
          <w:b/>
          <w:bCs/>
          <w:color w:val="000000" w:themeColor="text1"/>
          <w:sz w:val="24"/>
          <w:szCs w:val="24"/>
          <w:lang w:val="en-PH"/>
        </w:rPr>
        <w:t>. Test of Significance of Relationship Between Respondents’ Perception on SHS Welding Competencies and Differentiated Instruction Practices Experienced</w:t>
      </w:r>
    </w:p>
    <w:tbl>
      <w:tblPr>
        <w:tblW w:w="8655" w:type="dxa"/>
        <w:tblLayout w:type="fixed"/>
        <w:tblLook w:val="04A0" w:firstRow="1" w:lastRow="0" w:firstColumn="1" w:lastColumn="0" w:noHBand="0" w:noVBand="1"/>
      </w:tblPr>
      <w:tblGrid>
        <w:gridCol w:w="1908"/>
        <w:gridCol w:w="1260"/>
        <w:gridCol w:w="1797"/>
        <w:gridCol w:w="1170"/>
        <w:gridCol w:w="1236"/>
        <w:gridCol w:w="1284"/>
      </w:tblGrid>
      <w:tr w:rsidR="00FB027E" w:rsidRPr="004E247D" w14:paraId="6E946E5B" w14:textId="77777777" w:rsidTr="00A10C80">
        <w:trPr>
          <w:trHeight w:val="537"/>
        </w:trPr>
        <w:tc>
          <w:tcPr>
            <w:tcW w:w="1908" w:type="dxa"/>
            <w:tcBorders>
              <w:top w:val="single" w:sz="4" w:space="0" w:color="auto"/>
              <w:bottom w:val="single" w:sz="4" w:space="0" w:color="auto"/>
            </w:tcBorders>
            <w:vAlign w:val="center"/>
          </w:tcPr>
          <w:p w14:paraId="4338928E"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Variables</w:t>
            </w:r>
          </w:p>
        </w:tc>
        <w:tc>
          <w:tcPr>
            <w:tcW w:w="1260" w:type="dxa"/>
            <w:tcBorders>
              <w:top w:val="single" w:sz="4" w:space="0" w:color="auto"/>
              <w:bottom w:val="single" w:sz="4" w:space="0" w:color="auto"/>
            </w:tcBorders>
            <w:vAlign w:val="center"/>
          </w:tcPr>
          <w:p w14:paraId="6C5B39E2"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r-value</w:t>
            </w:r>
          </w:p>
        </w:tc>
        <w:tc>
          <w:tcPr>
            <w:tcW w:w="1797" w:type="dxa"/>
            <w:tcBorders>
              <w:top w:val="single" w:sz="4" w:space="0" w:color="auto"/>
              <w:bottom w:val="single" w:sz="4" w:space="0" w:color="auto"/>
            </w:tcBorders>
            <w:vAlign w:val="center"/>
          </w:tcPr>
          <w:p w14:paraId="02C88D50"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Strength of Correlation</w:t>
            </w:r>
          </w:p>
        </w:tc>
        <w:tc>
          <w:tcPr>
            <w:tcW w:w="1170" w:type="dxa"/>
            <w:tcBorders>
              <w:top w:val="single" w:sz="4" w:space="0" w:color="auto"/>
              <w:bottom w:val="single" w:sz="4" w:space="0" w:color="auto"/>
            </w:tcBorders>
            <w:vAlign w:val="center"/>
          </w:tcPr>
          <w:p w14:paraId="62E1F36D"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p-value</w:t>
            </w:r>
          </w:p>
        </w:tc>
        <w:tc>
          <w:tcPr>
            <w:tcW w:w="1236" w:type="dxa"/>
            <w:tcBorders>
              <w:top w:val="single" w:sz="4" w:space="0" w:color="auto"/>
              <w:bottom w:val="single" w:sz="4" w:space="0" w:color="auto"/>
            </w:tcBorders>
            <w:vAlign w:val="center"/>
          </w:tcPr>
          <w:p w14:paraId="114493BD"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Decision</w:t>
            </w:r>
          </w:p>
        </w:tc>
        <w:tc>
          <w:tcPr>
            <w:tcW w:w="1284" w:type="dxa"/>
            <w:tcBorders>
              <w:top w:val="single" w:sz="4" w:space="0" w:color="auto"/>
              <w:bottom w:val="single" w:sz="4" w:space="0" w:color="auto"/>
            </w:tcBorders>
            <w:vAlign w:val="center"/>
          </w:tcPr>
          <w:p w14:paraId="0EE47CCD" w14:textId="77777777" w:rsidR="00FB027E" w:rsidRPr="004E247D" w:rsidRDefault="00FB027E" w:rsidP="007233F6">
            <w:pPr>
              <w:jc w:val="center"/>
              <w:rPr>
                <w:b/>
                <w:bCs/>
                <w:color w:val="000000" w:themeColor="text1"/>
                <w:sz w:val="24"/>
                <w:szCs w:val="24"/>
              </w:rPr>
            </w:pPr>
            <w:r w:rsidRPr="004E247D">
              <w:rPr>
                <w:b/>
                <w:bCs/>
                <w:color w:val="000000" w:themeColor="text1"/>
                <w:sz w:val="24"/>
                <w:szCs w:val="24"/>
              </w:rPr>
              <w:t>Result</w:t>
            </w:r>
          </w:p>
        </w:tc>
      </w:tr>
      <w:tr w:rsidR="00FB027E" w:rsidRPr="004E247D" w14:paraId="2A9810FF" w14:textId="77777777" w:rsidTr="00A10C80">
        <w:trPr>
          <w:trHeight w:val="1064"/>
        </w:trPr>
        <w:tc>
          <w:tcPr>
            <w:tcW w:w="1908" w:type="dxa"/>
            <w:tcBorders>
              <w:top w:val="single" w:sz="4" w:space="0" w:color="auto"/>
            </w:tcBorders>
            <w:vAlign w:val="center"/>
          </w:tcPr>
          <w:p w14:paraId="4F5A8781" w14:textId="5028FED3" w:rsidR="00FB027E" w:rsidRPr="004E247D" w:rsidRDefault="0014246F" w:rsidP="007233F6">
            <w:pPr>
              <w:jc w:val="center"/>
              <w:rPr>
                <w:bCs/>
                <w:color w:val="000000" w:themeColor="text1"/>
                <w:sz w:val="24"/>
                <w:szCs w:val="24"/>
              </w:rPr>
            </w:pPr>
            <w:r w:rsidRPr="004E247D">
              <w:rPr>
                <w:color w:val="000000" w:themeColor="text1"/>
                <w:sz w:val="24"/>
                <w:szCs w:val="24"/>
              </w:rPr>
              <w:t>Academic Preparedness vs Academic Performance</w:t>
            </w:r>
          </w:p>
        </w:tc>
        <w:tc>
          <w:tcPr>
            <w:tcW w:w="1260" w:type="dxa"/>
            <w:tcBorders>
              <w:top w:val="single" w:sz="4" w:space="0" w:color="auto"/>
            </w:tcBorders>
            <w:vAlign w:val="center"/>
          </w:tcPr>
          <w:p w14:paraId="5F0D2FCF" w14:textId="26746543" w:rsidR="00FB027E" w:rsidRPr="004E247D" w:rsidRDefault="00426C34" w:rsidP="007233F6">
            <w:pPr>
              <w:jc w:val="center"/>
              <w:rPr>
                <w:color w:val="000000" w:themeColor="text1"/>
                <w:sz w:val="24"/>
                <w:szCs w:val="24"/>
              </w:rPr>
            </w:pPr>
            <w:r w:rsidRPr="004E247D">
              <w:rPr>
                <w:color w:val="000000" w:themeColor="text1"/>
                <w:sz w:val="24"/>
                <w:szCs w:val="24"/>
              </w:rPr>
              <w:t>-0.073</w:t>
            </w:r>
          </w:p>
        </w:tc>
        <w:tc>
          <w:tcPr>
            <w:tcW w:w="1797" w:type="dxa"/>
            <w:tcBorders>
              <w:top w:val="single" w:sz="4" w:space="0" w:color="auto"/>
            </w:tcBorders>
            <w:vAlign w:val="center"/>
          </w:tcPr>
          <w:p w14:paraId="17F01123" w14:textId="094CB026" w:rsidR="00FB027E" w:rsidRPr="004E247D" w:rsidRDefault="00426C34" w:rsidP="007233F6">
            <w:pPr>
              <w:jc w:val="center"/>
              <w:rPr>
                <w:color w:val="000000" w:themeColor="text1"/>
                <w:sz w:val="24"/>
                <w:szCs w:val="24"/>
              </w:rPr>
            </w:pPr>
            <w:r w:rsidRPr="004E247D">
              <w:rPr>
                <w:color w:val="000000" w:themeColor="text1"/>
                <w:sz w:val="24"/>
                <w:szCs w:val="24"/>
              </w:rPr>
              <w:t>Negligible</w:t>
            </w:r>
          </w:p>
        </w:tc>
        <w:tc>
          <w:tcPr>
            <w:tcW w:w="1170" w:type="dxa"/>
            <w:tcBorders>
              <w:top w:val="single" w:sz="4" w:space="0" w:color="auto"/>
            </w:tcBorders>
            <w:vAlign w:val="center"/>
          </w:tcPr>
          <w:p w14:paraId="6FCE25A2" w14:textId="163DF250" w:rsidR="00FB027E" w:rsidRPr="004E247D" w:rsidRDefault="00426C34" w:rsidP="007233F6">
            <w:pPr>
              <w:jc w:val="center"/>
              <w:rPr>
                <w:color w:val="000000" w:themeColor="text1"/>
                <w:sz w:val="24"/>
                <w:szCs w:val="24"/>
              </w:rPr>
            </w:pPr>
            <w:r w:rsidRPr="004E247D">
              <w:rPr>
                <w:color w:val="000000" w:themeColor="text1"/>
                <w:sz w:val="24"/>
                <w:szCs w:val="24"/>
              </w:rPr>
              <w:t>0.623</w:t>
            </w:r>
          </w:p>
        </w:tc>
        <w:tc>
          <w:tcPr>
            <w:tcW w:w="1236" w:type="dxa"/>
            <w:tcBorders>
              <w:top w:val="single" w:sz="4" w:space="0" w:color="auto"/>
            </w:tcBorders>
            <w:vAlign w:val="center"/>
          </w:tcPr>
          <w:p w14:paraId="5286A15A" w14:textId="19630F83" w:rsidR="00FB027E" w:rsidRPr="004E247D" w:rsidRDefault="00426C3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Fail to Reject Ho</w:t>
            </w:r>
          </w:p>
        </w:tc>
        <w:tc>
          <w:tcPr>
            <w:tcW w:w="1284" w:type="dxa"/>
            <w:tcBorders>
              <w:top w:val="single" w:sz="4" w:space="0" w:color="auto"/>
            </w:tcBorders>
            <w:vAlign w:val="center"/>
          </w:tcPr>
          <w:p w14:paraId="11E8C9F2" w14:textId="394B699D" w:rsidR="00FB027E" w:rsidRPr="004E247D" w:rsidRDefault="00426C3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Not Significant</w:t>
            </w:r>
          </w:p>
        </w:tc>
      </w:tr>
      <w:tr w:rsidR="006376B1" w:rsidRPr="004E247D" w14:paraId="12E706CB" w14:textId="77777777" w:rsidTr="00A10C80">
        <w:trPr>
          <w:trHeight w:val="772"/>
        </w:trPr>
        <w:tc>
          <w:tcPr>
            <w:tcW w:w="1908" w:type="dxa"/>
            <w:vAlign w:val="center"/>
          </w:tcPr>
          <w:p w14:paraId="42F81FEB" w14:textId="4A72D755" w:rsidR="006376B1" w:rsidRPr="004E247D" w:rsidRDefault="0014246F" w:rsidP="007233F6">
            <w:pPr>
              <w:jc w:val="center"/>
              <w:rPr>
                <w:color w:val="000000" w:themeColor="text1"/>
                <w:sz w:val="24"/>
                <w:szCs w:val="24"/>
              </w:rPr>
            </w:pPr>
            <w:r w:rsidRPr="004E247D">
              <w:rPr>
                <w:color w:val="000000" w:themeColor="text1"/>
                <w:sz w:val="24"/>
                <w:szCs w:val="24"/>
              </w:rPr>
              <w:t>Practical Skills vs Academic Performance</w:t>
            </w:r>
          </w:p>
        </w:tc>
        <w:tc>
          <w:tcPr>
            <w:tcW w:w="1260" w:type="dxa"/>
            <w:vAlign w:val="center"/>
          </w:tcPr>
          <w:p w14:paraId="43ED6465" w14:textId="2521138A" w:rsidR="006376B1" w:rsidRPr="004E247D" w:rsidRDefault="00426C34" w:rsidP="007233F6">
            <w:pPr>
              <w:jc w:val="center"/>
              <w:rPr>
                <w:color w:val="000000" w:themeColor="text1"/>
                <w:sz w:val="24"/>
                <w:szCs w:val="24"/>
              </w:rPr>
            </w:pPr>
            <w:r w:rsidRPr="004E247D">
              <w:rPr>
                <w:color w:val="000000" w:themeColor="text1"/>
                <w:sz w:val="24"/>
                <w:szCs w:val="24"/>
              </w:rPr>
              <w:t>-0.081</w:t>
            </w:r>
          </w:p>
        </w:tc>
        <w:tc>
          <w:tcPr>
            <w:tcW w:w="1797" w:type="dxa"/>
            <w:vAlign w:val="center"/>
          </w:tcPr>
          <w:p w14:paraId="0531515C" w14:textId="6A9B8A8A" w:rsidR="006376B1" w:rsidRPr="004E247D" w:rsidRDefault="00426C34" w:rsidP="007233F6">
            <w:pPr>
              <w:jc w:val="center"/>
              <w:rPr>
                <w:color w:val="000000" w:themeColor="text1"/>
                <w:sz w:val="24"/>
                <w:szCs w:val="24"/>
              </w:rPr>
            </w:pPr>
            <w:r w:rsidRPr="004E247D">
              <w:rPr>
                <w:color w:val="000000" w:themeColor="text1"/>
                <w:sz w:val="24"/>
                <w:szCs w:val="24"/>
              </w:rPr>
              <w:t>Negligible</w:t>
            </w:r>
          </w:p>
        </w:tc>
        <w:tc>
          <w:tcPr>
            <w:tcW w:w="1170" w:type="dxa"/>
            <w:vAlign w:val="center"/>
          </w:tcPr>
          <w:p w14:paraId="500AE1A8" w14:textId="1B3867AD" w:rsidR="006376B1" w:rsidRPr="004E247D" w:rsidRDefault="00426C34" w:rsidP="007233F6">
            <w:pPr>
              <w:jc w:val="center"/>
              <w:rPr>
                <w:color w:val="000000" w:themeColor="text1"/>
                <w:sz w:val="24"/>
                <w:szCs w:val="24"/>
              </w:rPr>
            </w:pPr>
            <w:r w:rsidRPr="004E247D">
              <w:rPr>
                <w:color w:val="000000" w:themeColor="text1"/>
                <w:sz w:val="24"/>
                <w:szCs w:val="24"/>
              </w:rPr>
              <w:t>0.585</w:t>
            </w:r>
          </w:p>
        </w:tc>
        <w:tc>
          <w:tcPr>
            <w:tcW w:w="1236" w:type="dxa"/>
            <w:vAlign w:val="center"/>
          </w:tcPr>
          <w:p w14:paraId="4C7FBC74" w14:textId="460CD460" w:rsidR="006376B1" w:rsidRPr="004E247D" w:rsidRDefault="008E572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Fail to Reject Ho</w:t>
            </w:r>
          </w:p>
        </w:tc>
        <w:tc>
          <w:tcPr>
            <w:tcW w:w="1284" w:type="dxa"/>
            <w:vAlign w:val="center"/>
          </w:tcPr>
          <w:p w14:paraId="5B6D807C" w14:textId="2B2F49FF" w:rsidR="006376B1" w:rsidRPr="004E247D" w:rsidRDefault="008E572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Not Significant</w:t>
            </w:r>
          </w:p>
        </w:tc>
      </w:tr>
      <w:tr w:rsidR="006376B1" w:rsidRPr="004E247D" w14:paraId="7E8CE9EC" w14:textId="77777777" w:rsidTr="00A10C80">
        <w:trPr>
          <w:trHeight w:val="1106"/>
        </w:trPr>
        <w:tc>
          <w:tcPr>
            <w:tcW w:w="1908" w:type="dxa"/>
            <w:vAlign w:val="center"/>
          </w:tcPr>
          <w:p w14:paraId="4B8D94F5" w14:textId="2EF0DBC2" w:rsidR="006376B1" w:rsidRPr="004E247D" w:rsidRDefault="004C53F6" w:rsidP="007233F6">
            <w:pPr>
              <w:jc w:val="center"/>
              <w:rPr>
                <w:color w:val="000000" w:themeColor="text1"/>
                <w:sz w:val="24"/>
                <w:szCs w:val="24"/>
              </w:rPr>
            </w:pPr>
            <w:r w:rsidRPr="004E247D">
              <w:rPr>
                <w:color w:val="000000" w:themeColor="text1"/>
                <w:sz w:val="24"/>
                <w:szCs w:val="24"/>
              </w:rPr>
              <w:t>Technical Knowledge vs Academic Performance</w:t>
            </w:r>
          </w:p>
        </w:tc>
        <w:tc>
          <w:tcPr>
            <w:tcW w:w="1260" w:type="dxa"/>
            <w:vAlign w:val="center"/>
          </w:tcPr>
          <w:p w14:paraId="11984E7A" w14:textId="26D074CE" w:rsidR="006376B1" w:rsidRPr="004E247D" w:rsidRDefault="008E5722" w:rsidP="007233F6">
            <w:pPr>
              <w:jc w:val="center"/>
              <w:rPr>
                <w:color w:val="000000" w:themeColor="text1"/>
                <w:sz w:val="24"/>
                <w:szCs w:val="24"/>
              </w:rPr>
            </w:pPr>
            <w:r w:rsidRPr="004E247D">
              <w:rPr>
                <w:color w:val="000000" w:themeColor="text1"/>
                <w:sz w:val="24"/>
                <w:szCs w:val="24"/>
              </w:rPr>
              <w:t>0.024</w:t>
            </w:r>
          </w:p>
        </w:tc>
        <w:tc>
          <w:tcPr>
            <w:tcW w:w="1797" w:type="dxa"/>
            <w:vAlign w:val="center"/>
          </w:tcPr>
          <w:p w14:paraId="1B075F23" w14:textId="6FEA0BEB" w:rsidR="006376B1" w:rsidRPr="004E247D" w:rsidRDefault="008E5722" w:rsidP="007233F6">
            <w:pPr>
              <w:jc w:val="center"/>
              <w:rPr>
                <w:color w:val="000000" w:themeColor="text1"/>
                <w:sz w:val="24"/>
                <w:szCs w:val="24"/>
              </w:rPr>
            </w:pPr>
            <w:r w:rsidRPr="004E247D">
              <w:rPr>
                <w:color w:val="000000" w:themeColor="text1"/>
                <w:sz w:val="24"/>
                <w:szCs w:val="24"/>
              </w:rPr>
              <w:t>Negligible</w:t>
            </w:r>
          </w:p>
        </w:tc>
        <w:tc>
          <w:tcPr>
            <w:tcW w:w="1170" w:type="dxa"/>
            <w:vAlign w:val="center"/>
          </w:tcPr>
          <w:p w14:paraId="04D979C4" w14:textId="24246F44" w:rsidR="006376B1" w:rsidRPr="004E247D" w:rsidRDefault="008E5722" w:rsidP="007233F6">
            <w:pPr>
              <w:jc w:val="center"/>
              <w:rPr>
                <w:color w:val="000000" w:themeColor="text1"/>
                <w:sz w:val="24"/>
                <w:szCs w:val="24"/>
              </w:rPr>
            </w:pPr>
            <w:r w:rsidRPr="004E247D">
              <w:rPr>
                <w:color w:val="000000" w:themeColor="text1"/>
                <w:sz w:val="24"/>
                <w:szCs w:val="24"/>
              </w:rPr>
              <w:t>0.870</w:t>
            </w:r>
          </w:p>
        </w:tc>
        <w:tc>
          <w:tcPr>
            <w:tcW w:w="1236" w:type="dxa"/>
            <w:vAlign w:val="center"/>
          </w:tcPr>
          <w:p w14:paraId="26210296" w14:textId="0BDA768B" w:rsidR="006376B1" w:rsidRPr="004E247D" w:rsidRDefault="008E572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Fail to Reject Ho</w:t>
            </w:r>
          </w:p>
        </w:tc>
        <w:tc>
          <w:tcPr>
            <w:tcW w:w="1284" w:type="dxa"/>
            <w:vAlign w:val="center"/>
          </w:tcPr>
          <w:p w14:paraId="5B6CF8AD" w14:textId="07183A1C" w:rsidR="006376B1" w:rsidRPr="004E247D" w:rsidRDefault="008E5722"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Not Significant</w:t>
            </w:r>
          </w:p>
        </w:tc>
      </w:tr>
      <w:tr w:rsidR="006376B1" w:rsidRPr="004E247D" w14:paraId="7A8FE08C" w14:textId="77777777" w:rsidTr="00A10C80">
        <w:trPr>
          <w:trHeight w:val="1122"/>
        </w:trPr>
        <w:tc>
          <w:tcPr>
            <w:tcW w:w="1908" w:type="dxa"/>
            <w:vAlign w:val="center"/>
          </w:tcPr>
          <w:p w14:paraId="7FA24D7E" w14:textId="4CC271CA" w:rsidR="006376B1" w:rsidRPr="004E247D" w:rsidRDefault="00426C34" w:rsidP="007233F6">
            <w:pPr>
              <w:jc w:val="center"/>
              <w:rPr>
                <w:color w:val="000000" w:themeColor="text1"/>
                <w:sz w:val="24"/>
                <w:szCs w:val="24"/>
              </w:rPr>
            </w:pPr>
            <w:r w:rsidRPr="004E247D">
              <w:rPr>
                <w:color w:val="000000" w:themeColor="text1"/>
                <w:sz w:val="24"/>
                <w:szCs w:val="24"/>
              </w:rPr>
              <w:t>Differentiated Instruction vs Academic Performance</w:t>
            </w:r>
          </w:p>
        </w:tc>
        <w:tc>
          <w:tcPr>
            <w:tcW w:w="1260" w:type="dxa"/>
            <w:vAlign w:val="center"/>
          </w:tcPr>
          <w:p w14:paraId="1083E2B2" w14:textId="55E84B61" w:rsidR="006376B1" w:rsidRPr="004E247D" w:rsidRDefault="008E5722" w:rsidP="007233F6">
            <w:pPr>
              <w:jc w:val="center"/>
              <w:rPr>
                <w:color w:val="000000" w:themeColor="text1"/>
                <w:sz w:val="24"/>
                <w:szCs w:val="24"/>
              </w:rPr>
            </w:pPr>
            <w:r w:rsidRPr="004E247D">
              <w:rPr>
                <w:color w:val="000000" w:themeColor="text1"/>
                <w:sz w:val="24"/>
                <w:szCs w:val="24"/>
              </w:rPr>
              <w:t>-0.142</w:t>
            </w:r>
          </w:p>
        </w:tc>
        <w:tc>
          <w:tcPr>
            <w:tcW w:w="1797" w:type="dxa"/>
            <w:vAlign w:val="center"/>
          </w:tcPr>
          <w:p w14:paraId="2E9C8D53" w14:textId="0D3B730B" w:rsidR="006376B1" w:rsidRPr="004E247D" w:rsidRDefault="008E5722" w:rsidP="007233F6">
            <w:pPr>
              <w:jc w:val="center"/>
              <w:rPr>
                <w:color w:val="000000" w:themeColor="text1"/>
                <w:sz w:val="24"/>
                <w:szCs w:val="24"/>
              </w:rPr>
            </w:pPr>
            <w:r w:rsidRPr="004E247D">
              <w:rPr>
                <w:color w:val="000000" w:themeColor="text1"/>
                <w:sz w:val="24"/>
                <w:szCs w:val="24"/>
              </w:rPr>
              <w:t>Weak Negative</w:t>
            </w:r>
          </w:p>
        </w:tc>
        <w:tc>
          <w:tcPr>
            <w:tcW w:w="1170" w:type="dxa"/>
            <w:vAlign w:val="center"/>
          </w:tcPr>
          <w:p w14:paraId="46E667A4" w14:textId="17B93AB2" w:rsidR="006376B1" w:rsidRPr="004E247D" w:rsidRDefault="001B6904" w:rsidP="007233F6">
            <w:pPr>
              <w:jc w:val="center"/>
              <w:rPr>
                <w:color w:val="000000" w:themeColor="text1"/>
                <w:sz w:val="24"/>
                <w:szCs w:val="24"/>
              </w:rPr>
            </w:pPr>
            <w:r w:rsidRPr="004E247D">
              <w:rPr>
                <w:color w:val="000000" w:themeColor="text1"/>
                <w:sz w:val="24"/>
                <w:szCs w:val="24"/>
              </w:rPr>
              <w:t>0.336</w:t>
            </w:r>
          </w:p>
        </w:tc>
        <w:tc>
          <w:tcPr>
            <w:tcW w:w="1236" w:type="dxa"/>
            <w:vAlign w:val="center"/>
          </w:tcPr>
          <w:p w14:paraId="1022EB27" w14:textId="51C5D151" w:rsidR="006376B1" w:rsidRPr="004E247D" w:rsidRDefault="001B690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Fail to Reject Ho</w:t>
            </w:r>
          </w:p>
        </w:tc>
        <w:tc>
          <w:tcPr>
            <w:tcW w:w="1284" w:type="dxa"/>
            <w:vAlign w:val="center"/>
          </w:tcPr>
          <w:p w14:paraId="26A3F237" w14:textId="626615C9" w:rsidR="006376B1" w:rsidRPr="004E247D" w:rsidRDefault="001B690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Not Significant</w:t>
            </w:r>
          </w:p>
        </w:tc>
      </w:tr>
      <w:tr w:rsidR="006376B1" w:rsidRPr="004E247D" w14:paraId="30BBB998" w14:textId="77777777" w:rsidTr="00A10C80">
        <w:trPr>
          <w:trHeight w:val="1138"/>
        </w:trPr>
        <w:tc>
          <w:tcPr>
            <w:tcW w:w="1908" w:type="dxa"/>
            <w:tcBorders>
              <w:bottom w:val="single" w:sz="4" w:space="0" w:color="auto"/>
            </w:tcBorders>
            <w:vAlign w:val="center"/>
          </w:tcPr>
          <w:p w14:paraId="5CC23D78" w14:textId="4CF5BF60" w:rsidR="006376B1" w:rsidRPr="004E247D" w:rsidRDefault="00426C34" w:rsidP="007233F6">
            <w:pPr>
              <w:jc w:val="center"/>
              <w:rPr>
                <w:color w:val="000000" w:themeColor="text1"/>
                <w:sz w:val="24"/>
                <w:szCs w:val="24"/>
              </w:rPr>
            </w:pPr>
            <w:r w:rsidRPr="004E247D">
              <w:rPr>
                <w:color w:val="000000" w:themeColor="text1"/>
                <w:sz w:val="24"/>
                <w:szCs w:val="24"/>
              </w:rPr>
              <w:t>SHS Welding Competencies vs Differentiated Instruction</w:t>
            </w:r>
          </w:p>
        </w:tc>
        <w:tc>
          <w:tcPr>
            <w:tcW w:w="1260" w:type="dxa"/>
            <w:tcBorders>
              <w:bottom w:val="single" w:sz="4" w:space="0" w:color="auto"/>
            </w:tcBorders>
            <w:vAlign w:val="center"/>
          </w:tcPr>
          <w:p w14:paraId="22BD0C26" w14:textId="05763ECF" w:rsidR="006376B1" w:rsidRPr="004E247D" w:rsidRDefault="001B6904" w:rsidP="007233F6">
            <w:pPr>
              <w:jc w:val="center"/>
              <w:rPr>
                <w:color w:val="000000" w:themeColor="text1"/>
                <w:sz w:val="24"/>
                <w:szCs w:val="24"/>
              </w:rPr>
            </w:pPr>
            <w:r w:rsidRPr="004E247D">
              <w:rPr>
                <w:color w:val="000000" w:themeColor="text1"/>
                <w:sz w:val="24"/>
                <w:szCs w:val="24"/>
              </w:rPr>
              <w:t>0.418</w:t>
            </w:r>
          </w:p>
        </w:tc>
        <w:tc>
          <w:tcPr>
            <w:tcW w:w="1797" w:type="dxa"/>
            <w:tcBorders>
              <w:bottom w:val="single" w:sz="4" w:space="0" w:color="auto"/>
            </w:tcBorders>
            <w:vAlign w:val="center"/>
          </w:tcPr>
          <w:p w14:paraId="4987C254" w14:textId="27564FBA" w:rsidR="006376B1" w:rsidRPr="004E247D" w:rsidRDefault="001B6904" w:rsidP="007233F6">
            <w:pPr>
              <w:jc w:val="center"/>
              <w:rPr>
                <w:color w:val="000000" w:themeColor="text1"/>
                <w:sz w:val="24"/>
                <w:szCs w:val="24"/>
              </w:rPr>
            </w:pPr>
            <w:r w:rsidRPr="004E247D">
              <w:rPr>
                <w:color w:val="000000" w:themeColor="text1"/>
                <w:sz w:val="24"/>
                <w:szCs w:val="24"/>
              </w:rPr>
              <w:t>Moderate Positive</w:t>
            </w:r>
          </w:p>
        </w:tc>
        <w:tc>
          <w:tcPr>
            <w:tcW w:w="1170" w:type="dxa"/>
            <w:tcBorders>
              <w:bottom w:val="single" w:sz="4" w:space="0" w:color="auto"/>
            </w:tcBorders>
            <w:vAlign w:val="center"/>
          </w:tcPr>
          <w:p w14:paraId="7836F704" w14:textId="64BD48E3" w:rsidR="006376B1" w:rsidRPr="004E247D" w:rsidRDefault="001B6904" w:rsidP="007233F6">
            <w:pPr>
              <w:jc w:val="center"/>
              <w:rPr>
                <w:color w:val="000000" w:themeColor="text1"/>
                <w:sz w:val="24"/>
                <w:szCs w:val="24"/>
              </w:rPr>
            </w:pPr>
            <w:r w:rsidRPr="004E247D">
              <w:rPr>
                <w:color w:val="000000" w:themeColor="text1"/>
                <w:sz w:val="24"/>
                <w:szCs w:val="24"/>
              </w:rPr>
              <w:t>0.003</w:t>
            </w:r>
          </w:p>
        </w:tc>
        <w:tc>
          <w:tcPr>
            <w:tcW w:w="1236" w:type="dxa"/>
            <w:tcBorders>
              <w:bottom w:val="single" w:sz="4" w:space="0" w:color="auto"/>
            </w:tcBorders>
            <w:vAlign w:val="center"/>
          </w:tcPr>
          <w:p w14:paraId="6FAF40DF" w14:textId="42A8C6D5" w:rsidR="006376B1" w:rsidRPr="004E247D" w:rsidRDefault="001B690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Reject Ho</w:t>
            </w:r>
          </w:p>
        </w:tc>
        <w:tc>
          <w:tcPr>
            <w:tcW w:w="1284" w:type="dxa"/>
            <w:tcBorders>
              <w:bottom w:val="single" w:sz="4" w:space="0" w:color="auto"/>
            </w:tcBorders>
            <w:vAlign w:val="center"/>
          </w:tcPr>
          <w:p w14:paraId="3158A4EC" w14:textId="567E44DE" w:rsidR="006376B1" w:rsidRPr="004E247D" w:rsidRDefault="001B6904" w:rsidP="007233F6">
            <w:pPr>
              <w:pStyle w:val="NoSpacing"/>
              <w:jc w:val="center"/>
              <w:rPr>
                <w:rFonts w:ascii="Times New Roman" w:hAnsi="Times New Roman" w:cs="Times New Roman"/>
                <w:color w:val="000000" w:themeColor="text1"/>
                <w:sz w:val="24"/>
                <w:szCs w:val="24"/>
              </w:rPr>
            </w:pPr>
            <w:r w:rsidRPr="004E247D">
              <w:rPr>
                <w:rFonts w:ascii="Times New Roman" w:hAnsi="Times New Roman" w:cs="Times New Roman"/>
                <w:color w:val="000000" w:themeColor="text1"/>
                <w:sz w:val="24"/>
                <w:szCs w:val="24"/>
              </w:rPr>
              <w:t>Significant</w:t>
            </w:r>
          </w:p>
        </w:tc>
      </w:tr>
      <w:tr w:rsidR="00FB027E" w:rsidRPr="004E247D" w14:paraId="34BF4B53" w14:textId="77777777" w:rsidTr="00FA2E4C">
        <w:trPr>
          <w:trHeight w:val="305"/>
        </w:trPr>
        <w:tc>
          <w:tcPr>
            <w:tcW w:w="8655" w:type="dxa"/>
            <w:gridSpan w:val="6"/>
            <w:tcBorders>
              <w:top w:val="single" w:sz="4" w:space="0" w:color="auto"/>
            </w:tcBorders>
            <w:vAlign w:val="center"/>
          </w:tcPr>
          <w:p w14:paraId="26D0D670" w14:textId="77777777" w:rsidR="00FB027E" w:rsidRPr="004E247D" w:rsidRDefault="00FB027E" w:rsidP="007233F6">
            <w:pPr>
              <w:jc w:val="both"/>
              <w:rPr>
                <w:color w:val="000000" w:themeColor="text1"/>
                <w:sz w:val="16"/>
                <w:szCs w:val="16"/>
              </w:rPr>
            </w:pPr>
            <w:r w:rsidRPr="004E247D">
              <w:rPr>
                <w:color w:val="000000" w:themeColor="text1"/>
                <w:sz w:val="16"/>
                <w:szCs w:val="16"/>
              </w:rPr>
              <w:t>*significant at p&lt;0.05 (two-tailed)</w:t>
            </w:r>
          </w:p>
        </w:tc>
      </w:tr>
    </w:tbl>
    <w:p w14:paraId="333DCD73" w14:textId="5C18C25E" w:rsidR="004E419E" w:rsidRPr="004E247D" w:rsidRDefault="004E419E" w:rsidP="00055A1E">
      <w:pPr>
        <w:spacing w:before="240" w:after="240"/>
        <w:ind w:firstLine="720"/>
        <w:jc w:val="both"/>
        <w:rPr>
          <w:color w:val="000000" w:themeColor="text1"/>
          <w:sz w:val="24"/>
          <w:szCs w:val="24"/>
          <w:lang w:val="en-SG"/>
        </w:rPr>
      </w:pPr>
      <w:r w:rsidRPr="004E247D">
        <w:rPr>
          <w:color w:val="000000" w:themeColor="text1"/>
          <w:sz w:val="24"/>
          <w:szCs w:val="24"/>
          <w:lang w:val="en-SG"/>
        </w:rPr>
        <w:t>Table 16 presents the test of significance of the relationships among SHS welding competencies, differentiated instruction, and academic performance. The results show no statistically significant relationship between SHS welding competencies and academic performance, as indicated by p-values greater than 0.05 for academic preparedness (p = 0.623), practical skills (p = 0.585), and technical knowledge (p = 0.870). Similarly, differentiated instruction is not significantly related to academic performance (r = -0.142, p = 0.336).</w:t>
      </w:r>
    </w:p>
    <w:p w14:paraId="3BA48E59" w14:textId="7412D7F5" w:rsidR="004E419E" w:rsidRPr="004E247D" w:rsidRDefault="004E419E" w:rsidP="004E419E">
      <w:pPr>
        <w:spacing w:before="240" w:after="240"/>
        <w:ind w:firstLine="720"/>
        <w:jc w:val="both"/>
        <w:rPr>
          <w:color w:val="000000" w:themeColor="text1"/>
          <w:sz w:val="24"/>
          <w:szCs w:val="24"/>
          <w:lang w:val="en-SG"/>
        </w:rPr>
      </w:pPr>
      <w:r w:rsidRPr="004E247D">
        <w:rPr>
          <w:color w:val="000000" w:themeColor="text1"/>
          <w:sz w:val="24"/>
          <w:szCs w:val="24"/>
          <w:lang w:val="en-SG"/>
        </w:rPr>
        <w:t>These findings indicate that neither SHS competencies nor differentiated instruction significantly predict academic performance. This may be partly due to limited variability in grades, as most respondents fall within the Excellent category.</w:t>
      </w:r>
    </w:p>
    <w:p w14:paraId="1650BF3C" w14:textId="101348A1" w:rsidR="004E419E" w:rsidRPr="004E247D" w:rsidRDefault="004E419E" w:rsidP="004E419E">
      <w:pPr>
        <w:spacing w:before="240" w:after="240"/>
        <w:ind w:firstLine="720"/>
        <w:jc w:val="both"/>
        <w:rPr>
          <w:color w:val="000000" w:themeColor="text1"/>
          <w:sz w:val="24"/>
          <w:szCs w:val="24"/>
          <w:lang w:val="en-SG"/>
        </w:rPr>
      </w:pPr>
      <w:r w:rsidRPr="004E247D">
        <w:rPr>
          <w:color w:val="000000" w:themeColor="text1"/>
          <w:sz w:val="24"/>
          <w:szCs w:val="24"/>
          <w:lang w:val="en-SG"/>
        </w:rPr>
        <w:t>In contrast, a statistically significant moderate positive relationship was found between SHS welding competencies and differentiated instruction (r = 0.418, p = 0.003), suggesting that students with stronger prior competencies tend to respond more positively to instructional strategies.</w:t>
      </w:r>
    </w:p>
    <w:p w14:paraId="038EB4A1" w14:textId="77777777" w:rsidR="004E419E" w:rsidRPr="004E247D" w:rsidRDefault="004E419E" w:rsidP="004E419E">
      <w:pPr>
        <w:spacing w:before="240" w:after="240"/>
        <w:ind w:firstLine="720"/>
        <w:jc w:val="both"/>
        <w:rPr>
          <w:color w:val="000000" w:themeColor="text1"/>
          <w:sz w:val="24"/>
          <w:szCs w:val="24"/>
          <w:lang w:val="en-SG"/>
        </w:rPr>
      </w:pPr>
      <w:r w:rsidRPr="004E247D">
        <w:rPr>
          <w:color w:val="000000" w:themeColor="text1"/>
          <w:sz w:val="24"/>
          <w:szCs w:val="24"/>
          <w:lang w:val="en-SG"/>
        </w:rPr>
        <w:t>Overall, the results imply that academic performance may be influenced by factors beyond SHS preparation and instructional practices.</w:t>
      </w:r>
    </w:p>
    <w:p w14:paraId="19CC8B6A" w14:textId="4ED6051B" w:rsidR="000E0E35" w:rsidRPr="004E247D" w:rsidRDefault="000E0E35" w:rsidP="004E419E">
      <w:pPr>
        <w:spacing w:before="240" w:after="240"/>
        <w:jc w:val="both"/>
        <w:rPr>
          <w:b/>
          <w:bCs/>
          <w:color w:val="000000" w:themeColor="text1"/>
          <w:sz w:val="28"/>
          <w:szCs w:val="28"/>
          <w:lang w:val="en-PH"/>
        </w:rPr>
      </w:pPr>
      <w:r w:rsidRPr="004E247D">
        <w:rPr>
          <w:b/>
          <w:bCs/>
          <w:color w:val="000000" w:themeColor="text1"/>
          <w:sz w:val="28"/>
          <w:szCs w:val="28"/>
          <w:lang w:val="en-PH"/>
        </w:rPr>
        <w:lastRenderedPageBreak/>
        <w:t>FINDINGS</w:t>
      </w:r>
    </w:p>
    <w:p w14:paraId="5AE266EB" w14:textId="2B3DEA4D" w:rsidR="0008765A" w:rsidRPr="004E247D" w:rsidRDefault="00055A1E" w:rsidP="0008765A">
      <w:pPr>
        <w:spacing w:before="240" w:after="240"/>
        <w:ind w:firstLine="720"/>
        <w:jc w:val="both"/>
        <w:rPr>
          <w:color w:val="000000" w:themeColor="text1"/>
          <w:sz w:val="24"/>
          <w:szCs w:val="24"/>
        </w:rPr>
      </w:pPr>
      <w:r w:rsidRPr="004E247D">
        <w:rPr>
          <w:color w:val="000000" w:themeColor="text1"/>
          <w:sz w:val="24"/>
          <w:szCs w:val="24"/>
        </w:rPr>
        <w:t xml:space="preserve">The findings show </w:t>
      </w:r>
      <w:r w:rsidR="0008765A" w:rsidRPr="004E247D">
        <w:rPr>
          <w:color w:val="000000" w:themeColor="text1"/>
          <w:sz w:val="24"/>
          <w:szCs w:val="24"/>
        </w:rPr>
        <w:t>that the respondents were predominantly young college students, with a higher proportion of female participants and representation across all year levels. Most respondents came from the Humanities and Social Sciences (HUMSS) and Technical-Vocational-Livelihood (TVL) strands, and the majority had no formal welding training during Senior High School (SHS). In terms of SHS welding competencies, respondents demonstrated a moderate level of academic preparedness, practical skills, and technical knowledge, suggesting that they possessed basic foundational competencies but were not fully equipped for the demands of college-level welding education. On the other hand, differentiated instruction practices in college welding classes were perceived to be highly evident across content, process, and product differentiation, indicating that instructors actively implement adaptive teaching strategies to address diverse learner needs. Statistical analysis further revealed a significant moderate positive relationship between SHS welding competencies and differentiated instruction. However, no statistically significant relationship was found between SHS welding competencies and academic performance, nor between differentiated instruction and academic performance, indicating that academic outcomes may be influenced by other factors beyond SHS preparation and instructional strategies.</w:t>
      </w:r>
    </w:p>
    <w:p w14:paraId="76C45BB8" w14:textId="629DCD86" w:rsidR="00DE22D9" w:rsidRPr="004E247D" w:rsidRDefault="000E0E35" w:rsidP="000E0E35">
      <w:pPr>
        <w:spacing w:before="240" w:after="240"/>
        <w:jc w:val="both"/>
        <w:rPr>
          <w:b/>
          <w:bCs/>
          <w:color w:val="000000" w:themeColor="text1"/>
          <w:sz w:val="28"/>
          <w:szCs w:val="28"/>
          <w:lang w:val="en-PH"/>
        </w:rPr>
      </w:pPr>
      <w:r w:rsidRPr="004E247D">
        <w:rPr>
          <w:b/>
          <w:bCs/>
          <w:color w:val="000000" w:themeColor="text1"/>
          <w:sz w:val="28"/>
          <w:szCs w:val="28"/>
          <w:lang w:val="en-PH"/>
        </w:rPr>
        <w:t>CONCLUSION</w:t>
      </w:r>
    </w:p>
    <w:p w14:paraId="39EBCAB6" w14:textId="2D55214C" w:rsidR="00F928F8" w:rsidRPr="004E247D" w:rsidRDefault="00055A1E" w:rsidP="00F928F8">
      <w:pPr>
        <w:spacing w:before="240" w:after="240"/>
        <w:ind w:firstLine="720"/>
        <w:jc w:val="both"/>
        <w:rPr>
          <w:color w:val="000000" w:themeColor="text1"/>
          <w:sz w:val="24"/>
          <w:szCs w:val="24"/>
        </w:rPr>
      </w:pPr>
      <w:r w:rsidRPr="004E247D">
        <w:rPr>
          <w:color w:val="000000" w:themeColor="text1"/>
          <w:sz w:val="24"/>
          <w:szCs w:val="24"/>
        </w:rPr>
        <w:t>The study concludes</w:t>
      </w:r>
      <w:r w:rsidR="00F928F8" w:rsidRPr="004E247D">
        <w:rPr>
          <w:color w:val="000000" w:themeColor="text1"/>
          <w:sz w:val="24"/>
          <w:szCs w:val="24"/>
        </w:rPr>
        <w:t xml:space="preserve"> that college welding students generally enter higher education with moderate SHS welding competencies regardless of their SHS strand, suggesting that while SHS provides foundational knowledge and skills, it is insufficient to fully prepare students for the advanced technical and academic demands of college-level welding education. The study also reveals that differentiated instruction is highly implemented in college welding classes, reflecting instructors’ efforts to accommodate diverse learner needs through varied teaching strategies in content, process, and product. Furthermore, a significant moderate positive relationship was found between SHS welding competencies and differentiated instruction, indicating that students with stronger prior competencies tend to respond more positively to adaptive instructional practices. However, the study found that neither SHS welding competencies nor differentiated instruction have a statistically significant relationship with academic performance, implying that academic outcomes in welding education may be influenced by other factors such as grading practices, student motivation, or limited variability in performance. Overall, the findings highlight the importance of strengthening foundational competencies and instructional practices while also considering other determinants of academic success in technical-vocational education.</w:t>
      </w:r>
    </w:p>
    <w:p w14:paraId="1C430950" w14:textId="72EE4577" w:rsidR="00DE22D9" w:rsidRPr="004E247D" w:rsidRDefault="000E0E35" w:rsidP="000E0E35">
      <w:pPr>
        <w:spacing w:before="240" w:after="240"/>
        <w:jc w:val="both"/>
        <w:rPr>
          <w:b/>
          <w:bCs/>
          <w:color w:val="000000" w:themeColor="text1"/>
          <w:sz w:val="28"/>
          <w:szCs w:val="28"/>
          <w:lang w:val="en-PH"/>
        </w:rPr>
      </w:pPr>
      <w:r w:rsidRPr="004E247D">
        <w:rPr>
          <w:b/>
          <w:bCs/>
          <w:color w:val="000000" w:themeColor="text1"/>
          <w:sz w:val="28"/>
          <w:szCs w:val="28"/>
          <w:lang w:val="en-PH"/>
        </w:rPr>
        <w:t>RECOMMENDATIONS</w:t>
      </w:r>
    </w:p>
    <w:p w14:paraId="10B11899" w14:textId="77777777" w:rsidR="00F928F8" w:rsidRPr="004E247D" w:rsidRDefault="00F928F8" w:rsidP="00996A5F">
      <w:pPr>
        <w:spacing w:before="240" w:after="240"/>
        <w:ind w:firstLine="720"/>
        <w:jc w:val="both"/>
        <w:rPr>
          <w:color w:val="000000" w:themeColor="text1"/>
          <w:sz w:val="24"/>
          <w:szCs w:val="24"/>
        </w:rPr>
      </w:pPr>
      <w:r w:rsidRPr="004E247D">
        <w:rPr>
          <w:color w:val="000000" w:themeColor="text1"/>
          <w:sz w:val="24"/>
          <w:szCs w:val="24"/>
        </w:rPr>
        <w:t>Based on the findings and conclusions of the study, it is recommended that colleges implement structured bridging programs to address gaps in students’ prior welding competencies, particularly for those with limited SHS exposure, and strengthen hands-on and industry-based training to enhance practical skills and technical competence. Institutions are also encouraged to sustain and further improve differentiated instruction practices to better accommodate diverse learner needs and skill levels. Additionally, academic institutions should review and refine their assessment and grading systems to ensure that academic performance accurately reflects students’ competencies and skill development. Finally, future researchers are encouraged to explore other factors that may influence academic performance, such as student motivation, learning environment, instructional quality, and assessment methods, to provide a more comprehensive understanding of student outcomes in welding education.</w:t>
      </w:r>
    </w:p>
    <w:p w14:paraId="027DA0F0" w14:textId="4EB1A91A" w:rsidR="00DE22D9" w:rsidRPr="004E247D" w:rsidRDefault="000E0E35" w:rsidP="00996A5F">
      <w:pPr>
        <w:spacing w:before="240" w:after="240"/>
        <w:ind w:firstLine="720"/>
        <w:jc w:val="both"/>
        <w:rPr>
          <w:b/>
          <w:bCs/>
          <w:color w:val="000000" w:themeColor="text1"/>
          <w:sz w:val="28"/>
          <w:szCs w:val="28"/>
          <w:lang w:val="en-PH"/>
        </w:rPr>
      </w:pPr>
      <w:r w:rsidRPr="004E247D">
        <w:rPr>
          <w:b/>
          <w:bCs/>
          <w:color w:val="000000" w:themeColor="text1"/>
          <w:sz w:val="28"/>
          <w:szCs w:val="28"/>
          <w:lang w:val="en-PH"/>
        </w:rPr>
        <w:t>ACKNOWLEDGEMENT</w:t>
      </w:r>
    </w:p>
    <w:p w14:paraId="76534C01" w14:textId="0DA635F7" w:rsidR="000A4D89" w:rsidRPr="004E247D" w:rsidRDefault="000A4D89" w:rsidP="000A4D89">
      <w:pPr>
        <w:spacing w:before="240" w:after="240"/>
        <w:ind w:firstLine="720"/>
        <w:jc w:val="both"/>
        <w:rPr>
          <w:color w:val="000000" w:themeColor="text1"/>
          <w:sz w:val="24"/>
          <w:szCs w:val="24"/>
          <w:lang w:val="en-PH"/>
        </w:rPr>
      </w:pPr>
      <w:r w:rsidRPr="004E247D">
        <w:rPr>
          <w:color w:val="000000" w:themeColor="text1"/>
          <w:sz w:val="24"/>
          <w:szCs w:val="24"/>
          <w:lang w:val="en-PH"/>
        </w:rPr>
        <w:t>This study is the result of the advice, support, and encouragement that I have received from a number of people, and I would like to thank them all. First, I wish to thank Almighty God for guiding me on this research path with His blessings and graces, giving me enough power and determination to accomplish this task.</w:t>
      </w:r>
    </w:p>
    <w:p w14:paraId="7497C57C" w14:textId="5B4CE707" w:rsidR="000A4D89" w:rsidRPr="004E247D" w:rsidRDefault="000A4D89" w:rsidP="000A4D89">
      <w:pPr>
        <w:spacing w:before="240" w:after="240"/>
        <w:ind w:firstLine="720"/>
        <w:jc w:val="both"/>
        <w:rPr>
          <w:color w:val="000000" w:themeColor="text1"/>
          <w:sz w:val="24"/>
          <w:szCs w:val="24"/>
          <w:lang w:val="en-PH"/>
        </w:rPr>
      </w:pPr>
      <w:r w:rsidRPr="004E247D">
        <w:rPr>
          <w:color w:val="000000" w:themeColor="text1"/>
          <w:sz w:val="24"/>
          <w:szCs w:val="24"/>
          <w:lang w:val="en-PH"/>
        </w:rPr>
        <w:t>Second, I wish to express my gratitude to my family for their love, patience, and support, which gave me enough motivation to continue striving for excellence.</w:t>
      </w:r>
    </w:p>
    <w:p w14:paraId="7D802173" w14:textId="77777777" w:rsidR="000A4D89" w:rsidRPr="004E247D" w:rsidRDefault="000A4D89" w:rsidP="000A4D89">
      <w:pPr>
        <w:spacing w:before="240" w:after="240"/>
        <w:ind w:firstLine="720"/>
        <w:jc w:val="both"/>
        <w:rPr>
          <w:color w:val="000000" w:themeColor="text1"/>
          <w:sz w:val="24"/>
          <w:szCs w:val="24"/>
          <w:lang w:val="en-PH"/>
        </w:rPr>
      </w:pPr>
      <w:r w:rsidRPr="004E247D">
        <w:rPr>
          <w:color w:val="000000" w:themeColor="text1"/>
          <w:sz w:val="24"/>
          <w:szCs w:val="24"/>
          <w:lang w:val="en-PH"/>
        </w:rPr>
        <w:lastRenderedPageBreak/>
        <w:t>Third, I am thankful to the members of my Thesis Advisory Committee, namely Dr. Julius C. Taghoy, Dr. Reylan G. Capuno, Mr. Joseph Vergil M. Espina, Dr. Randy C. Mangubat, Dr. Raymond C. Espina, Dr. Anabelle T. Pantaleon, and Dr. Veronica O. Calasang, for their advice and expertise, which helped me a lot in accomplishing this task.</w:t>
      </w:r>
    </w:p>
    <w:p w14:paraId="098537A3" w14:textId="6B3E7669" w:rsidR="000A4D89" w:rsidRPr="004E247D" w:rsidRDefault="000A4D89" w:rsidP="000A4D89">
      <w:pPr>
        <w:spacing w:before="240" w:after="240"/>
        <w:ind w:firstLine="720"/>
        <w:jc w:val="both"/>
        <w:rPr>
          <w:color w:val="000000" w:themeColor="text1"/>
          <w:sz w:val="24"/>
          <w:szCs w:val="24"/>
          <w:lang w:val="en-PH"/>
        </w:rPr>
      </w:pPr>
      <w:r w:rsidRPr="004E247D">
        <w:rPr>
          <w:color w:val="000000" w:themeColor="text1"/>
          <w:sz w:val="24"/>
          <w:szCs w:val="24"/>
          <w:lang w:val="en-PH"/>
        </w:rPr>
        <w:t>Lastly, I wish to thank all those people who responded to this survey as they generously shared their time and information, making this study meaningful and complete. I will forever be grateful to everyone who supported, guided, and inspired me throughout this research journey.</w:t>
      </w:r>
    </w:p>
    <w:p w14:paraId="1657B9EC" w14:textId="33D83C11" w:rsidR="00BB7EF0" w:rsidRPr="004E247D" w:rsidRDefault="003614AD" w:rsidP="000A4D89">
      <w:pPr>
        <w:spacing w:before="240" w:after="240"/>
        <w:jc w:val="both"/>
        <w:rPr>
          <w:b/>
          <w:bCs/>
          <w:color w:val="000000" w:themeColor="text1"/>
          <w:sz w:val="28"/>
          <w:szCs w:val="28"/>
          <w:lang w:val="en-PH"/>
        </w:rPr>
      </w:pPr>
      <w:r w:rsidRPr="004E247D">
        <w:rPr>
          <w:b/>
          <w:bCs/>
          <w:color w:val="000000" w:themeColor="text1"/>
          <w:sz w:val="28"/>
          <w:szCs w:val="28"/>
          <w:lang w:val="en-PH"/>
        </w:rPr>
        <w:t>REFERENCES</w:t>
      </w:r>
    </w:p>
    <w:p w14:paraId="38AF2E4A"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Abata, M. R. (2025). Navigating mismatched paths: Lived experiences of graduate students in career track transitions from junior high to senior high school. Aloysian Interdisciplinary Journal of Social Sciences, Education, and Allied Fields, 1(9), 9–19. https://doi.org/10.5281/zenodo.17062499</w:t>
      </w:r>
    </w:p>
    <w:p w14:paraId="338F96C3" w14:textId="77777777" w:rsidR="008C7AEA" w:rsidRPr="004E247D" w:rsidRDefault="008C7AEA" w:rsidP="008C7AEA">
      <w:pPr>
        <w:jc w:val="both"/>
        <w:rPr>
          <w:color w:val="000000" w:themeColor="text1"/>
          <w:sz w:val="24"/>
          <w:szCs w:val="24"/>
          <w:lang w:val="en-PH"/>
        </w:rPr>
      </w:pPr>
    </w:p>
    <w:p w14:paraId="2697946D"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Amirgalina, N., Slambekova, T., Kazhimova, K., Issayeva, G., &amp; Taspayeva, S. (2025). Effect of practice-oriented courses in the study of natural sciences on the development of professional qualities in college students. Journal of Curriculum Studies Research, 7(2), 114–139. https://doi.org/10.46303/jcsr.2025.14</w:t>
      </w:r>
    </w:p>
    <w:p w14:paraId="2025EE6B" w14:textId="77777777" w:rsidR="008C7AEA" w:rsidRPr="004E247D" w:rsidRDefault="008C7AEA" w:rsidP="008C7AEA">
      <w:pPr>
        <w:jc w:val="both"/>
        <w:rPr>
          <w:color w:val="000000" w:themeColor="text1"/>
          <w:sz w:val="24"/>
          <w:szCs w:val="24"/>
          <w:lang w:val="en-PH"/>
        </w:rPr>
      </w:pPr>
    </w:p>
    <w:p w14:paraId="6A384A06"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Areisy, H., &amp; Sudira, P. (2022). Employability skills of state vocational high school students on welding engineering expertise competency. Jurnal Pendidikan Vokasi, 12(1), 53–63. https://doi.org/10.21831/jpv.v12i1.41764</w:t>
      </w:r>
    </w:p>
    <w:p w14:paraId="0C7CA924" w14:textId="77777777" w:rsidR="008C7AEA" w:rsidRPr="004E247D" w:rsidRDefault="008C7AEA" w:rsidP="008C7AEA">
      <w:pPr>
        <w:jc w:val="both"/>
        <w:rPr>
          <w:color w:val="000000" w:themeColor="text1"/>
          <w:sz w:val="24"/>
          <w:szCs w:val="24"/>
          <w:lang w:val="en-PH"/>
        </w:rPr>
      </w:pPr>
    </w:p>
    <w:p w14:paraId="25717F34"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Castro, M. N. T., Fuentes, J. V., Cajilig, V. J. R., &amp; Rodrigo, S. J. J. (2025). SHS graduates’ employment: Curriculum impact and challenges. International Journal of Research Publications. https://doi.org/10.47119/IJRP1001751620258229</w:t>
      </w:r>
    </w:p>
    <w:p w14:paraId="0E29BF6A" w14:textId="77777777" w:rsidR="008C7AEA" w:rsidRPr="004E247D" w:rsidRDefault="008C7AEA" w:rsidP="008C7AEA">
      <w:pPr>
        <w:jc w:val="both"/>
        <w:rPr>
          <w:color w:val="000000" w:themeColor="text1"/>
          <w:sz w:val="24"/>
          <w:szCs w:val="24"/>
          <w:lang w:val="en-PH"/>
        </w:rPr>
      </w:pPr>
    </w:p>
    <w:p w14:paraId="72A110F5"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Chatigny, C. (2022). Occupational health and safety in initial vocational training: Reflection on the issues of prescription and integration in teaching and learning activities. Safety Science, 147, 105580. https://doi.org/10.1016/j.ssci.2021.105580</w:t>
      </w:r>
    </w:p>
    <w:p w14:paraId="281483D6" w14:textId="77777777" w:rsidR="008C7AEA" w:rsidRPr="004E247D" w:rsidRDefault="008C7AEA" w:rsidP="008C7AEA">
      <w:pPr>
        <w:jc w:val="both"/>
        <w:rPr>
          <w:color w:val="000000" w:themeColor="text1"/>
          <w:sz w:val="24"/>
          <w:szCs w:val="24"/>
          <w:lang w:val="en-PH"/>
        </w:rPr>
      </w:pPr>
    </w:p>
    <w:p w14:paraId="361273E5"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Conley, D. T. (2007). Redefining college readiness. Educational Policy Improvement Center.</w:t>
      </w:r>
    </w:p>
    <w:p w14:paraId="7CF4F925" w14:textId="77777777" w:rsidR="008C7AEA" w:rsidRPr="004E247D" w:rsidRDefault="008C7AEA" w:rsidP="008C7AEA">
      <w:pPr>
        <w:jc w:val="both"/>
        <w:rPr>
          <w:color w:val="000000" w:themeColor="text1"/>
          <w:sz w:val="24"/>
          <w:szCs w:val="24"/>
          <w:lang w:val="en-PH"/>
        </w:rPr>
      </w:pPr>
    </w:p>
    <w:p w14:paraId="5D07024A"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Djatmiko, R. D., &amp; Marwanto, A. (2024). Learning strategies in establishing students’ welding competency according to industrial standards. AIP Conference Proceedings, 3145(1), 030022. https://doi.org/10.1063/5.0217764</w:t>
      </w:r>
    </w:p>
    <w:p w14:paraId="70EFC8D7" w14:textId="77777777" w:rsidR="008C7AEA" w:rsidRPr="004E247D" w:rsidRDefault="008C7AEA" w:rsidP="008C7AEA">
      <w:pPr>
        <w:jc w:val="both"/>
        <w:rPr>
          <w:color w:val="000000" w:themeColor="text1"/>
          <w:sz w:val="24"/>
          <w:szCs w:val="24"/>
          <w:lang w:val="en-PH"/>
        </w:rPr>
      </w:pPr>
    </w:p>
    <w:p w14:paraId="39F8D8E4"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Gheyssens, E., Coubergs, C., Griful-Freixenet, J., Engels, N., &amp; Struyven, K. (2022). Differentiated instruction: The diversity of teachers’ philosophy and praxis to adapt teaching to students’ interests, readiness and learning profiles. International Journal of Inclusive Education, 26(14), 1383–1400. https://doi.org/10.1080/13603116.2020.1812739</w:t>
      </w:r>
    </w:p>
    <w:p w14:paraId="1AA5752D" w14:textId="77777777" w:rsidR="008C7AEA" w:rsidRPr="004E247D" w:rsidRDefault="008C7AEA" w:rsidP="008C7AEA">
      <w:pPr>
        <w:jc w:val="both"/>
        <w:rPr>
          <w:color w:val="000000" w:themeColor="text1"/>
          <w:sz w:val="24"/>
          <w:szCs w:val="24"/>
          <w:lang w:val="en-PH"/>
        </w:rPr>
      </w:pPr>
    </w:p>
    <w:p w14:paraId="588D0AB9"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Goyibova, N., Muslimov, N., Sabirova, G., Kadirova, N., &amp; Samatova, B. (2025). Differentiation approach in education: Tailoring instruction for diverse learner needs. MethodsX, 14, 103163. https://doi.org/10.1016/j.mex.2025.103163</w:t>
      </w:r>
    </w:p>
    <w:p w14:paraId="35E15112" w14:textId="77777777" w:rsidR="008C7AEA" w:rsidRPr="004E247D" w:rsidRDefault="008C7AEA" w:rsidP="008C7AEA">
      <w:pPr>
        <w:jc w:val="both"/>
        <w:rPr>
          <w:color w:val="000000" w:themeColor="text1"/>
          <w:sz w:val="24"/>
          <w:szCs w:val="24"/>
          <w:lang w:val="en-PH"/>
        </w:rPr>
      </w:pPr>
    </w:p>
    <w:p w14:paraId="1FEFEEAA"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Haelermans, C. (2022). The effects of group differentiation by students’ learning strategies. Instructional Science, 50(2), 223–250. https://doi.org/10.1007/s11251-021-09575-0</w:t>
      </w:r>
    </w:p>
    <w:p w14:paraId="52A3C267" w14:textId="77777777" w:rsidR="008C7AEA" w:rsidRPr="004E247D" w:rsidRDefault="008C7AEA" w:rsidP="008C7AEA">
      <w:pPr>
        <w:jc w:val="both"/>
        <w:rPr>
          <w:color w:val="000000" w:themeColor="text1"/>
          <w:sz w:val="24"/>
          <w:szCs w:val="24"/>
          <w:lang w:val="en-PH"/>
        </w:rPr>
      </w:pPr>
    </w:p>
    <w:p w14:paraId="6F65D0AB"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Hasanuddin, M. I., Zuhdiah, Z., Badaruddin, S., Setiawan, A., &amp; Kalsum, U. (2024). Enhancing students’ self-regulated learning through differentiated instruction based on prior knowledge. EDUKASIA: Jurnal Pendidikan dan Pembelajaran, 5(2), 179–188. https://doi.org/10.62775/edukasia.v5i2.1371</w:t>
      </w:r>
    </w:p>
    <w:p w14:paraId="30031580" w14:textId="77777777" w:rsidR="008C7AEA" w:rsidRPr="004E247D" w:rsidRDefault="008C7AEA" w:rsidP="008C7AEA">
      <w:pPr>
        <w:jc w:val="both"/>
        <w:rPr>
          <w:color w:val="000000" w:themeColor="text1"/>
          <w:sz w:val="24"/>
          <w:szCs w:val="24"/>
          <w:lang w:val="en-PH"/>
        </w:rPr>
      </w:pPr>
    </w:p>
    <w:p w14:paraId="015CA034"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 xml:space="preserve">Khatter, A., Thalaachawr, K., &amp; Blyth, M. (2024). Student engagement and fostering ownership of </w:t>
      </w:r>
      <w:r w:rsidRPr="004E247D">
        <w:rPr>
          <w:color w:val="000000" w:themeColor="text1"/>
          <w:sz w:val="24"/>
          <w:szCs w:val="24"/>
          <w:lang w:val="en-PH"/>
        </w:rPr>
        <w:lastRenderedPageBreak/>
        <w:t>learning. Journal of Applied Learning &amp; Teaching, 7(1), 291–302. https://doi.org/10.3316/informit.T2025091900007891326081625</w:t>
      </w:r>
    </w:p>
    <w:p w14:paraId="597A900E" w14:textId="77777777" w:rsidR="008C7AEA" w:rsidRPr="004E247D" w:rsidRDefault="008C7AEA" w:rsidP="008C7AEA">
      <w:pPr>
        <w:jc w:val="both"/>
        <w:rPr>
          <w:color w:val="000000" w:themeColor="text1"/>
          <w:sz w:val="24"/>
          <w:szCs w:val="24"/>
          <w:lang w:val="en-PH"/>
        </w:rPr>
      </w:pPr>
    </w:p>
    <w:p w14:paraId="4DF54686"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Perez, K. (2024). Influence of senior high school strand on the academic performance in college. https://doi.org/10.56738/issn29603986.geo2024.5.53</w:t>
      </w:r>
    </w:p>
    <w:p w14:paraId="559F5506" w14:textId="77777777" w:rsidR="008C7AEA" w:rsidRPr="004E247D" w:rsidRDefault="008C7AEA" w:rsidP="008C7AEA">
      <w:pPr>
        <w:jc w:val="both"/>
        <w:rPr>
          <w:color w:val="000000" w:themeColor="text1"/>
          <w:sz w:val="24"/>
          <w:szCs w:val="24"/>
          <w:lang w:val="en-PH"/>
        </w:rPr>
      </w:pPr>
    </w:p>
    <w:p w14:paraId="5C8DB8EB"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Qorib, M. (2024). Analysis of differentiated instruction as a learning solution in student diversity in inclusive and moderate education. International Journal Reglement &amp; Society, 5(1). https://doi.org/10.55357/ijrs.v5i1.452</w:t>
      </w:r>
    </w:p>
    <w:p w14:paraId="43FC053C" w14:textId="77777777" w:rsidR="008C7AEA" w:rsidRPr="004E247D" w:rsidRDefault="008C7AEA" w:rsidP="008C7AEA">
      <w:pPr>
        <w:jc w:val="both"/>
        <w:rPr>
          <w:color w:val="000000" w:themeColor="text1"/>
          <w:sz w:val="24"/>
          <w:szCs w:val="24"/>
          <w:lang w:val="en-PH"/>
        </w:rPr>
      </w:pPr>
    </w:p>
    <w:p w14:paraId="36619DEC"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Ramilo, J. P., &amp; Ting, M. S. (2025). Effectiveness of differentiated instruction, level of engagement and academic performance of students with diverse learning needs in an inclusive classroom. International Journal of Multidisciplinary Research and Growth Evaluation, 6(2), 1406–1415. https://doi.org/10.54660/IJMRGE.2025.6.2.1406-1415</w:t>
      </w:r>
    </w:p>
    <w:p w14:paraId="59F43961" w14:textId="77777777" w:rsidR="008C7AEA" w:rsidRPr="004E247D" w:rsidRDefault="008C7AEA" w:rsidP="008C7AEA">
      <w:pPr>
        <w:jc w:val="both"/>
        <w:rPr>
          <w:color w:val="000000" w:themeColor="text1"/>
          <w:sz w:val="24"/>
          <w:szCs w:val="24"/>
          <w:lang w:val="en-PH"/>
        </w:rPr>
      </w:pPr>
    </w:p>
    <w:p w14:paraId="094A257E"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Republic Act No. 7722. (1994). Higher Education Act of 1994. https://elibrary.judiciary.gov.ph/thebookshelf/showdocs/2/2333</w:t>
      </w:r>
    </w:p>
    <w:p w14:paraId="7C8D11C9" w14:textId="77777777" w:rsidR="008C7AEA" w:rsidRPr="004E247D" w:rsidRDefault="008C7AEA" w:rsidP="008C7AEA">
      <w:pPr>
        <w:jc w:val="both"/>
        <w:rPr>
          <w:color w:val="000000" w:themeColor="text1"/>
          <w:sz w:val="24"/>
          <w:szCs w:val="24"/>
          <w:lang w:val="en-PH"/>
        </w:rPr>
      </w:pPr>
    </w:p>
    <w:p w14:paraId="4AF04301"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Republic Act No. 7796. (1994). Technical Education and Skills Development Act of 1994. https://issuances-library.senate.gov.ph/sites/default/files/2022-12/RA%207796.pdf</w:t>
      </w:r>
    </w:p>
    <w:p w14:paraId="7E476848" w14:textId="77777777" w:rsidR="008C7AEA" w:rsidRPr="004E247D" w:rsidRDefault="008C7AEA" w:rsidP="008C7AEA">
      <w:pPr>
        <w:jc w:val="both"/>
        <w:rPr>
          <w:color w:val="000000" w:themeColor="text1"/>
          <w:sz w:val="24"/>
          <w:szCs w:val="24"/>
          <w:lang w:val="en-PH"/>
        </w:rPr>
      </w:pPr>
    </w:p>
    <w:p w14:paraId="14789A14"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Republic Act No. 10533. (2013). Enhanced Basic Education Act of 2013. https://lawphil.net/statutes/repacts/ra2013/ra_10533_2013.html</w:t>
      </w:r>
    </w:p>
    <w:p w14:paraId="71BBB7EC" w14:textId="77777777" w:rsidR="008C7AEA" w:rsidRPr="004E247D" w:rsidRDefault="008C7AEA" w:rsidP="008C7AEA">
      <w:pPr>
        <w:jc w:val="both"/>
        <w:rPr>
          <w:color w:val="000000" w:themeColor="text1"/>
          <w:sz w:val="24"/>
          <w:szCs w:val="24"/>
          <w:lang w:val="en-PH"/>
        </w:rPr>
      </w:pPr>
    </w:p>
    <w:p w14:paraId="498BBD96"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Sankaran, S., &amp; Low, S. F. (2025). Effectiveness of feedback on continuous assessment: Students’ views. Asian Journal of Assessment in Teaching and Learning, 15(1), 49–62. https://doi.org/10.37134/ajatel.vol15.1.4.2025</w:t>
      </w:r>
    </w:p>
    <w:p w14:paraId="10F51037" w14:textId="77777777" w:rsidR="008C7AEA" w:rsidRPr="004E247D" w:rsidRDefault="008C7AEA" w:rsidP="008C7AEA">
      <w:pPr>
        <w:jc w:val="both"/>
        <w:rPr>
          <w:color w:val="000000" w:themeColor="text1"/>
          <w:sz w:val="24"/>
          <w:szCs w:val="24"/>
          <w:lang w:val="en-PH"/>
        </w:rPr>
      </w:pPr>
    </w:p>
    <w:p w14:paraId="247BD6F6"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Siregar, R. S. (2024). Students’ preferences for varied learning methods: An empirical study of instructional approaches. Jurnal Profesi Guru Indonesia, 1(2), 140–152. https://doi.org/10.62945/jpgi.v1i2.679</w:t>
      </w:r>
    </w:p>
    <w:p w14:paraId="3DF2720F" w14:textId="77777777" w:rsidR="008C7AEA" w:rsidRPr="004E247D" w:rsidRDefault="008C7AEA" w:rsidP="008C7AEA">
      <w:pPr>
        <w:jc w:val="both"/>
        <w:rPr>
          <w:color w:val="000000" w:themeColor="text1"/>
          <w:sz w:val="24"/>
          <w:szCs w:val="24"/>
          <w:lang w:val="en-PH"/>
        </w:rPr>
      </w:pPr>
    </w:p>
    <w:p w14:paraId="190E895C"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Sitorus, P., Simanullang, E. N., Manalu, A., Laia, I. S. A., Tumanggor, R. M., &amp; Nainggolan, J. (2022). The effect of differentiation learning strategies on student learning results. Jurnal Penelitian Pendidikan IPA.</w:t>
      </w:r>
    </w:p>
    <w:p w14:paraId="5DB85514" w14:textId="77777777" w:rsidR="008C7AEA" w:rsidRPr="004E247D" w:rsidRDefault="008C7AEA" w:rsidP="008C7AEA">
      <w:pPr>
        <w:jc w:val="both"/>
        <w:rPr>
          <w:color w:val="000000" w:themeColor="text1"/>
          <w:sz w:val="24"/>
          <w:szCs w:val="24"/>
          <w:lang w:val="en-PH"/>
        </w:rPr>
      </w:pPr>
    </w:p>
    <w:p w14:paraId="03A4C520" w14:textId="77777777" w:rsidR="008C7AEA"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Suprayogi, M. N., &amp; Suwarno. (2024). Bridging gaps in learning: Trends of differentiated instruction in higher education. Proceedings of the International Conference on Business and Industrial Research, 1–6. https://doi.org/10.1109/ICBIR61386.2024.10875687</w:t>
      </w:r>
    </w:p>
    <w:p w14:paraId="632AFC78" w14:textId="77777777" w:rsidR="008C7AEA" w:rsidRPr="004E247D" w:rsidRDefault="008C7AEA" w:rsidP="008C7AEA">
      <w:pPr>
        <w:jc w:val="both"/>
        <w:rPr>
          <w:color w:val="000000" w:themeColor="text1"/>
          <w:sz w:val="24"/>
          <w:szCs w:val="24"/>
          <w:lang w:val="en-PH"/>
        </w:rPr>
      </w:pPr>
    </w:p>
    <w:p w14:paraId="48D2DC0B" w14:textId="03246901" w:rsidR="00BB7EF0" w:rsidRPr="004E247D" w:rsidRDefault="008C7AEA" w:rsidP="008C7AEA">
      <w:pPr>
        <w:pStyle w:val="ListParagraph"/>
        <w:numPr>
          <w:ilvl w:val="0"/>
          <w:numId w:val="15"/>
        </w:numPr>
        <w:jc w:val="both"/>
        <w:rPr>
          <w:color w:val="000000" w:themeColor="text1"/>
          <w:sz w:val="24"/>
          <w:szCs w:val="24"/>
          <w:lang w:val="en-PH"/>
        </w:rPr>
      </w:pPr>
      <w:r w:rsidRPr="004E247D">
        <w:rPr>
          <w:color w:val="000000" w:themeColor="text1"/>
          <w:sz w:val="24"/>
          <w:szCs w:val="24"/>
          <w:lang w:val="en-PH"/>
        </w:rPr>
        <w:t>Tomlinson, C. A. (2017). How to differentiate instruction in academically diverse classrooms (2nd ed.). ASCD.</w:t>
      </w:r>
    </w:p>
    <w:sectPr w:rsidR="00BB7EF0" w:rsidRPr="004E247D" w:rsidSect="00C75D95">
      <w:footerReference w:type="default" r:id="rId8"/>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979C" w14:textId="77777777" w:rsidR="006A308A" w:rsidRDefault="006A308A">
      <w:r>
        <w:separator/>
      </w:r>
    </w:p>
  </w:endnote>
  <w:endnote w:type="continuationSeparator" w:id="0">
    <w:p w14:paraId="3F8C93B0" w14:textId="77777777" w:rsidR="006A308A" w:rsidRDefault="006A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2A99" w14:textId="6DCD3B24" w:rsidR="007B5BC4" w:rsidRDefault="007B5B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4D66" w14:textId="77777777" w:rsidR="006A308A" w:rsidRDefault="006A308A">
      <w:r>
        <w:separator/>
      </w:r>
    </w:p>
  </w:footnote>
  <w:footnote w:type="continuationSeparator" w:id="0">
    <w:p w14:paraId="6805C236" w14:textId="77777777" w:rsidR="006A308A" w:rsidRDefault="006A3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84A"/>
    <w:multiLevelType w:val="hybridMultilevel"/>
    <w:tmpl w:val="3A72A5E4"/>
    <w:lvl w:ilvl="0" w:tplc="929A86D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68D03E">
      <w:numFmt w:val="bullet"/>
      <w:lvlText w:val="•"/>
      <w:lvlJc w:val="left"/>
      <w:pPr>
        <w:ind w:left="2124" w:hanging="361"/>
      </w:pPr>
      <w:rPr>
        <w:rFonts w:hint="default"/>
        <w:lang w:val="en-US" w:eastAsia="en-US" w:bidi="ar-SA"/>
      </w:rPr>
    </w:lvl>
    <w:lvl w:ilvl="2" w:tplc="801E7BE4">
      <w:numFmt w:val="bullet"/>
      <w:lvlText w:val="•"/>
      <w:lvlJc w:val="left"/>
      <w:pPr>
        <w:ind w:left="3168" w:hanging="361"/>
      </w:pPr>
      <w:rPr>
        <w:rFonts w:hint="default"/>
        <w:lang w:val="en-US" w:eastAsia="en-US" w:bidi="ar-SA"/>
      </w:rPr>
    </w:lvl>
    <w:lvl w:ilvl="3" w:tplc="63784976">
      <w:numFmt w:val="bullet"/>
      <w:lvlText w:val="•"/>
      <w:lvlJc w:val="left"/>
      <w:pPr>
        <w:ind w:left="4212" w:hanging="361"/>
      </w:pPr>
      <w:rPr>
        <w:rFonts w:hint="default"/>
        <w:lang w:val="en-US" w:eastAsia="en-US" w:bidi="ar-SA"/>
      </w:rPr>
    </w:lvl>
    <w:lvl w:ilvl="4" w:tplc="8194AAE8">
      <w:numFmt w:val="bullet"/>
      <w:lvlText w:val="•"/>
      <w:lvlJc w:val="left"/>
      <w:pPr>
        <w:ind w:left="5256" w:hanging="361"/>
      </w:pPr>
      <w:rPr>
        <w:rFonts w:hint="default"/>
        <w:lang w:val="en-US" w:eastAsia="en-US" w:bidi="ar-SA"/>
      </w:rPr>
    </w:lvl>
    <w:lvl w:ilvl="5" w:tplc="30F47E2A">
      <w:numFmt w:val="bullet"/>
      <w:lvlText w:val="•"/>
      <w:lvlJc w:val="left"/>
      <w:pPr>
        <w:ind w:left="6300" w:hanging="361"/>
      </w:pPr>
      <w:rPr>
        <w:rFonts w:hint="default"/>
        <w:lang w:val="en-US" w:eastAsia="en-US" w:bidi="ar-SA"/>
      </w:rPr>
    </w:lvl>
    <w:lvl w:ilvl="6" w:tplc="B5109436">
      <w:numFmt w:val="bullet"/>
      <w:lvlText w:val="•"/>
      <w:lvlJc w:val="left"/>
      <w:pPr>
        <w:ind w:left="7344" w:hanging="361"/>
      </w:pPr>
      <w:rPr>
        <w:rFonts w:hint="default"/>
        <w:lang w:val="en-US" w:eastAsia="en-US" w:bidi="ar-SA"/>
      </w:rPr>
    </w:lvl>
    <w:lvl w:ilvl="7" w:tplc="46DAAB2C">
      <w:numFmt w:val="bullet"/>
      <w:lvlText w:val="•"/>
      <w:lvlJc w:val="left"/>
      <w:pPr>
        <w:ind w:left="8388" w:hanging="361"/>
      </w:pPr>
      <w:rPr>
        <w:rFonts w:hint="default"/>
        <w:lang w:val="en-US" w:eastAsia="en-US" w:bidi="ar-SA"/>
      </w:rPr>
    </w:lvl>
    <w:lvl w:ilvl="8" w:tplc="64220A64">
      <w:numFmt w:val="bullet"/>
      <w:lvlText w:val="•"/>
      <w:lvlJc w:val="left"/>
      <w:pPr>
        <w:ind w:left="9432" w:hanging="361"/>
      </w:pPr>
      <w:rPr>
        <w:rFonts w:hint="default"/>
        <w:lang w:val="en-US" w:eastAsia="en-US" w:bidi="ar-SA"/>
      </w:rPr>
    </w:lvl>
  </w:abstractNum>
  <w:abstractNum w:abstractNumId="1" w15:restartNumberingAfterBreak="0">
    <w:nsid w:val="15A6298D"/>
    <w:multiLevelType w:val="hybridMultilevel"/>
    <w:tmpl w:val="80107758"/>
    <w:lvl w:ilvl="0" w:tplc="CCB60624">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14602CEC">
      <w:numFmt w:val="bullet"/>
      <w:lvlText w:val="•"/>
      <w:lvlJc w:val="left"/>
      <w:pPr>
        <w:ind w:left="2124" w:hanging="361"/>
      </w:pPr>
      <w:rPr>
        <w:rFonts w:hint="default"/>
        <w:lang w:val="en-US" w:eastAsia="en-US" w:bidi="ar-SA"/>
      </w:rPr>
    </w:lvl>
    <w:lvl w:ilvl="2" w:tplc="E4F2B1F8">
      <w:numFmt w:val="bullet"/>
      <w:lvlText w:val="•"/>
      <w:lvlJc w:val="left"/>
      <w:pPr>
        <w:ind w:left="3168" w:hanging="361"/>
      </w:pPr>
      <w:rPr>
        <w:rFonts w:hint="default"/>
        <w:lang w:val="en-US" w:eastAsia="en-US" w:bidi="ar-SA"/>
      </w:rPr>
    </w:lvl>
    <w:lvl w:ilvl="3" w:tplc="179AB9F8">
      <w:numFmt w:val="bullet"/>
      <w:lvlText w:val="•"/>
      <w:lvlJc w:val="left"/>
      <w:pPr>
        <w:ind w:left="4212" w:hanging="361"/>
      </w:pPr>
      <w:rPr>
        <w:rFonts w:hint="default"/>
        <w:lang w:val="en-US" w:eastAsia="en-US" w:bidi="ar-SA"/>
      </w:rPr>
    </w:lvl>
    <w:lvl w:ilvl="4" w:tplc="D55246E8">
      <w:numFmt w:val="bullet"/>
      <w:lvlText w:val="•"/>
      <w:lvlJc w:val="left"/>
      <w:pPr>
        <w:ind w:left="5256" w:hanging="361"/>
      </w:pPr>
      <w:rPr>
        <w:rFonts w:hint="default"/>
        <w:lang w:val="en-US" w:eastAsia="en-US" w:bidi="ar-SA"/>
      </w:rPr>
    </w:lvl>
    <w:lvl w:ilvl="5" w:tplc="A976A818">
      <w:numFmt w:val="bullet"/>
      <w:lvlText w:val="•"/>
      <w:lvlJc w:val="left"/>
      <w:pPr>
        <w:ind w:left="6300" w:hanging="361"/>
      </w:pPr>
      <w:rPr>
        <w:rFonts w:hint="default"/>
        <w:lang w:val="en-US" w:eastAsia="en-US" w:bidi="ar-SA"/>
      </w:rPr>
    </w:lvl>
    <w:lvl w:ilvl="6" w:tplc="333850D4">
      <w:numFmt w:val="bullet"/>
      <w:lvlText w:val="•"/>
      <w:lvlJc w:val="left"/>
      <w:pPr>
        <w:ind w:left="7344" w:hanging="361"/>
      </w:pPr>
      <w:rPr>
        <w:rFonts w:hint="default"/>
        <w:lang w:val="en-US" w:eastAsia="en-US" w:bidi="ar-SA"/>
      </w:rPr>
    </w:lvl>
    <w:lvl w:ilvl="7" w:tplc="67326C5A">
      <w:numFmt w:val="bullet"/>
      <w:lvlText w:val="•"/>
      <w:lvlJc w:val="left"/>
      <w:pPr>
        <w:ind w:left="8388" w:hanging="361"/>
      </w:pPr>
      <w:rPr>
        <w:rFonts w:hint="default"/>
        <w:lang w:val="en-US" w:eastAsia="en-US" w:bidi="ar-SA"/>
      </w:rPr>
    </w:lvl>
    <w:lvl w:ilvl="8" w:tplc="3F3086A6">
      <w:numFmt w:val="bullet"/>
      <w:lvlText w:val="•"/>
      <w:lvlJc w:val="left"/>
      <w:pPr>
        <w:ind w:left="9432" w:hanging="361"/>
      </w:pPr>
      <w:rPr>
        <w:rFonts w:hint="default"/>
        <w:lang w:val="en-US" w:eastAsia="en-US" w:bidi="ar-SA"/>
      </w:rPr>
    </w:lvl>
  </w:abstractNum>
  <w:abstractNum w:abstractNumId="2" w15:restartNumberingAfterBreak="0">
    <w:nsid w:val="1BF302D3"/>
    <w:multiLevelType w:val="hybridMultilevel"/>
    <w:tmpl w:val="F1A632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3D71CDD"/>
    <w:multiLevelType w:val="hybridMultilevel"/>
    <w:tmpl w:val="24948EC8"/>
    <w:lvl w:ilvl="0" w:tplc="3564BEFA">
      <w:start w:val="1"/>
      <w:numFmt w:val="decimal"/>
      <w:lvlText w:val="%1."/>
      <w:lvlJc w:val="left"/>
      <w:pPr>
        <w:ind w:left="540" w:hanging="181"/>
      </w:pPr>
      <w:rPr>
        <w:rFonts w:hint="default"/>
        <w:spacing w:val="-1"/>
        <w:w w:val="88"/>
        <w:lang w:val="en-US" w:eastAsia="en-US" w:bidi="ar-SA"/>
      </w:rPr>
    </w:lvl>
    <w:lvl w:ilvl="1" w:tplc="08609934">
      <w:numFmt w:val="bullet"/>
      <w:lvlText w:val="•"/>
      <w:lvlJc w:val="left"/>
      <w:pPr>
        <w:ind w:left="1638" w:hanging="181"/>
      </w:pPr>
      <w:rPr>
        <w:rFonts w:hint="default"/>
        <w:lang w:val="en-US" w:eastAsia="en-US" w:bidi="ar-SA"/>
      </w:rPr>
    </w:lvl>
    <w:lvl w:ilvl="2" w:tplc="CFFCB2A6">
      <w:numFmt w:val="bullet"/>
      <w:lvlText w:val="•"/>
      <w:lvlJc w:val="left"/>
      <w:pPr>
        <w:ind w:left="2736" w:hanging="181"/>
      </w:pPr>
      <w:rPr>
        <w:rFonts w:hint="default"/>
        <w:lang w:val="en-US" w:eastAsia="en-US" w:bidi="ar-SA"/>
      </w:rPr>
    </w:lvl>
    <w:lvl w:ilvl="3" w:tplc="063C76A2">
      <w:numFmt w:val="bullet"/>
      <w:lvlText w:val="•"/>
      <w:lvlJc w:val="left"/>
      <w:pPr>
        <w:ind w:left="3834" w:hanging="181"/>
      </w:pPr>
      <w:rPr>
        <w:rFonts w:hint="default"/>
        <w:lang w:val="en-US" w:eastAsia="en-US" w:bidi="ar-SA"/>
      </w:rPr>
    </w:lvl>
    <w:lvl w:ilvl="4" w:tplc="C09EDFA8">
      <w:numFmt w:val="bullet"/>
      <w:lvlText w:val="•"/>
      <w:lvlJc w:val="left"/>
      <w:pPr>
        <w:ind w:left="4932" w:hanging="181"/>
      </w:pPr>
      <w:rPr>
        <w:rFonts w:hint="default"/>
        <w:lang w:val="en-US" w:eastAsia="en-US" w:bidi="ar-SA"/>
      </w:rPr>
    </w:lvl>
    <w:lvl w:ilvl="5" w:tplc="F3D86C40">
      <w:numFmt w:val="bullet"/>
      <w:lvlText w:val="•"/>
      <w:lvlJc w:val="left"/>
      <w:pPr>
        <w:ind w:left="6030" w:hanging="181"/>
      </w:pPr>
      <w:rPr>
        <w:rFonts w:hint="default"/>
        <w:lang w:val="en-US" w:eastAsia="en-US" w:bidi="ar-SA"/>
      </w:rPr>
    </w:lvl>
    <w:lvl w:ilvl="6" w:tplc="6B808C52">
      <w:numFmt w:val="bullet"/>
      <w:lvlText w:val="•"/>
      <w:lvlJc w:val="left"/>
      <w:pPr>
        <w:ind w:left="7128" w:hanging="181"/>
      </w:pPr>
      <w:rPr>
        <w:rFonts w:hint="default"/>
        <w:lang w:val="en-US" w:eastAsia="en-US" w:bidi="ar-SA"/>
      </w:rPr>
    </w:lvl>
    <w:lvl w:ilvl="7" w:tplc="AC445EB8">
      <w:numFmt w:val="bullet"/>
      <w:lvlText w:val="•"/>
      <w:lvlJc w:val="left"/>
      <w:pPr>
        <w:ind w:left="8226" w:hanging="181"/>
      </w:pPr>
      <w:rPr>
        <w:rFonts w:hint="default"/>
        <w:lang w:val="en-US" w:eastAsia="en-US" w:bidi="ar-SA"/>
      </w:rPr>
    </w:lvl>
    <w:lvl w:ilvl="8" w:tplc="51905E5C">
      <w:numFmt w:val="bullet"/>
      <w:lvlText w:val="•"/>
      <w:lvlJc w:val="left"/>
      <w:pPr>
        <w:ind w:left="9324" w:hanging="181"/>
      </w:pPr>
      <w:rPr>
        <w:rFonts w:hint="default"/>
        <w:lang w:val="en-US" w:eastAsia="en-US" w:bidi="ar-SA"/>
      </w:rPr>
    </w:lvl>
  </w:abstractNum>
  <w:abstractNum w:abstractNumId="4" w15:restartNumberingAfterBreak="0">
    <w:nsid w:val="2F451918"/>
    <w:multiLevelType w:val="hybridMultilevel"/>
    <w:tmpl w:val="E0EC772C"/>
    <w:lvl w:ilvl="0" w:tplc="34D05C70">
      <w:start w:val="1"/>
      <w:numFmt w:val="decimal"/>
      <w:lvlText w:val="%1."/>
      <w:lvlJc w:val="left"/>
      <w:pPr>
        <w:ind w:left="540" w:hanging="181"/>
      </w:pPr>
      <w:rPr>
        <w:rFonts w:hint="default"/>
        <w:spacing w:val="-1"/>
        <w:w w:val="88"/>
        <w:lang w:val="en-US" w:eastAsia="en-US" w:bidi="ar-SA"/>
      </w:rPr>
    </w:lvl>
    <w:lvl w:ilvl="1" w:tplc="C734B60C">
      <w:numFmt w:val="bullet"/>
      <w:lvlText w:val=""/>
      <w:lvlJc w:val="left"/>
      <w:pPr>
        <w:ind w:left="643" w:hanging="360"/>
      </w:pPr>
      <w:rPr>
        <w:rFonts w:ascii="Wingdings" w:eastAsia="Wingdings" w:hAnsi="Wingdings" w:cs="Wingdings" w:hint="default"/>
        <w:spacing w:val="0"/>
        <w:w w:val="99"/>
        <w:lang w:val="en-US" w:eastAsia="en-US" w:bidi="ar-SA"/>
      </w:rPr>
    </w:lvl>
    <w:lvl w:ilvl="2" w:tplc="A13873E0">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FA3C7DD0">
      <w:numFmt w:val="bullet"/>
      <w:lvlText w:val="•"/>
      <w:lvlJc w:val="left"/>
      <w:pPr>
        <w:ind w:left="2385" w:hanging="361"/>
      </w:pPr>
      <w:rPr>
        <w:rFonts w:hint="default"/>
        <w:lang w:val="en-US" w:eastAsia="en-US" w:bidi="ar-SA"/>
      </w:rPr>
    </w:lvl>
    <w:lvl w:ilvl="4" w:tplc="184A4D0E">
      <w:numFmt w:val="bullet"/>
      <w:lvlText w:val="•"/>
      <w:lvlJc w:val="left"/>
      <w:pPr>
        <w:ind w:left="3690" w:hanging="361"/>
      </w:pPr>
      <w:rPr>
        <w:rFonts w:hint="default"/>
        <w:lang w:val="en-US" w:eastAsia="en-US" w:bidi="ar-SA"/>
      </w:rPr>
    </w:lvl>
    <w:lvl w:ilvl="5" w:tplc="9510F2BC">
      <w:numFmt w:val="bullet"/>
      <w:lvlText w:val="•"/>
      <w:lvlJc w:val="left"/>
      <w:pPr>
        <w:ind w:left="4995" w:hanging="361"/>
      </w:pPr>
      <w:rPr>
        <w:rFonts w:hint="default"/>
        <w:lang w:val="en-US" w:eastAsia="en-US" w:bidi="ar-SA"/>
      </w:rPr>
    </w:lvl>
    <w:lvl w:ilvl="6" w:tplc="DAF2F102">
      <w:numFmt w:val="bullet"/>
      <w:lvlText w:val="•"/>
      <w:lvlJc w:val="left"/>
      <w:pPr>
        <w:ind w:left="6300" w:hanging="361"/>
      </w:pPr>
      <w:rPr>
        <w:rFonts w:hint="default"/>
        <w:lang w:val="en-US" w:eastAsia="en-US" w:bidi="ar-SA"/>
      </w:rPr>
    </w:lvl>
    <w:lvl w:ilvl="7" w:tplc="86C6E9FE">
      <w:numFmt w:val="bullet"/>
      <w:lvlText w:val="•"/>
      <w:lvlJc w:val="left"/>
      <w:pPr>
        <w:ind w:left="7605" w:hanging="361"/>
      </w:pPr>
      <w:rPr>
        <w:rFonts w:hint="default"/>
        <w:lang w:val="en-US" w:eastAsia="en-US" w:bidi="ar-SA"/>
      </w:rPr>
    </w:lvl>
    <w:lvl w:ilvl="8" w:tplc="4FEC94B0">
      <w:numFmt w:val="bullet"/>
      <w:lvlText w:val="•"/>
      <w:lvlJc w:val="left"/>
      <w:pPr>
        <w:ind w:left="8910" w:hanging="361"/>
      </w:pPr>
      <w:rPr>
        <w:rFonts w:hint="default"/>
        <w:lang w:val="en-US" w:eastAsia="en-US" w:bidi="ar-SA"/>
      </w:rPr>
    </w:lvl>
  </w:abstractNum>
  <w:abstractNum w:abstractNumId="5" w15:restartNumberingAfterBreak="0">
    <w:nsid w:val="341540F9"/>
    <w:multiLevelType w:val="hybridMultilevel"/>
    <w:tmpl w:val="77E4F692"/>
    <w:lvl w:ilvl="0" w:tplc="E28CD36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C8A88AFA">
      <w:numFmt w:val="bullet"/>
      <w:lvlText w:val="•"/>
      <w:lvlJc w:val="left"/>
      <w:pPr>
        <w:ind w:left="1728" w:hanging="360"/>
      </w:pPr>
      <w:rPr>
        <w:rFonts w:hint="default"/>
        <w:lang w:val="en-US" w:eastAsia="en-US" w:bidi="ar-SA"/>
      </w:rPr>
    </w:lvl>
    <w:lvl w:ilvl="2" w:tplc="3802FC50">
      <w:numFmt w:val="bullet"/>
      <w:lvlText w:val="•"/>
      <w:lvlJc w:val="left"/>
      <w:pPr>
        <w:ind w:left="2816" w:hanging="360"/>
      </w:pPr>
      <w:rPr>
        <w:rFonts w:hint="default"/>
        <w:lang w:val="en-US" w:eastAsia="en-US" w:bidi="ar-SA"/>
      </w:rPr>
    </w:lvl>
    <w:lvl w:ilvl="3" w:tplc="0B9E0158">
      <w:numFmt w:val="bullet"/>
      <w:lvlText w:val="•"/>
      <w:lvlJc w:val="left"/>
      <w:pPr>
        <w:ind w:left="3904" w:hanging="360"/>
      </w:pPr>
      <w:rPr>
        <w:rFonts w:hint="default"/>
        <w:lang w:val="en-US" w:eastAsia="en-US" w:bidi="ar-SA"/>
      </w:rPr>
    </w:lvl>
    <w:lvl w:ilvl="4" w:tplc="EF7E41DE">
      <w:numFmt w:val="bullet"/>
      <w:lvlText w:val="•"/>
      <w:lvlJc w:val="left"/>
      <w:pPr>
        <w:ind w:left="4992" w:hanging="360"/>
      </w:pPr>
      <w:rPr>
        <w:rFonts w:hint="default"/>
        <w:lang w:val="en-US" w:eastAsia="en-US" w:bidi="ar-SA"/>
      </w:rPr>
    </w:lvl>
    <w:lvl w:ilvl="5" w:tplc="661EE48E">
      <w:numFmt w:val="bullet"/>
      <w:lvlText w:val="•"/>
      <w:lvlJc w:val="left"/>
      <w:pPr>
        <w:ind w:left="6080" w:hanging="360"/>
      </w:pPr>
      <w:rPr>
        <w:rFonts w:hint="default"/>
        <w:lang w:val="en-US" w:eastAsia="en-US" w:bidi="ar-SA"/>
      </w:rPr>
    </w:lvl>
    <w:lvl w:ilvl="6" w:tplc="A9D4A1B8">
      <w:numFmt w:val="bullet"/>
      <w:lvlText w:val="•"/>
      <w:lvlJc w:val="left"/>
      <w:pPr>
        <w:ind w:left="7168" w:hanging="360"/>
      </w:pPr>
      <w:rPr>
        <w:rFonts w:hint="default"/>
        <w:lang w:val="en-US" w:eastAsia="en-US" w:bidi="ar-SA"/>
      </w:rPr>
    </w:lvl>
    <w:lvl w:ilvl="7" w:tplc="8F74C6D0">
      <w:numFmt w:val="bullet"/>
      <w:lvlText w:val="•"/>
      <w:lvlJc w:val="left"/>
      <w:pPr>
        <w:ind w:left="8256" w:hanging="360"/>
      </w:pPr>
      <w:rPr>
        <w:rFonts w:hint="default"/>
        <w:lang w:val="en-US" w:eastAsia="en-US" w:bidi="ar-SA"/>
      </w:rPr>
    </w:lvl>
    <w:lvl w:ilvl="8" w:tplc="9CFA9EAE">
      <w:numFmt w:val="bullet"/>
      <w:lvlText w:val="•"/>
      <w:lvlJc w:val="left"/>
      <w:pPr>
        <w:ind w:left="9344" w:hanging="360"/>
      </w:pPr>
      <w:rPr>
        <w:rFonts w:hint="default"/>
        <w:lang w:val="en-US" w:eastAsia="en-US" w:bidi="ar-SA"/>
      </w:rPr>
    </w:lvl>
  </w:abstractNum>
  <w:abstractNum w:abstractNumId="6" w15:restartNumberingAfterBreak="0">
    <w:nsid w:val="388E6CA1"/>
    <w:multiLevelType w:val="hybridMultilevel"/>
    <w:tmpl w:val="3FAE66BC"/>
    <w:lvl w:ilvl="0" w:tplc="C33C91A2">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9B604B6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44806B04">
      <w:numFmt w:val="bullet"/>
      <w:lvlText w:val="•"/>
      <w:lvlJc w:val="left"/>
      <w:pPr>
        <w:ind w:left="2613" w:hanging="360"/>
      </w:pPr>
      <w:rPr>
        <w:rFonts w:hint="default"/>
        <w:lang w:val="en-US" w:eastAsia="en-US" w:bidi="ar-SA"/>
      </w:rPr>
    </w:lvl>
    <w:lvl w:ilvl="3" w:tplc="E1D41302">
      <w:numFmt w:val="bullet"/>
      <w:lvlText w:val="•"/>
      <w:lvlJc w:val="left"/>
      <w:pPr>
        <w:ind w:left="3726" w:hanging="360"/>
      </w:pPr>
      <w:rPr>
        <w:rFonts w:hint="default"/>
        <w:lang w:val="en-US" w:eastAsia="en-US" w:bidi="ar-SA"/>
      </w:rPr>
    </w:lvl>
    <w:lvl w:ilvl="4" w:tplc="A2482FB0">
      <w:numFmt w:val="bullet"/>
      <w:lvlText w:val="•"/>
      <w:lvlJc w:val="left"/>
      <w:pPr>
        <w:ind w:left="4840" w:hanging="360"/>
      </w:pPr>
      <w:rPr>
        <w:rFonts w:hint="default"/>
        <w:lang w:val="en-US" w:eastAsia="en-US" w:bidi="ar-SA"/>
      </w:rPr>
    </w:lvl>
    <w:lvl w:ilvl="5" w:tplc="012C7786">
      <w:numFmt w:val="bullet"/>
      <w:lvlText w:val="•"/>
      <w:lvlJc w:val="left"/>
      <w:pPr>
        <w:ind w:left="5953" w:hanging="360"/>
      </w:pPr>
      <w:rPr>
        <w:rFonts w:hint="default"/>
        <w:lang w:val="en-US" w:eastAsia="en-US" w:bidi="ar-SA"/>
      </w:rPr>
    </w:lvl>
    <w:lvl w:ilvl="6" w:tplc="E11455C8">
      <w:numFmt w:val="bullet"/>
      <w:lvlText w:val="•"/>
      <w:lvlJc w:val="left"/>
      <w:pPr>
        <w:ind w:left="7066" w:hanging="360"/>
      </w:pPr>
      <w:rPr>
        <w:rFonts w:hint="default"/>
        <w:lang w:val="en-US" w:eastAsia="en-US" w:bidi="ar-SA"/>
      </w:rPr>
    </w:lvl>
    <w:lvl w:ilvl="7" w:tplc="3182CFE8">
      <w:numFmt w:val="bullet"/>
      <w:lvlText w:val="•"/>
      <w:lvlJc w:val="left"/>
      <w:pPr>
        <w:ind w:left="8180" w:hanging="360"/>
      </w:pPr>
      <w:rPr>
        <w:rFonts w:hint="default"/>
        <w:lang w:val="en-US" w:eastAsia="en-US" w:bidi="ar-SA"/>
      </w:rPr>
    </w:lvl>
    <w:lvl w:ilvl="8" w:tplc="9EC2EF58">
      <w:numFmt w:val="bullet"/>
      <w:lvlText w:val="•"/>
      <w:lvlJc w:val="left"/>
      <w:pPr>
        <w:ind w:left="9293" w:hanging="360"/>
      </w:pPr>
      <w:rPr>
        <w:rFonts w:hint="default"/>
        <w:lang w:val="en-US" w:eastAsia="en-US" w:bidi="ar-SA"/>
      </w:rPr>
    </w:lvl>
  </w:abstractNum>
  <w:abstractNum w:abstractNumId="7" w15:restartNumberingAfterBreak="0">
    <w:nsid w:val="3B4328F0"/>
    <w:multiLevelType w:val="hybridMultilevel"/>
    <w:tmpl w:val="5380DC80"/>
    <w:lvl w:ilvl="0" w:tplc="9300EE9E">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BCDAA77A">
      <w:numFmt w:val="bullet"/>
      <w:lvlText w:val="•"/>
      <w:lvlJc w:val="left"/>
      <w:pPr>
        <w:ind w:left="1638" w:hanging="181"/>
      </w:pPr>
      <w:rPr>
        <w:rFonts w:hint="default"/>
        <w:lang w:val="en-US" w:eastAsia="en-US" w:bidi="ar-SA"/>
      </w:rPr>
    </w:lvl>
    <w:lvl w:ilvl="2" w:tplc="89D887D4">
      <w:numFmt w:val="bullet"/>
      <w:lvlText w:val="•"/>
      <w:lvlJc w:val="left"/>
      <w:pPr>
        <w:ind w:left="2736" w:hanging="181"/>
      </w:pPr>
      <w:rPr>
        <w:rFonts w:hint="default"/>
        <w:lang w:val="en-US" w:eastAsia="en-US" w:bidi="ar-SA"/>
      </w:rPr>
    </w:lvl>
    <w:lvl w:ilvl="3" w:tplc="4FFE4C6E">
      <w:numFmt w:val="bullet"/>
      <w:lvlText w:val="•"/>
      <w:lvlJc w:val="left"/>
      <w:pPr>
        <w:ind w:left="3834" w:hanging="181"/>
      </w:pPr>
      <w:rPr>
        <w:rFonts w:hint="default"/>
        <w:lang w:val="en-US" w:eastAsia="en-US" w:bidi="ar-SA"/>
      </w:rPr>
    </w:lvl>
    <w:lvl w:ilvl="4" w:tplc="A30A4492">
      <w:numFmt w:val="bullet"/>
      <w:lvlText w:val="•"/>
      <w:lvlJc w:val="left"/>
      <w:pPr>
        <w:ind w:left="4932" w:hanging="181"/>
      </w:pPr>
      <w:rPr>
        <w:rFonts w:hint="default"/>
        <w:lang w:val="en-US" w:eastAsia="en-US" w:bidi="ar-SA"/>
      </w:rPr>
    </w:lvl>
    <w:lvl w:ilvl="5" w:tplc="205CCC0C">
      <w:numFmt w:val="bullet"/>
      <w:lvlText w:val="•"/>
      <w:lvlJc w:val="left"/>
      <w:pPr>
        <w:ind w:left="6030" w:hanging="181"/>
      </w:pPr>
      <w:rPr>
        <w:rFonts w:hint="default"/>
        <w:lang w:val="en-US" w:eastAsia="en-US" w:bidi="ar-SA"/>
      </w:rPr>
    </w:lvl>
    <w:lvl w:ilvl="6" w:tplc="847035A6">
      <w:numFmt w:val="bullet"/>
      <w:lvlText w:val="•"/>
      <w:lvlJc w:val="left"/>
      <w:pPr>
        <w:ind w:left="7128" w:hanging="181"/>
      </w:pPr>
      <w:rPr>
        <w:rFonts w:hint="default"/>
        <w:lang w:val="en-US" w:eastAsia="en-US" w:bidi="ar-SA"/>
      </w:rPr>
    </w:lvl>
    <w:lvl w:ilvl="7" w:tplc="6FB85554">
      <w:numFmt w:val="bullet"/>
      <w:lvlText w:val="•"/>
      <w:lvlJc w:val="left"/>
      <w:pPr>
        <w:ind w:left="8226" w:hanging="181"/>
      </w:pPr>
      <w:rPr>
        <w:rFonts w:hint="default"/>
        <w:lang w:val="en-US" w:eastAsia="en-US" w:bidi="ar-SA"/>
      </w:rPr>
    </w:lvl>
    <w:lvl w:ilvl="8" w:tplc="CC44CE94">
      <w:numFmt w:val="bullet"/>
      <w:lvlText w:val="•"/>
      <w:lvlJc w:val="left"/>
      <w:pPr>
        <w:ind w:left="9324" w:hanging="181"/>
      </w:pPr>
      <w:rPr>
        <w:rFonts w:hint="default"/>
        <w:lang w:val="en-US" w:eastAsia="en-US" w:bidi="ar-SA"/>
      </w:rPr>
    </w:lvl>
  </w:abstractNum>
  <w:abstractNum w:abstractNumId="8" w15:restartNumberingAfterBreak="0">
    <w:nsid w:val="3D0474EF"/>
    <w:multiLevelType w:val="hybridMultilevel"/>
    <w:tmpl w:val="77241976"/>
    <w:lvl w:ilvl="0" w:tplc="1F9C2610">
      <w:start w:val="1"/>
      <w:numFmt w:val="decimal"/>
      <w:lvlText w:val="%1"/>
      <w:lvlJc w:val="left"/>
      <w:pPr>
        <w:ind w:left="1762" w:hanging="596"/>
        <w:jc w:val="right"/>
      </w:pPr>
      <w:rPr>
        <w:rFonts w:hint="default"/>
        <w:spacing w:val="0"/>
        <w:w w:val="100"/>
        <w:lang w:val="en-US" w:eastAsia="en-US" w:bidi="ar-SA"/>
      </w:rPr>
    </w:lvl>
    <w:lvl w:ilvl="1" w:tplc="776E4A3C">
      <w:numFmt w:val="bullet"/>
      <w:lvlText w:val="•"/>
      <w:lvlJc w:val="left"/>
      <w:pPr>
        <w:ind w:left="2736" w:hanging="596"/>
      </w:pPr>
      <w:rPr>
        <w:rFonts w:hint="default"/>
        <w:lang w:val="en-US" w:eastAsia="en-US" w:bidi="ar-SA"/>
      </w:rPr>
    </w:lvl>
    <w:lvl w:ilvl="2" w:tplc="361E863C">
      <w:numFmt w:val="bullet"/>
      <w:lvlText w:val="•"/>
      <w:lvlJc w:val="left"/>
      <w:pPr>
        <w:ind w:left="3712" w:hanging="596"/>
      </w:pPr>
      <w:rPr>
        <w:rFonts w:hint="default"/>
        <w:lang w:val="en-US" w:eastAsia="en-US" w:bidi="ar-SA"/>
      </w:rPr>
    </w:lvl>
    <w:lvl w:ilvl="3" w:tplc="34CCCC7A">
      <w:numFmt w:val="bullet"/>
      <w:lvlText w:val="•"/>
      <w:lvlJc w:val="left"/>
      <w:pPr>
        <w:ind w:left="4688" w:hanging="596"/>
      </w:pPr>
      <w:rPr>
        <w:rFonts w:hint="default"/>
        <w:lang w:val="en-US" w:eastAsia="en-US" w:bidi="ar-SA"/>
      </w:rPr>
    </w:lvl>
    <w:lvl w:ilvl="4" w:tplc="1ECE3654">
      <w:numFmt w:val="bullet"/>
      <w:lvlText w:val="•"/>
      <w:lvlJc w:val="left"/>
      <w:pPr>
        <w:ind w:left="5664" w:hanging="596"/>
      </w:pPr>
      <w:rPr>
        <w:rFonts w:hint="default"/>
        <w:lang w:val="en-US" w:eastAsia="en-US" w:bidi="ar-SA"/>
      </w:rPr>
    </w:lvl>
    <w:lvl w:ilvl="5" w:tplc="8A28ADDA">
      <w:numFmt w:val="bullet"/>
      <w:lvlText w:val="•"/>
      <w:lvlJc w:val="left"/>
      <w:pPr>
        <w:ind w:left="6640" w:hanging="596"/>
      </w:pPr>
      <w:rPr>
        <w:rFonts w:hint="default"/>
        <w:lang w:val="en-US" w:eastAsia="en-US" w:bidi="ar-SA"/>
      </w:rPr>
    </w:lvl>
    <w:lvl w:ilvl="6" w:tplc="EEAA9306">
      <w:numFmt w:val="bullet"/>
      <w:lvlText w:val="•"/>
      <w:lvlJc w:val="left"/>
      <w:pPr>
        <w:ind w:left="7616" w:hanging="596"/>
      </w:pPr>
      <w:rPr>
        <w:rFonts w:hint="default"/>
        <w:lang w:val="en-US" w:eastAsia="en-US" w:bidi="ar-SA"/>
      </w:rPr>
    </w:lvl>
    <w:lvl w:ilvl="7" w:tplc="F1668352">
      <w:numFmt w:val="bullet"/>
      <w:lvlText w:val="•"/>
      <w:lvlJc w:val="left"/>
      <w:pPr>
        <w:ind w:left="8592" w:hanging="596"/>
      </w:pPr>
      <w:rPr>
        <w:rFonts w:hint="default"/>
        <w:lang w:val="en-US" w:eastAsia="en-US" w:bidi="ar-SA"/>
      </w:rPr>
    </w:lvl>
    <w:lvl w:ilvl="8" w:tplc="78F245D6">
      <w:numFmt w:val="bullet"/>
      <w:lvlText w:val="•"/>
      <w:lvlJc w:val="left"/>
      <w:pPr>
        <w:ind w:left="9568" w:hanging="596"/>
      </w:pPr>
      <w:rPr>
        <w:rFonts w:hint="default"/>
        <w:lang w:val="en-US" w:eastAsia="en-US" w:bidi="ar-SA"/>
      </w:rPr>
    </w:lvl>
  </w:abstractNum>
  <w:abstractNum w:abstractNumId="9" w15:restartNumberingAfterBreak="0">
    <w:nsid w:val="4C773A7B"/>
    <w:multiLevelType w:val="hybridMultilevel"/>
    <w:tmpl w:val="65E43FB8"/>
    <w:lvl w:ilvl="0" w:tplc="096E2346">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99329852">
      <w:numFmt w:val="bullet"/>
      <w:lvlText w:val="•"/>
      <w:lvlJc w:val="left"/>
      <w:pPr>
        <w:ind w:left="2124" w:hanging="361"/>
      </w:pPr>
      <w:rPr>
        <w:rFonts w:hint="default"/>
        <w:lang w:val="en-US" w:eastAsia="en-US" w:bidi="ar-SA"/>
      </w:rPr>
    </w:lvl>
    <w:lvl w:ilvl="2" w:tplc="283CD7D2">
      <w:numFmt w:val="bullet"/>
      <w:lvlText w:val="•"/>
      <w:lvlJc w:val="left"/>
      <w:pPr>
        <w:ind w:left="3168" w:hanging="361"/>
      </w:pPr>
      <w:rPr>
        <w:rFonts w:hint="default"/>
        <w:lang w:val="en-US" w:eastAsia="en-US" w:bidi="ar-SA"/>
      </w:rPr>
    </w:lvl>
    <w:lvl w:ilvl="3" w:tplc="1020069C">
      <w:numFmt w:val="bullet"/>
      <w:lvlText w:val="•"/>
      <w:lvlJc w:val="left"/>
      <w:pPr>
        <w:ind w:left="4212" w:hanging="361"/>
      </w:pPr>
      <w:rPr>
        <w:rFonts w:hint="default"/>
        <w:lang w:val="en-US" w:eastAsia="en-US" w:bidi="ar-SA"/>
      </w:rPr>
    </w:lvl>
    <w:lvl w:ilvl="4" w:tplc="FF388CE6">
      <w:numFmt w:val="bullet"/>
      <w:lvlText w:val="•"/>
      <w:lvlJc w:val="left"/>
      <w:pPr>
        <w:ind w:left="5256" w:hanging="361"/>
      </w:pPr>
      <w:rPr>
        <w:rFonts w:hint="default"/>
        <w:lang w:val="en-US" w:eastAsia="en-US" w:bidi="ar-SA"/>
      </w:rPr>
    </w:lvl>
    <w:lvl w:ilvl="5" w:tplc="EBCE0394">
      <w:numFmt w:val="bullet"/>
      <w:lvlText w:val="•"/>
      <w:lvlJc w:val="left"/>
      <w:pPr>
        <w:ind w:left="6300" w:hanging="361"/>
      </w:pPr>
      <w:rPr>
        <w:rFonts w:hint="default"/>
        <w:lang w:val="en-US" w:eastAsia="en-US" w:bidi="ar-SA"/>
      </w:rPr>
    </w:lvl>
    <w:lvl w:ilvl="6" w:tplc="B0C02F16">
      <w:numFmt w:val="bullet"/>
      <w:lvlText w:val="•"/>
      <w:lvlJc w:val="left"/>
      <w:pPr>
        <w:ind w:left="7344" w:hanging="361"/>
      </w:pPr>
      <w:rPr>
        <w:rFonts w:hint="default"/>
        <w:lang w:val="en-US" w:eastAsia="en-US" w:bidi="ar-SA"/>
      </w:rPr>
    </w:lvl>
    <w:lvl w:ilvl="7" w:tplc="B498BDA2">
      <w:numFmt w:val="bullet"/>
      <w:lvlText w:val="•"/>
      <w:lvlJc w:val="left"/>
      <w:pPr>
        <w:ind w:left="8388" w:hanging="361"/>
      </w:pPr>
      <w:rPr>
        <w:rFonts w:hint="default"/>
        <w:lang w:val="en-US" w:eastAsia="en-US" w:bidi="ar-SA"/>
      </w:rPr>
    </w:lvl>
    <w:lvl w:ilvl="8" w:tplc="81DC65E8">
      <w:numFmt w:val="bullet"/>
      <w:lvlText w:val="•"/>
      <w:lvlJc w:val="left"/>
      <w:pPr>
        <w:ind w:left="9432" w:hanging="361"/>
      </w:pPr>
      <w:rPr>
        <w:rFonts w:hint="default"/>
        <w:lang w:val="en-US" w:eastAsia="en-US" w:bidi="ar-SA"/>
      </w:rPr>
    </w:lvl>
  </w:abstractNum>
  <w:abstractNum w:abstractNumId="10" w15:restartNumberingAfterBreak="0">
    <w:nsid w:val="52DB6080"/>
    <w:multiLevelType w:val="hybridMultilevel"/>
    <w:tmpl w:val="AA38927A"/>
    <w:lvl w:ilvl="0" w:tplc="B46C1728">
      <w:start w:val="1"/>
      <w:numFmt w:val="decimal"/>
      <w:lvlText w:val="%1."/>
      <w:lvlJc w:val="left"/>
      <w:pPr>
        <w:ind w:left="541" w:hanging="181"/>
      </w:pPr>
      <w:rPr>
        <w:rFonts w:hint="default"/>
        <w:spacing w:val="0"/>
        <w:w w:val="87"/>
        <w:lang w:val="en-US" w:eastAsia="en-US" w:bidi="ar-SA"/>
      </w:rPr>
    </w:lvl>
    <w:lvl w:ilvl="1" w:tplc="BA54B5EA">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E7E53EA">
      <w:numFmt w:val="bullet"/>
      <w:lvlText w:val="•"/>
      <w:lvlJc w:val="left"/>
      <w:pPr>
        <w:ind w:left="1920" w:hanging="360"/>
      </w:pPr>
      <w:rPr>
        <w:rFonts w:hint="default"/>
        <w:lang w:val="en-US" w:eastAsia="en-US" w:bidi="ar-SA"/>
      </w:rPr>
    </w:lvl>
    <w:lvl w:ilvl="3" w:tplc="B0BEFA7A">
      <w:numFmt w:val="bullet"/>
      <w:lvlText w:val="•"/>
      <w:lvlJc w:val="left"/>
      <w:pPr>
        <w:ind w:left="3120" w:hanging="360"/>
      </w:pPr>
      <w:rPr>
        <w:rFonts w:hint="default"/>
        <w:lang w:val="en-US" w:eastAsia="en-US" w:bidi="ar-SA"/>
      </w:rPr>
    </w:lvl>
    <w:lvl w:ilvl="4" w:tplc="B3AA38AA">
      <w:numFmt w:val="bullet"/>
      <w:lvlText w:val="•"/>
      <w:lvlJc w:val="left"/>
      <w:pPr>
        <w:ind w:left="4320" w:hanging="360"/>
      </w:pPr>
      <w:rPr>
        <w:rFonts w:hint="default"/>
        <w:lang w:val="en-US" w:eastAsia="en-US" w:bidi="ar-SA"/>
      </w:rPr>
    </w:lvl>
    <w:lvl w:ilvl="5" w:tplc="4AF4DDC6">
      <w:numFmt w:val="bullet"/>
      <w:lvlText w:val="•"/>
      <w:lvlJc w:val="left"/>
      <w:pPr>
        <w:ind w:left="5520" w:hanging="360"/>
      </w:pPr>
      <w:rPr>
        <w:rFonts w:hint="default"/>
        <w:lang w:val="en-US" w:eastAsia="en-US" w:bidi="ar-SA"/>
      </w:rPr>
    </w:lvl>
    <w:lvl w:ilvl="6" w:tplc="86DC3B38">
      <w:numFmt w:val="bullet"/>
      <w:lvlText w:val="•"/>
      <w:lvlJc w:val="left"/>
      <w:pPr>
        <w:ind w:left="6720" w:hanging="360"/>
      </w:pPr>
      <w:rPr>
        <w:rFonts w:hint="default"/>
        <w:lang w:val="en-US" w:eastAsia="en-US" w:bidi="ar-SA"/>
      </w:rPr>
    </w:lvl>
    <w:lvl w:ilvl="7" w:tplc="2F9AA9E0">
      <w:numFmt w:val="bullet"/>
      <w:lvlText w:val="•"/>
      <w:lvlJc w:val="left"/>
      <w:pPr>
        <w:ind w:left="7920" w:hanging="360"/>
      </w:pPr>
      <w:rPr>
        <w:rFonts w:hint="default"/>
        <w:lang w:val="en-US" w:eastAsia="en-US" w:bidi="ar-SA"/>
      </w:rPr>
    </w:lvl>
    <w:lvl w:ilvl="8" w:tplc="8C3EBE18">
      <w:numFmt w:val="bullet"/>
      <w:lvlText w:val="•"/>
      <w:lvlJc w:val="left"/>
      <w:pPr>
        <w:ind w:left="9120" w:hanging="360"/>
      </w:pPr>
      <w:rPr>
        <w:rFonts w:hint="default"/>
        <w:lang w:val="en-US" w:eastAsia="en-US" w:bidi="ar-SA"/>
      </w:rPr>
    </w:lvl>
  </w:abstractNum>
  <w:abstractNum w:abstractNumId="11" w15:restartNumberingAfterBreak="0">
    <w:nsid w:val="54A80205"/>
    <w:multiLevelType w:val="hybridMultilevel"/>
    <w:tmpl w:val="5F04BBB8"/>
    <w:lvl w:ilvl="0" w:tplc="0B1C8A7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4DC455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471084F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74E6120C">
      <w:numFmt w:val="bullet"/>
      <w:lvlText w:val="•"/>
      <w:lvlJc w:val="left"/>
      <w:pPr>
        <w:ind w:left="2385" w:hanging="361"/>
      </w:pPr>
      <w:rPr>
        <w:rFonts w:hint="default"/>
        <w:lang w:val="en-US" w:eastAsia="en-US" w:bidi="ar-SA"/>
      </w:rPr>
    </w:lvl>
    <w:lvl w:ilvl="4" w:tplc="B18AA454">
      <w:numFmt w:val="bullet"/>
      <w:lvlText w:val="•"/>
      <w:lvlJc w:val="left"/>
      <w:pPr>
        <w:ind w:left="3690" w:hanging="361"/>
      </w:pPr>
      <w:rPr>
        <w:rFonts w:hint="default"/>
        <w:lang w:val="en-US" w:eastAsia="en-US" w:bidi="ar-SA"/>
      </w:rPr>
    </w:lvl>
    <w:lvl w:ilvl="5" w:tplc="A97EB54A">
      <w:numFmt w:val="bullet"/>
      <w:lvlText w:val="•"/>
      <w:lvlJc w:val="left"/>
      <w:pPr>
        <w:ind w:left="4995" w:hanging="361"/>
      </w:pPr>
      <w:rPr>
        <w:rFonts w:hint="default"/>
        <w:lang w:val="en-US" w:eastAsia="en-US" w:bidi="ar-SA"/>
      </w:rPr>
    </w:lvl>
    <w:lvl w:ilvl="6" w:tplc="81C62FDE">
      <w:numFmt w:val="bullet"/>
      <w:lvlText w:val="•"/>
      <w:lvlJc w:val="left"/>
      <w:pPr>
        <w:ind w:left="6300" w:hanging="361"/>
      </w:pPr>
      <w:rPr>
        <w:rFonts w:hint="default"/>
        <w:lang w:val="en-US" w:eastAsia="en-US" w:bidi="ar-SA"/>
      </w:rPr>
    </w:lvl>
    <w:lvl w:ilvl="7" w:tplc="E1F8A6BC">
      <w:numFmt w:val="bullet"/>
      <w:lvlText w:val="•"/>
      <w:lvlJc w:val="left"/>
      <w:pPr>
        <w:ind w:left="7605" w:hanging="361"/>
      </w:pPr>
      <w:rPr>
        <w:rFonts w:hint="default"/>
        <w:lang w:val="en-US" w:eastAsia="en-US" w:bidi="ar-SA"/>
      </w:rPr>
    </w:lvl>
    <w:lvl w:ilvl="8" w:tplc="00225208">
      <w:numFmt w:val="bullet"/>
      <w:lvlText w:val="•"/>
      <w:lvlJc w:val="left"/>
      <w:pPr>
        <w:ind w:left="8910" w:hanging="361"/>
      </w:pPr>
      <w:rPr>
        <w:rFonts w:hint="default"/>
        <w:lang w:val="en-US" w:eastAsia="en-US" w:bidi="ar-SA"/>
      </w:rPr>
    </w:lvl>
  </w:abstractNum>
  <w:abstractNum w:abstractNumId="12" w15:restartNumberingAfterBreak="0">
    <w:nsid w:val="747C08BF"/>
    <w:multiLevelType w:val="hybridMultilevel"/>
    <w:tmpl w:val="4CD29E60"/>
    <w:lvl w:ilvl="0" w:tplc="42F89464">
      <w:start w:val="1"/>
      <w:numFmt w:val="decimal"/>
      <w:lvlText w:val="%1."/>
      <w:lvlJc w:val="left"/>
      <w:pPr>
        <w:ind w:left="526" w:hanging="167"/>
      </w:pPr>
      <w:rPr>
        <w:rFonts w:hint="default"/>
        <w:spacing w:val="0"/>
        <w:w w:val="86"/>
        <w:lang w:val="en-US" w:eastAsia="en-US" w:bidi="ar-SA"/>
      </w:rPr>
    </w:lvl>
    <w:lvl w:ilvl="1" w:tplc="53C04554">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1CC40E04">
      <w:start w:val="1"/>
      <w:numFmt w:val="decimal"/>
      <w:lvlText w:val="%3."/>
      <w:lvlJc w:val="left"/>
      <w:pPr>
        <w:ind w:left="1080" w:hanging="361"/>
      </w:pPr>
      <w:rPr>
        <w:rFonts w:hint="default"/>
        <w:spacing w:val="0"/>
        <w:w w:val="100"/>
        <w:lang w:val="en-US" w:eastAsia="en-US" w:bidi="ar-SA"/>
      </w:rPr>
    </w:lvl>
    <w:lvl w:ilvl="3" w:tplc="058C3934">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FC82BB08">
      <w:numFmt w:val="bullet"/>
      <w:lvlText w:val="•"/>
      <w:lvlJc w:val="left"/>
      <w:pPr>
        <w:ind w:left="2880" w:hanging="361"/>
      </w:pPr>
      <w:rPr>
        <w:rFonts w:hint="default"/>
        <w:lang w:val="en-US" w:eastAsia="en-US" w:bidi="ar-SA"/>
      </w:rPr>
    </w:lvl>
    <w:lvl w:ilvl="5" w:tplc="BB0EBA7C">
      <w:numFmt w:val="bullet"/>
      <w:lvlText w:val="•"/>
      <w:lvlJc w:val="left"/>
      <w:pPr>
        <w:ind w:left="4320" w:hanging="361"/>
      </w:pPr>
      <w:rPr>
        <w:rFonts w:hint="default"/>
        <w:lang w:val="en-US" w:eastAsia="en-US" w:bidi="ar-SA"/>
      </w:rPr>
    </w:lvl>
    <w:lvl w:ilvl="6" w:tplc="DB9230DE">
      <w:numFmt w:val="bullet"/>
      <w:lvlText w:val="•"/>
      <w:lvlJc w:val="left"/>
      <w:pPr>
        <w:ind w:left="5760" w:hanging="361"/>
      </w:pPr>
      <w:rPr>
        <w:rFonts w:hint="default"/>
        <w:lang w:val="en-US" w:eastAsia="en-US" w:bidi="ar-SA"/>
      </w:rPr>
    </w:lvl>
    <w:lvl w:ilvl="7" w:tplc="45BA489C">
      <w:numFmt w:val="bullet"/>
      <w:lvlText w:val="•"/>
      <w:lvlJc w:val="left"/>
      <w:pPr>
        <w:ind w:left="7200" w:hanging="361"/>
      </w:pPr>
      <w:rPr>
        <w:rFonts w:hint="default"/>
        <w:lang w:val="en-US" w:eastAsia="en-US" w:bidi="ar-SA"/>
      </w:rPr>
    </w:lvl>
    <w:lvl w:ilvl="8" w:tplc="15C23AB2">
      <w:numFmt w:val="bullet"/>
      <w:lvlText w:val="•"/>
      <w:lvlJc w:val="left"/>
      <w:pPr>
        <w:ind w:left="8640" w:hanging="361"/>
      </w:pPr>
      <w:rPr>
        <w:rFonts w:hint="default"/>
        <w:lang w:val="en-US" w:eastAsia="en-US" w:bidi="ar-SA"/>
      </w:rPr>
    </w:lvl>
  </w:abstractNum>
  <w:abstractNum w:abstractNumId="13" w15:restartNumberingAfterBreak="0">
    <w:nsid w:val="7AC7037F"/>
    <w:multiLevelType w:val="hybridMultilevel"/>
    <w:tmpl w:val="BD061E9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7D4C2792"/>
    <w:multiLevelType w:val="hybridMultilevel"/>
    <w:tmpl w:val="A29E19E2"/>
    <w:lvl w:ilvl="0" w:tplc="742C2478">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210562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FCE7216">
      <w:numFmt w:val="bullet"/>
      <w:lvlText w:val="•"/>
      <w:lvlJc w:val="left"/>
      <w:pPr>
        <w:ind w:left="2240" w:hanging="361"/>
      </w:pPr>
      <w:rPr>
        <w:rFonts w:hint="default"/>
        <w:lang w:val="en-US" w:eastAsia="en-US" w:bidi="ar-SA"/>
      </w:rPr>
    </w:lvl>
    <w:lvl w:ilvl="3" w:tplc="1AC66E10">
      <w:numFmt w:val="bullet"/>
      <w:lvlText w:val="•"/>
      <w:lvlJc w:val="left"/>
      <w:pPr>
        <w:ind w:left="3400" w:hanging="361"/>
      </w:pPr>
      <w:rPr>
        <w:rFonts w:hint="default"/>
        <w:lang w:val="en-US" w:eastAsia="en-US" w:bidi="ar-SA"/>
      </w:rPr>
    </w:lvl>
    <w:lvl w:ilvl="4" w:tplc="EE5E19D4">
      <w:numFmt w:val="bullet"/>
      <w:lvlText w:val="•"/>
      <w:lvlJc w:val="left"/>
      <w:pPr>
        <w:ind w:left="4560" w:hanging="361"/>
      </w:pPr>
      <w:rPr>
        <w:rFonts w:hint="default"/>
        <w:lang w:val="en-US" w:eastAsia="en-US" w:bidi="ar-SA"/>
      </w:rPr>
    </w:lvl>
    <w:lvl w:ilvl="5" w:tplc="5A142DAE">
      <w:numFmt w:val="bullet"/>
      <w:lvlText w:val="•"/>
      <w:lvlJc w:val="left"/>
      <w:pPr>
        <w:ind w:left="5720" w:hanging="361"/>
      </w:pPr>
      <w:rPr>
        <w:rFonts w:hint="default"/>
        <w:lang w:val="en-US" w:eastAsia="en-US" w:bidi="ar-SA"/>
      </w:rPr>
    </w:lvl>
    <w:lvl w:ilvl="6" w:tplc="CB3C34D4">
      <w:numFmt w:val="bullet"/>
      <w:lvlText w:val="•"/>
      <w:lvlJc w:val="left"/>
      <w:pPr>
        <w:ind w:left="6880" w:hanging="361"/>
      </w:pPr>
      <w:rPr>
        <w:rFonts w:hint="default"/>
        <w:lang w:val="en-US" w:eastAsia="en-US" w:bidi="ar-SA"/>
      </w:rPr>
    </w:lvl>
    <w:lvl w:ilvl="7" w:tplc="0E6481F4">
      <w:numFmt w:val="bullet"/>
      <w:lvlText w:val="•"/>
      <w:lvlJc w:val="left"/>
      <w:pPr>
        <w:ind w:left="8040" w:hanging="361"/>
      </w:pPr>
      <w:rPr>
        <w:rFonts w:hint="default"/>
        <w:lang w:val="en-US" w:eastAsia="en-US" w:bidi="ar-SA"/>
      </w:rPr>
    </w:lvl>
    <w:lvl w:ilvl="8" w:tplc="091836AE">
      <w:numFmt w:val="bullet"/>
      <w:lvlText w:val="•"/>
      <w:lvlJc w:val="left"/>
      <w:pPr>
        <w:ind w:left="9200" w:hanging="361"/>
      </w:pPr>
      <w:rPr>
        <w:rFonts w:hint="default"/>
        <w:lang w:val="en-US" w:eastAsia="en-US" w:bidi="ar-SA"/>
      </w:rPr>
    </w:lvl>
  </w:abstractNum>
  <w:num w:numId="1" w16cid:durableId="1318150724">
    <w:abstractNumId w:val="5"/>
  </w:num>
  <w:num w:numId="2" w16cid:durableId="1389720625">
    <w:abstractNumId w:val="0"/>
  </w:num>
  <w:num w:numId="3" w16cid:durableId="565186984">
    <w:abstractNumId w:val="1"/>
  </w:num>
  <w:num w:numId="4" w16cid:durableId="527988010">
    <w:abstractNumId w:val="4"/>
  </w:num>
  <w:num w:numId="5" w16cid:durableId="592317698">
    <w:abstractNumId w:val="11"/>
  </w:num>
  <w:num w:numId="6" w16cid:durableId="411508161">
    <w:abstractNumId w:val="7"/>
  </w:num>
  <w:num w:numId="7" w16cid:durableId="259677323">
    <w:abstractNumId w:val="14"/>
  </w:num>
  <w:num w:numId="8" w16cid:durableId="2063019814">
    <w:abstractNumId w:val="12"/>
  </w:num>
  <w:num w:numId="9" w16cid:durableId="1196389216">
    <w:abstractNumId w:val="9"/>
  </w:num>
  <w:num w:numId="10" w16cid:durableId="41909467">
    <w:abstractNumId w:val="10"/>
  </w:num>
  <w:num w:numId="11" w16cid:durableId="742146331">
    <w:abstractNumId w:val="3"/>
  </w:num>
  <w:num w:numId="12" w16cid:durableId="2085645800">
    <w:abstractNumId w:val="6"/>
  </w:num>
  <w:num w:numId="13" w16cid:durableId="910118408">
    <w:abstractNumId w:val="8"/>
  </w:num>
  <w:num w:numId="14" w16cid:durableId="1091974638">
    <w:abstractNumId w:val="2"/>
  </w:num>
  <w:num w:numId="15" w16cid:durableId="376441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C4"/>
    <w:rsid w:val="00016120"/>
    <w:rsid w:val="00024E89"/>
    <w:rsid w:val="000368A3"/>
    <w:rsid w:val="00055A1E"/>
    <w:rsid w:val="00072F97"/>
    <w:rsid w:val="0008765A"/>
    <w:rsid w:val="00093328"/>
    <w:rsid w:val="000957A3"/>
    <w:rsid w:val="000A4D89"/>
    <w:rsid w:val="000A4EAF"/>
    <w:rsid w:val="000B0447"/>
    <w:rsid w:val="000B1B08"/>
    <w:rsid w:val="000E0E35"/>
    <w:rsid w:val="0012302A"/>
    <w:rsid w:val="0014246F"/>
    <w:rsid w:val="001456CA"/>
    <w:rsid w:val="001464C1"/>
    <w:rsid w:val="001703F6"/>
    <w:rsid w:val="00175499"/>
    <w:rsid w:val="00177E67"/>
    <w:rsid w:val="001831C5"/>
    <w:rsid w:val="001A4C83"/>
    <w:rsid w:val="001B6904"/>
    <w:rsid w:val="001F1957"/>
    <w:rsid w:val="00212992"/>
    <w:rsid w:val="002211B9"/>
    <w:rsid w:val="00224D33"/>
    <w:rsid w:val="002322A9"/>
    <w:rsid w:val="0023653B"/>
    <w:rsid w:val="00244EBA"/>
    <w:rsid w:val="0027637C"/>
    <w:rsid w:val="00280FE0"/>
    <w:rsid w:val="002956FA"/>
    <w:rsid w:val="002B7D4A"/>
    <w:rsid w:val="002E785B"/>
    <w:rsid w:val="002E7FD5"/>
    <w:rsid w:val="002F1BCE"/>
    <w:rsid w:val="00301769"/>
    <w:rsid w:val="003050C2"/>
    <w:rsid w:val="00316EB6"/>
    <w:rsid w:val="003237C8"/>
    <w:rsid w:val="00342251"/>
    <w:rsid w:val="003456D9"/>
    <w:rsid w:val="003569D9"/>
    <w:rsid w:val="00360A62"/>
    <w:rsid w:val="003614AD"/>
    <w:rsid w:val="003709CE"/>
    <w:rsid w:val="00380B6B"/>
    <w:rsid w:val="003906F7"/>
    <w:rsid w:val="003930E0"/>
    <w:rsid w:val="003B0DDF"/>
    <w:rsid w:val="003E0C7A"/>
    <w:rsid w:val="003E28D4"/>
    <w:rsid w:val="003F7C88"/>
    <w:rsid w:val="00402D1E"/>
    <w:rsid w:val="00407E27"/>
    <w:rsid w:val="00426C34"/>
    <w:rsid w:val="00442836"/>
    <w:rsid w:val="00452403"/>
    <w:rsid w:val="004939CB"/>
    <w:rsid w:val="004C1284"/>
    <w:rsid w:val="004C3B11"/>
    <w:rsid w:val="004C53F6"/>
    <w:rsid w:val="004D0CF2"/>
    <w:rsid w:val="004E247D"/>
    <w:rsid w:val="004E38A0"/>
    <w:rsid w:val="004E419E"/>
    <w:rsid w:val="004F3807"/>
    <w:rsid w:val="004F682A"/>
    <w:rsid w:val="00530729"/>
    <w:rsid w:val="00530910"/>
    <w:rsid w:val="00543E11"/>
    <w:rsid w:val="00562950"/>
    <w:rsid w:val="005663B3"/>
    <w:rsid w:val="00571755"/>
    <w:rsid w:val="00572102"/>
    <w:rsid w:val="005806B5"/>
    <w:rsid w:val="00584A76"/>
    <w:rsid w:val="00592A04"/>
    <w:rsid w:val="00597E12"/>
    <w:rsid w:val="005A68A8"/>
    <w:rsid w:val="005B320E"/>
    <w:rsid w:val="005C44E2"/>
    <w:rsid w:val="005D45FA"/>
    <w:rsid w:val="005E7DD8"/>
    <w:rsid w:val="006376B1"/>
    <w:rsid w:val="00667776"/>
    <w:rsid w:val="00675334"/>
    <w:rsid w:val="006A308A"/>
    <w:rsid w:val="006A78BD"/>
    <w:rsid w:val="006B2D0D"/>
    <w:rsid w:val="006B6F3B"/>
    <w:rsid w:val="006D16A3"/>
    <w:rsid w:val="007005D6"/>
    <w:rsid w:val="007409A8"/>
    <w:rsid w:val="00743347"/>
    <w:rsid w:val="007442F1"/>
    <w:rsid w:val="007662A8"/>
    <w:rsid w:val="007669DA"/>
    <w:rsid w:val="007945D6"/>
    <w:rsid w:val="00795734"/>
    <w:rsid w:val="00795ADA"/>
    <w:rsid w:val="007A0FD3"/>
    <w:rsid w:val="007B5BC4"/>
    <w:rsid w:val="007C1B96"/>
    <w:rsid w:val="007E3BBD"/>
    <w:rsid w:val="007E7E6A"/>
    <w:rsid w:val="007F09F0"/>
    <w:rsid w:val="00800C2C"/>
    <w:rsid w:val="00810BD0"/>
    <w:rsid w:val="00815322"/>
    <w:rsid w:val="00821972"/>
    <w:rsid w:val="008343DA"/>
    <w:rsid w:val="00836B67"/>
    <w:rsid w:val="00863B15"/>
    <w:rsid w:val="00877DE5"/>
    <w:rsid w:val="008939E4"/>
    <w:rsid w:val="008A2F3E"/>
    <w:rsid w:val="008B798A"/>
    <w:rsid w:val="008C0CC7"/>
    <w:rsid w:val="008C7AEA"/>
    <w:rsid w:val="008D69EC"/>
    <w:rsid w:val="008E5722"/>
    <w:rsid w:val="00902580"/>
    <w:rsid w:val="009227E8"/>
    <w:rsid w:val="0092452A"/>
    <w:rsid w:val="009301C2"/>
    <w:rsid w:val="00942B41"/>
    <w:rsid w:val="009651BD"/>
    <w:rsid w:val="009906A6"/>
    <w:rsid w:val="00992B75"/>
    <w:rsid w:val="00996A5F"/>
    <w:rsid w:val="009C0962"/>
    <w:rsid w:val="009C4109"/>
    <w:rsid w:val="009E1D9B"/>
    <w:rsid w:val="009F5DDE"/>
    <w:rsid w:val="00A00270"/>
    <w:rsid w:val="00A02135"/>
    <w:rsid w:val="00A10C80"/>
    <w:rsid w:val="00A11CBD"/>
    <w:rsid w:val="00A22813"/>
    <w:rsid w:val="00A677A8"/>
    <w:rsid w:val="00A77180"/>
    <w:rsid w:val="00A85D67"/>
    <w:rsid w:val="00AA1DF8"/>
    <w:rsid w:val="00AD5199"/>
    <w:rsid w:val="00AD64DB"/>
    <w:rsid w:val="00AE3267"/>
    <w:rsid w:val="00AF672A"/>
    <w:rsid w:val="00B143F3"/>
    <w:rsid w:val="00B25D32"/>
    <w:rsid w:val="00B27C0A"/>
    <w:rsid w:val="00B36532"/>
    <w:rsid w:val="00B63AFE"/>
    <w:rsid w:val="00BA1C6D"/>
    <w:rsid w:val="00BB018E"/>
    <w:rsid w:val="00BB304C"/>
    <w:rsid w:val="00BB7EF0"/>
    <w:rsid w:val="00BD3BA8"/>
    <w:rsid w:val="00C06912"/>
    <w:rsid w:val="00C2502E"/>
    <w:rsid w:val="00C25616"/>
    <w:rsid w:val="00C37AE4"/>
    <w:rsid w:val="00C5328E"/>
    <w:rsid w:val="00C66AFC"/>
    <w:rsid w:val="00C66B68"/>
    <w:rsid w:val="00C75D95"/>
    <w:rsid w:val="00C80739"/>
    <w:rsid w:val="00CA498C"/>
    <w:rsid w:val="00CB179D"/>
    <w:rsid w:val="00CC2E87"/>
    <w:rsid w:val="00CE7CFC"/>
    <w:rsid w:val="00CF4587"/>
    <w:rsid w:val="00D0753A"/>
    <w:rsid w:val="00D1100A"/>
    <w:rsid w:val="00D22EF1"/>
    <w:rsid w:val="00D33834"/>
    <w:rsid w:val="00D36C8A"/>
    <w:rsid w:val="00D42735"/>
    <w:rsid w:val="00D456E7"/>
    <w:rsid w:val="00D553BF"/>
    <w:rsid w:val="00D61E3B"/>
    <w:rsid w:val="00D640E8"/>
    <w:rsid w:val="00D73792"/>
    <w:rsid w:val="00D83F6E"/>
    <w:rsid w:val="00D8479E"/>
    <w:rsid w:val="00DB5FDC"/>
    <w:rsid w:val="00DB62C4"/>
    <w:rsid w:val="00DE2122"/>
    <w:rsid w:val="00DE22D9"/>
    <w:rsid w:val="00DE5206"/>
    <w:rsid w:val="00E04430"/>
    <w:rsid w:val="00E21B18"/>
    <w:rsid w:val="00EA2BA1"/>
    <w:rsid w:val="00EB7048"/>
    <w:rsid w:val="00EC3C43"/>
    <w:rsid w:val="00EC57CF"/>
    <w:rsid w:val="00F159B2"/>
    <w:rsid w:val="00F25F29"/>
    <w:rsid w:val="00F3687E"/>
    <w:rsid w:val="00F3708D"/>
    <w:rsid w:val="00F3725C"/>
    <w:rsid w:val="00F706A6"/>
    <w:rsid w:val="00F746DF"/>
    <w:rsid w:val="00F77206"/>
    <w:rsid w:val="00F928F8"/>
    <w:rsid w:val="00F97055"/>
    <w:rsid w:val="00FA0C95"/>
    <w:rsid w:val="00FA2E4C"/>
    <w:rsid w:val="00FB027E"/>
    <w:rsid w:val="00FB46F9"/>
    <w:rsid w:val="00FB5AE5"/>
    <w:rsid w:val="00FF3AED"/>
    <w:rsid w:val="00FF61F4"/>
    <w:rsid w:val="00FF654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A2F8D"/>
  <w15:docId w15:val="{3D91B717-74B0-4247-AD7D-B9D45BBA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C75D95"/>
    <w:pPr>
      <w:tabs>
        <w:tab w:val="center" w:pos="4680"/>
        <w:tab w:val="right" w:pos="9360"/>
      </w:tabs>
    </w:pPr>
  </w:style>
  <w:style w:type="character" w:customStyle="1" w:styleId="HeaderChar">
    <w:name w:val="Header Char"/>
    <w:basedOn w:val="DefaultParagraphFont"/>
    <w:link w:val="Header"/>
    <w:uiPriority w:val="99"/>
    <w:rsid w:val="00C75D95"/>
    <w:rPr>
      <w:rFonts w:ascii="Times New Roman" w:eastAsia="Times New Roman" w:hAnsi="Times New Roman" w:cs="Times New Roman"/>
    </w:rPr>
  </w:style>
  <w:style w:type="paragraph" w:styleId="Footer">
    <w:name w:val="footer"/>
    <w:basedOn w:val="Normal"/>
    <w:link w:val="FooterChar"/>
    <w:uiPriority w:val="99"/>
    <w:unhideWhenUsed/>
    <w:rsid w:val="00C75D95"/>
    <w:pPr>
      <w:tabs>
        <w:tab w:val="center" w:pos="4680"/>
        <w:tab w:val="right" w:pos="9360"/>
      </w:tabs>
    </w:pPr>
  </w:style>
  <w:style w:type="character" w:customStyle="1" w:styleId="FooterChar">
    <w:name w:val="Footer Char"/>
    <w:basedOn w:val="DefaultParagraphFont"/>
    <w:link w:val="Footer"/>
    <w:uiPriority w:val="99"/>
    <w:rsid w:val="00C75D95"/>
    <w:rPr>
      <w:rFonts w:ascii="Times New Roman" w:eastAsia="Times New Roman" w:hAnsi="Times New Roman" w:cs="Times New Roman"/>
    </w:rPr>
  </w:style>
  <w:style w:type="paragraph" w:styleId="NoSpacing">
    <w:name w:val="No Spacing"/>
    <w:aliases w:val="Flor"/>
    <w:link w:val="NoSpacingChar"/>
    <w:uiPriority w:val="1"/>
    <w:qFormat/>
    <w:rsid w:val="004F3807"/>
    <w:pPr>
      <w:widowControl/>
      <w:autoSpaceDE/>
      <w:autoSpaceDN/>
    </w:pPr>
  </w:style>
  <w:style w:type="character" w:customStyle="1" w:styleId="NoSpacingChar">
    <w:name w:val="No Spacing Char"/>
    <w:aliases w:val="Flor Char"/>
    <w:basedOn w:val="DefaultParagraphFont"/>
    <w:link w:val="NoSpacing"/>
    <w:uiPriority w:val="1"/>
    <w:qFormat/>
    <w:locked/>
    <w:rsid w:val="004F3807"/>
  </w:style>
  <w:style w:type="table" w:styleId="TableGrid">
    <w:name w:val="Table Grid"/>
    <w:basedOn w:val="TableNormal"/>
    <w:uiPriority w:val="59"/>
    <w:rsid w:val="006B2D0D"/>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4AD"/>
    <w:rPr>
      <w:color w:val="0000FF" w:themeColor="hyperlink"/>
      <w:u w:val="single"/>
    </w:rPr>
  </w:style>
  <w:style w:type="character" w:styleId="UnresolvedMention">
    <w:name w:val="Unresolved Mention"/>
    <w:basedOn w:val="DefaultParagraphFont"/>
    <w:uiPriority w:val="99"/>
    <w:semiHidden/>
    <w:unhideWhenUsed/>
    <w:rsid w:val="003614AD"/>
    <w:rPr>
      <w:color w:val="605E5C"/>
      <w:shd w:val="clear" w:color="auto" w:fill="E1DFDD"/>
    </w:rPr>
  </w:style>
  <w:style w:type="character" w:styleId="FollowedHyperlink">
    <w:name w:val="FollowedHyperlink"/>
    <w:basedOn w:val="DefaultParagraphFont"/>
    <w:uiPriority w:val="99"/>
    <w:semiHidden/>
    <w:unhideWhenUsed/>
    <w:rsid w:val="003614AD"/>
    <w:rPr>
      <w:color w:val="800080" w:themeColor="followedHyperlink"/>
      <w:u w:val="single"/>
    </w:rPr>
  </w:style>
  <w:style w:type="paragraph" w:styleId="NormalWeb">
    <w:name w:val="Normal (Web)"/>
    <w:basedOn w:val="Normal"/>
    <w:uiPriority w:val="99"/>
    <w:semiHidden/>
    <w:unhideWhenUsed/>
    <w:rsid w:val="00AF672A"/>
    <w:rPr>
      <w:sz w:val="24"/>
      <w:szCs w:val="24"/>
    </w:rPr>
  </w:style>
  <w:style w:type="character" w:styleId="Strong">
    <w:name w:val="Strong"/>
    <w:basedOn w:val="DefaultParagraphFont"/>
    <w:uiPriority w:val="22"/>
    <w:qFormat/>
    <w:rsid w:val="00F37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9594</Words>
  <Characters>54688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sumalinogjoana143@gmail.com</cp:lastModifiedBy>
  <cp:revision>3</cp:revision>
  <cp:lastPrinted>2026-04-30T12:06:00Z</cp:lastPrinted>
  <dcterms:created xsi:type="dcterms:W3CDTF">2026-05-05T04:46:00Z</dcterms:created>
  <dcterms:modified xsi:type="dcterms:W3CDTF">2026-05-05T04:47:00Z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2026-04-28T00:00:00Z</vt:filetime>
  </property>
  <property fmtid="{D5CDD505-2E9C-101B-9397-08002B2CF9AE}" pid="5" name="Producer">
    <vt:lpwstr>Microsoft® Word 2024</vt:lpwstr>
  </property>
</Properties>
</file>