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5538" w14:textId="77777777" w:rsidR="00C725CE" w:rsidRPr="00E4638C" w:rsidRDefault="00C725CE" w:rsidP="00E4638C">
      <w:pPr>
        <w:spacing w:line="360" w:lineRule="auto"/>
        <w:jc w:val="both"/>
        <w:rPr>
          <w:rFonts w:ascii="Times New Roman" w:hAnsi="Times New Roman" w:cs="Times New Roman"/>
          <w:sz w:val="24"/>
          <w:szCs w:val="24"/>
        </w:rPr>
      </w:pPr>
    </w:p>
    <w:p w14:paraId="65164B67" w14:textId="0607D50B" w:rsidR="00C725CE" w:rsidRPr="00131DED" w:rsidRDefault="00C725CE" w:rsidP="00CB7597">
      <w:pPr>
        <w:spacing w:line="360" w:lineRule="auto"/>
        <w:jc w:val="center"/>
        <w:rPr>
          <w:rFonts w:ascii="Times New Roman" w:hAnsi="Times New Roman" w:cs="Times New Roman"/>
          <w:b/>
          <w:bCs/>
          <w:sz w:val="24"/>
          <w:szCs w:val="24"/>
        </w:rPr>
      </w:pPr>
      <w:r w:rsidRPr="00131DED">
        <w:rPr>
          <w:rFonts w:ascii="Times New Roman" w:hAnsi="Times New Roman" w:cs="Times New Roman"/>
          <w:b/>
          <w:bCs/>
          <w:sz w:val="24"/>
          <w:szCs w:val="24"/>
        </w:rPr>
        <w:t>THE IMPACT OF CLASS SIZE REDUCTION ON STUDENT ACHIEVEMENT AND TEACHER MORALE IN GAMBIAN SENIOR SECONDARY SCHOOLS</w:t>
      </w:r>
      <w:r w:rsidR="00CB7597">
        <w:rPr>
          <w:rFonts w:ascii="Times New Roman" w:hAnsi="Times New Roman" w:cs="Times New Roman"/>
          <w:b/>
          <w:bCs/>
          <w:sz w:val="24"/>
          <w:szCs w:val="24"/>
        </w:rPr>
        <w:t xml:space="preserve"> WEST COAST REGION.</w:t>
      </w:r>
    </w:p>
    <w:p w14:paraId="57782803" w14:textId="77777777" w:rsidR="00131DED" w:rsidRPr="00131DED" w:rsidRDefault="00131DED" w:rsidP="00E4638C">
      <w:pPr>
        <w:spacing w:line="360" w:lineRule="auto"/>
        <w:jc w:val="both"/>
        <w:rPr>
          <w:rFonts w:ascii="Times New Roman" w:hAnsi="Times New Roman" w:cs="Times New Roman"/>
          <w:b/>
          <w:bCs/>
          <w:sz w:val="24"/>
          <w:szCs w:val="24"/>
        </w:rPr>
      </w:pPr>
    </w:p>
    <w:p w14:paraId="737CF655" w14:textId="500896FD" w:rsidR="00C725CE" w:rsidRPr="00131DED" w:rsidRDefault="00C725CE" w:rsidP="00E4638C">
      <w:pPr>
        <w:spacing w:line="360" w:lineRule="auto"/>
        <w:jc w:val="both"/>
        <w:rPr>
          <w:rFonts w:ascii="Times New Roman" w:hAnsi="Times New Roman" w:cs="Times New Roman"/>
          <w:b/>
          <w:bCs/>
          <w:sz w:val="24"/>
          <w:szCs w:val="24"/>
        </w:rPr>
      </w:pPr>
      <w:r w:rsidRPr="00131DED">
        <w:rPr>
          <w:rFonts w:ascii="Times New Roman" w:hAnsi="Times New Roman" w:cs="Times New Roman"/>
          <w:b/>
          <w:bCs/>
          <w:sz w:val="24"/>
          <w:szCs w:val="24"/>
        </w:rPr>
        <w:t xml:space="preserve"> ABSTRACT</w:t>
      </w:r>
    </w:p>
    <w:p w14:paraId="1A11A66F" w14:textId="38175EE3" w:rsidR="00472F77"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This study employed an explanatory sequential mixed</w:t>
      </w:r>
      <w:r w:rsidR="00555AF7">
        <w:rPr>
          <w:rFonts w:ascii="Times New Roman" w:hAnsi="Times New Roman" w:cs="Times New Roman"/>
          <w:sz w:val="24"/>
          <w:szCs w:val="24"/>
        </w:rPr>
        <w:t>-</w:t>
      </w:r>
      <w:r w:rsidRPr="00E4638C">
        <w:rPr>
          <w:rFonts w:ascii="Times New Roman" w:hAnsi="Times New Roman" w:cs="Times New Roman"/>
          <w:sz w:val="24"/>
          <w:szCs w:val="24"/>
        </w:rPr>
        <w:t>methods design to investigate the impact of class size reduction on student academic achievement and teacher morale in Gambian senior secondary schools. The quantitative phase used a quasi</w:t>
      </w:r>
      <w:r w:rsidR="00555AF7">
        <w:rPr>
          <w:rFonts w:ascii="Times New Roman" w:hAnsi="Times New Roman" w:cs="Times New Roman"/>
          <w:sz w:val="24"/>
          <w:szCs w:val="24"/>
        </w:rPr>
        <w:t>-</w:t>
      </w:r>
      <w:r w:rsidRPr="00E4638C">
        <w:rPr>
          <w:rFonts w:ascii="Times New Roman" w:hAnsi="Times New Roman" w:cs="Times New Roman"/>
          <w:sz w:val="24"/>
          <w:szCs w:val="24"/>
        </w:rPr>
        <w:t>experimental, cross</w:t>
      </w:r>
      <w:r w:rsidR="00555AF7">
        <w:rPr>
          <w:rFonts w:ascii="Times New Roman" w:hAnsi="Times New Roman" w:cs="Times New Roman"/>
          <w:sz w:val="24"/>
          <w:szCs w:val="24"/>
        </w:rPr>
        <w:t>-</w:t>
      </w:r>
      <w:r w:rsidRPr="00E4638C">
        <w:rPr>
          <w:rFonts w:ascii="Times New Roman" w:hAnsi="Times New Roman" w:cs="Times New Roman"/>
          <w:sz w:val="24"/>
          <w:szCs w:val="24"/>
        </w:rPr>
        <w:t>sectional differential design with 360 Grade 11 science students and a correlational predictive design with 80 science teachers. The qualitative phase involved semi</w:t>
      </w:r>
      <w:r w:rsidR="00F41C37">
        <w:rPr>
          <w:rFonts w:ascii="Times New Roman" w:hAnsi="Times New Roman" w:cs="Times New Roman"/>
          <w:sz w:val="24"/>
          <w:szCs w:val="24"/>
        </w:rPr>
        <w:t>-</w:t>
      </w:r>
      <w:r w:rsidRPr="00E4638C">
        <w:rPr>
          <w:rFonts w:ascii="Times New Roman" w:hAnsi="Times New Roman" w:cs="Times New Roman"/>
          <w:sz w:val="24"/>
          <w:szCs w:val="24"/>
        </w:rPr>
        <w:t>structured interviews and classroom observations with 12 purposively selected teachers. The Integrated Science Achievement Test (ISAT) and the Science Teacher Morale and Efficacy Scale (STMES) were administered following rigorous pilot testing (ISAT KR20 = 0.84; STMES subscale α = 0.79–0.86). Independent samples t</w:t>
      </w:r>
      <w:r w:rsidR="00555AF7">
        <w:rPr>
          <w:rFonts w:ascii="Times New Roman" w:hAnsi="Times New Roman" w:cs="Times New Roman"/>
          <w:sz w:val="24"/>
          <w:szCs w:val="24"/>
        </w:rPr>
        <w:t>-</w:t>
      </w:r>
      <w:r w:rsidRPr="00E4638C">
        <w:rPr>
          <w:rFonts w:ascii="Times New Roman" w:hAnsi="Times New Roman" w:cs="Times New Roman"/>
          <w:sz w:val="24"/>
          <w:szCs w:val="24"/>
        </w:rPr>
        <w:t xml:space="preserve">tests revealed that students in reduced classes (≤35 students) significantly outperformed those in large classes (&gt;55 students) on total ISAT scores (t(358)=9.85, p&lt;.001, Cohen’s d=1.04), representing a very large educational effect size. Multiple regression analyses showed that class size was a strong negative predictor of instructional efficacy (β=0.492, p&lt;.001) and workload satisfaction (β=0.614, p&lt;.001), and a strong positive predictor of professional burnout (β=0.685, p&lt;.001). Qualitative thematic analysis identified three major themes: abandonment of constructivist laboratory inquiry, excessive continuous assessment burdens, and chronic discipline problems leading to low instructional </w:t>
      </w:r>
      <w:r w:rsidR="006436BB" w:rsidRPr="00E4638C">
        <w:rPr>
          <w:rFonts w:ascii="Times New Roman" w:hAnsi="Times New Roman" w:cs="Times New Roman"/>
          <w:sz w:val="24"/>
          <w:szCs w:val="24"/>
        </w:rPr>
        <w:t>self-efficacy</w:t>
      </w:r>
      <w:r w:rsidRPr="00E4638C">
        <w:rPr>
          <w:rFonts w:ascii="Times New Roman" w:hAnsi="Times New Roman" w:cs="Times New Roman"/>
          <w:sz w:val="24"/>
          <w:szCs w:val="24"/>
        </w:rPr>
        <w:t>. The study concludes that classroom overcrowding constitutes a critical structural bottleneck undermining science education quality and teacher wellbeing in The Gambia. Recommendations include strategic infrastructural expansion, strict enrolment caps of 40 students per science section, differentiated teaching assignments with grading support, and targeted professional development in large</w:t>
      </w:r>
      <w:r w:rsidR="00F41C37">
        <w:rPr>
          <w:rFonts w:ascii="Times New Roman" w:hAnsi="Times New Roman" w:cs="Times New Roman"/>
          <w:sz w:val="24"/>
          <w:szCs w:val="24"/>
        </w:rPr>
        <w:t>-</w:t>
      </w:r>
      <w:r w:rsidRPr="00E4638C">
        <w:rPr>
          <w:rFonts w:ascii="Times New Roman" w:hAnsi="Times New Roman" w:cs="Times New Roman"/>
          <w:sz w:val="24"/>
          <w:szCs w:val="24"/>
        </w:rPr>
        <w:t>class pedagogy.</w:t>
      </w:r>
    </w:p>
    <w:p w14:paraId="4C4F75EC" w14:textId="4876E175" w:rsidR="00C725CE" w:rsidRPr="00E4638C" w:rsidRDefault="00C725CE" w:rsidP="00E4638C">
      <w:pPr>
        <w:spacing w:line="360" w:lineRule="auto"/>
        <w:jc w:val="both"/>
        <w:rPr>
          <w:rFonts w:ascii="Times New Roman" w:hAnsi="Times New Roman" w:cs="Times New Roman"/>
          <w:sz w:val="24"/>
          <w:szCs w:val="24"/>
        </w:rPr>
      </w:pPr>
      <w:r w:rsidRPr="00131DED">
        <w:rPr>
          <w:rFonts w:ascii="Times New Roman" w:hAnsi="Times New Roman" w:cs="Times New Roman"/>
          <w:b/>
          <w:bCs/>
          <w:sz w:val="24"/>
          <w:szCs w:val="24"/>
        </w:rPr>
        <w:t>Keywords:</w:t>
      </w:r>
      <w:r w:rsidRPr="00E4638C">
        <w:rPr>
          <w:rFonts w:ascii="Times New Roman" w:hAnsi="Times New Roman" w:cs="Times New Roman"/>
          <w:sz w:val="24"/>
          <w:szCs w:val="24"/>
        </w:rPr>
        <w:t xml:space="preserve"> Class size reduction, student achievement, teacher morale, overcrowded classrooms, Gambian secondary education</w:t>
      </w:r>
    </w:p>
    <w:p w14:paraId="1F6BC8AF" w14:textId="77777777" w:rsidR="00C725CE" w:rsidRPr="00E4638C" w:rsidRDefault="00C725CE" w:rsidP="00E4638C">
      <w:pPr>
        <w:spacing w:line="360" w:lineRule="auto"/>
        <w:jc w:val="both"/>
        <w:rPr>
          <w:rFonts w:ascii="Times New Roman" w:hAnsi="Times New Roman" w:cs="Times New Roman"/>
          <w:sz w:val="24"/>
          <w:szCs w:val="24"/>
        </w:rPr>
      </w:pPr>
    </w:p>
    <w:p w14:paraId="3A7CEDC9" w14:textId="07BE8767" w:rsidR="00C725CE" w:rsidRPr="00472F77"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lastRenderedPageBreak/>
        <w:t xml:space="preserve"> </w:t>
      </w:r>
      <w:r w:rsidRPr="00472F77">
        <w:rPr>
          <w:rFonts w:ascii="Times New Roman" w:hAnsi="Times New Roman" w:cs="Times New Roman"/>
          <w:b/>
          <w:bCs/>
          <w:sz w:val="24"/>
          <w:szCs w:val="24"/>
        </w:rPr>
        <w:t>INTRODUCTION</w:t>
      </w:r>
    </w:p>
    <w:p w14:paraId="537E040B" w14:textId="217D83B7" w:rsidR="00C725CE" w:rsidRPr="00472F77" w:rsidRDefault="00C725CE" w:rsidP="00E4638C">
      <w:pPr>
        <w:spacing w:line="360" w:lineRule="auto"/>
        <w:jc w:val="both"/>
        <w:rPr>
          <w:rFonts w:ascii="Times New Roman" w:hAnsi="Times New Roman" w:cs="Times New Roman"/>
          <w:b/>
          <w:bCs/>
          <w:sz w:val="24"/>
          <w:szCs w:val="24"/>
        </w:rPr>
      </w:pPr>
      <w:r w:rsidRPr="00472F77">
        <w:rPr>
          <w:rFonts w:ascii="Times New Roman" w:hAnsi="Times New Roman" w:cs="Times New Roman"/>
          <w:b/>
          <w:bCs/>
          <w:sz w:val="24"/>
          <w:szCs w:val="24"/>
        </w:rPr>
        <w:t xml:space="preserve"> Background to the Study</w:t>
      </w:r>
    </w:p>
    <w:p w14:paraId="2A1BDFD0" w14:textId="11265823"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Class size has long been </w:t>
      </w:r>
      <w:proofErr w:type="spellStart"/>
      <w:r w:rsidRPr="00E4638C">
        <w:rPr>
          <w:rFonts w:ascii="Times New Roman" w:hAnsi="Times New Roman" w:cs="Times New Roman"/>
          <w:sz w:val="24"/>
          <w:szCs w:val="24"/>
        </w:rPr>
        <w:t>recognised</w:t>
      </w:r>
      <w:proofErr w:type="spellEnd"/>
      <w:r w:rsidRPr="00E4638C">
        <w:rPr>
          <w:rFonts w:ascii="Times New Roman" w:hAnsi="Times New Roman" w:cs="Times New Roman"/>
          <w:sz w:val="24"/>
          <w:szCs w:val="24"/>
        </w:rPr>
        <w:t xml:space="preserve"> as a critical structural variable influencing both the quality of teaching and the depth of student learning. In educational systems worldwide, the debate over optimal class size has generated extensive research, policy interventions, and resource allocation decisions. However, the overwhelming majority of this research originates from </w:t>
      </w:r>
      <w:r w:rsidR="00924926" w:rsidRPr="00E4638C">
        <w:rPr>
          <w:rFonts w:ascii="Times New Roman" w:hAnsi="Times New Roman" w:cs="Times New Roman"/>
          <w:sz w:val="24"/>
          <w:szCs w:val="24"/>
        </w:rPr>
        <w:t>high-income</w:t>
      </w:r>
      <w:r w:rsidRPr="00E4638C">
        <w:rPr>
          <w:rFonts w:ascii="Times New Roman" w:hAnsi="Times New Roman" w:cs="Times New Roman"/>
          <w:sz w:val="24"/>
          <w:szCs w:val="24"/>
        </w:rPr>
        <w:t xml:space="preserve"> countries such as the United States, the United Kingdom, and Australia, where class size reductions typically involve changes of 5–10 students per classroom (e.g., from 25 to 20 students). In stark contrast, developing nations—particularly in </w:t>
      </w:r>
      <w:r w:rsidR="00924926" w:rsidRPr="00E4638C">
        <w:rPr>
          <w:rFonts w:ascii="Times New Roman" w:hAnsi="Times New Roman" w:cs="Times New Roman"/>
          <w:sz w:val="24"/>
          <w:szCs w:val="24"/>
        </w:rPr>
        <w:t>Sub-Saharan</w:t>
      </w:r>
      <w:r w:rsidRPr="00E4638C">
        <w:rPr>
          <w:rFonts w:ascii="Times New Roman" w:hAnsi="Times New Roman" w:cs="Times New Roman"/>
          <w:sz w:val="24"/>
          <w:szCs w:val="24"/>
        </w:rPr>
        <w:t xml:space="preserve"> Africa—face a fundamentally different reality: classrooms routinely contain 60, 80, or even 100 students per teacher, especially in urban and </w:t>
      </w:r>
      <w:r w:rsidR="00924926" w:rsidRPr="00E4638C">
        <w:rPr>
          <w:rFonts w:ascii="Times New Roman" w:hAnsi="Times New Roman" w:cs="Times New Roman"/>
          <w:sz w:val="24"/>
          <w:szCs w:val="24"/>
        </w:rPr>
        <w:t>peri urban</w:t>
      </w:r>
      <w:r w:rsidRPr="00E4638C">
        <w:rPr>
          <w:rFonts w:ascii="Times New Roman" w:hAnsi="Times New Roman" w:cs="Times New Roman"/>
          <w:sz w:val="24"/>
          <w:szCs w:val="24"/>
        </w:rPr>
        <w:t xml:space="preserve"> areas experiencing rapid demographic migration.</w:t>
      </w:r>
    </w:p>
    <w:p w14:paraId="02A5DF69" w14:textId="15B49A2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Gambia, a small West African nation, provides a compelling case study of this phenomenon. Following the introduction of the Free Quality School Education (FQSE) policy in 2019, the Ministry of Basic and Secondary Education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successfully removed financial barriers to secondary education, leading to unprecedented enrolment surges in senior secondary schools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2019; Turay, 2024). While this </w:t>
      </w:r>
      <w:r w:rsidR="00924926" w:rsidRPr="00E4638C">
        <w:rPr>
          <w:rFonts w:ascii="Times New Roman" w:hAnsi="Times New Roman" w:cs="Times New Roman"/>
          <w:sz w:val="24"/>
          <w:szCs w:val="24"/>
        </w:rPr>
        <w:t>access-oriented</w:t>
      </w:r>
      <w:r w:rsidRPr="00E4638C">
        <w:rPr>
          <w:rFonts w:ascii="Times New Roman" w:hAnsi="Times New Roman" w:cs="Times New Roman"/>
          <w:sz w:val="24"/>
          <w:szCs w:val="24"/>
        </w:rPr>
        <w:t xml:space="preserve"> policy achieved notable gains in educational participation</w:t>
      </w:r>
      <w:r w:rsidR="00924926">
        <w:rPr>
          <w:rFonts w:ascii="Times New Roman" w:hAnsi="Times New Roman" w:cs="Times New Roman"/>
          <w:sz w:val="24"/>
          <w:szCs w:val="24"/>
        </w:rPr>
        <w:t xml:space="preserve"> </w:t>
      </w:r>
      <w:r w:rsidRPr="00E4638C">
        <w:rPr>
          <w:rFonts w:ascii="Times New Roman" w:hAnsi="Times New Roman" w:cs="Times New Roman"/>
          <w:sz w:val="24"/>
          <w:szCs w:val="24"/>
        </w:rPr>
        <w:t xml:space="preserve">particularly for girls and </w:t>
      </w:r>
      <w:r w:rsidR="00924926" w:rsidRPr="00E4638C">
        <w:rPr>
          <w:rFonts w:ascii="Times New Roman" w:hAnsi="Times New Roman" w:cs="Times New Roman"/>
          <w:sz w:val="24"/>
          <w:szCs w:val="24"/>
        </w:rPr>
        <w:t>first-generation</w:t>
      </w:r>
      <w:r w:rsidRPr="00E4638C">
        <w:rPr>
          <w:rFonts w:ascii="Times New Roman" w:hAnsi="Times New Roman" w:cs="Times New Roman"/>
          <w:sz w:val="24"/>
          <w:szCs w:val="24"/>
        </w:rPr>
        <w:t xml:space="preserve"> secondary students</w:t>
      </w:r>
      <w:r w:rsidR="00924926">
        <w:rPr>
          <w:rFonts w:ascii="Times New Roman" w:hAnsi="Times New Roman" w:cs="Times New Roman"/>
          <w:sz w:val="24"/>
          <w:szCs w:val="24"/>
        </w:rPr>
        <w:t xml:space="preserve"> </w:t>
      </w:r>
      <w:r w:rsidRPr="00E4638C">
        <w:rPr>
          <w:rFonts w:ascii="Times New Roman" w:hAnsi="Times New Roman" w:cs="Times New Roman"/>
          <w:sz w:val="24"/>
          <w:szCs w:val="24"/>
        </w:rPr>
        <w:t>it was implemented without commensurate investment in physical infrastructure, classroom construction, or teacher recruitment. The predictable consequence has been severe classroom overcrowding, especially in science classrooms where laboratory space, equipment, and safety considerations further compound the problem.</w:t>
      </w:r>
    </w:p>
    <w:p w14:paraId="186D4874" w14:textId="3A4B02EC" w:rsidR="00C725CE" w:rsidRPr="004614E0"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4614E0">
        <w:rPr>
          <w:rFonts w:ascii="Times New Roman" w:hAnsi="Times New Roman" w:cs="Times New Roman"/>
          <w:b/>
          <w:bCs/>
          <w:sz w:val="24"/>
          <w:szCs w:val="24"/>
        </w:rPr>
        <w:t>Statement of the Problem</w:t>
      </w:r>
    </w:p>
    <w:p w14:paraId="04AC13F5" w14:textId="046137F2"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persistent gap between educational access and educational quality represents one of the most pressing challenges facing Gambian secondary education. While more students than ever before are enrolled in senior secondary schools, the conditions under which they learn—and under which their teachers work</w:t>
      </w:r>
      <w:r w:rsidR="00924926">
        <w:rPr>
          <w:rFonts w:ascii="Times New Roman" w:hAnsi="Times New Roman" w:cs="Times New Roman"/>
          <w:sz w:val="24"/>
          <w:szCs w:val="24"/>
        </w:rPr>
        <w:t xml:space="preserve"> </w:t>
      </w:r>
      <w:r w:rsidRPr="00E4638C">
        <w:rPr>
          <w:rFonts w:ascii="Times New Roman" w:hAnsi="Times New Roman" w:cs="Times New Roman"/>
          <w:sz w:val="24"/>
          <w:szCs w:val="24"/>
        </w:rPr>
        <w:t xml:space="preserve">have deteriorated significantly. Science education is particularly vulnerable to overcrowding because effective science pedagogy relies on </w:t>
      </w:r>
      <w:r w:rsidR="00924926" w:rsidRPr="00E4638C">
        <w:rPr>
          <w:rFonts w:ascii="Times New Roman" w:hAnsi="Times New Roman" w:cs="Times New Roman"/>
          <w:sz w:val="24"/>
          <w:szCs w:val="24"/>
        </w:rPr>
        <w:t>Handson</w:t>
      </w:r>
      <w:r w:rsidRPr="00E4638C">
        <w:rPr>
          <w:rFonts w:ascii="Times New Roman" w:hAnsi="Times New Roman" w:cs="Times New Roman"/>
          <w:sz w:val="24"/>
          <w:szCs w:val="24"/>
        </w:rPr>
        <w:t xml:space="preserve"> laboratory experiments, </w:t>
      </w:r>
      <w:r w:rsidR="00924926" w:rsidRPr="00E4638C">
        <w:rPr>
          <w:rFonts w:ascii="Times New Roman" w:hAnsi="Times New Roman" w:cs="Times New Roman"/>
          <w:sz w:val="24"/>
          <w:szCs w:val="24"/>
        </w:rPr>
        <w:t>small group</w:t>
      </w:r>
      <w:r w:rsidRPr="00E4638C">
        <w:rPr>
          <w:rFonts w:ascii="Times New Roman" w:hAnsi="Times New Roman" w:cs="Times New Roman"/>
          <w:sz w:val="24"/>
          <w:szCs w:val="24"/>
        </w:rPr>
        <w:t xml:space="preserve"> inquiry, </w:t>
      </w:r>
      <w:r w:rsidR="004614E0" w:rsidRPr="00E4638C">
        <w:rPr>
          <w:rFonts w:ascii="Times New Roman" w:hAnsi="Times New Roman" w:cs="Times New Roman"/>
          <w:sz w:val="24"/>
          <w:szCs w:val="24"/>
        </w:rPr>
        <w:t>individualized</w:t>
      </w:r>
      <w:r w:rsidRPr="00E4638C">
        <w:rPr>
          <w:rFonts w:ascii="Times New Roman" w:hAnsi="Times New Roman" w:cs="Times New Roman"/>
          <w:sz w:val="24"/>
          <w:szCs w:val="24"/>
        </w:rPr>
        <w:t xml:space="preserve"> feedback, and active student engagement. When a single </w:t>
      </w:r>
      <w:r w:rsidRPr="00E4638C">
        <w:rPr>
          <w:rFonts w:ascii="Times New Roman" w:hAnsi="Times New Roman" w:cs="Times New Roman"/>
          <w:sz w:val="24"/>
          <w:szCs w:val="24"/>
        </w:rPr>
        <w:lastRenderedPageBreak/>
        <w:t>science teacher is responsible for 65 or more students in a laboratory designed for 30, these pedagogical approaches become structurally impossible.</w:t>
      </w:r>
    </w:p>
    <w:p w14:paraId="32332167" w14:textId="1FBF5533" w:rsidR="00C725CE"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Preliminary evidence suggests that overcrowded classrooms are associated with lower student achievement, higher teacher burnout, and increased attrition from science, technology, engineering, and mathematics (STEM) pathways. However, no comprehensive </w:t>
      </w:r>
      <w:r w:rsidR="00924926" w:rsidRPr="00E4638C">
        <w:rPr>
          <w:rFonts w:ascii="Times New Roman" w:hAnsi="Times New Roman" w:cs="Times New Roman"/>
          <w:sz w:val="24"/>
          <w:szCs w:val="24"/>
        </w:rPr>
        <w:t>mixed methods</w:t>
      </w:r>
      <w:r w:rsidRPr="00E4638C">
        <w:rPr>
          <w:rFonts w:ascii="Times New Roman" w:hAnsi="Times New Roman" w:cs="Times New Roman"/>
          <w:sz w:val="24"/>
          <w:szCs w:val="24"/>
        </w:rPr>
        <w:t xml:space="preserve"> study has systematically examined this relationship within the specific context of Gambian senior secondary schools. Consequently, policymakers lack the empirical evidence needed to allocate scarce resources effectively, set enrolment caps, design teacher support systems, or revise continuous assessment protocols. This study addresses that gap by providing rigorous quantitative and qualitative evidence on the impact of class size reduction on both student achievement and teacher morale.</w:t>
      </w:r>
    </w:p>
    <w:p w14:paraId="4317FAAF" w14:textId="77777777" w:rsidR="0097146E" w:rsidRPr="00E4638C" w:rsidRDefault="0097146E" w:rsidP="00E4638C">
      <w:pPr>
        <w:spacing w:line="360" w:lineRule="auto"/>
        <w:jc w:val="both"/>
        <w:rPr>
          <w:rFonts w:ascii="Times New Roman" w:hAnsi="Times New Roman" w:cs="Times New Roman"/>
          <w:sz w:val="24"/>
          <w:szCs w:val="24"/>
        </w:rPr>
      </w:pPr>
    </w:p>
    <w:p w14:paraId="6DA15B92" w14:textId="72A849E0" w:rsidR="00C725CE" w:rsidRPr="0097146E"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97146E">
        <w:rPr>
          <w:rFonts w:ascii="Times New Roman" w:hAnsi="Times New Roman" w:cs="Times New Roman"/>
          <w:b/>
          <w:bCs/>
          <w:sz w:val="24"/>
          <w:szCs w:val="24"/>
        </w:rPr>
        <w:t>Research Questions</w:t>
      </w:r>
    </w:p>
    <w:p w14:paraId="3C3E1553" w14:textId="308FBBA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study was guided by the following research questions:</w:t>
      </w:r>
    </w:p>
    <w:p w14:paraId="7FAED881" w14:textId="73C0835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1. What is the effect of class size reduction on the academic achievement of Grade 11 science students in Gambian senior secondary schools?</w:t>
      </w:r>
    </w:p>
    <w:p w14:paraId="40907279" w14:textId="36C3BA04"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2. To what extent does class size predict the morale (instructional efficacy, workload satisfaction, and professional burnout) of science teachers?</w:t>
      </w:r>
    </w:p>
    <w:p w14:paraId="00845637" w14:textId="1D6961E5"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3. What are the lived experiences of science teachers working in overcrowded versus </w:t>
      </w:r>
      <w:proofErr w:type="spellStart"/>
      <w:r w:rsidRPr="00E4638C">
        <w:rPr>
          <w:rFonts w:ascii="Times New Roman" w:hAnsi="Times New Roman" w:cs="Times New Roman"/>
          <w:sz w:val="24"/>
          <w:szCs w:val="24"/>
        </w:rPr>
        <w:t>reducedsize</w:t>
      </w:r>
      <w:proofErr w:type="spellEnd"/>
      <w:r w:rsidRPr="00E4638C">
        <w:rPr>
          <w:rFonts w:ascii="Times New Roman" w:hAnsi="Times New Roman" w:cs="Times New Roman"/>
          <w:sz w:val="24"/>
          <w:szCs w:val="24"/>
        </w:rPr>
        <w:t xml:space="preserve"> classrooms in Gambian senior secondary schools?</w:t>
      </w:r>
    </w:p>
    <w:p w14:paraId="6FEC2FAE" w14:textId="77777777" w:rsidR="00C725CE" w:rsidRPr="00E4638C" w:rsidRDefault="00C725CE" w:rsidP="00E4638C">
      <w:pPr>
        <w:spacing w:line="360" w:lineRule="auto"/>
        <w:jc w:val="both"/>
        <w:rPr>
          <w:rFonts w:ascii="Times New Roman" w:hAnsi="Times New Roman" w:cs="Times New Roman"/>
          <w:sz w:val="24"/>
          <w:szCs w:val="24"/>
        </w:rPr>
      </w:pPr>
    </w:p>
    <w:p w14:paraId="116D7A07" w14:textId="52B29BD5" w:rsidR="00C725CE" w:rsidRPr="006414F2"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6414F2">
        <w:rPr>
          <w:rFonts w:ascii="Times New Roman" w:hAnsi="Times New Roman" w:cs="Times New Roman"/>
          <w:b/>
          <w:bCs/>
          <w:sz w:val="24"/>
          <w:szCs w:val="24"/>
        </w:rPr>
        <w:t>Conceptual Framework</w:t>
      </w:r>
    </w:p>
    <w:p w14:paraId="00E3C362" w14:textId="4AE45051"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conceptual framework for this study integrates two complementary theoretical perspectives. First, Vygotsky’s (1978) social constructivist theory posits that learning occurs through social interaction and scaffolding within a learner’s Zone of Proximal Development (ZPD). In smaller classes, teachers can identify individual students’ ZPD, provide timely and targeted scaffolding, and facilitate peer collaboration. In overcrowded classrooms, however, the teacher cannot </w:t>
      </w:r>
      <w:r w:rsidRPr="00E4638C">
        <w:rPr>
          <w:rFonts w:ascii="Times New Roman" w:hAnsi="Times New Roman" w:cs="Times New Roman"/>
          <w:sz w:val="24"/>
          <w:szCs w:val="24"/>
        </w:rPr>
        <w:lastRenderedPageBreak/>
        <w:t>meaningfully interact with each student, and the ZPD remains unidentified and unsupported, leading to surface learning and disengagement.</w:t>
      </w:r>
    </w:p>
    <w:p w14:paraId="3CCB2878" w14:textId="4FBCA7E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Second, the Job </w:t>
      </w:r>
      <w:r w:rsidR="00924926" w:rsidRPr="00E4638C">
        <w:rPr>
          <w:rFonts w:ascii="Times New Roman" w:hAnsi="Times New Roman" w:cs="Times New Roman"/>
          <w:sz w:val="24"/>
          <w:szCs w:val="24"/>
        </w:rPr>
        <w:t>Demands Resources</w:t>
      </w:r>
      <w:r w:rsidRPr="00E4638C">
        <w:rPr>
          <w:rFonts w:ascii="Times New Roman" w:hAnsi="Times New Roman" w:cs="Times New Roman"/>
          <w:sz w:val="24"/>
          <w:szCs w:val="24"/>
        </w:rPr>
        <w:t xml:space="preserve"> (JDR) model (Bakker &amp; Demerouti, 2007) explains teacher morale as a function of the balance between job demands (e.g., workload, class size, administrative pressure) and job resources (e.g., autonomy, support, manageable class size). When demands chronically exceed resources, burnout ensues; when resources are adequate, engagement and efficacy flourish. Class size functions simultaneously as a demand (increasing grading, discipline, and planning time) and a resource constraint (reducing opportunities for </w:t>
      </w:r>
      <w:proofErr w:type="spellStart"/>
      <w:r w:rsidRPr="00E4638C">
        <w:rPr>
          <w:rFonts w:ascii="Times New Roman" w:hAnsi="Times New Roman" w:cs="Times New Roman"/>
          <w:sz w:val="24"/>
          <w:szCs w:val="24"/>
        </w:rPr>
        <w:t>individualised</w:t>
      </w:r>
      <w:proofErr w:type="spellEnd"/>
      <w:r w:rsidRPr="00E4638C">
        <w:rPr>
          <w:rFonts w:ascii="Times New Roman" w:hAnsi="Times New Roman" w:cs="Times New Roman"/>
          <w:sz w:val="24"/>
          <w:szCs w:val="24"/>
        </w:rPr>
        <w:t xml:space="preserve"> instruction). The present study </w:t>
      </w:r>
      <w:proofErr w:type="spellStart"/>
      <w:r w:rsidRPr="00E4638C">
        <w:rPr>
          <w:rFonts w:ascii="Times New Roman" w:hAnsi="Times New Roman" w:cs="Times New Roman"/>
          <w:sz w:val="24"/>
          <w:szCs w:val="24"/>
        </w:rPr>
        <w:t>operationalises</w:t>
      </w:r>
      <w:proofErr w:type="spellEnd"/>
      <w:r w:rsidRPr="00E4638C">
        <w:rPr>
          <w:rFonts w:ascii="Times New Roman" w:hAnsi="Times New Roman" w:cs="Times New Roman"/>
          <w:sz w:val="24"/>
          <w:szCs w:val="24"/>
        </w:rPr>
        <w:t xml:space="preserve"> this framework by measuring both student outcomes (constructivist learning conditions) and teacher outcomes (JDR balance).</w:t>
      </w:r>
    </w:p>
    <w:p w14:paraId="58DC6154" w14:textId="77777777" w:rsidR="00C725CE" w:rsidRPr="00E4638C" w:rsidRDefault="00C725CE" w:rsidP="00E4638C">
      <w:pPr>
        <w:spacing w:line="360" w:lineRule="auto"/>
        <w:jc w:val="both"/>
        <w:rPr>
          <w:rFonts w:ascii="Times New Roman" w:hAnsi="Times New Roman" w:cs="Times New Roman"/>
          <w:sz w:val="24"/>
          <w:szCs w:val="24"/>
        </w:rPr>
      </w:pPr>
    </w:p>
    <w:p w14:paraId="14AB2A8F" w14:textId="0898CD08" w:rsidR="00C725CE" w:rsidRPr="0097146E" w:rsidRDefault="00C725CE" w:rsidP="00E4638C">
      <w:pPr>
        <w:spacing w:line="360" w:lineRule="auto"/>
        <w:jc w:val="both"/>
        <w:rPr>
          <w:rFonts w:ascii="Times New Roman" w:hAnsi="Times New Roman" w:cs="Times New Roman"/>
          <w:b/>
          <w:bCs/>
          <w:sz w:val="24"/>
          <w:szCs w:val="24"/>
        </w:rPr>
      </w:pPr>
      <w:r w:rsidRPr="0097146E">
        <w:rPr>
          <w:rFonts w:ascii="Times New Roman" w:hAnsi="Times New Roman" w:cs="Times New Roman"/>
          <w:b/>
          <w:bCs/>
          <w:sz w:val="24"/>
          <w:szCs w:val="24"/>
        </w:rPr>
        <w:t xml:space="preserve"> Significance of the Study</w:t>
      </w:r>
    </w:p>
    <w:p w14:paraId="058C5A96" w14:textId="287D5CA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This study makes several important contributions. For policymakers in The Gambia’s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it provides empirical evidence to guide infrastructure investment, enrolment policies, and teacher workload regulations. For school administrators, it offers practical insights into managing class size, assigning teaching loads, and supporting teacher wellbeing. For curriculum bodies such as the West African Examinations Council (WAEC), the findings highlight the need to reconsider continuous assessment requirements that become counterproductive under overcrowded conditions. For preservice teacher training institutions (the University of The Gambia and Gambia College), the study identifies specific pedagogical competencies that must be </w:t>
      </w:r>
      <w:proofErr w:type="spellStart"/>
      <w:r w:rsidRPr="00E4638C">
        <w:rPr>
          <w:rFonts w:ascii="Times New Roman" w:hAnsi="Times New Roman" w:cs="Times New Roman"/>
          <w:sz w:val="24"/>
          <w:szCs w:val="24"/>
        </w:rPr>
        <w:t>prioritised</w:t>
      </w:r>
      <w:proofErr w:type="spellEnd"/>
      <w:r w:rsidRPr="00E4638C">
        <w:rPr>
          <w:rFonts w:ascii="Times New Roman" w:hAnsi="Times New Roman" w:cs="Times New Roman"/>
          <w:sz w:val="24"/>
          <w:szCs w:val="24"/>
        </w:rPr>
        <w:t xml:space="preserve"> in training </w:t>
      </w:r>
      <w:proofErr w:type="spellStart"/>
      <w:r w:rsidRPr="00E4638C">
        <w:rPr>
          <w:rFonts w:ascii="Times New Roman" w:hAnsi="Times New Roman" w:cs="Times New Roman"/>
          <w:sz w:val="24"/>
          <w:szCs w:val="24"/>
        </w:rPr>
        <w:t>programmes</w:t>
      </w:r>
      <w:proofErr w:type="spellEnd"/>
      <w:r w:rsidRPr="00E4638C">
        <w:rPr>
          <w:rFonts w:ascii="Times New Roman" w:hAnsi="Times New Roman" w:cs="Times New Roman"/>
          <w:sz w:val="24"/>
          <w:szCs w:val="24"/>
        </w:rPr>
        <w:t xml:space="preserve">. Finally, for the broader international community, the study contributes to the small but growing body of literature on class size effects in </w:t>
      </w:r>
      <w:r w:rsidR="00924926" w:rsidRPr="00E4638C">
        <w:rPr>
          <w:rFonts w:ascii="Times New Roman" w:hAnsi="Times New Roman" w:cs="Times New Roman"/>
          <w:sz w:val="24"/>
          <w:szCs w:val="24"/>
        </w:rPr>
        <w:t>low resource</w:t>
      </w:r>
      <w:r w:rsidRPr="00E4638C">
        <w:rPr>
          <w:rFonts w:ascii="Times New Roman" w:hAnsi="Times New Roman" w:cs="Times New Roman"/>
          <w:sz w:val="24"/>
          <w:szCs w:val="24"/>
        </w:rPr>
        <w:t xml:space="preserve">, </w:t>
      </w:r>
      <w:r w:rsidR="00924926" w:rsidRPr="00E4638C">
        <w:rPr>
          <w:rFonts w:ascii="Times New Roman" w:hAnsi="Times New Roman" w:cs="Times New Roman"/>
          <w:sz w:val="24"/>
          <w:szCs w:val="24"/>
        </w:rPr>
        <w:t>high density</w:t>
      </w:r>
      <w:r w:rsidRPr="00E4638C">
        <w:rPr>
          <w:rFonts w:ascii="Times New Roman" w:hAnsi="Times New Roman" w:cs="Times New Roman"/>
          <w:sz w:val="24"/>
          <w:szCs w:val="24"/>
        </w:rPr>
        <w:t xml:space="preserve"> educational contexts.</w:t>
      </w:r>
    </w:p>
    <w:p w14:paraId="29425CE1" w14:textId="77777777" w:rsidR="00C725CE" w:rsidRDefault="00C725CE" w:rsidP="00E4638C">
      <w:pPr>
        <w:spacing w:line="360" w:lineRule="auto"/>
        <w:jc w:val="both"/>
        <w:rPr>
          <w:rFonts w:ascii="Times New Roman" w:hAnsi="Times New Roman" w:cs="Times New Roman"/>
          <w:sz w:val="24"/>
          <w:szCs w:val="24"/>
        </w:rPr>
      </w:pPr>
    </w:p>
    <w:p w14:paraId="10C2A8B0" w14:textId="77777777" w:rsidR="006414F2" w:rsidRDefault="006414F2" w:rsidP="00E4638C">
      <w:pPr>
        <w:spacing w:line="360" w:lineRule="auto"/>
        <w:jc w:val="both"/>
        <w:rPr>
          <w:rFonts w:ascii="Times New Roman" w:hAnsi="Times New Roman" w:cs="Times New Roman"/>
          <w:sz w:val="24"/>
          <w:szCs w:val="24"/>
        </w:rPr>
      </w:pPr>
    </w:p>
    <w:p w14:paraId="7F685BDC" w14:textId="77777777" w:rsidR="006414F2" w:rsidRDefault="006414F2" w:rsidP="00E4638C">
      <w:pPr>
        <w:spacing w:line="360" w:lineRule="auto"/>
        <w:jc w:val="both"/>
        <w:rPr>
          <w:rFonts w:ascii="Times New Roman" w:hAnsi="Times New Roman" w:cs="Times New Roman"/>
          <w:sz w:val="24"/>
          <w:szCs w:val="24"/>
        </w:rPr>
      </w:pPr>
    </w:p>
    <w:p w14:paraId="489BD263" w14:textId="77777777" w:rsidR="006414F2" w:rsidRDefault="006414F2" w:rsidP="00E4638C">
      <w:pPr>
        <w:spacing w:line="360" w:lineRule="auto"/>
        <w:jc w:val="both"/>
        <w:rPr>
          <w:rFonts w:ascii="Times New Roman" w:hAnsi="Times New Roman" w:cs="Times New Roman"/>
          <w:sz w:val="24"/>
          <w:szCs w:val="24"/>
        </w:rPr>
      </w:pPr>
    </w:p>
    <w:p w14:paraId="4A0F0B96" w14:textId="3E3C54C1" w:rsidR="006414F2" w:rsidRDefault="006414F2" w:rsidP="00E4638C">
      <w:pPr>
        <w:spacing w:line="360" w:lineRule="auto"/>
        <w:jc w:val="both"/>
        <w:rPr>
          <w:rFonts w:ascii="Times New Roman" w:hAnsi="Times New Roman" w:cs="Times New Roman"/>
          <w:sz w:val="24"/>
          <w:szCs w:val="24"/>
        </w:rPr>
      </w:pPr>
      <w:r w:rsidRPr="00FF5F86">
        <w:rPr>
          <w:noProof/>
        </w:rPr>
        <w:lastRenderedPageBreak/>
        <w:drawing>
          <wp:inline distT="0" distB="0" distL="114300" distR="114300" wp14:anchorId="2B8C5318" wp14:editId="4A3A149C">
            <wp:extent cx="5943600" cy="365987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srcRect/>
                    <a:stretch/>
                  </pic:blipFill>
                  <pic:spPr>
                    <a:xfrm>
                      <a:off x="0" y="0"/>
                      <a:ext cx="5943600" cy="3659871"/>
                    </a:xfrm>
                    <a:prstGeom prst="rect">
                      <a:avLst/>
                    </a:prstGeom>
                  </pic:spPr>
                </pic:pic>
              </a:graphicData>
            </a:graphic>
          </wp:inline>
        </w:drawing>
      </w:r>
    </w:p>
    <w:p w14:paraId="4A891B4C" w14:textId="77777777" w:rsidR="006414F2" w:rsidRDefault="006414F2" w:rsidP="00E4638C">
      <w:pPr>
        <w:spacing w:line="360" w:lineRule="auto"/>
        <w:jc w:val="both"/>
        <w:rPr>
          <w:rFonts w:ascii="Times New Roman" w:hAnsi="Times New Roman" w:cs="Times New Roman"/>
          <w:sz w:val="24"/>
          <w:szCs w:val="24"/>
        </w:rPr>
      </w:pPr>
    </w:p>
    <w:p w14:paraId="70BD3BDE" w14:textId="77777777" w:rsidR="006414F2" w:rsidRPr="00E4638C" w:rsidRDefault="006414F2" w:rsidP="00E4638C">
      <w:pPr>
        <w:spacing w:line="360" w:lineRule="auto"/>
        <w:jc w:val="both"/>
        <w:rPr>
          <w:rFonts w:ascii="Times New Roman" w:hAnsi="Times New Roman" w:cs="Times New Roman"/>
          <w:sz w:val="24"/>
          <w:szCs w:val="24"/>
        </w:rPr>
      </w:pPr>
    </w:p>
    <w:p w14:paraId="69919FD8" w14:textId="5204EEFB" w:rsidR="00C725CE" w:rsidRPr="0097146E" w:rsidRDefault="00C725CE" w:rsidP="00E4638C">
      <w:pPr>
        <w:spacing w:line="360" w:lineRule="auto"/>
        <w:jc w:val="both"/>
        <w:rPr>
          <w:rFonts w:ascii="Times New Roman" w:hAnsi="Times New Roman" w:cs="Times New Roman"/>
          <w:b/>
          <w:bCs/>
          <w:sz w:val="24"/>
          <w:szCs w:val="24"/>
        </w:rPr>
      </w:pPr>
      <w:r w:rsidRPr="0097146E">
        <w:rPr>
          <w:rFonts w:ascii="Times New Roman" w:hAnsi="Times New Roman" w:cs="Times New Roman"/>
          <w:b/>
          <w:bCs/>
          <w:sz w:val="24"/>
          <w:szCs w:val="24"/>
        </w:rPr>
        <w:t xml:space="preserve"> METHODOLOGY</w:t>
      </w:r>
    </w:p>
    <w:p w14:paraId="3A0CFAA9" w14:textId="4CB68D21" w:rsidR="00C725CE" w:rsidRPr="006414F2" w:rsidRDefault="00C725CE" w:rsidP="00E4638C">
      <w:pPr>
        <w:spacing w:line="360" w:lineRule="auto"/>
        <w:jc w:val="both"/>
        <w:rPr>
          <w:rFonts w:ascii="Times New Roman" w:hAnsi="Times New Roman" w:cs="Times New Roman"/>
          <w:b/>
          <w:bCs/>
          <w:sz w:val="24"/>
          <w:szCs w:val="24"/>
        </w:rPr>
      </w:pPr>
      <w:r w:rsidRPr="0097146E">
        <w:rPr>
          <w:rFonts w:ascii="Times New Roman" w:hAnsi="Times New Roman" w:cs="Times New Roman"/>
          <w:b/>
          <w:bCs/>
          <w:sz w:val="24"/>
          <w:szCs w:val="24"/>
        </w:rPr>
        <w:t xml:space="preserve"> Research Design</w:t>
      </w:r>
    </w:p>
    <w:p w14:paraId="52336928" w14:textId="523B6912"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This investigation employed an explanatory sequential </w:t>
      </w:r>
      <w:r w:rsidR="00924926" w:rsidRPr="00E4638C">
        <w:rPr>
          <w:rFonts w:ascii="Times New Roman" w:hAnsi="Times New Roman" w:cs="Times New Roman"/>
          <w:sz w:val="24"/>
          <w:szCs w:val="24"/>
        </w:rPr>
        <w:t>mixed methods</w:t>
      </w:r>
      <w:r w:rsidRPr="00E4638C">
        <w:rPr>
          <w:rFonts w:ascii="Times New Roman" w:hAnsi="Times New Roman" w:cs="Times New Roman"/>
          <w:sz w:val="24"/>
          <w:szCs w:val="24"/>
        </w:rPr>
        <w:t xml:space="preserve"> design, a </w:t>
      </w:r>
      <w:r w:rsidR="00924926" w:rsidRPr="00E4638C">
        <w:rPr>
          <w:rFonts w:ascii="Times New Roman" w:hAnsi="Times New Roman" w:cs="Times New Roman"/>
          <w:sz w:val="24"/>
          <w:szCs w:val="24"/>
        </w:rPr>
        <w:t>two-phase</w:t>
      </w:r>
      <w:r w:rsidRPr="00E4638C">
        <w:rPr>
          <w:rFonts w:ascii="Times New Roman" w:hAnsi="Times New Roman" w:cs="Times New Roman"/>
          <w:sz w:val="24"/>
          <w:szCs w:val="24"/>
        </w:rPr>
        <w:t xml:space="preserve"> approach wherein quantitative empirical patterns are established first, followed by qualitative exploration to </w:t>
      </w:r>
      <w:proofErr w:type="spellStart"/>
      <w:r w:rsidRPr="00E4638C">
        <w:rPr>
          <w:rFonts w:ascii="Times New Roman" w:hAnsi="Times New Roman" w:cs="Times New Roman"/>
          <w:sz w:val="24"/>
          <w:szCs w:val="24"/>
        </w:rPr>
        <w:t>contextualise</w:t>
      </w:r>
      <w:proofErr w:type="spellEnd"/>
      <w:r w:rsidRPr="00E4638C">
        <w:rPr>
          <w:rFonts w:ascii="Times New Roman" w:hAnsi="Times New Roman" w:cs="Times New Roman"/>
          <w:sz w:val="24"/>
          <w:szCs w:val="24"/>
        </w:rPr>
        <w:t xml:space="preserve"> and explain those trends (Creswell &amp; Plano Clark, 2018). The initial quantitative phase </w:t>
      </w:r>
      <w:proofErr w:type="spellStart"/>
      <w:r w:rsidRPr="00E4638C">
        <w:rPr>
          <w:rFonts w:ascii="Times New Roman" w:hAnsi="Times New Roman" w:cs="Times New Roman"/>
          <w:sz w:val="24"/>
          <w:szCs w:val="24"/>
        </w:rPr>
        <w:t>utilised</w:t>
      </w:r>
      <w:proofErr w:type="spellEnd"/>
      <w:r w:rsidRPr="00E4638C">
        <w:rPr>
          <w:rFonts w:ascii="Times New Roman" w:hAnsi="Times New Roman" w:cs="Times New Roman"/>
          <w:sz w:val="24"/>
          <w:szCs w:val="24"/>
        </w:rPr>
        <w:t xml:space="preserve"> a quasi</w:t>
      </w:r>
      <w:r w:rsidR="00924926">
        <w:rPr>
          <w:rFonts w:ascii="Times New Roman" w:hAnsi="Times New Roman" w:cs="Times New Roman"/>
          <w:sz w:val="24"/>
          <w:szCs w:val="24"/>
        </w:rPr>
        <w:t>-</w:t>
      </w:r>
      <w:r w:rsidRPr="00E4638C">
        <w:rPr>
          <w:rFonts w:ascii="Times New Roman" w:hAnsi="Times New Roman" w:cs="Times New Roman"/>
          <w:sz w:val="24"/>
          <w:szCs w:val="24"/>
        </w:rPr>
        <w:t xml:space="preserve">experimental, </w:t>
      </w:r>
      <w:r w:rsidR="00924926" w:rsidRPr="00E4638C">
        <w:rPr>
          <w:rFonts w:ascii="Times New Roman" w:hAnsi="Times New Roman" w:cs="Times New Roman"/>
          <w:sz w:val="24"/>
          <w:szCs w:val="24"/>
        </w:rPr>
        <w:t>cross-sectional</w:t>
      </w:r>
      <w:r w:rsidRPr="00E4638C">
        <w:rPr>
          <w:rFonts w:ascii="Times New Roman" w:hAnsi="Times New Roman" w:cs="Times New Roman"/>
          <w:sz w:val="24"/>
          <w:szCs w:val="24"/>
        </w:rPr>
        <w:t xml:space="preserve"> differential design to evaluate differences in student achievement across distinct class size conditions (reduced ≤35 students versus large &gt;55 students). Additionally, a correlational predictive design was employed to map the relationship between class size and three dimensions of teacher morale: instructional efficacy, workload satisfaction, and professional burnout.</w:t>
      </w:r>
    </w:p>
    <w:p w14:paraId="145BA660" w14:textId="6BDFB2AF" w:rsidR="00C725CE"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subsequent qualitative phase leveraged phenomenological </w:t>
      </w:r>
      <w:r w:rsidR="00924926" w:rsidRPr="00E4638C">
        <w:rPr>
          <w:rFonts w:ascii="Times New Roman" w:hAnsi="Times New Roman" w:cs="Times New Roman"/>
          <w:sz w:val="24"/>
          <w:szCs w:val="24"/>
        </w:rPr>
        <w:t>semi structured</w:t>
      </w:r>
      <w:r w:rsidRPr="00E4638C">
        <w:rPr>
          <w:rFonts w:ascii="Times New Roman" w:hAnsi="Times New Roman" w:cs="Times New Roman"/>
          <w:sz w:val="24"/>
          <w:szCs w:val="24"/>
        </w:rPr>
        <w:t xml:space="preserve"> interviews and naturalistic classroom observations to unpack the instructional and psychological nuances underlying the statistical models. This sequential design was chosen because the quantitative </w:t>
      </w:r>
      <w:r w:rsidRPr="00E4638C">
        <w:rPr>
          <w:rFonts w:ascii="Times New Roman" w:hAnsi="Times New Roman" w:cs="Times New Roman"/>
          <w:sz w:val="24"/>
          <w:szCs w:val="24"/>
        </w:rPr>
        <w:lastRenderedPageBreak/>
        <w:t>results alone</w:t>
      </w:r>
      <w:r w:rsidR="00924926">
        <w:rPr>
          <w:rFonts w:ascii="Times New Roman" w:hAnsi="Times New Roman" w:cs="Times New Roman"/>
          <w:sz w:val="24"/>
          <w:szCs w:val="24"/>
        </w:rPr>
        <w:t xml:space="preserve"> </w:t>
      </w:r>
      <w:r w:rsidRPr="00E4638C">
        <w:rPr>
          <w:rFonts w:ascii="Times New Roman" w:hAnsi="Times New Roman" w:cs="Times New Roman"/>
          <w:sz w:val="24"/>
          <w:szCs w:val="24"/>
        </w:rPr>
        <w:t>while demonstrating that class size matters</w:t>
      </w:r>
      <w:r w:rsidR="00924926">
        <w:rPr>
          <w:rFonts w:ascii="Times New Roman" w:hAnsi="Times New Roman" w:cs="Times New Roman"/>
          <w:sz w:val="24"/>
          <w:szCs w:val="24"/>
        </w:rPr>
        <w:t xml:space="preserve"> </w:t>
      </w:r>
      <w:r w:rsidRPr="00E4638C">
        <w:rPr>
          <w:rFonts w:ascii="Times New Roman" w:hAnsi="Times New Roman" w:cs="Times New Roman"/>
          <w:sz w:val="24"/>
          <w:szCs w:val="24"/>
        </w:rPr>
        <w:t>cannot fully explain why and how it matters in the specific Gambian context. The qualitative data provide the necessary explanatory depth.</w:t>
      </w:r>
    </w:p>
    <w:p w14:paraId="1AD4F42C" w14:textId="77777777" w:rsidR="0097146E" w:rsidRPr="00E4638C" w:rsidRDefault="0097146E" w:rsidP="00E4638C">
      <w:pPr>
        <w:spacing w:line="360" w:lineRule="auto"/>
        <w:jc w:val="both"/>
        <w:rPr>
          <w:rFonts w:ascii="Times New Roman" w:hAnsi="Times New Roman" w:cs="Times New Roman"/>
          <w:sz w:val="24"/>
          <w:szCs w:val="24"/>
        </w:rPr>
      </w:pPr>
    </w:p>
    <w:p w14:paraId="78DB20D0" w14:textId="2D75AF74" w:rsidR="00C725CE" w:rsidRPr="0097146E" w:rsidRDefault="00C725CE" w:rsidP="00E4638C">
      <w:pPr>
        <w:spacing w:line="360" w:lineRule="auto"/>
        <w:jc w:val="both"/>
        <w:rPr>
          <w:rFonts w:ascii="Times New Roman" w:hAnsi="Times New Roman" w:cs="Times New Roman"/>
          <w:b/>
          <w:bCs/>
          <w:sz w:val="24"/>
          <w:szCs w:val="24"/>
        </w:rPr>
      </w:pPr>
      <w:r w:rsidRPr="0097146E">
        <w:rPr>
          <w:rFonts w:ascii="Times New Roman" w:hAnsi="Times New Roman" w:cs="Times New Roman"/>
          <w:b/>
          <w:bCs/>
          <w:sz w:val="24"/>
          <w:szCs w:val="24"/>
        </w:rPr>
        <w:t xml:space="preserve"> Population and Sample Selection</w:t>
      </w:r>
    </w:p>
    <w:p w14:paraId="0986C03B" w14:textId="52122A81"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Target Population. The target population comprised all senior secondary school science students (specifically Grade 11 students enrolled in Physics, Chemistry, and Biology courses) and all practicing science teachers within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Educational Region 1 (Banjul and </w:t>
      </w:r>
      <w:proofErr w:type="spellStart"/>
      <w:r w:rsidRPr="00E4638C">
        <w:rPr>
          <w:rFonts w:ascii="Times New Roman" w:hAnsi="Times New Roman" w:cs="Times New Roman"/>
          <w:sz w:val="24"/>
          <w:szCs w:val="24"/>
        </w:rPr>
        <w:t>Kanifing</w:t>
      </w:r>
      <w:proofErr w:type="spellEnd"/>
      <w:r w:rsidRPr="00E4638C">
        <w:rPr>
          <w:rFonts w:ascii="Times New Roman" w:hAnsi="Times New Roman" w:cs="Times New Roman"/>
          <w:sz w:val="24"/>
          <w:szCs w:val="24"/>
        </w:rPr>
        <w:t xml:space="preserve"> Municipalities) and Region 2 (West Coast Region). These regions represent the urban and </w:t>
      </w:r>
      <w:r w:rsidR="00F07A31" w:rsidRPr="00E4638C">
        <w:rPr>
          <w:rFonts w:ascii="Times New Roman" w:hAnsi="Times New Roman" w:cs="Times New Roman"/>
          <w:sz w:val="24"/>
          <w:szCs w:val="24"/>
        </w:rPr>
        <w:t>peri urban</w:t>
      </w:r>
      <w:r w:rsidRPr="00E4638C">
        <w:rPr>
          <w:rFonts w:ascii="Times New Roman" w:hAnsi="Times New Roman" w:cs="Times New Roman"/>
          <w:sz w:val="24"/>
          <w:szCs w:val="24"/>
        </w:rPr>
        <w:t xml:space="preserve"> economic spine of The Gambia, where classroom overcrowding is most acute due to rapid demographic migration from rural areas.</w:t>
      </w:r>
    </w:p>
    <w:p w14:paraId="118943DF" w14:textId="77777777" w:rsidR="00C725CE" w:rsidRPr="00E4638C" w:rsidRDefault="00C725CE" w:rsidP="00E4638C">
      <w:pPr>
        <w:spacing w:line="360" w:lineRule="auto"/>
        <w:jc w:val="both"/>
        <w:rPr>
          <w:rFonts w:ascii="Times New Roman" w:hAnsi="Times New Roman" w:cs="Times New Roman"/>
          <w:sz w:val="24"/>
          <w:szCs w:val="24"/>
        </w:rPr>
      </w:pPr>
    </w:p>
    <w:p w14:paraId="69EA8117" w14:textId="2F808C2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Sampling Procedure. A multistage stratified random sampling procedure was carried out as follows:</w:t>
      </w:r>
    </w:p>
    <w:p w14:paraId="691F213C" w14:textId="0A8B3C11" w:rsidR="00C725CE" w:rsidRPr="00E4638C" w:rsidRDefault="00C725CE" w:rsidP="00E4638C">
      <w:pPr>
        <w:spacing w:line="360" w:lineRule="auto"/>
        <w:jc w:val="both"/>
        <w:rPr>
          <w:rFonts w:ascii="Times New Roman" w:hAnsi="Times New Roman" w:cs="Times New Roman"/>
          <w:sz w:val="24"/>
          <w:szCs w:val="24"/>
        </w:rPr>
      </w:pPr>
      <w:r w:rsidRPr="0097146E">
        <w:rPr>
          <w:rFonts w:ascii="Times New Roman" w:hAnsi="Times New Roman" w:cs="Times New Roman"/>
          <w:b/>
          <w:bCs/>
          <w:sz w:val="24"/>
          <w:szCs w:val="24"/>
        </w:rPr>
        <w:t>Stage 1:</w:t>
      </w:r>
      <w:r w:rsidRPr="00E4638C">
        <w:rPr>
          <w:rFonts w:ascii="Times New Roman" w:hAnsi="Times New Roman" w:cs="Times New Roman"/>
          <w:sz w:val="24"/>
          <w:szCs w:val="24"/>
        </w:rPr>
        <w:t xml:space="preserve"> Twelve (12) public and </w:t>
      </w:r>
      <w:r w:rsidR="00E92F96" w:rsidRPr="00E4638C">
        <w:rPr>
          <w:rFonts w:ascii="Times New Roman" w:hAnsi="Times New Roman" w:cs="Times New Roman"/>
          <w:sz w:val="24"/>
          <w:szCs w:val="24"/>
        </w:rPr>
        <w:t>government aided</w:t>
      </w:r>
      <w:r w:rsidRPr="00E4638C">
        <w:rPr>
          <w:rFonts w:ascii="Times New Roman" w:hAnsi="Times New Roman" w:cs="Times New Roman"/>
          <w:sz w:val="24"/>
          <w:szCs w:val="24"/>
        </w:rPr>
        <w:t xml:space="preserve"> senior secondary schools were selected and stratified based on their prevailing enrolment densities. Six schools were </w:t>
      </w:r>
      <w:r w:rsidR="00E92F96" w:rsidRPr="00E4638C">
        <w:rPr>
          <w:rFonts w:ascii="Times New Roman" w:hAnsi="Times New Roman" w:cs="Times New Roman"/>
          <w:sz w:val="24"/>
          <w:szCs w:val="24"/>
        </w:rPr>
        <w:t>characterized</w:t>
      </w:r>
      <w:r w:rsidRPr="00E4638C">
        <w:rPr>
          <w:rFonts w:ascii="Times New Roman" w:hAnsi="Times New Roman" w:cs="Times New Roman"/>
          <w:sz w:val="24"/>
          <w:szCs w:val="24"/>
        </w:rPr>
        <w:t xml:space="preserve"> by chronically large cohorts (average class size &gt;55 students), and six schools contained structurally managed, smaller sections (average class size ≤35 students). This stratification ensured adequate representation of both class size conditions.</w:t>
      </w:r>
    </w:p>
    <w:p w14:paraId="54871A7B" w14:textId="7C784223" w:rsidR="00C725CE" w:rsidRPr="00E4638C" w:rsidRDefault="00C725CE" w:rsidP="00E4638C">
      <w:pPr>
        <w:spacing w:line="360" w:lineRule="auto"/>
        <w:jc w:val="both"/>
        <w:rPr>
          <w:rFonts w:ascii="Times New Roman" w:hAnsi="Times New Roman" w:cs="Times New Roman"/>
          <w:sz w:val="24"/>
          <w:szCs w:val="24"/>
        </w:rPr>
      </w:pPr>
      <w:r w:rsidRPr="0097146E">
        <w:rPr>
          <w:rFonts w:ascii="Times New Roman" w:hAnsi="Times New Roman" w:cs="Times New Roman"/>
          <w:b/>
          <w:bCs/>
          <w:sz w:val="24"/>
          <w:szCs w:val="24"/>
        </w:rPr>
        <w:t>Stage 2:</w:t>
      </w:r>
      <w:r w:rsidRPr="00E4638C">
        <w:rPr>
          <w:rFonts w:ascii="Times New Roman" w:hAnsi="Times New Roman" w:cs="Times New Roman"/>
          <w:sz w:val="24"/>
          <w:szCs w:val="24"/>
        </w:rPr>
        <w:t xml:space="preserve"> Within these strata, a total of 360 Grade 11 science students were randomly selected using school registry lists. Exactly 180 students came from reduced classes and 180 from large classes. </w:t>
      </w:r>
      <w:proofErr w:type="spellStart"/>
      <w:r w:rsidRPr="00E4638C">
        <w:rPr>
          <w:rFonts w:ascii="Times New Roman" w:hAnsi="Times New Roman" w:cs="Times New Roman"/>
          <w:sz w:val="24"/>
          <w:szCs w:val="24"/>
        </w:rPr>
        <w:t>Randomisation</w:t>
      </w:r>
      <w:proofErr w:type="spellEnd"/>
      <w:r w:rsidRPr="00E4638C">
        <w:rPr>
          <w:rFonts w:ascii="Times New Roman" w:hAnsi="Times New Roman" w:cs="Times New Roman"/>
          <w:sz w:val="24"/>
          <w:szCs w:val="24"/>
        </w:rPr>
        <w:t xml:space="preserve"> was achieved using a </w:t>
      </w:r>
      <w:r w:rsidR="00E92F96" w:rsidRPr="00E4638C">
        <w:rPr>
          <w:rFonts w:ascii="Times New Roman" w:hAnsi="Times New Roman" w:cs="Times New Roman"/>
          <w:sz w:val="24"/>
          <w:szCs w:val="24"/>
        </w:rPr>
        <w:t>computer-generated</w:t>
      </w:r>
      <w:r w:rsidRPr="00E4638C">
        <w:rPr>
          <w:rFonts w:ascii="Times New Roman" w:hAnsi="Times New Roman" w:cs="Times New Roman"/>
          <w:sz w:val="24"/>
          <w:szCs w:val="24"/>
        </w:rPr>
        <w:t xml:space="preserve"> random number sequence applied to each school’s enrolment roster.</w:t>
      </w:r>
    </w:p>
    <w:p w14:paraId="5E0FBABF" w14:textId="213E32BC" w:rsidR="00C725CE" w:rsidRPr="00E4638C" w:rsidRDefault="00C725CE" w:rsidP="00E4638C">
      <w:pPr>
        <w:spacing w:line="360" w:lineRule="auto"/>
        <w:jc w:val="both"/>
        <w:rPr>
          <w:rFonts w:ascii="Times New Roman" w:hAnsi="Times New Roman" w:cs="Times New Roman"/>
          <w:sz w:val="24"/>
          <w:szCs w:val="24"/>
        </w:rPr>
      </w:pPr>
      <w:r w:rsidRPr="0097146E">
        <w:rPr>
          <w:rFonts w:ascii="Times New Roman" w:hAnsi="Times New Roman" w:cs="Times New Roman"/>
          <w:b/>
          <w:bCs/>
          <w:sz w:val="24"/>
          <w:szCs w:val="24"/>
        </w:rPr>
        <w:t>Stage 3:</w:t>
      </w:r>
      <w:r w:rsidRPr="00E4638C">
        <w:rPr>
          <w:rFonts w:ascii="Times New Roman" w:hAnsi="Times New Roman" w:cs="Times New Roman"/>
          <w:sz w:val="24"/>
          <w:szCs w:val="24"/>
        </w:rPr>
        <w:t xml:space="preserve"> Simultaneously, 80 science teachers (comprising instructors of Physics, Chemistry, and Biology across the selected institutions) were enrolled to complete the psychometric morale instrument. The teacher sample included 28 Physics teachers, 27 Chemistry teachers, and 25 Biology teachers, reflecting balanced disciplinary representation.</w:t>
      </w:r>
    </w:p>
    <w:p w14:paraId="1C7C17F7" w14:textId="77777777" w:rsidR="00C725CE" w:rsidRPr="00E4638C" w:rsidRDefault="00C725CE" w:rsidP="00E4638C">
      <w:pPr>
        <w:spacing w:line="360" w:lineRule="auto"/>
        <w:jc w:val="both"/>
        <w:rPr>
          <w:rFonts w:ascii="Times New Roman" w:hAnsi="Times New Roman" w:cs="Times New Roman"/>
          <w:sz w:val="24"/>
          <w:szCs w:val="24"/>
        </w:rPr>
      </w:pPr>
    </w:p>
    <w:p w14:paraId="5FB02BC1" w14:textId="5F9AFB5E" w:rsidR="00C725CE" w:rsidRPr="00E4638C" w:rsidRDefault="00C725CE" w:rsidP="00E4638C">
      <w:pPr>
        <w:spacing w:line="360" w:lineRule="auto"/>
        <w:jc w:val="both"/>
        <w:rPr>
          <w:rFonts w:ascii="Times New Roman" w:hAnsi="Times New Roman" w:cs="Times New Roman"/>
          <w:sz w:val="24"/>
          <w:szCs w:val="24"/>
        </w:rPr>
      </w:pPr>
      <w:r w:rsidRPr="0097146E">
        <w:rPr>
          <w:rFonts w:ascii="Times New Roman" w:hAnsi="Times New Roman" w:cs="Times New Roman"/>
          <w:b/>
          <w:bCs/>
          <w:sz w:val="24"/>
          <w:szCs w:val="24"/>
        </w:rPr>
        <w:lastRenderedPageBreak/>
        <w:t>Stage 4:</w:t>
      </w:r>
      <w:r w:rsidRPr="00E4638C">
        <w:rPr>
          <w:rFonts w:ascii="Times New Roman" w:hAnsi="Times New Roman" w:cs="Times New Roman"/>
          <w:sz w:val="24"/>
          <w:szCs w:val="24"/>
        </w:rPr>
        <w:t xml:space="preserve"> From this teacher cohort, 12 educators were selected via purposive sampling for </w:t>
      </w:r>
      <w:r w:rsidR="00E92F96" w:rsidRPr="00E4638C">
        <w:rPr>
          <w:rFonts w:ascii="Times New Roman" w:hAnsi="Times New Roman" w:cs="Times New Roman"/>
          <w:sz w:val="24"/>
          <w:szCs w:val="24"/>
        </w:rPr>
        <w:t>in-depth</w:t>
      </w:r>
      <w:r w:rsidRPr="00E4638C">
        <w:rPr>
          <w:rFonts w:ascii="Times New Roman" w:hAnsi="Times New Roman" w:cs="Times New Roman"/>
          <w:sz w:val="24"/>
          <w:szCs w:val="24"/>
        </w:rPr>
        <w:t xml:space="preserve"> qualitative interviewing. Purposive selection criteria included: (a) years of teaching experience (range 2–20 years to capture novice to veteran perspectives), (b) extreme classroom density profiles (six from large classes, six from reduced classes), and (c) willingness to participate in </w:t>
      </w:r>
      <w:r w:rsidR="00E92F96" w:rsidRPr="00E4638C">
        <w:rPr>
          <w:rFonts w:ascii="Times New Roman" w:hAnsi="Times New Roman" w:cs="Times New Roman"/>
          <w:sz w:val="24"/>
          <w:szCs w:val="24"/>
        </w:rPr>
        <w:t>audio recorded</w:t>
      </w:r>
      <w:r w:rsidRPr="00E4638C">
        <w:rPr>
          <w:rFonts w:ascii="Times New Roman" w:hAnsi="Times New Roman" w:cs="Times New Roman"/>
          <w:sz w:val="24"/>
          <w:szCs w:val="24"/>
        </w:rPr>
        <w:t xml:space="preserve"> interviews and observed classroom sessions.</w:t>
      </w:r>
    </w:p>
    <w:p w14:paraId="048B80D4" w14:textId="77777777" w:rsidR="00C725CE" w:rsidRPr="00E4638C" w:rsidRDefault="00C725CE" w:rsidP="00E4638C">
      <w:pPr>
        <w:spacing w:line="360" w:lineRule="auto"/>
        <w:jc w:val="both"/>
        <w:rPr>
          <w:rFonts w:ascii="Times New Roman" w:hAnsi="Times New Roman" w:cs="Times New Roman"/>
          <w:sz w:val="24"/>
          <w:szCs w:val="24"/>
        </w:rPr>
      </w:pPr>
    </w:p>
    <w:p w14:paraId="252CD3C8" w14:textId="69F7BF84" w:rsidR="00C725CE" w:rsidRPr="0097146E"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97146E">
        <w:rPr>
          <w:rFonts w:ascii="Times New Roman" w:hAnsi="Times New Roman" w:cs="Times New Roman"/>
          <w:b/>
          <w:bCs/>
          <w:sz w:val="24"/>
          <w:szCs w:val="24"/>
        </w:rPr>
        <w:t>Instrumentation</w:t>
      </w:r>
    </w:p>
    <w:p w14:paraId="43C55FDF" w14:textId="071AC729"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Integrated Science Achievement Test (ISAT). Student cognitive outcomes were measured using the ISAT, a 50item </w:t>
      </w:r>
      <w:proofErr w:type="spellStart"/>
      <w:r w:rsidRPr="00E4638C">
        <w:rPr>
          <w:rFonts w:ascii="Times New Roman" w:hAnsi="Times New Roman" w:cs="Times New Roman"/>
          <w:sz w:val="24"/>
          <w:szCs w:val="24"/>
        </w:rPr>
        <w:t>standardised</w:t>
      </w:r>
      <w:proofErr w:type="spellEnd"/>
      <w:r w:rsidRPr="00E4638C">
        <w:rPr>
          <w:rFonts w:ascii="Times New Roman" w:hAnsi="Times New Roman" w:cs="Times New Roman"/>
          <w:sz w:val="24"/>
          <w:szCs w:val="24"/>
        </w:rPr>
        <w:t xml:space="preserve"> </w:t>
      </w:r>
      <w:r w:rsidR="00E92F96" w:rsidRPr="00E4638C">
        <w:rPr>
          <w:rFonts w:ascii="Times New Roman" w:hAnsi="Times New Roman" w:cs="Times New Roman"/>
          <w:sz w:val="24"/>
          <w:szCs w:val="24"/>
        </w:rPr>
        <w:t>multiple-choice</w:t>
      </w:r>
      <w:r w:rsidRPr="00E4638C">
        <w:rPr>
          <w:rFonts w:ascii="Times New Roman" w:hAnsi="Times New Roman" w:cs="Times New Roman"/>
          <w:sz w:val="24"/>
          <w:szCs w:val="24"/>
        </w:rPr>
        <w:t xml:space="preserve"> and </w:t>
      </w:r>
      <w:r w:rsidR="00E92F96" w:rsidRPr="00E4638C">
        <w:rPr>
          <w:rFonts w:ascii="Times New Roman" w:hAnsi="Times New Roman" w:cs="Times New Roman"/>
          <w:sz w:val="24"/>
          <w:szCs w:val="24"/>
        </w:rPr>
        <w:t>short answer</w:t>
      </w:r>
      <w:r w:rsidRPr="00E4638C">
        <w:rPr>
          <w:rFonts w:ascii="Times New Roman" w:hAnsi="Times New Roman" w:cs="Times New Roman"/>
          <w:sz w:val="24"/>
          <w:szCs w:val="24"/>
        </w:rPr>
        <w:t xml:space="preserve"> instrument developed by the researchers. The test items were closely aligned with the West African Examinations Council (WAEC) core syllabus benchmarks for Grade 11 Physics, Chemistry, and Biology, ensuring curriculum validity. Items were specifically designed to assess </w:t>
      </w:r>
      <w:r w:rsidR="00E92F96" w:rsidRPr="00E4638C">
        <w:rPr>
          <w:rFonts w:ascii="Times New Roman" w:hAnsi="Times New Roman" w:cs="Times New Roman"/>
          <w:sz w:val="24"/>
          <w:szCs w:val="24"/>
        </w:rPr>
        <w:t>higher order</w:t>
      </w:r>
      <w:r w:rsidRPr="00E4638C">
        <w:rPr>
          <w:rFonts w:ascii="Times New Roman" w:hAnsi="Times New Roman" w:cs="Times New Roman"/>
          <w:sz w:val="24"/>
          <w:szCs w:val="24"/>
        </w:rPr>
        <w:t xml:space="preserve"> cognitive domains within Bloom’s Revised Taxonomy—specifically scientific analysis (20 items), data interpretation (15 items), and conceptual application (15 items)—rather than simple factual recall. Each correct response earned one point, yielding a total possible score of 50, subsequently converted to a percentage.</w:t>
      </w:r>
    </w:p>
    <w:p w14:paraId="05FBBB0B" w14:textId="77777777" w:rsidR="00C725CE" w:rsidRPr="00E4638C" w:rsidRDefault="00C725CE" w:rsidP="00E4638C">
      <w:pPr>
        <w:spacing w:line="360" w:lineRule="auto"/>
        <w:jc w:val="both"/>
        <w:rPr>
          <w:rFonts w:ascii="Times New Roman" w:hAnsi="Times New Roman" w:cs="Times New Roman"/>
          <w:sz w:val="24"/>
          <w:szCs w:val="24"/>
        </w:rPr>
      </w:pPr>
    </w:p>
    <w:p w14:paraId="1FADADBD" w14:textId="7FF0A6E7"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Science Teacher Morale and Efficacy Scale (STMES). To quantify teacher wellbeing, the STMES was constructed by adapting elements from the Maslach Burnout Inventory (MBI; Maslach, Jackson, &amp; Leiter, 1996) and the Bandura Teacher </w:t>
      </w:r>
      <w:r w:rsidR="00E92F96" w:rsidRPr="00E4638C">
        <w:rPr>
          <w:rFonts w:ascii="Times New Roman" w:hAnsi="Times New Roman" w:cs="Times New Roman"/>
          <w:sz w:val="24"/>
          <w:szCs w:val="24"/>
        </w:rPr>
        <w:t>Self Efficacy</w:t>
      </w:r>
      <w:r w:rsidRPr="00E4638C">
        <w:rPr>
          <w:rFonts w:ascii="Times New Roman" w:hAnsi="Times New Roman" w:cs="Times New Roman"/>
          <w:sz w:val="24"/>
          <w:szCs w:val="24"/>
        </w:rPr>
        <w:t xml:space="preserve"> Scale (Bandura, 2006). The 30item instrument used a 5point Likert response format ranging from 1 (Strongly Disagree) to 5 (Strongly Agree). The instrument comprised three validated subscales:</w:t>
      </w:r>
    </w:p>
    <w:p w14:paraId="64EEE02F" w14:textId="6F52B422"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 Instructional Efficacy (10 items): Captured teachers’ confidence in conducting laboratory experiments, managing student misconceptions, differentiating instruction, and facilitating </w:t>
      </w:r>
      <w:r w:rsidR="00F07A31" w:rsidRPr="00E4638C">
        <w:rPr>
          <w:rFonts w:ascii="Times New Roman" w:hAnsi="Times New Roman" w:cs="Times New Roman"/>
          <w:sz w:val="24"/>
          <w:szCs w:val="24"/>
        </w:rPr>
        <w:t>inquiry-based</w:t>
      </w:r>
      <w:r w:rsidRPr="00E4638C">
        <w:rPr>
          <w:rFonts w:ascii="Times New Roman" w:hAnsi="Times New Roman" w:cs="Times New Roman"/>
          <w:sz w:val="24"/>
          <w:szCs w:val="24"/>
        </w:rPr>
        <w:t xml:space="preserve"> learning.</w:t>
      </w:r>
    </w:p>
    <w:p w14:paraId="3B1B5194" w14:textId="01A6295B"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 Workload Satisfaction (10 items): Assessed perceived fairness and manageability of grading, lesson planning, administrative requirements, and nonteaching duties.</w:t>
      </w:r>
    </w:p>
    <w:p w14:paraId="29305220" w14:textId="5E8D296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lastRenderedPageBreak/>
        <w:t xml:space="preserve"> Professional Burnout (10 items): Measured emotional exhaustion, </w:t>
      </w:r>
      <w:proofErr w:type="spellStart"/>
      <w:r w:rsidRPr="00E4638C">
        <w:rPr>
          <w:rFonts w:ascii="Times New Roman" w:hAnsi="Times New Roman" w:cs="Times New Roman"/>
          <w:sz w:val="24"/>
          <w:szCs w:val="24"/>
        </w:rPr>
        <w:t>depersonalisation</w:t>
      </w:r>
      <w:proofErr w:type="spellEnd"/>
      <w:r w:rsidRPr="00E4638C">
        <w:rPr>
          <w:rFonts w:ascii="Times New Roman" w:hAnsi="Times New Roman" w:cs="Times New Roman"/>
          <w:sz w:val="24"/>
          <w:szCs w:val="24"/>
        </w:rPr>
        <w:t>, fatigue of daily teaching, and intentions to leave the profession.</w:t>
      </w:r>
    </w:p>
    <w:p w14:paraId="3DCB5670" w14:textId="0DD42A5B" w:rsidR="00C725CE" w:rsidRPr="00E4638C" w:rsidRDefault="00C725CE" w:rsidP="00E4638C">
      <w:pPr>
        <w:spacing w:line="360" w:lineRule="auto"/>
        <w:jc w:val="both"/>
        <w:rPr>
          <w:rFonts w:ascii="Times New Roman" w:hAnsi="Times New Roman" w:cs="Times New Roman"/>
          <w:sz w:val="24"/>
          <w:szCs w:val="24"/>
        </w:rPr>
      </w:pPr>
      <w:r w:rsidRPr="0097146E">
        <w:rPr>
          <w:rFonts w:ascii="Times New Roman" w:hAnsi="Times New Roman" w:cs="Times New Roman"/>
          <w:b/>
          <w:bCs/>
          <w:sz w:val="24"/>
          <w:szCs w:val="24"/>
        </w:rPr>
        <w:t>Qualitative Instruments.</w:t>
      </w:r>
      <w:r w:rsidRPr="00E4638C">
        <w:rPr>
          <w:rFonts w:ascii="Times New Roman" w:hAnsi="Times New Roman" w:cs="Times New Roman"/>
          <w:sz w:val="24"/>
          <w:szCs w:val="24"/>
        </w:rPr>
        <w:t xml:space="preserve"> Qualitative protocols consisted of two components. First, a </w:t>
      </w:r>
      <w:r w:rsidR="00E92F96" w:rsidRPr="00E4638C">
        <w:rPr>
          <w:rFonts w:ascii="Times New Roman" w:hAnsi="Times New Roman" w:cs="Times New Roman"/>
          <w:sz w:val="24"/>
          <w:szCs w:val="24"/>
        </w:rPr>
        <w:t>semi structured</w:t>
      </w:r>
      <w:r w:rsidRPr="00E4638C">
        <w:rPr>
          <w:rFonts w:ascii="Times New Roman" w:hAnsi="Times New Roman" w:cs="Times New Roman"/>
          <w:sz w:val="24"/>
          <w:szCs w:val="24"/>
        </w:rPr>
        <w:t xml:space="preserve"> interview schedule was developed, focusing on: (a) pedagogical adaptations made in response to overcrowding, (b) perceptions of workload fairness and manageability, (c) emotional and psychological experiences of teaching large versus small classes, and (d) suggestions for policy improvement. Second, a structured classroom observation matrix was designed to record the frequency of </w:t>
      </w:r>
      <w:r w:rsidR="00E92F96" w:rsidRPr="00E4638C">
        <w:rPr>
          <w:rFonts w:ascii="Times New Roman" w:hAnsi="Times New Roman" w:cs="Times New Roman"/>
          <w:sz w:val="24"/>
          <w:szCs w:val="24"/>
        </w:rPr>
        <w:t>student-centered</w:t>
      </w:r>
      <w:r w:rsidRPr="00E4638C">
        <w:rPr>
          <w:rFonts w:ascii="Times New Roman" w:hAnsi="Times New Roman" w:cs="Times New Roman"/>
          <w:sz w:val="24"/>
          <w:szCs w:val="24"/>
        </w:rPr>
        <w:t xml:space="preserve"> activities, time lost to disciplinary management, levels of student engagement (</w:t>
      </w:r>
      <w:r w:rsidR="00E92F96" w:rsidRPr="00E4638C">
        <w:rPr>
          <w:rFonts w:ascii="Times New Roman" w:hAnsi="Times New Roman" w:cs="Times New Roman"/>
          <w:sz w:val="24"/>
          <w:szCs w:val="24"/>
        </w:rPr>
        <w:t>on task</w:t>
      </w:r>
      <w:r w:rsidRPr="00E4638C">
        <w:rPr>
          <w:rFonts w:ascii="Times New Roman" w:hAnsi="Times New Roman" w:cs="Times New Roman"/>
          <w:sz w:val="24"/>
          <w:szCs w:val="24"/>
        </w:rPr>
        <w:t xml:space="preserve"> vs. </w:t>
      </w:r>
      <w:r w:rsidR="00E92F96" w:rsidRPr="00E4638C">
        <w:rPr>
          <w:rFonts w:ascii="Times New Roman" w:hAnsi="Times New Roman" w:cs="Times New Roman"/>
          <w:sz w:val="24"/>
          <w:szCs w:val="24"/>
        </w:rPr>
        <w:t>off task</w:t>
      </w:r>
      <w:r w:rsidRPr="00E4638C">
        <w:rPr>
          <w:rFonts w:ascii="Times New Roman" w:hAnsi="Times New Roman" w:cs="Times New Roman"/>
          <w:sz w:val="24"/>
          <w:szCs w:val="24"/>
        </w:rPr>
        <w:t xml:space="preserve"> </w:t>
      </w:r>
      <w:r w:rsidR="00E92F96" w:rsidRPr="00E4638C">
        <w:rPr>
          <w:rFonts w:ascii="Times New Roman" w:hAnsi="Times New Roman" w:cs="Times New Roman"/>
          <w:sz w:val="24"/>
          <w:szCs w:val="24"/>
        </w:rPr>
        <w:t>behavior</w:t>
      </w:r>
      <w:r w:rsidRPr="00E4638C">
        <w:rPr>
          <w:rFonts w:ascii="Times New Roman" w:hAnsi="Times New Roman" w:cs="Times New Roman"/>
          <w:sz w:val="24"/>
          <w:szCs w:val="24"/>
        </w:rPr>
        <w:t xml:space="preserve">), and </w:t>
      </w:r>
      <w:r w:rsidR="00E92F96" w:rsidRPr="00E4638C">
        <w:rPr>
          <w:rFonts w:ascii="Times New Roman" w:hAnsi="Times New Roman" w:cs="Times New Roman"/>
          <w:sz w:val="24"/>
          <w:szCs w:val="24"/>
        </w:rPr>
        <w:t>teacher student</w:t>
      </w:r>
      <w:r w:rsidRPr="00E4638C">
        <w:rPr>
          <w:rFonts w:ascii="Times New Roman" w:hAnsi="Times New Roman" w:cs="Times New Roman"/>
          <w:sz w:val="24"/>
          <w:szCs w:val="24"/>
        </w:rPr>
        <w:t xml:space="preserve"> interaction patterns.</w:t>
      </w:r>
    </w:p>
    <w:p w14:paraId="3CBFE519" w14:textId="77777777" w:rsidR="00C725CE" w:rsidRPr="00E4638C" w:rsidRDefault="00C725CE" w:rsidP="00E4638C">
      <w:pPr>
        <w:spacing w:line="360" w:lineRule="auto"/>
        <w:jc w:val="both"/>
        <w:rPr>
          <w:rFonts w:ascii="Times New Roman" w:hAnsi="Times New Roman" w:cs="Times New Roman"/>
          <w:sz w:val="24"/>
          <w:szCs w:val="24"/>
        </w:rPr>
      </w:pPr>
    </w:p>
    <w:p w14:paraId="1FBFBD34" w14:textId="30E5FBFE" w:rsidR="00C725CE" w:rsidRPr="00DE464F" w:rsidRDefault="00C725CE" w:rsidP="00E4638C">
      <w:pPr>
        <w:spacing w:line="360" w:lineRule="auto"/>
        <w:jc w:val="both"/>
        <w:rPr>
          <w:rFonts w:ascii="Times New Roman" w:hAnsi="Times New Roman" w:cs="Times New Roman"/>
          <w:b/>
          <w:bCs/>
          <w:sz w:val="24"/>
          <w:szCs w:val="24"/>
        </w:rPr>
      </w:pPr>
      <w:r w:rsidRPr="00DE464F">
        <w:rPr>
          <w:rFonts w:ascii="Times New Roman" w:hAnsi="Times New Roman" w:cs="Times New Roman"/>
          <w:b/>
          <w:bCs/>
          <w:sz w:val="24"/>
          <w:szCs w:val="24"/>
        </w:rPr>
        <w:t xml:space="preserve"> Validity and Reliability</w:t>
      </w:r>
    </w:p>
    <w:p w14:paraId="19CA329C" w14:textId="5EAD3AB3"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Content and Construct Validity. To ensure construct and content validity, the ISAT items and STMES scale dimensions were thoroughly reviewed by a panel of five expert science educators from the University of The Gambia and three senior curriculum specialists from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The panel assessed each item for relevance, clarity, freedom from bias, and alignment with the theoretical definitions of the constructs. Items rated as “not relevant” by two or more </w:t>
      </w:r>
      <w:proofErr w:type="spellStart"/>
      <w:r w:rsidRPr="00E4638C">
        <w:rPr>
          <w:rFonts w:ascii="Times New Roman" w:hAnsi="Times New Roman" w:cs="Times New Roman"/>
          <w:sz w:val="24"/>
          <w:szCs w:val="24"/>
        </w:rPr>
        <w:t>panellists</w:t>
      </w:r>
      <w:proofErr w:type="spellEnd"/>
      <w:r w:rsidRPr="00E4638C">
        <w:rPr>
          <w:rFonts w:ascii="Times New Roman" w:hAnsi="Times New Roman" w:cs="Times New Roman"/>
          <w:sz w:val="24"/>
          <w:szCs w:val="24"/>
        </w:rPr>
        <w:t xml:space="preserve"> were revised or removed. This process resulted in minor refinements to three ISAT items and two STMES items.</w:t>
      </w:r>
    </w:p>
    <w:p w14:paraId="7D043F6B" w14:textId="77777777" w:rsidR="00C725CE" w:rsidRPr="00E4638C" w:rsidRDefault="00C725CE" w:rsidP="00E4638C">
      <w:pPr>
        <w:spacing w:line="360" w:lineRule="auto"/>
        <w:jc w:val="both"/>
        <w:rPr>
          <w:rFonts w:ascii="Times New Roman" w:hAnsi="Times New Roman" w:cs="Times New Roman"/>
          <w:sz w:val="24"/>
          <w:szCs w:val="24"/>
        </w:rPr>
      </w:pPr>
    </w:p>
    <w:p w14:paraId="2701E748" w14:textId="79823645"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Reliability. A pilot study was conducted in two non</w:t>
      </w:r>
      <w:r w:rsidR="000C28A2">
        <w:rPr>
          <w:rFonts w:ascii="Times New Roman" w:hAnsi="Times New Roman" w:cs="Times New Roman"/>
          <w:sz w:val="24"/>
          <w:szCs w:val="24"/>
        </w:rPr>
        <w:t>-</w:t>
      </w:r>
      <w:r w:rsidRPr="00E4638C">
        <w:rPr>
          <w:rFonts w:ascii="Times New Roman" w:hAnsi="Times New Roman" w:cs="Times New Roman"/>
          <w:sz w:val="24"/>
          <w:szCs w:val="24"/>
        </w:rPr>
        <w:t xml:space="preserve">sampled senior secondary schools (N=60 students, N=15 teachers) to calculate internal consistency metrics. For the ISAT, the </w:t>
      </w:r>
      <w:r w:rsidR="00F07A31" w:rsidRPr="00E4638C">
        <w:rPr>
          <w:rFonts w:ascii="Times New Roman" w:hAnsi="Times New Roman" w:cs="Times New Roman"/>
          <w:sz w:val="24"/>
          <w:szCs w:val="24"/>
        </w:rPr>
        <w:t>Kuder Richardson</w:t>
      </w:r>
      <w:r w:rsidRPr="00E4638C">
        <w:rPr>
          <w:rFonts w:ascii="Times New Roman" w:hAnsi="Times New Roman" w:cs="Times New Roman"/>
          <w:sz w:val="24"/>
          <w:szCs w:val="24"/>
        </w:rPr>
        <w:t xml:space="preserve"> Formula 20 (KR20) was computed, yielding a coefficient of 0.84, indicating good internal consistency for a cognitive achievement test. For the STMES subscales, Cronbach’s alpha (α) coefficients were computed as follows: Instructional Efficacy (α = 0.81), Workload Satisfaction (α = 0.79), and Professional Burnout (α = 0.86). These statistics confirm that the measurement instruments possessed high internal reliability, exceeding the conventional threshold of 0.70 recommended for educational research (Nunnally &amp; Bernstein, 1994).</w:t>
      </w:r>
    </w:p>
    <w:p w14:paraId="0F126EEE" w14:textId="77777777" w:rsidR="00C725CE" w:rsidRPr="00E4638C" w:rsidRDefault="00C725CE" w:rsidP="00E4638C">
      <w:pPr>
        <w:spacing w:line="360" w:lineRule="auto"/>
        <w:jc w:val="both"/>
        <w:rPr>
          <w:rFonts w:ascii="Times New Roman" w:hAnsi="Times New Roman" w:cs="Times New Roman"/>
          <w:sz w:val="24"/>
          <w:szCs w:val="24"/>
        </w:rPr>
      </w:pPr>
    </w:p>
    <w:p w14:paraId="2C810CE3" w14:textId="78F2A57B" w:rsidR="00C725CE" w:rsidRPr="001C199A"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lastRenderedPageBreak/>
        <w:t xml:space="preserve"> </w:t>
      </w:r>
      <w:r w:rsidRPr="001C199A">
        <w:rPr>
          <w:rFonts w:ascii="Times New Roman" w:hAnsi="Times New Roman" w:cs="Times New Roman"/>
          <w:b/>
          <w:bCs/>
          <w:sz w:val="24"/>
          <w:szCs w:val="24"/>
        </w:rPr>
        <w:t>Data Collection Procedures</w:t>
      </w:r>
    </w:p>
    <w:p w14:paraId="187B93F4" w14:textId="7D66F49B"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Data collection took place over a continuous 10week period during the second academic term of the 2024–2025 school year. Formal administrative clearances were secured from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headquarters, followed by individual approvals from the heads of each participating school.</w:t>
      </w:r>
    </w:p>
    <w:p w14:paraId="57E7BF32" w14:textId="71C2DF1C" w:rsidR="00C725CE" w:rsidRPr="00E4638C" w:rsidRDefault="00C725CE" w:rsidP="00E4638C">
      <w:pPr>
        <w:spacing w:line="360" w:lineRule="auto"/>
        <w:jc w:val="both"/>
        <w:rPr>
          <w:rFonts w:ascii="Times New Roman" w:hAnsi="Times New Roman" w:cs="Times New Roman"/>
          <w:sz w:val="24"/>
          <w:szCs w:val="24"/>
        </w:rPr>
      </w:pPr>
      <w:r w:rsidRPr="001C199A">
        <w:rPr>
          <w:rFonts w:ascii="Times New Roman" w:hAnsi="Times New Roman" w:cs="Times New Roman"/>
          <w:b/>
          <w:bCs/>
          <w:sz w:val="24"/>
          <w:szCs w:val="24"/>
        </w:rPr>
        <w:t>Quantitative Data Collection.</w:t>
      </w:r>
      <w:r w:rsidRPr="00E4638C">
        <w:rPr>
          <w:rFonts w:ascii="Times New Roman" w:hAnsi="Times New Roman" w:cs="Times New Roman"/>
          <w:sz w:val="24"/>
          <w:szCs w:val="24"/>
        </w:rPr>
        <w:t xml:space="preserve"> The quantitative instruments were administered under </w:t>
      </w:r>
      <w:proofErr w:type="spellStart"/>
      <w:r w:rsidRPr="00E4638C">
        <w:rPr>
          <w:rFonts w:ascii="Times New Roman" w:hAnsi="Times New Roman" w:cs="Times New Roman"/>
          <w:sz w:val="24"/>
          <w:szCs w:val="24"/>
        </w:rPr>
        <w:t>standardised</w:t>
      </w:r>
      <w:proofErr w:type="spellEnd"/>
      <w:r w:rsidRPr="00E4638C">
        <w:rPr>
          <w:rFonts w:ascii="Times New Roman" w:hAnsi="Times New Roman" w:cs="Times New Roman"/>
          <w:sz w:val="24"/>
          <w:szCs w:val="24"/>
        </w:rPr>
        <w:t xml:space="preserve"> conditions. Students completed the ISAT in a supervised 90minute session held in their regular classrooms during morning hours (8:00–9:30 AM) to control for fatigue effects. Examiners read </w:t>
      </w:r>
      <w:proofErr w:type="spellStart"/>
      <w:r w:rsidRPr="00E4638C">
        <w:rPr>
          <w:rFonts w:ascii="Times New Roman" w:hAnsi="Times New Roman" w:cs="Times New Roman"/>
          <w:sz w:val="24"/>
          <w:szCs w:val="24"/>
        </w:rPr>
        <w:t>standardised</w:t>
      </w:r>
      <w:proofErr w:type="spellEnd"/>
      <w:r w:rsidRPr="00E4638C">
        <w:rPr>
          <w:rFonts w:ascii="Times New Roman" w:hAnsi="Times New Roman" w:cs="Times New Roman"/>
          <w:sz w:val="24"/>
          <w:szCs w:val="24"/>
        </w:rPr>
        <w:t xml:space="preserve"> instructions aloud, and students recorded answers on optical mark recognition sheets to </w:t>
      </w:r>
      <w:proofErr w:type="spellStart"/>
      <w:r w:rsidRPr="00E4638C">
        <w:rPr>
          <w:rFonts w:ascii="Times New Roman" w:hAnsi="Times New Roman" w:cs="Times New Roman"/>
          <w:sz w:val="24"/>
          <w:szCs w:val="24"/>
        </w:rPr>
        <w:t>minimise</w:t>
      </w:r>
      <w:proofErr w:type="spellEnd"/>
      <w:r w:rsidRPr="00E4638C">
        <w:rPr>
          <w:rFonts w:ascii="Times New Roman" w:hAnsi="Times New Roman" w:cs="Times New Roman"/>
          <w:sz w:val="24"/>
          <w:szCs w:val="24"/>
        </w:rPr>
        <w:t xml:space="preserve"> scoring errors. The STMES surveys were distributed to teachers during weekly departmental meetings. Teachers completed the surveys in private, taking approximately 20–25 minutes, and returned them in sealed envelopes to a designated collection box to ensure confidentiality.</w:t>
      </w:r>
    </w:p>
    <w:p w14:paraId="709ECCE9" w14:textId="77777777" w:rsidR="00C725CE" w:rsidRPr="00E4638C" w:rsidRDefault="00C725CE" w:rsidP="00E4638C">
      <w:pPr>
        <w:spacing w:line="360" w:lineRule="auto"/>
        <w:jc w:val="both"/>
        <w:rPr>
          <w:rFonts w:ascii="Times New Roman" w:hAnsi="Times New Roman" w:cs="Times New Roman"/>
          <w:sz w:val="24"/>
          <w:szCs w:val="24"/>
        </w:rPr>
      </w:pPr>
    </w:p>
    <w:p w14:paraId="7100F99A" w14:textId="2C84DF75" w:rsidR="00C725CE" w:rsidRPr="00E4638C" w:rsidRDefault="00C725CE" w:rsidP="00E4638C">
      <w:pPr>
        <w:spacing w:line="360" w:lineRule="auto"/>
        <w:jc w:val="both"/>
        <w:rPr>
          <w:rFonts w:ascii="Times New Roman" w:hAnsi="Times New Roman" w:cs="Times New Roman"/>
          <w:sz w:val="24"/>
          <w:szCs w:val="24"/>
        </w:rPr>
      </w:pPr>
      <w:r w:rsidRPr="001C199A">
        <w:rPr>
          <w:rFonts w:ascii="Times New Roman" w:hAnsi="Times New Roman" w:cs="Times New Roman"/>
          <w:b/>
          <w:bCs/>
          <w:sz w:val="24"/>
          <w:szCs w:val="24"/>
        </w:rPr>
        <w:t>Qualitative Data Collection</w:t>
      </w:r>
      <w:r w:rsidRPr="00E4638C">
        <w:rPr>
          <w:rFonts w:ascii="Times New Roman" w:hAnsi="Times New Roman" w:cs="Times New Roman"/>
          <w:sz w:val="24"/>
          <w:szCs w:val="24"/>
        </w:rPr>
        <w:t xml:space="preserve">. Once the quantitative data were securely compiled and preliminarily </w:t>
      </w:r>
      <w:proofErr w:type="spellStart"/>
      <w:r w:rsidRPr="00E4638C">
        <w:rPr>
          <w:rFonts w:ascii="Times New Roman" w:hAnsi="Times New Roman" w:cs="Times New Roman"/>
          <w:sz w:val="24"/>
          <w:szCs w:val="24"/>
        </w:rPr>
        <w:t>analysed</w:t>
      </w:r>
      <w:proofErr w:type="spellEnd"/>
      <w:r w:rsidRPr="00E4638C">
        <w:rPr>
          <w:rFonts w:ascii="Times New Roman" w:hAnsi="Times New Roman" w:cs="Times New Roman"/>
          <w:sz w:val="24"/>
          <w:szCs w:val="24"/>
        </w:rPr>
        <w:t xml:space="preserve">, the researchers proceeded to the qualitative phase. The 12 </w:t>
      </w:r>
      <w:r w:rsidR="00E92F96" w:rsidRPr="00E4638C">
        <w:rPr>
          <w:rFonts w:ascii="Times New Roman" w:hAnsi="Times New Roman" w:cs="Times New Roman"/>
          <w:sz w:val="24"/>
          <w:szCs w:val="24"/>
        </w:rPr>
        <w:t>semi structured</w:t>
      </w:r>
      <w:r w:rsidRPr="00E4638C">
        <w:rPr>
          <w:rFonts w:ascii="Times New Roman" w:hAnsi="Times New Roman" w:cs="Times New Roman"/>
          <w:sz w:val="24"/>
          <w:szCs w:val="24"/>
        </w:rPr>
        <w:t xml:space="preserve"> interviews were conducted in private staff rooms during nonteaching periods (typically lunch breaks or free periods). Each interview lasted approximately 45–60 minutes and was </w:t>
      </w:r>
      <w:r w:rsidR="00E92F96" w:rsidRPr="00E4638C">
        <w:rPr>
          <w:rFonts w:ascii="Times New Roman" w:hAnsi="Times New Roman" w:cs="Times New Roman"/>
          <w:sz w:val="24"/>
          <w:szCs w:val="24"/>
        </w:rPr>
        <w:t>audio recorded</w:t>
      </w:r>
      <w:r w:rsidRPr="00E4638C">
        <w:rPr>
          <w:rFonts w:ascii="Times New Roman" w:hAnsi="Times New Roman" w:cs="Times New Roman"/>
          <w:sz w:val="24"/>
          <w:szCs w:val="24"/>
        </w:rPr>
        <w:t xml:space="preserve"> using two digital recorders (primary and backup) with explicit written permission from each participant. Field notes were taken during interviews to capture nonverbal cues and emergent themes.</w:t>
      </w:r>
    </w:p>
    <w:p w14:paraId="4D746AF3" w14:textId="1755671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Classroom observations were conducted unobtrusively by two trained researchers over two complete instructional cycles (each cycle consisting of three consecutive 45minute lessons) per school. Observers sat at the back of the classroom, did not interact with students or teachers during instruction, and completed the structured observation matrix every 10 minutes. To </w:t>
      </w:r>
      <w:proofErr w:type="spellStart"/>
      <w:r w:rsidRPr="00E4638C">
        <w:rPr>
          <w:rFonts w:ascii="Times New Roman" w:hAnsi="Times New Roman" w:cs="Times New Roman"/>
          <w:sz w:val="24"/>
          <w:szCs w:val="24"/>
        </w:rPr>
        <w:t>minimise</w:t>
      </w:r>
      <w:proofErr w:type="spellEnd"/>
      <w:r w:rsidRPr="00E4638C">
        <w:rPr>
          <w:rFonts w:ascii="Times New Roman" w:hAnsi="Times New Roman" w:cs="Times New Roman"/>
          <w:sz w:val="24"/>
          <w:szCs w:val="24"/>
        </w:rPr>
        <w:t xml:space="preserve"> observer effects (Hawthorne effect), observations began only after the third day of the researcher’s presence in the school, allowing teachers and students to habituate to the observers’ presence.</w:t>
      </w:r>
    </w:p>
    <w:p w14:paraId="0637DC99" w14:textId="77777777" w:rsidR="00C725CE" w:rsidRDefault="00C725CE" w:rsidP="00E4638C">
      <w:pPr>
        <w:spacing w:line="360" w:lineRule="auto"/>
        <w:jc w:val="both"/>
        <w:rPr>
          <w:rFonts w:ascii="Times New Roman" w:hAnsi="Times New Roman" w:cs="Times New Roman"/>
          <w:sz w:val="24"/>
          <w:szCs w:val="24"/>
        </w:rPr>
      </w:pPr>
    </w:p>
    <w:p w14:paraId="7998BDD6" w14:textId="77777777" w:rsidR="000C28A2" w:rsidRDefault="000C28A2" w:rsidP="00E4638C">
      <w:pPr>
        <w:spacing w:line="360" w:lineRule="auto"/>
        <w:jc w:val="both"/>
        <w:rPr>
          <w:rFonts w:ascii="Times New Roman" w:hAnsi="Times New Roman" w:cs="Times New Roman"/>
          <w:sz w:val="24"/>
          <w:szCs w:val="24"/>
        </w:rPr>
      </w:pPr>
    </w:p>
    <w:p w14:paraId="69BCB0F8" w14:textId="77777777" w:rsidR="000C28A2" w:rsidRPr="00E4638C" w:rsidRDefault="000C28A2" w:rsidP="00E4638C">
      <w:pPr>
        <w:spacing w:line="360" w:lineRule="auto"/>
        <w:jc w:val="both"/>
        <w:rPr>
          <w:rFonts w:ascii="Times New Roman" w:hAnsi="Times New Roman" w:cs="Times New Roman"/>
          <w:sz w:val="24"/>
          <w:szCs w:val="24"/>
        </w:rPr>
      </w:pPr>
    </w:p>
    <w:p w14:paraId="05C957A2" w14:textId="306D998B" w:rsidR="00C725CE" w:rsidRPr="002A5CF2"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lastRenderedPageBreak/>
        <w:t xml:space="preserve"> </w:t>
      </w:r>
      <w:r w:rsidRPr="002A5CF2">
        <w:rPr>
          <w:rFonts w:ascii="Times New Roman" w:hAnsi="Times New Roman" w:cs="Times New Roman"/>
          <w:b/>
          <w:bCs/>
          <w:sz w:val="24"/>
          <w:szCs w:val="24"/>
        </w:rPr>
        <w:t>Ethical Considerations</w:t>
      </w:r>
    </w:p>
    <w:p w14:paraId="0BCF81E4" w14:textId="383D74F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study adhered strictly to international ethical protocols for human </w:t>
      </w:r>
      <w:r w:rsidR="000C28A2" w:rsidRPr="00E4638C">
        <w:rPr>
          <w:rFonts w:ascii="Times New Roman" w:hAnsi="Times New Roman" w:cs="Times New Roman"/>
          <w:sz w:val="24"/>
          <w:szCs w:val="24"/>
        </w:rPr>
        <w:t>subject’s</w:t>
      </w:r>
      <w:r w:rsidRPr="00E4638C">
        <w:rPr>
          <w:rFonts w:ascii="Times New Roman" w:hAnsi="Times New Roman" w:cs="Times New Roman"/>
          <w:sz w:val="24"/>
          <w:szCs w:val="24"/>
        </w:rPr>
        <w:t xml:space="preserve"> research as outlined in the Declaration of Helsinki and the American Educational Research Association’s ethical standards. Institutional approval was obtained from the University of The Gambia Research Ethics Committee (Approval No. UTGEDU2024089). Written informed consent was secured from all participating teachers and school administrators after full disclosure of the study’s purposes, procedures, risks, and benefits. For students, parental consent forms were distributed and returned (consent rate = 94%), and students themselves gave verbal assent immediately prior to test administration, with the right to withdraw at any time without penalty.</w:t>
      </w:r>
    </w:p>
    <w:p w14:paraId="72795240" w14:textId="6B240FDA" w:rsidR="000C28A2"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Anonymity was strictly preserved by assigning alphanumeric codes (e.g., T01 for Teacher 01, S001 for Student 001, SCHA for School A) to all participants, schools, and raw datasets. All physical files (consent forms, paper surveys, observation notes) were stored in a locked filing cabinet accessible only to the principal research team. All digital files (audio recordings, transcribed interviews, quantitative datasets) were stored in </w:t>
      </w:r>
      <w:r w:rsidR="005812F6" w:rsidRPr="00E4638C">
        <w:rPr>
          <w:rFonts w:ascii="Times New Roman" w:hAnsi="Times New Roman" w:cs="Times New Roman"/>
          <w:sz w:val="24"/>
          <w:szCs w:val="24"/>
        </w:rPr>
        <w:t>password encrypted</w:t>
      </w:r>
      <w:r w:rsidRPr="00E4638C">
        <w:rPr>
          <w:rFonts w:ascii="Times New Roman" w:hAnsi="Times New Roman" w:cs="Times New Roman"/>
          <w:sz w:val="24"/>
          <w:szCs w:val="24"/>
        </w:rPr>
        <w:t xml:space="preserve"> databases with </w:t>
      </w:r>
      <w:r w:rsidR="005812F6" w:rsidRPr="00E4638C">
        <w:rPr>
          <w:rFonts w:ascii="Times New Roman" w:hAnsi="Times New Roman" w:cs="Times New Roman"/>
          <w:sz w:val="24"/>
          <w:szCs w:val="24"/>
        </w:rPr>
        <w:t>two factor</w:t>
      </w:r>
      <w:r w:rsidRPr="00E4638C">
        <w:rPr>
          <w:rFonts w:ascii="Times New Roman" w:hAnsi="Times New Roman" w:cs="Times New Roman"/>
          <w:sz w:val="24"/>
          <w:szCs w:val="24"/>
        </w:rPr>
        <w:t xml:space="preserve"> authentication. No identifying information appears in this manuscript or any associated supplementary files.</w:t>
      </w:r>
    </w:p>
    <w:p w14:paraId="7592F8A3" w14:textId="1EF2A976" w:rsidR="00C725CE" w:rsidRPr="002A5CF2"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2A5CF2">
        <w:rPr>
          <w:rFonts w:ascii="Times New Roman" w:hAnsi="Times New Roman" w:cs="Times New Roman"/>
          <w:b/>
          <w:bCs/>
          <w:sz w:val="24"/>
          <w:szCs w:val="24"/>
        </w:rPr>
        <w:t>Data Analysis Techniques</w:t>
      </w:r>
    </w:p>
    <w:p w14:paraId="5E8E5522" w14:textId="4B06114B" w:rsidR="00C725CE" w:rsidRPr="00E4638C" w:rsidRDefault="00C725CE" w:rsidP="00E4638C">
      <w:pPr>
        <w:spacing w:line="360" w:lineRule="auto"/>
        <w:jc w:val="both"/>
        <w:rPr>
          <w:rFonts w:ascii="Times New Roman" w:hAnsi="Times New Roman" w:cs="Times New Roman"/>
          <w:sz w:val="24"/>
          <w:szCs w:val="24"/>
        </w:rPr>
      </w:pPr>
      <w:r w:rsidRPr="002A5CF2">
        <w:rPr>
          <w:rFonts w:ascii="Times New Roman" w:hAnsi="Times New Roman" w:cs="Times New Roman"/>
          <w:b/>
          <w:bCs/>
          <w:sz w:val="24"/>
          <w:szCs w:val="24"/>
        </w:rPr>
        <w:t>Quantitative Data Analysis.</w:t>
      </w:r>
      <w:r w:rsidRPr="00E4638C">
        <w:rPr>
          <w:rFonts w:ascii="Times New Roman" w:hAnsi="Times New Roman" w:cs="Times New Roman"/>
          <w:sz w:val="24"/>
          <w:szCs w:val="24"/>
        </w:rPr>
        <w:t xml:space="preserve"> Quantitative data were cleaned, coded, and processed using IBM SPSS Statistics (Version 27). Descriptive statistics (means, standard deviations, skewness, and kurtosis) were computed to confirm normal distribution profiles. For Research Question 1 (student achievement), independent samples t</w:t>
      </w:r>
      <w:r w:rsidR="005812F6">
        <w:rPr>
          <w:rFonts w:ascii="Times New Roman" w:hAnsi="Times New Roman" w:cs="Times New Roman"/>
          <w:sz w:val="24"/>
          <w:szCs w:val="24"/>
        </w:rPr>
        <w:t>-</w:t>
      </w:r>
      <w:r w:rsidRPr="00E4638C">
        <w:rPr>
          <w:rFonts w:ascii="Times New Roman" w:hAnsi="Times New Roman" w:cs="Times New Roman"/>
          <w:sz w:val="24"/>
          <w:szCs w:val="24"/>
        </w:rPr>
        <w:t xml:space="preserve">tests were conducted to compare mean academic scores between the two </w:t>
      </w:r>
      <w:r w:rsidR="005812F6" w:rsidRPr="00E4638C">
        <w:rPr>
          <w:rFonts w:ascii="Times New Roman" w:hAnsi="Times New Roman" w:cs="Times New Roman"/>
          <w:sz w:val="24"/>
          <w:szCs w:val="24"/>
        </w:rPr>
        <w:t>class size</w:t>
      </w:r>
      <w:r w:rsidRPr="00E4638C">
        <w:rPr>
          <w:rFonts w:ascii="Times New Roman" w:hAnsi="Times New Roman" w:cs="Times New Roman"/>
          <w:sz w:val="24"/>
          <w:szCs w:val="24"/>
        </w:rPr>
        <w:t xml:space="preserve"> cohorts. Levene’s test for homogeneity of variances was performed, and equal variances were assumed where p &gt; .05. Effect sizes were calculated using Cohen’s d, interpreted as small (0.20), medium (0.50), or large (0.80) according to Cohen’s (1988) conventions.</w:t>
      </w:r>
    </w:p>
    <w:p w14:paraId="592363AB" w14:textId="08FA92DA" w:rsidR="00C725CE" w:rsidRPr="002A5CF2"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For Research Question 2 (teacher morale), three ordinary least squares (OLS) multiple regression models were estimated. In each model, class size (treated as a continuous numerical variable based on the teacher’s average class size across sections) served as the primary independent predictor. Control covariates included teacher’s gender (</w:t>
      </w:r>
      <w:r w:rsidR="00121D68" w:rsidRPr="00E4638C">
        <w:rPr>
          <w:rFonts w:ascii="Times New Roman" w:hAnsi="Times New Roman" w:cs="Times New Roman"/>
          <w:sz w:val="24"/>
          <w:szCs w:val="24"/>
        </w:rPr>
        <w:t>dummy coded</w:t>
      </w:r>
      <w:r w:rsidRPr="00E4638C">
        <w:rPr>
          <w:rFonts w:ascii="Times New Roman" w:hAnsi="Times New Roman" w:cs="Times New Roman"/>
          <w:sz w:val="24"/>
          <w:szCs w:val="24"/>
        </w:rPr>
        <w:t xml:space="preserve">), years of teaching experience </w:t>
      </w:r>
      <w:r w:rsidRPr="00E4638C">
        <w:rPr>
          <w:rFonts w:ascii="Times New Roman" w:hAnsi="Times New Roman" w:cs="Times New Roman"/>
          <w:sz w:val="24"/>
          <w:szCs w:val="24"/>
        </w:rPr>
        <w:lastRenderedPageBreak/>
        <w:t>(continuous), and weekly instructional hours (continuous). Model assumptions (linearity, independence of errors, homoscedasticity, normality of residuals, and absence of multicollinearity) were tested and satisfied. Variance inflation factors (VIFs) were all below 2.5, indicating no problematic multicollinearity.</w:t>
      </w:r>
    </w:p>
    <w:p w14:paraId="4F70BA3B" w14:textId="6B93E95A" w:rsidR="00C725CE" w:rsidRPr="00E4638C" w:rsidRDefault="00C725CE" w:rsidP="00E4638C">
      <w:pPr>
        <w:spacing w:line="360" w:lineRule="auto"/>
        <w:jc w:val="both"/>
        <w:rPr>
          <w:rFonts w:ascii="Times New Roman" w:hAnsi="Times New Roman" w:cs="Times New Roman"/>
          <w:sz w:val="24"/>
          <w:szCs w:val="24"/>
        </w:rPr>
      </w:pPr>
      <w:r w:rsidRPr="002A5CF2">
        <w:rPr>
          <w:rFonts w:ascii="Times New Roman" w:hAnsi="Times New Roman" w:cs="Times New Roman"/>
          <w:b/>
          <w:bCs/>
          <w:sz w:val="24"/>
          <w:szCs w:val="24"/>
        </w:rPr>
        <w:t>Qualitative Data Analysis.</w:t>
      </w:r>
      <w:r w:rsidRPr="00E4638C">
        <w:rPr>
          <w:rFonts w:ascii="Times New Roman" w:hAnsi="Times New Roman" w:cs="Times New Roman"/>
          <w:sz w:val="24"/>
          <w:szCs w:val="24"/>
        </w:rPr>
        <w:t xml:space="preserve"> Qualitative data were </w:t>
      </w:r>
      <w:proofErr w:type="spellStart"/>
      <w:r w:rsidRPr="00E4638C">
        <w:rPr>
          <w:rFonts w:ascii="Times New Roman" w:hAnsi="Times New Roman" w:cs="Times New Roman"/>
          <w:sz w:val="24"/>
          <w:szCs w:val="24"/>
        </w:rPr>
        <w:t>analysed</w:t>
      </w:r>
      <w:proofErr w:type="spellEnd"/>
      <w:r w:rsidRPr="00E4638C">
        <w:rPr>
          <w:rFonts w:ascii="Times New Roman" w:hAnsi="Times New Roman" w:cs="Times New Roman"/>
          <w:sz w:val="24"/>
          <w:szCs w:val="24"/>
        </w:rPr>
        <w:t xml:space="preserve"> using thematic analysis with a concurrent </w:t>
      </w:r>
      <w:r w:rsidR="00121D68" w:rsidRPr="00E4638C">
        <w:rPr>
          <w:rFonts w:ascii="Times New Roman" w:hAnsi="Times New Roman" w:cs="Times New Roman"/>
          <w:sz w:val="24"/>
          <w:szCs w:val="24"/>
        </w:rPr>
        <w:t>inductive deductive</w:t>
      </w:r>
      <w:r w:rsidRPr="00E4638C">
        <w:rPr>
          <w:rFonts w:ascii="Times New Roman" w:hAnsi="Times New Roman" w:cs="Times New Roman"/>
          <w:sz w:val="24"/>
          <w:szCs w:val="24"/>
        </w:rPr>
        <w:t xml:space="preserve"> coding matrix. Audio recordings were transcribed verbatim by a professional transcription service, then verified by two researchers for accuracy. Transcripts were imported into NVivo (Version 12) for coding. The coding process involved: (a) open coding to generate initial descriptive codes, (b) axial coding to group codes into subthemes, and (c) selective coding to integrate subthemes into overarching analytical themes. A second researcher independently coded 30% of the transcripts to calculate interrater reliability (Cohen’s kappa = 0.87, indicating strong agreement). Disagreements were resolved through consensus discussion.</w:t>
      </w:r>
    </w:p>
    <w:p w14:paraId="2F885581" w14:textId="77777777" w:rsidR="0046401B" w:rsidRPr="00E4638C" w:rsidRDefault="0046401B" w:rsidP="00E4638C">
      <w:pPr>
        <w:spacing w:line="360" w:lineRule="auto"/>
        <w:jc w:val="both"/>
        <w:rPr>
          <w:rFonts w:ascii="Times New Roman" w:hAnsi="Times New Roman" w:cs="Times New Roman"/>
          <w:sz w:val="24"/>
          <w:szCs w:val="24"/>
        </w:rPr>
      </w:pPr>
    </w:p>
    <w:p w14:paraId="30F17ED0" w14:textId="01E1C8AD" w:rsidR="00C725CE" w:rsidRPr="00121D68"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121D68">
        <w:rPr>
          <w:rFonts w:ascii="Times New Roman" w:hAnsi="Times New Roman" w:cs="Times New Roman"/>
          <w:b/>
          <w:bCs/>
          <w:sz w:val="24"/>
          <w:szCs w:val="24"/>
        </w:rPr>
        <w:t>RESULTS</w:t>
      </w:r>
    </w:p>
    <w:p w14:paraId="3C999EAB" w14:textId="194C6265" w:rsidR="00C725CE" w:rsidRPr="001A69BB" w:rsidRDefault="00C725CE" w:rsidP="00E4638C">
      <w:pPr>
        <w:spacing w:line="360" w:lineRule="auto"/>
        <w:jc w:val="both"/>
        <w:rPr>
          <w:rFonts w:ascii="Times New Roman" w:hAnsi="Times New Roman" w:cs="Times New Roman"/>
          <w:b/>
          <w:bCs/>
          <w:sz w:val="24"/>
          <w:szCs w:val="24"/>
        </w:rPr>
      </w:pPr>
      <w:r w:rsidRPr="001A69BB">
        <w:rPr>
          <w:rFonts w:ascii="Times New Roman" w:hAnsi="Times New Roman" w:cs="Times New Roman"/>
          <w:b/>
          <w:bCs/>
          <w:sz w:val="24"/>
          <w:szCs w:val="24"/>
        </w:rPr>
        <w:t xml:space="preserve"> Demographic and Descriptive </w:t>
      </w:r>
      <w:proofErr w:type="spellStart"/>
      <w:r w:rsidRPr="001A69BB">
        <w:rPr>
          <w:rFonts w:ascii="Times New Roman" w:hAnsi="Times New Roman" w:cs="Times New Roman"/>
          <w:b/>
          <w:bCs/>
          <w:sz w:val="24"/>
          <w:szCs w:val="24"/>
        </w:rPr>
        <w:t>Characterisation</w:t>
      </w:r>
      <w:proofErr w:type="spellEnd"/>
    </w:p>
    <w:p w14:paraId="0D481ED9" w14:textId="3A3422E1"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final </w:t>
      </w:r>
      <w:proofErr w:type="spellStart"/>
      <w:r w:rsidRPr="00E4638C">
        <w:rPr>
          <w:rFonts w:ascii="Times New Roman" w:hAnsi="Times New Roman" w:cs="Times New Roman"/>
          <w:sz w:val="24"/>
          <w:szCs w:val="24"/>
        </w:rPr>
        <w:t>analysed</w:t>
      </w:r>
      <w:proofErr w:type="spellEnd"/>
      <w:r w:rsidRPr="00E4638C">
        <w:rPr>
          <w:rFonts w:ascii="Times New Roman" w:hAnsi="Times New Roman" w:cs="Times New Roman"/>
          <w:sz w:val="24"/>
          <w:szCs w:val="24"/>
        </w:rPr>
        <w:t xml:space="preserve"> sample consisted of 360 students and 80 science teachers. Within the student sample, 52% (n=187) were female and 48% (n=173) were male, reflecting the </w:t>
      </w:r>
      <w:proofErr w:type="spellStart"/>
      <w:r w:rsidRPr="00E4638C">
        <w:rPr>
          <w:rFonts w:ascii="Times New Roman" w:hAnsi="Times New Roman" w:cs="Times New Roman"/>
          <w:sz w:val="24"/>
          <w:szCs w:val="24"/>
        </w:rPr>
        <w:t>neargender</w:t>
      </w:r>
      <w:proofErr w:type="spellEnd"/>
      <w:r w:rsidRPr="00E4638C">
        <w:rPr>
          <w:rFonts w:ascii="Times New Roman" w:hAnsi="Times New Roman" w:cs="Times New Roman"/>
          <w:sz w:val="24"/>
          <w:szCs w:val="24"/>
        </w:rPr>
        <w:t xml:space="preserve"> parity achieved under the FQSE policy. The mean enrolment density for the “Reduced Class Size” cohort was 31.4 students (SD = 3.2, range = 28–35). The “Large Class Size” cohort exhibited an average density of 64.8 students (SD = 6.9, range = 56–78). This 33.4student difference represents a substantial treatment contrast.</w:t>
      </w:r>
    </w:p>
    <w:p w14:paraId="3C73A734" w14:textId="63853EBA"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Among the teacher participants, the distribution across science tracks was balanced: 28 taught Physics (35%), 27 taught Chemistry (33.75%), and 25 taught Biology (31.25%). The mean teaching experience was 7.4 years (SD = 4.1, range = 1–22 years). Female teachers constituted 42.5% (n=34) of the sample, and male teachers 57.5% (n=46). The average weekly instructional hours were 22.4 (SD = 4.7), with teachers in large classes reporting significantly more hours spent on noninstructional duties (e.g., grading, discipline) despite similar scheduled teaching loads.</w:t>
      </w:r>
    </w:p>
    <w:p w14:paraId="71E06436" w14:textId="30334F22" w:rsidR="00C725CE" w:rsidRPr="002A5CF2"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2A5CF2">
        <w:rPr>
          <w:rFonts w:ascii="Times New Roman" w:hAnsi="Times New Roman" w:cs="Times New Roman"/>
          <w:b/>
          <w:bCs/>
          <w:sz w:val="24"/>
          <w:szCs w:val="24"/>
        </w:rPr>
        <w:t>Research Question 1: Class Size and Student Academic Achievement</w:t>
      </w:r>
    </w:p>
    <w:p w14:paraId="3DFDDA2E" w14:textId="10F0D6C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lastRenderedPageBreak/>
        <w:t xml:space="preserve">To evaluate the impact of class size on cognitive achievement, an independent samples </w:t>
      </w:r>
      <w:proofErr w:type="spellStart"/>
      <w:r w:rsidRPr="00E4638C">
        <w:rPr>
          <w:rFonts w:ascii="Times New Roman" w:hAnsi="Times New Roman" w:cs="Times New Roman"/>
          <w:sz w:val="24"/>
          <w:szCs w:val="24"/>
        </w:rPr>
        <w:t>ttest</w:t>
      </w:r>
      <w:proofErr w:type="spellEnd"/>
      <w:r w:rsidRPr="00E4638C">
        <w:rPr>
          <w:rFonts w:ascii="Times New Roman" w:hAnsi="Times New Roman" w:cs="Times New Roman"/>
          <w:sz w:val="24"/>
          <w:szCs w:val="24"/>
        </w:rPr>
        <w:t xml:space="preserve"> was conducted on the total ISAT scores and across the individual science subject dimensions. The data met all necessary assumptions for parametric testing: normality (</w:t>
      </w:r>
      <w:proofErr w:type="spellStart"/>
      <w:r w:rsidRPr="00E4638C">
        <w:rPr>
          <w:rFonts w:ascii="Times New Roman" w:hAnsi="Times New Roman" w:cs="Times New Roman"/>
          <w:sz w:val="24"/>
          <w:szCs w:val="24"/>
        </w:rPr>
        <w:t>ShapiroWilk</w:t>
      </w:r>
      <w:proofErr w:type="spellEnd"/>
      <w:r w:rsidRPr="00E4638C">
        <w:rPr>
          <w:rFonts w:ascii="Times New Roman" w:hAnsi="Times New Roman" w:cs="Times New Roman"/>
          <w:sz w:val="24"/>
          <w:szCs w:val="24"/>
        </w:rPr>
        <w:t xml:space="preserve"> p &gt; .05 for both cohorts) and homogeneity of variance (Levene’s test p &gt; .05 for all comparisons).</w:t>
      </w:r>
    </w:p>
    <w:p w14:paraId="271B7321" w14:textId="20EDB7D0"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Table 1: Independent Samples t</w:t>
      </w:r>
      <w:r w:rsidR="009B53D7">
        <w:rPr>
          <w:rFonts w:ascii="Times New Roman" w:hAnsi="Times New Roman" w:cs="Times New Roman"/>
          <w:sz w:val="24"/>
          <w:szCs w:val="24"/>
        </w:rPr>
        <w:t>-</w:t>
      </w:r>
      <w:r w:rsidRPr="00E4638C">
        <w:rPr>
          <w:rFonts w:ascii="Times New Roman" w:hAnsi="Times New Roman" w:cs="Times New Roman"/>
          <w:sz w:val="24"/>
          <w:szCs w:val="24"/>
        </w:rPr>
        <w:t>test Results for Student Achievement Scores by Class Size</w:t>
      </w:r>
    </w:p>
    <w:tbl>
      <w:tblPr>
        <w:tblStyle w:val="TableGrid"/>
        <w:tblW w:w="9300" w:type="dxa"/>
        <w:tblInd w:w="10" w:type="dxa"/>
        <w:tblCellMar>
          <w:top w:w="56" w:type="dxa"/>
          <w:left w:w="5" w:type="dxa"/>
        </w:tblCellMar>
        <w:tblLook w:val="04A0" w:firstRow="1" w:lastRow="0" w:firstColumn="1" w:lastColumn="0" w:noHBand="0" w:noVBand="1"/>
      </w:tblPr>
      <w:tblGrid>
        <w:gridCol w:w="1108"/>
        <w:gridCol w:w="1057"/>
        <w:gridCol w:w="1019"/>
        <w:gridCol w:w="1026"/>
        <w:gridCol w:w="1006"/>
        <w:gridCol w:w="1025"/>
        <w:gridCol w:w="1019"/>
        <w:gridCol w:w="1025"/>
        <w:gridCol w:w="1015"/>
      </w:tblGrid>
      <w:tr w:rsidR="009B53D7" w:rsidRPr="00FF5F86" w14:paraId="4817D065" w14:textId="77777777" w:rsidTr="00E610B3">
        <w:trPr>
          <w:trHeight w:val="540"/>
        </w:trPr>
        <w:tc>
          <w:tcPr>
            <w:tcW w:w="1110" w:type="dxa"/>
            <w:tcBorders>
              <w:top w:val="single" w:sz="8" w:space="0" w:color="000000"/>
              <w:left w:val="single" w:sz="8" w:space="0" w:color="000000"/>
              <w:bottom w:val="single" w:sz="8" w:space="0" w:color="000000"/>
              <w:right w:val="single" w:sz="8" w:space="0" w:color="000000"/>
            </w:tcBorders>
          </w:tcPr>
          <w:p w14:paraId="15650765" w14:textId="77777777" w:rsidR="009B53D7" w:rsidRPr="00FF5F86" w:rsidRDefault="009B53D7" w:rsidP="00E610B3">
            <w:pPr>
              <w:spacing w:line="259" w:lineRule="auto"/>
              <w:jc w:val="both"/>
            </w:pPr>
            <w:proofErr w:type="spellStart"/>
            <w:r w:rsidRPr="00FF5F86">
              <w:t>Assessme</w:t>
            </w:r>
            <w:proofErr w:type="spellEnd"/>
          </w:p>
          <w:p w14:paraId="5FD971F3" w14:textId="77777777" w:rsidR="009B53D7" w:rsidRPr="00FF5F86" w:rsidRDefault="009B53D7" w:rsidP="00E610B3">
            <w:pPr>
              <w:spacing w:line="259" w:lineRule="auto"/>
              <w:jc w:val="both"/>
            </w:pPr>
            <w:proofErr w:type="spellStart"/>
            <w:r w:rsidRPr="00FF5F86">
              <w:t>nt</w:t>
            </w:r>
            <w:proofErr w:type="spellEnd"/>
            <w:r w:rsidRPr="00FF5F86">
              <w:t xml:space="preserve"> Metric </w:t>
            </w:r>
          </w:p>
        </w:tc>
        <w:tc>
          <w:tcPr>
            <w:tcW w:w="965" w:type="dxa"/>
            <w:tcBorders>
              <w:top w:val="single" w:sz="8" w:space="0" w:color="000000"/>
              <w:left w:val="single" w:sz="8" w:space="0" w:color="000000"/>
              <w:bottom w:val="single" w:sz="8" w:space="0" w:color="000000"/>
              <w:right w:val="single" w:sz="8" w:space="0" w:color="000000"/>
            </w:tcBorders>
          </w:tcPr>
          <w:p w14:paraId="33F56353" w14:textId="77777777" w:rsidR="009B53D7" w:rsidRPr="00FF5F86" w:rsidRDefault="009B53D7" w:rsidP="00E610B3">
            <w:pPr>
              <w:spacing w:line="259" w:lineRule="auto"/>
              <w:ind w:left="15"/>
              <w:jc w:val="both"/>
            </w:pPr>
            <w:r w:rsidRPr="00FF5F86">
              <w:t xml:space="preserve">Class </w:t>
            </w:r>
          </w:p>
          <w:p w14:paraId="67F03E24" w14:textId="77777777" w:rsidR="009B53D7" w:rsidRPr="00FF5F86" w:rsidRDefault="009B53D7" w:rsidP="00E610B3">
            <w:pPr>
              <w:spacing w:line="259" w:lineRule="auto"/>
              <w:ind w:left="15"/>
              <w:jc w:val="both"/>
            </w:pPr>
            <w:r w:rsidRPr="00FF5F86">
              <w:t xml:space="preserve">Condition </w:t>
            </w:r>
          </w:p>
        </w:tc>
        <w:tc>
          <w:tcPr>
            <w:tcW w:w="1037" w:type="dxa"/>
            <w:tcBorders>
              <w:top w:val="single" w:sz="8" w:space="0" w:color="000000"/>
              <w:left w:val="single" w:sz="8" w:space="0" w:color="000000"/>
              <w:bottom w:val="single" w:sz="8" w:space="0" w:color="000000"/>
              <w:right w:val="single" w:sz="8" w:space="0" w:color="000000"/>
            </w:tcBorders>
          </w:tcPr>
          <w:p w14:paraId="068CE6DD" w14:textId="77777777" w:rsidR="009B53D7" w:rsidRPr="00FF5F86" w:rsidRDefault="009B53D7" w:rsidP="00E610B3">
            <w:pPr>
              <w:spacing w:line="259" w:lineRule="auto"/>
              <w:jc w:val="both"/>
            </w:pPr>
            <w:r w:rsidRPr="00FF5F86">
              <w:t xml:space="preserve">N </w:t>
            </w:r>
          </w:p>
        </w:tc>
        <w:tc>
          <w:tcPr>
            <w:tcW w:w="1038" w:type="dxa"/>
            <w:tcBorders>
              <w:top w:val="single" w:sz="8" w:space="0" w:color="000000"/>
              <w:left w:val="single" w:sz="8" w:space="0" w:color="000000"/>
              <w:bottom w:val="single" w:sz="8" w:space="0" w:color="000000"/>
              <w:right w:val="single" w:sz="8" w:space="0" w:color="000000"/>
            </w:tcBorders>
          </w:tcPr>
          <w:p w14:paraId="66816275" w14:textId="77777777" w:rsidR="009B53D7" w:rsidRPr="00FF5F86" w:rsidRDefault="009B53D7" w:rsidP="00E610B3">
            <w:pPr>
              <w:spacing w:line="259" w:lineRule="auto"/>
              <w:ind w:left="5"/>
              <w:jc w:val="both"/>
            </w:pPr>
            <w:r w:rsidRPr="00FF5F86">
              <w:t xml:space="preserve">Mean </w:t>
            </w:r>
          </w:p>
          <w:p w14:paraId="0CAB08DC" w14:textId="77777777" w:rsidR="009B53D7" w:rsidRPr="00FF5F86" w:rsidRDefault="009B53D7" w:rsidP="00E610B3">
            <w:pPr>
              <w:spacing w:line="259" w:lineRule="auto"/>
              <w:ind w:left="5"/>
              <w:jc w:val="both"/>
            </w:pPr>
            <w:r w:rsidRPr="00FF5F86">
              <w:t xml:space="preserve">Score (%) </w:t>
            </w:r>
          </w:p>
        </w:tc>
        <w:tc>
          <w:tcPr>
            <w:tcW w:w="1018" w:type="dxa"/>
            <w:tcBorders>
              <w:top w:val="single" w:sz="8" w:space="0" w:color="000000"/>
              <w:left w:val="single" w:sz="8" w:space="0" w:color="000000"/>
              <w:bottom w:val="single" w:sz="8" w:space="0" w:color="000000"/>
              <w:right w:val="single" w:sz="8" w:space="0" w:color="000000"/>
            </w:tcBorders>
          </w:tcPr>
          <w:p w14:paraId="187F980C" w14:textId="77777777" w:rsidR="009B53D7" w:rsidRPr="00FF5F86" w:rsidRDefault="009B53D7" w:rsidP="00E610B3">
            <w:pPr>
              <w:spacing w:line="259" w:lineRule="auto"/>
              <w:jc w:val="both"/>
            </w:pPr>
            <w:r w:rsidRPr="00FF5F86">
              <w:t xml:space="preserve">SD </w:t>
            </w:r>
          </w:p>
        </w:tc>
        <w:tc>
          <w:tcPr>
            <w:tcW w:w="1038" w:type="dxa"/>
            <w:tcBorders>
              <w:top w:val="single" w:sz="8" w:space="0" w:color="000000"/>
              <w:left w:val="single" w:sz="8" w:space="0" w:color="000000"/>
              <w:bottom w:val="single" w:sz="8" w:space="0" w:color="000000"/>
              <w:right w:val="single" w:sz="8" w:space="0" w:color="000000"/>
            </w:tcBorders>
          </w:tcPr>
          <w:p w14:paraId="71F8B9B5" w14:textId="77777777" w:rsidR="009B53D7" w:rsidRPr="00FF5F86" w:rsidRDefault="009B53D7" w:rsidP="00E610B3">
            <w:pPr>
              <w:spacing w:line="259" w:lineRule="auto"/>
              <w:ind w:left="15"/>
              <w:jc w:val="both"/>
            </w:pPr>
            <w:r w:rsidRPr="00FF5F86">
              <w:t xml:space="preserve">t-value </w:t>
            </w:r>
          </w:p>
        </w:tc>
        <w:tc>
          <w:tcPr>
            <w:tcW w:w="1037" w:type="dxa"/>
            <w:tcBorders>
              <w:top w:val="single" w:sz="8" w:space="0" w:color="000000"/>
              <w:left w:val="single" w:sz="8" w:space="0" w:color="000000"/>
              <w:bottom w:val="single" w:sz="8" w:space="0" w:color="000000"/>
              <w:right w:val="single" w:sz="8" w:space="0" w:color="000000"/>
            </w:tcBorders>
          </w:tcPr>
          <w:p w14:paraId="6DF93B2E" w14:textId="77777777" w:rsidR="009B53D7" w:rsidRPr="00FF5F86" w:rsidRDefault="009B53D7" w:rsidP="00E610B3">
            <w:pPr>
              <w:spacing w:line="259" w:lineRule="auto"/>
              <w:jc w:val="both"/>
            </w:pPr>
            <w:proofErr w:type="spellStart"/>
            <w:r w:rsidRPr="00FF5F86">
              <w:t>df</w:t>
            </w:r>
            <w:proofErr w:type="spellEnd"/>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0D60393E" w14:textId="77777777" w:rsidR="009B53D7" w:rsidRPr="00FF5F86" w:rsidRDefault="009B53D7" w:rsidP="00E610B3">
            <w:pPr>
              <w:spacing w:line="259" w:lineRule="auto"/>
              <w:ind w:left="5"/>
              <w:jc w:val="both"/>
            </w:pPr>
            <w:r w:rsidRPr="00FF5F86">
              <w:t xml:space="preserve">p-value </w:t>
            </w:r>
          </w:p>
        </w:tc>
        <w:tc>
          <w:tcPr>
            <w:tcW w:w="1019" w:type="dxa"/>
            <w:tcBorders>
              <w:top w:val="single" w:sz="8" w:space="0" w:color="000000"/>
              <w:left w:val="single" w:sz="8" w:space="0" w:color="000000"/>
              <w:bottom w:val="single" w:sz="8" w:space="0" w:color="000000"/>
              <w:right w:val="single" w:sz="8" w:space="0" w:color="000000"/>
            </w:tcBorders>
          </w:tcPr>
          <w:p w14:paraId="3F80B7CC" w14:textId="77777777" w:rsidR="009B53D7" w:rsidRPr="00FF5F86" w:rsidRDefault="009B53D7" w:rsidP="00E610B3">
            <w:pPr>
              <w:spacing w:line="259" w:lineRule="auto"/>
              <w:jc w:val="both"/>
            </w:pPr>
            <w:r w:rsidRPr="00FF5F86">
              <w:t>Cohen’s d</w:t>
            </w:r>
          </w:p>
        </w:tc>
      </w:tr>
      <w:tr w:rsidR="009B53D7" w:rsidRPr="00FF5F86" w14:paraId="2F2C9C20"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54A290E0" w14:textId="77777777" w:rsidR="009B53D7" w:rsidRPr="00FF5F86" w:rsidRDefault="009B53D7" w:rsidP="00E610B3">
            <w:pPr>
              <w:spacing w:line="259" w:lineRule="auto"/>
              <w:jc w:val="both"/>
            </w:pPr>
            <w:r w:rsidRPr="00FF5F86">
              <w:rPr>
                <w:b/>
              </w:rPr>
              <w:t xml:space="preserve">Physics </w:t>
            </w:r>
          </w:p>
          <w:p w14:paraId="7B9CC793" w14:textId="77777777" w:rsidR="009B53D7" w:rsidRPr="00FF5F86" w:rsidRDefault="009B53D7" w:rsidP="00E610B3">
            <w:pPr>
              <w:spacing w:line="259" w:lineRule="auto"/>
              <w:jc w:val="both"/>
            </w:pPr>
            <w:r w:rsidRPr="00FF5F86">
              <w:rPr>
                <w:b/>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48A14950" w14:textId="77777777" w:rsidR="009B53D7" w:rsidRPr="00FF5F86" w:rsidRDefault="009B53D7" w:rsidP="00E610B3">
            <w:pPr>
              <w:spacing w:line="259" w:lineRule="auto"/>
              <w:ind w:left="15"/>
              <w:jc w:val="both"/>
            </w:pPr>
            <w:r w:rsidRPr="00FF5F86">
              <w:t xml:space="preserve">Reduced </w:t>
            </w:r>
          </w:p>
          <w:p w14:paraId="6E866617" w14:textId="77777777" w:rsidR="009B53D7" w:rsidRPr="00FF5F86" w:rsidRDefault="009B53D7" w:rsidP="00E610B3">
            <w:pPr>
              <w:spacing w:line="259" w:lineRule="auto"/>
              <w:ind w:left="15"/>
              <w:jc w:val="both"/>
            </w:pPr>
            <w:r w:rsidRPr="00FF5F86">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35076D01"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78ED8186" w14:textId="77777777" w:rsidR="009B53D7" w:rsidRPr="00FF5F86" w:rsidRDefault="009B53D7" w:rsidP="00E610B3">
            <w:pPr>
              <w:spacing w:line="259" w:lineRule="auto"/>
              <w:ind w:left="5"/>
              <w:jc w:val="both"/>
            </w:pPr>
            <w:r w:rsidRPr="00FF5F86">
              <w:t xml:space="preserve">68.42 </w:t>
            </w:r>
          </w:p>
        </w:tc>
        <w:tc>
          <w:tcPr>
            <w:tcW w:w="1018" w:type="dxa"/>
            <w:tcBorders>
              <w:top w:val="single" w:sz="8" w:space="0" w:color="000000"/>
              <w:left w:val="single" w:sz="8" w:space="0" w:color="000000"/>
              <w:bottom w:val="single" w:sz="8" w:space="0" w:color="000000"/>
              <w:right w:val="single" w:sz="8" w:space="0" w:color="000000"/>
            </w:tcBorders>
          </w:tcPr>
          <w:p w14:paraId="4A8EDA6E" w14:textId="77777777" w:rsidR="009B53D7" w:rsidRPr="00FF5F86" w:rsidRDefault="009B53D7" w:rsidP="00E610B3">
            <w:pPr>
              <w:spacing w:line="259" w:lineRule="auto"/>
              <w:jc w:val="both"/>
            </w:pPr>
            <w:r w:rsidRPr="00FF5F86">
              <w:t xml:space="preserve">11.23 </w:t>
            </w:r>
          </w:p>
        </w:tc>
        <w:tc>
          <w:tcPr>
            <w:tcW w:w="1038" w:type="dxa"/>
            <w:tcBorders>
              <w:top w:val="single" w:sz="8" w:space="0" w:color="000000"/>
              <w:left w:val="single" w:sz="8" w:space="0" w:color="000000"/>
              <w:bottom w:val="single" w:sz="8" w:space="0" w:color="000000"/>
              <w:right w:val="single" w:sz="8" w:space="0" w:color="000000"/>
            </w:tcBorders>
          </w:tcPr>
          <w:p w14:paraId="655E8566" w14:textId="77777777" w:rsidR="009B53D7" w:rsidRPr="00FF5F86" w:rsidRDefault="009B53D7" w:rsidP="00E610B3">
            <w:pPr>
              <w:spacing w:line="259" w:lineRule="auto"/>
              <w:ind w:left="15"/>
              <w:jc w:val="both"/>
            </w:pPr>
            <w:r w:rsidRPr="00FF5F86">
              <w:t xml:space="preserve">8.41 </w:t>
            </w:r>
          </w:p>
        </w:tc>
        <w:tc>
          <w:tcPr>
            <w:tcW w:w="1037" w:type="dxa"/>
            <w:tcBorders>
              <w:top w:val="single" w:sz="8" w:space="0" w:color="000000"/>
              <w:left w:val="single" w:sz="8" w:space="0" w:color="000000"/>
              <w:bottom w:val="single" w:sz="8" w:space="0" w:color="000000"/>
              <w:right w:val="single" w:sz="8" w:space="0" w:color="000000"/>
            </w:tcBorders>
          </w:tcPr>
          <w:p w14:paraId="76309948" w14:textId="77777777" w:rsidR="009B53D7" w:rsidRPr="00FF5F86" w:rsidRDefault="009B53D7" w:rsidP="00E610B3">
            <w:pPr>
              <w:spacing w:line="259" w:lineRule="auto"/>
              <w:jc w:val="both"/>
            </w:pPr>
            <w:r w:rsidRPr="00FF5F86">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41754954" w14:textId="77777777" w:rsidR="009B53D7" w:rsidRPr="00FF5F86" w:rsidRDefault="009B53D7" w:rsidP="00E610B3">
            <w:pPr>
              <w:spacing w:line="259" w:lineRule="auto"/>
              <w:ind w:left="5"/>
              <w:jc w:val="both"/>
            </w:pPr>
            <w:r w:rsidRPr="00FF5F86">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4B8B0431" w14:textId="77777777" w:rsidR="009B53D7" w:rsidRPr="00FF5F86" w:rsidRDefault="009B53D7" w:rsidP="00E610B3">
            <w:pPr>
              <w:spacing w:line="259" w:lineRule="auto"/>
              <w:jc w:val="both"/>
            </w:pPr>
            <w:r w:rsidRPr="00FF5F86">
              <w:t xml:space="preserve">0.89 </w:t>
            </w:r>
          </w:p>
        </w:tc>
      </w:tr>
      <w:tr w:rsidR="009B53D7" w:rsidRPr="00FF5F86" w14:paraId="48FC98C3"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5D6E46AC" w14:textId="77777777" w:rsidR="009B53D7" w:rsidRPr="00FF5F86" w:rsidRDefault="009B53D7" w:rsidP="00E610B3">
            <w:pPr>
              <w:spacing w:line="259" w:lineRule="auto"/>
              <w:jc w:val="both"/>
            </w:pPr>
            <w:r w:rsidRPr="00FF5F86">
              <w:t xml:space="preserve"> </w:t>
            </w:r>
          </w:p>
        </w:tc>
        <w:tc>
          <w:tcPr>
            <w:tcW w:w="965" w:type="dxa"/>
            <w:tcBorders>
              <w:top w:val="single" w:sz="8" w:space="0" w:color="000000"/>
              <w:left w:val="single" w:sz="8" w:space="0" w:color="000000"/>
              <w:bottom w:val="single" w:sz="8" w:space="0" w:color="000000"/>
              <w:right w:val="single" w:sz="8" w:space="0" w:color="000000"/>
            </w:tcBorders>
          </w:tcPr>
          <w:p w14:paraId="6A9A2686" w14:textId="77777777" w:rsidR="009B53D7" w:rsidRPr="00FF5F86" w:rsidRDefault="009B53D7" w:rsidP="00E610B3">
            <w:pPr>
              <w:spacing w:line="259" w:lineRule="auto"/>
              <w:ind w:left="15"/>
              <w:jc w:val="both"/>
            </w:pPr>
            <w:r w:rsidRPr="00FF5F86">
              <w:t xml:space="preserve">Large (&gt; </w:t>
            </w:r>
          </w:p>
          <w:p w14:paraId="36C4CE0E" w14:textId="77777777" w:rsidR="009B53D7" w:rsidRPr="00FF5F86" w:rsidRDefault="009B53D7" w:rsidP="00E610B3">
            <w:pPr>
              <w:spacing w:line="259" w:lineRule="auto"/>
              <w:ind w:left="15"/>
              <w:jc w:val="both"/>
            </w:pPr>
            <w:r w:rsidRPr="00FF5F86">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3721ADBA"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22128CB8" w14:textId="77777777" w:rsidR="009B53D7" w:rsidRPr="00FF5F86" w:rsidRDefault="009B53D7" w:rsidP="00E610B3">
            <w:pPr>
              <w:spacing w:line="259" w:lineRule="auto"/>
              <w:ind w:left="5"/>
              <w:jc w:val="both"/>
            </w:pPr>
            <w:r w:rsidRPr="00FF5F86">
              <w:t xml:space="preserve">51.15 </w:t>
            </w:r>
          </w:p>
        </w:tc>
        <w:tc>
          <w:tcPr>
            <w:tcW w:w="1018" w:type="dxa"/>
            <w:tcBorders>
              <w:top w:val="single" w:sz="8" w:space="0" w:color="000000"/>
              <w:left w:val="single" w:sz="8" w:space="0" w:color="000000"/>
              <w:bottom w:val="single" w:sz="8" w:space="0" w:color="000000"/>
              <w:right w:val="single" w:sz="8" w:space="0" w:color="000000"/>
            </w:tcBorders>
          </w:tcPr>
          <w:p w14:paraId="3CAD21A5" w14:textId="77777777" w:rsidR="009B53D7" w:rsidRPr="00FF5F86" w:rsidRDefault="009B53D7" w:rsidP="00E610B3">
            <w:pPr>
              <w:spacing w:line="259" w:lineRule="auto"/>
              <w:jc w:val="both"/>
            </w:pPr>
            <w:r w:rsidRPr="00FF5F86">
              <w:t xml:space="preserve">13.45 </w:t>
            </w:r>
          </w:p>
        </w:tc>
        <w:tc>
          <w:tcPr>
            <w:tcW w:w="1038" w:type="dxa"/>
            <w:tcBorders>
              <w:top w:val="single" w:sz="8" w:space="0" w:color="000000"/>
              <w:left w:val="single" w:sz="8" w:space="0" w:color="000000"/>
              <w:bottom w:val="single" w:sz="8" w:space="0" w:color="000000"/>
              <w:right w:val="single" w:sz="8" w:space="0" w:color="000000"/>
            </w:tcBorders>
          </w:tcPr>
          <w:p w14:paraId="58F096A0" w14:textId="77777777" w:rsidR="009B53D7" w:rsidRPr="00FF5F86" w:rsidRDefault="009B53D7" w:rsidP="00E610B3">
            <w:pPr>
              <w:spacing w:line="259" w:lineRule="auto"/>
              <w:ind w:left="15"/>
              <w:jc w:val="both"/>
            </w:pPr>
            <w:r w:rsidRPr="00FF5F86">
              <w:t xml:space="preserve"> </w:t>
            </w:r>
          </w:p>
        </w:tc>
        <w:tc>
          <w:tcPr>
            <w:tcW w:w="1037" w:type="dxa"/>
            <w:tcBorders>
              <w:top w:val="single" w:sz="8" w:space="0" w:color="000000"/>
              <w:left w:val="single" w:sz="8" w:space="0" w:color="000000"/>
              <w:bottom w:val="single" w:sz="8" w:space="0" w:color="000000"/>
              <w:right w:val="single" w:sz="8" w:space="0" w:color="000000"/>
            </w:tcBorders>
          </w:tcPr>
          <w:p w14:paraId="20CF503E" w14:textId="77777777" w:rsidR="009B53D7" w:rsidRPr="00FF5F86" w:rsidRDefault="009B53D7" w:rsidP="00E610B3">
            <w:pPr>
              <w:spacing w:line="259" w:lineRule="auto"/>
              <w:jc w:val="both"/>
            </w:pPr>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4C462560" w14:textId="77777777" w:rsidR="009B53D7" w:rsidRPr="00FF5F86" w:rsidRDefault="009B53D7" w:rsidP="00E610B3">
            <w:pPr>
              <w:spacing w:line="259" w:lineRule="auto"/>
              <w:ind w:left="5"/>
              <w:jc w:val="both"/>
            </w:pPr>
            <w:r w:rsidRPr="00FF5F86">
              <w:t xml:space="preserve"> </w:t>
            </w:r>
          </w:p>
        </w:tc>
        <w:tc>
          <w:tcPr>
            <w:tcW w:w="1019" w:type="dxa"/>
            <w:tcBorders>
              <w:top w:val="single" w:sz="8" w:space="0" w:color="000000"/>
              <w:left w:val="single" w:sz="8" w:space="0" w:color="000000"/>
              <w:bottom w:val="single" w:sz="8" w:space="0" w:color="000000"/>
              <w:right w:val="single" w:sz="8" w:space="0" w:color="000000"/>
            </w:tcBorders>
          </w:tcPr>
          <w:p w14:paraId="3A14BF53" w14:textId="77777777" w:rsidR="009B53D7" w:rsidRPr="00FF5F86" w:rsidRDefault="009B53D7" w:rsidP="00E610B3">
            <w:pPr>
              <w:spacing w:line="259" w:lineRule="auto"/>
              <w:jc w:val="both"/>
            </w:pPr>
            <w:r w:rsidRPr="00FF5F86">
              <w:t xml:space="preserve"> </w:t>
            </w:r>
          </w:p>
        </w:tc>
      </w:tr>
      <w:tr w:rsidR="009B53D7" w:rsidRPr="00FF5F86" w14:paraId="0CF38A67"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1D7D40DE" w14:textId="77777777" w:rsidR="009B53D7" w:rsidRPr="00FF5F86" w:rsidRDefault="009B53D7" w:rsidP="00E610B3">
            <w:pPr>
              <w:spacing w:line="259" w:lineRule="auto"/>
              <w:jc w:val="both"/>
            </w:pPr>
            <w:proofErr w:type="spellStart"/>
            <w:r w:rsidRPr="00FF5F86">
              <w:rPr>
                <w:b/>
              </w:rPr>
              <w:t>Chemistr</w:t>
            </w:r>
            <w:proofErr w:type="spellEnd"/>
            <w:r w:rsidRPr="00FF5F86">
              <w:rPr>
                <w:b/>
              </w:rPr>
              <w:t xml:space="preserve"> y Score </w:t>
            </w:r>
          </w:p>
        </w:tc>
        <w:tc>
          <w:tcPr>
            <w:tcW w:w="965" w:type="dxa"/>
            <w:tcBorders>
              <w:top w:val="single" w:sz="8" w:space="0" w:color="000000"/>
              <w:left w:val="single" w:sz="8" w:space="0" w:color="000000"/>
              <w:bottom w:val="single" w:sz="8" w:space="0" w:color="000000"/>
              <w:right w:val="single" w:sz="8" w:space="0" w:color="000000"/>
            </w:tcBorders>
          </w:tcPr>
          <w:p w14:paraId="692E37D3" w14:textId="77777777" w:rsidR="009B53D7" w:rsidRPr="00FF5F86" w:rsidRDefault="009B53D7" w:rsidP="00E610B3">
            <w:pPr>
              <w:spacing w:line="259" w:lineRule="auto"/>
              <w:ind w:left="15"/>
              <w:jc w:val="both"/>
            </w:pPr>
            <w:r w:rsidRPr="00FF5F86">
              <w:t xml:space="preserve">Reduced </w:t>
            </w:r>
          </w:p>
          <w:p w14:paraId="2D2075D1" w14:textId="77777777" w:rsidR="009B53D7" w:rsidRPr="00FF5F86" w:rsidRDefault="009B53D7" w:rsidP="00E610B3">
            <w:pPr>
              <w:spacing w:line="259" w:lineRule="auto"/>
              <w:ind w:left="15"/>
              <w:jc w:val="both"/>
            </w:pPr>
            <w:r w:rsidRPr="00FF5F86">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5154966F"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351C136A" w14:textId="77777777" w:rsidR="009B53D7" w:rsidRPr="00FF5F86" w:rsidRDefault="009B53D7" w:rsidP="00E610B3">
            <w:pPr>
              <w:spacing w:line="259" w:lineRule="auto"/>
              <w:ind w:left="5"/>
              <w:jc w:val="both"/>
            </w:pPr>
            <w:r w:rsidRPr="00FF5F86">
              <w:t xml:space="preserve">65.18 </w:t>
            </w:r>
          </w:p>
        </w:tc>
        <w:tc>
          <w:tcPr>
            <w:tcW w:w="1018" w:type="dxa"/>
            <w:tcBorders>
              <w:top w:val="single" w:sz="8" w:space="0" w:color="000000"/>
              <w:left w:val="single" w:sz="8" w:space="0" w:color="000000"/>
              <w:bottom w:val="single" w:sz="8" w:space="0" w:color="000000"/>
              <w:right w:val="single" w:sz="8" w:space="0" w:color="000000"/>
            </w:tcBorders>
          </w:tcPr>
          <w:p w14:paraId="1121A35A" w14:textId="77777777" w:rsidR="009B53D7" w:rsidRPr="00FF5F86" w:rsidRDefault="009B53D7" w:rsidP="00E610B3">
            <w:pPr>
              <w:spacing w:line="259" w:lineRule="auto"/>
              <w:jc w:val="both"/>
            </w:pPr>
            <w:r w:rsidRPr="00FF5F86">
              <w:t xml:space="preserve">10.54 </w:t>
            </w:r>
          </w:p>
        </w:tc>
        <w:tc>
          <w:tcPr>
            <w:tcW w:w="1038" w:type="dxa"/>
            <w:tcBorders>
              <w:top w:val="single" w:sz="8" w:space="0" w:color="000000"/>
              <w:left w:val="single" w:sz="8" w:space="0" w:color="000000"/>
              <w:bottom w:val="single" w:sz="8" w:space="0" w:color="000000"/>
              <w:right w:val="single" w:sz="8" w:space="0" w:color="000000"/>
            </w:tcBorders>
          </w:tcPr>
          <w:p w14:paraId="52845F01" w14:textId="77777777" w:rsidR="009B53D7" w:rsidRPr="00FF5F86" w:rsidRDefault="009B53D7" w:rsidP="00E610B3">
            <w:pPr>
              <w:spacing w:line="259" w:lineRule="auto"/>
              <w:ind w:left="15"/>
              <w:jc w:val="both"/>
            </w:pPr>
            <w:r w:rsidRPr="00FF5F86">
              <w:t xml:space="preserve">7.92 </w:t>
            </w:r>
          </w:p>
        </w:tc>
        <w:tc>
          <w:tcPr>
            <w:tcW w:w="1037" w:type="dxa"/>
            <w:tcBorders>
              <w:top w:val="single" w:sz="8" w:space="0" w:color="000000"/>
              <w:left w:val="single" w:sz="8" w:space="0" w:color="000000"/>
              <w:bottom w:val="single" w:sz="8" w:space="0" w:color="000000"/>
              <w:right w:val="single" w:sz="8" w:space="0" w:color="000000"/>
            </w:tcBorders>
          </w:tcPr>
          <w:p w14:paraId="3B3D82C1" w14:textId="77777777" w:rsidR="009B53D7" w:rsidRPr="00FF5F86" w:rsidRDefault="009B53D7" w:rsidP="00E610B3">
            <w:pPr>
              <w:spacing w:line="259" w:lineRule="auto"/>
              <w:jc w:val="both"/>
            </w:pPr>
            <w:r w:rsidRPr="00FF5F86">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41CDF457" w14:textId="77777777" w:rsidR="009B53D7" w:rsidRPr="00FF5F86" w:rsidRDefault="009B53D7" w:rsidP="00E610B3">
            <w:pPr>
              <w:spacing w:line="259" w:lineRule="auto"/>
              <w:ind w:left="5"/>
              <w:jc w:val="both"/>
            </w:pPr>
            <w:r w:rsidRPr="00FF5F86">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1523795C" w14:textId="77777777" w:rsidR="009B53D7" w:rsidRPr="00FF5F86" w:rsidRDefault="009B53D7" w:rsidP="00E610B3">
            <w:pPr>
              <w:spacing w:line="259" w:lineRule="auto"/>
              <w:jc w:val="both"/>
            </w:pPr>
            <w:r w:rsidRPr="00FF5F86">
              <w:t xml:space="preserve">0.83 </w:t>
            </w:r>
          </w:p>
        </w:tc>
      </w:tr>
      <w:tr w:rsidR="009B53D7" w:rsidRPr="00FF5F86" w14:paraId="2DF09A57" w14:textId="77777777" w:rsidTr="00E610B3">
        <w:trPr>
          <w:trHeight w:val="540"/>
        </w:trPr>
        <w:tc>
          <w:tcPr>
            <w:tcW w:w="1110" w:type="dxa"/>
            <w:tcBorders>
              <w:top w:val="single" w:sz="8" w:space="0" w:color="000000"/>
              <w:left w:val="single" w:sz="8" w:space="0" w:color="000000"/>
              <w:bottom w:val="single" w:sz="8" w:space="0" w:color="000000"/>
              <w:right w:val="single" w:sz="8" w:space="0" w:color="000000"/>
            </w:tcBorders>
          </w:tcPr>
          <w:p w14:paraId="76114BEF" w14:textId="77777777" w:rsidR="009B53D7" w:rsidRPr="00FF5F86" w:rsidRDefault="009B53D7" w:rsidP="00E610B3">
            <w:pPr>
              <w:spacing w:line="259" w:lineRule="auto"/>
              <w:jc w:val="both"/>
            </w:pPr>
            <w:r w:rsidRPr="00FF5F86">
              <w:t xml:space="preserve"> </w:t>
            </w:r>
          </w:p>
        </w:tc>
        <w:tc>
          <w:tcPr>
            <w:tcW w:w="965" w:type="dxa"/>
            <w:tcBorders>
              <w:top w:val="single" w:sz="8" w:space="0" w:color="000000"/>
              <w:left w:val="single" w:sz="8" w:space="0" w:color="000000"/>
              <w:bottom w:val="single" w:sz="8" w:space="0" w:color="000000"/>
              <w:right w:val="single" w:sz="8" w:space="0" w:color="000000"/>
            </w:tcBorders>
          </w:tcPr>
          <w:p w14:paraId="109B0AB6" w14:textId="77777777" w:rsidR="009B53D7" w:rsidRPr="00FF5F86" w:rsidRDefault="009B53D7" w:rsidP="00E610B3">
            <w:pPr>
              <w:spacing w:line="259" w:lineRule="auto"/>
              <w:ind w:left="15"/>
              <w:jc w:val="both"/>
            </w:pPr>
            <w:r w:rsidRPr="00FF5F86">
              <w:t xml:space="preserve">Large (&gt; </w:t>
            </w:r>
          </w:p>
          <w:p w14:paraId="26F69766" w14:textId="77777777" w:rsidR="009B53D7" w:rsidRPr="00FF5F86" w:rsidRDefault="009B53D7" w:rsidP="00E610B3">
            <w:pPr>
              <w:spacing w:line="259" w:lineRule="auto"/>
              <w:ind w:left="15"/>
              <w:jc w:val="both"/>
            </w:pPr>
            <w:r w:rsidRPr="00FF5F86">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5D1AEF22"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6D54C557" w14:textId="77777777" w:rsidR="009B53D7" w:rsidRPr="00FF5F86" w:rsidRDefault="009B53D7" w:rsidP="00E610B3">
            <w:pPr>
              <w:spacing w:line="259" w:lineRule="auto"/>
              <w:ind w:left="5"/>
              <w:jc w:val="both"/>
            </w:pPr>
            <w:r w:rsidRPr="00FF5F86">
              <w:t xml:space="preserve">49.32 </w:t>
            </w:r>
          </w:p>
        </w:tc>
        <w:tc>
          <w:tcPr>
            <w:tcW w:w="1018" w:type="dxa"/>
            <w:tcBorders>
              <w:top w:val="single" w:sz="8" w:space="0" w:color="000000"/>
              <w:left w:val="single" w:sz="8" w:space="0" w:color="000000"/>
              <w:bottom w:val="single" w:sz="8" w:space="0" w:color="000000"/>
              <w:right w:val="single" w:sz="8" w:space="0" w:color="000000"/>
            </w:tcBorders>
          </w:tcPr>
          <w:p w14:paraId="68237A36" w14:textId="77777777" w:rsidR="009B53D7" w:rsidRPr="00FF5F86" w:rsidRDefault="009B53D7" w:rsidP="00E610B3">
            <w:pPr>
              <w:spacing w:line="259" w:lineRule="auto"/>
              <w:jc w:val="both"/>
            </w:pPr>
            <w:r w:rsidRPr="00FF5F86">
              <w:t xml:space="preserve">12.11 </w:t>
            </w:r>
          </w:p>
        </w:tc>
        <w:tc>
          <w:tcPr>
            <w:tcW w:w="1038" w:type="dxa"/>
            <w:tcBorders>
              <w:top w:val="single" w:sz="8" w:space="0" w:color="000000"/>
              <w:left w:val="single" w:sz="8" w:space="0" w:color="000000"/>
              <w:bottom w:val="single" w:sz="8" w:space="0" w:color="000000"/>
              <w:right w:val="single" w:sz="8" w:space="0" w:color="000000"/>
            </w:tcBorders>
          </w:tcPr>
          <w:p w14:paraId="34146121" w14:textId="77777777" w:rsidR="009B53D7" w:rsidRPr="00FF5F86" w:rsidRDefault="009B53D7" w:rsidP="00E610B3">
            <w:pPr>
              <w:spacing w:line="259" w:lineRule="auto"/>
              <w:ind w:left="15"/>
              <w:jc w:val="both"/>
            </w:pPr>
            <w:r w:rsidRPr="00FF5F86">
              <w:t xml:space="preserve"> </w:t>
            </w:r>
          </w:p>
        </w:tc>
        <w:tc>
          <w:tcPr>
            <w:tcW w:w="1037" w:type="dxa"/>
            <w:tcBorders>
              <w:top w:val="single" w:sz="8" w:space="0" w:color="000000"/>
              <w:left w:val="single" w:sz="8" w:space="0" w:color="000000"/>
              <w:bottom w:val="single" w:sz="8" w:space="0" w:color="000000"/>
              <w:right w:val="single" w:sz="8" w:space="0" w:color="000000"/>
            </w:tcBorders>
          </w:tcPr>
          <w:p w14:paraId="0CDEFDF7" w14:textId="77777777" w:rsidR="009B53D7" w:rsidRPr="00FF5F86" w:rsidRDefault="009B53D7" w:rsidP="00E610B3">
            <w:pPr>
              <w:spacing w:line="259" w:lineRule="auto"/>
              <w:jc w:val="both"/>
            </w:pPr>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61C1B170" w14:textId="77777777" w:rsidR="009B53D7" w:rsidRPr="00FF5F86" w:rsidRDefault="009B53D7" w:rsidP="00E610B3">
            <w:pPr>
              <w:spacing w:line="259" w:lineRule="auto"/>
              <w:ind w:left="5"/>
              <w:jc w:val="both"/>
            </w:pPr>
            <w:r w:rsidRPr="00FF5F86">
              <w:t xml:space="preserve"> </w:t>
            </w:r>
          </w:p>
        </w:tc>
        <w:tc>
          <w:tcPr>
            <w:tcW w:w="1019" w:type="dxa"/>
            <w:tcBorders>
              <w:top w:val="single" w:sz="8" w:space="0" w:color="000000"/>
              <w:left w:val="single" w:sz="8" w:space="0" w:color="000000"/>
              <w:bottom w:val="single" w:sz="8" w:space="0" w:color="000000"/>
              <w:right w:val="single" w:sz="8" w:space="0" w:color="000000"/>
            </w:tcBorders>
          </w:tcPr>
          <w:p w14:paraId="5EC1052E" w14:textId="77777777" w:rsidR="009B53D7" w:rsidRPr="00FF5F86" w:rsidRDefault="009B53D7" w:rsidP="00E610B3">
            <w:pPr>
              <w:spacing w:line="259" w:lineRule="auto"/>
              <w:jc w:val="both"/>
            </w:pPr>
            <w:r w:rsidRPr="00FF5F86">
              <w:t xml:space="preserve"> </w:t>
            </w:r>
          </w:p>
        </w:tc>
      </w:tr>
      <w:tr w:rsidR="009B53D7" w:rsidRPr="00FF5F86" w14:paraId="447D1006" w14:textId="77777777" w:rsidTr="00E610B3">
        <w:trPr>
          <w:trHeight w:val="540"/>
        </w:trPr>
        <w:tc>
          <w:tcPr>
            <w:tcW w:w="1110" w:type="dxa"/>
            <w:tcBorders>
              <w:top w:val="single" w:sz="8" w:space="0" w:color="000000"/>
              <w:left w:val="single" w:sz="8" w:space="0" w:color="000000"/>
              <w:bottom w:val="single" w:sz="8" w:space="0" w:color="000000"/>
              <w:right w:val="single" w:sz="8" w:space="0" w:color="000000"/>
            </w:tcBorders>
          </w:tcPr>
          <w:p w14:paraId="025DD347" w14:textId="77777777" w:rsidR="009B53D7" w:rsidRPr="00FF5F86" w:rsidRDefault="009B53D7" w:rsidP="00E610B3">
            <w:pPr>
              <w:spacing w:line="259" w:lineRule="auto"/>
              <w:jc w:val="both"/>
            </w:pPr>
            <w:proofErr w:type="spellStart"/>
            <w:r w:rsidRPr="00FF5F86">
              <w:t>Assessme</w:t>
            </w:r>
            <w:proofErr w:type="spellEnd"/>
          </w:p>
          <w:p w14:paraId="647EEBD6" w14:textId="77777777" w:rsidR="009B53D7" w:rsidRPr="00FF5F86" w:rsidRDefault="009B53D7" w:rsidP="00E610B3">
            <w:pPr>
              <w:spacing w:line="259" w:lineRule="auto"/>
              <w:jc w:val="both"/>
            </w:pPr>
            <w:proofErr w:type="spellStart"/>
            <w:r w:rsidRPr="00FF5F86">
              <w:t>nt</w:t>
            </w:r>
            <w:proofErr w:type="spellEnd"/>
            <w:r w:rsidRPr="00FF5F86">
              <w:t xml:space="preserve"> Metric </w:t>
            </w:r>
          </w:p>
        </w:tc>
        <w:tc>
          <w:tcPr>
            <w:tcW w:w="965" w:type="dxa"/>
            <w:tcBorders>
              <w:top w:val="single" w:sz="8" w:space="0" w:color="000000"/>
              <w:left w:val="single" w:sz="8" w:space="0" w:color="000000"/>
              <w:bottom w:val="single" w:sz="8" w:space="0" w:color="000000"/>
              <w:right w:val="single" w:sz="8" w:space="0" w:color="000000"/>
            </w:tcBorders>
          </w:tcPr>
          <w:p w14:paraId="742A4E8D" w14:textId="77777777" w:rsidR="009B53D7" w:rsidRPr="00FF5F86" w:rsidRDefault="009B53D7" w:rsidP="00E610B3">
            <w:pPr>
              <w:spacing w:line="259" w:lineRule="auto"/>
              <w:ind w:left="15"/>
              <w:jc w:val="both"/>
            </w:pPr>
            <w:r w:rsidRPr="00FF5F86">
              <w:t xml:space="preserve">Class </w:t>
            </w:r>
          </w:p>
          <w:p w14:paraId="161477F4" w14:textId="77777777" w:rsidR="009B53D7" w:rsidRPr="00FF5F86" w:rsidRDefault="009B53D7" w:rsidP="00E610B3">
            <w:pPr>
              <w:spacing w:line="259" w:lineRule="auto"/>
              <w:ind w:left="15"/>
              <w:jc w:val="both"/>
            </w:pPr>
            <w:r w:rsidRPr="00FF5F86">
              <w:t xml:space="preserve">Condition </w:t>
            </w:r>
          </w:p>
        </w:tc>
        <w:tc>
          <w:tcPr>
            <w:tcW w:w="1037" w:type="dxa"/>
            <w:tcBorders>
              <w:top w:val="single" w:sz="8" w:space="0" w:color="000000"/>
              <w:left w:val="single" w:sz="8" w:space="0" w:color="000000"/>
              <w:bottom w:val="single" w:sz="8" w:space="0" w:color="000000"/>
              <w:right w:val="single" w:sz="8" w:space="0" w:color="000000"/>
            </w:tcBorders>
          </w:tcPr>
          <w:p w14:paraId="2A4A8184" w14:textId="77777777" w:rsidR="009B53D7" w:rsidRPr="00FF5F86" w:rsidRDefault="009B53D7" w:rsidP="00E610B3">
            <w:pPr>
              <w:spacing w:line="259" w:lineRule="auto"/>
              <w:jc w:val="both"/>
            </w:pPr>
            <w:r w:rsidRPr="00FF5F86">
              <w:t xml:space="preserve">N </w:t>
            </w:r>
          </w:p>
        </w:tc>
        <w:tc>
          <w:tcPr>
            <w:tcW w:w="1038" w:type="dxa"/>
            <w:tcBorders>
              <w:top w:val="single" w:sz="8" w:space="0" w:color="000000"/>
              <w:left w:val="single" w:sz="8" w:space="0" w:color="000000"/>
              <w:bottom w:val="single" w:sz="8" w:space="0" w:color="000000"/>
              <w:right w:val="single" w:sz="8" w:space="0" w:color="000000"/>
            </w:tcBorders>
          </w:tcPr>
          <w:p w14:paraId="07576F70" w14:textId="77777777" w:rsidR="009B53D7" w:rsidRPr="00FF5F86" w:rsidRDefault="009B53D7" w:rsidP="00E610B3">
            <w:pPr>
              <w:spacing w:line="259" w:lineRule="auto"/>
              <w:ind w:left="5"/>
              <w:jc w:val="both"/>
            </w:pPr>
            <w:r w:rsidRPr="00FF5F86">
              <w:t xml:space="preserve">Mean </w:t>
            </w:r>
          </w:p>
          <w:p w14:paraId="405ABDEE" w14:textId="77777777" w:rsidR="009B53D7" w:rsidRPr="00FF5F86" w:rsidRDefault="009B53D7" w:rsidP="00E610B3">
            <w:pPr>
              <w:spacing w:line="259" w:lineRule="auto"/>
              <w:ind w:left="5"/>
              <w:jc w:val="both"/>
            </w:pPr>
            <w:r w:rsidRPr="00FF5F86">
              <w:t xml:space="preserve">Score (%) </w:t>
            </w:r>
          </w:p>
        </w:tc>
        <w:tc>
          <w:tcPr>
            <w:tcW w:w="1018" w:type="dxa"/>
            <w:tcBorders>
              <w:top w:val="single" w:sz="8" w:space="0" w:color="000000"/>
              <w:left w:val="single" w:sz="8" w:space="0" w:color="000000"/>
              <w:bottom w:val="single" w:sz="8" w:space="0" w:color="000000"/>
              <w:right w:val="single" w:sz="8" w:space="0" w:color="000000"/>
            </w:tcBorders>
          </w:tcPr>
          <w:p w14:paraId="74352DAC" w14:textId="77777777" w:rsidR="009B53D7" w:rsidRPr="00FF5F86" w:rsidRDefault="009B53D7" w:rsidP="00E610B3">
            <w:pPr>
              <w:spacing w:line="259" w:lineRule="auto"/>
              <w:jc w:val="both"/>
            </w:pPr>
            <w:r w:rsidRPr="00FF5F86">
              <w:t xml:space="preserve">SD </w:t>
            </w:r>
          </w:p>
        </w:tc>
        <w:tc>
          <w:tcPr>
            <w:tcW w:w="1038" w:type="dxa"/>
            <w:tcBorders>
              <w:top w:val="single" w:sz="8" w:space="0" w:color="000000"/>
              <w:left w:val="single" w:sz="8" w:space="0" w:color="000000"/>
              <w:bottom w:val="single" w:sz="8" w:space="0" w:color="000000"/>
              <w:right w:val="single" w:sz="8" w:space="0" w:color="000000"/>
            </w:tcBorders>
          </w:tcPr>
          <w:p w14:paraId="37261400" w14:textId="77777777" w:rsidR="009B53D7" w:rsidRPr="00FF5F86" w:rsidRDefault="009B53D7" w:rsidP="00E610B3">
            <w:pPr>
              <w:spacing w:line="259" w:lineRule="auto"/>
              <w:ind w:left="15"/>
              <w:jc w:val="both"/>
            </w:pPr>
            <w:r w:rsidRPr="00FF5F86">
              <w:t xml:space="preserve">t-value </w:t>
            </w:r>
          </w:p>
        </w:tc>
        <w:tc>
          <w:tcPr>
            <w:tcW w:w="1037" w:type="dxa"/>
            <w:tcBorders>
              <w:top w:val="single" w:sz="8" w:space="0" w:color="000000"/>
              <w:left w:val="single" w:sz="8" w:space="0" w:color="000000"/>
              <w:bottom w:val="single" w:sz="8" w:space="0" w:color="000000"/>
              <w:right w:val="single" w:sz="8" w:space="0" w:color="000000"/>
            </w:tcBorders>
          </w:tcPr>
          <w:p w14:paraId="4ADA08DC" w14:textId="77777777" w:rsidR="009B53D7" w:rsidRPr="00FF5F86" w:rsidRDefault="009B53D7" w:rsidP="00E610B3">
            <w:pPr>
              <w:spacing w:line="259" w:lineRule="auto"/>
              <w:jc w:val="both"/>
            </w:pPr>
            <w:proofErr w:type="spellStart"/>
            <w:r w:rsidRPr="00FF5F86">
              <w:t>df</w:t>
            </w:r>
            <w:proofErr w:type="spellEnd"/>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2992B6FE" w14:textId="77777777" w:rsidR="009B53D7" w:rsidRPr="00FF5F86" w:rsidRDefault="009B53D7" w:rsidP="00E610B3">
            <w:pPr>
              <w:spacing w:line="259" w:lineRule="auto"/>
              <w:ind w:left="5"/>
              <w:jc w:val="both"/>
            </w:pPr>
            <w:r w:rsidRPr="00FF5F86">
              <w:t xml:space="preserve">p-value </w:t>
            </w:r>
          </w:p>
        </w:tc>
        <w:tc>
          <w:tcPr>
            <w:tcW w:w="1019" w:type="dxa"/>
            <w:tcBorders>
              <w:top w:val="single" w:sz="8" w:space="0" w:color="000000"/>
              <w:left w:val="single" w:sz="8" w:space="0" w:color="000000"/>
              <w:bottom w:val="single" w:sz="8" w:space="0" w:color="000000"/>
              <w:right w:val="single" w:sz="8" w:space="0" w:color="000000"/>
            </w:tcBorders>
          </w:tcPr>
          <w:p w14:paraId="7C82E44B" w14:textId="77777777" w:rsidR="009B53D7" w:rsidRPr="00FF5F86" w:rsidRDefault="009B53D7" w:rsidP="00E610B3">
            <w:pPr>
              <w:spacing w:line="259" w:lineRule="auto"/>
              <w:jc w:val="both"/>
            </w:pPr>
            <w:r w:rsidRPr="00FF5F86">
              <w:t>Cohen’s d</w:t>
            </w:r>
          </w:p>
        </w:tc>
      </w:tr>
      <w:tr w:rsidR="009B53D7" w:rsidRPr="00FF5F86" w14:paraId="776355A4"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0CDC9CE9" w14:textId="77777777" w:rsidR="009B53D7" w:rsidRPr="00FF5F86" w:rsidRDefault="009B53D7" w:rsidP="00E610B3">
            <w:pPr>
              <w:spacing w:line="259" w:lineRule="auto"/>
              <w:jc w:val="both"/>
            </w:pPr>
            <w:r w:rsidRPr="00FF5F86">
              <w:rPr>
                <w:b/>
              </w:rPr>
              <w:t xml:space="preserve">Biology </w:t>
            </w:r>
          </w:p>
          <w:p w14:paraId="067C4B3F" w14:textId="77777777" w:rsidR="009B53D7" w:rsidRPr="00FF5F86" w:rsidRDefault="009B53D7" w:rsidP="00E610B3">
            <w:pPr>
              <w:spacing w:line="259" w:lineRule="auto"/>
              <w:jc w:val="both"/>
            </w:pPr>
            <w:r w:rsidRPr="00FF5F86">
              <w:rPr>
                <w:b/>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695F76FE" w14:textId="77777777" w:rsidR="009B53D7" w:rsidRPr="00FF5F86" w:rsidRDefault="009B53D7" w:rsidP="00E610B3">
            <w:pPr>
              <w:spacing w:line="259" w:lineRule="auto"/>
              <w:ind w:left="15"/>
              <w:jc w:val="both"/>
            </w:pPr>
            <w:r w:rsidRPr="00FF5F86">
              <w:t xml:space="preserve">Reduced </w:t>
            </w:r>
          </w:p>
          <w:p w14:paraId="0E64D694" w14:textId="77777777" w:rsidR="009B53D7" w:rsidRPr="00FF5F86" w:rsidRDefault="009B53D7" w:rsidP="00E610B3">
            <w:pPr>
              <w:spacing w:line="259" w:lineRule="auto"/>
              <w:ind w:left="15"/>
              <w:jc w:val="both"/>
            </w:pPr>
            <w:r w:rsidRPr="00FF5F86">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4D88993F"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0C6BE98B" w14:textId="77777777" w:rsidR="009B53D7" w:rsidRPr="00FF5F86" w:rsidRDefault="009B53D7" w:rsidP="00E610B3">
            <w:pPr>
              <w:spacing w:line="259" w:lineRule="auto"/>
              <w:ind w:left="5"/>
              <w:jc w:val="both"/>
            </w:pPr>
            <w:r w:rsidRPr="00FF5F86">
              <w:t xml:space="preserve">72.35 </w:t>
            </w:r>
          </w:p>
        </w:tc>
        <w:tc>
          <w:tcPr>
            <w:tcW w:w="1018" w:type="dxa"/>
            <w:tcBorders>
              <w:top w:val="single" w:sz="8" w:space="0" w:color="000000"/>
              <w:left w:val="single" w:sz="8" w:space="0" w:color="000000"/>
              <w:bottom w:val="single" w:sz="8" w:space="0" w:color="000000"/>
              <w:right w:val="single" w:sz="8" w:space="0" w:color="000000"/>
            </w:tcBorders>
          </w:tcPr>
          <w:p w14:paraId="22EB434D" w14:textId="77777777" w:rsidR="009B53D7" w:rsidRPr="00FF5F86" w:rsidRDefault="009B53D7" w:rsidP="00E610B3">
            <w:pPr>
              <w:spacing w:line="259" w:lineRule="auto"/>
              <w:jc w:val="both"/>
            </w:pPr>
            <w:r w:rsidRPr="00FF5F86">
              <w:t xml:space="preserve">9.88 </w:t>
            </w:r>
          </w:p>
        </w:tc>
        <w:tc>
          <w:tcPr>
            <w:tcW w:w="1038" w:type="dxa"/>
            <w:tcBorders>
              <w:top w:val="single" w:sz="8" w:space="0" w:color="000000"/>
              <w:left w:val="single" w:sz="8" w:space="0" w:color="000000"/>
              <w:bottom w:val="single" w:sz="8" w:space="0" w:color="000000"/>
              <w:right w:val="single" w:sz="8" w:space="0" w:color="000000"/>
            </w:tcBorders>
          </w:tcPr>
          <w:p w14:paraId="3681B797" w14:textId="77777777" w:rsidR="009B53D7" w:rsidRPr="00FF5F86" w:rsidRDefault="009B53D7" w:rsidP="00E610B3">
            <w:pPr>
              <w:spacing w:line="259" w:lineRule="auto"/>
              <w:ind w:left="15"/>
              <w:jc w:val="both"/>
            </w:pPr>
            <w:r w:rsidRPr="00FF5F86">
              <w:t xml:space="preserve">9.14 </w:t>
            </w:r>
          </w:p>
        </w:tc>
        <w:tc>
          <w:tcPr>
            <w:tcW w:w="1037" w:type="dxa"/>
            <w:tcBorders>
              <w:top w:val="single" w:sz="8" w:space="0" w:color="000000"/>
              <w:left w:val="single" w:sz="8" w:space="0" w:color="000000"/>
              <w:bottom w:val="single" w:sz="8" w:space="0" w:color="000000"/>
              <w:right w:val="single" w:sz="8" w:space="0" w:color="000000"/>
            </w:tcBorders>
          </w:tcPr>
          <w:p w14:paraId="296CF4CC" w14:textId="77777777" w:rsidR="009B53D7" w:rsidRPr="00FF5F86" w:rsidRDefault="009B53D7" w:rsidP="00E610B3">
            <w:pPr>
              <w:spacing w:line="259" w:lineRule="auto"/>
              <w:jc w:val="both"/>
            </w:pPr>
            <w:r w:rsidRPr="00FF5F86">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53F800E3" w14:textId="77777777" w:rsidR="009B53D7" w:rsidRPr="00FF5F86" w:rsidRDefault="009B53D7" w:rsidP="00E610B3">
            <w:pPr>
              <w:spacing w:line="259" w:lineRule="auto"/>
              <w:ind w:left="5"/>
              <w:jc w:val="both"/>
            </w:pPr>
            <w:r w:rsidRPr="00FF5F86">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6C46E8F1" w14:textId="77777777" w:rsidR="009B53D7" w:rsidRPr="00FF5F86" w:rsidRDefault="009B53D7" w:rsidP="00E610B3">
            <w:pPr>
              <w:spacing w:line="259" w:lineRule="auto"/>
              <w:jc w:val="both"/>
            </w:pPr>
            <w:r w:rsidRPr="00FF5F86">
              <w:t xml:space="preserve">0.96 </w:t>
            </w:r>
          </w:p>
        </w:tc>
      </w:tr>
      <w:tr w:rsidR="009B53D7" w:rsidRPr="00FF5F86" w14:paraId="32174CAA"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38D96A97" w14:textId="77777777" w:rsidR="009B53D7" w:rsidRPr="00FF5F86" w:rsidRDefault="009B53D7" w:rsidP="00E610B3">
            <w:pPr>
              <w:spacing w:line="259" w:lineRule="auto"/>
              <w:jc w:val="both"/>
            </w:pPr>
            <w:r w:rsidRPr="00FF5F86">
              <w:t xml:space="preserve"> </w:t>
            </w:r>
          </w:p>
        </w:tc>
        <w:tc>
          <w:tcPr>
            <w:tcW w:w="965" w:type="dxa"/>
            <w:tcBorders>
              <w:top w:val="single" w:sz="8" w:space="0" w:color="000000"/>
              <w:left w:val="single" w:sz="8" w:space="0" w:color="000000"/>
              <w:bottom w:val="single" w:sz="8" w:space="0" w:color="000000"/>
              <w:right w:val="single" w:sz="8" w:space="0" w:color="000000"/>
            </w:tcBorders>
          </w:tcPr>
          <w:p w14:paraId="07DAFFFF" w14:textId="77777777" w:rsidR="009B53D7" w:rsidRPr="00FF5F86" w:rsidRDefault="009B53D7" w:rsidP="00E610B3">
            <w:pPr>
              <w:spacing w:line="259" w:lineRule="auto"/>
              <w:ind w:left="15"/>
              <w:jc w:val="both"/>
            </w:pPr>
            <w:r w:rsidRPr="00FF5F86">
              <w:t xml:space="preserve">Large (&gt; </w:t>
            </w:r>
          </w:p>
          <w:p w14:paraId="779B84A4" w14:textId="77777777" w:rsidR="009B53D7" w:rsidRPr="00FF5F86" w:rsidRDefault="009B53D7" w:rsidP="00E610B3">
            <w:pPr>
              <w:spacing w:line="259" w:lineRule="auto"/>
              <w:ind w:left="15"/>
              <w:jc w:val="both"/>
            </w:pPr>
            <w:r w:rsidRPr="00FF5F86">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243C91D3"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42B30413" w14:textId="77777777" w:rsidR="009B53D7" w:rsidRPr="00FF5F86" w:rsidRDefault="009B53D7" w:rsidP="00E610B3">
            <w:pPr>
              <w:spacing w:line="259" w:lineRule="auto"/>
              <w:ind w:left="5"/>
              <w:jc w:val="both"/>
            </w:pPr>
            <w:r w:rsidRPr="00FF5F86">
              <w:t xml:space="preserve">55.47 </w:t>
            </w:r>
          </w:p>
        </w:tc>
        <w:tc>
          <w:tcPr>
            <w:tcW w:w="1018" w:type="dxa"/>
            <w:tcBorders>
              <w:top w:val="single" w:sz="8" w:space="0" w:color="000000"/>
              <w:left w:val="single" w:sz="8" w:space="0" w:color="000000"/>
              <w:bottom w:val="single" w:sz="8" w:space="0" w:color="000000"/>
              <w:right w:val="single" w:sz="8" w:space="0" w:color="000000"/>
            </w:tcBorders>
          </w:tcPr>
          <w:p w14:paraId="68B01E1F" w14:textId="77777777" w:rsidR="009B53D7" w:rsidRPr="00FF5F86" w:rsidRDefault="009B53D7" w:rsidP="00E610B3">
            <w:pPr>
              <w:spacing w:line="259" w:lineRule="auto"/>
              <w:jc w:val="both"/>
            </w:pPr>
            <w:r w:rsidRPr="00FF5F86">
              <w:t xml:space="preserve">11.36 </w:t>
            </w:r>
          </w:p>
        </w:tc>
        <w:tc>
          <w:tcPr>
            <w:tcW w:w="1038" w:type="dxa"/>
            <w:tcBorders>
              <w:top w:val="single" w:sz="8" w:space="0" w:color="000000"/>
              <w:left w:val="single" w:sz="8" w:space="0" w:color="000000"/>
              <w:bottom w:val="single" w:sz="8" w:space="0" w:color="000000"/>
              <w:right w:val="single" w:sz="8" w:space="0" w:color="000000"/>
            </w:tcBorders>
          </w:tcPr>
          <w:p w14:paraId="47808791" w14:textId="77777777" w:rsidR="009B53D7" w:rsidRPr="00FF5F86" w:rsidRDefault="009B53D7" w:rsidP="00E610B3">
            <w:pPr>
              <w:spacing w:line="259" w:lineRule="auto"/>
              <w:ind w:left="15"/>
              <w:jc w:val="both"/>
            </w:pPr>
            <w:r w:rsidRPr="00FF5F86">
              <w:t xml:space="preserve"> </w:t>
            </w:r>
          </w:p>
        </w:tc>
        <w:tc>
          <w:tcPr>
            <w:tcW w:w="1037" w:type="dxa"/>
            <w:tcBorders>
              <w:top w:val="single" w:sz="8" w:space="0" w:color="000000"/>
              <w:left w:val="single" w:sz="8" w:space="0" w:color="000000"/>
              <w:bottom w:val="single" w:sz="8" w:space="0" w:color="000000"/>
              <w:right w:val="single" w:sz="8" w:space="0" w:color="000000"/>
            </w:tcBorders>
          </w:tcPr>
          <w:p w14:paraId="28DDACA1" w14:textId="77777777" w:rsidR="009B53D7" w:rsidRPr="00FF5F86" w:rsidRDefault="009B53D7" w:rsidP="00E610B3">
            <w:pPr>
              <w:spacing w:line="259" w:lineRule="auto"/>
              <w:jc w:val="both"/>
            </w:pPr>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5B3465FE" w14:textId="77777777" w:rsidR="009B53D7" w:rsidRPr="00FF5F86" w:rsidRDefault="009B53D7" w:rsidP="00E610B3">
            <w:pPr>
              <w:spacing w:line="259" w:lineRule="auto"/>
              <w:ind w:left="5"/>
              <w:jc w:val="both"/>
            </w:pPr>
            <w:r w:rsidRPr="00FF5F86">
              <w:t xml:space="preserve"> </w:t>
            </w:r>
          </w:p>
        </w:tc>
        <w:tc>
          <w:tcPr>
            <w:tcW w:w="1019" w:type="dxa"/>
            <w:tcBorders>
              <w:top w:val="single" w:sz="8" w:space="0" w:color="000000"/>
              <w:left w:val="single" w:sz="8" w:space="0" w:color="000000"/>
              <w:bottom w:val="single" w:sz="8" w:space="0" w:color="000000"/>
              <w:right w:val="single" w:sz="8" w:space="0" w:color="000000"/>
            </w:tcBorders>
          </w:tcPr>
          <w:p w14:paraId="0439A262" w14:textId="77777777" w:rsidR="009B53D7" w:rsidRPr="00FF5F86" w:rsidRDefault="009B53D7" w:rsidP="00E610B3">
            <w:pPr>
              <w:spacing w:line="259" w:lineRule="auto"/>
              <w:jc w:val="both"/>
            </w:pPr>
            <w:r w:rsidRPr="00FF5F86">
              <w:t xml:space="preserve"> </w:t>
            </w:r>
          </w:p>
        </w:tc>
      </w:tr>
      <w:tr w:rsidR="009B53D7" w:rsidRPr="00FF5F86" w14:paraId="6313E50E" w14:textId="77777777" w:rsidTr="00E610B3">
        <w:trPr>
          <w:trHeight w:val="820"/>
        </w:trPr>
        <w:tc>
          <w:tcPr>
            <w:tcW w:w="1110" w:type="dxa"/>
            <w:tcBorders>
              <w:top w:val="single" w:sz="8" w:space="0" w:color="000000"/>
              <w:left w:val="single" w:sz="8" w:space="0" w:color="000000"/>
              <w:bottom w:val="single" w:sz="8" w:space="0" w:color="000000"/>
              <w:right w:val="single" w:sz="8" w:space="0" w:color="000000"/>
            </w:tcBorders>
          </w:tcPr>
          <w:p w14:paraId="42E4DF0A" w14:textId="77777777" w:rsidR="009B53D7" w:rsidRPr="00FF5F86" w:rsidRDefault="009B53D7" w:rsidP="00E610B3">
            <w:pPr>
              <w:spacing w:line="259" w:lineRule="auto"/>
              <w:jc w:val="both"/>
            </w:pPr>
            <w:r w:rsidRPr="00FF5F86">
              <w:rPr>
                <w:b/>
              </w:rPr>
              <w:t xml:space="preserve">Total </w:t>
            </w:r>
          </w:p>
          <w:p w14:paraId="614D4ED5" w14:textId="77777777" w:rsidR="009B53D7" w:rsidRPr="00FF5F86" w:rsidRDefault="009B53D7" w:rsidP="00E610B3">
            <w:pPr>
              <w:spacing w:line="259" w:lineRule="auto"/>
              <w:jc w:val="both"/>
            </w:pPr>
            <w:r w:rsidRPr="00FF5F86">
              <w:rPr>
                <w:b/>
              </w:rPr>
              <w:t xml:space="preserve">ISAT </w:t>
            </w:r>
          </w:p>
          <w:p w14:paraId="6DD6372A" w14:textId="77777777" w:rsidR="009B53D7" w:rsidRPr="00FF5F86" w:rsidRDefault="009B53D7" w:rsidP="00E610B3">
            <w:pPr>
              <w:spacing w:line="259" w:lineRule="auto"/>
              <w:jc w:val="both"/>
            </w:pPr>
            <w:r w:rsidRPr="00FF5F86">
              <w:rPr>
                <w:b/>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4E0F34C7" w14:textId="77777777" w:rsidR="009B53D7" w:rsidRPr="00FF5F86" w:rsidRDefault="009B53D7" w:rsidP="00E610B3">
            <w:pPr>
              <w:spacing w:line="259" w:lineRule="auto"/>
              <w:ind w:left="15"/>
              <w:jc w:val="both"/>
            </w:pPr>
            <w:r w:rsidRPr="00FF5F86">
              <w:t xml:space="preserve">Reduced </w:t>
            </w:r>
          </w:p>
          <w:p w14:paraId="38688D23" w14:textId="77777777" w:rsidR="009B53D7" w:rsidRPr="00FF5F86" w:rsidRDefault="009B53D7" w:rsidP="00E610B3">
            <w:pPr>
              <w:spacing w:line="259" w:lineRule="auto"/>
              <w:ind w:left="15"/>
              <w:jc w:val="both"/>
            </w:pPr>
            <w:r w:rsidRPr="00FF5F86">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1DFB3F33"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4AB445F1" w14:textId="77777777" w:rsidR="009B53D7" w:rsidRPr="00FF5F86" w:rsidRDefault="009B53D7" w:rsidP="00E610B3">
            <w:pPr>
              <w:spacing w:line="259" w:lineRule="auto"/>
              <w:ind w:left="5"/>
              <w:jc w:val="both"/>
            </w:pPr>
            <w:r w:rsidRPr="00FF5F86">
              <w:t xml:space="preserve">68.65 </w:t>
            </w:r>
          </w:p>
        </w:tc>
        <w:tc>
          <w:tcPr>
            <w:tcW w:w="1018" w:type="dxa"/>
            <w:tcBorders>
              <w:top w:val="single" w:sz="8" w:space="0" w:color="000000"/>
              <w:left w:val="single" w:sz="8" w:space="0" w:color="000000"/>
              <w:bottom w:val="single" w:sz="8" w:space="0" w:color="000000"/>
              <w:right w:val="single" w:sz="8" w:space="0" w:color="000000"/>
            </w:tcBorders>
          </w:tcPr>
          <w:p w14:paraId="00EC1428" w14:textId="77777777" w:rsidR="009B53D7" w:rsidRPr="00FF5F86" w:rsidRDefault="009B53D7" w:rsidP="00E610B3">
            <w:pPr>
              <w:spacing w:line="259" w:lineRule="auto"/>
              <w:jc w:val="both"/>
            </w:pPr>
            <w:r w:rsidRPr="00FF5F86">
              <w:t xml:space="preserve">10.55 </w:t>
            </w:r>
          </w:p>
        </w:tc>
        <w:tc>
          <w:tcPr>
            <w:tcW w:w="1038" w:type="dxa"/>
            <w:tcBorders>
              <w:top w:val="single" w:sz="8" w:space="0" w:color="000000"/>
              <w:left w:val="single" w:sz="8" w:space="0" w:color="000000"/>
              <w:bottom w:val="single" w:sz="8" w:space="0" w:color="000000"/>
              <w:right w:val="single" w:sz="8" w:space="0" w:color="000000"/>
            </w:tcBorders>
          </w:tcPr>
          <w:p w14:paraId="7BCE01B1" w14:textId="77777777" w:rsidR="009B53D7" w:rsidRPr="00FF5F86" w:rsidRDefault="009B53D7" w:rsidP="00E610B3">
            <w:pPr>
              <w:spacing w:line="259" w:lineRule="auto"/>
              <w:ind w:left="15"/>
              <w:jc w:val="both"/>
            </w:pPr>
            <w:r w:rsidRPr="00FF5F86">
              <w:t xml:space="preserve">9.85 </w:t>
            </w:r>
          </w:p>
        </w:tc>
        <w:tc>
          <w:tcPr>
            <w:tcW w:w="1037" w:type="dxa"/>
            <w:tcBorders>
              <w:top w:val="single" w:sz="8" w:space="0" w:color="000000"/>
              <w:left w:val="single" w:sz="8" w:space="0" w:color="000000"/>
              <w:bottom w:val="single" w:sz="8" w:space="0" w:color="000000"/>
              <w:right w:val="single" w:sz="8" w:space="0" w:color="000000"/>
            </w:tcBorders>
          </w:tcPr>
          <w:p w14:paraId="2923E83A" w14:textId="77777777" w:rsidR="009B53D7" w:rsidRPr="00FF5F86" w:rsidRDefault="009B53D7" w:rsidP="00E610B3">
            <w:pPr>
              <w:spacing w:line="259" w:lineRule="auto"/>
              <w:jc w:val="both"/>
            </w:pPr>
            <w:r w:rsidRPr="00FF5F86">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6190C0ED" w14:textId="77777777" w:rsidR="009B53D7" w:rsidRPr="00FF5F86" w:rsidRDefault="009B53D7" w:rsidP="00E610B3">
            <w:pPr>
              <w:spacing w:line="259" w:lineRule="auto"/>
              <w:ind w:left="5"/>
              <w:jc w:val="both"/>
            </w:pPr>
            <w:r w:rsidRPr="00FF5F86">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0946255C" w14:textId="77777777" w:rsidR="009B53D7" w:rsidRPr="00FF5F86" w:rsidRDefault="009B53D7" w:rsidP="00E610B3">
            <w:pPr>
              <w:spacing w:line="259" w:lineRule="auto"/>
              <w:jc w:val="both"/>
            </w:pPr>
            <w:r w:rsidRPr="00FF5F86">
              <w:t xml:space="preserve">1.04 </w:t>
            </w:r>
          </w:p>
        </w:tc>
      </w:tr>
      <w:tr w:rsidR="009B53D7" w:rsidRPr="00FF5F86" w14:paraId="69B3FD3D" w14:textId="77777777" w:rsidTr="00E610B3">
        <w:trPr>
          <w:trHeight w:val="560"/>
        </w:trPr>
        <w:tc>
          <w:tcPr>
            <w:tcW w:w="1110" w:type="dxa"/>
            <w:tcBorders>
              <w:top w:val="single" w:sz="8" w:space="0" w:color="000000"/>
              <w:left w:val="single" w:sz="8" w:space="0" w:color="000000"/>
              <w:bottom w:val="single" w:sz="8" w:space="0" w:color="000000"/>
              <w:right w:val="single" w:sz="8" w:space="0" w:color="000000"/>
            </w:tcBorders>
          </w:tcPr>
          <w:p w14:paraId="0D47317E" w14:textId="77777777" w:rsidR="009B53D7" w:rsidRPr="00FF5F86" w:rsidRDefault="009B53D7" w:rsidP="00E610B3">
            <w:pPr>
              <w:spacing w:line="259" w:lineRule="auto"/>
              <w:jc w:val="both"/>
            </w:pPr>
            <w:r w:rsidRPr="00FF5F86">
              <w:t xml:space="preserve"> </w:t>
            </w:r>
          </w:p>
        </w:tc>
        <w:tc>
          <w:tcPr>
            <w:tcW w:w="965" w:type="dxa"/>
            <w:tcBorders>
              <w:top w:val="single" w:sz="8" w:space="0" w:color="000000"/>
              <w:left w:val="single" w:sz="8" w:space="0" w:color="000000"/>
              <w:bottom w:val="single" w:sz="8" w:space="0" w:color="000000"/>
              <w:right w:val="single" w:sz="8" w:space="0" w:color="000000"/>
            </w:tcBorders>
          </w:tcPr>
          <w:p w14:paraId="7F42555C" w14:textId="77777777" w:rsidR="009B53D7" w:rsidRPr="00FF5F86" w:rsidRDefault="009B53D7" w:rsidP="00E610B3">
            <w:pPr>
              <w:spacing w:line="259" w:lineRule="auto"/>
              <w:ind w:left="15"/>
              <w:jc w:val="both"/>
            </w:pPr>
            <w:r w:rsidRPr="00FF5F86">
              <w:t xml:space="preserve">Large (&gt; </w:t>
            </w:r>
          </w:p>
          <w:p w14:paraId="2ED1992B" w14:textId="77777777" w:rsidR="009B53D7" w:rsidRPr="00FF5F86" w:rsidRDefault="009B53D7" w:rsidP="00E610B3">
            <w:pPr>
              <w:spacing w:line="259" w:lineRule="auto"/>
              <w:ind w:left="15"/>
              <w:jc w:val="both"/>
            </w:pPr>
            <w:r w:rsidRPr="00FF5F86">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39EDCC15" w14:textId="77777777" w:rsidR="009B53D7" w:rsidRPr="00FF5F86" w:rsidRDefault="009B53D7" w:rsidP="00E610B3">
            <w:pPr>
              <w:spacing w:line="259" w:lineRule="auto"/>
              <w:jc w:val="both"/>
            </w:pPr>
            <w:r w:rsidRPr="00FF5F86">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72BB03B7" w14:textId="77777777" w:rsidR="009B53D7" w:rsidRPr="00FF5F86" w:rsidRDefault="009B53D7" w:rsidP="00E610B3">
            <w:pPr>
              <w:spacing w:line="259" w:lineRule="auto"/>
              <w:ind w:left="5"/>
              <w:jc w:val="both"/>
            </w:pPr>
            <w:r w:rsidRPr="00FF5F86">
              <w:t xml:space="preserve">51.98 </w:t>
            </w:r>
          </w:p>
        </w:tc>
        <w:tc>
          <w:tcPr>
            <w:tcW w:w="1018" w:type="dxa"/>
            <w:tcBorders>
              <w:top w:val="single" w:sz="8" w:space="0" w:color="000000"/>
              <w:left w:val="single" w:sz="8" w:space="0" w:color="000000"/>
              <w:bottom w:val="single" w:sz="8" w:space="0" w:color="000000"/>
              <w:right w:val="single" w:sz="8" w:space="0" w:color="000000"/>
            </w:tcBorders>
          </w:tcPr>
          <w:p w14:paraId="0B8A6544" w14:textId="77777777" w:rsidR="009B53D7" w:rsidRPr="00FF5F86" w:rsidRDefault="009B53D7" w:rsidP="00E610B3">
            <w:pPr>
              <w:spacing w:line="259" w:lineRule="auto"/>
              <w:jc w:val="both"/>
            </w:pPr>
            <w:r w:rsidRPr="00FF5F86">
              <w:t xml:space="preserve">12.31 </w:t>
            </w:r>
          </w:p>
        </w:tc>
        <w:tc>
          <w:tcPr>
            <w:tcW w:w="1038" w:type="dxa"/>
            <w:tcBorders>
              <w:top w:val="single" w:sz="8" w:space="0" w:color="000000"/>
              <w:left w:val="single" w:sz="8" w:space="0" w:color="000000"/>
              <w:bottom w:val="single" w:sz="8" w:space="0" w:color="000000"/>
              <w:right w:val="single" w:sz="8" w:space="0" w:color="000000"/>
            </w:tcBorders>
          </w:tcPr>
          <w:p w14:paraId="575B96D4" w14:textId="77777777" w:rsidR="009B53D7" w:rsidRPr="00FF5F86" w:rsidRDefault="009B53D7" w:rsidP="00E610B3">
            <w:pPr>
              <w:spacing w:line="259" w:lineRule="auto"/>
              <w:ind w:left="15"/>
              <w:jc w:val="both"/>
            </w:pPr>
            <w:r w:rsidRPr="00FF5F86">
              <w:t xml:space="preserve"> </w:t>
            </w:r>
          </w:p>
        </w:tc>
        <w:tc>
          <w:tcPr>
            <w:tcW w:w="1037" w:type="dxa"/>
            <w:tcBorders>
              <w:top w:val="single" w:sz="8" w:space="0" w:color="000000"/>
              <w:left w:val="single" w:sz="8" w:space="0" w:color="000000"/>
              <w:bottom w:val="single" w:sz="8" w:space="0" w:color="000000"/>
              <w:right w:val="single" w:sz="8" w:space="0" w:color="000000"/>
            </w:tcBorders>
          </w:tcPr>
          <w:p w14:paraId="6FB61489" w14:textId="77777777" w:rsidR="009B53D7" w:rsidRPr="00FF5F86" w:rsidRDefault="009B53D7" w:rsidP="00E610B3">
            <w:pPr>
              <w:spacing w:line="259" w:lineRule="auto"/>
              <w:jc w:val="both"/>
            </w:pPr>
            <w:r w:rsidRPr="00FF5F86">
              <w:t xml:space="preserve"> </w:t>
            </w:r>
          </w:p>
        </w:tc>
        <w:tc>
          <w:tcPr>
            <w:tcW w:w="1038" w:type="dxa"/>
            <w:tcBorders>
              <w:top w:val="single" w:sz="8" w:space="0" w:color="000000"/>
              <w:left w:val="single" w:sz="8" w:space="0" w:color="000000"/>
              <w:bottom w:val="single" w:sz="8" w:space="0" w:color="000000"/>
              <w:right w:val="single" w:sz="8" w:space="0" w:color="000000"/>
            </w:tcBorders>
          </w:tcPr>
          <w:p w14:paraId="373EBD96" w14:textId="77777777" w:rsidR="009B53D7" w:rsidRPr="00FF5F86" w:rsidRDefault="009B53D7" w:rsidP="00E610B3">
            <w:pPr>
              <w:spacing w:line="259" w:lineRule="auto"/>
              <w:ind w:left="5"/>
              <w:jc w:val="both"/>
            </w:pPr>
            <w:r w:rsidRPr="00FF5F86">
              <w:t xml:space="preserve"> </w:t>
            </w:r>
          </w:p>
        </w:tc>
        <w:tc>
          <w:tcPr>
            <w:tcW w:w="1019" w:type="dxa"/>
            <w:tcBorders>
              <w:top w:val="single" w:sz="8" w:space="0" w:color="000000"/>
              <w:left w:val="single" w:sz="8" w:space="0" w:color="000000"/>
              <w:bottom w:val="single" w:sz="8" w:space="0" w:color="000000"/>
              <w:right w:val="single" w:sz="8" w:space="0" w:color="000000"/>
            </w:tcBorders>
          </w:tcPr>
          <w:p w14:paraId="7CFBFA08" w14:textId="77777777" w:rsidR="009B53D7" w:rsidRPr="00FF5F86" w:rsidRDefault="009B53D7" w:rsidP="00E610B3">
            <w:pPr>
              <w:spacing w:line="259" w:lineRule="auto"/>
              <w:jc w:val="both"/>
            </w:pPr>
            <w:r w:rsidRPr="00FF5F86">
              <w:t xml:space="preserve"> </w:t>
            </w:r>
          </w:p>
        </w:tc>
      </w:tr>
    </w:tbl>
    <w:p w14:paraId="6BF81AB2" w14:textId="5EDDD089"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statistical results presented in Table 1 reveal highly significant differences across all performance markers. The total mean ISAT score for students within reduced classes (M = 68.65%, SD = 10.55%) was substantially higher than the mean score of peers situated in large, overcrowded classes (M = 51.98%, SD = 12.31%). This difference was statistically significant (t(358) = 9.85, p &lt; .001). The calculated Cohen’s d coefficient of 1.04 indicates a very large educational effect size, meaning the average student in a reduced class outperformed their counterpart in an overcrowded section by more than one full standard deviation. According to Cohen’s (1988) benchmarks, this </w:t>
      </w:r>
      <w:r w:rsidRPr="00E4638C">
        <w:rPr>
          <w:rFonts w:ascii="Times New Roman" w:hAnsi="Times New Roman" w:cs="Times New Roman"/>
          <w:sz w:val="24"/>
          <w:szCs w:val="24"/>
        </w:rPr>
        <w:lastRenderedPageBreak/>
        <w:t>exceeds the threshold for a “large” effect (d ≥ 0.80) and is considered educationally massive. Consequently, the first null hypothesis (H₀₁: There is no significant difference in student achievement between reduced and large class sizes) was rejected.</w:t>
      </w:r>
    </w:p>
    <w:p w14:paraId="33321B91" w14:textId="789F4A9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Notably, the largest effect size was observed for Biology (d = 0.96), followed by Physics (d = 0.89) and Chemistry (d = 0.83). This variation may reflect differential reliance on laboratory work and practical skills across the three sciences, with Biology typically involving more observational and </w:t>
      </w:r>
      <w:r w:rsidR="00031E7F" w:rsidRPr="00E4638C">
        <w:rPr>
          <w:rFonts w:ascii="Times New Roman" w:hAnsi="Times New Roman" w:cs="Times New Roman"/>
          <w:sz w:val="24"/>
          <w:szCs w:val="24"/>
        </w:rPr>
        <w:t>Handson</w:t>
      </w:r>
      <w:r w:rsidRPr="00E4638C">
        <w:rPr>
          <w:rFonts w:ascii="Times New Roman" w:hAnsi="Times New Roman" w:cs="Times New Roman"/>
          <w:sz w:val="24"/>
          <w:szCs w:val="24"/>
        </w:rPr>
        <w:t xml:space="preserve"> activities that are difficult to implement in overcrowded conditions.</w:t>
      </w:r>
    </w:p>
    <w:p w14:paraId="6BA14B22" w14:textId="08DF17D2" w:rsidR="00C725CE" w:rsidRPr="000C28A2" w:rsidRDefault="00C725CE" w:rsidP="00E4638C">
      <w:pPr>
        <w:spacing w:line="360" w:lineRule="auto"/>
        <w:jc w:val="both"/>
        <w:rPr>
          <w:rFonts w:ascii="Times New Roman" w:hAnsi="Times New Roman" w:cs="Times New Roman"/>
          <w:b/>
          <w:bCs/>
          <w:sz w:val="24"/>
          <w:szCs w:val="24"/>
        </w:rPr>
      </w:pPr>
      <w:r w:rsidRPr="00031E7F">
        <w:rPr>
          <w:rFonts w:ascii="Times New Roman" w:hAnsi="Times New Roman" w:cs="Times New Roman"/>
          <w:b/>
          <w:bCs/>
          <w:sz w:val="24"/>
          <w:szCs w:val="24"/>
        </w:rPr>
        <w:t xml:space="preserve"> Research Question 2: Class Size and Teacher Morale</w:t>
      </w:r>
    </w:p>
    <w:p w14:paraId="5BBBE020" w14:textId="54462544" w:rsidR="00B90808"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To assess the predictive relationship between class size and the distinct dimensions of science teacher morale, three separate ordinary least squares (OLS) multiple regression models were constructed. In each model, class size served as the primary independent predictor. Control covariates included teacher gender, years of teaching experience, and weekly instructional hours.</w:t>
      </w:r>
    </w:p>
    <w:p w14:paraId="1A197264" w14:textId="607A300E" w:rsidR="00C725CE" w:rsidRPr="00AD4DEF" w:rsidRDefault="00C725CE" w:rsidP="00E4638C">
      <w:pPr>
        <w:spacing w:line="360" w:lineRule="auto"/>
        <w:jc w:val="both"/>
        <w:rPr>
          <w:rFonts w:ascii="Times New Roman" w:hAnsi="Times New Roman" w:cs="Times New Roman"/>
          <w:b/>
          <w:bCs/>
          <w:sz w:val="24"/>
          <w:szCs w:val="24"/>
        </w:rPr>
      </w:pPr>
      <w:r w:rsidRPr="009B53D7">
        <w:rPr>
          <w:rFonts w:ascii="Times New Roman" w:hAnsi="Times New Roman" w:cs="Times New Roman"/>
          <w:b/>
          <w:bCs/>
          <w:sz w:val="24"/>
          <w:szCs w:val="24"/>
        </w:rPr>
        <w:t>Table 2: Multiple Regression Models Predicting Dimensions of Teacher Morale</w:t>
      </w:r>
    </w:p>
    <w:tbl>
      <w:tblPr>
        <w:tblStyle w:val="TableGrid"/>
        <w:tblW w:w="10171" w:type="dxa"/>
        <w:tblInd w:w="-861" w:type="dxa"/>
        <w:tblCellMar>
          <w:top w:w="56" w:type="dxa"/>
        </w:tblCellMar>
        <w:tblLook w:val="04A0" w:firstRow="1" w:lastRow="0" w:firstColumn="1" w:lastColumn="0" w:noHBand="0" w:noVBand="1"/>
      </w:tblPr>
      <w:tblGrid>
        <w:gridCol w:w="1975"/>
        <w:gridCol w:w="1035"/>
        <w:gridCol w:w="1125"/>
        <w:gridCol w:w="1003"/>
        <w:gridCol w:w="1029"/>
        <w:gridCol w:w="1004"/>
        <w:gridCol w:w="1001"/>
        <w:gridCol w:w="1008"/>
        <w:gridCol w:w="991"/>
      </w:tblGrid>
      <w:tr w:rsidR="00B90808" w:rsidRPr="00FF5F86" w14:paraId="1FAA4CEE" w14:textId="77777777" w:rsidTr="00C148F0">
        <w:trPr>
          <w:trHeight w:val="1640"/>
        </w:trPr>
        <w:tc>
          <w:tcPr>
            <w:tcW w:w="1975" w:type="dxa"/>
            <w:tcBorders>
              <w:top w:val="single" w:sz="8" w:space="0" w:color="000000"/>
              <w:left w:val="single" w:sz="8" w:space="0" w:color="000000"/>
              <w:bottom w:val="single" w:sz="8" w:space="0" w:color="000000"/>
              <w:right w:val="single" w:sz="8" w:space="0" w:color="000000"/>
            </w:tcBorders>
          </w:tcPr>
          <w:p w14:paraId="5E3DAC14" w14:textId="23E43187" w:rsidR="00B90808" w:rsidRPr="00FF5F86" w:rsidRDefault="00B90808" w:rsidP="00E610B3">
            <w:pPr>
              <w:spacing w:line="259" w:lineRule="auto"/>
              <w:ind w:left="5"/>
              <w:jc w:val="both"/>
            </w:pPr>
            <w:r w:rsidRPr="00FF5F86">
              <w:t>Dependen</w:t>
            </w:r>
            <w:r w:rsidR="00C148F0">
              <w:t>t</w:t>
            </w:r>
          </w:p>
          <w:p w14:paraId="7EFF51A8" w14:textId="123AE708" w:rsidR="00B90808" w:rsidRPr="00FF5F86" w:rsidRDefault="00B90808" w:rsidP="00E610B3">
            <w:pPr>
              <w:spacing w:line="259" w:lineRule="auto"/>
              <w:ind w:left="5"/>
              <w:jc w:val="both"/>
            </w:pPr>
          </w:p>
          <w:p w14:paraId="23EC846E" w14:textId="77777777" w:rsidR="00B90808" w:rsidRPr="00FF5F86" w:rsidRDefault="00B90808" w:rsidP="00E610B3">
            <w:pPr>
              <w:spacing w:line="259" w:lineRule="auto"/>
              <w:ind w:left="5"/>
              <w:jc w:val="both"/>
            </w:pPr>
            <w:r w:rsidRPr="00FF5F86">
              <w:t xml:space="preserve">Variables </w:t>
            </w:r>
          </w:p>
          <w:p w14:paraId="43A1471A" w14:textId="2DAFDE60" w:rsidR="00B90808" w:rsidRPr="00FF5F86" w:rsidRDefault="00B90808" w:rsidP="00E610B3">
            <w:pPr>
              <w:spacing w:line="259" w:lineRule="auto"/>
              <w:ind w:left="5"/>
              <w:jc w:val="both"/>
            </w:pPr>
            <w:r w:rsidRPr="00FF5F86">
              <w:t>(Morale</w:t>
            </w:r>
            <w:r w:rsidR="00C148F0">
              <w:t xml:space="preserve"> </w:t>
            </w:r>
            <w:r w:rsidR="00C148F0" w:rsidRPr="00FF5F86">
              <w:t>Dimension</w:t>
            </w:r>
            <w:r w:rsidRPr="00FF5F86">
              <w:t xml:space="preserve"> ns) </w:t>
            </w:r>
          </w:p>
        </w:tc>
        <w:tc>
          <w:tcPr>
            <w:tcW w:w="1035" w:type="dxa"/>
            <w:tcBorders>
              <w:top w:val="single" w:sz="8" w:space="0" w:color="000000"/>
              <w:left w:val="single" w:sz="8" w:space="0" w:color="000000"/>
              <w:bottom w:val="single" w:sz="8" w:space="0" w:color="000000"/>
              <w:right w:val="single" w:sz="8" w:space="0" w:color="000000"/>
            </w:tcBorders>
          </w:tcPr>
          <w:p w14:paraId="1D3193CD" w14:textId="77777777" w:rsidR="00B90808" w:rsidRPr="00FF5F86" w:rsidRDefault="00B90808" w:rsidP="00E610B3">
            <w:pPr>
              <w:spacing w:line="259" w:lineRule="auto"/>
              <w:ind w:left="20"/>
              <w:jc w:val="both"/>
            </w:pPr>
            <w:r w:rsidRPr="00FF5F86">
              <w:t xml:space="preserve">Predictor </w:t>
            </w:r>
          </w:p>
          <w:p w14:paraId="11FFF3C5" w14:textId="77777777" w:rsidR="00B90808" w:rsidRPr="00FF5F86" w:rsidRDefault="00B90808" w:rsidP="00E610B3">
            <w:pPr>
              <w:spacing w:line="259" w:lineRule="auto"/>
              <w:ind w:left="20"/>
              <w:jc w:val="both"/>
            </w:pPr>
            <w:r w:rsidRPr="00FF5F86">
              <w:t xml:space="preserve">Variable </w:t>
            </w:r>
          </w:p>
        </w:tc>
        <w:tc>
          <w:tcPr>
            <w:tcW w:w="1125" w:type="dxa"/>
            <w:tcBorders>
              <w:top w:val="single" w:sz="8" w:space="0" w:color="000000"/>
              <w:left w:val="single" w:sz="8" w:space="0" w:color="000000"/>
              <w:bottom w:val="single" w:sz="8" w:space="0" w:color="000000"/>
              <w:right w:val="single" w:sz="8" w:space="0" w:color="000000"/>
            </w:tcBorders>
          </w:tcPr>
          <w:p w14:paraId="23378D4E" w14:textId="77777777" w:rsidR="00B90808" w:rsidRPr="00FF5F86" w:rsidRDefault="00B90808" w:rsidP="00E610B3">
            <w:pPr>
              <w:spacing w:line="259" w:lineRule="auto"/>
              <w:ind w:left="15"/>
              <w:jc w:val="both"/>
            </w:pPr>
            <w:proofErr w:type="spellStart"/>
            <w:r w:rsidRPr="00FF5F86">
              <w:t>Unstandar</w:t>
            </w:r>
            <w:proofErr w:type="spellEnd"/>
            <w:r w:rsidRPr="00FF5F86">
              <w:t xml:space="preserve"> </w:t>
            </w:r>
            <w:proofErr w:type="spellStart"/>
            <w:r w:rsidRPr="00FF5F86">
              <w:t>dized</w:t>
            </w:r>
            <w:proofErr w:type="spellEnd"/>
            <w:r w:rsidRPr="00FF5F86">
              <w:t xml:space="preserve"> B </w:t>
            </w:r>
          </w:p>
        </w:tc>
        <w:tc>
          <w:tcPr>
            <w:tcW w:w="1003" w:type="dxa"/>
            <w:tcBorders>
              <w:top w:val="single" w:sz="8" w:space="0" w:color="000000"/>
              <w:left w:val="single" w:sz="8" w:space="0" w:color="000000"/>
              <w:bottom w:val="single" w:sz="8" w:space="0" w:color="000000"/>
              <w:right w:val="single" w:sz="8" w:space="0" w:color="000000"/>
            </w:tcBorders>
          </w:tcPr>
          <w:p w14:paraId="2534C0C7" w14:textId="77777777" w:rsidR="00B90808" w:rsidRPr="00FF5F86" w:rsidRDefault="00B90808" w:rsidP="00E610B3">
            <w:pPr>
              <w:spacing w:line="259" w:lineRule="auto"/>
              <w:jc w:val="both"/>
            </w:pPr>
            <w:r w:rsidRPr="00FF5F86">
              <w:t xml:space="preserve">Std. Error </w:t>
            </w:r>
          </w:p>
        </w:tc>
        <w:tc>
          <w:tcPr>
            <w:tcW w:w="1029" w:type="dxa"/>
            <w:tcBorders>
              <w:top w:val="single" w:sz="8" w:space="0" w:color="000000"/>
              <w:left w:val="single" w:sz="8" w:space="0" w:color="000000"/>
              <w:bottom w:val="single" w:sz="8" w:space="0" w:color="000000"/>
              <w:right w:val="single" w:sz="8" w:space="0" w:color="000000"/>
            </w:tcBorders>
          </w:tcPr>
          <w:p w14:paraId="73D46B28" w14:textId="77777777" w:rsidR="00B90808" w:rsidRPr="00FF5F86" w:rsidRDefault="00B90808" w:rsidP="00E610B3">
            <w:pPr>
              <w:spacing w:line="259" w:lineRule="auto"/>
              <w:ind w:left="5"/>
              <w:jc w:val="both"/>
            </w:pPr>
            <w:proofErr w:type="spellStart"/>
            <w:r w:rsidRPr="00FF5F86">
              <w:t>Standardi</w:t>
            </w:r>
            <w:proofErr w:type="spellEnd"/>
            <w:r w:rsidRPr="00FF5F86">
              <w:t xml:space="preserve"> zed \beta </w:t>
            </w:r>
          </w:p>
        </w:tc>
        <w:tc>
          <w:tcPr>
            <w:tcW w:w="1004" w:type="dxa"/>
            <w:tcBorders>
              <w:top w:val="single" w:sz="8" w:space="0" w:color="000000"/>
              <w:left w:val="single" w:sz="8" w:space="0" w:color="000000"/>
              <w:bottom w:val="single" w:sz="8" w:space="0" w:color="000000"/>
              <w:right w:val="single" w:sz="8" w:space="0" w:color="000000"/>
            </w:tcBorders>
          </w:tcPr>
          <w:p w14:paraId="371FC7B5" w14:textId="77777777" w:rsidR="00B90808" w:rsidRPr="00FF5F86" w:rsidRDefault="00B90808" w:rsidP="00E610B3">
            <w:pPr>
              <w:spacing w:line="259" w:lineRule="auto"/>
              <w:ind w:left="20"/>
              <w:jc w:val="both"/>
            </w:pPr>
            <w:r w:rsidRPr="00FF5F86">
              <w:t xml:space="preserve">t-value </w:t>
            </w:r>
          </w:p>
        </w:tc>
        <w:tc>
          <w:tcPr>
            <w:tcW w:w="1001" w:type="dxa"/>
            <w:tcBorders>
              <w:top w:val="single" w:sz="8" w:space="0" w:color="000000"/>
              <w:left w:val="single" w:sz="8" w:space="0" w:color="000000"/>
              <w:bottom w:val="single" w:sz="8" w:space="0" w:color="000000"/>
              <w:right w:val="single" w:sz="8" w:space="0" w:color="000000"/>
            </w:tcBorders>
          </w:tcPr>
          <w:p w14:paraId="593D2D10" w14:textId="77777777" w:rsidR="00B90808" w:rsidRPr="00FF5F86" w:rsidRDefault="00B90808" w:rsidP="00E610B3">
            <w:pPr>
              <w:spacing w:line="259" w:lineRule="auto"/>
              <w:ind w:left="15"/>
              <w:jc w:val="both"/>
            </w:pPr>
            <w:r w:rsidRPr="00FF5F86">
              <w:t xml:space="preserve">p-value </w:t>
            </w:r>
          </w:p>
        </w:tc>
        <w:tc>
          <w:tcPr>
            <w:tcW w:w="1008" w:type="dxa"/>
            <w:tcBorders>
              <w:top w:val="single" w:sz="8" w:space="0" w:color="000000"/>
              <w:left w:val="single" w:sz="8" w:space="0" w:color="000000"/>
              <w:bottom w:val="single" w:sz="8" w:space="0" w:color="000000"/>
              <w:right w:val="single" w:sz="8" w:space="0" w:color="000000"/>
            </w:tcBorders>
          </w:tcPr>
          <w:p w14:paraId="1AF6B580" w14:textId="77777777" w:rsidR="00B90808" w:rsidRPr="00FF5F86" w:rsidRDefault="00B90808" w:rsidP="00E610B3">
            <w:pPr>
              <w:spacing w:line="259" w:lineRule="auto"/>
              <w:jc w:val="both"/>
            </w:pPr>
            <w:r w:rsidRPr="00FF5F86">
              <w:t xml:space="preserve">Model </w:t>
            </w:r>
          </w:p>
          <w:p w14:paraId="059DBE8E" w14:textId="77777777" w:rsidR="00B90808" w:rsidRPr="00FF5F86" w:rsidRDefault="00B90808" w:rsidP="00E610B3">
            <w:pPr>
              <w:spacing w:line="259" w:lineRule="auto"/>
              <w:jc w:val="both"/>
            </w:pPr>
            <w:r w:rsidRPr="00FF5F86">
              <w:t xml:space="preserve">R^2 </w:t>
            </w:r>
          </w:p>
        </w:tc>
        <w:tc>
          <w:tcPr>
            <w:tcW w:w="991" w:type="dxa"/>
            <w:tcBorders>
              <w:top w:val="single" w:sz="8" w:space="0" w:color="000000"/>
              <w:left w:val="single" w:sz="8" w:space="0" w:color="000000"/>
              <w:bottom w:val="single" w:sz="8" w:space="0" w:color="000000"/>
              <w:right w:val="single" w:sz="8" w:space="0" w:color="000000"/>
            </w:tcBorders>
          </w:tcPr>
          <w:p w14:paraId="0FA3F2E7" w14:textId="77777777" w:rsidR="00B90808" w:rsidRPr="00FF5F86" w:rsidRDefault="00B90808" w:rsidP="00E610B3">
            <w:pPr>
              <w:spacing w:line="259" w:lineRule="auto"/>
              <w:ind w:left="5"/>
              <w:jc w:val="both"/>
            </w:pPr>
            <w:r w:rsidRPr="00FF5F86">
              <w:t xml:space="preserve">Model F </w:t>
            </w:r>
          </w:p>
        </w:tc>
      </w:tr>
      <w:tr w:rsidR="00B90808" w:rsidRPr="00FF5F86" w14:paraId="06B1731D" w14:textId="77777777" w:rsidTr="00C148F0">
        <w:trPr>
          <w:trHeight w:val="1100"/>
        </w:trPr>
        <w:tc>
          <w:tcPr>
            <w:tcW w:w="1975" w:type="dxa"/>
            <w:tcBorders>
              <w:top w:val="single" w:sz="8" w:space="0" w:color="000000"/>
              <w:left w:val="single" w:sz="8" w:space="0" w:color="000000"/>
              <w:bottom w:val="single" w:sz="8" w:space="0" w:color="000000"/>
              <w:right w:val="single" w:sz="8" w:space="0" w:color="000000"/>
            </w:tcBorders>
          </w:tcPr>
          <w:p w14:paraId="63560519" w14:textId="04FCAD0F" w:rsidR="00B90808" w:rsidRPr="00FF5F86" w:rsidRDefault="00B90808" w:rsidP="00E610B3">
            <w:pPr>
              <w:spacing w:line="259" w:lineRule="auto"/>
              <w:ind w:left="5"/>
              <w:jc w:val="both"/>
            </w:pPr>
            <w:r w:rsidRPr="00FF5F86">
              <w:rPr>
                <w:b/>
              </w:rPr>
              <w:t xml:space="preserve">Model A: Instructional Efficacy </w:t>
            </w:r>
          </w:p>
        </w:tc>
        <w:tc>
          <w:tcPr>
            <w:tcW w:w="1035" w:type="dxa"/>
            <w:tcBorders>
              <w:top w:val="single" w:sz="8" w:space="0" w:color="000000"/>
              <w:left w:val="single" w:sz="8" w:space="0" w:color="000000"/>
              <w:bottom w:val="single" w:sz="8" w:space="0" w:color="000000"/>
              <w:right w:val="single" w:sz="8" w:space="0" w:color="000000"/>
            </w:tcBorders>
          </w:tcPr>
          <w:p w14:paraId="760E8A96" w14:textId="77777777" w:rsidR="00B90808" w:rsidRPr="00FF5F86" w:rsidRDefault="00B90808" w:rsidP="00E610B3">
            <w:pPr>
              <w:spacing w:line="259" w:lineRule="auto"/>
              <w:ind w:left="20"/>
              <w:jc w:val="both"/>
            </w:pPr>
            <w:r w:rsidRPr="00FF5F86">
              <w:t xml:space="preserve">Constant </w:t>
            </w:r>
          </w:p>
        </w:tc>
        <w:tc>
          <w:tcPr>
            <w:tcW w:w="1125" w:type="dxa"/>
            <w:tcBorders>
              <w:top w:val="single" w:sz="8" w:space="0" w:color="000000"/>
              <w:left w:val="single" w:sz="8" w:space="0" w:color="000000"/>
              <w:bottom w:val="single" w:sz="8" w:space="0" w:color="000000"/>
              <w:right w:val="single" w:sz="8" w:space="0" w:color="000000"/>
            </w:tcBorders>
          </w:tcPr>
          <w:p w14:paraId="26E79C06" w14:textId="77777777" w:rsidR="00B90808" w:rsidRPr="00FF5F86" w:rsidRDefault="00B90808" w:rsidP="00E610B3">
            <w:pPr>
              <w:spacing w:line="259" w:lineRule="auto"/>
              <w:ind w:left="15"/>
              <w:jc w:val="both"/>
            </w:pPr>
            <w:r w:rsidRPr="00FF5F86">
              <w:t xml:space="preserve">4.621 </w:t>
            </w:r>
          </w:p>
        </w:tc>
        <w:tc>
          <w:tcPr>
            <w:tcW w:w="1003" w:type="dxa"/>
            <w:tcBorders>
              <w:top w:val="single" w:sz="8" w:space="0" w:color="000000"/>
              <w:left w:val="single" w:sz="8" w:space="0" w:color="000000"/>
              <w:bottom w:val="single" w:sz="8" w:space="0" w:color="000000"/>
              <w:right w:val="single" w:sz="8" w:space="0" w:color="000000"/>
            </w:tcBorders>
          </w:tcPr>
          <w:p w14:paraId="1E594BA7" w14:textId="77777777" w:rsidR="00B90808" w:rsidRPr="00FF5F86" w:rsidRDefault="00B90808" w:rsidP="00E610B3">
            <w:pPr>
              <w:spacing w:line="259" w:lineRule="auto"/>
              <w:jc w:val="both"/>
            </w:pPr>
            <w:r w:rsidRPr="00FF5F86">
              <w:t xml:space="preserve">0.312 </w:t>
            </w:r>
          </w:p>
        </w:tc>
        <w:tc>
          <w:tcPr>
            <w:tcW w:w="1029" w:type="dxa"/>
            <w:tcBorders>
              <w:top w:val="single" w:sz="8" w:space="0" w:color="000000"/>
              <w:left w:val="single" w:sz="8" w:space="0" w:color="000000"/>
              <w:bottom w:val="single" w:sz="8" w:space="0" w:color="000000"/>
              <w:right w:val="single" w:sz="8" w:space="0" w:color="000000"/>
            </w:tcBorders>
          </w:tcPr>
          <w:p w14:paraId="62B8055B" w14:textId="77777777" w:rsidR="00B90808" w:rsidRPr="00FF5F86" w:rsidRDefault="00B90808" w:rsidP="00E610B3">
            <w:pPr>
              <w:spacing w:line="259" w:lineRule="auto"/>
              <w:ind w:left="5"/>
              <w:jc w:val="both"/>
            </w:pPr>
            <w:r w:rsidRPr="00FF5F86">
              <w:t xml:space="preserve"> </w:t>
            </w:r>
          </w:p>
        </w:tc>
        <w:tc>
          <w:tcPr>
            <w:tcW w:w="1004" w:type="dxa"/>
            <w:tcBorders>
              <w:top w:val="single" w:sz="8" w:space="0" w:color="000000"/>
              <w:left w:val="single" w:sz="8" w:space="0" w:color="000000"/>
              <w:bottom w:val="single" w:sz="8" w:space="0" w:color="000000"/>
              <w:right w:val="single" w:sz="8" w:space="0" w:color="000000"/>
            </w:tcBorders>
          </w:tcPr>
          <w:p w14:paraId="48B25D08" w14:textId="77777777" w:rsidR="00B90808" w:rsidRPr="00FF5F86" w:rsidRDefault="00B90808" w:rsidP="00E610B3">
            <w:pPr>
              <w:spacing w:line="259" w:lineRule="auto"/>
              <w:ind w:left="20"/>
              <w:jc w:val="both"/>
            </w:pPr>
            <w:r w:rsidRPr="00FF5F86">
              <w:t xml:space="preserve">14.81 </w:t>
            </w:r>
          </w:p>
        </w:tc>
        <w:tc>
          <w:tcPr>
            <w:tcW w:w="1001" w:type="dxa"/>
            <w:tcBorders>
              <w:top w:val="single" w:sz="8" w:space="0" w:color="000000"/>
              <w:left w:val="single" w:sz="8" w:space="0" w:color="000000"/>
              <w:bottom w:val="single" w:sz="8" w:space="0" w:color="000000"/>
              <w:right w:val="single" w:sz="8" w:space="0" w:color="000000"/>
            </w:tcBorders>
          </w:tcPr>
          <w:p w14:paraId="7DA7E819" w14:textId="77777777" w:rsidR="00B90808" w:rsidRPr="00FF5F86" w:rsidRDefault="00B90808" w:rsidP="00E610B3">
            <w:pPr>
              <w:spacing w:line="259" w:lineRule="auto"/>
              <w:ind w:left="15"/>
              <w:jc w:val="both"/>
            </w:pPr>
            <w:r w:rsidRPr="00FF5F86">
              <w:t xml:space="preserve">&lt; .001 </w:t>
            </w:r>
          </w:p>
        </w:tc>
        <w:tc>
          <w:tcPr>
            <w:tcW w:w="1008" w:type="dxa"/>
            <w:tcBorders>
              <w:top w:val="single" w:sz="8" w:space="0" w:color="000000"/>
              <w:left w:val="single" w:sz="8" w:space="0" w:color="000000"/>
              <w:bottom w:val="single" w:sz="8" w:space="0" w:color="000000"/>
              <w:right w:val="single" w:sz="8" w:space="0" w:color="000000"/>
            </w:tcBorders>
          </w:tcPr>
          <w:p w14:paraId="2D801260" w14:textId="77777777" w:rsidR="00B90808" w:rsidRPr="00FF5F86" w:rsidRDefault="00B90808" w:rsidP="00E610B3">
            <w:pPr>
              <w:spacing w:line="259" w:lineRule="auto"/>
              <w:jc w:val="both"/>
            </w:pPr>
            <w:r w:rsidRPr="00FF5F86">
              <w:t xml:space="preserve">0.385 </w:t>
            </w:r>
          </w:p>
        </w:tc>
        <w:tc>
          <w:tcPr>
            <w:tcW w:w="991" w:type="dxa"/>
            <w:tcBorders>
              <w:top w:val="single" w:sz="8" w:space="0" w:color="000000"/>
              <w:left w:val="single" w:sz="8" w:space="0" w:color="000000"/>
              <w:bottom w:val="single" w:sz="8" w:space="0" w:color="000000"/>
              <w:right w:val="single" w:sz="8" w:space="0" w:color="000000"/>
            </w:tcBorders>
          </w:tcPr>
          <w:p w14:paraId="254DBA21" w14:textId="77777777" w:rsidR="00B90808" w:rsidRPr="00FF5F86" w:rsidRDefault="00B90808" w:rsidP="00E610B3">
            <w:pPr>
              <w:spacing w:line="259" w:lineRule="auto"/>
              <w:ind w:left="5"/>
              <w:jc w:val="both"/>
            </w:pPr>
            <w:r w:rsidRPr="00FF5F86">
              <w:t xml:space="preserve">F(4, 75) = </w:t>
            </w:r>
          </w:p>
          <w:p w14:paraId="31EA41E1" w14:textId="77777777" w:rsidR="00B90808" w:rsidRPr="00FF5F86" w:rsidRDefault="00B90808" w:rsidP="00E610B3">
            <w:pPr>
              <w:spacing w:line="259" w:lineRule="auto"/>
              <w:ind w:left="5"/>
              <w:jc w:val="both"/>
            </w:pPr>
            <w:r w:rsidRPr="00FF5F86">
              <w:t>11.75, p &lt;</w:t>
            </w:r>
          </w:p>
          <w:p w14:paraId="02EE2FEE" w14:textId="77777777" w:rsidR="00B90808" w:rsidRPr="00FF5F86" w:rsidRDefault="00B90808" w:rsidP="00E610B3">
            <w:pPr>
              <w:spacing w:line="259" w:lineRule="auto"/>
              <w:ind w:left="5"/>
              <w:jc w:val="both"/>
            </w:pPr>
            <w:r w:rsidRPr="00FF5F86">
              <w:t xml:space="preserve">.001 </w:t>
            </w:r>
          </w:p>
        </w:tc>
      </w:tr>
      <w:tr w:rsidR="00B90808" w:rsidRPr="00FF5F86" w14:paraId="5092E8F1" w14:textId="77777777" w:rsidTr="00C148F0">
        <w:trPr>
          <w:trHeight w:val="540"/>
        </w:trPr>
        <w:tc>
          <w:tcPr>
            <w:tcW w:w="1975" w:type="dxa"/>
            <w:tcBorders>
              <w:top w:val="single" w:sz="8" w:space="0" w:color="000000"/>
              <w:left w:val="single" w:sz="8" w:space="0" w:color="000000"/>
              <w:bottom w:val="single" w:sz="8" w:space="0" w:color="000000"/>
              <w:right w:val="single" w:sz="8" w:space="0" w:color="000000"/>
            </w:tcBorders>
          </w:tcPr>
          <w:p w14:paraId="6099D51C" w14:textId="77777777" w:rsidR="00B90808" w:rsidRPr="00FF5F86" w:rsidRDefault="00B90808" w:rsidP="00E610B3">
            <w:pPr>
              <w:spacing w:line="259" w:lineRule="auto"/>
              <w:ind w:left="5"/>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08917F23" w14:textId="77777777" w:rsidR="00B90808" w:rsidRPr="00FF5F86" w:rsidRDefault="00B90808" w:rsidP="00E610B3">
            <w:pPr>
              <w:spacing w:line="259" w:lineRule="auto"/>
              <w:ind w:left="20"/>
              <w:jc w:val="both"/>
            </w:pPr>
            <w:r w:rsidRPr="00FF5F86">
              <w:t xml:space="preserve">Class </w:t>
            </w:r>
          </w:p>
          <w:p w14:paraId="50C72274" w14:textId="77777777" w:rsidR="00B90808" w:rsidRPr="00FF5F86" w:rsidRDefault="00B90808" w:rsidP="00E610B3">
            <w:pPr>
              <w:spacing w:line="259" w:lineRule="auto"/>
              <w:ind w:left="20"/>
              <w:jc w:val="both"/>
            </w:pPr>
            <w:r w:rsidRPr="00FF5F86">
              <w:t xml:space="preserve">Size </w:t>
            </w:r>
          </w:p>
        </w:tc>
        <w:tc>
          <w:tcPr>
            <w:tcW w:w="1125" w:type="dxa"/>
            <w:tcBorders>
              <w:top w:val="single" w:sz="8" w:space="0" w:color="000000"/>
              <w:left w:val="single" w:sz="8" w:space="0" w:color="000000"/>
              <w:bottom w:val="single" w:sz="8" w:space="0" w:color="000000"/>
              <w:right w:val="single" w:sz="8" w:space="0" w:color="000000"/>
            </w:tcBorders>
          </w:tcPr>
          <w:p w14:paraId="02819396" w14:textId="77777777" w:rsidR="00B90808" w:rsidRPr="00FF5F86" w:rsidRDefault="00B90808" w:rsidP="00E610B3">
            <w:pPr>
              <w:spacing w:line="259" w:lineRule="auto"/>
              <w:ind w:left="15"/>
              <w:jc w:val="both"/>
            </w:pPr>
            <w:r w:rsidRPr="00FF5F86">
              <w:t xml:space="preserve">-0.038 </w:t>
            </w:r>
          </w:p>
        </w:tc>
        <w:tc>
          <w:tcPr>
            <w:tcW w:w="1003" w:type="dxa"/>
            <w:tcBorders>
              <w:top w:val="single" w:sz="8" w:space="0" w:color="000000"/>
              <w:left w:val="single" w:sz="8" w:space="0" w:color="000000"/>
              <w:bottom w:val="single" w:sz="8" w:space="0" w:color="000000"/>
              <w:right w:val="single" w:sz="8" w:space="0" w:color="000000"/>
            </w:tcBorders>
          </w:tcPr>
          <w:p w14:paraId="400793FF" w14:textId="77777777" w:rsidR="00B90808" w:rsidRPr="00FF5F86" w:rsidRDefault="00B90808" w:rsidP="00E610B3">
            <w:pPr>
              <w:spacing w:line="259" w:lineRule="auto"/>
              <w:jc w:val="both"/>
            </w:pPr>
            <w:r w:rsidRPr="00FF5F86">
              <w:t xml:space="preserve">0.007 </w:t>
            </w:r>
          </w:p>
        </w:tc>
        <w:tc>
          <w:tcPr>
            <w:tcW w:w="1029" w:type="dxa"/>
            <w:tcBorders>
              <w:top w:val="single" w:sz="8" w:space="0" w:color="000000"/>
              <w:left w:val="single" w:sz="8" w:space="0" w:color="000000"/>
              <w:bottom w:val="single" w:sz="8" w:space="0" w:color="000000"/>
              <w:right w:val="single" w:sz="8" w:space="0" w:color="000000"/>
            </w:tcBorders>
          </w:tcPr>
          <w:p w14:paraId="7DC56172" w14:textId="77777777" w:rsidR="00B90808" w:rsidRPr="00FF5F86" w:rsidRDefault="00B90808" w:rsidP="00E610B3">
            <w:pPr>
              <w:spacing w:line="259" w:lineRule="auto"/>
              <w:ind w:left="5"/>
              <w:jc w:val="both"/>
            </w:pPr>
            <w:r w:rsidRPr="00FF5F86">
              <w:t xml:space="preserve">-0.492 </w:t>
            </w:r>
          </w:p>
        </w:tc>
        <w:tc>
          <w:tcPr>
            <w:tcW w:w="1004" w:type="dxa"/>
            <w:tcBorders>
              <w:top w:val="single" w:sz="8" w:space="0" w:color="000000"/>
              <w:left w:val="single" w:sz="8" w:space="0" w:color="000000"/>
              <w:bottom w:val="single" w:sz="8" w:space="0" w:color="000000"/>
              <w:right w:val="single" w:sz="8" w:space="0" w:color="000000"/>
            </w:tcBorders>
          </w:tcPr>
          <w:p w14:paraId="18385205" w14:textId="77777777" w:rsidR="00B90808" w:rsidRPr="00FF5F86" w:rsidRDefault="00B90808" w:rsidP="00E610B3">
            <w:pPr>
              <w:spacing w:line="259" w:lineRule="auto"/>
              <w:ind w:left="20"/>
              <w:jc w:val="both"/>
            </w:pPr>
            <w:r w:rsidRPr="00FF5F86">
              <w:t xml:space="preserve">-5.43 </w:t>
            </w:r>
          </w:p>
        </w:tc>
        <w:tc>
          <w:tcPr>
            <w:tcW w:w="1001" w:type="dxa"/>
            <w:tcBorders>
              <w:top w:val="single" w:sz="8" w:space="0" w:color="000000"/>
              <w:left w:val="single" w:sz="8" w:space="0" w:color="000000"/>
              <w:bottom w:val="single" w:sz="8" w:space="0" w:color="000000"/>
              <w:right w:val="single" w:sz="8" w:space="0" w:color="000000"/>
            </w:tcBorders>
          </w:tcPr>
          <w:p w14:paraId="43AF4A2E" w14:textId="77777777" w:rsidR="00B90808" w:rsidRPr="00FF5F86" w:rsidRDefault="00B90808" w:rsidP="00E610B3">
            <w:pPr>
              <w:spacing w:line="259" w:lineRule="auto"/>
              <w:ind w:left="15"/>
              <w:jc w:val="both"/>
            </w:pPr>
            <w:r w:rsidRPr="00FF5F86">
              <w:t xml:space="preserve">&lt; .001 </w:t>
            </w:r>
          </w:p>
        </w:tc>
        <w:tc>
          <w:tcPr>
            <w:tcW w:w="1008" w:type="dxa"/>
            <w:tcBorders>
              <w:top w:val="single" w:sz="8" w:space="0" w:color="000000"/>
              <w:left w:val="single" w:sz="8" w:space="0" w:color="000000"/>
              <w:bottom w:val="single" w:sz="8" w:space="0" w:color="000000"/>
              <w:right w:val="single" w:sz="8" w:space="0" w:color="000000"/>
            </w:tcBorders>
          </w:tcPr>
          <w:p w14:paraId="36BDA1AD" w14:textId="77777777" w:rsidR="00B90808" w:rsidRPr="00FF5F86" w:rsidRDefault="00B90808" w:rsidP="00E610B3">
            <w:pPr>
              <w:spacing w:line="259" w:lineRule="auto"/>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23F030F5" w14:textId="77777777" w:rsidR="00B90808" w:rsidRPr="00FF5F86" w:rsidRDefault="00B90808" w:rsidP="00E610B3">
            <w:pPr>
              <w:spacing w:line="259" w:lineRule="auto"/>
              <w:ind w:left="5"/>
              <w:jc w:val="both"/>
            </w:pPr>
            <w:r w:rsidRPr="00FF5F86">
              <w:t xml:space="preserve"> </w:t>
            </w:r>
          </w:p>
        </w:tc>
      </w:tr>
      <w:tr w:rsidR="00B90808" w:rsidRPr="00FF5F86" w14:paraId="01FFC27A"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2EFF3966" w14:textId="77777777" w:rsidR="00B90808" w:rsidRPr="00FF5F86" w:rsidRDefault="00B90808" w:rsidP="00E610B3">
            <w:pPr>
              <w:spacing w:line="259" w:lineRule="auto"/>
              <w:ind w:left="5"/>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1049BB59" w14:textId="77777777" w:rsidR="00B90808" w:rsidRPr="00FF5F86" w:rsidRDefault="00B90808" w:rsidP="00E610B3">
            <w:pPr>
              <w:spacing w:line="259" w:lineRule="auto"/>
              <w:ind w:left="20"/>
              <w:jc w:val="both"/>
            </w:pPr>
            <w:r w:rsidRPr="00FF5F86">
              <w:t xml:space="preserve">Years Exp. </w:t>
            </w:r>
          </w:p>
        </w:tc>
        <w:tc>
          <w:tcPr>
            <w:tcW w:w="1125" w:type="dxa"/>
            <w:tcBorders>
              <w:top w:val="single" w:sz="8" w:space="0" w:color="000000"/>
              <w:left w:val="single" w:sz="8" w:space="0" w:color="000000"/>
              <w:bottom w:val="single" w:sz="8" w:space="0" w:color="000000"/>
              <w:right w:val="single" w:sz="8" w:space="0" w:color="000000"/>
            </w:tcBorders>
          </w:tcPr>
          <w:p w14:paraId="77A50F22" w14:textId="77777777" w:rsidR="00B90808" w:rsidRPr="00FF5F86" w:rsidRDefault="00B90808" w:rsidP="00E610B3">
            <w:pPr>
              <w:spacing w:line="259" w:lineRule="auto"/>
              <w:ind w:left="15"/>
              <w:jc w:val="both"/>
            </w:pPr>
            <w:r w:rsidRPr="00FF5F86">
              <w:t xml:space="preserve">0.021 </w:t>
            </w:r>
          </w:p>
        </w:tc>
        <w:tc>
          <w:tcPr>
            <w:tcW w:w="1003" w:type="dxa"/>
            <w:tcBorders>
              <w:top w:val="single" w:sz="8" w:space="0" w:color="000000"/>
              <w:left w:val="single" w:sz="8" w:space="0" w:color="000000"/>
              <w:bottom w:val="single" w:sz="8" w:space="0" w:color="000000"/>
              <w:right w:val="single" w:sz="8" w:space="0" w:color="000000"/>
            </w:tcBorders>
          </w:tcPr>
          <w:p w14:paraId="12428856" w14:textId="77777777" w:rsidR="00B90808" w:rsidRPr="00FF5F86" w:rsidRDefault="00B90808" w:rsidP="00E610B3">
            <w:pPr>
              <w:spacing w:line="259" w:lineRule="auto"/>
              <w:jc w:val="both"/>
            </w:pPr>
            <w:r w:rsidRPr="00FF5F86">
              <w:t xml:space="preserve">0.009 </w:t>
            </w:r>
          </w:p>
        </w:tc>
        <w:tc>
          <w:tcPr>
            <w:tcW w:w="1029" w:type="dxa"/>
            <w:tcBorders>
              <w:top w:val="single" w:sz="8" w:space="0" w:color="000000"/>
              <w:left w:val="single" w:sz="8" w:space="0" w:color="000000"/>
              <w:bottom w:val="single" w:sz="8" w:space="0" w:color="000000"/>
              <w:right w:val="single" w:sz="8" w:space="0" w:color="000000"/>
            </w:tcBorders>
          </w:tcPr>
          <w:p w14:paraId="1D74FDD2" w14:textId="77777777" w:rsidR="00B90808" w:rsidRPr="00FF5F86" w:rsidRDefault="00B90808" w:rsidP="00E610B3">
            <w:pPr>
              <w:spacing w:line="259" w:lineRule="auto"/>
              <w:ind w:left="5"/>
              <w:jc w:val="both"/>
            </w:pPr>
            <w:r w:rsidRPr="00FF5F86">
              <w:t xml:space="preserve">0.185 </w:t>
            </w:r>
          </w:p>
        </w:tc>
        <w:tc>
          <w:tcPr>
            <w:tcW w:w="1004" w:type="dxa"/>
            <w:tcBorders>
              <w:top w:val="single" w:sz="8" w:space="0" w:color="000000"/>
              <w:left w:val="single" w:sz="8" w:space="0" w:color="000000"/>
              <w:bottom w:val="single" w:sz="8" w:space="0" w:color="000000"/>
              <w:right w:val="single" w:sz="8" w:space="0" w:color="000000"/>
            </w:tcBorders>
          </w:tcPr>
          <w:p w14:paraId="2C3A2C12" w14:textId="77777777" w:rsidR="00B90808" w:rsidRPr="00FF5F86" w:rsidRDefault="00B90808" w:rsidP="00E610B3">
            <w:pPr>
              <w:spacing w:line="259" w:lineRule="auto"/>
              <w:ind w:left="20"/>
              <w:jc w:val="both"/>
            </w:pPr>
            <w:r w:rsidRPr="00FF5F86">
              <w:t xml:space="preserve">2.33 </w:t>
            </w:r>
          </w:p>
        </w:tc>
        <w:tc>
          <w:tcPr>
            <w:tcW w:w="1001" w:type="dxa"/>
            <w:tcBorders>
              <w:top w:val="single" w:sz="8" w:space="0" w:color="000000"/>
              <w:left w:val="single" w:sz="8" w:space="0" w:color="000000"/>
              <w:bottom w:val="single" w:sz="8" w:space="0" w:color="000000"/>
              <w:right w:val="single" w:sz="8" w:space="0" w:color="000000"/>
            </w:tcBorders>
          </w:tcPr>
          <w:p w14:paraId="4EB96CA7" w14:textId="77777777" w:rsidR="00B90808" w:rsidRPr="00FF5F86" w:rsidRDefault="00B90808" w:rsidP="00E610B3">
            <w:pPr>
              <w:spacing w:line="259" w:lineRule="auto"/>
              <w:ind w:left="15"/>
              <w:jc w:val="both"/>
            </w:pPr>
            <w:r w:rsidRPr="00FF5F86">
              <w:t xml:space="preserve">.022 </w:t>
            </w:r>
          </w:p>
        </w:tc>
        <w:tc>
          <w:tcPr>
            <w:tcW w:w="1008" w:type="dxa"/>
            <w:tcBorders>
              <w:top w:val="single" w:sz="8" w:space="0" w:color="000000"/>
              <w:left w:val="single" w:sz="8" w:space="0" w:color="000000"/>
              <w:bottom w:val="single" w:sz="8" w:space="0" w:color="000000"/>
              <w:right w:val="single" w:sz="8" w:space="0" w:color="000000"/>
            </w:tcBorders>
          </w:tcPr>
          <w:p w14:paraId="3A8A32C3" w14:textId="77777777" w:rsidR="00B90808" w:rsidRPr="00FF5F86" w:rsidRDefault="00B90808" w:rsidP="00E610B3">
            <w:pPr>
              <w:spacing w:line="259" w:lineRule="auto"/>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62CA327D" w14:textId="77777777" w:rsidR="00B90808" w:rsidRPr="00FF5F86" w:rsidRDefault="00B90808" w:rsidP="00E610B3">
            <w:pPr>
              <w:spacing w:line="259" w:lineRule="auto"/>
              <w:ind w:left="5"/>
              <w:jc w:val="both"/>
            </w:pPr>
            <w:r w:rsidRPr="00FF5F86">
              <w:t xml:space="preserve"> </w:t>
            </w:r>
          </w:p>
        </w:tc>
      </w:tr>
      <w:tr w:rsidR="00B90808" w:rsidRPr="00FF5F86" w14:paraId="704940E2"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4BD4665C" w14:textId="77777777" w:rsidR="00B90808" w:rsidRPr="00FF5F86" w:rsidRDefault="00B90808" w:rsidP="00E610B3">
            <w:pPr>
              <w:spacing w:line="259" w:lineRule="auto"/>
              <w:ind w:left="5"/>
              <w:jc w:val="both"/>
            </w:pPr>
            <w:r w:rsidRPr="00FF5F86">
              <w:rPr>
                <w:b/>
              </w:rPr>
              <w:t xml:space="preserve">Model B: </w:t>
            </w:r>
          </w:p>
          <w:p w14:paraId="2E67BF6D" w14:textId="77777777" w:rsidR="00B90808" w:rsidRPr="00FF5F86" w:rsidRDefault="00B90808" w:rsidP="00E610B3">
            <w:pPr>
              <w:spacing w:line="259" w:lineRule="auto"/>
              <w:ind w:left="5"/>
              <w:jc w:val="both"/>
            </w:pPr>
            <w:r w:rsidRPr="00FF5F86">
              <w:rPr>
                <w:b/>
              </w:rPr>
              <w:t>Workload</w:t>
            </w:r>
          </w:p>
        </w:tc>
        <w:tc>
          <w:tcPr>
            <w:tcW w:w="1035" w:type="dxa"/>
            <w:tcBorders>
              <w:top w:val="single" w:sz="8" w:space="0" w:color="000000"/>
              <w:left w:val="single" w:sz="8" w:space="0" w:color="000000"/>
              <w:bottom w:val="single" w:sz="8" w:space="0" w:color="000000"/>
              <w:right w:val="single" w:sz="8" w:space="0" w:color="000000"/>
            </w:tcBorders>
          </w:tcPr>
          <w:p w14:paraId="5D278792" w14:textId="77777777" w:rsidR="00B90808" w:rsidRPr="00FF5F86" w:rsidRDefault="00B90808" w:rsidP="00E610B3">
            <w:pPr>
              <w:spacing w:line="259" w:lineRule="auto"/>
              <w:ind w:left="20"/>
              <w:jc w:val="both"/>
            </w:pPr>
            <w:r w:rsidRPr="00FF5F86">
              <w:t xml:space="preserve">Constant </w:t>
            </w:r>
          </w:p>
          <w:p w14:paraId="5088D71C" w14:textId="77777777" w:rsidR="00B90808" w:rsidRPr="00FF5F86" w:rsidRDefault="00B90808" w:rsidP="00E610B3">
            <w:pPr>
              <w:spacing w:line="259" w:lineRule="auto"/>
              <w:ind w:left="-17"/>
              <w:jc w:val="both"/>
            </w:pPr>
            <w:r w:rsidRPr="00FF5F86">
              <w:rPr>
                <w:b/>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2CB13CAB" w14:textId="77777777" w:rsidR="00B90808" w:rsidRPr="00FF5F86" w:rsidRDefault="00B90808" w:rsidP="00E610B3">
            <w:pPr>
              <w:spacing w:line="259" w:lineRule="auto"/>
              <w:ind w:left="15"/>
              <w:jc w:val="both"/>
            </w:pPr>
            <w:r w:rsidRPr="00FF5F86">
              <w:t xml:space="preserve">4.895 </w:t>
            </w:r>
          </w:p>
        </w:tc>
        <w:tc>
          <w:tcPr>
            <w:tcW w:w="1003" w:type="dxa"/>
            <w:tcBorders>
              <w:top w:val="single" w:sz="8" w:space="0" w:color="000000"/>
              <w:left w:val="single" w:sz="8" w:space="0" w:color="000000"/>
              <w:bottom w:val="single" w:sz="8" w:space="0" w:color="000000"/>
              <w:right w:val="single" w:sz="8" w:space="0" w:color="000000"/>
            </w:tcBorders>
          </w:tcPr>
          <w:p w14:paraId="26712A63" w14:textId="77777777" w:rsidR="00B90808" w:rsidRPr="00FF5F86" w:rsidRDefault="00B90808" w:rsidP="00E610B3">
            <w:pPr>
              <w:spacing w:line="259" w:lineRule="auto"/>
              <w:jc w:val="both"/>
            </w:pPr>
            <w:r w:rsidRPr="00FF5F86">
              <w:t xml:space="preserve">0.284 </w:t>
            </w:r>
          </w:p>
        </w:tc>
        <w:tc>
          <w:tcPr>
            <w:tcW w:w="1029" w:type="dxa"/>
            <w:tcBorders>
              <w:top w:val="single" w:sz="8" w:space="0" w:color="000000"/>
              <w:left w:val="single" w:sz="8" w:space="0" w:color="000000"/>
              <w:bottom w:val="single" w:sz="8" w:space="0" w:color="000000"/>
              <w:right w:val="single" w:sz="8" w:space="0" w:color="000000"/>
            </w:tcBorders>
          </w:tcPr>
          <w:p w14:paraId="5E73EFA1" w14:textId="77777777" w:rsidR="00B90808" w:rsidRPr="00FF5F86" w:rsidRDefault="00B90808" w:rsidP="00E610B3">
            <w:pPr>
              <w:spacing w:line="259" w:lineRule="auto"/>
              <w:ind w:left="5"/>
              <w:jc w:val="both"/>
            </w:pPr>
            <w:r w:rsidRPr="00FF5F86">
              <w:t xml:space="preserve"> </w:t>
            </w:r>
          </w:p>
        </w:tc>
        <w:tc>
          <w:tcPr>
            <w:tcW w:w="1004" w:type="dxa"/>
            <w:tcBorders>
              <w:top w:val="single" w:sz="8" w:space="0" w:color="000000"/>
              <w:left w:val="single" w:sz="8" w:space="0" w:color="000000"/>
              <w:bottom w:val="single" w:sz="8" w:space="0" w:color="000000"/>
              <w:right w:val="single" w:sz="8" w:space="0" w:color="000000"/>
            </w:tcBorders>
          </w:tcPr>
          <w:p w14:paraId="20BCE143" w14:textId="77777777" w:rsidR="00B90808" w:rsidRPr="00FF5F86" w:rsidRDefault="00B90808" w:rsidP="00E610B3">
            <w:pPr>
              <w:spacing w:line="259" w:lineRule="auto"/>
              <w:ind w:left="20"/>
              <w:jc w:val="both"/>
            </w:pPr>
            <w:r w:rsidRPr="00FF5F86">
              <w:t xml:space="preserve">17.24 </w:t>
            </w:r>
          </w:p>
        </w:tc>
        <w:tc>
          <w:tcPr>
            <w:tcW w:w="1001" w:type="dxa"/>
            <w:tcBorders>
              <w:top w:val="single" w:sz="8" w:space="0" w:color="000000"/>
              <w:left w:val="single" w:sz="8" w:space="0" w:color="000000"/>
              <w:bottom w:val="single" w:sz="8" w:space="0" w:color="000000"/>
              <w:right w:val="single" w:sz="8" w:space="0" w:color="000000"/>
            </w:tcBorders>
          </w:tcPr>
          <w:p w14:paraId="091A7ECA" w14:textId="77777777" w:rsidR="00B90808" w:rsidRPr="00FF5F86" w:rsidRDefault="00B90808" w:rsidP="00E610B3">
            <w:pPr>
              <w:spacing w:line="259" w:lineRule="auto"/>
              <w:ind w:left="15"/>
              <w:jc w:val="both"/>
            </w:pPr>
            <w:r w:rsidRPr="00FF5F86">
              <w:t xml:space="preserve">&lt; .001 </w:t>
            </w:r>
          </w:p>
        </w:tc>
        <w:tc>
          <w:tcPr>
            <w:tcW w:w="1008" w:type="dxa"/>
            <w:tcBorders>
              <w:top w:val="single" w:sz="8" w:space="0" w:color="000000"/>
              <w:left w:val="single" w:sz="8" w:space="0" w:color="000000"/>
              <w:bottom w:val="single" w:sz="8" w:space="0" w:color="000000"/>
              <w:right w:val="single" w:sz="8" w:space="0" w:color="000000"/>
            </w:tcBorders>
          </w:tcPr>
          <w:p w14:paraId="587ECEBE" w14:textId="77777777" w:rsidR="00B90808" w:rsidRPr="00FF5F86" w:rsidRDefault="00B90808" w:rsidP="00E610B3">
            <w:pPr>
              <w:spacing w:line="259" w:lineRule="auto"/>
              <w:jc w:val="both"/>
            </w:pPr>
            <w:r w:rsidRPr="00FF5F86">
              <w:t xml:space="preserve">0.512 </w:t>
            </w:r>
          </w:p>
        </w:tc>
        <w:tc>
          <w:tcPr>
            <w:tcW w:w="991" w:type="dxa"/>
            <w:tcBorders>
              <w:top w:val="single" w:sz="8" w:space="0" w:color="000000"/>
              <w:left w:val="single" w:sz="8" w:space="0" w:color="000000"/>
              <w:bottom w:val="single" w:sz="8" w:space="0" w:color="000000"/>
              <w:right w:val="single" w:sz="8" w:space="0" w:color="000000"/>
            </w:tcBorders>
          </w:tcPr>
          <w:p w14:paraId="13CE342E" w14:textId="77777777" w:rsidR="00B90808" w:rsidRPr="00FF5F86" w:rsidRDefault="00B90808" w:rsidP="00E610B3">
            <w:pPr>
              <w:spacing w:line="259" w:lineRule="auto"/>
              <w:ind w:left="5"/>
              <w:jc w:val="both"/>
            </w:pPr>
            <w:r w:rsidRPr="00FF5F86">
              <w:t xml:space="preserve">F(4, 75) = </w:t>
            </w:r>
          </w:p>
          <w:p w14:paraId="68B4846D" w14:textId="77777777" w:rsidR="00B90808" w:rsidRPr="00FF5F86" w:rsidRDefault="00B90808" w:rsidP="00E610B3">
            <w:pPr>
              <w:spacing w:line="259" w:lineRule="auto"/>
              <w:ind w:left="5"/>
              <w:jc w:val="both"/>
            </w:pPr>
            <w:r w:rsidRPr="00FF5F86">
              <w:t>19.64, p &lt;</w:t>
            </w:r>
          </w:p>
        </w:tc>
      </w:tr>
      <w:tr w:rsidR="00B90808" w:rsidRPr="00FF5F86" w14:paraId="1E65E63E" w14:textId="77777777" w:rsidTr="00C148F0">
        <w:trPr>
          <w:trHeight w:val="1620"/>
        </w:trPr>
        <w:tc>
          <w:tcPr>
            <w:tcW w:w="1975" w:type="dxa"/>
            <w:tcBorders>
              <w:top w:val="single" w:sz="8" w:space="0" w:color="000000"/>
              <w:left w:val="single" w:sz="8" w:space="0" w:color="000000"/>
              <w:bottom w:val="single" w:sz="8" w:space="0" w:color="000000"/>
              <w:right w:val="single" w:sz="8" w:space="0" w:color="000000"/>
            </w:tcBorders>
          </w:tcPr>
          <w:p w14:paraId="454AFE89" w14:textId="25B62D2F" w:rsidR="00B90808" w:rsidRPr="00FF5F86" w:rsidRDefault="00B90808" w:rsidP="00E610B3">
            <w:pPr>
              <w:spacing w:line="259" w:lineRule="auto"/>
              <w:jc w:val="both"/>
            </w:pPr>
            <w:r w:rsidRPr="00FF5F86">
              <w:lastRenderedPageBreak/>
              <w:t>Dependen</w:t>
            </w:r>
            <w:r w:rsidR="00C523B9">
              <w:t>t</w:t>
            </w:r>
          </w:p>
          <w:p w14:paraId="69139EEA" w14:textId="1025B27B" w:rsidR="00B90808" w:rsidRPr="00FF5F86" w:rsidRDefault="00B90808" w:rsidP="00E610B3">
            <w:pPr>
              <w:spacing w:line="259" w:lineRule="auto"/>
              <w:jc w:val="both"/>
            </w:pPr>
          </w:p>
          <w:p w14:paraId="30C46C59" w14:textId="77777777" w:rsidR="00B90808" w:rsidRPr="00FF5F86" w:rsidRDefault="00B90808" w:rsidP="00E610B3">
            <w:pPr>
              <w:spacing w:line="259" w:lineRule="auto"/>
              <w:jc w:val="both"/>
            </w:pPr>
            <w:r w:rsidRPr="00FF5F86">
              <w:t xml:space="preserve">Variables </w:t>
            </w:r>
          </w:p>
          <w:p w14:paraId="7A7D570A" w14:textId="43239E0A" w:rsidR="00B90808" w:rsidRPr="00FF5F86" w:rsidRDefault="00B90808" w:rsidP="00E610B3">
            <w:pPr>
              <w:spacing w:line="259" w:lineRule="auto"/>
              <w:jc w:val="both"/>
            </w:pPr>
            <w:r w:rsidRPr="00FF5F86">
              <w:t xml:space="preserve">(Morale </w:t>
            </w:r>
            <w:r w:rsidR="00C523B9" w:rsidRPr="00FF5F86">
              <w:t>Dimension</w:t>
            </w:r>
            <w:r w:rsidRPr="00FF5F86">
              <w:t xml:space="preserve"> ns) </w:t>
            </w:r>
          </w:p>
        </w:tc>
        <w:tc>
          <w:tcPr>
            <w:tcW w:w="1035" w:type="dxa"/>
            <w:tcBorders>
              <w:top w:val="single" w:sz="8" w:space="0" w:color="000000"/>
              <w:left w:val="single" w:sz="8" w:space="0" w:color="000000"/>
              <w:bottom w:val="single" w:sz="8" w:space="0" w:color="000000"/>
              <w:right w:val="single" w:sz="8" w:space="0" w:color="000000"/>
            </w:tcBorders>
          </w:tcPr>
          <w:p w14:paraId="35810A21" w14:textId="77777777" w:rsidR="00B90808" w:rsidRPr="00FF5F86" w:rsidRDefault="00B90808" w:rsidP="00E610B3">
            <w:pPr>
              <w:spacing w:line="259" w:lineRule="auto"/>
              <w:ind w:left="15"/>
              <w:jc w:val="both"/>
            </w:pPr>
            <w:r w:rsidRPr="00FF5F86">
              <w:t xml:space="preserve">Predictor </w:t>
            </w:r>
          </w:p>
          <w:p w14:paraId="326E5241" w14:textId="77777777" w:rsidR="00B90808" w:rsidRPr="00FF5F86" w:rsidRDefault="00B90808" w:rsidP="00E610B3">
            <w:pPr>
              <w:spacing w:line="259" w:lineRule="auto"/>
              <w:ind w:left="15"/>
              <w:jc w:val="both"/>
            </w:pPr>
            <w:r w:rsidRPr="00FF5F86">
              <w:t xml:space="preserve">Variable </w:t>
            </w:r>
          </w:p>
        </w:tc>
        <w:tc>
          <w:tcPr>
            <w:tcW w:w="1125" w:type="dxa"/>
            <w:tcBorders>
              <w:top w:val="single" w:sz="8" w:space="0" w:color="000000"/>
              <w:left w:val="single" w:sz="8" w:space="0" w:color="000000"/>
              <w:bottom w:val="single" w:sz="8" w:space="0" w:color="000000"/>
              <w:right w:val="single" w:sz="8" w:space="0" w:color="000000"/>
            </w:tcBorders>
          </w:tcPr>
          <w:p w14:paraId="4D565F47" w14:textId="77777777" w:rsidR="00B90808" w:rsidRPr="00FF5F86" w:rsidRDefault="00B90808" w:rsidP="00E610B3">
            <w:pPr>
              <w:spacing w:line="259" w:lineRule="auto"/>
              <w:jc w:val="both"/>
            </w:pPr>
            <w:proofErr w:type="spellStart"/>
            <w:r w:rsidRPr="00FF5F86">
              <w:t>Unstandar</w:t>
            </w:r>
            <w:proofErr w:type="spellEnd"/>
            <w:r w:rsidRPr="00FF5F86">
              <w:t xml:space="preserve"> </w:t>
            </w:r>
            <w:proofErr w:type="spellStart"/>
            <w:r w:rsidRPr="00FF5F86">
              <w:t>dized</w:t>
            </w:r>
            <w:proofErr w:type="spellEnd"/>
            <w:r w:rsidRPr="00FF5F86">
              <w:t xml:space="preserve"> B </w:t>
            </w:r>
          </w:p>
        </w:tc>
        <w:tc>
          <w:tcPr>
            <w:tcW w:w="1003" w:type="dxa"/>
            <w:tcBorders>
              <w:top w:val="single" w:sz="8" w:space="0" w:color="000000"/>
              <w:left w:val="single" w:sz="8" w:space="0" w:color="000000"/>
              <w:bottom w:val="single" w:sz="8" w:space="0" w:color="000000"/>
              <w:right w:val="single" w:sz="8" w:space="0" w:color="000000"/>
            </w:tcBorders>
          </w:tcPr>
          <w:p w14:paraId="05921491" w14:textId="77777777" w:rsidR="00B90808" w:rsidRPr="00FF5F86" w:rsidRDefault="00B90808" w:rsidP="00E610B3">
            <w:pPr>
              <w:spacing w:line="259" w:lineRule="auto"/>
              <w:ind w:left="5"/>
              <w:jc w:val="both"/>
            </w:pPr>
            <w:r w:rsidRPr="00FF5F86">
              <w:t xml:space="preserve">Std. Error </w:t>
            </w:r>
          </w:p>
        </w:tc>
        <w:tc>
          <w:tcPr>
            <w:tcW w:w="1029" w:type="dxa"/>
            <w:tcBorders>
              <w:top w:val="single" w:sz="8" w:space="0" w:color="000000"/>
              <w:left w:val="single" w:sz="8" w:space="0" w:color="000000"/>
              <w:bottom w:val="single" w:sz="8" w:space="0" w:color="000000"/>
              <w:right w:val="single" w:sz="8" w:space="0" w:color="000000"/>
            </w:tcBorders>
          </w:tcPr>
          <w:p w14:paraId="502BB61F" w14:textId="77777777" w:rsidR="00B90808" w:rsidRPr="00FF5F86" w:rsidRDefault="00B90808" w:rsidP="00E610B3">
            <w:pPr>
              <w:spacing w:line="259" w:lineRule="auto"/>
              <w:jc w:val="both"/>
            </w:pPr>
            <w:proofErr w:type="spellStart"/>
            <w:r w:rsidRPr="00FF5F86">
              <w:t>Standardi</w:t>
            </w:r>
            <w:proofErr w:type="spellEnd"/>
            <w:r w:rsidRPr="00FF5F86">
              <w:t xml:space="preserve"> zed \beta </w:t>
            </w:r>
          </w:p>
        </w:tc>
        <w:tc>
          <w:tcPr>
            <w:tcW w:w="1004" w:type="dxa"/>
            <w:tcBorders>
              <w:top w:val="single" w:sz="8" w:space="0" w:color="000000"/>
              <w:left w:val="single" w:sz="8" w:space="0" w:color="000000"/>
              <w:bottom w:val="single" w:sz="8" w:space="0" w:color="000000"/>
              <w:right w:val="single" w:sz="8" w:space="0" w:color="000000"/>
            </w:tcBorders>
          </w:tcPr>
          <w:p w14:paraId="37F6ACFD" w14:textId="77777777" w:rsidR="00B90808" w:rsidRPr="00FF5F86" w:rsidRDefault="00B90808" w:rsidP="00E610B3">
            <w:pPr>
              <w:spacing w:line="259" w:lineRule="auto"/>
              <w:ind w:left="15"/>
              <w:jc w:val="both"/>
            </w:pPr>
            <w:r w:rsidRPr="00FF5F86">
              <w:t xml:space="preserve">t-value </w:t>
            </w:r>
          </w:p>
        </w:tc>
        <w:tc>
          <w:tcPr>
            <w:tcW w:w="1001" w:type="dxa"/>
            <w:tcBorders>
              <w:top w:val="single" w:sz="8" w:space="0" w:color="000000"/>
              <w:left w:val="single" w:sz="8" w:space="0" w:color="000000"/>
              <w:bottom w:val="single" w:sz="8" w:space="0" w:color="000000"/>
              <w:right w:val="single" w:sz="8" w:space="0" w:color="000000"/>
            </w:tcBorders>
          </w:tcPr>
          <w:p w14:paraId="0D5724B4" w14:textId="77777777" w:rsidR="00B90808" w:rsidRPr="00FF5F86" w:rsidRDefault="00B90808" w:rsidP="00E610B3">
            <w:pPr>
              <w:spacing w:line="259" w:lineRule="auto"/>
              <w:jc w:val="both"/>
            </w:pPr>
            <w:r w:rsidRPr="00FF5F86">
              <w:t xml:space="preserve">p-value </w:t>
            </w:r>
          </w:p>
        </w:tc>
        <w:tc>
          <w:tcPr>
            <w:tcW w:w="1008" w:type="dxa"/>
            <w:tcBorders>
              <w:top w:val="single" w:sz="8" w:space="0" w:color="000000"/>
              <w:left w:val="single" w:sz="8" w:space="0" w:color="000000"/>
              <w:bottom w:val="single" w:sz="8" w:space="0" w:color="000000"/>
              <w:right w:val="single" w:sz="8" w:space="0" w:color="000000"/>
            </w:tcBorders>
          </w:tcPr>
          <w:p w14:paraId="6327C91B" w14:textId="77777777" w:rsidR="00B90808" w:rsidRPr="00FF5F86" w:rsidRDefault="00B90808" w:rsidP="00E610B3">
            <w:pPr>
              <w:spacing w:line="259" w:lineRule="auto"/>
              <w:ind w:left="5"/>
              <w:jc w:val="both"/>
            </w:pPr>
            <w:r w:rsidRPr="00FF5F86">
              <w:t xml:space="preserve">Model </w:t>
            </w:r>
          </w:p>
          <w:p w14:paraId="085B0819" w14:textId="77777777" w:rsidR="00B90808" w:rsidRPr="00FF5F86" w:rsidRDefault="00B90808" w:rsidP="00E610B3">
            <w:pPr>
              <w:spacing w:line="259" w:lineRule="auto"/>
              <w:ind w:left="5"/>
              <w:jc w:val="both"/>
            </w:pPr>
            <w:r w:rsidRPr="00FF5F86">
              <w:t xml:space="preserve">R^2 </w:t>
            </w:r>
          </w:p>
        </w:tc>
        <w:tc>
          <w:tcPr>
            <w:tcW w:w="991" w:type="dxa"/>
            <w:tcBorders>
              <w:top w:val="single" w:sz="8" w:space="0" w:color="000000"/>
              <w:left w:val="single" w:sz="8" w:space="0" w:color="000000"/>
              <w:bottom w:val="single" w:sz="8" w:space="0" w:color="000000"/>
              <w:right w:val="single" w:sz="8" w:space="0" w:color="000000"/>
            </w:tcBorders>
          </w:tcPr>
          <w:p w14:paraId="27526127" w14:textId="77777777" w:rsidR="00B90808" w:rsidRPr="00FF5F86" w:rsidRDefault="00B90808" w:rsidP="00E610B3">
            <w:pPr>
              <w:spacing w:line="259" w:lineRule="auto"/>
              <w:jc w:val="both"/>
            </w:pPr>
            <w:r w:rsidRPr="00FF5F86">
              <w:t xml:space="preserve">Model F </w:t>
            </w:r>
          </w:p>
        </w:tc>
      </w:tr>
      <w:tr w:rsidR="00B90808" w:rsidRPr="00FF5F86" w14:paraId="0B5FF9D6"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463EA088" w14:textId="3B811EC3" w:rsidR="00B90808" w:rsidRPr="00FF5F86" w:rsidRDefault="00B90808" w:rsidP="00E610B3">
            <w:pPr>
              <w:spacing w:line="259" w:lineRule="auto"/>
              <w:jc w:val="both"/>
            </w:pPr>
            <w:r w:rsidRPr="00FF5F86">
              <w:rPr>
                <w:b/>
              </w:rPr>
              <w:t xml:space="preserve">Satisfaction </w:t>
            </w:r>
          </w:p>
        </w:tc>
        <w:tc>
          <w:tcPr>
            <w:tcW w:w="1035" w:type="dxa"/>
            <w:tcBorders>
              <w:top w:val="single" w:sz="8" w:space="0" w:color="000000"/>
              <w:left w:val="single" w:sz="8" w:space="0" w:color="000000"/>
              <w:bottom w:val="single" w:sz="8" w:space="0" w:color="000000"/>
              <w:right w:val="single" w:sz="8" w:space="0" w:color="000000"/>
            </w:tcBorders>
          </w:tcPr>
          <w:p w14:paraId="6BA14A3C" w14:textId="77777777" w:rsidR="00B90808" w:rsidRPr="00FF5F86" w:rsidRDefault="00B90808" w:rsidP="00E610B3">
            <w:pPr>
              <w:spacing w:after="160" w:line="259" w:lineRule="auto"/>
              <w:jc w:val="both"/>
            </w:pPr>
          </w:p>
        </w:tc>
        <w:tc>
          <w:tcPr>
            <w:tcW w:w="1125" w:type="dxa"/>
            <w:tcBorders>
              <w:top w:val="single" w:sz="8" w:space="0" w:color="000000"/>
              <w:left w:val="single" w:sz="8" w:space="0" w:color="000000"/>
              <w:bottom w:val="single" w:sz="8" w:space="0" w:color="000000"/>
              <w:right w:val="single" w:sz="8" w:space="0" w:color="000000"/>
            </w:tcBorders>
          </w:tcPr>
          <w:p w14:paraId="25A9CEEB" w14:textId="77777777" w:rsidR="00B90808" w:rsidRPr="00FF5F86" w:rsidRDefault="00B90808" w:rsidP="00E610B3">
            <w:pPr>
              <w:spacing w:after="160" w:line="259" w:lineRule="auto"/>
              <w:jc w:val="both"/>
            </w:pPr>
          </w:p>
        </w:tc>
        <w:tc>
          <w:tcPr>
            <w:tcW w:w="1003" w:type="dxa"/>
            <w:tcBorders>
              <w:top w:val="single" w:sz="8" w:space="0" w:color="000000"/>
              <w:left w:val="single" w:sz="8" w:space="0" w:color="000000"/>
              <w:bottom w:val="single" w:sz="8" w:space="0" w:color="000000"/>
              <w:right w:val="single" w:sz="8" w:space="0" w:color="000000"/>
            </w:tcBorders>
          </w:tcPr>
          <w:p w14:paraId="7E73CF3B" w14:textId="77777777" w:rsidR="00B90808" w:rsidRPr="00FF5F86" w:rsidRDefault="00B90808" w:rsidP="00E610B3">
            <w:pPr>
              <w:spacing w:after="160" w:line="259" w:lineRule="auto"/>
              <w:jc w:val="both"/>
            </w:pPr>
          </w:p>
        </w:tc>
        <w:tc>
          <w:tcPr>
            <w:tcW w:w="1029" w:type="dxa"/>
            <w:tcBorders>
              <w:top w:val="single" w:sz="8" w:space="0" w:color="000000"/>
              <w:left w:val="single" w:sz="8" w:space="0" w:color="000000"/>
              <w:bottom w:val="single" w:sz="8" w:space="0" w:color="000000"/>
              <w:right w:val="single" w:sz="8" w:space="0" w:color="000000"/>
            </w:tcBorders>
          </w:tcPr>
          <w:p w14:paraId="3BE1FDAD" w14:textId="77777777" w:rsidR="00B90808" w:rsidRPr="00FF5F86" w:rsidRDefault="00B90808" w:rsidP="00E610B3">
            <w:pPr>
              <w:spacing w:after="160" w:line="259" w:lineRule="auto"/>
              <w:jc w:val="both"/>
            </w:pPr>
          </w:p>
        </w:tc>
        <w:tc>
          <w:tcPr>
            <w:tcW w:w="1004" w:type="dxa"/>
            <w:tcBorders>
              <w:top w:val="single" w:sz="8" w:space="0" w:color="000000"/>
              <w:left w:val="single" w:sz="8" w:space="0" w:color="000000"/>
              <w:bottom w:val="single" w:sz="8" w:space="0" w:color="000000"/>
              <w:right w:val="single" w:sz="8" w:space="0" w:color="000000"/>
            </w:tcBorders>
          </w:tcPr>
          <w:p w14:paraId="67CD9768" w14:textId="77777777" w:rsidR="00B90808" w:rsidRPr="00FF5F86" w:rsidRDefault="00B90808" w:rsidP="00E610B3">
            <w:pPr>
              <w:spacing w:after="160" w:line="259" w:lineRule="auto"/>
              <w:jc w:val="both"/>
            </w:pPr>
          </w:p>
        </w:tc>
        <w:tc>
          <w:tcPr>
            <w:tcW w:w="1001" w:type="dxa"/>
            <w:tcBorders>
              <w:top w:val="single" w:sz="8" w:space="0" w:color="000000"/>
              <w:left w:val="single" w:sz="8" w:space="0" w:color="000000"/>
              <w:bottom w:val="single" w:sz="8" w:space="0" w:color="000000"/>
              <w:right w:val="single" w:sz="8" w:space="0" w:color="000000"/>
            </w:tcBorders>
          </w:tcPr>
          <w:p w14:paraId="55366E83" w14:textId="77777777" w:rsidR="00B90808" w:rsidRPr="00FF5F86" w:rsidRDefault="00B90808" w:rsidP="00E610B3">
            <w:pPr>
              <w:spacing w:after="160" w:line="259" w:lineRule="auto"/>
              <w:jc w:val="both"/>
            </w:pPr>
          </w:p>
        </w:tc>
        <w:tc>
          <w:tcPr>
            <w:tcW w:w="1008" w:type="dxa"/>
            <w:tcBorders>
              <w:top w:val="single" w:sz="8" w:space="0" w:color="000000"/>
              <w:left w:val="single" w:sz="8" w:space="0" w:color="000000"/>
              <w:bottom w:val="single" w:sz="8" w:space="0" w:color="000000"/>
              <w:right w:val="single" w:sz="8" w:space="0" w:color="000000"/>
            </w:tcBorders>
          </w:tcPr>
          <w:p w14:paraId="243A697D" w14:textId="77777777" w:rsidR="00B90808" w:rsidRPr="00FF5F86" w:rsidRDefault="00B90808" w:rsidP="00E610B3">
            <w:pPr>
              <w:spacing w:after="160" w:line="259" w:lineRule="auto"/>
              <w:jc w:val="both"/>
            </w:pPr>
          </w:p>
        </w:tc>
        <w:tc>
          <w:tcPr>
            <w:tcW w:w="991" w:type="dxa"/>
            <w:tcBorders>
              <w:top w:val="single" w:sz="8" w:space="0" w:color="000000"/>
              <w:left w:val="single" w:sz="8" w:space="0" w:color="000000"/>
              <w:bottom w:val="single" w:sz="8" w:space="0" w:color="000000"/>
              <w:right w:val="single" w:sz="8" w:space="0" w:color="000000"/>
            </w:tcBorders>
          </w:tcPr>
          <w:p w14:paraId="6FEDA857" w14:textId="77777777" w:rsidR="00B90808" w:rsidRPr="00FF5F86" w:rsidRDefault="00B90808" w:rsidP="00E610B3">
            <w:pPr>
              <w:spacing w:line="259" w:lineRule="auto"/>
              <w:jc w:val="both"/>
            </w:pPr>
            <w:r w:rsidRPr="00FF5F86">
              <w:t xml:space="preserve">.001 </w:t>
            </w:r>
          </w:p>
        </w:tc>
      </w:tr>
      <w:tr w:rsidR="00B90808" w:rsidRPr="00FF5F86" w14:paraId="1847BD5B"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7C002D54" w14:textId="77777777" w:rsidR="00B90808" w:rsidRPr="00FF5F86" w:rsidRDefault="00B90808" w:rsidP="00E610B3">
            <w:pPr>
              <w:spacing w:line="259" w:lineRule="auto"/>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2DD7DE43" w14:textId="77777777" w:rsidR="00B90808" w:rsidRPr="00FF5F86" w:rsidRDefault="00B90808" w:rsidP="00E610B3">
            <w:pPr>
              <w:spacing w:line="259" w:lineRule="auto"/>
              <w:ind w:left="15"/>
              <w:jc w:val="both"/>
            </w:pPr>
            <w:r w:rsidRPr="00FF5F86">
              <w:t xml:space="preserve">Class </w:t>
            </w:r>
          </w:p>
          <w:p w14:paraId="4D7675CC" w14:textId="77777777" w:rsidR="00B90808" w:rsidRPr="00FF5F86" w:rsidRDefault="00B90808" w:rsidP="00E610B3">
            <w:pPr>
              <w:spacing w:line="259" w:lineRule="auto"/>
              <w:ind w:left="15"/>
              <w:jc w:val="both"/>
            </w:pPr>
            <w:r w:rsidRPr="00FF5F86">
              <w:t xml:space="preserve">Size </w:t>
            </w:r>
          </w:p>
        </w:tc>
        <w:tc>
          <w:tcPr>
            <w:tcW w:w="1125" w:type="dxa"/>
            <w:tcBorders>
              <w:top w:val="single" w:sz="8" w:space="0" w:color="000000"/>
              <w:left w:val="single" w:sz="8" w:space="0" w:color="000000"/>
              <w:bottom w:val="single" w:sz="8" w:space="0" w:color="000000"/>
              <w:right w:val="single" w:sz="8" w:space="0" w:color="000000"/>
            </w:tcBorders>
          </w:tcPr>
          <w:p w14:paraId="5491FB8F" w14:textId="77777777" w:rsidR="00B90808" w:rsidRPr="00FF5F86" w:rsidRDefault="00B90808" w:rsidP="00E610B3">
            <w:pPr>
              <w:spacing w:line="259" w:lineRule="auto"/>
              <w:jc w:val="both"/>
            </w:pPr>
            <w:r w:rsidRPr="00FF5F86">
              <w:t xml:space="preserve">-0.052 </w:t>
            </w:r>
          </w:p>
        </w:tc>
        <w:tc>
          <w:tcPr>
            <w:tcW w:w="1003" w:type="dxa"/>
            <w:tcBorders>
              <w:top w:val="single" w:sz="8" w:space="0" w:color="000000"/>
              <w:left w:val="single" w:sz="8" w:space="0" w:color="000000"/>
              <w:bottom w:val="single" w:sz="8" w:space="0" w:color="000000"/>
              <w:right w:val="single" w:sz="8" w:space="0" w:color="000000"/>
            </w:tcBorders>
          </w:tcPr>
          <w:p w14:paraId="7F6C7EBA" w14:textId="77777777" w:rsidR="00B90808" w:rsidRPr="00FF5F86" w:rsidRDefault="00B90808" w:rsidP="00E610B3">
            <w:pPr>
              <w:spacing w:line="259" w:lineRule="auto"/>
              <w:ind w:left="5"/>
              <w:jc w:val="both"/>
            </w:pPr>
            <w:r w:rsidRPr="00FF5F86">
              <w:t xml:space="preserve">0.006 </w:t>
            </w:r>
          </w:p>
        </w:tc>
        <w:tc>
          <w:tcPr>
            <w:tcW w:w="1029" w:type="dxa"/>
            <w:tcBorders>
              <w:top w:val="single" w:sz="8" w:space="0" w:color="000000"/>
              <w:left w:val="single" w:sz="8" w:space="0" w:color="000000"/>
              <w:bottom w:val="single" w:sz="8" w:space="0" w:color="000000"/>
              <w:right w:val="single" w:sz="8" w:space="0" w:color="000000"/>
            </w:tcBorders>
          </w:tcPr>
          <w:p w14:paraId="0046A75A" w14:textId="77777777" w:rsidR="00B90808" w:rsidRPr="00FF5F86" w:rsidRDefault="00B90808" w:rsidP="00E610B3">
            <w:pPr>
              <w:spacing w:line="259" w:lineRule="auto"/>
              <w:jc w:val="both"/>
            </w:pPr>
            <w:r w:rsidRPr="00FF5F86">
              <w:t xml:space="preserve">-0.614 </w:t>
            </w:r>
          </w:p>
        </w:tc>
        <w:tc>
          <w:tcPr>
            <w:tcW w:w="1004" w:type="dxa"/>
            <w:tcBorders>
              <w:top w:val="single" w:sz="8" w:space="0" w:color="000000"/>
              <w:left w:val="single" w:sz="8" w:space="0" w:color="000000"/>
              <w:bottom w:val="single" w:sz="8" w:space="0" w:color="000000"/>
              <w:right w:val="single" w:sz="8" w:space="0" w:color="000000"/>
            </w:tcBorders>
          </w:tcPr>
          <w:p w14:paraId="318ECBE3" w14:textId="77777777" w:rsidR="00B90808" w:rsidRPr="00FF5F86" w:rsidRDefault="00B90808" w:rsidP="00E610B3">
            <w:pPr>
              <w:spacing w:line="259" w:lineRule="auto"/>
              <w:ind w:left="15"/>
              <w:jc w:val="both"/>
            </w:pPr>
            <w:r w:rsidRPr="00FF5F86">
              <w:t xml:space="preserve">-8.67 </w:t>
            </w:r>
          </w:p>
        </w:tc>
        <w:tc>
          <w:tcPr>
            <w:tcW w:w="1001" w:type="dxa"/>
            <w:tcBorders>
              <w:top w:val="single" w:sz="8" w:space="0" w:color="000000"/>
              <w:left w:val="single" w:sz="8" w:space="0" w:color="000000"/>
              <w:bottom w:val="single" w:sz="8" w:space="0" w:color="000000"/>
              <w:right w:val="single" w:sz="8" w:space="0" w:color="000000"/>
            </w:tcBorders>
          </w:tcPr>
          <w:p w14:paraId="4E30930A" w14:textId="77777777" w:rsidR="00B90808" w:rsidRPr="00FF5F86" w:rsidRDefault="00B90808" w:rsidP="00E610B3">
            <w:pPr>
              <w:spacing w:line="259" w:lineRule="auto"/>
              <w:jc w:val="both"/>
            </w:pPr>
            <w:r w:rsidRPr="00FF5F86">
              <w:t xml:space="preserve">&lt; .001 </w:t>
            </w:r>
          </w:p>
        </w:tc>
        <w:tc>
          <w:tcPr>
            <w:tcW w:w="1008" w:type="dxa"/>
            <w:tcBorders>
              <w:top w:val="single" w:sz="8" w:space="0" w:color="000000"/>
              <w:left w:val="single" w:sz="8" w:space="0" w:color="000000"/>
              <w:bottom w:val="single" w:sz="8" w:space="0" w:color="000000"/>
              <w:right w:val="single" w:sz="8" w:space="0" w:color="000000"/>
            </w:tcBorders>
          </w:tcPr>
          <w:p w14:paraId="3885CB1D" w14:textId="77777777" w:rsidR="00B90808" w:rsidRPr="00FF5F86" w:rsidRDefault="00B90808" w:rsidP="00E610B3">
            <w:pPr>
              <w:spacing w:line="259" w:lineRule="auto"/>
              <w:ind w:left="5"/>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7FCDE143" w14:textId="77777777" w:rsidR="00B90808" w:rsidRPr="00FF5F86" w:rsidRDefault="00B90808" w:rsidP="00E610B3">
            <w:pPr>
              <w:spacing w:line="259" w:lineRule="auto"/>
              <w:jc w:val="both"/>
            </w:pPr>
            <w:r w:rsidRPr="00FF5F86">
              <w:t xml:space="preserve"> </w:t>
            </w:r>
          </w:p>
        </w:tc>
      </w:tr>
      <w:tr w:rsidR="00B90808" w:rsidRPr="00FF5F86" w14:paraId="4B55714C"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133802D6" w14:textId="77777777" w:rsidR="00B90808" w:rsidRPr="00FF5F86" w:rsidRDefault="00B90808" w:rsidP="00E610B3">
            <w:pPr>
              <w:spacing w:line="259" w:lineRule="auto"/>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66D176C0" w14:textId="77777777" w:rsidR="00B90808" w:rsidRPr="00FF5F86" w:rsidRDefault="00B90808" w:rsidP="00E610B3">
            <w:pPr>
              <w:spacing w:line="259" w:lineRule="auto"/>
              <w:ind w:left="15"/>
              <w:jc w:val="both"/>
            </w:pPr>
            <w:r w:rsidRPr="00FF5F86">
              <w:t xml:space="preserve">Weekly </w:t>
            </w:r>
          </w:p>
          <w:p w14:paraId="0CC587A2" w14:textId="77777777" w:rsidR="00B90808" w:rsidRPr="00FF5F86" w:rsidRDefault="00B90808" w:rsidP="00E610B3">
            <w:pPr>
              <w:spacing w:line="259" w:lineRule="auto"/>
              <w:ind w:left="15"/>
              <w:jc w:val="both"/>
            </w:pPr>
            <w:proofErr w:type="spellStart"/>
            <w:r w:rsidRPr="00FF5F86">
              <w:t>Hrs</w:t>
            </w:r>
            <w:proofErr w:type="spellEnd"/>
            <w:r w:rsidRPr="00FF5F86">
              <w:t xml:space="preserve"> </w:t>
            </w:r>
          </w:p>
        </w:tc>
        <w:tc>
          <w:tcPr>
            <w:tcW w:w="1125" w:type="dxa"/>
            <w:tcBorders>
              <w:top w:val="single" w:sz="8" w:space="0" w:color="000000"/>
              <w:left w:val="single" w:sz="8" w:space="0" w:color="000000"/>
              <w:bottom w:val="single" w:sz="8" w:space="0" w:color="000000"/>
              <w:right w:val="single" w:sz="8" w:space="0" w:color="000000"/>
            </w:tcBorders>
          </w:tcPr>
          <w:p w14:paraId="10F10A33" w14:textId="77777777" w:rsidR="00B90808" w:rsidRPr="00FF5F86" w:rsidRDefault="00B90808" w:rsidP="00E610B3">
            <w:pPr>
              <w:spacing w:line="259" w:lineRule="auto"/>
              <w:jc w:val="both"/>
            </w:pPr>
            <w:r w:rsidRPr="00FF5F86">
              <w:t xml:space="preserve">-0.014 </w:t>
            </w:r>
          </w:p>
        </w:tc>
        <w:tc>
          <w:tcPr>
            <w:tcW w:w="1003" w:type="dxa"/>
            <w:tcBorders>
              <w:top w:val="single" w:sz="8" w:space="0" w:color="000000"/>
              <w:left w:val="single" w:sz="8" w:space="0" w:color="000000"/>
              <w:bottom w:val="single" w:sz="8" w:space="0" w:color="000000"/>
              <w:right w:val="single" w:sz="8" w:space="0" w:color="000000"/>
            </w:tcBorders>
          </w:tcPr>
          <w:p w14:paraId="0A2110C9" w14:textId="77777777" w:rsidR="00B90808" w:rsidRPr="00FF5F86" w:rsidRDefault="00B90808" w:rsidP="00E610B3">
            <w:pPr>
              <w:spacing w:line="259" w:lineRule="auto"/>
              <w:ind w:left="5"/>
              <w:jc w:val="both"/>
            </w:pPr>
            <w:r w:rsidRPr="00FF5F86">
              <w:t xml:space="preserve">0.005 </w:t>
            </w:r>
          </w:p>
        </w:tc>
        <w:tc>
          <w:tcPr>
            <w:tcW w:w="1029" w:type="dxa"/>
            <w:tcBorders>
              <w:top w:val="single" w:sz="8" w:space="0" w:color="000000"/>
              <w:left w:val="single" w:sz="8" w:space="0" w:color="000000"/>
              <w:bottom w:val="single" w:sz="8" w:space="0" w:color="000000"/>
              <w:right w:val="single" w:sz="8" w:space="0" w:color="000000"/>
            </w:tcBorders>
          </w:tcPr>
          <w:p w14:paraId="318DA2B9" w14:textId="77777777" w:rsidR="00B90808" w:rsidRPr="00FF5F86" w:rsidRDefault="00B90808" w:rsidP="00E610B3">
            <w:pPr>
              <w:spacing w:line="259" w:lineRule="auto"/>
              <w:jc w:val="both"/>
            </w:pPr>
            <w:r w:rsidRPr="00FF5F86">
              <w:t xml:space="preserve">-0.198 </w:t>
            </w:r>
          </w:p>
        </w:tc>
        <w:tc>
          <w:tcPr>
            <w:tcW w:w="1004" w:type="dxa"/>
            <w:tcBorders>
              <w:top w:val="single" w:sz="8" w:space="0" w:color="000000"/>
              <w:left w:val="single" w:sz="8" w:space="0" w:color="000000"/>
              <w:bottom w:val="single" w:sz="8" w:space="0" w:color="000000"/>
              <w:right w:val="single" w:sz="8" w:space="0" w:color="000000"/>
            </w:tcBorders>
          </w:tcPr>
          <w:p w14:paraId="21A8536C" w14:textId="77777777" w:rsidR="00B90808" w:rsidRPr="00FF5F86" w:rsidRDefault="00B90808" w:rsidP="00E610B3">
            <w:pPr>
              <w:spacing w:line="259" w:lineRule="auto"/>
              <w:ind w:left="15"/>
              <w:jc w:val="both"/>
            </w:pPr>
            <w:r w:rsidRPr="00FF5F86">
              <w:t xml:space="preserve">-2.80 </w:t>
            </w:r>
          </w:p>
        </w:tc>
        <w:tc>
          <w:tcPr>
            <w:tcW w:w="1001" w:type="dxa"/>
            <w:tcBorders>
              <w:top w:val="single" w:sz="8" w:space="0" w:color="000000"/>
              <w:left w:val="single" w:sz="8" w:space="0" w:color="000000"/>
              <w:bottom w:val="single" w:sz="8" w:space="0" w:color="000000"/>
              <w:right w:val="single" w:sz="8" w:space="0" w:color="000000"/>
            </w:tcBorders>
          </w:tcPr>
          <w:p w14:paraId="51952343" w14:textId="77777777" w:rsidR="00B90808" w:rsidRPr="00FF5F86" w:rsidRDefault="00B90808" w:rsidP="00E610B3">
            <w:pPr>
              <w:spacing w:line="259" w:lineRule="auto"/>
              <w:jc w:val="both"/>
            </w:pPr>
            <w:r w:rsidRPr="00FF5F86">
              <w:t xml:space="preserve">.007 </w:t>
            </w:r>
          </w:p>
        </w:tc>
        <w:tc>
          <w:tcPr>
            <w:tcW w:w="1008" w:type="dxa"/>
            <w:tcBorders>
              <w:top w:val="single" w:sz="8" w:space="0" w:color="000000"/>
              <w:left w:val="single" w:sz="8" w:space="0" w:color="000000"/>
              <w:bottom w:val="single" w:sz="8" w:space="0" w:color="000000"/>
              <w:right w:val="single" w:sz="8" w:space="0" w:color="000000"/>
            </w:tcBorders>
          </w:tcPr>
          <w:p w14:paraId="617690B0" w14:textId="77777777" w:rsidR="00B90808" w:rsidRPr="00FF5F86" w:rsidRDefault="00B90808" w:rsidP="00E610B3">
            <w:pPr>
              <w:spacing w:line="259" w:lineRule="auto"/>
              <w:ind w:left="5"/>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1C99977E" w14:textId="77777777" w:rsidR="00B90808" w:rsidRPr="00FF5F86" w:rsidRDefault="00B90808" w:rsidP="00E610B3">
            <w:pPr>
              <w:spacing w:line="259" w:lineRule="auto"/>
              <w:jc w:val="both"/>
            </w:pPr>
            <w:r w:rsidRPr="00FF5F86">
              <w:t xml:space="preserve"> </w:t>
            </w:r>
          </w:p>
        </w:tc>
      </w:tr>
      <w:tr w:rsidR="00B90808" w:rsidRPr="00FF5F86" w14:paraId="4A4E958D" w14:textId="77777777" w:rsidTr="00C148F0">
        <w:trPr>
          <w:trHeight w:val="1080"/>
        </w:trPr>
        <w:tc>
          <w:tcPr>
            <w:tcW w:w="1975" w:type="dxa"/>
            <w:tcBorders>
              <w:top w:val="single" w:sz="8" w:space="0" w:color="000000"/>
              <w:left w:val="single" w:sz="8" w:space="0" w:color="000000"/>
              <w:bottom w:val="single" w:sz="8" w:space="0" w:color="000000"/>
              <w:right w:val="single" w:sz="8" w:space="0" w:color="000000"/>
            </w:tcBorders>
          </w:tcPr>
          <w:p w14:paraId="27E8571D" w14:textId="0F3200CB" w:rsidR="00B90808" w:rsidRPr="00FF5F86" w:rsidRDefault="00B90808" w:rsidP="00E610B3">
            <w:pPr>
              <w:spacing w:line="256" w:lineRule="auto"/>
              <w:jc w:val="both"/>
            </w:pPr>
            <w:r w:rsidRPr="00FF5F86">
              <w:rPr>
                <w:b/>
              </w:rPr>
              <w:t xml:space="preserve">Model C: Professional </w:t>
            </w:r>
          </w:p>
          <w:p w14:paraId="1762B999" w14:textId="77777777" w:rsidR="00B90808" w:rsidRPr="00FF5F86" w:rsidRDefault="00B90808" w:rsidP="00E610B3">
            <w:pPr>
              <w:spacing w:line="259" w:lineRule="auto"/>
              <w:jc w:val="both"/>
            </w:pPr>
            <w:r w:rsidRPr="00FF5F86">
              <w:rPr>
                <w:b/>
              </w:rPr>
              <w:t xml:space="preserve">Burnout </w:t>
            </w:r>
          </w:p>
        </w:tc>
        <w:tc>
          <w:tcPr>
            <w:tcW w:w="1035" w:type="dxa"/>
            <w:tcBorders>
              <w:top w:val="single" w:sz="8" w:space="0" w:color="000000"/>
              <w:left w:val="single" w:sz="8" w:space="0" w:color="000000"/>
              <w:bottom w:val="single" w:sz="8" w:space="0" w:color="000000"/>
              <w:right w:val="single" w:sz="8" w:space="0" w:color="000000"/>
            </w:tcBorders>
          </w:tcPr>
          <w:p w14:paraId="4176CFB0" w14:textId="77777777" w:rsidR="00B90808" w:rsidRPr="00FF5F86" w:rsidRDefault="00B90808" w:rsidP="00E610B3">
            <w:pPr>
              <w:spacing w:line="259" w:lineRule="auto"/>
              <w:ind w:left="15"/>
              <w:jc w:val="both"/>
            </w:pPr>
            <w:r w:rsidRPr="00FF5F86">
              <w:t xml:space="preserve">Constant </w:t>
            </w:r>
          </w:p>
        </w:tc>
        <w:tc>
          <w:tcPr>
            <w:tcW w:w="1125" w:type="dxa"/>
            <w:tcBorders>
              <w:top w:val="single" w:sz="8" w:space="0" w:color="000000"/>
              <w:left w:val="single" w:sz="8" w:space="0" w:color="000000"/>
              <w:bottom w:val="single" w:sz="8" w:space="0" w:color="000000"/>
              <w:right w:val="single" w:sz="8" w:space="0" w:color="000000"/>
            </w:tcBorders>
          </w:tcPr>
          <w:p w14:paraId="060A7A1E" w14:textId="77777777" w:rsidR="00B90808" w:rsidRPr="00FF5F86" w:rsidRDefault="00B90808" w:rsidP="00E610B3">
            <w:pPr>
              <w:spacing w:line="259" w:lineRule="auto"/>
              <w:jc w:val="both"/>
            </w:pPr>
            <w:r w:rsidRPr="00FF5F86">
              <w:t xml:space="preserve">1.120 </w:t>
            </w:r>
          </w:p>
        </w:tc>
        <w:tc>
          <w:tcPr>
            <w:tcW w:w="1003" w:type="dxa"/>
            <w:tcBorders>
              <w:top w:val="single" w:sz="8" w:space="0" w:color="000000"/>
              <w:left w:val="single" w:sz="8" w:space="0" w:color="000000"/>
              <w:bottom w:val="single" w:sz="8" w:space="0" w:color="000000"/>
              <w:right w:val="single" w:sz="8" w:space="0" w:color="000000"/>
            </w:tcBorders>
          </w:tcPr>
          <w:p w14:paraId="5AFB88F2" w14:textId="77777777" w:rsidR="00B90808" w:rsidRPr="00FF5F86" w:rsidRDefault="00B90808" w:rsidP="00E610B3">
            <w:pPr>
              <w:spacing w:line="259" w:lineRule="auto"/>
              <w:ind w:left="5"/>
              <w:jc w:val="both"/>
            </w:pPr>
            <w:r w:rsidRPr="00FF5F86">
              <w:t xml:space="preserve">0.415 </w:t>
            </w:r>
          </w:p>
        </w:tc>
        <w:tc>
          <w:tcPr>
            <w:tcW w:w="1029" w:type="dxa"/>
            <w:tcBorders>
              <w:top w:val="single" w:sz="8" w:space="0" w:color="000000"/>
              <w:left w:val="single" w:sz="8" w:space="0" w:color="000000"/>
              <w:bottom w:val="single" w:sz="8" w:space="0" w:color="000000"/>
              <w:right w:val="single" w:sz="8" w:space="0" w:color="000000"/>
            </w:tcBorders>
          </w:tcPr>
          <w:p w14:paraId="7EC180A8" w14:textId="77777777" w:rsidR="00B90808" w:rsidRPr="00FF5F86" w:rsidRDefault="00B90808" w:rsidP="00E610B3">
            <w:pPr>
              <w:spacing w:line="259" w:lineRule="auto"/>
              <w:jc w:val="both"/>
            </w:pPr>
            <w:r w:rsidRPr="00FF5F86">
              <w:t xml:space="preserve"> </w:t>
            </w:r>
          </w:p>
        </w:tc>
        <w:tc>
          <w:tcPr>
            <w:tcW w:w="1004" w:type="dxa"/>
            <w:tcBorders>
              <w:top w:val="single" w:sz="8" w:space="0" w:color="000000"/>
              <w:left w:val="single" w:sz="8" w:space="0" w:color="000000"/>
              <w:bottom w:val="single" w:sz="8" w:space="0" w:color="000000"/>
              <w:right w:val="single" w:sz="8" w:space="0" w:color="000000"/>
            </w:tcBorders>
          </w:tcPr>
          <w:p w14:paraId="60719794" w14:textId="77777777" w:rsidR="00B90808" w:rsidRPr="00FF5F86" w:rsidRDefault="00B90808" w:rsidP="00E610B3">
            <w:pPr>
              <w:spacing w:line="259" w:lineRule="auto"/>
              <w:ind w:left="15"/>
              <w:jc w:val="both"/>
            </w:pPr>
            <w:r w:rsidRPr="00FF5F86">
              <w:t xml:space="preserve">2.70 </w:t>
            </w:r>
          </w:p>
        </w:tc>
        <w:tc>
          <w:tcPr>
            <w:tcW w:w="1001" w:type="dxa"/>
            <w:tcBorders>
              <w:top w:val="single" w:sz="8" w:space="0" w:color="000000"/>
              <w:left w:val="single" w:sz="8" w:space="0" w:color="000000"/>
              <w:bottom w:val="single" w:sz="8" w:space="0" w:color="000000"/>
              <w:right w:val="single" w:sz="8" w:space="0" w:color="000000"/>
            </w:tcBorders>
          </w:tcPr>
          <w:p w14:paraId="00D0EDFF" w14:textId="77777777" w:rsidR="00B90808" w:rsidRPr="00FF5F86" w:rsidRDefault="00B90808" w:rsidP="00E610B3">
            <w:pPr>
              <w:spacing w:line="259" w:lineRule="auto"/>
              <w:jc w:val="both"/>
            </w:pPr>
            <w:r w:rsidRPr="00FF5F86">
              <w:t xml:space="preserve">.009 </w:t>
            </w:r>
          </w:p>
        </w:tc>
        <w:tc>
          <w:tcPr>
            <w:tcW w:w="1008" w:type="dxa"/>
            <w:tcBorders>
              <w:top w:val="single" w:sz="8" w:space="0" w:color="000000"/>
              <w:left w:val="single" w:sz="8" w:space="0" w:color="000000"/>
              <w:bottom w:val="single" w:sz="8" w:space="0" w:color="000000"/>
              <w:right w:val="single" w:sz="8" w:space="0" w:color="000000"/>
            </w:tcBorders>
          </w:tcPr>
          <w:p w14:paraId="6A471252" w14:textId="77777777" w:rsidR="00B90808" w:rsidRPr="00FF5F86" w:rsidRDefault="00B90808" w:rsidP="00E610B3">
            <w:pPr>
              <w:spacing w:line="259" w:lineRule="auto"/>
              <w:ind w:left="5"/>
              <w:jc w:val="both"/>
            </w:pPr>
            <w:r w:rsidRPr="00FF5F86">
              <w:t xml:space="preserve">0.564 </w:t>
            </w:r>
          </w:p>
        </w:tc>
        <w:tc>
          <w:tcPr>
            <w:tcW w:w="991" w:type="dxa"/>
            <w:tcBorders>
              <w:top w:val="single" w:sz="8" w:space="0" w:color="000000"/>
              <w:left w:val="single" w:sz="8" w:space="0" w:color="000000"/>
              <w:bottom w:val="single" w:sz="8" w:space="0" w:color="000000"/>
              <w:right w:val="single" w:sz="8" w:space="0" w:color="000000"/>
            </w:tcBorders>
          </w:tcPr>
          <w:p w14:paraId="4396C6F5" w14:textId="77777777" w:rsidR="00B90808" w:rsidRPr="00FF5F86" w:rsidRDefault="00B90808" w:rsidP="00E610B3">
            <w:pPr>
              <w:spacing w:line="259" w:lineRule="auto"/>
              <w:jc w:val="both"/>
            </w:pPr>
            <w:r w:rsidRPr="00FF5F86">
              <w:t xml:space="preserve">F(4, 75) = </w:t>
            </w:r>
          </w:p>
          <w:p w14:paraId="0A5B6AEA" w14:textId="77777777" w:rsidR="00B90808" w:rsidRPr="00FF5F86" w:rsidRDefault="00B90808" w:rsidP="00E610B3">
            <w:pPr>
              <w:spacing w:line="259" w:lineRule="auto"/>
              <w:jc w:val="both"/>
            </w:pPr>
            <w:r w:rsidRPr="00FF5F86">
              <w:t>24.28, p &lt;</w:t>
            </w:r>
          </w:p>
          <w:p w14:paraId="7021588A" w14:textId="77777777" w:rsidR="00B90808" w:rsidRPr="00FF5F86" w:rsidRDefault="00B90808" w:rsidP="00E610B3">
            <w:pPr>
              <w:spacing w:line="259" w:lineRule="auto"/>
              <w:jc w:val="both"/>
            </w:pPr>
            <w:r w:rsidRPr="00FF5F86">
              <w:t xml:space="preserve">.001 </w:t>
            </w:r>
          </w:p>
        </w:tc>
      </w:tr>
      <w:tr w:rsidR="00B90808" w:rsidRPr="00FF5F86" w14:paraId="63BA943C"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43CC1FF5" w14:textId="77777777" w:rsidR="00B90808" w:rsidRPr="00FF5F86" w:rsidRDefault="00B90808" w:rsidP="00E610B3">
            <w:pPr>
              <w:spacing w:line="259" w:lineRule="auto"/>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08F2DCC3" w14:textId="77777777" w:rsidR="00B90808" w:rsidRPr="00FF5F86" w:rsidRDefault="00B90808" w:rsidP="00E610B3">
            <w:pPr>
              <w:spacing w:line="259" w:lineRule="auto"/>
              <w:ind w:left="15"/>
              <w:jc w:val="both"/>
            </w:pPr>
            <w:r w:rsidRPr="00FF5F86">
              <w:t xml:space="preserve">Class </w:t>
            </w:r>
          </w:p>
          <w:p w14:paraId="680BE7C0" w14:textId="77777777" w:rsidR="00B90808" w:rsidRPr="00FF5F86" w:rsidRDefault="00B90808" w:rsidP="00E610B3">
            <w:pPr>
              <w:spacing w:line="259" w:lineRule="auto"/>
              <w:ind w:left="15"/>
              <w:jc w:val="both"/>
            </w:pPr>
            <w:r w:rsidRPr="00FF5F86">
              <w:t xml:space="preserve">Size </w:t>
            </w:r>
          </w:p>
        </w:tc>
        <w:tc>
          <w:tcPr>
            <w:tcW w:w="1125" w:type="dxa"/>
            <w:tcBorders>
              <w:top w:val="single" w:sz="8" w:space="0" w:color="000000"/>
              <w:left w:val="single" w:sz="8" w:space="0" w:color="000000"/>
              <w:bottom w:val="single" w:sz="8" w:space="0" w:color="000000"/>
              <w:right w:val="single" w:sz="8" w:space="0" w:color="000000"/>
            </w:tcBorders>
          </w:tcPr>
          <w:p w14:paraId="2BC69275" w14:textId="77777777" w:rsidR="00B90808" w:rsidRPr="00FF5F86" w:rsidRDefault="00B90808" w:rsidP="00E610B3">
            <w:pPr>
              <w:spacing w:line="259" w:lineRule="auto"/>
              <w:jc w:val="both"/>
            </w:pPr>
            <w:r w:rsidRPr="00FF5F86">
              <w:t xml:space="preserve">0.061 </w:t>
            </w:r>
          </w:p>
        </w:tc>
        <w:tc>
          <w:tcPr>
            <w:tcW w:w="1003" w:type="dxa"/>
            <w:tcBorders>
              <w:top w:val="single" w:sz="8" w:space="0" w:color="000000"/>
              <w:left w:val="single" w:sz="8" w:space="0" w:color="000000"/>
              <w:bottom w:val="single" w:sz="8" w:space="0" w:color="000000"/>
              <w:right w:val="single" w:sz="8" w:space="0" w:color="000000"/>
            </w:tcBorders>
          </w:tcPr>
          <w:p w14:paraId="7BED66F2" w14:textId="77777777" w:rsidR="00B90808" w:rsidRPr="00FF5F86" w:rsidRDefault="00B90808" w:rsidP="00E610B3">
            <w:pPr>
              <w:spacing w:line="259" w:lineRule="auto"/>
              <w:ind w:left="5"/>
              <w:jc w:val="both"/>
            </w:pPr>
            <w:r w:rsidRPr="00FF5F86">
              <w:t xml:space="preserve">0.008 </w:t>
            </w:r>
          </w:p>
        </w:tc>
        <w:tc>
          <w:tcPr>
            <w:tcW w:w="1029" w:type="dxa"/>
            <w:tcBorders>
              <w:top w:val="single" w:sz="8" w:space="0" w:color="000000"/>
              <w:left w:val="single" w:sz="8" w:space="0" w:color="000000"/>
              <w:bottom w:val="single" w:sz="8" w:space="0" w:color="000000"/>
              <w:right w:val="single" w:sz="8" w:space="0" w:color="000000"/>
            </w:tcBorders>
          </w:tcPr>
          <w:p w14:paraId="5D9346F3" w14:textId="77777777" w:rsidR="00B90808" w:rsidRPr="00FF5F86" w:rsidRDefault="00B90808" w:rsidP="00E610B3">
            <w:pPr>
              <w:spacing w:line="259" w:lineRule="auto"/>
              <w:jc w:val="both"/>
            </w:pPr>
            <w:r w:rsidRPr="00FF5F86">
              <w:t xml:space="preserve">0.685 </w:t>
            </w:r>
          </w:p>
        </w:tc>
        <w:tc>
          <w:tcPr>
            <w:tcW w:w="1004" w:type="dxa"/>
            <w:tcBorders>
              <w:top w:val="single" w:sz="8" w:space="0" w:color="000000"/>
              <w:left w:val="single" w:sz="8" w:space="0" w:color="000000"/>
              <w:bottom w:val="single" w:sz="8" w:space="0" w:color="000000"/>
              <w:right w:val="single" w:sz="8" w:space="0" w:color="000000"/>
            </w:tcBorders>
          </w:tcPr>
          <w:p w14:paraId="7615CDFD" w14:textId="77777777" w:rsidR="00B90808" w:rsidRPr="00FF5F86" w:rsidRDefault="00B90808" w:rsidP="00E610B3">
            <w:pPr>
              <w:spacing w:line="259" w:lineRule="auto"/>
              <w:ind w:left="15"/>
              <w:jc w:val="both"/>
            </w:pPr>
            <w:r w:rsidRPr="00FF5F86">
              <w:t xml:space="preserve">7.63 </w:t>
            </w:r>
          </w:p>
        </w:tc>
        <w:tc>
          <w:tcPr>
            <w:tcW w:w="1001" w:type="dxa"/>
            <w:tcBorders>
              <w:top w:val="single" w:sz="8" w:space="0" w:color="000000"/>
              <w:left w:val="single" w:sz="8" w:space="0" w:color="000000"/>
              <w:bottom w:val="single" w:sz="8" w:space="0" w:color="000000"/>
              <w:right w:val="single" w:sz="8" w:space="0" w:color="000000"/>
            </w:tcBorders>
          </w:tcPr>
          <w:p w14:paraId="3D8C4A76" w14:textId="77777777" w:rsidR="00B90808" w:rsidRPr="00FF5F86" w:rsidRDefault="00B90808" w:rsidP="00E610B3">
            <w:pPr>
              <w:spacing w:line="259" w:lineRule="auto"/>
              <w:jc w:val="both"/>
            </w:pPr>
            <w:r w:rsidRPr="00FF5F86">
              <w:t xml:space="preserve">&lt; .001 </w:t>
            </w:r>
          </w:p>
        </w:tc>
        <w:tc>
          <w:tcPr>
            <w:tcW w:w="1008" w:type="dxa"/>
            <w:tcBorders>
              <w:top w:val="single" w:sz="8" w:space="0" w:color="000000"/>
              <w:left w:val="single" w:sz="8" w:space="0" w:color="000000"/>
              <w:bottom w:val="single" w:sz="8" w:space="0" w:color="000000"/>
              <w:right w:val="single" w:sz="8" w:space="0" w:color="000000"/>
            </w:tcBorders>
          </w:tcPr>
          <w:p w14:paraId="4A116BE8" w14:textId="77777777" w:rsidR="00B90808" w:rsidRPr="00FF5F86" w:rsidRDefault="00B90808" w:rsidP="00E610B3">
            <w:pPr>
              <w:spacing w:line="259" w:lineRule="auto"/>
              <w:ind w:left="5"/>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1965715C" w14:textId="77777777" w:rsidR="00B90808" w:rsidRPr="00FF5F86" w:rsidRDefault="00B90808" w:rsidP="00E610B3">
            <w:pPr>
              <w:spacing w:line="259" w:lineRule="auto"/>
              <w:jc w:val="both"/>
            </w:pPr>
            <w:r w:rsidRPr="00FF5F86">
              <w:t xml:space="preserve"> </w:t>
            </w:r>
          </w:p>
        </w:tc>
      </w:tr>
      <w:tr w:rsidR="00B90808" w:rsidRPr="00FF5F86" w14:paraId="41492705" w14:textId="77777777" w:rsidTr="00C148F0">
        <w:trPr>
          <w:trHeight w:val="560"/>
        </w:trPr>
        <w:tc>
          <w:tcPr>
            <w:tcW w:w="1975" w:type="dxa"/>
            <w:tcBorders>
              <w:top w:val="single" w:sz="8" w:space="0" w:color="000000"/>
              <w:left w:val="single" w:sz="8" w:space="0" w:color="000000"/>
              <w:bottom w:val="single" w:sz="8" w:space="0" w:color="000000"/>
              <w:right w:val="single" w:sz="8" w:space="0" w:color="000000"/>
            </w:tcBorders>
          </w:tcPr>
          <w:p w14:paraId="07D5BC62" w14:textId="77777777" w:rsidR="00B90808" w:rsidRPr="00FF5F86" w:rsidRDefault="00B90808" w:rsidP="00E610B3">
            <w:pPr>
              <w:spacing w:line="259" w:lineRule="auto"/>
              <w:jc w:val="both"/>
            </w:pPr>
            <w:r w:rsidRPr="00FF5F86">
              <w:t xml:space="preserve"> </w:t>
            </w:r>
          </w:p>
        </w:tc>
        <w:tc>
          <w:tcPr>
            <w:tcW w:w="1035" w:type="dxa"/>
            <w:tcBorders>
              <w:top w:val="single" w:sz="8" w:space="0" w:color="000000"/>
              <w:left w:val="single" w:sz="8" w:space="0" w:color="000000"/>
              <w:bottom w:val="single" w:sz="8" w:space="0" w:color="000000"/>
              <w:right w:val="single" w:sz="8" w:space="0" w:color="000000"/>
            </w:tcBorders>
          </w:tcPr>
          <w:p w14:paraId="2DA8B55F" w14:textId="77777777" w:rsidR="00B90808" w:rsidRPr="00FF5F86" w:rsidRDefault="00B90808" w:rsidP="00E610B3">
            <w:pPr>
              <w:spacing w:line="259" w:lineRule="auto"/>
              <w:ind w:left="15"/>
              <w:jc w:val="both"/>
            </w:pPr>
            <w:r w:rsidRPr="00FF5F86">
              <w:t xml:space="preserve">Years Exp. </w:t>
            </w:r>
          </w:p>
        </w:tc>
        <w:tc>
          <w:tcPr>
            <w:tcW w:w="1125" w:type="dxa"/>
            <w:tcBorders>
              <w:top w:val="single" w:sz="8" w:space="0" w:color="000000"/>
              <w:left w:val="single" w:sz="8" w:space="0" w:color="000000"/>
              <w:bottom w:val="single" w:sz="8" w:space="0" w:color="000000"/>
              <w:right w:val="single" w:sz="8" w:space="0" w:color="000000"/>
            </w:tcBorders>
          </w:tcPr>
          <w:p w14:paraId="3C42D913" w14:textId="77777777" w:rsidR="00B90808" w:rsidRPr="00FF5F86" w:rsidRDefault="00B90808" w:rsidP="00E610B3">
            <w:pPr>
              <w:spacing w:line="259" w:lineRule="auto"/>
              <w:jc w:val="both"/>
            </w:pPr>
            <w:r w:rsidRPr="00FF5F86">
              <w:t xml:space="preserve">-0.018 </w:t>
            </w:r>
          </w:p>
        </w:tc>
        <w:tc>
          <w:tcPr>
            <w:tcW w:w="1003" w:type="dxa"/>
            <w:tcBorders>
              <w:top w:val="single" w:sz="8" w:space="0" w:color="000000"/>
              <w:left w:val="single" w:sz="8" w:space="0" w:color="000000"/>
              <w:bottom w:val="single" w:sz="8" w:space="0" w:color="000000"/>
              <w:right w:val="single" w:sz="8" w:space="0" w:color="000000"/>
            </w:tcBorders>
          </w:tcPr>
          <w:p w14:paraId="6B8E8664" w14:textId="77777777" w:rsidR="00B90808" w:rsidRPr="00FF5F86" w:rsidRDefault="00B90808" w:rsidP="00E610B3">
            <w:pPr>
              <w:spacing w:line="259" w:lineRule="auto"/>
              <w:ind w:left="5"/>
              <w:jc w:val="both"/>
            </w:pPr>
            <w:r w:rsidRPr="00FF5F86">
              <w:t xml:space="preserve">0.007 </w:t>
            </w:r>
          </w:p>
        </w:tc>
        <w:tc>
          <w:tcPr>
            <w:tcW w:w="1029" w:type="dxa"/>
            <w:tcBorders>
              <w:top w:val="single" w:sz="8" w:space="0" w:color="000000"/>
              <w:left w:val="single" w:sz="8" w:space="0" w:color="000000"/>
              <w:bottom w:val="single" w:sz="8" w:space="0" w:color="000000"/>
              <w:right w:val="single" w:sz="8" w:space="0" w:color="000000"/>
            </w:tcBorders>
          </w:tcPr>
          <w:p w14:paraId="55C69806" w14:textId="77777777" w:rsidR="00B90808" w:rsidRPr="00FF5F86" w:rsidRDefault="00B90808" w:rsidP="00E610B3">
            <w:pPr>
              <w:spacing w:line="259" w:lineRule="auto"/>
              <w:jc w:val="both"/>
            </w:pPr>
            <w:r w:rsidRPr="00FF5F86">
              <w:t xml:space="preserve">-0.154 </w:t>
            </w:r>
          </w:p>
        </w:tc>
        <w:tc>
          <w:tcPr>
            <w:tcW w:w="1004" w:type="dxa"/>
            <w:tcBorders>
              <w:top w:val="single" w:sz="8" w:space="0" w:color="000000"/>
              <w:left w:val="single" w:sz="8" w:space="0" w:color="000000"/>
              <w:bottom w:val="single" w:sz="8" w:space="0" w:color="000000"/>
              <w:right w:val="single" w:sz="8" w:space="0" w:color="000000"/>
            </w:tcBorders>
          </w:tcPr>
          <w:p w14:paraId="3EC2F506" w14:textId="77777777" w:rsidR="00B90808" w:rsidRPr="00FF5F86" w:rsidRDefault="00B90808" w:rsidP="00E610B3">
            <w:pPr>
              <w:spacing w:line="259" w:lineRule="auto"/>
              <w:ind w:left="15"/>
              <w:jc w:val="both"/>
            </w:pPr>
            <w:r w:rsidRPr="00FF5F86">
              <w:t xml:space="preserve">-2.57 </w:t>
            </w:r>
          </w:p>
        </w:tc>
        <w:tc>
          <w:tcPr>
            <w:tcW w:w="1001" w:type="dxa"/>
            <w:tcBorders>
              <w:top w:val="single" w:sz="8" w:space="0" w:color="000000"/>
              <w:left w:val="single" w:sz="8" w:space="0" w:color="000000"/>
              <w:bottom w:val="single" w:sz="8" w:space="0" w:color="000000"/>
              <w:right w:val="single" w:sz="8" w:space="0" w:color="000000"/>
            </w:tcBorders>
          </w:tcPr>
          <w:p w14:paraId="583EAEA9" w14:textId="77777777" w:rsidR="00B90808" w:rsidRPr="00FF5F86" w:rsidRDefault="00B90808" w:rsidP="00E610B3">
            <w:pPr>
              <w:spacing w:line="259" w:lineRule="auto"/>
              <w:jc w:val="both"/>
            </w:pPr>
            <w:r w:rsidRPr="00FF5F86">
              <w:t xml:space="preserve">.012 </w:t>
            </w:r>
          </w:p>
        </w:tc>
        <w:tc>
          <w:tcPr>
            <w:tcW w:w="1008" w:type="dxa"/>
            <w:tcBorders>
              <w:top w:val="single" w:sz="8" w:space="0" w:color="000000"/>
              <w:left w:val="single" w:sz="8" w:space="0" w:color="000000"/>
              <w:bottom w:val="single" w:sz="8" w:space="0" w:color="000000"/>
              <w:right w:val="single" w:sz="8" w:space="0" w:color="000000"/>
            </w:tcBorders>
          </w:tcPr>
          <w:p w14:paraId="77BF6E2C" w14:textId="77777777" w:rsidR="00B90808" w:rsidRPr="00FF5F86" w:rsidRDefault="00B90808" w:rsidP="00E610B3">
            <w:pPr>
              <w:spacing w:line="259" w:lineRule="auto"/>
              <w:ind w:left="5"/>
              <w:jc w:val="both"/>
            </w:pPr>
            <w:r w:rsidRPr="00FF5F86">
              <w:t xml:space="preserve"> </w:t>
            </w:r>
          </w:p>
        </w:tc>
        <w:tc>
          <w:tcPr>
            <w:tcW w:w="991" w:type="dxa"/>
            <w:tcBorders>
              <w:top w:val="single" w:sz="8" w:space="0" w:color="000000"/>
              <w:left w:val="single" w:sz="8" w:space="0" w:color="000000"/>
              <w:bottom w:val="single" w:sz="8" w:space="0" w:color="000000"/>
              <w:right w:val="single" w:sz="8" w:space="0" w:color="000000"/>
            </w:tcBorders>
          </w:tcPr>
          <w:p w14:paraId="05F27397" w14:textId="77777777" w:rsidR="00B90808" w:rsidRPr="00FF5F86" w:rsidRDefault="00B90808" w:rsidP="00E610B3">
            <w:pPr>
              <w:spacing w:line="259" w:lineRule="auto"/>
              <w:jc w:val="both"/>
            </w:pPr>
            <w:r w:rsidRPr="00FF5F86">
              <w:t xml:space="preserve"> </w:t>
            </w:r>
          </w:p>
        </w:tc>
      </w:tr>
    </w:tbl>
    <w:p w14:paraId="6A8EBDFA" w14:textId="77777777" w:rsidR="00C725CE" w:rsidRPr="00E4638C" w:rsidRDefault="00C725CE" w:rsidP="00E4638C">
      <w:pPr>
        <w:spacing w:line="360" w:lineRule="auto"/>
        <w:jc w:val="both"/>
        <w:rPr>
          <w:rFonts w:ascii="Times New Roman" w:hAnsi="Times New Roman" w:cs="Times New Roman"/>
          <w:sz w:val="24"/>
          <w:szCs w:val="24"/>
        </w:rPr>
      </w:pPr>
    </w:p>
    <w:p w14:paraId="087D39CC" w14:textId="5B0AF12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regression metrics reported in Table 2 demonstrate that class size is a powerful, statistically significant predictor of all three dimensions of science teacher morale, leading to the rejection of the second null hypothesis (H₀₂: Class size does not significantly predict teacher morale).</w:t>
      </w:r>
    </w:p>
    <w:p w14:paraId="0832E42E" w14:textId="23F50988"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Model A (Instructional Efficacy). Class size was strongly and negatively related to instructional efficacy (β = 0.492, t = 5.43, p &lt; .001). This finding indicates that for every </w:t>
      </w:r>
      <w:proofErr w:type="spellStart"/>
      <w:r w:rsidRPr="00E4638C">
        <w:rPr>
          <w:rFonts w:ascii="Times New Roman" w:hAnsi="Times New Roman" w:cs="Times New Roman"/>
          <w:sz w:val="24"/>
          <w:szCs w:val="24"/>
        </w:rPr>
        <w:t>oneunit</w:t>
      </w:r>
      <w:proofErr w:type="spellEnd"/>
      <w:r w:rsidRPr="00E4638C">
        <w:rPr>
          <w:rFonts w:ascii="Times New Roman" w:hAnsi="Times New Roman" w:cs="Times New Roman"/>
          <w:sz w:val="24"/>
          <w:szCs w:val="24"/>
        </w:rPr>
        <w:t xml:space="preserve"> increase in class size (i.e., one additional student), instructional efficacy decreases by approximately 0.038 units on the 5point STMES scale, holding all other variables constant. In practical terms, teachers with classes of 65 students scored approximately 1.3 points lower on instructional efficacy compared to teachers with classes of 30 students. Years of teaching experience was also a significant positive predictor (β = 0.185, p = .022), suggesting that more experienced teachers maintain slightly higher efficacy even under crowded conditions. Gender and weekly instructional hours were not significant predictors.</w:t>
      </w:r>
    </w:p>
    <w:p w14:paraId="7A4D051D" w14:textId="000E9793"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lastRenderedPageBreak/>
        <w:t>Model B (Workload Satisfaction). Class size had a very strong negative effect on workload satisfaction (β = 0.614, t = 8.67, p &lt; .001). This was the largest standardized coefficient among the three models, indicating that workload satisfaction is the morale dimension most sensitive to class size increases. Weekly instructional hours also emerged as a significant negative predictor (β = 0.198, p = .007), meaning that teachers who spend more hours teaching report even lower workload satisfaction. The model explained 51.2% of the variance in workload satisfaction (R² = 0.512), indicating excellent explanatory power.</w:t>
      </w:r>
    </w:p>
    <w:p w14:paraId="1E37D172" w14:textId="27905F5F"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Model C (Professional Burnout). Class size was a significant positive predictor of professional burnout (β = 0.685, t = 7.63, p &lt; .001). This corroborates the finding that larger classes directly contribute to emotional exhaustion and occupational fatigue among Gambian science educators. Years of teaching experience was a significant negative predictor (β = 0.154, p = .012), suggesting that experienced teachers develop coping strategies that partially buffer against burnout. The model explained 56.4% of the variance in burnout (R² = 0.564), the highest among the three models.</w:t>
      </w:r>
    </w:p>
    <w:p w14:paraId="41F5994A" w14:textId="3713CA97"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 </w:t>
      </w:r>
      <w:r w:rsidRPr="00CD7457">
        <w:rPr>
          <w:rFonts w:ascii="Times New Roman" w:hAnsi="Times New Roman" w:cs="Times New Roman"/>
          <w:b/>
          <w:bCs/>
          <w:sz w:val="24"/>
          <w:szCs w:val="24"/>
        </w:rPr>
        <w:t>Research Question 3</w:t>
      </w:r>
      <w:r w:rsidRPr="00E4638C">
        <w:rPr>
          <w:rFonts w:ascii="Times New Roman" w:hAnsi="Times New Roman" w:cs="Times New Roman"/>
          <w:sz w:val="24"/>
          <w:szCs w:val="24"/>
        </w:rPr>
        <w:t>: Lived Experiences of Science Teachers (Qualitative Findings)</w:t>
      </w:r>
    </w:p>
    <w:p w14:paraId="42C0A1D4" w14:textId="4A927402"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semi</w:t>
      </w:r>
      <w:r w:rsidR="00AD4DEF">
        <w:rPr>
          <w:rFonts w:ascii="Times New Roman" w:hAnsi="Times New Roman" w:cs="Times New Roman"/>
          <w:sz w:val="24"/>
          <w:szCs w:val="24"/>
        </w:rPr>
        <w:t>-</w:t>
      </w:r>
      <w:r w:rsidRPr="00E4638C">
        <w:rPr>
          <w:rFonts w:ascii="Times New Roman" w:hAnsi="Times New Roman" w:cs="Times New Roman"/>
          <w:sz w:val="24"/>
          <w:szCs w:val="24"/>
        </w:rPr>
        <w:t xml:space="preserve">structured interview transcripts and observation notes were thematically </w:t>
      </w:r>
      <w:proofErr w:type="spellStart"/>
      <w:r w:rsidRPr="00E4638C">
        <w:rPr>
          <w:rFonts w:ascii="Times New Roman" w:hAnsi="Times New Roman" w:cs="Times New Roman"/>
          <w:sz w:val="24"/>
          <w:szCs w:val="24"/>
        </w:rPr>
        <w:t>analysed</w:t>
      </w:r>
      <w:proofErr w:type="spellEnd"/>
      <w:r w:rsidRPr="00E4638C">
        <w:rPr>
          <w:rFonts w:ascii="Times New Roman" w:hAnsi="Times New Roman" w:cs="Times New Roman"/>
          <w:sz w:val="24"/>
          <w:szCs w:val="24"/>
        </w:rPr>
        <w:t xml:space="preserve">, revealing three major analytical themes that explain and </w:t>
      </w:r>
      <w:proofErr w:type="spellStart"/>
      <w:r w:rsidRPr="00E4638C">
        <w:rPr>
          <w:rFonts w:ascii="Times New Roman" w:hAnsi="Times New Roman" w:cs="Times New Roman"/>
          <w:sz w:val="24"/>
          <w:szCs w:val="24"/>
        </w:rPr>
        <w:t>contextualise</w:t>
      </w:r>
      <w:proofErr w:type="spellEnd"/>
      <w:r w:rsidRPr="00E4638C">
        <w:rPr>
          <w:rFonts w:ascii="Times New Roman" w:hAnsi="Times New Roman" w:cs="Times New Roman"/>
          <w:sz w:val="24"/>
          <w:szCs w:val="24"/>
        </w:rPr>
        <w:t xml:space="preserve"> the quantitative findings.</w:t>
      </w:r>
    </w:p>
    <w:p w14:paraId="588AF6E3" w14:textId="4317C75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Theme 1: The Death of Constructivist Inquiry and Laboratory Practical Work. Teachers with large sections explicitly stated that high enrolment forces them to abandon </w:t>
      </w:r>
      <w:r w:rsidR="00AD4DEF" w:rsidRPr="00E4638C">
        <w:rPr>
          <w:rFonts w:ascii="Times New Roman" w:hAnsi="Times New Roman" w:cs="Times New Roman"/>
          <w:sz w:val="24"/>
          <w:szCs w:val="24"/>
        </w:rPr>
        <w:t>student led</w:t>
      </w:r>
      <w:r w:rsidRPr="00E4638C">
        <w:rPr>
          <w:rFonts w:ascii="Times New Roman" w:hAnsi="Times New Roman" w:cs="Times New Roman"/>
          <w:sz w:val="24"/>
          <w:szCs w:val="24"/>
        </w:rPr>
        <w:t xml:space="preserve"> laboratory experiments. As one experienced Chemistry teacher (T04, 12 </w:t>
      </w:r>
      <w:r w:rsidR="00AD4DEF" w:rsidRPr="00E4638C">
        <w:rPr>
          <w:rFonts w:ascii="Times New Roman" w:hAnsi="Times New Roman" w:cs="Times New Roman"/>
          <w:sz w:val="24"/>
          <w:szCs w:val="24"/>
        </w:rPr>
        <w:t>years’ experience</w:t>
      </w:r>
      <w:r w:rsidRPr="00E4638C">
        <w:rPr>
          <w:rFonts w:ascii="Times New Roman" w:hAnsi="Times New Roman" w:cs="Times New Roman"/>
          <w:sz w:val="24"/>
          <w:szCs w:val="24"/>
        </w:rPr>
        <w:t>, large class) explained:</w:t>
      </w:r>
    </w:p>
    <w:p w14:paraId="15FD5752" w14:textId="4256003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&gt; “When I have 67 students in one lab period, I cannot run a proper titration practical. There aren’t enough bottles of reagents</w:t>
      </w:r>
      <w:r w:rsidR="00AD4DEF">
        <w:rPr>
          <w:rFonts w:ascii="Times New Roman" w:hAnsi="Times New Roman" w:cs="Times New Roman"/>
          <w:sz w:val="24"/>
          <w:szCs w:val="24"/>
        </w:rPr>
        <w:t xml:space="preserve"> </w:t>
      </w:r>
      <w:r w:rsidRPr="00E4638C">
        <w:rPr>
          <w:rFonts w:ascii="Times New Roman" w:hAnsi="Times New Roman" w:cs="Times New Roman"/>
          <w:sz w:val="24"/>
          <w:szCs w:val="24"/>
        </w:rPr>
        <w:t xml:space="preserve">I would need three times the stock. And more importantly, I cannot guarantee safety. If one group spills concentrated acid because they are overcrowded and jostling each other, it’s a disaster. </w:t>
      </w:r>
      <w:r w:rsidR="00AD4DEF" w:rsidRPr="00E4638C">
        <w:rPr>
          <w:rFonts w:ascii="Times New Roman" w:hAnsi="Times New Roman" w:cs="Times New Roman"/>
          <w:sz w:val="24"/>
          <w:szCs w:val="24"/>
        </w:rPr>
        <w:t>So,</w:t>
      </w:r>
      <w:r w:rsidRPr="00E4638C">
        <w:rPr>
          <w:rFonts w:ascii="Times New Roman" w:hAnsi="Times New Roman" w:cs="Times New Roman"/>
          <w:sz w:val="24"/>
          <w:szCs w:val="24"/>
        </w:rPr>
        <w:t xml:space="preserve"> I make it a teacher demonstration or just write the steps on the blackboard. They copy the steps, but they don’t understand the chemistry. They never feel the change in </w:t>
      </w:r>
      <w:r w:rsidR="006F4F34" w:rsidRPr="00E4638C">
        <w:rPr>
          <w:rFonts w:ascii="Times New Roman" w:hAnsi="Times New Roman" w:cs="Times New Roman"/>
          <w:sz w:val="24"/>
          <w:szCs w:val="24"/>
        </w:rPr>
        <w:t>color</w:t>
      </w:r>
      <w:r w:rsidRPr="00E4638C">
        <w:rPr>
          <w:rFonts w:ascii="Times New Roman" w:hAnsi="Times New Roman" w:cs="Times New Roman"/>
          <w:sz w:val="24"/>
          <w:szCs w:val="24"/>
        </w:rPr>
        <w:t xml:space="preserve"> themselves.”</w:t>
      </w:r>
    </w:p>
    <w:p w14:paraId="6304CA86" w14:textId="513E71EE"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Classroom observations confirmed this statement. In large classes, observers recorded that 85% of instructional time was spent on passive lecturing, teacher demonstrations, or overcoming physical space constraints (e.g., rearranging benches, managing movement). Students were often crammed </w:t>
      </w:r>
      <w:r w:rsidRPr="00E4638C">
        <w:rPr>
          <w:rFonts w:ascii="Times New Roman" w:hAnsi="Times New Roman" w:cs="Times New Roman"/>
          <w:sz w:val="24"/>
          <w:szCs w:val="24"/>
        </w:rPr>
        <w:lastRenderedPageBreak/>
        <w:t>three to a bench designed for two, with limited space to write or access materials. In contrast, reduced classes spent 60% of time on active learning strategies, including small</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group laboratory work, peer discussion, and problem</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solving.</w:t>
      </w:r>
    </w:p>
    <w:p w14:paraId="58B43FF3" w14:textId="15165D3B"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Theme 2: The Burden of Continuous Assessment. Continuous assessment—a mandatory component of the </w:t>
      </w:r>
      <w:proofErr w:type="spellStart"/>
      <w:r w:rsidRPr="00E4638C">
        <w:rPr>
          <w:rFonts w:ascii="Times New Roman" w:hAnsi="Times New Roman" w:cs="Times New Roman"/>
          <w:sz w:val="24"/>
          <w:szCs w:val="24"/>
        </w:rPr>
        <w:t>MoBSE</w:t>
      </w:r>
      <w:proofErr w:type="spellEnd"/>
      <w:r w:rsidRPr="00E4638C">
        <w:rPr>
          <w:rFonts w:ascii="Times New Roman" w:hAnsi="Times New Roman" w:cs="Times New Roman"/>
          <w:sz w:val="24"/>
          <w:szCs w:val="24"/>
        </w:rPr>
        <w:t xml:space="preserve"> grading system—was universally identified as a key contributor to occupational fatigue. Under current regulations, teachers must record multiple formative assessment scores for each student per term, including quizzes, practical reports, homework, and class participation. A Biology teacher (T09, 8 </w:t>
      </w:r>
      <w:r w:rsidR="002B5FDF" w:rsidRPr="00E4638C">
        <w:rPr>
          <w:rFonts w:ascii="Times New Roman" w:hAnsi="Times New Roman" w:cs="Times New Roman"/>
          <w:sz w:val="24"/>
          <w:szCs w:val="24"/>
        </w:rPr>
        <w:t>years’ experience</w:t>
      </w:r>
      <w:r w:rsidRPr="00E4638C">
        <w:rPr>
          <w:rFonts w:ascii="Times New Roman" w:hAnsi="Times New Roman" w:cs="Times New Roman"/>
          <w:sz w:val="24"/>
          <w:szCs w:val="24"/>
        </w:rPr>
        <w:t>, large class) explained the mathematics of burnout:</w:t>
      </w:r>
    </w:p>
    <w:p w14:paraId="08EE8F58" w14:textId="17A5DB1B"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&gt; “I teach four sections of Grade 11 Biology, and each section has a minimum of 60 students. That is 240 lab reports or scripts to check every week. If I spend only three minutes marking each paper</w:t>
      </w:r>
      <w:r w:rsidR="000C28A2">
        <w:rPr>
          <w:rFonts w:ascii="Times New Roman" w:hAnsi="Times New Roman" w:cs="Times New Roman"/>
          <w:sz w:val="24"/>
          <w:szCs w:val="24"/>
        </w:rPr>
        <w:t xml:space="preserve"> </w:t>
      </w:r>
      <w:r w:rsidRPr="00E4638C">
        <w:rPr>
          <w:rFonts w:ascii="Times New Roman" w:hAnsi="Times New Roman" w:cs="Times New Roman"/>
          <w:sz w:val="24"/>
          <w:szCs w:val="24"/>
        </w:rPr>
        <w:t>just reading, correcting, writing comments</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that adds up to 12 hours of extra marking outside normal school hours. And that is just for Biology. I also teach lower forms. I am always tired. My eyes hurt. I have stopped asking complex, analytical essay questions because I cannot read 240 essays. Now I ask simple true/false or fill</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in</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the</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blank questions just to manage the workload.”</w:t>
      </w:r>
    </w:p>
    <w:p w14:paraId="20889489" w14:textId="726A12E5"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This strategic reduction in assessment depth provides a direct explanation for the decline in student performance on the ISAT, which specifically targets higher</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order analytical reasoning. Overcrowding inadvertently discourages teachers from assessing cognitive depth because such assessments are too time</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consuming to grade. Consequently, students receive less practice with, and less feedback on, complex scientific thinking.</w:t>
      </w:r>
    </w:p>
    <w:p w14:paraId="32C995C8" w14:textId="3E2766BB"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Theme 3: Chronic Discipline Problems and Low Instructional </w:t>
      </w:r>
      <w:r w:rsidR="002B5FDF" w:rsidRPr="00E4638C">
        <w:rPr>
          <w:rFonts w:ascii="Times New Roman" w:hAnsi="Times New Roman" w:cs="Times New Roman"/>
          <w:sz w:val="24"/>
          <w:szCs w:val="24"/>
        </w:rPr>
        <w:t>Self Efficacy</w:t>
      </w:r>
      <w:r w:rsidRPr="00E4638C">
        <w:rPr>
          <w:rFonts w:ascii="Times New Roman" w:hAnsi="Times New Roman" w:cs="Times New Roman"/>
          <w:sz w:val="24"/>
          <w:szCs w:val="24"/>
        </w:rPr>
        <w:t xml:space="preserve">. Teachers described feelings of professional isolation and diminished efficacy in large classes, where they cannot build meaningful instructional relationships with individual students. A Physics teacher (T02, 5 </w:t>
      </w:r>
      <w:r w:rsidR="002E1F99" w:rsidRPr="00E4638C">
        <w:rPr>
          <w:rFonts w:ascii="Times New Roman" w:hAnsi="Times New Roman" w:cs="Times New Roman"/>
          <w:sz w:val="24"/>
          <w:szCs w:val="24"/>
        </w:rPr>
        <w:t>years’ experience</w:t>
      </w:r>
      <w:r w:rsidRPr="00E4638C">
        <w:rPr>
          <w:rFonts w:ascii="Times New Roman" w:hAnsi="Times New Roman" w:cs="Times New Roman"/>
          <w:sz w:val="24"/>
          <w:szCs w:val="24"/>
        </w:rPr>
        <w:t>, large class) stated:</w:t>
      </w:r>
    </w:p>
    <w:p w14:paraId="3274A892" w14:textId="7E00BA0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&gt; “I know exactly who is struggling with vector resolution or kinematics in a class of 30. I can stop, walk to their desk, and coach them through the steps. But in a class of 65, the students at the back are invisible. They talk. They turn off their minds. They sleep on the desk. Half of the lesson, I am yelling to get them back in order. At the end of the day, my voice is gone, my morale is down, and I feel like a policeman instead of a science teacher. I have thought about leaving teaching.”</w:t>
      </w:r>
    </w:p>
    <w:p w14:paraId="7E489798" w14:textId="46A4F524" w:rsidR="00C725CE"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lastRenderedPageBreak/>
        <w:t>Observation data quantitatively supported this narrative. In large classes, observers recorded an average of 12.4 disciplinary interruptions per 45minute lesson (e.g., reprimanding talking, waking sleeping students, separating disruptive groups), compared to only 2.1 interruptions in reduced classes. Student on</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 xml:space="preserve">task </w:t>
      </w:r>
      <w:proofErr w:type="spellStart"/>
      <w:r w:rsidRPr="00E4638C">
        <w:rPr>
          <w:rFonts w:ascii="Times New Roman" w:hAnsi="Times New Roman" w:cs="Times New Roman"/>
          <w:sz w:val="24"/>
          <w:szCs w:val="24"/>
        </w:rPr>
        <w:t>behaviour</w:t>
      </w:r>
      <w:proofErr w:type="spellEnd"/>
      <w:r w:rsidRPr="00E4638C">
        <w:rPr>
          <w:rFonts w:ascii="Times New Roman" w:hAnsi="Times New Roman" w:cs="Times New Roman"/>
          <w:sz w:val="24"/>
          <w:szCs w:val="24"/>
        </w:rPr>
        <w:t xml:space="preserve"> was 54% in large classes versus 89% in reduced classes. These chronic </w:t>
      </w:r>
      <w:proofErr w:type="spellStart"/>
      <w:r w:rsidRPr="00E4638C">
        <w:rPr>
          <w:rFonts w:ascii="Times New Roman" w:hAnsi="Times New Roman" w:cs="Times New Roman"/>
          <w:sz w:val="24"/>
          <w:szCs w:val="24"/>
        </w:rPr>
        <w:t>behavioural</w:t>
      </w:r>
      <w:proofErr w:type="spellEnd"/>
      <w:r w:rsidRPr="00E4638C">
        <w:rPr>
          <w:rFonts w:ascii="Times New Roman" w:hAnsi="Times New Roman" w:cs="Times New Roman"/>
          <w:sz w:val="24"/>
          <w:szCs w:val="24"/>
        </w:rPr>
        <w:t xml:space="preserve"> demands directly erode instructional </w:t>
      </w:r>
      <w:r w:rsidR="002B5FDF" w:rsidRPr="00E4638C">
        <w:rPr>
          <w:rFonts w:ascii="Times New Roman" w:hAnsi="Times New Roman" w:cs="Times New Roman"/>
          <w:sz w:val="24"/>
          <w:szCs w:val="24"/>
        </w:rPr>
        <w:t>self</w:t>
      </w:r>
      <w:r w:rsidR="002B5FDF">
        <w:rPr>
          <w:rFonts w:ascii="Times New Roman" w:hAnsi="Times New Roman" w:cs="Times New Roman"/>
          <w:sz w:val="24"/>
          <w:szCs w:val="24"/>
        </w:rPr>
        <w:t>-</w:t>
      </w:r>
      <w:r w:rsidR="002B5FDF" w:rsidRPr="00E4638C">
        <w:rPr>
          <w:rFonts w:ascii="Times New Roman" w:hAnsi="Times New Roman" w:cs="Times New Roman"/>
          <w:sz w:val="24"/>
          <w:szCs w:val="24"/>
        </w:rPr>
        <w:t>efficacy</w:t>
      </w:r>
      <w:r w:rsidRPr="00E4638C">
        <w:rPr>
          <w:rFonts w:ascii="Times New Roman" w:hAnsi="Times New Roman" w:cs="Times New Roman"/>
          <w:sz w:val="24"/>
          <w:szCs w:val="24"/>
        </w:rPr>
        <w:t>, confirming the quantitative finding that class size is a strong negative predictor of efficacy (β = 0.492).</w:t>
      </w:r>
    </w:p>
    <w:p w14:paraId="7F15643F" w14:textId="77777777" w:rsidR="002E1F99" w:rsidRPr="00E4638C" w:rsidRDefault="002E1F99" w:rsidP="00E4638C">
      <w:pPr>
        <w:spacing w:line="360" w:lineRule="auto"/>
        <w:jc w:val="both"/>
        <w:rPr>
          <w:rFonts w:ascii="Times New Roman" w:hAnsi="Times New Roman" w:cs="Times New Roman"/>
          <w:sz w:val="24"/>
          <w:szCs w:val="24"/>
        </w:rPr>
      </w:pPr>
    </w:p>
    <w:p w14:paraId="2E875654" w14:textId="4A58760F" w:rsidR="00C725CE" w:rsidRPr="002E1F99" w:rsidRDefault="00C725CE" w:rsidP="00E4638C">
      <w:pPr>
        <w:spacing w:line="360" w:lineRule="auto"/>
        <w:jc w:val="both"/>
        <w:rPr>
          <w:rFonts w:ascii="Times New Roman" w:hAnsi="Times New Roman" w:cs="Times New Roman"/>
          <w:b/>
          <w:bCs/>
          <w:sz w:val="24"/>
          <w:szCs w:val="24"/>
        </w:rPr>
      </w:pPr>
      <w:r w:rsidRPr="002E1F99">
        <w:rPr>
          <w:rFonts w:ascii="Times New Roman" w:hAnsi="Times New Roman" w:cs="Times New Roman"/>
          <w:b/>
          <w:bCs/>
          <w:sz w:val="24"/>
          <w:szCs w:val="24"/>
        </w:rPr>
        <w:t xml:space="preserve"> DISCUSSION</w:t>
      </w:r>
    </w:p>
    <w:p w14:paraId="52B678E6" w14:textId="62AC7898" w:rsidR="00C725CE" w:rsidRPr="002E1F99" w:rsidRDefault="00C725CE" w:rsidP="00E4638C">
      <w:pPr>
        <w:spacing w:line="360" w:lineRule="auto"/>
        <w:jc w:val="both"/>
        <w:rPr>
          <w:rFonts w:ascii="Times New Roman" w:hAnsi="Times New Roman" w:cs="Times New Roman"/>
          <w:b/>
          <w:bCs/>
          <w:sz w:val="24"/>
          <w:szCs w:val="24"/>
        </w:rPr>
      </w:pPr>
      <w:r w:rsidRPr="002E1F99">
        <w:rPr>
          <w:rFonts w:ascii="Times New Roman" w:hAnsi="Times New Roman" w:cs="Times New Roman"/>
          <w:b/>
          <w:bCs/>
          <w:sz w:val="24"/>
          <w:szCs w:val="24"/>
        </w:rPr>
        <w:t xml:space="preserve"> Contextual Integration and Comparative Synthesis</w:t>
      </w:r>
    </w:p>
    <w:p w14:paraId="331FE2FE" w14:textId="28640A95"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empirical findings of this study provide conclusive evidence that class size reduction (CSR) has a significant positive effect on both students’ cognitive achievement and teachers’ morale in Gambian senior secondary schools. The quantitative finding that students in reduced classes significantly outperformed students in large classes (Cohen’s d = 1.04) is particularly striking because it contradicts the claims of some Western researchers, such as Hattie (2005), who argued that class size reductions yield only marginal, structurally minor academic benefits (typically d = 0.10–0.20).</w:t>
      </w:r>
    </w:p>
    <w:p w14:paraId="53C1E5A7" w14:textId="418ECC8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fundamental contextual differences in the definition of “large classes” explain this divergence. In </w:t>
      </w:r>
      <w:r w:rsidR="002B5FDF" w:rsidRPr="00E4638C">
        <w:rPr>
          <w:rFonts w:ascii="Times New Roman" w:hAnsi="Times New Roman" w:cs="Times New Roman"/>
          <w:sz w:val="24"/>
          <w:szCs w:val="24"/>
        </w:rPr>
        <w:t>high resource</w:t>
      </w:r>
      <w:r w:rsidRPr="00E4638C">
        <w:rPr>
          <w:rFonts w:ascii="Times New Roman" w:hAnsi="Times New Roman" w:cs="Times New Roman"/>
          <w:sz w:val="24"/>
          <w:szCs w:val="24"/>
        </w:rPr>
        <w:t xml:space="preserve"> global settings (e.g., the United States, United Kingdom, Australia), class size interventions typically compare differences between 18 and 25 students—a relatively small change that may not substantially alter pedagogical possibilities. Teachers in these contexts can still implement small</w:t>
      </w:r>
      <w:r w:rsidR="002B5FDF">
        <w:rPr>
          <w:rFonts w:ascii="Times New Roman" w:hAnsi="Times New Roman" w:cs="Times New Roman"/>
          <w:sz w:val="24"/>
          <w:szCs w:val="24"/>
        </w:rPr>
        <w:t xml:space="preserve"> </w:t>
      </w:r>
      <w:r w:rsidRPr="00E4638C">
        <w:rPr>
          <w:rFonts w:ascii="Times New Roman" w:hAnsi="Times New Roman" w:cs="Times New Roman"/>
          <w:sz w:val="24"/>
          <w:szCs w:val="24"/>
        </w:rPr>
        <w:t>group work, provide individual feedback, and maintain classroom order even in the larger condition. However, in developing education systems such as that of The Gambia, the transition from an overcrowded classroom (&gt;55 students) to a reduced class (≤35 students) represents a fundamental qualitative change in the learning environment: from one of extreme structural constraint (where basic classroom management and safety are compromised) to a functional space where genuine learning can take place.</w:t>
      </w:r>
    </w:p>
    <w:p w14:paraId="5A036A52" w14:textId="0E9DC582" w:rsidR="00C725CE"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These findings strongly corroborate Zyngier’s (2014) </w:t>
      </w:r>
      <w:r w:rsidR="008077F7" w:rsidRPr="00E4638C">
        <w:rPr>
          <w:rFonts w:ascii="Times New Roman" w:hAnsi="Times New Roman" w:cs="Times New Roman"/>
          <w:sz w:val="24"/>
          <w:szCs w:val="24"/>
        </w:rPr>
        <w:t>meta synthesis</w:t>
      </w:r>
      <w:r w:rsidRPr="00E4638C">
        <w:rPr>
          <w:rFonts w:ascii="Times New Roman" w:hAnsi="Times New Roman" w:cs="Times New Roman"/>
          <w:sz w:val="24"/>
          <w:szCs w:val="24"/>
        </w:rPr>
        <w:t xml:space="preserve">, which concluded that smaller learning environments yield significant academic returns for historically </w:t>
      </w:r>
      <w:proofErr w:type="spellStart"/>
      <w:r w:rsidRPr="00E4638C">
        <w:rPr>
          <w:rFonts w:ascii="Times New Roman" w:hAnsi="Times New Roman" w:cs="Times New Roman"/>
          <w:sz w:val="24"/>
          <w:szCs w:val="24"/>
        </w:rPr>
        <w:t>marginalised</w:t>
      </w:r>
      <w:proofErr w:type="spellEnd"/>
      <w:r w:rsidRPr="00E4638C">
        <w:rPr>
          <w:rFonts w:ascii="Times New Roman" w:hAnsi="Times New Roman" w:cs="Times New Roman"/>
          <w:sz w:val="24"/>
          <w:szCs w:val="24"/>
        </w:rPr>
        <w:t xml:space="preserve">, lower socioeconomic student demographics. The FQSE policy successfully attracted a large </w:t>
      </w:r>
      <w:r w:rsidRPr="00E4638C">
        <w:rPr>
          <w:rFonts w:ascii="Times New Roman" w:hAnsi="Times New Roman" w:cs="Times New Roman"/>
          <w:sz w:val="24"/>
          <w:szCs w:val="24"/>
        </w:rPr>
        <w:lastRenderedPageBreak/>
        <w:t xml:space="preserve">number of </w:t>
      </w:r>
      <w:r w:rsidR="008077F7" w:rsidRPr="00E4638C">
        <w:rPr>
          <w:rFonts w:ascii="Times New Roman" w:hAnsi="Times New Roman" w:cs="Times New Roman"/>
          <w:sz w:val="24"/>
          <w:szCs w:val="24"/>
        </w:rPr>
        <w:t>first-generation</w:t>
      </w:r>
      <w:r w:rsidRPr="00E4638C">
        <w:rPr>
          <w:rFonts w:ascii="Times New Roman" w:hAnsi="Times New Roman" w:cs="Times New Roman"/>
          <w:sz w:val="24"/>
          <w:szCs w:val="24"/>
        </w:rPr>
        <w:t xml:space="preserve"> secondary students</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 xml:space="preserve">many from rural backgrounds, </w:t>
      </w:r>
      <w:r w:rsidR="008077F7" w:rsidRPr="00E4638C">
        <w:rPr>
          <w:rFonts w:ascii="Times New Roman" w:hAnsi="Times New Roman" w:cs="Times New Roman"/>
          <w:sz w:val="24"/>
          <w:szCs w:val="24"/>
        </w:rPr>
        <w:t>low literacy</w:t>
      </w:r>
      <w:r w:rsidRPr="00E4638C">
        <w:rPr>
          <w:rFonts w:ascii="Times New Roman" w:hAnsi="Times New Roman" w:cs="Times New Roman"/>
          <w:sz w:val="24"/>
          <w:szCs w:val="24"/>
        </w:rPr>
        <w:t xml:space="preserve"> home environments, and poverty</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 xml:space="preserve">to public schools by removing financial barriers. However, these students typically enter senior secondary school with significant baseline learning gaps. They require intensive, highly </w:t>
      </w:r>
      <w:proofErr w:type="spellStart"/>
      <w:r w:rsidRPr="00E4638C">
        <w:rPr>
          <w:rFonts w:ascii="Times New Roman" w:hAnsi="Times New Roman" w:cs="Times New Roman"/>
          <w:sz w:val="24"/>
          <w:szCs w:val="24"/>
        </w:rPr>
        <w:t>individualised</w:t>
      </w:r>
      <w:proofErr w:type="spellEnd"/>
      <w:r w:rsidRPr="00E4638C">
        <w:rPr>
          <w:rFonts w:ascii="Times New Roman" w:hAnsi="Times New Roman" w:cs="Times New Roman"/>
          <w:sz w:val="24"/>
          <w:szCs w:val="24"/>
        </w:rPr>
        <w:t xml:space="preserve"> instructional support and immediate formative feedback to close these gaps and succeed in the demanding science curriculum. Smaller class sizes provide teachers with the structural bandwidth to deliver this </w:t>
      </w:r>
      <w:proofErr w:type="spellStart"/>
      <w:r w:rsidRPr="00E4638C">
        <w:rPr>
          <w:rFonts w:ascii="Times New Roman" w:hAnsi="Times New Roman" w:cs="Times New Roman"/>
          <w:sz w:val="24"/>
          <w:szCs w:val="24"/>
        </w:rPr>
        <w:t>individualised</w:t>
      </w:r>
      <w:proofErr w:type="spellEnd"/>
      <w:r w:rsidRPr="00E4638C">
        <w:rPr>
          <w:rFonts w:ascii="Times New Roman" w:hAnsi="Times New Roman" w:cs="Times New Roman"/>
          <w:sz w:val="24"/>
          <w:szCs w:val="24"/>
        </w:rPr>
        <w:t xml:space="preserve"> scaffolding, which aligns with the core requirements of Vygotsky’s social constructivist paradigm. In contrast, when these vulnerable students are placed in overcrowded classrooms of 60+ students, they become effectively invisible to the teacher, cut off from the instructional support they need, resulting in the depressed academic scores observed in the large</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class cohort.</w:t>
      </w:r>
    </w:p>
    <w:p w14:paraId="2E393454" w14:textId="77777777" w:rsidR="006F4F34" w:rsidRPr="00E4638C" w:rsidRDefault="006F4F34" w:rsidP="00E4638C">
      <w:pPr>
        <w:spacing w:line="360" w:lineRule="auto"/>
        <w:jc w:val="both"/>
        <w:rPr>
          <w:rFonts w:ascii="Times New Roman" w:hAnsi="Times New Roman" w:cs="Times New Roman"/>
          <w:sz w:val="24"/>
          <w:szCs w:val="24"/>
        </w:rPr>
      </w:pPr>
    </w:p>
    <w:p w14:paraId="7A095962" w14:textId="5D6F647D" w:rsidR="00C725CE" w:rsidRPr="002E1F99" w:rsidRDefault="00C725CE" w:rsidP="00E4638C">
      <w:pPr>
        <w:spacing w:line="360" w:lineRule="auto"/>
        <w:jc w:val="both"/>
        <w:rPr>
          <w:rFonts w:ascii="Times New Roman" w:hAnsi="Times New Roman" w:cs="Times New Roman"/>
          <w:b/>
          <w:bCs/>
          <w:sz w:val="24"/>
          <w:szCs w:val="24"/>
        </w:rPr>
      </w:pPr>
      <w:r w:rsidRPr="002E1F99">
        <w:rPr>
          <w:rFonts w:ascii="Times New Roman" w:hAnsi="Times New Roman" w:cs="Times New Roman"/>
          <w:b/>
          <w:bCs/>
          <w:sz w:val="24"/>
          <w:szCs w:val="24"/>
        </w:rPr>
        <w:t xml:space="preserve"> Theoretical Validation of the JDR Model</w:t>
      </w:r>
    </w:p>
    <w:p w14:paraId="30EC713D" w14:textId="2497625C"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The robust empirical validation of the Job Demands</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 xml:space="preserve">Resources (JDR) theory (Bakker &amp; Demerouti, 2007) is demonstrated by the strong predictive relationships established between class size expansion and the degradation of teacher morale. The regression models showed that class size alone explained 38–56% of the variance in the three morale dimensions, with </w:t>
      </w:r>
      <w:proofErr w:type="spellStart"/>
      <w:r w:rsidRPr="00E4638C">
        <w:rPr>
          <w:rFonts w:ascii="Times New Roman" w:hAnsi="Times New Roman" w:cs="Times New Roman"/>
          <w:sz w:val="24"/>
          <w:szCs w:val="24"/>
        </w:rPr>
        <w:t>standardised</w:t>
      </w:r>
      <w:proofErr w:type="spellEnd"/>
      <w:r w:rsidRPr="00E4638C">
        <w:rPr>
          <w:rFonts w:ascii="Times New Roman" w:hAnsi="Times New Roman" w:cs="Times New Roman"/>
          <w:sz w:val="24"/>
          <w:szCs w:val="24"/>
        </w:rPr>
        <w:t xml:space="preserve"> coefficients ranging from β = 0.614 (workload satisfaction) to β = 0.685 (professional burnout). These are exceptionally strong effects for a single structural variable in social science research.</w:t>
      </w:r>
    </w:p>
    <w:p w14:paraId="7DB5F1D5" w14:textId="514E4D36"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Overcrowded classrooms in Gambian senior secondary </w:t>
      </w:r>
      <w:r w:rsidR="008077F7" w:rsidRPr="00E4638C">
        <w:rPr>
          <w:rFonts w:ascii="Times New Roman" w:hAnsi="Times New Roman" w:cs="Times New Roman"/>
          <w:sz w:val="24"/>
          <w:szCs w:val="24"/>
        </w:rPr>
        <w:t>school’s</w:t>
      </w:r>
      <w:r w:rsidRPr="00E4638C">
        <w:rPr>
          <w:rFonts w:ascii="Times New Roman" w:hAnsi="Times New Roman" w:cs="Times New Roman"/>
          <w:sz w:val="24"/>
          <w:szCs w:val="24"/>
        </w:rPr>
        <w:t xml:space="preserve"> function as a serious job demand that chronically depletes teachers’ psychological and emotional energy. The qualitative accounts of grading burnout (Theme 2), physical laboratory constraints (Theme 1), and stress from </w:t>
      </w:r>
      <w:proofErr w:type="spellStart"/>
      <w:r w:rsidRPr="00E4638C">
        <w:rPr>
          <w:rFonts w:ascii="Times New Roman" w:hAnsi="Times New Roman" w:cs="Times New Roman"/>
          <w:sz w:val="24"/>
          <w:szCs w:val="24"/>
        </w:rPr>
        <w:t>behavioural</w:t>
      </w:r>
      <w:proofErr w:type="spellEnd"/>
      <w:r w:rsidRPr="00E4638C">
        <w:rPr>
          <w:rFonts w:ascii="Times New Roman" w:hAnsi="Times New Roman" w:cs="Times New Roman"/>
          <w:sz w:val="24"/>
          <w:szCs w:val="24"/>
        </w:rPr>
        <w:t xml:space="preserve"> management (Theme 3) provide rich explanatory mechanisms for the high professional burnout scores. Critically, the internal motivation of a teacher decreases not only because they are overworked, but because their instructional effectiveness objectively worsens when they are compelled to abandon laboratory work, reduce assessment depth, and spend most of their time on discipline rather than teaching.</w:t>
      </w:r>
    </w:p>
    <w:p w14:paraId="7ADE80B8" w14:textId="53C215A8"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This finding highlights the significance of class size not merely as an administrative or budgetary metric, but as an important structural feature that directly affects teacher wellbeing and, consequently, the retention of qualified science teachers nationwide. In a country facing chronic </w:t>
      </w:r>
      <w:r w:rsidRPr="00E4638C">
        <w:rPr>
          <w:rFonts w:ascii="Times New Roman" w:hAnsi="Times New Roman" w:cs="Times New Roman"/>
          <w:sz w:val="24"/>
          <w:szCs w:val="24"/>
        </w:rPr>
        <w:lastRenderedPageBreak/>
        <w:t>shortages of qualified Physics, Chemistry, and Biology teachers, policies that inadvertently accelerate burnout constitute a serious threat to the sustainability of STEM education.</w:t>
      </w:r>
    </w:p>
    <w:p w14:paraId="392183F1" w14:textId="310B55D9" w:rsidR="00C725CE" w:rsidRPr="002E1F99" w:rsidRDefault="00C725CE" w:rsidP="00E4638C">
      <w:pPr>
        <w:spacing w:line="360" w:lineRule="auto"/>
        <w:jc w:val="both"/>
        <w:rPr>
          <w:rFonts w:ascii="Times New Roman" w:hAnsi="Times New Roman" w:cs="Times New Roman"/>
          <w:b/>
          <w:bCs/>
          <w:sz w:val="24"/>
          <w:szCs w:val="24"/>
        </w:rPr>
      </w:pPr>
      <w:r w:rsidRPr="00E4638C">
        <w:rPr>
          <w:rFonts w:ascii="Times New Roman" w:hAnsi="Times New Roman" w:cs="Times New Roman"/>
          <w:sz w:val="24"/>
          <w:szCs w:val="24"/>
        </w:rPr>
        <w:t xml:space="preserve"> </w:t>
      </w:r>
      <w:r w:rsidRPr="002E1F99">
        <w:rPr>
          <w:rFonts w:ascii="Times New Roman" w:hAnsi="Times New Roman" w:cs="Times New Roman"/>
          <w:b/>
          <w:bCs/>
          <w:sz w:val="24"/>
          <w:szCs w:val="24"/>
        </w:rPr>
        <w:t>Comparison with Regional and International Literature</w:t>
      </w:r>
    </w:p>
    <w:p w14:paraId="14A51A60" w14:textId="48DAF802" w:rsidR="00C725CE"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The present study’s findings align with emerging evidence from other </w:t>
      </w:r>
      <w:r w:rsidR="008077F7" w:rsidRPr="00E4638C">
        <w:rPr>
          <w:rFonts w:ascii="Times New Roman" w:hAnsi="Times New Roman" w:cs="Times New Roman"/>
          <w:sz w:val="24"/>
          <w:szCs w:val="24"/>
        </w:rPr>
        <w:t>Sub</w:t>
      </w:r>
      <w:r w:rsidR="008077F7">
        <w:rPr>
          <w:rFonts w:ascii="Times New Roman" w:hAnsi="Times New Roman" w:cs="Times New Roman"/>
          <w:sz w:val="24"/>
          <w:szCs w:val="24"/>
        </w:rPr>
        <w:t>-Saharan</w:t>
      </w:r>
      <w:r w:rsidRPr="00E4638C">
        <w:rPr>
          <w:rFonts w:ascii="Times New Roman" w:hAnsi="Times New Roman" w:cs="Times New Roman"/>
          <w:sz w:val="24"/>
          <w:szCs w:val="24"/>
        </w:rPr>
        <w:t xml:space="preserve"> African contexts. Evans and Mendez Acosta’s (2020) review of education in Africa noted that class size effects are typically larger in </w:t>
      </w:r>
      <w:r w:rsidR="008077F7" w:rsidRPr="00E4638C">
        <w:rPr>
          <w:rFonts w:ascii="Times New Roman" w:hAnsi="Times New Roman" w:cs="Times New Roman"/>
          <w:sz w:val="24"/>
          <w:szCs w:val="24"/>
        </w:rPr>
        <w:t>low-income</w:t>
      </w:r>
      <w:r w:rsidRPr="00E4638C">
        <w:rPr>
          <w:rFonts w:ascii="Times New Roman" w:hAnsi="Times New Roman" w:cs="Times New Roman"/>
          <w:sz w:val="24"/>
          <w:szCs w:val="24"/>
        </w:rPr>
        <w:t xml:space="preserve"> countries because the marginal reduction is more meaningful: “Going from 80 to 40 students is a much more significant change than going from 25 to 20” (p. 28). Similarly, Joof’s (2020) doctoral research in Gambian upper basic schools found that teachers identified overcrowding as the single greatest barrier to implementing </w:t>
      </w:r>
      <w:r w:rsidR="008077F7" w:rsidRPr="00E4638C">
        <w:rPr>
          <w:rFonts w:ascii="Times New Roman" w:hAnsi="Times New Roman" w:cs="Times New Roman"/>
          <w:sz w:val="24"/>
          <w:szCs w:val="24"/>
        </w:rPr>
        <w:t>student-centered</w:t>
      </w:r>
      <w:r w:rsidRPr="00E4638C">
        <w:rPr>
          <w:rFonts w:ascii="Times New Roman" w:hAnsi="Times New Roman" w:cs="Times New Roman"/>
          <w:sz w:val="24"/>
          <w:szCs w:val="24"/>
        </w:rPr>
        <w:t xml:space="preserve"> pedagogy. The present study extends Joof’s work by providing rigorous quantitative achievement data (using a </w:t>
      </w:r>
      <w:proofErr w:type="spellStart"/>
      <w:r w:rsidRPr="00E4638C">
        <w:rPr>
          <w:rFonts w:ascii="Times New Roman" w:hAnsi="Times New Roman" w:cs="Times New Roman"/>
          <w:sz w:val="24"/>
          <w:szCs w:val="24"/>
        </w:rPr>
        <w:t>standardised</w:t>
      </w:r>
      <w:proofErr w:type="spellEnd"/>
      <w:r w:rsidRPr="00E4638C">
        <w:rPr>
          <w:rFonts w:ascii="Times New Roman" w:hAnsi="Times New Roman" w:cs="Times New Roman"/>
          <w:sz w:val="24"/>
          <w:szCs w:val="24"/>
        </w:rPr>
        <w:t>, WAEC</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aligned instrument) and by explicitly measuring teacher morale as a multidimensional construct.</w:t>
      </w:r>
    </w:p>
    <w:p w14:paraId="58926400" w14:textId="43E6047D" w:rsidR="002E1F99" w:rsidRPr="00E4638C" w:rsidRDefault="00C725CE" w:rsidP="00E4638C">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However, the findings diverge from some studies conducted in </w:t>
      </w:r>
      <w:r w:rsidR="008077F7" w:rsidRPr="00E4638C">
        <w:rPr>
          <w:rFonts w:ascii="Times New Roman" w:hAnsi="Times New Roman" w:cs="Times New Roman"/>
          <w:sz w:val="24"/>
          <w:szCs w:val="24"/>
        </w:rPr>
        <w:t>high-income</w:t>
      </w:r>
      <w:r w:rsidRPr="00E4638C">
        <w:rPr>
          <w:rFonts w:ascii="Times New Roman" w:hAnsi="Times New Roman" w:cs="Times New Roman"/>
          <w:sz w:val="24"/>
          <w:szCs w:val="24"/>
        </w:rPr>
        <w:t xml:space="preserve"> contexts that found no relationship between class size and teacher burnout or efficacy (e.g., </w:t>
      </w:r>
      <w:proofErr w:type="spellStart"/>
      <w:r w:rsidRPr="00E4638C">
        <w:rPr>
          <w:rFonts w:ascii="Times New Roman" w:hAnsi="Times New Roman" w:cs="Times New Roman"/>
          <w:sz w:val="24"/>
          <w:szCs w:val="24"/>
        </w:rPr>
        <w:t>Harfitt</w:t>
      </w:r>
      <w:proofErr w:type="spellEnd"/>
      <w:r w:rsidRPr="00E4638C">
        <w:rPr>
          <w:rFonts w:ascii="Times New Roman" w:hAnsi="Times New Roman" w:cs="Times New Roman"/>
          <w:sz w:val="24"/>
          <w:szCs w:val="24"/>
        </w:rPr>
        <w:t xml:space="preserve"> &amp; Tsui, 2015). This divergence again points to threshold effects: the relationship between class size and outcomes may be nonlinear, with a critical threshold (perhaps around 40–45 students) beyond which negative effects accelerate dramatically. Below that threshold, variations of 5–10 students may have minimal impact; above that threshold, each additional student imposes disproportionate demands on </w:t>
      </w:r>
      <w:r w:rsidR="00AB2FDE" w:rsidRPr="00E4638C">
        <w:rPr>
          <w:rFonts w:ascii="Times New Roman" w:hAnsi="Times New Roman" w:cs="Times New Roman"/>
          <w:sz w:val="24"/>
          <w:szCs w:val="24"/>
        </w:rPr>
        <w:t>teachers</w:t>
      </w:r>
      <w:r w:rsidRPr="00E4638C">
        <w:rPr>
          <w:rFonts w:ascii="Times New Roman" w:hAnsi="Times New Roman" w:cs="Times New Roman"/>
          <w:sz w:val="24"/>
          <w:szCs w:val="24"/>
        </w:rPr>
        <w:t xml:space="preserve"> limited attentional and </w:t>
      </w:r>
      <w:proofErr w:type="spellStart"/>
      <w:r w:rsidRPr="00E4638C">
        <w:rPr>
          <w:rFonts w:ascii="Times New Roman" w:hAnsi="Times New Roman" w:cs="Times New Roman"/>
          <w:sz w:val="24"/>
          <w:szCs w:val="24"/>
        </w:rPr>
        <w:t>organisational</w:t>
      </w:r>
      <w:proofErr w:type="spellEnd"/>
      <w:r w:rsidRPr="00E4638C">
        <w:rPr>
          <w:rFonts w:ascii="Times New Roman" w:hAnsi="Times New Roman" w:cs="Times New Roman"/>
          <w:sz w:val="24"/>
          <w:szCs w:val="24"/>
        </w:rPr>
        <w:t xml:space="preserve"> resource</w:t>
      </w:r>
      <w:r w:rsidR="00EB02BC">
        <w:rPr>
          <w:rFonts w:ascii="Times New Roman" w:hAnsi="Times New Roman" w:cs="Times New Roman"/>
          <w:sz w:val="24"/>
          <w:szCs w:val="24"/>
        </w:rPr>
        <w:t>.</w:t>
      </w:r>
    </w:p>
    <w:p w14:paraId="49DCAFD8" w14:textId="472B5E1C" w:rsidR="00C725CE" w:rsidRPr="002E1F99" w:rsidRDefault="00C725CE" w:rsidP="00E4638C">
      <w:pPr>
        <w:spacing w:line="360" w:lineRule="auto"/>
        <w:jc w:val="both"/>
        <w:rPr>
          <w:rFonts w:ascii="Times New Roman" w:hAnsi="Times New Roman" w:cs="Times New Roman"/>
          <w:b/>
          <w:bCs/>
          <w:sz w:val="24"/>
          <w:szCs w:val="24"/>
        </w:rPr>
      </w:pPr>
      <w:r w:rsidRPr="002E1F99">
        <w:rPr>
          <w:rFonts w:ascii="Times New Roman" w:hAnsi="Times New Roman" w:cs="Times New Roman"/>
          <w:b/>
          <w:bCs/>
          <w:sz w:val="24"/>
          <w:szCs w:val="24"/>
        </w:rPr>
        <w:t xml:space="preserve"> SUMMARY</w:t>
      </w:r>
    </w:p>
    <w:p w14:paraId="193AD2C0" w14:textId="421F8480" w:rsidR="008077F7" w:rsidRDefault="00C725CE" w:rsidP="006F4F34">
      <w:pPr>
        <w:spacing w:line="360" w:lineRule="auto"/>
        <w:jc w:val="both"/>
        <w:rPr>
          <w:rFonts w:ascii="Times New Roman" w:hAnsi="Times New Roman" w:cs="Times New Roman"/>
          <w:sz w:val="24"/>
          <w:szCs w:val="24"/>
        </w:rPr>
      </w:pPr>
      <w:r w:rsidRPr="00E4638C">
        <w:rPr>
          <w:rFonts w:ascii="Times New Roman" w:hAnsi="Times New Roman" w:cs="Times New Roman"/>
          <w:sz w:val="24"/>
          <w:szCs w:val="24"/>
        </w:rPr>
        <w:t xml:space="preserve">This study provides conclusive empirical evidence that classroom overcrowding is a critical structural bottleneck undermining secondary science education in The Gambia. The country’s </w:t>
      </w:r>
      <w:r w:rsidR="008077F7" w:rsidRPr="00E4638C">
        <w:rPr>
          <w:rFonts w:ascii="Times New Roman" w:hAnsi="Times New Roman" w:cs="Times New Roman"/>
          <w:sz w:val="24"/>
          <w:szCs w:val="24"/>
        </w:rPr>
        <w:t>access-oriented</w:t>
      </w:r>
      <w:r w:rsidRPr="00E4638C">
        <w:rPr>
          <w:rFonts w:ascii="Times New Roman" w:hAnsi="Times New Roman" w:cs="Times New Roman"/>
          <w:sz w:val="24"/>
          <w:szCs w:val="24"/>
        </w:rPr>
        <w:t xml:space="preserve"> policies, particularly the Free Quality School Education (FQSE) initiative, have successfully </w:t>
      </w:r>
      <w:proofErr w:type="spellStart"/>
      <w:r w:rsidRPr="00E4638C">
        <w:rPr>
          <w:rFonts w:ascii="Times New Roman" w:hAnsi="Times New Roman" w:cs="Times New Roman"/>
          <w:sz w:val="24"/>
          <w:szCs w:val="24"/>
        </w:rPr>
        <w:t>democratised</w:t>
      </w:r>
      <w:proofErr w:type="spellEnd"/>
      <w:r w:rsidRPr="00E4638C">
        <w:rPr>
          <w:rFonts w:ascii="Times New Roman" w:hAnsi="Times New Roman" w:cs="Times New Roman"/>
          <w:sz w:val="24"/>
          <w:szCs w:val="24"/>
        </w:rPr>
        <w:t xml:space="preserve"> access to senior secondary schools, achieving </w:t>
      </w:r>
      <w:r w:rsidR="008077F7" w:rsidRPr="00E4638C">
        <w:rPr>
          <w:rFonts w:ascii="Times New Roman" w:hAnsi="Times New Roman" w:cs="Times New Roman"/>
          <w:sz w:val="24"/>
          <w:szCs w:val="24"/>
        </w:rPr>
        <w:t>near gender</w:t>
      </w:r>
      <w:r w:rsidRPr="00E4638C">
        <w:rPr>
          <w:rFonts w:ascii="Times New Roman" w:hAnsi="Times New Roman" w:cs="Times New Roman"/>
          <w:sz w:val="24"/>
          <w:szCs w:val="24"/>
        </w:rPr>
        <w:t xml:space="preserve"> parity and increasing enrolment from historically </w:t>
      </w:r>
      <w:proofErr w:type="spellStart"/>
      <w:r w:rsidRPr="00E4638C">
        <w:rPr>
          <w:rFonts w:ascii="Times New Roman" w:hAnsi="Times New Roman" w:cs="Times New Roman"/>
          <w:sz w:val="24"/>
          <w:szCs w:val="24"/>
        </w:rPr>
        <w:t>marginalised</w:t>
      </w:r>
      <w:proofErr w:type="spellEnd"/>
      <w:r w:rsidRPr="00E4638C">
        <w:rPr>
          <w:rFonts w:ascii="Times New Roman" w:hAnsi="Times New Roman" w:cs="Times New Roman"/>
          <w:sz w:val="24"/>
          <w:szCs w:val="24"/>
        </w:rPr>
        <w:t xml:space="preserve"> populations. However, the lack of parallel investments in physical infrastructure</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classrooms, laboratories, furniture</w:t>
      </w:r>
      <w:r w:rsidR="008077F7">
        <w:rPr>
          <w:rFonts w:ascii="Times New Roman" w:hAnsi="Times New Roman" w:cs="Times New Roman"/>
          <w:sz w:val="24"/>
          <w:szCs w:val="24"/>
        </w:rPr>
        <w:t xml:space="preserve"> </w:t>
      </w:r>
      <w:r w:rsidRPr="00E4638C">
        <w:rPr>
          <w:rFonts w:ascii="Times New Roman" w:hAnsi="Times New Roman" w:cs="Times New Roman"/>
          <w:sz w:val="24"/>
          <w:szCs w:val="24"/>
        </w:rPr>
        <w:t xml:space="preserve">has led to acute classroom overcrowding, with average science class sizes exceeding 65 students in the </w:t>
      </w:r>
      <w:r w:rsidR="008077F7" w:rsidRPr="00E4638C">
        <w:rPr>
          <w:rFonts w:ascii="Times New Roman" w:hAnsi="Times New Roman" w:cs="Times New Roman"/>
          <w:sz w:val="24"/>
          <w:szCs w:val="24"/>
        </w:rPr>
        <w:t>large class</w:t>
      </w:r>
      <w:r w:rsidRPr="00E4638C">
        <w:rPr>
          <w:rFonts w:ascii="Times New Roman" w:hAnsi="Times New Roman" w:cs="Times New Roman"/>
          <w:sz w:val="24"/>
          <w:szCs w:val="24"/>
        </w:rPr>
        <w:t xml:space="preserve"> cohort.</w:t>
      </w:r>
    </w:p>
    <w:p w14:paraId="606A7AEF" w14:textId="77777777" w:rsidR="006F4F34" w:rsidRPr="006F4F34" w:rsidRDefault="006F4F34" w:rsidP="006F4F34">
      <w:pPr>
        <w:spacing w:line="360" w:lineRule="auto"/>
        <w:jc w:val="both"/>
        <w:rPr>
          <w:rFonts w:ascii="Times New Roman" w:hAnsi="Times New Roman" w:cs="Times New Roman"/>
          <w:sz w:val="24"/>
          <w:szCs w:val="24"/>
        </w:rPr>
      </w:pPr>
    </w:p>
    <w:p w14:paraId="6379D961" w14:textId="159A10AC" w:rsidR="00C725CE" w:rsidRPr="00C725CE" w:rsidRDefault="00C725CE" w:rsidP="00C725CE">
      <w:pPr>
        <w:shd w:val="clear" w:color="auto" w:fill="FFFFFF"/>
        <w:spacing w:before="480" w:after="240" w:line="480" w:lineRule="atLeast"/>
        <w:outlineLvl w:val="1"/>
        <w:rPr>
          <w:rFonts w:ascii="Segoe UI" w:eastAsia="Times New Roman" w:hAnsi="Segoe UI" w:cs="Segoe UI"/>
          <w:b/>
          <w:bCs/>
          <w:color w:val="0F1115"/>
          <w:kern w:val="0"/>
          <w:sz w:val="33"/>
          <w:szCs w:val="33"/>
          <w:lang w:val="en-GM"/>
          <w14:ligatures w14:val="none"/>
        </w:rPr>
      </w:pPr>
      <w:r w:rsidRPr="00C725CE">
        <w:rPr>
          <w:rFonts w:ascii="Segoe UI" w:eastAsia="Times New Roman" w:hAnsi="Segoe UI" w:cs="Segoe UI"/>
          <w:b/>
          <w:bCs/>
          <w:color w:val="0F1115"/>
          <w:kern w:val="0"/>
          <w:sz w:val="33"/>
          <w:szCs w:val="33"/>
          <w:lang w:val="en-GM"/>
          <w14:ligatures w14:val="none"/>
        </w:rPr>
        <w:lastRenderedPageBreak/>
        <w:t>REFERENCES</w:t>
      </w:r>
    </w:p>
    <w:p w14:paraId="54953D8C"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 Achilles, C. M. (1999). </w:t>
      </w:r>
      <w:r w:rsidRPr="00C725CE">
        <w:rPr>
          <w:rFonts w:ascii="Segoe UI" w:eastAsia="Times New Roman" w:hAnsi="Segoe UI" w:cs="Segoe UI"/>
          <w:i/>
          <w:iCs/>
          <w:color w:val="0F1115"/>
          <w:kern w:val="0"/>
          <w:sz w:val="24"/>
          <w:szCs w:val="24"/>
          <w:lang w:val="en-GM"/>
          <w14:ligatures w14:val="none"/>
        </w:rPr>
        <w:t>Let's make a difference: What we know about class size and school outcomes</w:t>
      </w:r>
      <w:r w:rsidRPr="00C725CE">
        <w:rPr>
          <w:rFonts w:ascii="Segoe UI" w:eastAsia="Times New Roman" w:hAnsi="Segoe UI" w:cs="Segoe UI"/>
          <w:color w:val="0F1115"/>
          <w:kern w:val="0"/>
          <w:sz w:val="24"/>
          <w:szCs w:val="24"/>
          <w:lang w:val="en-GM"/>
          <w14:ligatures w14:val="none"/>
        </w:rPr>
        <w:t>. Corwin Press.</w:t>
      </w:r>
    </w:p>
    <w:p w14:paraId="7C66FF7E" w14:textId="2B6D6B7F"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[2] </w:t>
      </w:r>
      <w:proofErr w:type="spellStart"/>
      <w:r w:rsidRPr="00C725CE">
        <w:rPr>
          <w:rFonts w:ascii="Segoe UI" w:eastAsia="Times New Roman" w:hAnsi="Segoe UI" w:cs="Segoe UI"/>
          <w:color w:val="0F1115"/>
          <w:kern w:val="0"/>
          <w:sz w:val="24"/>
          <w:szCs w:val="24"/>
          <w:lang w:val="en-GM"/>
          <w14:ligatures w14:val="none"/>
        </w:rPr>
        <w:t>Altinok</w:t>
      </w:r>
      <w:proofErr w:type="spellEnd"/>
      <w:r w:rsidRPr="00C725CE">
        <w:rPr>
          <w:rFonts w:ascii="Segoe UI" w:eastAsia="Times New Roman" w:hAnsi="Segoe UI" w:cs="Segoe UI"/>
          <w:color w:val="0F1115"/>
          <w:kern w:val="0"/>
          <w:sz w:val="24"/>
          <w:szCs w:val="24"/>
          <w:lang w:val="en-GM"/>
          <w14:ligatures w14:val="none"/>
        </w:rPr>
        <w:t xml:space="preserve">, N., &amp; Kingdon, G. (2012). New evidence on class size effects: A </w:t>
      </w:r>
      <w:r w:rsidR="00257610" w:rsidRPr="00C725CE">
        <w:rPr>
          <w:rFonts w:ascii="Segoe UI" w:eastAsia="Times New Roman" w:hAnsi="Segoe UI" w:cs="Segoe UI"/>
          <w:color w:val="0F1115"/>
          <w:kern w:val="0"/>
          <w:sz w:val="24"/>
          <w:szCs w:val="24"/>
          <w:lang w:val="en-GM"/>
          <w14:ligatures w14:val="none"/>
        </w:rPr>
        <w:t>difference indifferences</w:t>
      </w:r>
      <w:r w:rsidRPr="00C725CE">
        <w:rPr>
          <w:rFonts w:ascii="Segoe UI" w:eastAsia="Times New Roman" w:hAnsi="Segoe UI" w:cs="Segoe UI"/>
          <w:color w:val="0F1115"/>
          <w:kern w:val="0"/>
          <w:sz w:val="24"/>
          <w:szCs w:val="24"/>
          <w:lang w:val="en-GM"/>
          <w14:ligatures w14:val="none"/>
        </w:rPr>
        <w:t xml:space="preserve"> approach. </w:t>
      </w:r>
      <w:r w:rsidRPr="00C725CE">
        <w:rPr>
          <w:rFonts w:ascii="Segoe UI" w:eastAsia="Times New Roman" w:hAnsi="Segoe UI" w:cs="Segoe UI"/>
          <w:i/>
          <w:iCs/>
          <w:color w:val="0F1115"/>
          <w:kern w:val="0"/>
          <w:sz w:val="24"/>
          <w:szCs w:val="24"/>
          <w:lang w:val="en-GM"/>
          <w14:ligatures w14:val="none"/>
        </w:rPr>
        <w:t>Economics of Education Review, 31</w:t>
      </w:r>
      <w:r w:rsidRPr="00C725CE">
        <w:rPr>
          <w:rFonts w:ascii="Segoe UI" w:eastAsia="Times New Roman" w:hAnsi="Segoe UI" w:cs="Segoe UI"/>
          <w:color w:val="0F1115"/>
          <w:kern w:val="0"/>
          <w:sz w:val="24"/>
          <w:szCs w:val="24"/>
          <w:lang w:val="en-GM"/>
          <w14:ligatures w14:val="none"/>
        </w:rPr>
        <w:t>(5), 517–530.</w:t>
      </w:r>
    </w:p>
    <w:p w14:paraId="16648A99" w14:textId="12B0C1BE"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[3] Bakker, A. B., &amp; Demerouti, E. (2007). The Job Demands</w:t>
      </w:r>
      <w:r w:rsidR="000C28A2">
        <w:rPr>
          <w:rFonts w:ascii="Segoe UI" w:eastAsia="Times New Roman" w:hAnsi="Segoe UI" w:cs="Segoe UI"/>
          <w:color w:val="0F1115"/>
          <w:kern w:val="0"/>
          <w:sz w:val="24"/>
          <w:szCs w:val="24"/>
          <w:lang w:val="en-GM"/>
          <w14:ligatures w14:val="none"/>
        </w:rPr>
        <w:t xml:space="preserve"> </w:t>
      </w:r>
      <w:r w:rsidRPr="00C725CE">
        <w:rPr>
          <w:rFonts w:ascii="Segoe UI" w:eastAsia="Times New Roman" w:hAnsi="Segoe UI" w:cs="Segoe UI"/>
          <w:color w:val="0F1115"/>
          <w:kern w:val="0"/>
          <w:sz w:val="24"/>
          <w:szCs w:val="24"/>
          <w:lang w:val="en-GM"/>
          <w14:ligatures w14:val="none"/>
        </w:rPr>
        <w:t>Resources model: State of the art. </w:t>
      </w:r>
      <w:r w:rsidRPr="00C725CE">
        <w:rPr>
          <w:rFonts w:ascii="Segoe UI" w:eastAsia="Times New Roman" w:hAnsi="Segoe UI" w:cs="Segoe UI"/>
          <w:i/>
          <w:iCs/>
          <w:color w:val="0F1115"/>
          <w:kern w:val="0"/>
          <w:sz w:val="24"/>
          <w:szCs w:val="24"/>
          <w:lang w:val="en-GM"/>
          <w14:ligatures w14:val="none"/>
        </w:rPr>
        <w:t>Journal of Managerial Psychology, 22</w:t>
      </w:r>
      <w:r w:rsidRPr="00C725CE">
        <w:rPr>
          <w:rFonts w:ascii="Segoe UI" w:eastAsia="Times New Roman" w:hAnsi="Segoe UI" w:cs="Segoe UI"/>
          <w:color w:val="0F1115"/>
          <w:kern w:val="0"/>
          <w:sz w:val="24"/>
          <w:szCs w:val="24"/>
          <w:lang w:val="en-GM"/>
          <w14:ligatures w14:val="none"/>
        </w:rPr>
        <w:t>(3), 309–328.</w:t>
      </w:r>
    </w:p>
    <w:p w14:paraId="2A25D2F2"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[4] </w:t>
      </w:r>
      <w:proofErr w:type="spellStart"/>
      <w:r w:rsidRPr="00C725CE">
        <w:rPr>
          <w:rFonts w:ascii="Segoe UI" w:eastAsia="Times New Roman" w:hAnsi="Segoe UI" w:cs="Segoe UI"/>
          <w:color w:val="0F1115"/>
          <w:kern w:val="0"/>
          <w:sz w:val="24"/>
          <w:szCs w:val="24"/>
          <w:lang w:val="en-GM"/>
          <w14:ligatures w14:val="none"/>
        </w:rPr>
        <w:t>Bascia</w:t>
      </w:r>
      <w:proofErr w:type="spellEnd"/>
      <w:r w:rsidRPr="00C725CE">
        <w:rPr>
          <w:rFonts w:ascii="Segoe UI" w:eastAsia="Times New Roman" w:hAnsi="Segoe UI" w:cs="Segoe UI"/>
          <w:color w:val="0F1115"/>
          <w:kern w:val="0"/>
          <w:sz w:val="24"/>
          <w:szCs w:val="24"/>
          <w:lang w:val="en-GM"/>
          <w14:ligatures w14:val="none"/>
        </w:rPr>
        <w:t>, N., &amp; Faubert, B. (2012). Primary class size reduction: Policy context, implementation, and classroom outcomes. </w:t>
      </w:r>
      <w:r w:rsidRPr="00C725CE">
        <w:rPr>
          <w:rFonts w:ascii="Segoe UI" w:eastAsia="Times New Roman" w:hAnsi="Segoe UI" w:cs="Segoe UI"/>
          <w:i/>
          <w:iCs/>
          <w:color w:val="0F1115"/>
          <w:kern w:val="0"/>
          <w:sz w:val="24"/>
          <w:szCs w:val="24"/>
          <w:lang w:val="en-GM"/>
          <w14:ligatures w14:val="none"/>
        </w:rPr>
        <w:t>Canadian Journal of Education, 35</w:t>
      </w:r>
      <w:r w:rsidRPr="00C725CE">
        <w:rPr>
          <w:rFonts w:ascii="Segoe UI" w:eastAsia="Times New Roman" w:hAnsi="Segoe UI" w:cs="Segoe UI"/>
          <w:color w:val="0F1115"/>
          <w:kern w:val="0"/>
          <w:sz w:val="24"/>
          <w:szCs w:val="24"/>
          <w:lang w:val="en-GM"/>
          <w14:ligatures w14:val="none"/>
        </w:rPr>
        <w:t>(1), 30–55.</w:t>
      </w:r>
    </w:p>
    <w:p w14:paraId="081A4CB5"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[5] Blatchford, P. (2012). </w:t>
      </w:r>
      <w:r w:rsidRPr="00C725CE">
        <w:rPr>
          <w:rFonts w:ascii="Segoe UI" w:eastAsia="Times New Roman" w:hAnsi="Segoe UI" w:cs="Segoe UI"/>
          <w:i/>
          <w:iCs/>
          <w:color w:val="0F1115"/>
          <w:kern w:val="0"/>
          <w:sz w:val="24"/>
          <w:szCs w:val="24"/>
          <w:lang w:val="en-GM"/>
          <w14:ligatures w14:val="none"/>
        </w:rPr>
        <w:t>Three approaches to understanding class size effects</w:t>
      </w:r>
      <w:r w:rsidRPr="00C725CE">
        <w:rPr>
          <w:rFonts w:ascii="Segoe UI" w:eastAsia="Times New Roman" w:hAnsi="Segoe UI" w:cs="Segoe UI"/>
          <w:color w:val="0F1115"/>
          <w:kern w:val="0"/>
          <w:sz w:val="24"/>
          <w:szCs w:val="24"/>
          <w:lang w:val="en-GM"/>
          <w14:ligatures w14:val="none"/>
        </w:rPr>
        <w:t>. Routledge.</w:t>
      </w:r>
    </w:p>
    <w:p w14:paraId="73FD7778" w14:textId="1A61931A"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[6] Blatchford, P., Bassett, D., &amp; Brown, P. (2011). Examining the effect of class size on classroom engagement and teacher</w:t>
      </w:r>
      <w:r w:rsidR="00651B2F">
        <w:rPr>
          <w:rFonts w:ascii="Segoe UI" w:eastAsia="Times New Roman" w:hAnsi="Segoe UI" w:cs="Segoe UI"/>
          <w:color w:val="0F1115"/>
          <w:kern w:val="0"/>
          <w:sz w:val="24"/>
          <w:szCs w:val="24"/>
          <w:lang w:val="en-GM"/>
          <w14:ligatures w14:val="none"/>
        </w:rPr>
        <w:t>-</w:t>
      </w:r>
      <w:r w:rsidRPr="00C725CE">
        <w:rPr>
          <w:rFonts w:ascii="Segoe UI" w:eastAsia="Times New Roman" w:hAnsi="Segoe UI" w:cs="Segoe UI"/>
          <w:color w:val="0F1115"/>
          <w:kern w:val="0"/>
          <w:sz w:val="24"/>
          <w:szCs w:val="24"/>
          <w:lang w:val="en-GM"/>
          <w14:ligatures w14:val="none"/>
        </w:rPr>
        <w:t>pupil interaction. </w:t>
      </w:r>
      <w:r w:rsidRPr="00C725CE">
        <w:rPr>
          <w:rFonts w:ascii="Segoe UI" w:eastAsia="Times New Roman" w:hAnsi="Segoe UI" w:cs="Segoe UI"/>
          <w:i/>
          <w:iCs/>
          <w:color w:val="0F1115"/>
          <w:kern w:val="0"/>
          <w:sz w:val="24"/>
          <w:szCs w:val="24"/>
          <w:lang w:val="en-GM"/>
          <w14:ligatures w14:val="none"/>
        </w:rPr>
        <w:t>Research Papers in Education, 26</w:t>
      </w:r>
      <w:r w:rsidRPr="00C725CE">
        <w:rPr>
          <w:rFonts w:ascii="Segoe UI" w:eastAsia="Times New Roman" w:hAnsi="Segoe UI" w:cs="Segoe UI"/>
          <w:color w:val="0F1115"/>
          <w:kern w:val="0"/>
          <w:sz w:val="24"/>
          <w:szCs w:val="24"/>
          <w:lang w:val="en-GM"/>
          <w14:ligatures w14:val="none"/>
        </w:rPr>
        <w:t>(4), 415–441.</w:t>
      </w:r>
    </w:p>
    <w:p w14:paraId="5DDD2DE1"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[7] Evans, D. K., &amp; Mendez Acosta, A. (2020). Education in Africa: What are we learning? </w:t>
      </w:r>
      <w:r w:rsidRPr="00C725CE">
        <w:rPr>
          <w:rFonts w:ascii="Segoe UI" w:eastAsia="Times New Roman" w:hAnsi="Segoe UI" w:cs="Segoe UI"/>
          <w:i/>
          <w:iCs/>
          <w:color w:val="0F1115"/>
          <w:kern w:val="0"/>
          <w:sz w:val="24"/>
          <w:szCs w:val="24"/>
          <w:lang w:val="en-GM"/>
          <w14:ligatures w14:val="none"/>
        </w:rPr>
        <w:t>Journal of African Economies, 30</w:t>
      </w:r>
      <w:r w:rsidRPr="00C725CE">
        <w:rPr>
          <w:rFonts w:ascii="Segoe UI" w:eastAsia="Times New Roman" w:hAnsi="Segoe UI" w:cs="Segoe UI"/>
          <w:color w:val="0F1115"/>
          <w:kern w:val="0"/>
          <w:sz w:val="24"/>
          <w:szCs w:val="24"/>
          <w:lang w:val="en-GM"/>
          <w14:ligatures w14:val="none"/>
        </w:rPr>
        <w:t>(1), 13–54.</w:t>
      </w:r>
    </w:p>
    <w:p w14:paraId="0935F12D"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[8] Finn, J. D. (2019). </w:t>
      </w:r>
      <w:r w:rsidRPr="00C725CE">
        <w:rPr>
          <w:rFonts w:ascii="Segoe UI" w:eastAsia="Times New Roman" w:hAnsi="Segoe UI" w:cs="Segoe UI"/>
          <w:i/>
          <w:iCs/>
          <w:color w:val="0F1115"/>
          <w:kern w:val="0"/>
          <w:sz w:val="24"/>
          <w:szCs w:val="24"/>
          <w:lang w:val="en-GM"/>
          <w14:ligatures w14:val="none"/>
        </w:rPr>
        <w:t>Class size in secondary schools: Issues and outcomes</w:t>
      </w:r>
      <w:r w:rsidRPr="00C725CE">
        <w:rPr>
          <w:rFonts w:ascii="Segoe UI" w:eastAsia="Times New Roman" w:hAnsi="Segoe UI" w:cs="Segoe UI"/>
          <w:color w:val="0F1115"/>
          <w:kern w:val="0"/>
          <w:sz w:val="24"/>
          <w:szCs w:val="24"/>
          <w:lang w:val="en-GM"/>
          <w14:ligatures w14:val="none"/>
        </w:rPr>
        <w:t>. Information Age Publishing.</w:t>
      </w:r>
    </w:p>
    <w:p w14:paraId="7571F60E"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[9] </w:t>
      </w:r>
      <w:proofErr w:type="spellStart"/>
      <w:r w:rsidRPr="00C725CE">
        <w:rPr>
          <w:rFonts w:ascii="Segoe UI" w:eastAsia="Times New Roman" w:hAnsi="Segoe UI" w:cs="Segoe UI"/>
          <w:color w:val="0F1115"/>
          <w:kern w:val="0"/>
          <w:sz w:val="24"/>
          <w:szCs w:val="24"/>
          <w:lang w:val="en-GM"/>
          <w14:ligatures w14:val="none"/>
        </w:rPr>
        <w:t>Gajigo</w:t>
      </w:r>
      <w:proofErr w:type="spellEnd"/>
      <w:r w:rsidRPr="00C725CE">
        <w:rPr>
          <w:rFonts w:ascii="Segoe UI" w:eastAsia="Times New Roman" w:hAnsi="Segoe UI" w:cs="Segoe UI"/>
          <w:color w:val="0F1115"/>
          <w:kern w:val="0"/>
          <w:sz w:val="24"/>
          <w:szCs w:val="24"/>
          <w:lang w:val="en-GM"/>
          <w14:ligatures w14:val="none"/>
        </w:rPr>
        <w:t>, O. (2016). Closing the education gender gap: The effect of eliminating school fees for girls in The Gambia. </w:t>
      </w:r>
      <w:r w:rsidRPr="00C725CE">
        <w:rPr>
          <w:rFonts w:ascii="Segoe UI" w:eastAsia="Times New Roman" w:hAnsi="Segoe UI" w:cs="Segoe UI"/>
          <w:i/>
          <w:iCs/>
          <w:color w:val="0F1115"/>
          <w:kern w:val="0"/>
          <w:sz w:val="24"/>
          <w:szCs w:val="24"/>
          <w:lang w:val="en-GM"/>
          <w14:ligatures w14:val="none"/>
        </w:rPr>
        <w:t>Development Policy Review, 34</w:t>
      </w:r>
      <w:r w:rsidRPr="00C725CE">
        <w:rPr>
          <w:rFonts w:ascii="Segoe UI" w:eastAsia="Times New Roman" w:hAnsi="Segoe UI" w:cs="Segoe UI"/>
          <w:color w:val="0F1115"/>
          <w:kern w:val="0"/>
          <w:sz w:val="24"/>
          <w:szCs w:val="24"/>
          <w:lang w:val="en-GM"/>
          <w14:ligatures w14:val="none"/>
        </w:rPr>
        <w:t>(3), 397–418.</w:t>
      </w:r>
    </w:p>
    <w:p w14:paraId="2FF96575" w14:textId="787068E1"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[10] Glass, G. V., &amp; Smith, M. L. (1979). </w:t>
      </w:r>
      <w:proofErr w:type="spellStart"/>
      <w:r w:rsidRPr="00C725CE">
        <w:rPr>
          <w:rFonts w:ascii="Segoe UI" w:eastAsia="Times New Roman" w:hAnsi="Segoe UI" w:cs="Segoe UI"/>
          <w:color w:val="0F1115"/>
          <w:kern w:val="0"/>
          <w:sz w:val="24"/>
          <w:szCs w:val="24"/>
          <w:lang w:val="en-GM"/>
          <w14:ligatures w14:val="none"/>
        </w:rPr>
        <w:t>Metaanalysis</w:t>
      </w:r>
      <w:proofErr w:type="spellEnd"/>
      <w:r w:rsidRPr="00C725CE">
        <w:rPr>
          <w:rFonts w:ascii="Segoe UI" w:eastAsia="Times New Roman" w:hAnsi="Segoe UI" w:cs="Segoe UI"/>
          <w:color w:val="0F1115"/>
          <w:kern w:val="0"/>
          <w:sz w:val="24"/>
          <w:szCs w:val="24"/>
          <w:lang w:val="en-GM"/>
          <w14:ligatures w14:val="none"/>
        </w:rPr>
        <w:t xml:space="preserve"> of research on class size and achievement. </w:t>
      </w:r>
      <w:r w:rsidRPr="00C725CE">
        <w:rPr>
          <w:rFonts w:ascii="Segoe UI" w:eastAsia="Times New Roman" w:hAnsi="Segoe UI" w:cs="Segoe UI"/>
          <w:i/>
          <w:iCs/>
          <w:color w:val="0F1115"/>
          <w:kern w:val="0"/>
          <w:sz w:val="24"/>
          <w:szCs w:val="24"/>
          <w:lang w:val="en-GM"/>
          <w14:ligatures w14:val="none"/>
        </w:rPr>
        <w:t>Educational Evaluation and Policy Analysis, 1</w:t>
      </w:r>
      <w:r w:rsidRPr="00C725CE">
        <w:rPr>
          <w:rFonts w:ascii="Segoe UI" w:eastAsia="Times New Roman" w:hAnsi="Segoe UI" w:cs="Segoe UI"/>
          <w:color w:val="0F1115"/>
          <w:kern w:val="0"/>
          <w:sz w:val="24"/>
          <w:szCs w:val="24"/>
          <w:lang w:val="en-GM"/>
          <w14:ligatures w14:val="none"/>
        </w:rPr>
        <w:t>(1), 2–16.</w:t>
      </w:r>
    </w:p>
    <w:p w14:paraId="0DB6026A"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[11] </w:t>
      </w:r>
      <w:proofErr w:type="spellStart"/>
      <w:r w:rsidRPr="00C725CE">
        <w:rPr>
          <w:rFonts w:ascii="Segoe UI" w:eastAsia="Times New Roman" w:hAnsi="Segoe UI" w:cs="Segoe UI"/>
          <w:color w:val="0F1115"/>
          <w:kern w:val="0"/>
          <w:sz w:val="24"/>
          <w:szCs w:val="24"/>
          <w:lang w:val="en-GM"/>
          <w14:ligatures w14:val="none"/>
        </w:rPr>
        <w:t>Harfitt</w:t>
      </w:r>
      <w:proofErr w:type="spellEnd"/>
      <w:r w:rsidRPr="00C725CE">
        <w:rPr>
          <w:rFonts w:ascii="Segoe UI" w:eastAsia="Times New Roman" w:hAnsi="Segoe UI" w:cs="Segoe UI"/>
          <w:color w:val="0F1115"/>
          <w:kern w:val="0"/>
          <w:sz w:val="24"/>
          <w:szCs w:val="24"/>
          <w:lang w:val="en-GM"/>
          <w14:ligatures w14:val="none"/>
        </w:rPr>
        <w:t>, G. J., &amp; Tsui, A. B. (2015). </w:t>
      </w:r>
      <w:r w:rsidRPr="00C725CE">
        <w:rPr>
          <w:rFonts w:ascii="Segoe UI" w:eastAsia="Times New Roman" w:hAnsi="Segoe UI" w:cs="Segoe UI"/>
          <w:i/>
          <w:iCs/>
          <w:color w:val="0F1115"/>
          <w:kern w:val="0"/>
          <w:sz w:val="24"/>
          <w:szCs w:val="24"/>
          <w:lang w:val="en-GM"/>
          <w14:ligatures w14:val="none"/>
        </w:rPr>
        <w:t>An ethnographic study of class size reduction in secondary schools</w:t>
      </w:r>
      <w:r w:rsidRPr="00C725CE">
        <w:rPr>
          <w:rFonts w:ascii="Segoe UI" w:eastAsia="Times New Roman" w:hAnsi="Segoe UI" w:cs="Segoe UI"/>
          <w:color w:val="0F1115"/>
          <w:kern w:val="0"/>
          <w:sz w:val="24"/>
          <w:szCs w:val="24"/>
          <w:lang w:val="en-GM"/>
          <w14:ligatures w14:val="none"/>
        </w:rPr>
        <w:t>. Springer.</w:t>
      </w:r>
    </w:p>
    <w:p w14:paraId="1A8745DF"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lastRenderedPageBreak/>
        <w:t>[12] Hattie, J. (2005). The paradox of reducing class size and improving learning outcomes. </w:t>
      </w:r>
      <w:r w:rsidRPr="00C725CE">
        <w:rPr>
          <w:rFonts w:ascii="Segoe UI" w:eastAsia="Times New Roman" w:hAnsi="Segoe UI" w:cs="Segoe UI"/>
          <w:i/>
          <w:iCs/>
          <w:color w:val="0F1115"/>
          <w:kern w:val="0"/>
          <w:sz w:val="24"/>
          <w:szCs w:val="24"/>
          <w:lang w:val="en-GM"/>
          <w14:ligatures w14:val="none"/>
        </w:rPr>
        <w:t>International Journal of Educational Research, 43</w:t>
      </w:r>
      <w:r w:rsidRPr="00C725CE">
        <w:rPr>
          <w:rFonts w:ascii="Segoe UI" w:eastAsia="Times New Roman" w:hAnsi="Segoe UI" w:cs="Segoe UI"/>
          <w:color w:val="0F1115"/>
          <w:kern w:val="0"/>
          <w:sz w:val="24"/>
          <w:szCs w:val="24"/>
          <w:lang w:val="en-GM"/>
          <w14:ligatures w14:val="none"/>
        </w:rPr>
        <w:t>(3), 387–425.</w:t>
      </w:r>
    </w:p>
    <w:p w14:paraId="529039AD"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[13] Joof, B. (2020). </w:t>
      </w:r>
      <w:r w:rsidRPr="00C725CE">
        <w:rPr>
          <w:rFonts w:ascii="Segoe UI" w:eastAsia="Times New Roman" w:hAnsi="Segoe UI" w:cs="Segoe UI"/>
          <w:i/>
          <w:iCs/>
          <w:color w:val="0F1115"/>
          <w:kern w:val="0"/>
          <w:sz w:val="24"/>
          <w:szCs w:val="24"/>
          <w:lang w:val="en-GM"/>
          <w14:ligatures w14:val="none"/>
        </w:rPr>
        <w:t>An investigation into the instructional challenges caused by large class sizes in Gambian upper basic and secondary schools</w:t>
      </w:r>
      <w:r w:rsidRPr="00C725CE">
        <w:rPr>
          <w:rFonts w:ascii="Segoe UI" w:eastAsia="Times New Roman" w:hAnsi="Segoe UI" w:cs="Segoe UI"/>
          <w:color w:val="0F1115"/>
          <w:kern w:val="0"/>
          <w:sz w:val="24"/>
          <w:szCs w:val="24"/>
          <w:lang w:val="en-GM"/>
          <w14:ligatures w14:val="none"/>
        </w:rPr>
        <w:t> (Unpublished doctoral dissertation). University of Huddersfield.</w:t>
      </w:r>
    </w:p>
    <w:p w14:paraId="02018E7F"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[14] </w:t>
      </w:r>
      <w:proofErr w:type="spellStart"/>
      <w:r w:rsidRPr="00C725CE">
        <w:rPr>
          <w:rFonts w:ascii="Segoe UI" w:eastAsia="Times New Roman" w:hAnsi="Segoe UI" w:cs="Segoe UI"/>
          <w:color w:val="0F1115"/>
          <w:kern w:val="0"/>
          <w:sz w:val="24"/>
          <w:szCs w:val="24"/>
          <w:lang w:val="en-GM"/>
          <w14:ligatures w14:val="none"/>
        </w:rPr>
        <w:t>Laitsch</w:t>
      </w:r>
      <w:proofErr w:type="spellEnd"/>
      <w:r w:rsidRPr="00C725CE">
        <w:rPr>
          <w:rFonts w:ascii="Segoe UI" w:eastAsia="Times New Roman" w:hAnsi="Segoe UI" w:cs="Segoe UI"/>
          <w:color w:val="0F1115"/>
          <w:kern w:val="0"/>
          <w:sz w:val="24"/>
          <w:szCs w:val="24"/>
          <w:lang w:val="en-GM"/>
          <w14:ligatures w14:val="none"/>
        </w:rPr>
        <w:t>, D., Nguyen, H., &amp; Younghusband, C. H. (2021). Class size and teacher work. </w:t>
      </w:r>
      <w:r w:rsidRPr="00C725CE">
        <w:rPr>
          <w:rFonts w:ascii="Segoe UI" w:eastAsia="Times New Roman" w:hAnsi="Segoe UI" w:cs="Segoe UI"/>
          <w:i/>
          <w:iCs/>
          <w:color w:val="0F1115"/>
          <w:kern w:val="0"/>
          <w:sz w:val="24"/>
          <w:szCs w:val="24"/>
          <w:lang w:val="en-GM"/>
          <w14:ligatures w14:val="none"/>
        </w:rPr>
        <w:t>Canadian Journal of Educational Administration and Policy, 196</w:t>
      </w:r>
      <w:r w:rsidRPr="00C725CE">
        <w:rPr>
          <w:rFonts w:ascii="Segoe UI" w:eastAsia="Times New Roman" w:hAnsi="Segoe UI" w:cs="Segoe UI"/>
          <w:color w:val="0F1115"/>
          <w:kern w:val="0"/>
          <w:sz w:val="24"/>
          <w:szCs w:val="24"/>
          <w:lang w:val="en-GM"/>
          <w14:ligatures w14:val="none"/>
        </w:rPr>
        <w:t>, 83–101.</w:t>
      </w:r>
    </w:p>
    <w:p w14:paraId="10C46027" w14:textId="0B747860"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[15] Ministry of Basic and Secondary Education [</w:t>
      </w:r>
      <w:proofErr w:type="spellStart"/>
      <w:r w:rsidRPr="00C725CE">
        <w:rPr>
          <w:rFonts w:ascii="Segoe UI" w:eastAsia="Times New Roman" w:hAnsi="Segoe UI" w:cs="Segoe UI"/>
          <w:color w:val="0F1115"/>
          <w:kern w:val="0"/>
          <w:sz w:val="24"/>
          <w:szCs w:val="24"/>
          <w:lang w:val="en-GM"/>
          <w14:ligatures w14:val="none"/>
        </w:rPr>
        <w:t>MoBSE</w:t>
      </w:r>
      <w:proofErr w:type="spellEnd"/>
      <w:r w:rsidRPr="00C725CE">
        <w:rPr>
          <w:rFonts w:ascii="Segoe UI" w:eastAsia="Times New Roman" w:hAnsi="Segoe UI" w:cs="Segoe UI"/>
          <w:color w:val="0F1115"/>
          <w:kern w:val="0"/>
          <w:sz w:val="24"/>
          <w:szCs w:val="24"/>
          <w:lang w:val="en-GM"/>
          <w14:ligatures w14:val="none"/>
        </w:rPr>
        <w:t>]. (2019). Education sector policy 20162030. Government Printers.</w:t>
      </w:r>
    </w:p>
    <w:p w14:paraId="58A96C9E"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[16] Takeaways, K. (2023). Research note: What the research says about class size. </w:t>
      </w:r>
      <w:r w:rsidRPr="00C725CE">
        <w:rPr>
          <w:rFonts w:ascii="Segoe UI" w:eastAsia="Times New Roman" w:hAnsi="Segoe UI" w:cs="Segoe UI"/>
          <w:i/>
          <w:iCs/>
          <w:color w:val="0F1115"/>
          <w:kern w:val="0"/>
          <w:sz w:val="24"/>
          <w:szCs w:val="24"/>
          <w:lang w:val="en-GM"/>
          <w14:ligatures w14:val="none"/>
        </w:rPr>
        <w:t>British Columbia Teachers' Federation Research Department</w:t>
      </w:r>
      <w:r w:rsidRPr="00C725CE">
        <w:rPr>
          <w:rFonts w:ascii="Segoe UI" w:eastAsia="Times New Roman" w:hAnsi="Segoe UI" w:cs="Segoe UI"/>
          <w:color w:val="0F1115"/>
          <w:kern w:val="0"/>
          <w:sz w:val="24"/>
          <w:szCs w:val="24"/>
          <w:lang w:val="en-GM"/>
          <w14:ligatures w14:val="none"/>
        </w:rPr>
        <w:t>, 1–12.</w:t>
      </w:r>
    </w:p>
    <w:p w14:paraId="76B8DFEF"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[17] Turay, F. B. (2024). Impact of the free quality school education intervention on secondary school students' academic performance. </w:t>
      </w:r>
      <w:r w:rsidRPr="00C725CE">
        <w:rPr>
          <w:rFonts w:ascii="Segoe UI" w:eastAsia="Times New Roman" w:hAnsi="Segoe UI" w:cs="Segoe UI"/>
          <w:i/>
          <w:iCs/>
          <w:color w:val="0F1115"/>
          <w:kern w:val="0"/>
          <w:sz w:val="24"/>
          <w:szCs w:val="24"/>
          <w:lang w:val="en-GM"/>
          <w14:ligatures w14:val="none"/>
        </w:rPr>
        <w:t>European Journal of Education Studies, 11</w:t>
      </w:r>
      <w:r w:rsidRPr="00C725CE">
        <w:rPr>
          <w:rFonts w:ascii="Segoe UI" w:eastAsia="Times New Roman" w:hAnsi="Segoe UI" w:cs="Segoe UI"/>
          <w:color w:val="0F1115"/>
          <w:kern w:val="0"/>
          <w:sz w:val="24"/>
          <w:szCs w:val="24"/>
          <w:lang w:val="en-GM"/>
          <w14:ligatures w14:val="none"/>
        </w:rPr>
        <w:t>(4), 112–134.</w:t>
      </w:r>
    </w:p>
    <w:p w14:paraId="2D73BB4D"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[18] Zubizarreta, J. (2019). Class size: Is less more for significant learning? </w:t>
      </w:r>
      <w:r w:rsidRPr="00C725CE">
        <w:rPr>
          <w:rFonts w:ascii="Segoe UI" w:eastAsia="Times New Roman" w:hAnsi="Segoe UI" w:cs="Segoe UI"/>
          <w:i/>
          <w:iCs/>
          <w:color w:val="0F1115"/>
          <w:kern w:val="0"/>
          <w:sz w:val="24"/>
          <w:szCs w:val="24"/>
          <w:lang w:val="en-GM"/>
          <w14:ligatures w14:val="none"/>
        </w:rPr>
        <w:t>To Improve the Academy, 24</w:t>
      </w:r>
      <w:r w:rsidRPr="00C725CE">
        <w:rPr>
          <w:rFonts w:ascii="Segoe UI" w:eastAsia="Times New Roman" w:hAnsi="Segoe UI" w:cs="Segoe UI"/>
          <w:color w:val="0F1115"/>
          <w:kern w:val="0"/>
          <w:sz w:val="24"/>
          <w:szCs w:val="24"/>
          <w:lang w:val="en-GM"/>
          <w14:ligatures w14:val="none"/>
        </w:rPr>
        <w:t>(1), 54–68.</w:t>
      </w:r>
    </w:p>
    <w:p w14:paraId="4BE54CF8" w14:textId="77777777" w:rsidR="00C725CE" w:rsidRPr="00C725CE" w:rsidRDefault="00C725CE" w:rsidP="00C725CE">
      <w:pPr>
        <w:shd w:val="clear" w:color="auto" w:fill="FFFFFF"/>
        <w:spacing w:before="240" w:after="240" w:line="420" w:lineRule="atLeast"/>
        <w:rPr>
          <w:rFonts w:ascii="Segoe UI" w:eastAsia="Times New Roman" w:hAnsi="Segoe UI" w:cs="Segoe UI"/>
          <w:color w:val="0F1115"/>
          <w:kern w:val="0"/>
          <w:sz w:val="24"/>
          <w:szCs w:val="24"/>
          <w:lang w:val="en-GM"/>
          <w14:ligatures w14:val="none"/>
        </w:rPr>
      </w:pPr>
      <w:r w:rsidRPr="00C725CE">
        <w:rPr>
          <w:rFonts w:ascii="Segoe UI" w:eastAsia="Times New Roman" w:hAnsi="Segoe UI" w:cs="Segoe UI"/>
          <w:color w:val="0F1115"/>
          <w:kern w:val="0"/>
          <w:sz w:val="24"/>
          <w:szCs w:val="24"/>
          <w:lang w:val="en-GM"/>
          <w14:ligatures w14:val="none"/>
        </w:rPr>
        <w:t xml:space="preserve">[19] </w:t>
      </w:r>
      <w:proofErr w:type="spellStart"/>
      <w:r w:rsidRPr="00C725CE">
        <w:rPr>
          <w:rFonts w:ascii="Segoe UI" w:eastAsia="Times New Roman" w:hAnsi="Segoe UI" w:cs="Segoe UI"/>
          <w:color w:val="0F1115"/>
          <w:kern w:val="0"/>
          <w:sz w:val="24"/>
          <w:szCs w:val="24"/>
          <w:lang w:val="en-GM"/>
          <w14:ligatures w14:val="none"/>
        </w:rPr>
        <w:t>Zyngier</w:t>
      </w:r>
      <w:proofErr w:type="spellEnd"/>
      <w:r w:rsidRPr="00C725CE">
        <w:rPr>
          <w:rFonts w:ascii="Segoe UI" w:eastAsia="Times New Roman" w:hAnsi="Segoe UI" w:cs="Segoe UI"/>
          <w:color w:val="0F1115"/>
          <w:kern w:val="0"/>
          <w:sz w:val="24"/>
          <w:szCs w:val="24"/>
          <w:lang w:val="en-GM"/>
          <w14:ligatures w14:val="none"/>
        </w:rPr>
        <w:t>, D. (2014). Class size and academic results, with a focus on children from disenfranchised communities. </w:t>
      </w:r>
      <w:r w:rsidRPr="00C725CE">
        <w:rPr>
          <w:rFonts w:ascii="Segoe UI" w:eastAsia="Times New Roman" w:hAnsi="Segoe UI" w:cs="Segoe UI"/>
          <w:i/>
          <w:iCs/>
          <w:color w:val="0F1115"/>
          <w:kern w:val="0"/>
          <w:sz w:val="24"/>
          <w:szCs w:val="24"/>
          <w:lang w:val="en-GM"/>
          <w14:ligatures w14:val="none"/>
        </w:rPr>
        <w:t>Evidence Base, 2014</w:t>
      </w:r>
      <w:r w:rsidRPr="00C725CE">
        <w:rPr>
          <w:rFonts w:ascii="Segoe UI" w:eastAsia="Times New Roman" w:hAnsi="Segoe UI" w:cs="Segoe UI"/>
          <w:color w:val="0F1115"/>
          <w:kern w:val="0"/>
          <w:sz w:val="24"/>
          <w:szCs w:val="24"/>
          <w:lang w:val="en-GM"/>
          <w14:ligatures w14:val="none"/>
        </w:rPr>
        <w:t>(1), 1–23.</w:t>
      </w:r>
    </w:p>
    <w:sectPr w:rsidR="00C725CE" w:rsidRPr="00C725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30A"/>
    <w:multiLevelType w:val="multilevel"/>
    <w:tmpl w:val="32B4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461B1"/>
    <w:multiLevelType w:val="multilevel"/>
    <w:tmpl w:val="0D7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1796D"/>
    <w:multiLevelType w:val="multilevel"/>
    <w:tmpl w:val="331A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F76F5"/>
    <w:multiLevelType w:val="multilevel"/>
    <w:tmpl w:val="B7F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518947">
    <w:abstractNumId w:val="0"/>
  </w:num>
  <w:num w:numId="2" w16cid:durableId="2113546087">
    <w:abstractNumId w:val="1"/>
  </w:num>
  <w:num w:numId="3" w16cid:durableId="1116607797">
    <w:abstractNumId w:val="2"/>
  </w:num>
  <w:num w:numId="4" w16cid:durableId="1757899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CE"/>
    <w:rsid w:val="00031E7F"/>
    <w:rsid w:val="000C28A2"/>
    <w:rsid w:val="0010413F"/>
    <w:rsid w:val="00121D68"/>
    <w:rsid w:val="00124BBF"/>
    <w:rsid w:val="00131DED"/>
    <w:rsid w:val="001A69BB"/>
    <w:rsid w:val="001C199A"/>
    <w:rsid w:val="00257610"/>
    <w:rsid w:val="002A5CF2"/>
    <w:rsid w:val="002B5FDF"/>
    <w:rsid w:val="002E1F99"/>
    <w:rsid w:val="004614E0"/>
    <w:rsid w:val="0046401B"/>
    <w:rsid w:val="00472F77"/>
    <w:rsid w:val="00535C66"/>
    <w:rsid w:val="00555AF7"/>
    <w:rsid w:val="005812F6"/>
    <w:rsid w:val="006414F2"/>
    <w:rsid w:val="006436BB"/>
    <w:rsid w:val="00651B2F"/>
    <w:rsid w:val="006F4F34"/>
    <w:rsid w:val="007D5083"/>
    <w:rsid w:val="008077F7"/>
    <w:rsid w:val="00924926"/>
    <w:rsid w:val="0097146E"/>
    <w:rsid w:val="009A3761"/>
    <w:rsid w:val="009B53D7"/>
    <w:rsid w:val="00AB2FDE"/>
    <w:rsid w:val="00AD4DEF"/>
    <w:rsid w:val="00B90808"/>
    <w:rsid w:val="00BC18FE"/>
    <w:rsid w:val="00C148F0"/>
    <w:rsid w:val="00C36B4D"/>
    <w:rsid w:val="00C50D0F"/>
    <w:rsid w:val="00C523B9"/>
    <w:rsid w:val="00C725CE"/>
    <w:rsid w:val="00C87638"/>
    <w:rsid w:val="00CB7597"/>
    <w:rsid w:val="00CD7457"/>
    <w:rsid w:val="00DC0F6C"/>
    <w:rsid w:val="00DE464F"/>
    <w:rsid w:val="00E4638C"/>
    <w:rsid w:val="00E92F96"/>
    <w:rsid w:val="00EB02BC"/>
    <w:rsid w:val="00EF4C5A"/>
    <w:rsid w:val="00F07A31"/>
    <w:rsid w:val="00F4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F425"/>
  <w15:chartTrackingRefBased/>
  <w15:docId w15:val="{20EA3CF7-C8B7-498A-8F55-2FCF18D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5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725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25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25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25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2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5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725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25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25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25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2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5CE"/>
    <w:rPr>
      <w:rFonts w:eastAsiaTheme="majorEastAsia" w:cstheme="majorBidi"/>
      <w:color w:val="272727" w:themeColor="text1" w:themeTint="D8"/>
    </w:rPr>
  </w:style>
  <w:style w:type="paragraph" w:styleId="Title">
    <w:name w:val="Title"/>
    <w:basedOn w:val="Normal"/>
    <w:next w:val="Normal"/>
    <w:link w:val="TitleChar"/>
    <w:uiPriority w:val="10"/>
    <w:qFormat/>
    <w:rsid w:val="00C72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5CE"/>
    <w:pPr>
      <w:spacing w:before="160"/>
      <w:jc w:val="center"/>
    </w:pPr>
    <w:rPr>
      <w:i/>
      <w:iCs/>
      <w:color w:val="404040" w:themeColor="text1" w:themeTint="BF"/>
    </w:rPr>
  </w:style>
  <w:style w:type="character" w:customStyle="1" w:styleId="QuoteChar">
    <w:name w:val="Quote Char"/>
    <w:basedOn w:val="DefaultParagraphFont"/>
    <w:link w:val="Quote"/>
    <w:uiPriority w:val="29"/>
    <w:rsid w:val="00C725CE"/>
    <w:rPr>
      <w:i/>
      <w:iCs/>
      <w:color w:val="404040" w:themeColor="text1" w:themeTint="BF"/>
    </w:rPr>
  </w:style>
  <w:style w:type="paragraph" w:styleId="ListParagraph">
    <w:name w:val="List Paragraph"/>
    <w:basedOn w:val="Normal"/>
    <w:uiPriority w:val="34"/>
    <w:qFormat/>
    <w:rsid w:val="00C725CE"/>
    <w:pPr>
      <w:ind w:left="720"/>
      <w:contextualSpacing/>
    </w:pPr>
  </w:style>
  <w:style w:type="character" w:styleId="IntenseEmphasis">
    <w:name w:val="Intense Emphasis"/>
    <w:basedOn w:val="DefaultParagraphFont"/>
    <w:uiPriority w:val="21"/>
    <w:qFormat/>
    <w:rsid w:val="00C725CE"/>
    <w:rPr>
      <w:i/>
      <w:iCs/>
      <w:color w:val="2E74B5" w:themeColor="accent1" w:themeShade="BF"/>
    </w:rPr>
  </w:style>
  <w:style w:type="paragraph" w:styleId="IntenseQuote">
    <w:name w:val="Intense Quote"/>
    <w:basedOn w:val="Normal"/>
    <w:next w:val="Normal"/>
    <w:link w:val="IntenseQuoteChar"/>
    <w:uiPriority w:val="30"/>
    <w:qFormat/>
    <w:rsid w:val="00C725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25CE"/>
    <w:rPr>
      <w:i/>
      <w:iCs/>
      <w:color w:val="2E74B5" w:themeColor="accent1" w:themeShade="BF"/>
    </w:rPr>
  </w:style>
  <w:style w:type="character" w:styleId="IntenseReference">
    <w:name w:val="Intense Reference"/>
    <w:basedOn w:val="DefaultParagraphFont"/>
    <w:uiPriority w:val="32"/>
    <w:qFormat/>
    <w:rsid w:val="00C725CE"/>
    <w:rPr>
      <w:b/>
      <w:bCs/>
      <w:smallCaps/>
      <w:color w:val="2E74B5" w:themeColor="accent1" w:themeShade="BF"/>
      <w:spacing w:val="5"/>
    </w:rPr>
  </w:style>
  <w:style w:type="table" w:customStyle="1" w:styleId="TableGrid">
    <w:name w:val="TableGrid"/>
    <w:rsid w:val="009B53D7"/>
    <w:pPr>
      <w:spacing w:after="0" w:line="240" w:lineRule="auto"/>
    </w:pPr>
    <w:rPr>
      <w:rFonts w:ascii="Aptos" w:eastAsia="SimSun" w:hAnsi="Aptos" w:cs="SimSu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6329</Words>
  <Characters>36078</Characters>
  <Application>Microsoft Office Word</Application>
  <DocSecurity>0</DocSecurity>
  <Lines>300</Lines>
  <Paragraphs>84</Paragraphs>
  <ScaleCrop>false</ScaleCrop>
  <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 k fatty</dc:creator>
  <cp:keywords/>
  <dc:description/>
  <cp:lastModifiedBy>fatou k fatty</cp:lastModifiedBy>
  <cp:revision>47</cp:revision>
  <dcterms:created xsi:type="dcterms:W3CDTF">2026-06-04T17:01:00Z</dcterms:created>
  <dcterms:modified xsi:type="dcterms:W3CDTF">2026-06-05T06:40:00Z</dcterms:modified>
</cp:coreProperties>
</file>