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CE" w:rsidRPr="00C238FB" w:rsidRDefault="001B05CE" w:rsidP="001B05CE">
      <w:pPr>
        <w:spacing w:after="0" w:line="240" w:lineRule="auto"/>
        <w:jc w:val="center"/>
        <w:outlineLvl w:val="0"/>
        <w:rPr>
          <w:rFonts w:ascii="Times New Roman" w:hAnsi="Times New Roman" w:cs="Times New Roman"/>
          <w:b/>
          <w:bCs/>
          <w:lang w:val="en-US"/>
        </w:rPr>
      </w:pPr>
      <w:r w:rsidRPr="00C238FB">
        <w:rPr>
          <w:rFonts w:ascii="Times New Roman" w:hAnsi="Times New Roman" w:cs="Times New Roman"/>
          <w:b/>
          <w:bCs/>
          <w:lang w:val="en-US"/>
        </w:rPr>
        <w:t>From Sustainability to Profitability: The Role of SDGs in Malaysian Companies</w:t>
      </w:r>
    </w:p>
    <w:p w:rsidR="001B05CE" w:rsidRPr="00C238FB" w:rsidRDefault="001B05CE" w:rsidP="001B05CE">
      <w:pPr>
        <w:spacing w:after="0" w:line="240" w:lineRule="auto"/>
        <w:jc w:val="center"/>
        <w:rPr>
          <w:rFonts w:ascii="Times New Roman" w:hAnsi="Times New Roman" w:cs="Times New Roman"/>
          <w:b/>
          <w:bCs/>
          <w:lang w:val="en-US"/>
        </w:rPr>
      </w:pPr>
    </w:p>
    <w:p w:rsidR="001B05CE" w:rsidRPr="00C238FB" w:rsidRDefault="001B05CE" w:rsidP="001B05CE">
      <w:pPr>
        <w:spacing w:after="0" w:line="240" w:lineRule="auto"/>
        <w:jc w:val="center"/>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Mohd Waliuddin Mohd Razali*</w:t>
      </w:r>
      <w:r w:rsidRPr="00C238FB">
        <w:rPr>
          <w:rFonts w:ascii="Times New Roman" w:eastAsia="Times New Roman" w:hAnsi="Times New Roman" w:cs="Times New Roman"/>
          <w:kern w:val="0"/>
          <w:vertAlign w:val="superscript"/>
          <w:lang w:val="en-US"/>
        </w:rPr>
        <w:t>1&amp;2</w:t>
      </w:r>
      <w:r w:rsidRPr="00C238FB">
        <w:rPr>
          <w:rFonts w:ascii="Times New Roman" w:eastAsia="Times New Roman" w:hAnsi="Times New Roman" w:cs="Times New Roman"/>
          <w:kern w:val="0"/>
        </w:rPr>
        <w:t>, Mohd Firdaus bin Zakaria</w:t>
      </w:r>
      <w:r w:rsidRPr="00C238FB">
        <w:rPr>
          <w:rFonts w:ascii="Times New Roman" w:eastAsia="Times New Roman" w:hAnsi="Times New Roman" w:cs="Times New Roman"/>
          <w:kern w:val="0"/>
          <w:vertAlign w:val="superscript"/>
        </w:rPr>
        <w:t>3</w:t>
      </w:r>
      <w:r w:rsidRPr="00C238FB">
        <w:rPr>
          <w:rFonts w:ascii="Times New Roman" w:eastAsia="Times New Roman" w:hAnsi="Times New Roman" w:cs="Times New Roman"/>
          <w:kern w:val="0"/>
        </w:rPr>
        <w:t>, Dg Junaidah Awang Jambol</w:t>
      </w:r>
      <w:r w:rsidRPr="00C238FB">
        <w:rPr>
          <w:rFonts w:ascii="Times New Roman" w:eastAsia="Times New Roman" w:hAnsi="Times New Roman" w:cs="Times New Roman"/>
          <w:kern w:val="0"/>
          <w:vertAlign w:val="superscript"/>
        </w:rPr>
        <w:t>4</w:t>
      </w:r>
      <w:r w:rsidRPr="00C238FB">
        <w:rPr>
          <w:rFonts w:ascii="Times New Roman" w:eastAsia="Times New Roman" w:hAnsi="Times New Roman" w:cs="Times New Roman"/>
          <w:kern w:val="0"/>
        </w:rPr>
        <w:t>, Nur Zaimah Ubaidillah</w:t>
      </w:r>
      <w:r w:rsidRPr="00C238FB">
        <w:rPr>
          <w:rFonts w:ascii="Times New Roman" w:eastAsia="Times New Roman" w:hAnsi="Times New Roman" w:cs="Times New Roman"/>
          <w:kern w:val="0"/>
          <w:vertAlign w:val="superscript"/>
        </w:rPr>
        <w:t>1</w:t>
      </w:r>
      <w:r w:rsidRPr="00C238FB">
        <w:rPr>
          <w:rFonts w:ascii="Times New Roman" w:eastAsia="Times New Roman" w:hAnsi="Times New Roman" w:cs="Times New Roman"/>
          <w:kern w:val="0"/>
        </w:rPr>
        <w:t xml:space="preserve">, </w:t>
      </w:r>
      <w:r w:rsidRPr="00C238FB">
        <w:rPr>
          <w:rStyle w:val="hps"/>
          <w:rFonts w:ascii="Times New Roman" w:hAnsi="Times New Roman" w:cs="Times New Roman"/>
          <w:color w:val="000000" w:themeColor="text1"/>
        </w:rPr>
        <w:t>Rozaiha Ab Majid</w:t>
      </w:r>
      <w:r w:rsidRPr="00C238FB">
        <w:rPr>
          <w:rStyle w:val="hps"/>
          <w:rFonts w:ascii="Times New Roman" w:hAnsi="Times New Roman" w:cs="Times New Roman"/>
          <w:color w:val="000000" w:themeColor="text1"/>
          <w:vertAlign w:val="superscript"/>
        </w:rPr>
        <w:t>5</w:t>
      </w:r>
      <w:r>
        <w:rPr>
          <w:rStyle w:val="hps"/>
          <w:rFonts w:ascii="Times New Roman" w:hAnsi="Times New Roman" w:cs="Times New Roman"/>
          <w:color w:val="000000" w:themeColor="text1"/>
          <w:vertAlign w:val="superscript"/>
        </w:rPr>
        <w:t xml:space="preserve"> </w:t>
      </w:r>
      <w:r w:rsidRPr="00C238FB">
        <w:rPr>
          <w:rFonts w:ascii="Times New Roman" w:eastAsia="Times New Roman" w:hAnsi="Times New Roman" w:cs="Times New Roman"/>
          <w:kern w:val="0"/>
        </w:rPr>
        <w:t>and</w:t>
      </w:r>
      <w:r>
        <w:rPr>
          <w:rFonts w:ascii="Times New Roman" w:eastAsia="Times New Roman" w:hAnsi="Times New Roman" w:cs="Times New Roman"/>
          <w:kern w:val="0"/>
        </w:rPr>
        <w:t xml:space="preserve"> </w:t>
      </w:r>
      <w:r w:rsidRPr="001A6161">
        <w:rPr>
          <w:rFonts w:ascii="Times New Roman" w:eastAsia="Times New Roman" w:hAnsi="Times New Roman" w:cs="Times New Roman"/>
          <w:kern w:val="0"/>
        </w:rPr>
        <w:t>NurulAsyikin Hassan</w:t>
      </w:r>
      <w:r w:rsidRPr="001A6161">
        <w:rPr>
          <w:rFonts w:ascii="Times New Roman" w:eastAsia="Times New Roman" w:hAnsi="Times New Roman" w:cs="Times New Roman"/>
          <w:kern w:val="0"/>
          <w:vertAlign w:val="superscript"/>
        </w:rPr>
        <w:t>6</w:t>
      </w:r>
    </w:p>
    <w:p w:rsidR="001B05CE" w:rsidRPr="00C238FB" w:rsidRDefault="001B05CE" w:rsidP="001B05CE">
      <w:pPr>
        <w:widowControl w:val="0"/>
        <w:autoSpaceDE w:val="0"/>
        <w:autoSpaceDN w:val="0"/>
        <w:spacing w:after="0" w:line="240" w:lineRule="auto"/>
        <w:ind w:right="355"/>
        <w:jc w:val="both"/>
        <w:rPr>
          <w:rFonts w:ascii="Times New Roman" w:eastAsia="Times New Roman" w:hAnsi="Times New Roman" w:cs="Times New Roman"/>
          <w:kern w:val="0"/>
          <w:vertAlign w:val="superscript"/>
        </w:rPr>
      </w:pPr>
    </w:p>
    <w:p w:rsidR="001B05CE" w:rsidRPr="00C238FB" w:rsidRDefault="001B05CE" w:rsidP="001B05CE">
      <w:pPr>
        <w:widowControl w:val="0"/>
        <w:autoSpaceDE w:val="0"/>
        <w:autoSpaceDN w:val="0"/>
        <w:spacing w:after="0" w:line="240" w:lineRule="auto"/>
        <w:ind w:right="357"/>
        <w:contextualSpacing/>
        <w:jc w:val="both"/>
        <w:outlineLvl w:val="0"/>
        <w:rPr>
          <w:rFonts w:ascii="Times New Roman" w:eastAsia="Times New Roman" w:hAnsi="Times New Roman" w:cs="Times New Roman"/>
          <w:kern w:val="0"/>
        </w:rPr>
      </w:pPr>
      <w:r w:rsidRPr="00C238FB">
        <w:rPr>
          <w:rFonts w:ascii="Times New Roman" w:eastAsia="Times New Roman" w:hAnsi="Times New Roman" w:cs="Times New Roman"/>
          <w:kern w:val="0"/>
          <w:vertAlign w:val="superscript"/>
        </w:rPr>
        <w:t>1</w:t>
      </w:r>
      <w:r w:rsidRPr="00C238FB">
        <w:rPr>
          <w:rFonts w:ascii="Times New Roman" w:eastAsia="Times New Roman" w:hAnsi="Times New Roman" w:cs="Times New Roman"/>
          <w:kern w:val="0"/>
        </w:rPr>
        <w:t>Faculty Economics &amp; Business, Universiti Malaysia Sarawak (UNIMAS), Malaysia</w:t>
      </w:r>
    </w:p>
    <w:p w:rsidR="001B05CE" w:rsidRPr="00C238FB" w:rsidRDefault="001B05CE" w:rsidP="001B05CE">
      <w:pPr>
        <w:widowControl w:val="0"/>
        <w:autoSpaceDE w:val="0"/>
        <w:autoSpaceDN w:val="0"/>
        <w:spacing w:after="0" w:line="240" w:lineRule="auto"/>
        <w:ind w:right="357"/>
        <w:contextualSpacing/>
        <w:jc w:val="both"/>
        <w:rPr>
          <w:rFonts w:ascii="Times New Roman" w:eastAsia="Times New Roman" w:hAnsi="Times New Roman" w:cs="Times New Roman"/>
          <w:kern w:val="0"/>
        </w:rPr>
      </w:pPr>
      <w:r w:rsidRPr="00C238FB">
        <w:rPr>
          <w:rFonts w:ascii="Times New Roman" w:eastAsia="Times New Roman" w:hAnsi="Times New Roman" w:cs="Times New Roman"/>
          <w:kern w:val="0"/>
          <w:vertAlign w:val="superscript"/>
        </w:rPr>
        <w:t>2</w:t>
      </w:r>
      <w:r w:rsidRPr="00C238FB">
        <w:rPr>
          <w:rFonts w:ascii="Times New Roman" w:eastAsia="Times New Roman" w:hAnsi="Times New Roman" w:cs="Times New Roman"/>
          <w:kern w:val="0"/>
        </w:rPr>
        <w:t>Faculty of Economics &amp; Management, Universiti</w:t>
      </w:r>
      <w:r>
        <w:rPr>
          <w:rFonts w:ascii="Times New Roman" w:eastAsia="Times New Roman" w:hAnsi="Times New Roman" w:cs="Times New Roman"/>
          <w:kern w:val="0"/>
        </w:rPr>
        <w:t xml:space="preserve"> </w:t>
      </w:r>
      <w:r w:rsidRPr="00C238FB">
        <w:rPr>
          <w:rFonts w:ascii="Times New Roman" w:eastAsia="Times New Roman" w:hAnsi="Times New Roman" w:cs="Times New Roman"/>
          <w:kern w:val="0"/>
        </w:rPr>
        <w:t xml:space="preserve">Kebangsaan Malaysia (UKM), Malaysia, </w:t>
      </w:r>
    </w:p>
    <w:p w:rsidR="001B05CE" w:rsidRPr="00C238FB" w:rsidRDefault="001B05CE" w:rsidP="001B05CE">
      <w:pPr>
        <w:widowControl w:val="0"/>
        <w:autoSpaceDE w:val="0"/>
        <w:autoSpaceDN w:val="0"/>
        <w:spacing w:after="0" w:line="240" w:lineRule="auto"/>
        <w:ind w:right="357"/>
        <w:contextualSpacing/>
        <w:jc w:val="both"/>
        <w:outlineLvl w:val="0"/>
        <w:rPr>
          <w:rFonts w:ascii="Times New Roman" w:eastAsia="Times New Roman" w:hAnsi="Times New Roman" w:cs="Times New Roman"/>
          <w:kern w:val="0"/>
        </w:rPr>
      </w:pPr>
      <w:r w:rsidRPr="00C238FB">
        <w:rPr>
          <w:rFonts w:ascii="Times New Roman" w:eastAsia="Times New Roman" w:hAnsi="Times New Roman" w:cs="Times New Roman"/>
          <w:kern w:val="0"/>
          <w:vertAlign w:val="superscript"/>
        </w:rPr>
        <w:t>3</w:t>
      </w:r>
      <w:r w:rsidRPr="00C238FB">
        <w:rPr>
          <w:rFonts w:ascii="Times New Roman" w:eastAsia="Times New Roman" w:hAnsi="Times New Roman" w:cs="Times New Roman"/>
          <w:kern w:val="0"/>
        </w:rPr>
        <w:t>Kolej Komuniti Bagan Serai, Malaysia</w:t>
      </w:r>
    </w:p>
    <w:p w:rsidR="001B05CE" w:rsidRPr="00C238FB" w:rsidRDefault="001B05CE" w:rsidP="001B05CE">
      <w:pPr>
        <w:widowControl w:val="0"/>
        <w:autoSpaceDE w:val="0"/>
        <w:autoSpaceDN w:val="0"/>
        <w:spacing w:after="0" w:line="240" w:lineRule="auto"/>
        <w:ind w:right="357"/>
        <w:contextualSpacing/>
        <w:jc w:val="both"/>
        <w:rPr>
          <w:rFonts w:ascii="Times New Roman" w:eastAsia="Times New Roman" w:hAnsi="Times New Roman" w:cs="Times New Roman"/>
          <w:kern w:val="0"/>
        </w:rPr>
      </w:pPr>
      <w:r w:rsidRPr="00C238FB">
        <w:rPr>
          <w:rFonts w:ascii="Times New Roman" w:eastAsia="Times New Roman" w:hAnsi="Times New Roman" w:cs="Times New Roman"/>
          <w:kern w:val="0"/>
          <w:vertAlign w:val="superscript"/>
        </w:rPr>
        <w:t>4</w:t>
      </w:r>
      <w:r w:rsidRPr="00C238FB">
        <w:rPr>
          <w:rFonts w:ascii="Times New Roman" w:eastAsia="Times New Roman" w:hAnsi="Times New Roman" w:cs="Times New Roman"/>
          <w:kern w:val="0"/>
        </w:rPr>
        <w:t>Faculty of Social Science &amp; Humanities, University Malaysia Sabah (UMS), Malaysia</w:t>
      </w:r>
    </w:p>
    <w:p w:rsidR="001B05CE" w:rsidRDefault="001B05CE" w:rsidP="001B05CE">
      <w:pPr>
        <w:widowControl w:val="0"/>
        <w:autoSpaceDE w:val="0"/>
        <w:autoSpaceDN w:val="0"/>
        <w:spacing w:after="0" w:line="240" w:lineRule="auto"/>
        <w:ind w:right="357"/>
        <w:contextualSpacing/>
        <w:outlineLvl w:val="0"/>
        <w:rPr>
          <w:rFonts w:ascii="Times New Roman" w:hAnsi="Times New Roman" w:cs="Times New Roman"/>
          <w:color w:val="000000" w:themeColor="text1"/>
        </w:rPr>
      </w:pPr>
      <w:r w:rsidRPr="00C238FB">
        <w:rPr>
          <w:rFonts w:ascii="Times New Roman" w:hAnsi="Times New Roman" w:cs="Times New Roman"/>
          <w:color w:val="000000" w:themeColor="text1"/>
          <w:vertAlign w:val="superscript"/>
        </w:rPr>
        <w:t>5</w:t>
      </w:r>
      <w:r w:rsidRPr="00C238FB">
        <w:rPr>
          <w:rFonts w:ascii="Times New Roman" w:hAnsi="Times New Roman" w:cs="Times New Roman"/>
          <w:color w:val="000000" w:themeColor="text1"/>
        </w:rPr>
        <w:t>Faculty of Accountancy, Universiti</w:t>
      </w:r>
      <w:r>
        <w:rPr>
          <w:rFonts w:ascii="Times New Roman" w:hAnsi="Times New Roman" w:cs="Times New Roman"/>
          <w:color w:val="000000" w:themeColor="text1"/>
        </w:rPr>
        <w:t xml:space="preserve"> </w:t>
      </w:r>
      <w:r w:rsidRPr="00C238FB">
        <w:rPr>
          <w:rFonts w:ascii="Times New Roman" w:hAnsi="Times New Roman" w:cs="Times New Roman"/>
          <w:color w:val="000000" w:themeColor="text1"/>
        </w:rPr>
        <w:t>Teknologi MARA Melaka, Malaysia</w:t>
      </w:r>
    </w:p>
    <w:p w:rsidR="001B05CE" w:rsidRPr="001A6161" w:rsidRDefault="001B05CE" w:rsidP="001B05CE">
      <w:pPr>
        <w:widowControl w:val="0"/>
        <w:autoSpaceDE w:val="0"/>
        <w:autoSpaceDN w:val="0"/>
        <w:spacing w:after="0" w:line="240" w:lineRule="auto"/>
        <w:ind w:right="357"/>
        <w:contextualSpacing/>
        <w:rPr>
          <w:rFonts w:ascii="Times New Roman" w:hAnsi="Times New Roman" w:cs="Times New Roman"/>
          <w:color w:val="000000" w:themeColor="text1"/>
          <w:lang w:val="sv-SE"/>
        </w:rPr>
      </w:pPr>
      <w:r w:rsidRPr="001A6161">
        <w:rPr>
          <w:rFonts w:ascii="Times New Roman" w:hAnsi="Times New Roman" w:cs="Times New Roman"/>
          <w:color w:val="000000" w:themeColor="text1"/>
          <w:vertAlign w:val="superscript"/>
          <w:lang w:val="sv-SE"/>
        </w:rPr>
        <w:t>6</w:t>
      </w:r>
      <w:r w:rsidRPr="001A6161">
        <w:rPr>
          <w:rFonts w:ascii="Times New Roman" w:hAnsi="Times New Roman" w:cs="Times New Roman"/>
          <w:color w:val="000000" w:themeColor="text1"/>
          <w:lang w:val="sv-SE"/>
        </w:rPr>
        <w:t>Jabatan Sejarah, Fakulti Sains Kemanusian, Universiti Pendidikan Sultan Idris, Malaysia</w:t>
      </w:r>
    </w:p>
    <w:p w:rsidR="001B05CE" w:rsidRPr="001A6161" w:rsidRDefault="001B05CE" w:rsidP="001B05CE">
      <w:pPr>
        <w:widowControl w:val="0"/>
        <w:autoSpaceDE w:val="0"/>
        <w:autoSpaceDN w:val="0"/>
        <w:spacing w:after="0" w:line="240" w:lineRule="auto"/>
        <w:ind w:right="355"/>
        <w:jc w:val="both"/>
        <w:rPr>
          <w:rFonts w:ascii="Times New Roman" w:eastAsia="Times New Roman" w:hAnsi="Times New Roman" w:cs="Times New Roman"/>
          <w:kern w:val="0"/>
          <w:lang w:val="sv-SE"/>
        </w:rPr>
      </w:pPr>
    </w:p>
    <w:p w:rsidR="001B05CE" w:rsidRPr="00C238FB" w:rsidRDefault="001B05CE" w:rsidP="001B05CE">
      <w:pPr>
        <w:spacing w:after="0" w:line="240" w:lineRule="auto"/>
        <w:ind w:right="6"/>
        <w:jc w:val="center"/>
        <w:rPr>
          <w:rFonts w:ascii="Times New Roman" w:eastAsia="Times New Roman" w:hAnsi="Times New Roman" w:cs="Times New Roman"/>
          <w:kern w:val="0"/>
          <w:lang w:eastAsia="en-MY"/>
        </w:rPr>
      </w:pPr>
      <w:r w:rsidRPr="00C238FB">
        <w:rPr>
          <w:rFonts w:ascii="Times New Roman" w:eastAsia="Times New Roman" w:hAnsi="Times New Roman" w:cs="Times New Roman"/>
          <w:kern w:val="0"/>
          <w:lang w:eastAsia="en-MY"/>
        </w:rPr>
        <w:t xml:space="preserve">*Corresponding author email: </w:t>
      </w:r>
      <w:hyperlink r:id="rId8" w:history="1">
        <w:r w:rsidRPr="00C238FB">
          <w:rPr>
            <w:rStyle w:val="Hyperlink"/>
            <w:rFonts w:ascii="Times New Roman" w:eastAsia="Times New Roman" w:hAnsi="Times New Roman" w:cs="Times New Roman"/>
            <w:color w:val="auto"/>
            <w:kern w:val="0"/>
            <w:lang w:eastAsia="en-MY"/>
          </w:rPr>
          <w:t>walirazali@yahoo.com</w:t>
        </w:r>
      </w:hyperlink>
    </w:p>
    <w:p w:rsidR="001B05CE" w:rsidRDefault="001B05CE" w:rsidP="00923091">
      <w:pPr>
        <w:spacing w:after="0" w:line="240" w:lineRule="auto"/>
        <w:ind w:left="10" w:hanging="10"/>
        <w:jc w:val="center"/>
        <w:outlineLvl w:val="0"/>
        <w:rPr>
          <w:rFonts w:ascii="Times New Roman" w:eastAsia="Times New Roman" w:hAnsi="Times New Roman" w:cs="Times New Roman"/>
          <w:b/>
          <w:kern w:val="0"/>
          <w:lang w:eastAsia="en-MY"/>
        </w:rPr>
      </w:pPr>
    </w:p>
    <w:p w:rsidR="007C2F60" w:rsidRPr="00C238FB" w:rsidRDefault="001F0751" w:rsidP="00923091">
      <w:pPr>
        <w:spacing w:after="0" w:line="240" w:lineRule="auto"/>
        <w:ind w:left="10" w:hanging="10"/>
        <w:jc w:val="center"/>
        <w:outlineLvl w:val="0"/>
        <w:rPr>
          <w:rFonts w:ascii="Times New Roman" w:eastAsia="Times New Roman" w:hAnsi="Times New Roman" w:cs="Times New Roman"/>
          <w:b/>
          <w:kern w:val="0"/>
          <w:lang w:eastAsia="en-MY"/>
        </w:rPr>
      </w:pPr>
      <w:r w:rsidRPr="00C238FB">
        <w:rPr>
          <w:rFonts w:ascii="Times New Roman" w:eastAsia="Times New Roman" w:hAnsi="Times New Roman" w:cs="Times New Roman"/>
          <w:b/>
          <w:kern w:val="0"/>
          <w:lang w:eastAsia="en-MY"/>
        </w:rPr>
        <w:t>ABSTRACT</w:t>
      </w:r>
    </w:p>
    <w:p w:rsidR="005843B3" w:rsidRPr="00C238FB" w:rsidRDefault="001F0751" w:rsidP="005843B3">
      <w:pPr>
        <w:spacing w:after="0" w:line="240" w:lineRule="auto"/>
        <w:jc w:val="both"/>
        <w:rPr>
          <w:rFonts w:ascii="Times New Roman" w:hAnsi="Times New Roman" w:cs="Times New Roman"/>
          <w:lang w:val="en-US"/>
        </w:rPr>
      </w:pPr>
      <w:r w:rsidRPr="00C238FB">
        <w:rPr>
          <w:rFonts w:ascii="Times New Roman" w:hAnsi="Times New Roman" w:cs="Times New Roman"/>
        </w:rPr>
        <w:t>The high initial costs of sustainable efforts and the challenges in assessing long-term returns make it difficult to link profitability with the Sustainable Development Goals (SDGs). This study investigates the relationship between SDGs and profitability in Malaysian listed companies. According to the Resource Dependency Theory, companies can enhance profitability and market positioning by strategically managing external dependencies to obtain resources and support, aligning with SDGs. Such alignment will help secure essential resources and improve operational efficiency. The study analyzed data from 73 Malaysian companies during 2021-2022. SDG</w:t>
      </w:r>
      <w:r w:rsidR="00EF3437" w:rsidRPr="00C238FB">
        <w:rPr>
          <w:rFonts w:ascii="Times New Roman" w:hAnsi="Times New Roman" w:cs="Times New Roman"/>
        </w:rPr>
        <w:t>s</w:t>
      </w:r>
      <w:r w:rsidRPr="00C238FB">
        <w:rPr>
          <w:rFonts w:ascii="Times New Roman" w:hAnsi="Times New Roman" w:cs="Times New Roman"/>
        </w:rPr>
        <w:t xml:space="preserve"> data were obtained from official company websites, while other variables company size, debts, liquidity, and profitability were sourced from annual reports. Regression results indicate a negative relationship between SDGs and profitability. While SDGs like environmental and social initiatives may increase costs and reduce short-term profits, they offer long-term benefits, such as improved reputation and customer loyalty. The study recommends that companies align SDGs with their core strengths and seek government support to mitigate financial burdens. Policymakers should provide incentives, such as tax breaks and subsidies, to encourage SDGs adoption. Finally, the study emphasizes the importance of balancing profitability with sustainability to ensure long-term success and societal impact.</w:t>
      </w:r>
    </w:p>
    <w:p w:rsidR="005843B3" w:rsidRPr="00C238FB" w:rsidRDefault="005843B3" w:rsidP="005843B3">
      <w:pPr>
        <w:spacing w:after="0" w:line="240" w:lineRule="auto"/>
        <w:jc w:val="both"/>
        <w:rPr>
          <w:rFonts w:ascii="Times New Roman" w:hAnsi="Times New Roman" w:cs="Times New Roman"/>
          <w:lang w:val="en-US"/>
        </w:rPr>
      </w:pPr>
    </w:p>
    <w:p w:rsidR="005843B3" w:rsidRPr="00C238FB" w:rsidRDefault="001F0751" w:rsidP="005843B3">
      <w:pPr>
        <w:spacing w:after="0" w:line="240" w:lineRule="auto"/>
        <w:jc w:val="both"/>
        <w:rPr>
          <w:rFonts w:ascii="Times New Roman" w:hAnsi="Times New Roman" w:cs="Times New Roman"/>
          <w:lang w:val="en-US"/>
        </w:rPr>
      </w:pPr>
      <w:r w:rsidRPr="00C238FB">
        <w:rPr>
          <w:rFonts w:ascii="Times New Roman" w:eastAsiaTheme="minorEastAsia" w:hAnsi="Times New Roman" w:cs="Times New Roman"/>
          <w:b/>
          <w:bCs/>
          <w:kern w:val="0"/>
          <w:lang w:eastAsia="zh-CN"/>
        </w:rPr>
        <w:t>Keywords</w:t>
      </w:r>
      <w:r w:rsidR="00140CEC" w:rsidRPr="00C238FB">
        <w:rPr>
          <w:rFonts w:ascii="Times New Roman" w:eastAsiaTheme="minorEastAsia" w:hAnsi="Times New Roman" w:cs="Times New Roman"/>
          <w:b/>
          <w:bCs/>
          <w:kern w:val="0"/>
          <w:lang w:eastAsia="zh-CN"/>
        </w:rPr>
        <w:t>:</w:t>
      </w:r>
      <w:r w:rsidR="00140CEC" w:rsidRPr="00C238FB">
        <w:rPr>
          <w:rFonts w:ascii="Times New Roman" w:eastAsiaTheme="minorEastAsia" w:hAnsi="Times New Roman" w:cs="Times New Roman"/>
          <w:kern w:val="0"/>
          <w:lang w:val="en-US" w:eastAsia="zh-CN"/>
        </w:rPr>
        <w:t xml:space="preserve"> Resource</w:t>
      </w:r>
      <w:r w:rsidRPr="00C238FB">
        <w:rPr>
          <w:rFonts w:ascii="Times New Roman" w:eastAsiaTheme="minorEastAsia" w:hAnsi="Times New Roman" w:cs="Times New Roman"/>
          <w:kern w:val="0"/>
          <w:lang w:val="en-US" w:eastAsia="zh-CN"/>
        </w:rPr>
        <w:t xml:space="preserve"> dependency theory, sustainability, Sustainable Development Goals, disclosure, performance, profit</w:t>
      </w:r>
    </w:p>
    <w:p w:rsidR="005843B3" w:rsidRPr="00C238FB" w:rsidRDefault="005843B3" w:rsidP="005843B3">
      <w:pPr>
        <w:spacing w:after="0" w:line="240" w:lineRule="auto"/>
        <w:jc w:val="both"/>
        <w:rPr>
          <w:rFonts w:ascii="Times New Roman" w:hAnsi="Times New Roman" w:cs="Times New Roman"/>
          <w:lang w:val="en-US"/>
        </w:rPr>
      </w:pPr>
    </w:p>
    <w:p w:rsidR="005843B3" w:rsidRPr="00C238FB" w:rsidRDefault="001F0751" w:rsidP="005843B3">
      <w:pPr>
        <w:pStyle w:val="ListParagraph"/>
        <w:numPr>
          <w:ilvl w:val="0"/>
          <w:numId w:val="2"/>
        </w:numPr>
        <w:spacing w:after="0" w:line="240" w:lineRule="auto"/>
        <w:jc w:val="both"/>
        <w:rPr>
          <w:rFonts w:ascii="Times New Roman" w:hAnsi="Times New Roman" w:cs="Times New Roman"/>
          <w:b/>
          <w:bCs/>
        </w:rPr>
      </w:pPr>
      <w:r w:rsidRPr="00C238FB">
        <w:rPr>
          <w:rFonts w:ascii="Times New Roman" w:hAnsi="Times New Roman" w:cs="Times New Roman"/>
          <w:b/>
          <w:bCs/>
        </w:rPr>
        <w:t>Introduction</w:t>
      </w:r>
    </w:p>
    <w:p w:rsidR="005843B3" w:rsidRPr="00C238FB" w:rsidRDefault="001F0751" w:rsidP="005843B3">
      <w:pPr>
        <w:spacing w:after="0" w:line="240" w:lineRule="auto"/>
        <w:jc w:val="both"/>
        <w:rPr>
          <w:rFonts w:ascii="Times New Roman" w:hAnsi="Times New Roman" w:cs="Times New Roman"/>
          <w:lang w:val="en-US"/>
        </w:rPr>
      </w:pPr>
      <w:r w:rsidRPr="00C238FB">
        <w:rPr>
          <w:rFonts w:ascii="Times New Roman" w:hAnsi="Times New Roman" w:cs="Times New Roman"/>
          <w:lang w:val="en-US"/>
        </w:rPr>
        <w:t xml:space="preserve">The introduction of Sustainable Development Goals (SDGs) has had a significant impact on the field of corporate responsibility and sustainability (FallahShayan et al., 2022). The SDGs, launched by the United Nations in 2015, seek to tackle worldwide issues such as poverty, inequality, climate change, environmental degradation, and justice. Companies globally have been incorporating these objectives into their corporate plans, acknowledging that sustainability may stimulate innovation, expand market opportunities, and boost reputational worth. Nevertheless, the effect of implementing </w:t>
      </w:r>
      <w:r w:rsidR="00140CEC">
        <w:rPr>
          <w:rFonts w:ascii="Times New Roman" w:hAnsi="Times New Roman" w:cs="Times New Roman"/>
          <w:lang w:val="en-US"/>
        </w:rPr>
        <w:t>SDGs</w:t>
      </w:r>
      <w:r w:rsidRPr="00C238FB">
        <w:rPr>
          <w:rFonts w:ascii="Times New Roman" w:hAnsi="Times New Roman" w:cs="Times New Roman"/>
          <w:lang w:val="en-US"/>
        </w:rPr>
        <w:t xml:space="preserve"> on company profitability is a complex matter that deserves comprehensive investigation.</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When companies commit to the </w:t>
      </w:r>
      <w:r w:rsidR="00A7693F">
        <w:rPr>
          <w:rFonts w:ascii="Times New Roman" w:hAnsi="Times New Roman" w:cs="Times New Roman"/>
          <w:lang w:val="en-US"/>
        </w:rPr>
        <w:t>SDGs</w:t>
      </w:r>
      <w:r w:rsidRPr="00C238FB">
        <w:rPr>
          <w:rFonts w:ascii="Times New Roman" w:hAnsi="Times New Roman" w:cs="Times New Roman"/>
          <w:lang w:val="en-US"/>
        </w:rPr>
        <w:t>, they begin a journey that has the potential to increase their profitability through many means (Camilleri, 2018). Companies can enhance resource efficiency by using sustainable practices. This can result in decreased expenses for energy, water, and raw materials, so directly enhancing their financial performance. Furthermore, sustainable practices frequently align with advancements in product and process technologies, leading to increased efficiency and improved quality. This, in turn, attracts a wider range of consumers who prioritize ethical and sustainable company practices.</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Nevertheless, the initial capital required for implementing sustainable technology and practices can be significant, and the profitability of this investment can differ based on the business, size, and geographic location. Companies frequently encounter difficulties in accurately measuring the financial gains of adopting SDG-related strategies, as certain benefits, including brand development and consumer loyalty, may accumulate gradually over an extended period (Zhan &amp; Santos-Paulino, 2021). Hence, although there is a considerable opportunity for enhanced profitability, </w:t>
      </w:r>
      <w:r w:rsidRPr="00C238FB">
        <w:rPr>
          <w:rFonts w:ascii="Times New Roman" w:hAnsi="Times New Roman" w:cs="Times New Roman"/>
          <w:lang w:val="en-US"/>
        </w:rPr>
        <w:lastRenderedPageBreak/>
        <w:t>achieving it necessitates a strategic approach to sustainability, wherein economic advantages are harmonized with environmental and social objectives. This alignment can provide significant benefits in recruiting investment from a growing market that values companies that effectively manage sustainability risks.</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Studies conducted on Malaysian publicly listed </w:t>
      </w:r>
      <w:r w:rsidR="009C7D2F" w:rsidRPr="00C238FB">
        <w:rPr>
          <w:rFonts w:ascii="Times New Roman" w:hAnsi="Times New Roman" w:cs="Times New Roman"/>
          <w:lang w:val="en-US"/>
        </w:rPr>
        <w:t>companies</w:t>
      </w:r>
      <w:r w:rsidRPr="00C238FB">
        <w:rPr>
          <w:rFonts w:ascii="Times New Roman" w:hAnsi="Times New Roman" w:cs="Times New Roman"/>
          <w:lang w:val="en-US"/>
        </w:rPr>
        <w:t xml:space="preserve"> (PLCs) indicate a positive inclination toward integrating SDG</w:t>
      </w:r>
      <w:r w:rsidR="00140CEC">
        <w:rPr>
          <w:rFonts w:ascii="Times New Roman" w:hAnsi="Times New Roman" w:cs="Times New Roman"/>
          <w:lang w:val="en-US"/>
        </w:rPr>
        <w:t>s</w:t>
      </w:r>
      <w:r w:rsidRPr="00C238FB">
        <w:rPr>
          <w:rFonts w:ascii="Times New Roman" w:hAnsi="Times New Roman" w:cs="Times New Roman"/>
          <w:lang w:val="en-US"/>
        </w:rPr>
        <w:t xml:space="preserve"> into their reporting systems (Hamad et al., 2023). These companies are becoming increasingly aware of the significance of sustainable measures. Malaysian PLCs show their dedication to aligning their operational plans with global sustainability goals by incorporating SDG-related information into their reports.</w:t>
      </w:r>
    </w:p>
    <w:p w:rsidR="005843B3" w:rsidRPr="00C238FB"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Malaysia's adoption of the </w:t>
      </w:r>
      <w:r w:rsidR="00A7693F">
        <w:rPr>
          <w:rFonts w:ascii="Times New Roman" w:hAnsi="Times New Roman" w:cs="Times New Roman"/>
          <w:lang w:val="en-US"/>
        </w:rPr>
        <w:t xml:space="preserve">SDGs </w:t>
      </w:r>
      <w:r w:rsidRPr="00C238FB">
        <w:rPr>
          <w:rFonts w:ascii="Times New Roman" w:hAnsi="Times New Roman" w:cs="Times New Roman"/>
          <w:lang w:val="en-US"/>
        </w:rPr>
        <w:t>not only shows a dedication to social and environmental progress but also shows how many business possibilities the SDGs create in the country (Business and Sustainable Development Commission, 2017). The Better Business, Better World report stated that Malaysian companies can reach a world market worth up to US$12 trillion by working with the SDGs. This alignment not only encourages sustainable practices, but also puts Malaysian businesses in a good position to take advantage of the growing need for solutions that address the SDGs. This will lead to new ideas, make them more competitive, and help the region's economy grow and prosper in the long run.</w:t>
      </w:r>
    </w:p>
    <w:p w:rsidR="005843B3" w:rsidRDefault="001F0751" w:rsidP="005843B3">
      <w:pPr>
        <w:spacing w:after="0" w:line="240" w:lineRule="auto"/>
        <w:ind w:firstLine="720"/>
        <w:jc w:val="both"/>
        <w:rPr>
          <w:rFonts w:ascii="Times New Roman" w:hAnsi="Times New Roman" w:cs="Times New Roman"/>
          <w:lang w:val="en-US"/>
        </w:rPr>
      </w:pPr>
      <w:r w:rsidRPr="00C238FB">
        <w:rPr>
          <w:rFonts w:ascii="Times New Roman" w:hAnsi="Times New Roman" w:cs="Times New Roman"/>
          <w:lang w:val="en-US"/>
        </w:rPr>
        <w:t xml:space="preserve">In contrast to the previous analysis conducted by Benjamin et al. (2022), this study specifically eliminates companies that do not engage in the </w:t>
      </w:r>
      <w:r w:rsidR="00140CEC">
        <w:rPr>
          <w:rFonts w:ascii="Times New Roman" w:hAnsi="Times New Roman" w:cs="Times New Roman"/>
          <w:lang w:val="en-US"/>
        </w:rPr>
        <w:t>SDGs</w:t>
      </w:r>
      <w:r w:rsidRPr="00C238FB">
        <w:rPr>
          <w:rFonts w:ascii="Times New Roman" w:hAnsi="Times New Roman" w:cs="Times New Roman"/>
          <w:lang w:val="en-US"/>
        </w:rPr>
        <w:t xml:space="preserve"> and instead focuses solely on those that do. The study attempts to measure the direct consequences and benefits of </w:t>
      </w:r>
      <w:r w:rsidR="00EF3437" w:rsidRPr="00C238FB">
        <w:rPr>
          <w:rFonts w:ascii="Times New Roman" w:hAnsi="Times New Roman" w:cs="Times New Roman"/>
          <w:lang w:val="en-US"/>
        </w:rPr>
        <w:t>Sustainable Development Goal (</w:t>
      </w:r>
      <w:r w:rsidRPr="00C238FB">
        <w:rPr>
          <w:rFonts w:ascii="Times New Roman" w:hAnsi="Times New Roman" w:cs="Times New Roman"/>
          <w:lang w:val="en-US"/>
        </w:rPr>
        <w:t>SDG</w:t>
      </w:r>
      <w:r w:rsidR="00EF3437" w:rsidRPr="00C238FB">
        <w:rPr>
          <w:rFonts w:ascii="Times New Roman" w:hAnsi="Times New Roman" w:cs="Times New Roman"/>
          <w:lang w:val="en-US"/>
        </w:rPr>
        <w:t>)</w:t>
      </w:r>
      <w:r w:rsidRPr="00C238FB">
        <w:rPr>
          <w:rFonts w:ascii="Times New Roman" w:hAnsi="Times New Roman" w:cs="Times New Roman"/>
          <w:lang w:val="en-US"/>
        </w:rPr>
        <w:t xml:space="preserve"> involvement on company practices and performance more accurately by only including companies that participate in SDG.</w:t>
      </w:r>
      <w:r w:rsidR="00664952" w:rsidRPr="00C238FB">
        <w:rPr>
          <w:rFonts w:ascii="Times New Roman" w:hAnsi="Times New Roman" w:cs="Times New Roman"/>
          <w:lang w:val="en-US"/>
        </w:rPr>
        <w:t xml:space="preserve"> This </w:t>
      </w:r>
      <w:r w:rsidRPr="00C238FB">
        <w:rPr>
          <w:rFonts w:ascii="Times New Roman" w:hAnsi="Times New Roman" w:cs="Times New Roman"/>
          <w:lang w:val="en-US"/>
        </w:rPr>
        <w:t>methodology</w:t>
      </w:r>
      <w:r w:rsidR="00664952" w:rsidRPr="00C238FB">
        <w:rPr>
          <w:rFonts w:ascii="Times New Roman" w:hAnsi="Times New Roman" w:cs="Times New Roman"/>
          <w:lang w:val="en-US"/>
        </w:rPr>
        <w:t xml:space="preserve"> ensures a clear understanding of how SDG commitments influence various aspects of a company, such as environmental sustainability, social responsibility, and economic growth, without the confounding effects that might arise from including non-participating companies. This refined focus helps in isolating the specific contributions and challenges of SDG adoption within the </w:t>
      </w:r>
      <w:r w:rsidR="00F47F16" w:rsidRPr="00C238FB">
        <w:rPr>
          <w:rFonts w:ascii="Times New Roman" w:hAnsi="Times New Roman" w:cs="Times New Roman"/>
          <w:lang w:val="en-US"/>
        </w:rPr>
        <w:t>corporate</w:t>
      </w:r>
      <w:r w:rsidR="00664952" w:rsidRPr="00C238FB">
        <w:rPr>
          <w:rFonts w:ascii="Times New Roman" w:hAnsi="Times New Roman" w:cs="Times New Roman"/>
          <w:lang w:val="en-US"/>
        </w:rPr>
        <w:t xml:space="preserve"> sector.</w:t>
      </w:r>
    </w:p>
    <w:p w:rsidR="005843B3" w:rsidRPr="00504FC4" w:rsidRDefault="00504FC4" w:rsidP="00504FC4">
      <w:pPr>
        <w:spacing w:after="0" w:line="240" w:lineRule="auto"/>
        <w:ind w:firstLine="720"/>
        <w:jc w:val="both"/>
        <w:rPr>
          <w:rFonts w:ascii="Times New Roman" w:hAnsi="Times New Roman" w:cs="Times New Roman"/>
          <w:color w:val="FF0000"/>
          <w:lang w:val="en-US"/>
        </w:rPr>
      </w:pPr>
      <w:r w:rsidRPr="00504FC4">
        <w:rPr>
          <w:rFonts w:ascii="Times New Roman" w:hAnsi="Times New Roman" w:cs="Times New Roman"/>
          <w:color w:val="FF0000"/>
          <w:lang w:val="en-US"/>
        </w:rPr>
        <w:t>Based on the above discussion, this study aims to examine the relationship between SDGs and financial profitability. It also seeks to examine the relationship between company characteristics and financial profitability.</w:t>
      </w:r>
    </w:p>
    <w:p w:rsidR="00504FC4" w:rsidRPr="00C238FB" w:rsidRDefault="00504FC4" w:rsidP="00504FC4">
      <w:pPr>
        <w:spacing w:after="0" w:line="240" w:lineRule="auto"/>
        <w:ind w:firstLine="720"/>
        <w:jc w:val="both"/>
        <w:rPr>
          <w:rFonts w:ascii="Times New Roman" w:hAnsi="Times New Roman" w:cs="Times New Roman"/>
          <w:lang w:val="en-US"/>
        </w:rPr>
      </w:pPr>
    </w:p>
    <w:p w:rsidR="005843B3" w:rsidRPr="00C238FB" w:rsidRDefault="001F0751" w:rsidP="005843B3">
      <w:pPr>
        <w:spacing w:after="0" w:line="240" w:lineRule="auto"/>
        <w:jc w:val="both"/>
        <w:rPr>
          <w:rFonts w:ascii="Times New Roman" w:hAnsi="Times New Roman" w:cs="Times New Roman"/>
          <w:b/>
          <w:bCs/>
          <w:lang w:val="en-US"/>
        </w:rPr>
      </w:pPr>
      <w:r w:rsidRPr="00C238FB">
        <w:rPr>
          <w:rFonts w:ascii="Times New Roman" w:hAnsi="Times New Roman" w:cs="Times New Roman"/>
          <w:b/>
          <w:bCs/>
          <w:lang w:val="en-US"/>
        </w:rPr>
        <w:t xml:space="preserve">2.0 </w:t>
      </w:r>
      <w:r w:rsidR="00740299" w:rsidRPr="00C238FB">
        <w:rPr>
          <w:rFonts w:ascii="Times New Roman" w:hAnsi="Times New Roman" w:cs="Times New Roman"/>
          <w:b/>
          <w:bCs/>
          <w:lang w:val="en-US"/>
        </w:rPr>
        <w:t>Literature Review</w:t>
      </w:r>
    </w:p>
    <w:p w:rsidR="005843B3" w:rsidRPr="00C238FB" w:rsidRDefault="001F0751" w:rsidP="00923091">
      <w:pPr>
        <w:spacing w:after="0" w:line="240" w:lineRule="auto"/>
        <w:jc w:val="both"/>
        <w:outlineLvl w:val="0"/>
        <w:rPr>
          <w:rFonts w:ascii="Times New Roman" w:hAnsi="Times New Roman" w:cs="Times New Roman"/>
          <w:b/>
          <w:bCs/>
        </w:rPr>
      </w:pPr>
      <w:r w:rsidRPr="00C238FB">
        <w:rPr>
          <w:rFonts w:ascii="Times New Roman" w:hAnsi="Times New Roman" w:cs="Times New Roman"/>
          <w:b/>
          <w:bCs/>
        </w:rPr>
        <w:t xml:space="preserve">2.1 </w:t>
      </w:r>
      <w:r w:rsidR="00607532" w:rsidRPr="00C238FB">
        <w:rPr>
          <w:rFonts w:ascii="Times New Roman" w:hAnsi="Times New Roman" w:cs="Times New Roman"/>
          <w:b/>
          <w:bCs/>
        </w:rPr>
        <w:t xml:space="preserve">Resource </w:t>
      </w:r>
      <w:r w:rsidR="00AD1246" w:rsidRPr="00C238FB">
        <w:rPr>
          <w:rFonts w:ascii="Times New Roman" w:hAnsi="Times New Roman" w:cs="Times New Roman"/>
          <w:b/>
          <w:bCs/>
        </w:rPr>
        <w:t>D</w:t>
      </w:r>
      <w:r w:rsidR="00607532" w:rsidRPr="00C238FB">
        <w:rPr>
          <w:rFonts w:ascii="Times New Roman" w:hAnsi="Times New Roman" w:cs="Times New Roman"/>
          <w:b/>
          <w:bCs/>
        </w:rPr>
        <w:t xml:space="preserve">ependency </w:t>
      </w:r>
      <w:r w:rsidR="00AD1246" w:rsidRPr="00C238FB">
        <w:rPr>
          <w:rFonts w:ascii="Times New Roman" w:hAnsi="Times New Roman" w:cs="Times New Roman"/>
          <w:b/>
          <w:bCs/>
        </w:rPr>
        <w:t>T</w:t>
      </w:r>
      <w:r w:rsidR="00607532" w:rsidRPr="00C238FB">
        <w:rPr>
          <w:rFonts w:ascii="Times New Roman" w:hAnsi="Times New Roman" w:cs="Times New Roman"/>
          <w:b/>
          <w:bCs/>
        </w:rPr>
        <w:t>heory</w:t>
      </w:r>
      <w:r w:rsidR="00AD1246" w:rsidRPr="00C238FB">
        <w:rPr>
          <w:rFonts w:ascii="Times New Roman" w:hAnsi="Times New Roman" w:cs="Times New Roman"/>
          <w:b/>
          <w:bCs/>
        </w:rPr>
        <w:t xml:space="preserve"> (RTD)</w:t>
      </w:r>
    </w:p>
    <w:p w:rsidR="005843B3" w:rsidRPr="00C238FB" w:rsidRDefault="001F0751" w:rsidP="005843B3">
      <w:pPr>
        <w:spacing w:after="0" w:line="240" w:lineRule="auto"/>
        <w:jc w:val="both"/>
        <w:rPr>
          <w:rFonts w:ascii="Times New Roman" w:hAnsi="Times New Roman" w:cs="Times New Roman"/>
        </w:rPr>
      </w:pPr>
      <w:r w:rsidRPr="00C238FB">
        <w:rPr>
          <w:rFonts w:ascii="Times New Roman" w:hAnsi="Times New Roman" w:cs="Times New Roman"/>
        </w:rPr>
        <w:t>Resource dependency theory is a widely recognized concept in the domains of management and economics that explains the connection between an organization and its external environment. According to this idea, the existence and profitability of enterprises rely on external resources, such as suppliers, customers, and government restrictions (Pfeffer, 1987). There has been an increasing interest in exploring how resource dependency theory might elucidate the attainment of Sustainable Development Goals (SDGs) and profitability for firms in recent years.</w:t>
      </w:r>
    </w:p>
    <w:p w:rsidR="005843B3" w:rsidRPr="00C238FB" w:rsidRDefault="001F0751" w:rsidP="005843B3">
      <w:pPr>
        <w:spacing w:after="0" w:line="240" w:lineRule="auto"/>
        <w:ind w:firstLine="720"/>
        <w:jc w:val="both"/>
        <w:rPr>
          <w:rFonts w:ascii="Times New Roman" w:hAnsi="Times New Roman" w:cs="Times New Roman"/>
        </w:rPr>
      </w:pPr>
      <w:r w:rsidRPr="00C238FB">
        <w:rPr>
          <w:rFonts w:ascii="Times New Roman" w:hAnsi="Times New Roman" w:cs="Times New Roman"/>
        </w:rPr>
        <w:t>Resource interdependence is one way that resource dependency theory explains how the SDGs are being achieved. This refers to the idea that businesses depend on outside resources to accomplish their aims and objectives (Scharlemann et al., 2020). Regarding the SDGs, businesses must cooperate and engage with other stakeholders to solve global issues and accomplish sustainable development, such as governments, NGOs, and communities. Companies can improve their capacities and more effectively support the SDGs' accomplishment by using outside resources.</w:t>
      </w:r>
    </w:p>
    <w:p w:rsidR="005843B3" w:rsidRPr="00C238FB" w:rsidRDefault="001F0751" w:rsidP="005843B3">
      <w:pPr>
        <w:spacing w:after="0" w:line="240" w:lineRule="auto"/>
        <w:ind w:firstLine="720"/>
        <w:jc w:val="both"/>
        <w:rPr>
          <w:rFonts w:ascii="Times New Roman" w:hAnsi="Times New Roman" w:cs="Times New Roman"/>
        </w:rPr>
      </w:pPr>
      <w:r w:rsidRPr="00C238FB">
        <w:rPr>
          <w:rFonts w:ascii="Times New Roman" w:hAnsi="Times New Roman" w:cs="Times New Roman"/>
        </w:rPr>
        <w:t>Resource dependency theory further emphasizes how crucial resource scarcity is to determining company behavior. Resources scarcity, such as energy and raw materials, can seriously affect the profitability of a company. Companies can lower their expenses and enhance their financial performance in the framework of the SDGs if they can efficiently manage and save resources (Scharlemann et al., 2020). This can also result in a favorable reputation and enhanced client loyalty, hence further enhancing profitability.</w:t>
      </w:r>
    </w:p>
    <w:p w:rsidR="005843B3" w:rsidRPr="00C238FB" w:rsidRDefault="001F0751" w:rsidP="005843B3">
      <w:pPr>
        <w:spacing w:after="0" w:line="240" w:lineRule="auto"/>
        <w:ind w:firstLine="720"/>
        <w:jc w:val="both"/>
        <w:rPr>
          <w:rFonts w:ascii="Times New Roman" w:hAnsi="Times New Roman" w:cs="Times New Roman"/>
        </w:rPr>
      </w:pPr>
      <w:r w:rsidRPr="00C238FB">
        <w:rPr>
          <w:rFonts w:ascii="Times New Roman" w:hAnsi="Times New Roman" w:cs="Times New Roman"/>
        </w:rPr>
        <w:t xml:space="preserve">Another crucial element of resource dependency theory is the notion of resource dependence. This pertains to the extent to which an organization depends on external resources for its operations. Within the framework of SDGs, firms that rely largely on external resources may encounter difficulties in attaining their objectives, as their accomplishments are strongly dependent on the activities of external stakeholders. Hence, it is imperative for enterprises to broaden their resource </w:t>
      </w:r>
      <w:r w:rsidRPr="00C238FB">
        <w:rPr>
          <w:rFonts w:ascii="Times New Roman" w:hAnsi="Times New Roman" w:cs="Times New Roman"/>
        </w:rPr>
        <w:lastRenderedPageBreak/>
        <w:t xml:space="preserve">portfolio and diminish their reliance on a solitary resource in order to guarantee the attainment of </w:t>
      </w:r>
      <w:r w:rsidR="00140CEC">
        <w:rPr>
          <w:rFonts w:ascii="Times New Roman" w:hAnsi="Times New Roman" w:cs="Times New Roman"/>
        </w:rPr>
        <w:t>SDGs</w:t>
      </w:r>
      <w:r w:rsidRPr="00C238FB">
        <w:rPr>
          <w:rFonts w:ascii="Times New Roman" w:hAnsi="Times New Roman" w:cs="Times New Roman"/>
        </w:rPr>
        <w:t xml:space="preserve"> and sustained profitability in the long run (FallahShayan et al., 2022).</w:t>
      </w:r>
    </w:p>
    <w:p w:rsidR="005843B3" w:rsidRPr="00C238FB" w:rsidRDefault="005843B3" w:rsidP="005843B3">
      <w:pPr>
        <w:spacing w:after="0" w:line="240" w:lineRule="auto"/>
        <w:jc w:val="both"/>
        <w:rPr>
          <w:rFonts w:ascii="Times New Roman" w:hAnsi="Times New Roman" w:cs="Times New Roman"/>
        </w:rPr>
      </w:pPr>
    </w:p>
    <w:p w:rsidR="005843B3" w:rsidRPr="00C238FB" w:rsidRDefault="001F0751" w:rsidP="00923091">
      <w:pPr>
        <w:spacing w:after="0" w:line="240" w:lineRule="auto"/>
        <w:jc w:val="both"/>
        <w:outlineLvl w:val="0"/>
        <w:rPr>
          <w:rFonts w:ascii="Times New Roman" w:hAnsi="Times New Roman" w:cs="Times New Roman"/>
          <w:b/>
          <w:bCs/>
        </w:rPr>
      </w:pPr>
      <w:r w:rsidRPr="00C238FB">
        <w:rPr>
          <w:rFonts w:ascii="Times New Roman" w:hAnsi="Times New Roman" w:cs="Times New Roman"/>
          <w:b/>
          <w:bCs/>
        </w:rPr>
        <w:t xml:space="preserve">2.2 </w:t>
      </w:r>
      <w:r w:rsidR="00A964AD" w:rsidRPr="00C238FB">
        <w:rPr>
          <w:rFonts w:ascii="Times New Roman" w:hAnsi="Times New Roman" w:cs="Times New Roman"/>
          <w:b/>
          <w:bCs/>
        </w:rPr>
        <w:t>SDGs and Profitability</w:t>
      </w:r>
    </w:p>
    <w:p w:rsidR="005E0514" w:rsidRPr="005E0514" w:rsidRDefault="005E0514" w:rsidP="005E0514">
      <w:pPr>
        <w:spacing w:after="0" w:line="240" w:lineRule="auto"/>
        <w:jc w:val="both"/>
        <w:rPr>
          <w:rFonts w:ascii="Times New Roman" w:hAnsi="Times New Roman" w:cs="Times New Roman"/>
          <w:lang w:val="en-US"/>
        </w:rPr>
      </w:pPr>
      <w:r w:rsidRPr="005E0514">
        <w:rPr>
          <w:rFonts w:ascii="Times New Roman" w:hAnsi="Times New Roman" w:cs="Times New Roman"/>
          <w:lang w:val="en-US"/>
        </w:rPr>
        <w:t>Under Resource Dependency Theory (RDT), organizations strive to manage their dependence on critical external resources to enhance survival and performance. In this context, the integration of Sustainable Development Goals (SDGs) offers several avenues through which companies can increase profitability by strategically securing vital resources and strengthening stakeholder relationships.</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First, Khaled, Ali, and Mohamed (2021), in the Journal of Cleaner Production, emphasize that firms aligning sustainability practices with SDGs are better positioned to optimize resource use. For example, companies prioritizing SDG 6 (clean water and sanitation) often invest in innovative water conservation technologies. These initiatives not only contribute to global water sustainability but also mitigate operational disruptions stemming from water scarcity. Similarly, alignment with SDG 7 (affordable and clean energy) encourages investment in renewable energy, reducing dependence on volatile fossil fuel markets and shielding firms from regulatory risks related to carbon emissions. These actions reflect a strategic response to</w:t>
      </w:r>
      <w:r w:rsidR="00AD26F6">
        <w:rPr>
          <w:rFonts w:ascii="Times New Roman" w:hAnsi="Times New Roman" w:cs="Times New Roman"/>
          <w:lang w:val="en-US"/>
        </w:rPr>
        <w:t xml:space="preserve"> external resource dependencies central to RDT </w:t>
      </w:r>
      <w:r w:rsidRPr="005E0514">
        <w:rPr>
          <w:rFonts w:ascii="Times New Roman" w:hAnsi="Times New Roman" w:cs="Times New Roman"/>
          <w:lang w:val="en-US"/>
        </w:rPr>
        <w:t>by securing essential inputs like water and energy for long-term operational resilience.</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Second, adopting SDGs enhances a company’s relationship with key stakeholders by projecting commitment to global sustainability goals. This fosters reputational capital and strengthens a firm’s social license to operate, crucial for accessing political, social, and economic resources. As Murphy and Stott (2021) suggest, publicly committing to SDGs signals transparency and accountability, traits valued by governments, communities, suppliers, and customers. Aligning with sustainability goals builds stakeholder trust, facilitates smoother regulatory interactions, and attracts ethically-minded consumers. From an RDT perspective, these strengthened relationships represent strategic adaptations to external forces, allowing firms to reduce uncertainty and dependency on volatile stakeholder expectations.</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Third, incorporating SDG 12 (responsible consumption and production) into business strategy enhances supply chain sustainability and adaptability. According to Jevremović (2022), viewing value chains through the SDG 12 lens helps companies identify vulnerabilities tied to resource scarcity and geopolitical instability. By conducting thorough assessments and collaborating with suppliers to improve transparency, firms not only fulfill sustainability mandates but also establish resilient, resource-secure networks. This directly supports RDT’s assertion that firms must manage interdependencies within their operating environment to maintain continuity and competitiveness.</w:t>
      </w:r>
    </w:p>
    <w:p w:rsidR="005E0514" w:rsidRP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Fourth, integrating SDGs attracts socially responsible investors who prioritize long-term value and ethical governance. Paetzold, Busch, and Utz (2022) find that firms aligning with specific SDGs are more likely to secure capital from investors focused on proactive risk management and sustainability. This alignment signals that a firm is adept at navigating emerging regulatory landscapes and social expectations. In line with RDT, companies gain access to financial resources by demonstrating strategic foresight and responsiveness to external stakeholder demands.</w:t>
      </w:r>
    </w:p>
    <w:p w:rsid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Finally, firms that embed SDG 9 (industry, innovation, and infrastructure) into their operations gain a competitive edge through sustainable innovation. The United Nations ESCAP (2023) highl</w:t>
      </w:r>
      <w:r w:rsidR="00AD26F6">
        <w:rPr>
          <w:rFonts w:ascii="Times New Roman" w:hAnsi="Times New Roman" w:cs="Times New Roman"/>
          <w:lang w:val="en-US"/>
        </w:rPr>
        <w:t xml:space="preserve">ights that digital advancements </w:t>
      </w:r>
      <w:r w:rsidRPr="005E0514">
        <w:rPr>
          <w:rFonts w:ascii="Times New Roman" w:hAnsi="Times New Roman" w:cs="Times New Roman"/>
          <w:lang w:val="en-US"/>
        </w:rPr>
        <w:t>such as AI-</w:t>
      </w:r>
      <w:r w:rsidR="00AD26F6">
        <w:rPr>
          <w:rFonts w:ascii="Times New Roman" w:hAnsi="Times New Roman" w:cs="Times New Roman"/>
          <w:lang w:val="en-US"/>
        </w:rPr>
        <w:t>driven analytics and blockchain</w:t>
      </w:r>
      <w:r w:rsidRPr="005E0514">
        <w:rPr>
          <w:rFonts w:ascii="Times New Roman" w:hAnsi="Times New Roman" w:cs="Times New Roman"/>
          <w:lang w:val="en-US"/>
        </w:rPr>
        <w:t>are reshaping value creation. These technologies not only improve efficiency but also align with consumer preferences for transparency and environmental responsibility. From an RDT viewpoint, such innovations reduce dependency on outdated systems and position firms to thrive in dynamic, resource-constrained environments. By offering differentiated, sustainability-oriented products and services, companies strengthen their market position and mitigate external pressures.</w:t>
      </w:r>
    </w:p>
    <w:p w:rsidR="005E0514" w:rsidRDefault="005E0514" w:rsidP="005E0514">
      <w:pPr>
        <w:spacing w:after="0" w:line="240" w:lineRule="auto"/>
        <w:ind w:firstLine="720"/>
        <w:jc w:val="both"/>
        <w:rPr>
          <w:rFonts w:ascii="Times New Roman" w:hAnsi="Times New Roman" w:cs="Times New Roman"/>
          <w:lang w:val="en-US"/>
        </w:rPr>
      </w:pPr>
      <w:r w:rsidRPr="005E0514">
        <w:rPr>
          <w:rFonts w:ascii="Times New Roman" w:hAnsi="Times New Roman" w:cs="Times New Roman"/>
          <w:lang w:val="en-US"/>
        </w:rPr>
        <w:t xml:space="preserve">There are inconclusive findings regarding the relationship between the Sustainable Development Goals (SDGs) and corporate profitability. While studies by Buniamin et al. (2022), Ozili (2023), and Bose et al. (2024) reported a positive relationship between SDG implementation and profitability, Khan et al. (2022) found a negative relationship. Several factors may explain why the alignment with SDGs does not always translate into immediate financial </w:t>
      </w:r>
      <w:r w:rsidR="00AD26F6" w:rsidRPr="005E0514">
        <w:rPr>
          <w:rFonts w:ascii="Times New Roman" w:hAnsi="Times New Roman" w:cs="Times New Roman"/>
          <w:lang w:val="en-US"/>
        </w:rPr>
        <w:t>gains. First</w:t>
      </w:r>
      <w:r w:rsidRPr="005E0514">
        <w:rPr>
          <w:rFonts w:ascii="Times New Roman" w:hAnsi="Times New Roman" w:cs="Times New Roman"/>
          <w:lang w:val="en-US"/>
        </w:rPr>
        <w:t>, initiating SDG-related projects often requires significant upfront investment, and the financial returns may take time to materialize. Second, prioritizing the interests of multiple stakeholders can lead companies to sacrifice short-term profits in favor of long-term social and environmental goals. Third, integrating the</w:t>
      </w:r>
      <w:r w:rsidR="00AD26F6">
        <w:rPr>
          <w:rFonts w:ascii="Times New Roman" w:hAnsi="Times New Roman" w:cs="Times New Roman"/>
          <w:lang w:val="en-US"/>
        </w:rPr>
        <w:t xml:space="preserve"> </w:t>
      </w:r>
      <w:r w:rsidR="00AD26F6">
        <w:rPr>
          <w:rFonts w:ascii="Times New Roman" w:hAnsi="Times New Roman" w:cs="Times New Roman"/>
          <w:lang w:val="en-US"/>
        </w:rPr>
        <w:lastRenderedPageBreak/>
        <w:t>social dimensions of the SDGs s</w:t>
      </w:r>
      <w:r w:rsidRPr="005E0514">
        <w:rPr>
          <w:rFonts w:ascii="Times New Roman" w:hAnsi="Times New Roman" w:cs="Times New Roman"/>
          <w:lang w:val="en-US"/>
        </w:rPr>
        <w:t>uch as reducing inequalit</w:t>
      </w:r>
      <w:r w:rsidR="00AD26F6">
        <w:rPr>
          <w:rFonts w:ascii="Times New Roman" w:hAnsi="Times New Roman" w:cs="Times New Roman"/>
          <w:lang w:val="en-US"/>
        </w:rPr>
        <w:t xml:space="preserve">y or ensuring quality education </w:t>
      </w:r>
      <w:r w:rsidRPr="005E0514">
        <w:rPr>
          <w:rFonts w:ascii="Times New Roman" w:hAnsi="Times New Roman" w:cs="Times New Roman"/>
          <w:lang w:val="en-US"/>
        </w:rPr>
        <w:t>into daily business operations can be complex and may not yield direct financial benefits in the short run.</w:t>
      </w:r>
    </w:p>
    <w:p w:rsidR="00AD26F6" w:rsidRDefault="00AD26F6" w:rsidP="005E0514">
      <w:pPr>
        <w:spacing w:after="0" w:line="240" w:lineRule="auto"/>
        <w:ind w:firstLine="720"/>
        <w:jc w:val="both"/>
        <w:rPr>
          <w:rFonts w:ascii="Times New Roman" w:hAnsi="Times New Roman" w:cs="Times New Roman"/>
          <w:lang w:val="en-US"/>
        </w:rPr>
      </w:pPr>
    </w:p>
    <w:p w:rsidR="000659D6" w:rsidRPr="00C238FB" w:rsidRDefault="001F0751" w:rsidP="005843B3">
      <w:pPr>
        <w:widowControl w:val="0"/>
        <w:autoSpaceDE w:val="0"/>
        <w:autoSpaceDN w:val="0"/>
        <w:spacing w:after="0" w:line="240" w:lineRule="auto"/>
        <w:ind w:right="355"/>
        <w:rPr>
          <w:rFonts w:ascii="Times New Roman" w:hAnsi="Times New Roman" w:cs="Times New Roman"/>
          <w:b/>
        </w:rPr>
      </w:pPr>
      <w:r w:rsidRPr="00C238FB">
        <w:rPr>
          <w:rFonts w:ascii="Times New Roman" w:hAnsi="Times New Roman" w:cs="Times New Roman"/>
          <w:b/>
        </w:rPr>
        <w:t xml:space="preserve">3.0 Methodology </w:t>
      </w:r>
    </w:p>
    <w:p w:rsidR="00F11E11"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bCs/>
        </w:rPr>
      </w:pPr>
      <w:r w:rsidRPr="00C238FB">
        <w:rPr>
          <w:rFonts w:ascii="Times New Roman" w:hAnsi="Times New Roman" w:cs="Times New Roman"/>
          <w:b/>
          <w:bCs/>
        </w:rPr>
        <w:t>3.1 Sample Description and Data Collection</w:t>
      </w:r>
    </w:p>
    <w:p w:rsidR="00A939BA" w:rsidRPr="00C238FB" w:rsidRDefault="00504FC4" w:rsidP="005843B3">
      <w:pPr>
        <w:spacing w:after="0" w:line="240" w:lineRule="auto"/>
        <w:jc w:val="both"/>
        <w:rPr>
          <w:rFonts w:ascii="Times New Roman" w:eastAsia="Times New Roman" w:hAnsi="Times New Roman" w:cs="Times New Roman"/>
          <w:kern w:val="0"/>
          <w:lang w:val="en-US"/>
        </w:rPr>
      </w:pPr>
      <w:r w:rsidRPr="00504FC4">
        <w:rPr>
          <w:rFonts w:ascii="Times New Roman" w:eastAsia="Times New Roman" w:hAnsi="Times New Roman" w:cs="Times New Roman"/>
          <w:color w:val="FF0000"/>
          <w:kern w:val="0"/>
          <w:lang w:val="en-US"/>
        </w:rPr>
        <w:t>The total number of companies listed on Bursa Malaysia is 787. However, after examining all the companies through online sources, approximately 100 companies were found to practice SDGs reporting. Therefore, the initial sample for this study consisted of 100 companies across various industries over a two-year period from 2020 to 2021, as illustrated in Table 1</w:t>
      </w:r>
      <w:r w:rsidRPr="00504FC4">
        <w:rPr>
          <w:rFonts w:ascii="Times New Roman" w:eastAsia="Times New Roman" w:hAnsi="Times New Roman" w:cs="Times New Roman"/>
          <w:kern w:val="0"/>
          <w:lang w:val="en-US"/>
        </w:rPr>
        <w:t>.</w:t>
      </w:r>
      <w:r w:rsidR="001F0751" w:rsidRPr="00C238FB">
        <w:rPr>
          <w:rFonts w:ascii="Times New Roman" w:eastAsia="Times New Roman" w:hAnsi="Times New Roman" w:cs="Times New Roman"/>
          <w:kern w:val="0"/>
          <w:lang w:val="en-US"/>
        </w:rPr>
        <w:t xml:space="preserve"> Nevertheless, 27 Malaysian companies were excluded from this research due to data </w:t>
      </w:r>
      <w:r w:rsidR="00890CB6" w:rsidRPr="00C238FB">
        <w:rPr>
          <w:rFonts w:ascii="Times New Roman" w:eastAsia="Times New Roman" w:hAnsi="Times New Roman" w:cs="Times New Roman"/>
          <w:kern w:val="0"/>
          <w:lang w:val="en-US"/>
        </w:rPr>
        <w:t>unavailability.</w:t>
      </w:r>
      <w:r w:rsidR="00890CB6" w:rsidRPr="005E0514">
        <w:rPr>
          <w:rFonts w:ascii="Times New Roman" w:eastAsia="Times New Roman" w:hAnsi="Times New Roman" w:cs="Times New Roman"/>
          <w:kern w:val="0"/>
          <w:lang w:val="en-US"/>
        </w:rPr>
        <w:t xml:space="preserve"> Some</w:t>
      </w:r>
      <w:bookmarkStart w:id="0" w:name="_GoBack"/>
      <w:bookmarkEnd w:id="0"/>
      <w:r w:rsidR="005E0514" w:rsidRPr="005E0514">
        <w:rPr>
          <w:rFonts w:ascii="Times New Roman" w:eastAsia="Times New Roman" w:hAnsi="Times New Roman" w:cs="Times New Roman"/>
          <w:kern w:val="0"/>
          <w:lang w:val="en-US"/>
        </w:rPr>
        <w:t xml:space="preserve"> of the financial data are not </w:t>
      </w:r>
      <w:r w:rsidR="00C824FC">
        <w:rPr>
          <w:rFonts w:ascii="Times New Roman" w:eastAsia="Times New Roman" w:hAnsi="Times New Roman" w:cs="Times New Roman"/>
          <w:kern w:val="0"/>
          <w:lang w:val="en-US"/>
        </w:rPr>
        <w:t>available in the Eikon database</w:t>
      </w:r>
      <w:r w:rsidR="005E0514" w:rsidRPr="005E0514">
        <w:rPr>
          <w:rFonts w:ascii="Times New Roman" w:eastAsia="Times New Roman" w:hAnsi="Times New Roman" w:cs="Times New Roman"/>
          <w:kern w:val="0"/>
          <w:lang w:val="en-US"/>
        </w:rPr>
        <w:t xml:space="preserve"> and negative profit values cannot b</w:t>
      </w:r>
      <w:r w:rsidR="005E0514">
        <w:rPr>
          <w:rFonts w:ascii="Times New Roman" w:eastAsia="Times New Roman" w:hAnsi="Times New Roman" w:cs="Times New Roman"/>
          <w:kern w:val="0"/>
          <w:lang w:val="en-US"/>
        </w:rPr>
        <w:t xml:space="preserve">e transformed using log base 10. </w:t>
      </w:r>
      <w:r w:rsidR="00172AEB" w:rsidRPr="00172AEB">
        <w:rPr>
          <w:rFonts w:ascii="Times New Roman" w:eastAsia="Times New Roman" w:hAnsi="Times New Roman" w:cs="Times New Roman"/>
          <w:kern w:val="0"/>
          <w:lang w:val="en-US"/>
        </w:rPr>
        <w:t xml:space="preserve">Financial data such as profit and total asset values need to be transformed to normalize the data and reduce the impact of extreme values, making statistical analysis more reliable and interpretable. </w:t>
      </w:r>
      <w:r w:rsidR="001F0751" w:rsidRPr="00C238FB">
        <w:rPr>
          <w:rFonts w:ascii="Times New Roman" w:eastAsia="Times New Roman" w:hAnsi="Times New Roman" w:cs="Times New Roman"/>
          <w:kern w:val="0"/>
          <w:lang w:val="en-US"/>
        </w:rPr>
        <w:t>The final sample consists of 73 companies with sufficient and comprehensive data required for this investigation. Keller and Warrack (2005) assert that a sample is considered representative of the population if it includes a minimum of 30 companies. The financial data is sourced from Eikon, whilst the non-financial data, particularly the SDG data, is acquired from the official website of each company.</w:t>
      </w:r>
    </w:p>
    <w:p w:rsidR="00E31C9C" w:rsidRPr="00C238FB" w:rsidRDefault="00E31C9C" w:rsidP="005843B3">
      <w:pPr>
        <w:widowControl w:val="0"/>
        <w:autoSpaceDE w:val="0"/>
        <w:autoSpaceDN w:val="0"/>
        <w:spacing w:after="0" w:line="240" w:lineRule="auto"/>
        <w:ind w:right="355"/>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927"/>
      </w:tblGrid>
      <w:tr w:rsidR="00DE5FD9" w:rsidTr="008F4209">
        <w:trPr>
          <w:trHeight w:val="43"/>
          <w:jc w:val="center"/>
        </w:trPr>
        <w:tc>
          <w:tcPr>
            <w:tcW w:w="4106" w:type="dxa"/>
            <w:tcBorders>
              <w:top w:val="single" w:sz="4" w:space="0" w:color="auto"/>
              <w:bottom w:val="single" w:sz="4" w:space="0" w:color="auto"/>
            </w:tcBorders>
            <w:hideMark/>
          </w:tcPr>
          <w:p w:rsidR="00E31C9C" w:rsidRPr="00C238FB" w:rsidRDefault="001F0751" w:rsidP="005843B3">
            <w:pPr>
              <w:widowControl w:val="0"/>
              <w:autoSpaceDE w:val="0"/>
              <w:autoSpaceDN w:val="0"/>
              <w:ind w:right="355"/>
              <w:jc w:val="both"/>
              <w:rPr>
                <w:rFonts w:ascii="Times New Roman" w:hAnsi="Times New Roman" w:cs="Times New Roman"/>
                <w:bCs/>
                <w:shd w:val="clear" w:color="auto" w:fill="FFFFFF"/>
              </w:rPr>
            </w:pPr>
            <w:r w:rsidRPr="00C238FB">
              <w:rPr>
                <w:rFonts w:ascii="Times New Roman" w:hAnsi="Times New Roman" w:cs="Times New Roman"/>
                <w:bCs/>
                <w:shd w:val="clear" w:color="auto" w:fill="FFFFFF"/>
                <w:lang w:val="en-US"/>
              </w:rPr>
              <w:t>Description</w:t>
            </w:r>
          </w:p>
        </w:tc>
        <w:tc>
          <w:tcPr>
            <w:tcW w:w="2927" w:type="dxa"/>
            <w:tcBorders>
              <w:top w:val="single" w:sz="4" w:space="0" w:color="auto"/>
              <w:bottom w:val="single" w:sz="4" w:space="0" w:color="auto"/>
            </w:tcBorders>
            <w:hideMark/>
          </w:tcPr>
          <w:p w:rsidR="00E31C9C" w:rsidRPr="00C238FB" w:rsidRDefault="001F0751" w:rsidP="005843B3">
            <w:pPr>
              <w:widowControl w:val="0"/>
              <w:autoSpaceDE w:val="0"/>
              <w:autoSpaceDN w:val="0"/>
              <w:ind w:right="355"/>
              <w:jc w:val="center"/>
              <w:rPr>
                <w:rFonts w:ascii="Times New Roman" w:hAnsi="Times New Roman" w:cs="Times New Roman"/>
                <w:bCs/>
                <w:shd w:val="clear" w:color="auto" w:fill="FFFFFF"/>
              </w:rPr>
            </w:pPr>
            <w:r w:rsidRPr="00C238FB">
              <w:rPr>
                <w:rFonts w:ascii="Times New Roman" w:hAnsi="Times New Roman" w:cs="Times New Roman"/>
                <w:bCs/>
                <w:shd w:val="clear" w:color="auto" w:fill="FFFFFF"/>
                <w:lang w:val="en-US"/>
              </w:rPr>
              <w:t>Number of companies</w:t>
            </w:r>
          </w:p>
        </w:tc>
      </w:tr>
      <w:tr w:rsidR="00DE5FD9" w:rsidTr="008F4209">
        <w:trPr>
          <w:trHeight w:val="43"/>
          <w:jc w:val="center"/>
        </w:trPr>
        <w:tc>
          <w:tcPr>
            <w:tcW w:w="4106" w:type="dxa"/>
            <w:tcBorders>
              <w:top w:val="single" w:sz="4" w:space="0" w:color="auto"/>
            </w:tcBorders>
            <w:hideMark/>
          </w:tcPr>
          <w:p w:rsidR="00E31C9C" w:rsidRPr="00C238FB" w:rsidRDefault="001F0751" w:rsidP="005843B3">
            <w:pPr>
              <w:widowControl w:val="0"/>
              <w:autoSpaceDE w:val="0"/>
              <w:autoSpaceDN w:val="0"/>
              <w:ind w:right="355"/>
              <w:jc w:val="both"/>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The original sample</w:t>
            </w:r>
          </w:p>
        </w:tc>
        <w:tc>
          <w:tcPr>
            <w:tcW w:w="2927" w:type="dxa"/>
            <w:tcBorders>
              <w:top w:val="single" w:sz="4" w:space="0" w:color="auto"/>
            </w:tcBorders>
            <w:hideMark/>
          </w:tcPr>
          <w:p w:rsidR="00E31C9C" w:rsidRPr="00C238FB" w:rsidRDefault="001F0751" w:rsidP="005843B3">
            <w:pPr>
              <w:widowControl w:val="0"/>
              <w:autoSpaceDE w:val="0"/>
              <w:autoSpaceDN w:val="0"/>
              <w:ind w:right="355"/>
              <w:jc w:val="center"/>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100</w:t>
            </w:r>
          </w:p>
        </w:tc>
      </w:tr>
      <w:tr w:rsidR="00DE5FD9" w:rsidTr="008F4209">
        <w:trPr>
          <w:trHeight w:val="43"/>
          <w:jc w:val="center"/>
        </w:trPr>
        <w:tc>
          <w:tcPr>
            <w:tcW w:w="4106" w:type="dxa"/>
            <w:hideMark/>
          </w:tcPr>
          <w:p w:rsidR="00E31C9C" w:rsidRPr="00C238FB" w:rsidRDefault="001F0751" w:rsidP="005843B3">
            <w:pPr>
              <w:widowControl w:val="0"/>
              <w:autoSpaceDE w:val="0"/>
              <w:autoSpaceDN w:val="0"/>
              <w:ind w:right="355"/>
              <w:jc w:val="both"/>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Minus: Unavailability of data</w:t>
            </w:r>
          </w:p>
        </w:tc>
        <w:tc>
          <w:tcPr>
            <w:tcW w:w="2927" w:type="dxa"/>
            <w:hideMark/>
          </w:tcPr>
          <w:p w:rsidR="00E31C9C" w:rsidRPr="00C238FB" w:rsidRDefault="001F0751" w:rsidP="005843B3">
            <w:pPr>
              <w:widowControl w:val="0"/>
              <w:autoSpaceDE w:val="0"/>
              <w:autoSpaceDN w:val="0"/>
              <w:ind w:right="355"/>
              <w:jc w:val="center"/>
              <w:rPr>
                <w:rFonts w:ascii="Times New Roman" w:hAnsi="Times New Roman" w:cs="Times New Roman"/>
                <w:u w:val="single"/>
                <w:shd w:val="clear" w:color="auto" w:fill="FFFFFF"/>
              </w:rPr>
            </w:pPr>
            <w:r w:rsidRPr="00C238FB">
              <w:rPr>
                <w:rFonts w:ascii="Times New Roman" w:hAnsi="Times New Roman" w:cs="Times New Roman"/>
                <w:u w:val="single"/>
                <w:shd w:val="clear" w:color="auto" w:fill="FFFFFF"/>
                <w:lang w:val="en-US"/>
              </w:rPr>
              <w:t>(2</w:t>
            </w:r>
            <w:r w:rsidR="004B510E" w:rsidRPr="00C238FB">
              <w:rPr>
                <w:rFonts w:ascii="Times New Roman" w:hAnsi="Times New Roman" w:cs="Times New Roman"/>
                <w:u w:val="single"/>
                <w:shd w:val="clear" w:color="auto" w:fill="FFFFFF"/>
                <w:lang w:val="en-US"/>
              </w:rPr>
              <w:t>7</w:t>
            </w:r>
            <w:r w:rsidRPr="00C238FB">
              <w:rPr>
                <w:rFonts w:ascii="Times New Roman" w:hAnsi="Times New Roman" w:cs="Times New Roman"/>
                <w:u w:val="single"/>
                <w:shd w:val="clear" w:color="auto" w:fill="FFFFFF"/>
                <w:lang w:val="en-US"/>
              </w:rPr>
              <w:t>)</w:t>
            </w:r>
          </w:p>
        </w:tc>
      </w:tr>
      <w:tr w:rsidR="00DE5FD9" w:rsidTr="008F4209">
        <w:trPr>
          <w:trHeight w:val="43"/>
          <w:jc w:val="center"/>
        </w:trPr>
        <w:tc>
          <w:tcPr>
            <w:tcW w:w="4106" w:type="dxa"/>
            <w:tcBorders>
              <w:bottom w:val="single" w:sz="4" w:space="0" w:color="auto"/>
            </w:tcBorders>
            <w:hideMark/>
          </w:tcPr>
          <w:p w:rsidR="00E31C9C" w:rsidRPr="00C238FB" w:rsidRDefault="001F0751" w:rsidP="005843B3">
            <w:pPr>
              <w:widowControl w:val="0"/>
              <w:autoSpaceDE w:val="0"/>
              <w:autoSpaceDN w:val="0"/>
              <w:ind w:right="355"/>
              <w:jc w:val="both"/>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Final Sample</w:t>
            </w:r>
          </w:p>
        </w:tc>
        <w:tc>
          <w:tcPr>
            <w:tcW w:w="2927" w:type="dxa"/>
            <w:tcBorders>
              <w:bottom w:val="single" w:sz="4" w:space="0" w:color="auto"/>
            </w:tcBorders>
            <w:hideMark/>
          </w:tcPr>
          <w:p w:rsidR="00E31C9C" w:rsidRPr="00C238FB" w:rsidRDefault="001F0751" w:rsidP="005843B3">
            <w:pPr>
              <w:widowControl w:val="0"/>
              <w:autoSpaceDE w:val="0"/>
              <w:autoSpaceDN w:val="0"/>
              <w:ind w:right="355"/>
              <w:jc w:val="center"/>
              <w:rPr>
                <w:rFonts w:ascii="Times New Roman" w:hAnsi="Times New Roman" w:cs="Times New Roman"/>
                <w:shd w:val="clear" w:color="auto" w:fill="FFFFFF"/>
              </w:rPr>
            </w:pPr>
            <w:r w:rsidRPr="00C238FB">
              <w:rPr>
                <w:rFonts w:ascii="Times New Roman" w:hAnsi="Times New Roman" w:cs="Times New Roman"/>
                <w:shd w:val="clear" w:color="auto" w:fill="FFFFFF"/>
                <w:lang w:val="en-US"/>
              </w:rPr>
              <w:t>7</w:t>
            </w:r>
            <w:r w:rsidR="004B510E" w:rsidRPr="00C238FB">
              <w:rPr>
                <w:rFonts w:ascii="Times New Roman" w:hAnsi="Times New Roman" w:cs="Times New Roman"/>
                <w:shd w:val="clear" w:color="auto" w:fill="FFFFFF"/>
                <w:lang w:val="en-US"/>
              </w:rPr>
              <w:t>3</w:t>
            </w:r>
          </w:p>
        </w:tc>
      </w:tr>
    </w:tbl>
    <w:p w:rsidR="00A939BA" w:rsidRPr="00C238FB" w:rsidRDefault="001F0751" w:rsidP="005843B3">
      <w:pPr>
        <w:spacing w:after="0" w:line="240" w:lineRule="auto"/>
        <w:jc w:val="center"/>
        <w:rPr>
          <w:rFonts w:ascii="Times New Roman" w:hAnsi="Times New Roman" w:cs="Times New Roman"/>
          <w:bCs/>
        </w:rPr>
      </w:pPr>
      <w:r w:rsidRPr="00C238FB">
        <w:rPr>
          <w:rFonts w:ascii="Times New Roman" w:hAnsi="Times New Roman" w:cs="Times New Roman"/>
        </w:rPr>
        <w:t xml:space="preserve">Table 1: </w:t>
      </w:r>
      <w:r w:rsidRPr="00C238FB">
        <w:rPr>
          <w:rFonts w:ascii="Times New Roman" w:hAnsi="Times New Roman" w:cs="Times New Roman"/>
          <w:bCs/>
        </w:rPr>
        <w:t>Summary of sample</w:t>
      </w:r>
    </w:p>
    <w:p w:rsidR="00F97965" w:rsidRPr="00C238FB" w:rsidRDefault="00F97965" w:rsidP="005843B3">
      <w:pPr>
        <w:widowControl w:val="0"/>
        <w:autoSpaceDE w:val="0"/>
        <w:autoSpaceDN w:val="0"/>
        <w:spacing w:after="0" w:line="240" w:lineRule="auto"/>
        <w:ind w:right="355"/>
        <w:jc w:val="both"/>
        <w:rPr>
          <w:rFonts w:ascii="Times New Roman" w:hAnsi="Times New Roman" w:cs="Times New Roman"/>
        </w:rPr>
      </w:pP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w:t>
      </w:r>
      <w:r w:rsidR="000659D6" w:rsidRPr="00C238FB">
        <w:rPr>
          <w:rFonts w:ascii="Times New Roman" w:eastAsia="Times New Roman" w:hAnsi="Times New Roman" w:cs="Times New Roman"/>
          <w:b/>
          <w:bCs/>
          <w:kern w:val="0"/>
          <w:shd w:val="clear" w:color="auto" w:fill="FFFFFF"/>
          <w:lang w:val="en-US"/>
        </w:rPr>
        <w:t>2</w:t>
      </w:r>
      <w:r w:rsidRPr="00C238FB">
        <w:rPr>
          <w:rFonts w:ascii="Times New Roman" w:eastAsia="Times New Roman" w:hAnsi="Times New Roman" w:cs="Times New Roman"/>
          <w:b/>
          <w:bCs/>
          <w:kern w:val="0"/>
          <w:shd w:val="clear" w:color="auto" w:fill="FFFFFF"/>
          <w:lang w:val="en-US"/>
        </w:rPr>
        <w:t xml:space="preserve"> Regression model</w:t>
      </w:r>
    </w:p>
    <w:p w:rsidR="00A939BA"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Regression </w:t>
      </w:r>
      <w:r w:rsidR="00851558" w:rsidRPr="00C238FB">
        <w:rPr>
          <w:rFonts w:ascii="Times New Roman" w:eastAsia="Times New Roman" w:hAnsi="Times New Roman" w:cs="Times New Roman"/>
          <w:kern w:val="0"/>
          <w:lang w:val="en-US"/>
        </w:rPr>
        <w:t>modeling</w:t>
      </w:r>
      <w:r w:rsidRPr="00C238FB">
        <w:rPr>
          <w:rFonts w:ascii="Times New Roman" w:eastAsia="Times New Roman" w:hAnsi="Times New Roman" w:cs="Times New Roman"/>
          <w:kern w:val="0"/>
          <w:lang w:val="en-US"/>
        </w:rPr>
        <w:t xml:space="preserve"> is a statistical technique employed to illustrate the relationship between a dependent variable and one or more independent variables mathematically. The primary objective of this method is to forecast the value of the dependent variable using the values of the independent variables. The following is a summary of the regression models </w:t>
      </w:r>
      <w:r w:rsidR="00FD5754" w:rsidRPr="00C238FB">
        <w:rPr>
          <w:rFonts w:ascii="Times New Roman" w:eastAsia="Times New Roman" w:hAnsi="Times New Roman" w:cs="Times New Roman"/>
          <w:kern w:val="0"/>
          <w:lang w:val="en-US"/>
        </w:rPr>
        <w:t>utilized</w:t>
      </w:r>
      <w:r w:rsidRPr="00C238FB">
        <w:rPr>
          <w:rFonts w:ascii="Times New Roman" w:eastAsia="Times New Roman" w:hAnsi="Times New Roman" w:cs="Times New Roman"/>
          <w:kern w:val="0"/>
          <w:lang w:val="en-US"/>
        </w:rPr>
        <w:t xml:space="preserve"> in this study: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4"/>
        <w:gridCol w:w="5552"/>
      </w:tblGrid>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Profitability</w:t>
            </w:r>
            <w:r w:rsidRPr="00C238FB">
              <w:rPr>
                <w:rFonts w:ascii="Times New Roman" w:eastAsia="Times New Roman" w:hAnsi="Times New Roman" w:cs="Times New Roman"/>
                <w:shd w:val="clear" w:color="auto" w:fill="FFFFFF"/>
                <w:vertAlign w:val="subscript"/>
              </w:rPr>
              <w:t>it</w:t>
            </w:r>
          </w:p>
        </w:tc>
        <w:tc>
          <w:tcPr>
            <w:tcW w:w="424" w:type="dxa"/>
          </w:tcPr>
          <w:p w:rsidR="00FD5754" w:rsidRPr="00C238FB" w:rsidRDefault="001F0751" w:rsidP="005843B3">
            <w:pPr>
              <w:rPr>
                <w:rFonts w:ascii="Times New Roman" w:hAnsi="Times New Roman" w:cs="Times New Roman"/>
              </w:rPr>
            </w:pPr>
            <w:r w:rsidRPr="00C238FB">
              <w:rPr>
                <w:rFonts w:ascii="Times New Roman" w:hAnsi="Times New Roman" w:cs="Times New Roman"/>
              </w:rPr>
              <w:t>=</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β</w:t>
            </w:r>
            <w:r w:rsidRPr="00C238FB">
              <w:rPr>
                <w:rFonts w:ascii="Times New Roman" w:eastAsia="Times New Roman" w:hAnsi="Times New Roman" w:cs="Times New Roman"/>
                <w:shd w:val="clear" w:color="auto" w:fill="FFFFFF"/>
                <w:vertAlign w:val="subscript"/>
              </w:rPr>
              <w:t>0</w:t>
            </w:r>
            <w:r w:rsidRPr="00C238FB">
              <w:rPr>
                <w:rFonts w:ascii="Times New Roman" w:eastAsia="Times New Roman" w:hAnsi="Times New Roman" w:cs="Times New Roman"/>
                <w:shd w:val="clear" w:color="auto" w:fill="FFFFFF"/>
              </w:rPr>
              <w:t xml:space="preserve"> + β</w:t>
            </w:r>
            <w:r w:rsidRPr="00C238FB">
              <w:rPr>
                <w:rFonts w:ascii="Times New Roman" w:eastAsia="Times New Roman" w:hAnsi="Times New Roman" w:cs="Times New Roman"/>
                <w:shd w:val="clear" w:color="auto" w:fill="FFFFFF"/>
                <w:vertAlign w:val="subscript"/>
              </w:rPr>
              <w:t>1</w:t>
            </w:r>
            <w:r w:rsidRPr="00C238FB">
              <w:rPr>
                <w:rFonts w:ascii="Times New Roman" w:eastAsia="Times New Roman" w:hAnsi="Times New Roman" w:cs="Times New Roman"/>
                <w:shd w:val="clear" w:color="auto" w:fill="FFFFFF"/>
              </w:rPr>
              <w:t>SGDs</w:t>
            </w:r>
            <w:r w:rsidRPr="00C238FB">
              <w:rPr>
                <w:rFonts w:ascii="Times New Roman" w:eastAsia="Times New Roman" w:hAnsi="Times New Roman" w:cs="Times New Roman"/>
                <w:shd w:val="clear" w:color="auto" w:fill="FFFFFF"/>
                <w:vertAlign w:val="subscript"/>
              </w:rPr>
              <w:t>it</w:t>
            </w:r>
            <w:r w:rsidRPr="00C238FB">
              <w:rPr>
                <w:rFonts w:ascii="Times New Roman" w:eastAsia="Times New Roman" w:hAnsi="Times New Roman" w:cs="Times New Roman"/>
                <w:shd w:val="clear" w:color="auto" w:fill="FFFFFF"/>
              </w:rPr>
              <w:t xml:space="preserve"> + β</w:t>
            </w:r>
            <w:r w:rsidRPr="00C238FB">
              <w:rPr>
                <w:rFonts w:ascii="Times New Roman" w:eastAsia="Times New Roman" w:hAnsi="Times New Roman" w:cs="Times New Roman"/>
                <w:shd w:val="clear" w:color="auto" w:fill="FFFFFF"/>
                <w:vertAlign w:val="subscript"/>
              </w:rPr>
              <w:t>2</w:t>
            </w:r>
            <w:r w:rsidRPr="00C238FB">
              <w:rPr>
                <w:rFonts w:ascii="Times New Roman" w:eastAsia="Times New Roman" w:hAnsi="Times New Roman" w:cs="Times New Roman"/>
                <w:shd w:val="clear" w:color="auto" w:fill="FFFFFF"/>
              </w:rPr>
              <w:t>Control_variables+ ε</w:t>
            </w:r>
            <w:r w:rsidRPr="00C238FB">
              <w:rPr>
                <w:rFonts w:ascii="Times New Roman" w:eastAsia="Times New Roman" w:hAnsi="Times New Roman" w:cs="Times New Roman"/>
                <w:shd w:val="clear" w:color="auto" w:fill="FFFFFF"/>
                <w:vertAlign w:val="subscript"/>
              </w:rPr>
              <w:t>it</w:t>
            </w:r>
          </w:p>
        </w:tc>
      </w:tr>
      <w:tr w:rsidR="00DE5FD9" w:rsidTr="00FD5754">
        <w:trPr>
          <w:trHeight w:val="251"/>
        </w:trPr>
        <w:tc>
          <w:tcPr>
            <w:tcW w:w="2235" w:type="dxa"/>
          </w:tcPr>
          <w:p w:rsidR="00FD5754" w:rsidRPr="00C238FB" w:rsidRDefault="00FD5754" w:rsidP="005843B3">
            <w:pPr>
              <w:widowControl w:val="0"/>
              <w:autoSpaceDE w:val="0"/>
              <w:autoSpaceDN w:val="0"/>
              <w:ind w:right="355"/>
              <w:jc w:val="both"/>
              <w:rPr>
                <w:rFonts w:ascii="Times New Roman" w:eastAsia="Times New Roman" w:hAnsi="Times New Roman" w:cs="Times New Roman"/>
                <w:shd w:val="clear" w:color="auto" w:fill="FFFFFF"/>
              </w:rPr>
            </w:pPr>
          </w:p>
        </w:tc>
        <w:tc>
          <w:tcPr>
            <w:tcW w:w="424" w:type="dxa"/>
          </w:tcPr>
          <w:p w:rsidR="00FD5754" w:rsidRPr="00C238FB" w:rsidRDefault="00FD5754" w:rsidP="005843B3">
            <w:pPr>
              <w:rPr>
                <w:rFonts w:ascii="Times New Roman" w:hAnsi="Times New Roman" w:cs="Times New Roman"/>
              </w:rPr>
            </w:pPr>
          </w:p>
        </w:tc>
        <w:tc>
          <w:tcPr>
            <w:tcW w:w="5552" w:type="dxa"/>
          </w:tcPr>
          <w:p w:rsidR="00FD5754" w:rsidRPr="00C238FB" w:rsidRDefault="00FD5754" w:rsidP="005843B3">
            <w:pPr>
              <w:widowControl w:val="0"/>
              <w:autoSpaceDE w:val="0"/>
              <w:autoSpaceDN w:val="0"/>
              <w:ind w:right="355"/>
              <w:jc w:val="both"/>
              <w:rPr>
                <w:rFonts w:ascii="Times New Roman" w:eastAsia="Times New Roman" w:hAnsi="Times New Roman" w:cs="Times New Roman"/>
                <w:shd w:val="clear" w:color="auto" w:fill="FFFFFF"/>
              </w:rPr>
            </w:pP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Where</w:t>
            </w:r>
          </w:p>
        </w:tc>
        <w:tc>
          <w:tcPr>
            <w:tcW w:w="424" w:type="dxa"/>
          </w:tcPr>
          <w:p w:rsidR="00FD5754" w:rsidRPr="00C238FB" w:rsidRDefault="00FD5754" w:rsidP="005843B3">
            <w:pPr>
              <w:rPr>
                <w:rFonts w:ascii="Times New Roman" w:eastAsia="Times New Roman" w:hAnsi="Times New Roman" w:cs="Times New Roman"/>
                <w:shd w:val="clear" w:color="auto" w:fill="FFFFFF"/>
              </w:rPr>
            </w:pPr>
          </w:p>
        </w:tc>
        <w:tc>
          <w:tcPr>
            <w:tcW w:w="5552" w:type="dxa"/>
          </w:tcPr>
          <w:p w:rsidR="00FD5754" w:rsidRPr="00C238FB" w:rsidRDefault="00FD5754" w:rsidP="005843B3">
            <w:pPr>
              <w:widowControl w:val="0"/>
              <w:autoSpaceDE w:val="0"/>
              <w:autoSpaceDN w:val="0"/>
              <w:ind w:right="355"/>
              <w:jc w:val="both"/>
              <w:rPr>
                <w:rFonts w:ascii="Times New Roman" w:eastAsia="Times New Roman" w:hAnsi="Times New Roman" w:cs="Times New Roman"/>
                <w:shd w:val="clear" w:color="auto" w:fill="FFFFFF"/>
              </w:rPr>
            </w:pP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SDGs</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Sustainability Development Goals</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Profitability</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Profitability</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Control_variables</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Control Variables</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i</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company</w:t>
            </w:r>
          </w:p>
        </w:tc>
      </w:tr>
      <w:tr w:rsidR="00DE5FD9" w:rsidTr="00FD5754">
        <w:trPr>
          <w:trHeight w:val="251"/>
        </w:trPr>
        <w:tc>
          <w:tcPr>
            <w:tcW w:w="2235"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t</w:t>
            </w:r>
          </w:p>
        </w:tc>
        <w:tc>
          <w:tcPr>
            <w:tcW w:w="424" w:type="dxa"/>
          </w:tcPr>
          <w:p w:rsidR="00FD5754" w:rsidRPr="00C238FB" w:rsidRDefault="001F0751" w:rsidP="005843B3">
            <w:pPr>
              <w:rPr>
                <w:rFonts w:ascii="Times New Roman" w:hAnsi="Times New Roman" w:cs="Times New Roman"/>
              </w:rPr>
            </w:pPr>
            <w:r w:rsidRPr="00C238FB">
              <w:rPr>
                <w:rFonts w:ascii="Times New Roman" w:eastAsia="Times New Roman" w:hAnsi="Times New Roman" w:cs="Times New Roman"/>
                <w:shd w:val="clear" w:color="auto" w:fill="FFFFFF"/>
              </w:rPr>
              <w:t xml:space="preserve">= </w:t>
            </w:r>
          </w:p>
        </w:tc>
        <w:tc>
          <w:tcPr>
            <w:tcW w:w="5552" w:type="dxa"/>
          </w:tcPr>
          <w:p w:rsidR="00FD5754" w:rsidRPr="00C238FB" w:rsidRDefault="001F0751" w:rsidP="005843B3">
            <w:pPr>
              <w:widowControl w:val="0"/>
              <w:autoSpaceDE w:val="0"/>
              <w:autoSpaceDN w:val="0"/>
              <w:ind w:right="355"/>
              <w:jc w:val="both"/>
              <w:rPr>
                <w:rFonts w:ascii="Times New Roman" w:eastAsia="Times New Roman" w:hAnsi="Times New Roman" w:cs="Times New Roman"/>
                <w:shd w:val="clear" w:color="auto" w:fill="FFFFFF"/>
              </w:rPr>
            </w:pPr>
            <w:r w:rsidRPr="00C238FB">
              <w:rPr>
                <w:rFonts w:ascii="Times New Roman" w:eastAsia="Times New Roman" w:hAnsi="Times New Roman" w:cs="Times New Roman"/>
                <w:shd w:val="clear" w:color="auto" w:fill="FFFFFF"/>
              </w:rPr>
              <w:t>time</w:t>
            </w:r>
          </w:p>
        </w:tc>
      </w:tr>
    </w:tbl>
    <w:p w:rsidR="00FD5754" w:rsidRPr="00C238FB" w:rsidRDefault="00FD575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w:t>
      </w:r>
      <w:r w:rsidR="000659D6" w:rsidRPr="00C238FB">
        <w:rPr>
          <w:rFonts w:ascii="Times New Roman" w:eastAsia="Times New Roman" w:hAnsi="Times New Roman" w:cs="Times New Roman"/>
          <w:b/>
          <w:bCs/>
          <w:kern w:val="0"/>
          <w:shd w:val="clear" w:color="auto" w:fill="FFFFFF"/>
          <w:lang w:val="en-US"/>
        </w:rPr>
        <w:t>3</w:t>
      </w:r>
      <w:r w:rsidRPr="00C238FB">
        <w:rPr>
          <w:rFonts w:ascii="Times New Roman" w:eastAsia="Times New Roman" w:hAnsi="Times New Roman" w:cs="Times New Roman"/>
          <w:b/>
          <w:bCs/>
          <w:kern w:val="0"/>
          <w:shd w:val="clear" w:color="auto" w:fill="FFFFFF"/>
          <w:lang w:val="en-US"/>
        </w:rPr>
        <w:t xml:space="preserve"> Measurement of Variables</w:t>
      </w:r>
    </w:p>
    <w:p w:rsidR="00851558"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3.3.1 Dependent Variable</w:t>
      </w:r>
    </w:p>
    <w:p w:rsidR="00346F4E"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Profitability</w:t>
      </w:r>
    </w:p>
    <w:p w:rsidR="00851558"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Profitability refers to a company's capacity to produce profit about its revenue or assets. Measuring profitability using log10 of net profit converts raw profit statistics into a logarithmic scale, facilitating the analysis and comparison of </w:t>
      </w:r>
      <w:r w:rsidR="00346F4E" w:rsidRPr="00C238FB">
        <w:rPr>
          <w:rFonts w:ascii="Times New Roman" w:eastAsia="Times New Roman" w:hAnsi="Times New Roman" w:cs="Times New Roman"/>
          <w:kern w:val="0"/>
          <w:lang w:val="en-US"/>
        </w:rPr>
        <w:t>companies</w:t>
      </w:r>
      <w:r w:rsidRPr="00C238FB">
        <w:rPr>
          <w:rFonts w:ascii="Times New Roman" w:eastAsia="Times New Roman" w:hAnsi="Times New Roman" w:cs="Times New Roman"/>
          <w:kern w:val="0"/>
          <w:lang w:val="en-US"/>
        </w:rPr>
        <w:t xml:space="preserve"> with significantly disparate profit levels</w:t>
      </w:r>
      <w:r w:rsidR="00EF3437" w:rsidRPr="00C238FB">
        <w:rPr>
          <w:rFonts w:ascii="Times New Roman" w:hAnsi="Times New Roman" w:cs="Times New Roman"/>
          <w:color w:val="222222"/>
          <w:shd w:val="clear" w:color="auto" w:fill="FFFFFF"/>
        </w:rPr>
        <w:t xml:space="preserve"> (Aremo</w:t>
      </w:r>
      <w:r w:rsidR="00C45416" w:rsidRPr="00C238FB">
        <w:rPr>
          <w:rFonts w:ascii="Times New Roman" w:hAnsi="Times New Roman" w:cs="Times New Roman"/>
          <w:color w:val="222222"/>
          <w:shd w:val="clear" w:color="auto" w:fill="FFFFFF"/>
        </w:rPr>
        <w:t>&amp;Ayorinde</w:t>
      </w:r>
      <w:r w:rsidR="00EF3437" w:rsidRPr="00C238FB">
        <w:rPr>
          <w:rFonts w:ascii="Times New Roman" w:hAnsi="Times New Roman" w:cs="Times New Roman"/>
          <w:color w:val="222222"/>
          <w:shd w:val="clear" w:color="auto" w:fill="FFFFFF"/>
        </w:rPr>
        <w:t>, 2022)</w:t>
      </w:r>
      <w:r w:rsidRPr="00C238FB">
        <w:rPr>
          <w:rFonts w:ascii="Times New Roman" w:eastAsia="Times New Roman" w:hAnsi="Times New Roman" w:cs="Times New Roman"/>
          <w:kern w:val="0"/>
          <w:lang w:val="en-US"/>
        </w:rPr>
        <w:t xml:space="preserve">. A positive log10 profit value signifies that the company is profitable, with greater </w:t>
      </w:r>
      <w:r w:rsidR="00346F4E" w:rsidRPr="00C238FB">
        <w:rPr>
          <w:rFonts w:ascii="Times New Roman" w:eastAsia="Times New Roman" w:hAnsi="Times New Roman" w:cs="Times New Roman"/>
          <w:kern w:val="0"/>
          <w:lang w:val="en-US"/>
        </w:rPr>
        <w:t>profit</w:t>
      </w:r>
      <w:r w:rsidRPr="00C238FB">
        <w:rPr>
          <w:rFonts w:ascii="Times New Roman" w:eastAsia="Times New Roman" w:hAnsi="Times New Roman" w:cs="Times New Roman"/>
          <w:kern w:val="0"/>
          <w:lang w:val="en-US"/>
        </w:rPr>
        <w:t xml:space="preserve">s yielding higher values. A log10 profit number of zero or negative is indeterminate, indicating that the </w:t>
      </w:r>
      <w:r w:rsidR="00346F4E" w:rsidRPr="00C238FB">
        <w:rPr>
          <w:rFonts w:ascii="Times New Roman" w:eastAsia="Times New Roman" w:hAnsi="Times New Roman" w:cs="Times New Roman"/>
          <w:kern w:val="0"/>
          <w:lang w:val="en-US"/>
        </w:rPr>
        <w:t>company</w:t>
      </w:r>
      <w:r w:rsidRPr="00C238FB">
        <w:rPr>
          <w:rFonts w:ascii="Times New Roman" w:eastAsia="Times New Roman" w:hAnsi="Times New Roman" w:cs="Times New Roman"/>
          <w:kern w:val="0"/>
          <w:lang w:val="en-US"/>
        </w:rPr>
        <w:t xml:space="preserve"> is either not generating profit or incurring a loss.</w:t>
      </w:r>
    </w:p>
    <w:p w:rsidR="00851558" w:rsidRPr="00C238FB" w:rsidRDefault="00851558" w:rsidP="005843B3">
      <w:pPr>
        <w:widowControl w:val="0"/>
        <w:autoSpaceDE w:val="0"/>
        <w:autoSpaceDN w:val="0"/>
        <w:spacing w:after="0" w:line="240" w:lineRule="auto"/>
        <w:ind w:right="355"/>
        <w:jc w:val="both"/>
        <w:rPr>
          <w:rFonts w:ascii="Times New Roman" w:eastAsia="Times New Roman" w:hAnsi="Times New Roman" w:cs="Times New Roman"/>
          <w:b/>
          <w:bCs/>
          <w:kern w:val="0"/>
          <w:shd w:val="clear" w:color="auto" w:fill="FFFFFF"/>
          <w:lang w:val="en-US"/>
        </w:rPr>
      </w:pPr>
    </w:p>
    <w:p w:rsidR="00851558" w:rsidRPr="00C238FB" w:rsidRDefault="001F0751" w:rsidP="00923091">
      <w:pPr>
        <w:widowControl w:val="0"/>
        <w:autoSpaceDE w:val="0"/>
        <w:autoSpaceDN w:val="0"/>
        <w:spacing w:after="0" w:line="240" w:lineRule="auto"/>
        <w:ind w:right="355"/>
        <w:jc w:val="center"/>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Profitability = log10 net profit</w:t>
      </w:r>
    </w:p>
    <w:p w:rsidR="00851558" w:rsidRPr="00C238FB" w:rsidRDefault="00851558" w:rsidP="005843B3">
      <w:pPr>
        <w:widowControl w:val="0"/>
        <w:autoSpaceDE w:val="0"/>
        <w:autoSpaceDN w:val="0"/>
        <w:spacing w:after="0" w:line="240" w:lineRule="auto"/>
        <w:ind w:right="355"/>
        <w:jc w:val="both"/>
        <w:rPr>
          <w:rFonts w:ascii="Times New Roman" w:eastAsia="Times New Roman" w:hAnsi="Times New Roman" w:cs="Times New Roman"/>
          <w:b/>
          <w:bCs/>
          <w:kern w:val="0"/>
          <w:shd w:val="clear" w:color="auto" w:fill="FFFFFF"/>
          <w:lang w:val="en-US"/>
        </w:rPr>
      </w:pPr>
    </w:p>
    <w:p w:rsidR="00851558"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3.3.2 Independent Variable</w:t>
      </w: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lang w:val="en-US"/>
        </w:rPr>
      </w:pPr>
      <w:r w:rsidRPr="00C238FB">
        <w:rPr>
          <w:rFonts w:ascii="Times New Roman" w:eastAsia="Times New Roman" w:hAnsi="Times New Roman" w:cs="Times New Roman"/>
          <w:b/>
          <w:bCs/>
          <w:kern w:val="0"/>
          <w:shd w:val="clear" w:color="auto" w:fill="FFFFFF"/>
          <w:lang w:val="en-US"/>
        </w:rPr>
        <w:t>Sustainability Development Goals SDGs</w:t>
      </w:r>
    </w:p>
    <w:p w:rsidR="00A939BA"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lastRenderedPageBreak/>
        <w:t>The variable of the SDGs is determined by the percentage of implementation of SDG items. A score of 1 was assigned for each Sustainable Development Goal, encompassing SDG 1 through SDG 17. Subsequently, the cumulative marks awarded by each company will be divided by 17 (representing all SDG elements). This research resulted in an equation:</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827107" w:rsidP="00923091">
      <w:pPr>
        <w:pStyle w:val="BodyText"/>
        <w:ind w:right="355"/>
        <w:outlineLvl w:val="0"/>
        <w:rPr>
          <w:sz w:val="22"/>
          <w:szCs w:val="22"/>
          <w:shd w:val="clear" w:color="auto" w:fill="FFFFFF"/>
          <w:lang w:val="en-MY"/>
        </w:rPr>
      </w:pPr>
      <m:oMathPara>
        <m:oMathParaPr>
          <m:jc m:val="left"/>
        </m:oMathParaPr>
        <m:oMath>
          <m:sSub>
            <m:sSubPr>
              <m:ctrlPr>
                <w:rPr>
                  <w:rFonts w:ascii="Cambria Math" w:hAnsi="Cambria Math"/>
                  <w:i/>
                  <w:sz w:val="22"/>
                  <w:szCs w:val="22"/>
                  <w:shd w:val="clear" w:color="auto" w:fill="FFFFFF"/>
                  <w:lang w:val="en-MY"/>
                </w:rPr>
              </m:ctrlPr>
            </m:sSubPr>
            <m:e>
              <m:r>
                <m:rPr>
                  <m:nor/>
                </m:rPr>
                <w:rPr>
                  <w:sz w:val="22"/>
                  <w:szCs w:val="22"/>
                  <w:shd w:val="clear" w:color="auto" w:fill="FFFFFF"/>
                  <w:lang w:val="en-MY"/>
                </w:rPr>
                <m:t>SDGs</m:t>
              </m:r>
            </m:e>
            <m:sub>
              <m:r>
                <m:rPr>
                  <m:nor/>
                </m:rPr>
                <w:rPr>
                  <w:i/>
                  <w:sz w:val="22"/>
                  <w:szCs w:val="22"/>
                  <w:shd w:val="clear" w:color="auto" w:fill="FFFFFF"/>
                  <w:lang w:val="en-MY"/>
                </w:rPr>
                <m:t>i</m:t>
              </m:r>
            </m:sub>
          </m:sSub>
          <m:r>
            <m:rPr>
              <m:nor/>
            </m:rPr>
            <w:rPr>
              <w:sz w:val="22"/>
              <w:szCs w:val="22"/>
              <w:shd w:val="clear" w:color="auto" w:fill="FFFFFF"/>
              <w:lang w:val="en-MY"/>
            </w:rPr>
            <m:t xml:space="preserve">= </m:t>
          </m:r>
          <m:nary>
            <m:naryPr>
              <m:chr m:val="∑"/>
              <m:limLoc m:val="undOvr"/>
              <m:subHide m:val="1"/>
              <m:supHide m:val="1"/>
              <m:ctrlPr>
                <w:rPr>
                  <w:rFonts w:ascii="Cambria Math" w:hAnsi="Cambria Math"/>
                  <w:i/>
                  <w:sz w:val="22"/>
                  <w:szCs w:val="22"/>
                  <w:shd w:val="clear" w:color="auto" w:fill="FFFFFF"/>
                  <w:lang w:val="en-MY"/>
                </w:rPr>
              </m:ctrlPr>
            </m:naryPr>
            <m:sub/>
            <m:sup/>
            <m:e>
              <m:f>
                <m:fPr>
                  <m:ctrlPr>
                    <w:rPr>
                      <w:rFonts w:ascii="Cambria Math" w:hAnsi="Cambria Math"/>
                      <w:i/>
                      <w:sz w:val="22"/>
                      <w:szCs w:val="22"/>
                      <w:shd w:val="clear" w:color="auto" w:fill="FFFFFF"/>
                      <w:lang w:val="en-MY"/>
                    </w:rPr>
                  </m:ctrlPr>
                </m:fPr>
                <m:num>
                  <m:sSub>
                    <m:sSubPr>
                      <m:ctrlPr>
                        <w:rPr>
                          <w:rFonts w:ascii="Cambria Math" w:hAnsi="Cambria Math"/>
                          <w:i/>
                          <w:sz w:val="22"/>
                          <w:szCs w:val="22"/>
                          <w:shd w:val="clear" w:color="auto" w:fill="FFFFFF"/>
                          <w:lang w:val="en-MY"/>
                        </w:rPr>
                      </m:ctrlPr>
                    </m:sSubPr>
                    <m:e>
                      <m:r>
                        <m:rPr>
                          <m:nor/>
                        </m:rPr>
                        <w:rPr>
                          <w:sz w:val="22"/>
                          <w:szCs w:val="22"/>
                          <w:shd w:val="clear" w:color="auto" w:fill="FFFFFF"/>
                          <w:lang w:val="en-MY"/>
                        </w:rPr>
                        <m:t>X</m:t>
                      </m:r>
                    </m:e>
                    <m:sub>
                      <m:r>
                        <m:rPr>
                          <m:nor/>
                        </m:rPr>
                        <w:rPr>
                          <w:i/>
                          <w:sz w:val="22"/>
                          <w:szCs w:val="22"/>
                          <w:shd w:val="clear" w:color="auto" w:fill="FFFFFF"/>
                          <w:lang w:val="en-MY"/>
                        </w:rPr>
                        <m:t>i</m:t>
                      </m:r>
                    </m:sub>
                  </m:sSub>
                </m:num>
                <m:den>
                  <m:sSub>
                    <m:sSubPr>
                      <m:ctrlPr>
                        <w:rPr>
                          <w:rFonts w:ascii="Cambria Math" w:hAnsi="Cambria Math"/>
                          <w:i/>
                          <w:sz w:val="22"/>
                          <w:szCs w:val="22"/>
                          <w:shd w:val="clear" w:color="auto" w:fill="FFFFFF"/>
                          <w:lang w:val="en-MY"/>
                        </w:rPr>
                      </m:ctrlPr>
                    </m:sSubPr>
                    <m:e>
                      <m:r>
                        <m:rPr>
                          <m:nor/>
                        </m:rPr>
                        <w:rPr>
                          <w:sz w:val="22"/>
                          <w:szCs w:val="22"/>
                          <w:shd w:val="clear" w:color="auto" w:fill="FFFFFF"/>
                          <w:lang w:val="en-MY"/>
                        </w:rPr>
                        <m:t>n</m:t>
                      </m:r>
                    </m:e>
                    <m:sub>
                      <m:r>
                        <m:rPr>
                          <m:nor/>
                        </m:rPr>
                        <w:rPr>
                          <w:i/>
                          <w:sz w:val="22"/>
                          <w:szCs w:val="22"/>
                          <w:shd w:val="clear" w:color="auto" w:fill="FFFFFF"/>
                          <w:lang w:val="en-MY"/>
                        </w:rPr>
                        <m:t>i</m:t>
                      </m:r>
                    </m:sub>
                  </m:sSub>
                </m:den>
              </m:f>
            </m:e>
          </m:nary>
        </m:oMath>
      </m:oMathPara>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Where; -</w:t>
      </w:r>
      <w:r w:rsidRPr="00C238FB">
        <w:rPr>
          <w:rFonts w:ascii="Times New Roman" w:eastAsia="Times New Roman" w:hAnsi="Times New Roman" w:cs="Times New Roman"/>
          <w:kern w:val="0"/>
          <w:shd w:val="clear" w:color="auto" w:fill="FFFFFF"/>
        </w:rPr>
        <w:tab/>
      </w:r>
    </w:p>
    <w:p w:rsidR="00E106F4" w:rsidRPr="00C238FB" w:rsidRDefault="001F0751" w:rsidP="005843B3">
      <w:pPr>
        <w:widowControl w:val="0"/>
        <w:autoSpaceDE w:val="0"/>
        <w:autoSpaceDN w:val="0"/>
        <w:spacing w:after="0" w:line="240" w:lineRule="auto"/>
        <w:ind w:right="355" w:firstLine="720"/>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n</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w:t>
      </w:r>
      <w:r w:rsidRPr="00C238FB">
        <w:rPr>
          <w:rFonts w:ascii="Times New Roman" w:eastAsia="Times New Roman" w:hAnsi="Times New Roman" w:cs="Times New Roman"/>
          <w:kern w:val="0"/>
          <w:shd w:val="clear" w:color="auto" w:fill="FFFFFF"/>
        </w:rPr>
        <w:tab/>
        <w:t xml:space="preserve">number of items expected for </w:t>
      </w:r>
      <w:r w:rsidR="00A939BA" w:rsidRPr="00C238FB">
        <w:rPr>
          <w:rFonts w:ascii="Times New Roman" w:eastAsia="Times New Roman" w:hAnsi="Times New Roman" w:cs="Times New Roman"/>
          <w:kern w:val="0"/>
          <w:shd w:val="clear" w:color="auto" w:fill="FFFFFF"/>
        </w:rPr>
        <w:t>i</w:t>
      </w:r>
      <w:r w:rsidRPr="00C238FB">
        <w:rPr>
          <w:rFonts w:ascii="Times New Roman" w:eastAsia="Times New Roman" w:hAnsi="Times New Roman" w:cs="Times New Roman"/>
          <w:kern w:val="0"/>
          <w:shd w:val="clear" w:color="auto" w:fill="FFFFFF"/>
        </w:rPr>
        <w:t>company, n</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 xml:space="preserve"> ≤ 17</w:t>
      </w: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ab/>
        <w:t>X</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 xml:space="preserve"> =</w:t>
      </w:r>
      <w:r w:rsidRPr="00C238FB">
        <w:rPr>
          <w:rFonts w:ascii="Times New Roman" w:eastAsia="Times New Roman" w:hAnsi="Times New Roman" w:cs="Times New Roman"/>
          <w:kern w:val="0"/>
          <w:shd w:val="clear" w:color="auto" w:fill="FFFFFF"/>
        </w:rPr>
        <w:tab/>
        <w:t>1 if the item is disclosed, whereas 0 if the item is not disclosed.</w:t>
      </w: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ab/>
        <w:t>So that 0 ≤ SDGs</w:t>
      </w:r>
      <w:r w:rsidRPr="00C238FB">
        <w:rPr>
          <w:rFonts w:ascii="Times New Roman" w:eastAsia="Times New Roman" w:hAnsi="Times New Roman" w:cs="Times New Roman"/>
          <w:i/>
          <w:kern w:val="0"/>
          <w:shd w:val="clear" w:color="auto" w:fill="FFFFFF"/>
          <w:vertAlign w:val="subscript"/>
        </w:rPr>
        <w:t>i</w:t>
      </w:r>
      <w:r w:rsidRPr="00C238FB">
        <w:rPr>
          <w:rFonts w:ascii="Times New Roman" w:eastAsia="Times New Roman" w:hAnsi="Times New Roman" w:cs="Times New Roman"/>
          <w:kern w:val="0"/>
          <w:shd w:val="clear" w:color="auto" w:fill="FFFFFF"/>
        </w:rPr>
        <w:t xml:space="preserve"> ≤ 1</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lang w:val="en-U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8202"/>
      </w:tblGrid>
      <w:tr w:rsidR="00DE5FD9" w:rsidTr="00CE463C">
        <w:trPr>
          <w:trHeight w:val="344"/>
          <w:jc w:val="center"/>
        </w:trPr>
        <w:tc>
          <w:tcPr>
            <w:tcW w:w="663" w:type="dxa"/>
            <w:tcBorders>
              <w:top w:val="single" w:sz="4" w:space="0" w:color="auto"/>
              <w:bottom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No</w:t>
            </w:r>
          </w:p>
        </w:tc>
        <w:tc>
          <w:tcPr>
            <w:tcW w:w="8202" w:type="dxa"/>
            <w:tcBorders>
              <w:top w:val="single" w:sz="4" w:space="0" w:color="auto"/>
              <w:bottom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SDGs Item</w:t>
            </w:r>
          </w:p>
        </w:tc>
      </w:tr>
      <w:tr w:rsidR="00DE5FD9" w:rsidTr="00CE463C">
        <w:trPr>
          <w:trHeight w:val="344"/>
          <w:jc w:val="center"/>
        </w:trPr>
        <w:tc>
          <w:tcPr>
            <w:tcW w:w="663" w:type="dxa"/>
            <w:tcBorders>
              <w:top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w:t>
            </w:r>
          </w:p>
        </w:tc>
        <w:tc>
          <w:tcPr>
            <w:tcW w:w="8202" w:type="dxa"/>
            <w:tcBorders>
              <w:top w:val="single" w:sz="4" w:space="0" w:color="auto"/>
            </w:tcBorders>
            <w:noWrap/>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No Poverty: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End poverty in all of its forms on a global scale.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2</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Zero Hunger:</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the end of hunger, achieve improved nutrition and food security, and support the growth of sustainable agriculture</w:t>
            </w:r>
            <w:r w:rsidRPr="00C238FB">
              <w:rPr>
                <w:rFonts w:ascii="Times New Roman" w:hAnsi="Times New Roman" w:cs="Times New Roman"/>
              </w:rPr>
              <w:t>.</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3</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Good Health and Well-Being:</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people of all ages to have the best possible health and well-being.</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4</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Quality Education: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high-quality, inclusive, and fair education while creating opportunities for lifelong learning for people from all walks of life.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5</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Gender Equality: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Strive for the empowerment of women and girls and the achievement of gender equality.</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6</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Clean Water and Sanitation: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Ensuring that water and sanitation services are administered sustainably and accessible to everyone.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7</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Affordable and Clean Energy: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widespread access to modern, affordable, reliable, and sustainable energy sources.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8</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Decent Work and Economic Growth:</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Promote full and efficient employment, steady, all-encompassing, and sustainable economic growth, and fulfilling employment opportunities for all.</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9</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Industry, Innovation, and Infrastructure:</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Promote the construction of strong infrastructure, enable sustainable and inclusive </w:t>
            </w:r>
            <w:r w:rsidR="00A939BA" w:rsidRPr="00C238FB">
              <w:rPr>
                <w:rFonts w:ascii="Times New Roman" w:eastAsia="Times New Roman" w:hAnsi="Times New Roman" w:cs="Times New Roman"/>
                <w:kern w:val="0"/>
                <w:lang w:val="en-US"/>
              </w:rPr>
              <w:t>industrialization</w:t>
            </w:r>
            <w:r w:rsidRPr="00C238FB">
              <w:rPr>
                <w:rFonts w:ascii="Times New Roman" w:eastAsia="Times New Roman" w:hAnsi="Times New Roman" w:cs="Times New Roman"/>
                <w:kern w:val="0"/>
                <w:lang w:val="en-US"/>
              </w:rPr>
              <w:t>, and foster an innovative culture.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10</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Reduced Inequality:</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Reduce economic disparity on a global and national level.</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11</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Sustainable Cities and Communities:</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cities and human settlements to be more inclusive, safe, resilient, and sustainable.</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12</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Responsible Consumption and Production: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Encourage the use of sustainable production and consumption methods.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13</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Climate Action:</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Take prompt action to mitigate climate change and its effects</w:t>
            </w:r>
            <w:r w:rsidRPr="00C238FB">
              <w:rPr>
                <w:rFonts w:ascii="Times New Roman" w:hAnsi="Times New Roman" w:cs="Times New Roman"/>
              </w:rPr>
              <w:t>.</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14</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Life Below Water:</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To attain sustainable development, encourage the protection and prudent use of the seas, oceans, and marine resources.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15</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Life on Land:</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Protect, restore, and encourage the sustainable use of terrestrial ecosystems, treat trees with care, combat desertification, halt and reverse land degradation, and prevent biodiversity loss.</w:t>
            </w:r>
          </w:p>
        </w:tc>
      </w:tr>
      <w:tr w:rsidR="00DE5FD9" w:rsidTr="00CE463C">
        <w:trPr>
          <w:trHeight w:val="344"/>
          <w:jc w:val="center"/>
        </w:trPr>
        <w:tc>
          <w:tcPr>
            <w:tcW w:w="663"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lastRenderedPageBreak/>
              <w:t>16</w:t>
            </w:r>
          </w:p>
        </w:tc>
        <w:tc>
          <w:tcPr>
            <w:tcW w:w="8202" w:type="dxa"/>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Peace, Justice, and Strong Institutions:</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For long-term development, promote inclusive and peaceful societies; guarantee that everyone has access to justice; and establish successful, responsible, and inclusive institutions at all levels.</w:t>
            </w:r>
          </w:p>
        </w:tc>
      </w:tr>
      <w:tr w:rsidR="00DE5FD9" w:rsidTr="00CE463C">
        <w:trPr>
          <w:trHeight w:val="344"/>
          <w:jc w:val="center"/>
        </w:trPr>
        <w:tc>
          <w:tcPr>
            <w:tcW w:w="663" w:type="dxa"/>
            <w:tcBorders>
              <w:bottom w:val="single" w:sz="4" w:space="0" w:color="auto"/>
            </w:tcBorders>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17</w:t>
            </w:r>
          </w:p>
        </w:tc>
        <w:tc>
          <w:tcPr>
            <w:tcW w:w="8202" w:type="dxa"/>
            <w:tcBorders>
              <w:bottom w:val="single" w:sz="4" w:space="0" w:color="auto"/>
            </w:tcBorders>
            <w:noWrap/>
            <w:hideMark/>
          </w:tcPr>
          <w:p w:rsidR="00E106F4" w:rsidRPr="00C238FB" w:rsidRDefault="001F0751" w:rsidP="005843B3">
            <w:pPr>
              <w:jc w:val="both"/>
              <w:rPr>
                <w:rFonts w:ascii="Times New Roman" w:hAnsi="Times New Roman" w:cs="Times New Roman"/>
              </w:rPr>
            </w:pPr>
            <w:r w:rsidRPr="00C238FB">
              <w:rPr>
                <w:rFonts w:ascii="Times New Roman" w:hAnsi="Times New Roman" w:cs="Times New Roman"/>
              </w:rPr>
              <w:t>Partnerships for the Goals:</w:t>
            </w:r>
          </w:p>
          <w:p w:rsidR="00E106F4" w:rsidRPr="00C238FB" w:rsidRDefault="001F0751" w:rsidP="005843B3">
            <w:pPr>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Restart the global collaboration for sustainable development and enhance the implementation of solutions.</w:t>
            </w:r>
          </w:p>
        </w:tc>
      </w:tr>
      <w:tr w:rsidR="00DE5FD9" w:rsidTr="00CE463C">
        <w:trPr>
          <w:trHeight w:val="344"/>
          <w:jc w:val="center"/>
        </w:trPr>
        <w:tc>
          <w:tcPr>
            <w:tcW w:w="8865" w:type="dxa"/>
            <w:gridSpan w:val="2"/>
            <w:tcBorders>
              <w:top w:val="single" w:sz="4" w:space="0" w:color="auto"/>
            </w:tcBorders>
            <w:noWrap/>
          </w:tcPr>
          <w:p w:rsidR="00E106F4" w:rsidRPr="00C238FB" w:rsidRDefault="001F0751" w:rsidP="005843B3">
            <w:pPr>
              <w:jc w:val="center"/>
              <w:rPr>
                <w:rFonts w:ascii="Times New Roman" w:hAnsi="Times New Roman" w:cs="Times New Roman"/>
              </w:rPr>
            </w:pPr>
            <w:r w:rsidRPr="00C238FB">
              <w:rPr>
                <w:rFonts w:ascii="Times New Roman" w:hAnsi="Times New Roman" w:cs="Times New Roman"/>
              </w:rPr>
              <w:t>Table 2: Sustainability Development Goals Items</w:t>
            </w:r>
          </w:p>
        </w:tc>
      </w:tr>
    </w:tbl>
    <w:p w:rsidR="004B510E" w:rsidRPr="00C238FB" w:rsidRDefault="004B510E" w:rsidP="005843B3">
      <w:pPr>
        <w:widowControl w:val="0"/>
        <w:autoSpaceDE w:val="0"/>
        <w:autoSpaceDN w:val="0"/>
        <w:spacing w:after="0" w:line="240" w:lineRule="auto"/>
        <w:ind w:right="355"/>
        <w:jc w:val="both"/>
        <w:rPr>
          <w:rFonts w:ascii="Times New Roman" w:hAnsi="Times New Roman" w:cs="Times New Roman"/>
        </w:rPr>
      </w:pP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b/>
          <w:bCs/>
          <w:kern w:val="0"/>
          <w:shd w:val="clear" w:color="auto" w:fill="FFFFFF"/>
        </w:rPr>
      </w:pPr>
      <w:r w:rsidRPr="00C238FB">
        <w:rPr>
          <w:rFonts w:ascii="Times New Roman" w:eastAsia="Times New Roman" w:hAnsi="Times New Roman" w:cs="Times New Roman"/>
          <w:b/>
          <w:bCs/>
          <w:kern w:val="0"/>
          <w:shd w:val="clear" w:color="auto" w:fill="FFFFFF"/>
        </w:rPr>
        <w:t>3.3.3 Control Variables</w:t>
      </w:r>
    </w:p>
    <w:p w:rsidR="00E106F4" w:rsidRPr="00C238FB" w:rsidRDefault="001F0751"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Size</w:t>
      </w:r>
    </w:p>
    <w:p w:rsidR="00346F4E"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According to Lam et al. (2012), a company's size is based on how many assets it has. Compared to smaller businesses, big companies do more things that have a big impact on society. This is how you measure the size of a company: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center"/>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Size = log10 (Total Assets)</w:t>
      </w: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Debts</w:t>
      </w:r>
    </w:p>
    <w:p w:rsidR="00346F4E"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Debt is a financial duty that occurs when one entity, termed the debtor, owes a responsibility to another entity, identified as the creditor. The debt is computed via the below formula:</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center"/>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D</w:t>
      </w:r>
      <w:r w:rsidR="008F4209" w:rsidRPr="00C238FB">
        <w:rPr>
          <w:rFonts w:ascii="Times New Roman" w:eastAsia="Times New Roman" w:hAnsi="Times New Roman" w:cs="Times New Roman"/>
          <w:kern w:val="0"/>
          <w:shd w:val="clear" w:color="auto" w:fill="FFFFFF"/>
        </w:rPr>
        <w:t>ebts</w:t>
      </w:r>
      <w:r w:rsidRPr="00C238FB">
        <w:rPr>
          <w:rFonts w:ascii="Times New Roman" w:eastAsia="Times New Roman" w:hAnsi="Times New Roman" w:cs="Times New Roman"/>
          <w:kern w:val="0"/>
          <w:shd w:val="clear" w:color="auto" w:fill="FFFFFF"/>
        </w:rPr>
        <w:t xml:space="preserve"> = Total Debt / Total Equity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336224"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One measurement used to assess the balance between a company's total debt and equity is the debt-to-equity ratio (Nukala&amp;Prasada, 2021). It indicates the ratio of debt to equity in the capital structure of the company.</w:t>
      </w:r>
    </w:p>
    <w:p w:rsidR="00E106F4" w:rsidRPr="00C238FB" w:rsidRDefault="00E106F4"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E106F4" w:rsidRPr="00C238FB" w:rsidRDefault="001F0751" w:rsidP="00923091">
      <w:pPr>
        <w:widowControl w:val="0"/>
        <w:autoSpaceDE w:val="0"/>
        <w:autoSpaceDN w:val="0"/>
        <w:spacing w:after="0" w:line="240" w:lineRule="auto"/>
        <w:ind w:right="355"/>
        <w:jc w:val="both"/>
        <w:outlineLvl w:val="0"/>
        <w:rPr>
          <w:rFonts w:ascii="Times New Roman" w:eastAsia="Times New Roman" w:hAnsi="Times New Roman" w:cs="Times New Roman"/>
          <w:kern w:val="0"/>
          <w:shd w:val="clear" w:color="auto" w:fill="FFFFFF"/>
        </w:rPr>
      </w:pPr>
      <w:r w:rsidRPr="00C238FB">
        <w:rPr>
          <w:rFonts w:ascii="Times New Roman" w:eastAsia="Times New Roman" w:hAnsi="Times New Roman" w:cs="Times New Roman"/>
          <w:kern w:val="0"/>
          <w:shd w:val="clear" w:color="auto" w:fill="FFFFFF"/>
        </w:rPr>
        <w:t>Liquidity</w:t>
      </w:r>
    </w:p>
    <w:p w:rsidR="00336224"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hAnsi="Times New Roman" w:cs="Times New Roman"/>
        </w:rPr>
        <w:t>Liquidity refers to a company's ability to quickly convert its assets into cash to meet its short-term financial obligations</w:t>
      </w:r>
      <w:r w:rsidRPr="00C238FB">
        <w:rPr>
          <w:rFonts w:ascii="Times New Roman" w:eastAsia="Times New Roman" w:hAnsi="Times New Roman" w:cs="Times New Roman"/>
          <w:kern w:val="0"/>
          <w:shd w:val="clear" w:color="auto" w:fill="FFFFFF"/>
        </w:rPr>
        <w:t>. Liquidity is measured by using the current ratio (Djohan, 2023). The statistic provides insight into a company's liquidity and its ability to meet its short-term financial obligations. The formula is as follows:</w:t>
      </w:r>
    </w:p>
    <w:p w:rsidR="00346F4E" w:rsidRPr="00C238FB" w:rsidRDefault="00346F4E" w:rsidP="005843B3">
      <w:pPr>
        <w:widowControl w:val="0"/>
        <w:autoSpaceDE w:val="0"/>
        <w:autoSpaceDN w:val="0"/>
        <w:spacing w:after="0" w:line="240" w:lineRule="auto"/>
        <w:ind w:right="355"/>
        <w:jc w:val="both"/>
        <w:rPr>
          <w:rFonts w:ascii="Times New Roman" w:eastAsia="Times New Roman" w:hAnsi="Times New Roman" w:cs="Times New Roman"/>
          <w:kern w:val="0"/>
          <w:shd w:val="clear" w:color="auto" w:fill="FFFFFF"/>
        </w:rPr>
      </w:pPr>
    </w:p>
    <w:p w:rsidR="004B510E" w:rsidRPr="00C238FB" w:rsidRDefault="001F0751" w:rsidP="00923091">
      <w:pPr>
        <w:widowControl w:val="0"/>
        <w:autoSpaceDE w:val="0"/>
        <w:autoSpaceDN w:val="0"/>
        <w:spacing w:after="0" w:line="240" w:lineRule="auto"/>
        <w:ind w:right="355"/>
        <w:jc w:val="center"/>
        <w:outlineLvl w:val="0"/>
        <w:rPr>
          <w:rFonts w:ascii="Times New Roman" w:hAnsi="Times New Roman" w:cs="Times New Roman"/>
        </w:rPr>
      </w:pPr>
      <w:r w:rsidRPr="00C238FB">
        <w:rPr>
          <w:rFonts w:ascii="Times New Roman" w:eastAsia="Times New Roman" w:hAnsi="Times New Roman" w:cs="Times New Roman"/>
          <w:kern w:val="0"/>
          <w:shd w:val="clear" w:color="auto" w:fill="FFFFFF"/>
        </w:rPr>
        <w:t>Liquidity</w:t>
      </w:r>
      <w:r w:rsidR="00E106F4" w:rsidRPr="00C238FB">
        <w:rPr>
          <w:rFonts w:ascii="Times New Roman" w:eastAsia="Times New Roman" w:hAnsi="Times New Roman" w:cs="Times New Roman"/>
          <w:kern w:val="0"/>
          <w:shd w:val="clear" w:color="auto" w:fill="FFFFFF"/>
        </w:rPr>
        <w:t xml:space="preserve"> = Current Assets / Current Liabilities</w:t>
      </w:r>
    </w:p>
    <w:p w:rsidR="004B510E" w:rsidRPr="00C238FB" w:rsidRDefault="004B510E" w:rsidP="005843B3">
      <w:pPr>
        <w:widowControl w:val="0"/>
        <w:autoSpaceDE w:val="0"/>
        <w:autoSpaceDN w:val="0"/>
        <w:spacing w:after="0" w:line="240" w:lineRule="auto"/>
        <w:ind w:right="355"/>
        <w:jc w:val="both"/>
        <w:rPr>
          <w:rFonts w:ascii="Times New Roman" w:hAnsi="Times New Roman" w:cs="Times New Roman"/>
        </w:rPr>
      </w:pPr>
    </w:p>
    <w:p w:rsidR="004B510E" w:rsidRPr="00C238FB" w:rsidRDefault="004B510E" w:rsidP="005843B3">
      <w:pPr>
        <w:widowControl w:val="0"/>
        <w:autoSpaceDE w:val="0"/>
        <w:autoSpaceDN w:val="0"/>
        <w:spacing w:after="0" w:line="240" w:lineRule="auto"/>
        <w:ind w:right="355"/>
        <w:jc w:val="both"/>
        <w:rPr>
          <w:rFonts w:ascii="Times New Roman" w:hAnsi="Times New Roman" w:cs="Times New Roman"/>
        </w:rPr>
      </w:pPr>
    </w:p>
    <w:p w:rsidR="00F97965"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4.0 Result and Discussion</w:t>
      </w:r>
    </w:p>
    <w:p w:rsidR="00AC1D30"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 xml:space="preserve">4.1 Number of Companies </w:t>
      </w:r>
      <w:r w:rsidR="005843B3" w:rsidRPr="00C238FB">
        <w:rPr>
          <w:rFonts w:ascii="Times New Roman" w:hAnsi="Times New Roman" w:cs="Times New Roman"/>
          <w:b/>
        </w:rPr>
        <w:t>A</w:t>
      </w:r>
      <w:r w:rsidRPr="00C238FB">
        <w:rPr>
          <w:rFonts w:ascii="Times New Roman" w:hAnsi="Times New Roman" w:cs="Times New Roman"/>
          <w:b/>
        </w:rPr>
        <w:t xml:space="preserve">ddressing SDGs </w:t>
      </w:r>
    </w:p>
    <w:p w:rsidR="00F97965" w:rsidRPr="00C238FB" w:rsidRDefault="00F97965" w:rsidP="005843B3">
      <w:pPr>
        <w:widowControl w:val="0"/>
        <w:autoSpaceDE w:val="0"/>
        <w:autoSpaceDN w:val="0"/>
        <w:spacing w:after="0" w:line="240" w:lineRule="auto"/>
        <w:ind w:right="355" w:firstLine="720"/>
        <w:jc w:val="both"/>
        <w:rPr>
          <w:rFonts w:ascii="Times New Roman" w:hAnsi="Times New Roman" w:cs="Times New Roman"/>
        </w:rPr>
      </w:pPr>
    </w:p>
    <w:p w:rsidR="00F97965" w:rsidRPr="00C238FB" w:rsidRDefault="001F0751" w:rsidP="005843B3">
      <w:pPr>
        <w:widowControl w:val="0"/>
        <w:autoSpaceDE w:val="0"/>
        <w:autoSpaceDN w:val="0"/>
        <w:spacing w:after="0" w:line="240" w:lineRule="auto"/>
        <w:ind w:right="355"/>
        <w:jc w:val="both"/>
        <w:rPr>
          <w:rFonts w:ascii="Times New Roman" w:hAnsi="Times New Roman" w:cs="Times New Roman"/>
        </w:rPr>
      </w:pPr>
      <w:r w:rsidRPr="00C238FB">
        <w:rPr>
          <w:rFonts w:ascii="Times New Roman" w:hAnsi="Times New Roman" w:cs="Times New Roman"/>
          <w:noProof/>
          <w:lang w:eastAsia="en-MY"/>
        </w:rPr>
        <w:drawing>
          <wp:inline distT="0" distB="0" distL="0" distR="0">
            <wp:extent cx="5514975" cy="1943100"/>
            <wp:effectExtent l="0" t="0" r="9525" b="0"/>
            <wp:docPr id="1109312496" name="Chart 1">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1F1EB7-5EC2-321E-5288-9C88F9BB8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7965" w:rsidRPr="00C238FB" w:rsidRDefault="001F0751" w:rsidP="00923091">
      <w:pPr>
        <w:widowControl w:val="0"/>
        <w:autoSpaceDE w:val="0"/>
        <w:autoSpaceDN w:val="0"/>
        <w:spacing w:after="0" w:line="240" w:lineRule="auto"/>
        <w:ind w:right="355"/>
        <w:jc w:val="center"/>
        <w:outlineLvl w:val="0"/>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3</w:t>
      </w:r>
      <w:r w:rsidRPr="00C238FB">
        <w:rPr>
          <w:rFonts w:ascii="Times New Roman" w:hAnsi="Times New Roman" w:cs="Times New Roman"/>
        </w:rPr>
        <w:t xml:space="preserve">: Number of Companies addressing SDGs </w:t>
      </w:r>
    </w:p>
    <w:p w:rsidR="00F97965" w:rsidRPr="00C238FB" w:rsidRDefault="00F97965" w:rsidP="005843B3">
      <w:pPr>
        <w:widowControl w:val="0"/>
        <w:autoSpaceDE w:val="0"/>
        <w:autoSpaceDN w:val="0"/>
        <w:spacing w:after="0" w:line="240" w:lineRule="auto"/>
        <w:ind w:right="355"/>
        <w:jc w:val="both"/>
        <w:rPr>
          <w:rFonts w:ascii="Times New Roman" w:hAnsi="Times New Roman" w:cs="Times New Roman"/>
        </w:rPr>
      </w:pPr>
    </w:p>
    <w:p w:rsidR="00F97965" w:rsidRPr="00C238FB" w:rsidRDefault="001F0751" w:rsidP="005843B3">
      <w:pPr>
        <w:spacing w:after="0" w:line="240" w:lineRule="auto"/>
        <w:jc w:val="both"/>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3</w:t>
      </w:r>
      <w:r w:rsidRPr="00C238FB">
        <w:rPr>
          <w:rFonts w:ascii="Times New Roman" w:hAnsi="Times New Roman" w:cs="Times New Roman"/>
        </w:rPr>
        <w:t xml:space="preserve"> show</w:t>
      </w:r>
      <w:r w:rsidR="004B510E" w:rsidRPr="00C238FB">
        <w:rPr>
          <w:rFonts w:ascii="Times New Roman" w:hAnsi="Times New Roman" w:cs="Times New Roman"/>
        </w:rPr>
        <w:t>s</w:t>
      </w:r>
      <w:r w:rsidRPr="00C238FB">
        <w:rPr>
          <w:rFonts w:ascii="Times New Roman" w:hAnsi="Times New Roman" w:cs="Times New Roman"/>
        </w:rPr>
        <w:t xml:space="preserve"> the </w:t>
      </w:r>
      <w:r w:rsidR="004B510E" w:rsidRPr="00C238FB">
        <w:rPr>
          <w:rFonts w:ascii="Times New Roman" w:hAnsi="Times New Roman" w:cs="Times New Roman"/>
        </w:rPr>
        <w:t xml:space="preserve">number of companies </w:t>
      </w:r>
      <w:r w:rsidR="008F4209" w:rsidRPr="00C238FB">
        <w:rPr>
          <w:rFonts w:ascii="Times New Roman" w:hAnsi="Times New Roman" w:cs="Times New Roman"/>
        </w:rPr>
        <w:t xml:space="preserve">from the study’s sample </w:t>
      </w:r>
      <w:r w:rsidR="004B510E" w:rsidRPr="00C238FB">
        <w:rPr>
          <w:rFonts w:ascii="Times New Roman" w:hAnsi="Times New Roman" w:cs="Times New Roman"/>
        </w:rPr>
        <w:t xml:space="preserve">addressing SDGs for the period 2021-2022. </w:t>
      </w:r>
      <w:r w:rsidR="00AC1D30" w:rsidRPr="00C238FB">
        <w:rPr>
          <w:rFonts w:ascii="Times New Roman" w:eastAsia="Times New Roman" w:hAnsi="Times New Roman" w:cs="Times New Roman"/>
          <w:kern w:val="0"/>
          <w:lang w:val="en-US"/>
        </w:rPr>
        <w:t xml:space="preserve">It indicates that companies prioritize specific Sustainable Development Goals (SDGs), </w:t>
      </w:r>
      <w:r w:rsidR="00AC1D30" w:rsidRPr="00C238FB">
        <w:rPr>
          <w:rFonts w:ascii="Times New Roman" w:eastAsia="Times New Roman" w:hAnsi="Times New Roman" w:cs="Times New Roman"/>
          <w:kern w:val="0"/>
          <w:lang w:val="en-US"/>
        </w:rPr>
        <w:lastRenderedPageBreak/>
        <w:t xml:space="preserve">with SDG 8 (Decent Work and Economic Growth) at 70.5 companies, followed by SDG 3 (Good Health and Well-being) and SDG 12 (Responsible Consumption and Production), each at 64.5 companies. </w:t>
      </w:r>
      <w:r w:rsidRPr="00C238FB">
        <w:rPr>
          <w:rFonts w:ascii="Times New Roman" w:hAnsi="Times New Roman" w:cs="Times New Roman"/>
        </w:rPr>
        <w:t xml:space="preserve">SDG 13 (Climate Action) also garners significant attention with 62.5 companies. Moderate focus is observed on SDGs 4 (Quality Education), 5 (Gender Equality), and 9 (Industry, Innovation, and Infrastructure), with 52.5 to 55 companies involved. However, SDG 1 (No Poverty), SDG 2 (Zero Hunger), and SDG 14 (Life Below Water) receive the least attention, with company involvement ranging from 22 to 24.5. </w:t>
      </w:r>
      <w:r w:rsidR="00AC1D30" w:rsidRPr="00C238FB">
        <w:rPr>
          <w:rFonts w:ascii="Times New Roman" w:eastAsia="Times New Roman" w:hAnsi="Times New Roman" w:cs="Times New Roman"/>
          <w:kern w:val="0"/>
          <w:lang w:val="en-US"/>
        </w:rPr>
        <w:t xml:space="preserve">This shows a significant corporate focus on goals directly connected to economic growth and sustainability, while goals addressing social inequality and environmental protection are </w:t>
      </w:r>
      <w:r w:rsidRPr="00C238FB">
        <w:rPr>
          <w:rFonts w:ascii="Times New Roman" w:hAnsi="Times New Roman" w:cs="Times New Roman"/>
        </w:rPr>
        <w:t>prioritized.</w:t>
      </w:r>
    </w:p>
    <w:p w:rsidR="000659D6" w:rsidRPr="00C238FB" w:rsidRDefault="000659D6" w:rsidP="005843B3">
      <w:pPr>
        <w:widowControl w:val="0"/>
        <w:autoSpaceDE w:val="0"/>
        <w:autoSpaceDN w:val="0"/>
        <w:spacing w:after="0" w:line="240" w:lineRule="auto"/>
        <w:ind w:right="355"/>
        <w:jc w:val="both"/>
        <w:rPr>
          <w:rFonts w:ascii="Times New Roman" w:hAnsi="Times New Roman" w:cs="Times New Roman"/>
        </w:rPr>
      </w:pPr>
    </w:p>
    <w:p w:rsidR="00AC1D30"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4.2 Descriptive Statistics</w:t>
      </w:r>
    </w:p>
    <w:p w:rsidR="00AC1D30" w:rsidRPr="00C238FB" w:rsidRDefault="00AC1D30" w:rsidP="005843B3">
      <w:pPr>
        <w:widowControl w:val="0"/>
        <w:autoSpaceDE w:val="0"/>
        <w:autoSpaceDN w:val="0"/>
        <w:spacing w:after="0" w:line="240" w:lineRule="auto"/>
        <w:ind w:right="355"/>
        <w:jc w:val="both"/>
        <w:rPr>
          <w:rFonts w:ascii="Times New Roman" w:hAnsi="Times New Roman" w:cs="Times New Roman"/>
        </w:rPr>
      </w:pPr>
    </w:p>
    <w:tbl>
      <w:tblPr>
        <w:tblW w:w="6336" w:type="dxa"/>
        <w:jc w:val="center"/>
        <w:tblLayout w:type="fixed"/>
        <w:tblCellMar>
          <w:left w:w="0" w:type="dxa"/>
          <w:right w:w="0" w:type="dxa"/>
        </w:tblCellMar>
        <w:tblLook w:val="0000" w:firstRow="0" w:lastRow="0" w:firstColumn="0" w:lastColumn="0" w:noHBand="0" w:noVBand="0"/>
      </w:tblPr>
      <w:tblGrid>
        <w:gridCol w:w="1703"/>
        <w:gridCol w:w="1069"/>
        <w:gridCol w:w="1100"/>
        <w:gridCol w:w="1023"/>
        <w:gridCol w:w="1441"/>
      </w:tblGrid>
      <w:tr w:rsidR="00DE5FD9" w:rsidTr="00C17ED0">
        <w:trPr>
          <w:cantSplit/>
          <w:jc w:val="center"/>
        </w:trPr>
        <w:tc>
          <w:tcPr>
            <w:tcW w:w="1703"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Variable </w:t>
            </w:r>
          </w:p>
        </w:tc>
        <w:tc>
          <w:tcPr>
            <w:tcW w:w="1069"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Minimum</w:t>
            </w:r>
          </w:p>
        </w:tc>
        <w:tc>
          <w:tcPr>
            <w:tcW w:w="1100"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Maximum</w:t>
            </w:r>
          </w:p>
        </w:tc>
        <w:tc>
          <w:tcPr>
            <w:tcW w:w="1023"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Mean</w:t>
            </w:r>
          </w:p>
        </w:tc>
        <w:tc>
          <w:tcPr>
            <w:tcW w:w="1441" w:type="dxa"/>
            <w:tcBorders>
              <w:top w:val="single" w:sz="4" w:space="0" w:color="auto"/>
              <w:bottom w:val="single" w:sz="4" w:space="0" w:color="auto"/>
            </w:tcBorders>
            <w:shd w:val="clear" w:color="auto" w:fill="FFFFFF"/>
          </w:tcPr>
          <w:p w:rsidR="00C17ED0"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Std. Deviation</w:t>
            </w:r>
          </w:p>
        </w:tc>
      </w:tr>
      <w:tr w:rsidR="00DE5FD9" w:rsidTr="00C17ED0">
        <w:trPr>
          <w:cantSplit/>
          <w:jc w:val="center"/>
        </w:trPr>
        <w:tc>
          <w:tcPr>
            <w:tcW w:w="1703"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Profitability</w:t>
            </w:r>
          </w:p>
        </w:tc>
        <w:tc>
          <w:tcPr>
            <w:tcW w:w="1069"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w:t>
            </w:r>
          </w:p>
        </w:tc>
        <w:tc>
          <w:tcPr>
            <w:tcW w:w="1100"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9.89</w:t>
            </w:r>
          </w:p>
        </w:tc>
        <w:tc>
          <w:tcPr>
            <w:tcW w:w="1023"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6.21</w:t>
            </w:r>
            <w:r w:rsidR="0026003A" w:rsidRPr="00C238FB">
              <w:rPr>
                <w:rFonts w:ascii="Times New Roman" w:hAnsi="Times New Roman" w:cs="Times New Roman"/>
              </w:rPr>
              <w:t>8</w:t>
            </w:r>
          </w:p>
        </w:tc>
        <w:tc>
          <w:tcPr>
            <w:tcW w:w="1441" w:type="dxa"/>
            <w:tcBorders>
              <w:top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3.45</w:t>
            </w:r>
            <w:r w:rsidR="0026003A" w:rsidRPr="00C238FB">
              <w:rPr>
                <w:rFonts w:ascii="Times New Roman" w:hAnsi="Times New Roman" w:cs="Times New Roman"/>
              </w:rPr>
              <w:t>1</w:t>
            </w:r>
          </w:p>
        </w:tc>
      </w:tr>
      <w:tr w:rsidR="00DE5FD9" w:rsidTr="00C17ED0">
        <w:trPr>
          <w:cantSplit/>
          <w:jc w:val="center"/>
        </w:trPr>
        <w:tc>
          <w:tcPr>
            <w:tcW w:w="1703" w:type="dxa"/>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SDGs</w:t>
            </w:r>
          </w:p>
        </w:tc>
        <w:tc>
          <w:tcPr>
            <w:tcW w:w="1069"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2.00</w:t>
            </w:r>
          </w:p>
        </w:tc>
        <w:tc>
          <w:tcPr>
            <w:tcW w:w="1100"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17.00</w:t>
            </w:r>
          </w:p>
        </w:tc>
        <w:tc>
          <w:tcPr>
            <w:tcW w:w="1023"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10.726</w:t>
            </w:r>
          </w:p>
        </w:tc>
        <w:tc>
          <w:tcPr>
            <w:tcW w:w="1441"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3.417</w:t>
            </w:r>
          </w:p>
        </w:tc>
      </w:tr>
      <w:tr w:rsidR="00DE5FD9" w:rsidTr="00C17ED0">
        <w:trPr>
          <w:cantSplit/>
          <w:jc w:val="center"/>
        </w:trPr>
        <w:tc>
          <w:tcPr>
            <w:tcW w:w="1703" w:type="dxa"/>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Size</w:t>
            </w:r>
          </w:p>
        </w:tc>
        <w:tc>
          <w:tcPr>
            <w:tcW w:w="1069"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8.17</w:t>
            </w:r>
          </w:p>
        </w:tc>
        <w:tc>
          <w:tcPr>
            <w:tcW w:w="1100"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11.26</w:t>
            </w:r>
          </w:p>
        </w:tc>
        <w:tc>
          <w:tcPr>
            <w:tcW w:w="1023"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9.504</w:t>
            </w:r>
          </w:p>
        </w:tc>
        <w:tc>
          <w:tcPr>
            <w:tcW w:w="1441"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.750</w:t>
            </w:r>
          </w:p>
        </w:tc>
      </w:tr>
      <w:tr w:rsidR="00DE5FD9" w:rsidTr="00C17ED0">
        <w:trPr>
          <w:cantSplit/>
          <w:jc w:val="center"/>
        </w:trPr>
        <w:tc>
          <w:tcPr>
            <w:tcW w:w="1703" w:type="dxa"/>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Debts</w:t>
            </w:r>
          </w:p>
        </w:tc>
        <w:tc>
          <w:tcPr>
            <w:tcW w:w="1069"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w:t>
            </w:r>
          </w:p>
        </w:tc>
        <w:tc>
          <w:tcPr>
            <w:tcW w:w="1100"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4.57</w:t>
            </w:r>
          </w:p>
        </w:tc>
        <w:tc>
          <w:tcPr>
            <w:tcW w:w="1023"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.679</w:t>
            </w:r>
          </w:p>
        </w:tc>
        <w:tc>
          <w:tcPr>
            <w:tcW w:w="1441" w:type="dxa"/>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.757</w:t>
            </w:r>
          </w:p>
        </w:tc>
      </w:tr>
      <w:tr w:rsidR="00DE5FD9" w:rsidTr="00C17ED0">
        <w:trPr>
          <w:cantSplit/>
          <w:jc w:val="center"/>
        </w:trPr>
        <w:tc>
          <w:tcPr>
            <w:tcW w:w="1703"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Liquidity</w:t>
            </w:r>
          </w:p>
        </w:tc>
        <w:tc>
          <w:tcPr>
            <w:tcW w:w="1069"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.35</w:t>
            </w:r>
          </w:p>
        </w:tc>
        <w:tc>
          <w:tcPr>
            <w:tcW w:w="1100"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20.95</w:t>
            </w:r>
          </w:p>
        </w:tc>
        <w:tc>
          <w:tcPr>
            <w:tcW w:w="1023"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2.583</w:t>
            </w:r>
          </w:p>
        </w:tc>
        <w:tc>
          <w:tcPr>
            <w:tcW w:w="1441" w:type="dxa"/>
            <w:tcBorders>
              <w:bottom w:val="single" w:sz="4" w:space="0" w:color="auto"/>
            </w:tcBorders>
            <w:shd w:val="clear" w:color="auto" w:fill="FFFFFF"/>
            <w:vAlign w:val="center"/>
          </w:tcPr>
          <w:p w:rsidR="00C17ED0"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2.72</w:t>
            </w:r>
            <w:r w:rsidR="0026003A" w:rsidRPr="00C238FB">
              <w:rPr>
                <w:rFonts w:ascii="Times New Roman" w:hAnsi="Times New Roman" w:cs="Times New Roman"/>
              </w:rPr>
              <w:t>8</w:t>
            </w:r>
          </w:p>
        </w:tc>
      </w:tr>
    </w:tbl>
    <w:p w:rsidR="00AC1D30" w:rsidRPr="00C238FB" w:rsidRDefault="001F0751" w:rsidP="005843B3">
      <w:pPr>
        <w:widowControl w:val="0"/>
        <w:autoSpaceDE w:val="0"/>
        <w:autoSpaceDN w:val="0"/>
        <w:spacing w:after="0" w:line="240" w:lineRule="auto"/>
        <w:ind w:right="355"/>
        <w:contextualSpacing/>
        <w:jc w:val="center"/>
        <w:rPr>
          <w:rFonts w:ascii="Times New Roman" w:hAnsi="Times New Roman" w:cs="Times New Roman"/>
        </w:rPr>
      </w:pPr>
      <w:r w:rsidRPr="00C238FB">
        <w:rPr>
          <w:rFonts w:ascii="Times New Roman" w:hAnsi="Times New Roman" w:cs="Times New Roman"/>
          <w:bCs/>
        </w:rPr>
        <w:t xml:space="preserve">Table </w:t>
      </w:r>
      <w:r w:rsidR="008D4D32">
        <w:rPr>
          <w:rFonts w:ascii="Times New Roman" w:hAnsi="Times New Roman" w:cs="Times New Roman"/>
          <w:bCs/>
        </w:rPr>
        <w:t>4</w:t>
      </w:r>
      <w:r w:rsidRPr="00C238FB">
        <w:rPr>
          <w:rFonts w:ascii="Times New Roman" w:hAnsi="Times New Roman" w:cs="Times New Roman"/>
          <w:bCs/>
        </w:rPr>
        <w:t>: Descriptive Statistics</w:t>
      </w:r>
    </w:p>
    <w:p w:rsidR="00C17ED0" w:rsidRPr="00C238FB" w:rsidRDefault="00C17ED0" w:rsidP="005843B3">
      <w:pPr>
        <w:spacing w:after="0" w:line="240" w:lineRule="auto"/>
        <w:jc w:val="both"/>
        <w:rPr>
          <w:rFonts w:ascii="Times New Roman" w:eastAsia="Times New Roman" w:hAnsi="Times New Roman" w:cs="Times New Roman"/>
          <w:kern w:val="0"/>
          <w:lang w:val="en-US"/>
        </w:rPr>
      </w:pPr>
    </w:p>
    <w:p w:rsidR="00C17ED0"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Table </w:t>
      </w:r>
      <w:r w:rsidR="008D4D32">
        <w:rPr>
          <w:rFonts w:ascii="Times New Roman" w:eastAsia="Times New Roman" w:hAnsi="Times New Roman" w:cs="Times New Roman"/>
          <w:kern w:val="0"/>
          <w:lang w:val="en-US"/>
        </w:rPr>
        <w:t>4</w:t>
      </w:r>
      <w:r w:rsidRPr="00C238FB">
        <w:rPr>
          <w:rFonts w:ascii="Times New Roman" w:eastAsia="Times New Roman" w:hAnsi="Times New Roman" w:cs="Times New Roman"/>
          <w:kern w:val="0"/>
          <w:lang w:val="en-US"/>
        </w:rPr>
        <w:t xml:space="preserve"> displays the descriptive statistics for five variables: Profitability, SDGs, Size, Debts, and Liquidity. Profitability ranges from 0.00 to 9.89, with a mean of 6.22 and a standard deviation of 3.45, reflecting heterogeneity in companies' profit levels. The SDGs variable ranges from 2.00 to 17.00, with a mean of 10.73 and a standard deviation of 3.42, indicating moderate alignment with sustainable development goals among the sample. The size varies from 8.17 to 11.26, with a mean of 9.50 and a low standard deviation of 0.75, indicating that most companies are of comparable size. Debts range from 0.00 to 4.57, with an average of 0.68 and a high standard deviation of 0.76, signifying considerable variability in the companies' debt levels. Finally, liquidity varies from 0.35 to 20.95, with a mean of 2.58 and a standard deviation of 2.73, indicating considerable disparity in the </w:t>
      </w:r>
      <w:r w:rsidR="00732962" w:rsidRPr="00C238FB">
        <w:rPr>
          <w:rFonts w:ascii="Times New Roman" w:eastAsia="Times New Roman" w:hAnsi="Times New Roman" w:cs="Times New Roman"/>
          <w:kern w:val="0"/>
          <w:lang w:val="en-US"/>
        </w:rPr>
        <w:t>companie</w:t>
      </w:r>
      <w:r w:rsidRPr="00C238FB">
        <w:rPr>
          <w:rFonts w:ascii="Times New Roman" w:eastAsia="Times New Roman" w:hAnsi="Times New Roman" w:cs="Times New Roman"/>
          <w:kern w:val="0"/>
          <w:lang w:val="en-US"/>
        </w:rPr>
        <w:t>s' capacity to fulfill short-term liabilities.</w:t>
      </w:r>
    </w:p>
    <w:p w:rsidR="00AC1D30" w:rsidRPr="00C238FB" w:rsidRDefault="00AC1D30" w:rsidP="005843B3">
      <w:pPr>
        <w:widowControl w:val="0"/>
        <w:autoSpaceDE w:val="0"/>
        <w:autoSpaceDN w:val="0"/>
        <w:spacing w:after="0" w:line="240" w:lineRule="auto"/>
        <w:ind w:right="355"/>
        <w:jc w:val="both"/>
        <w:rPr>
          <w:rFonts w:ascii="Times New Roman" w:hAnsi="Times New Roman" w:cs="Times New Roman"/>
        </w:rPr>
      </w:pPr>
    </w:p>
    <w:p w:rsidR="00C17ED0"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rPr>
      </w:pPr>
      <w:r w:rsidRPr="00C238FB">
        <w:rPr>
          <w:rFonts w:ascii="Times New Roman" w:hAnsi="Times New Roman" w:cs="Times New Roman"/>
          <w:b/>
        </w:rPr>
        <w:t xml:space="preserve">4.3 Correlations </w:t>
      </w:r>
    </w:p>
    <w:tbl>
      <w:tblPr>
        <w:tblW w:w="8936" w:type="dxa"/>
        <w:tblLayout w:type="fixed"/>
        <w:tblCellMar>
          <w:left w:w="0" w:type="dxa"/>
          <w:right w:w="0" w:type="dxa"/>
        </w:tblCellMar>
        <w:tblLook w:val="0000" w:firstRow="0" w:lastRow="0" w:firstColumn="0" w:lastColumn="0" w:noHBand="0" w:noVBand="0"/>
      </w:tblPr>
      <w:tblGrid>
        <w:gridCol w:w="1331"/>
        <w:gridCol w:w="1868"/>
        <w:gridCol w:w="1194"/>
        <w:gridCol w:w="1194"/>
        <w:gridCol w:w="1194"/>
        <w:gridCol w:w="1194"/>
        <w:gridCol w:w="961"/>
      </w:tblGrid>
      <w:tr w:rsidR="00DE5FD9" w:rsidTr="009D01D6">
        <w:trPr>
          <w:cantSplit/>
          <w:trHeight w:val="338"/>
        </w:trPr>
        <w:tc>
          <w:tcPr>
            <w:tcW w:w="3199" w:type="dxa"/>
            <w:gridSpan w:val="2"/>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Variable</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Profitability</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SDGs</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Debts</w:t>
            </w:r>
          </w:p>
        </w:tc>
        <w:tc>
          <w:tcPr>
            <w:tcW w:w="1194"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Liquidity</w:t>
            </w:r>
          </w:p>
        </w:tc>
        <w:tc>
          <w:tcPr>
            <w:tcW w:w="961" w:type="dxa"/>
            <w:tcBorders>
              <w:top w:val="single" w:sz="4" w:space="0" w:color="auto"/>
              <w:bottom w:val="single" w:sz="4" w:space="0" w:color="auto"/>
            </w:tcBorders>
            <w:shd w:val="clear" w:color="auto" w:fill="FFFFFF"/>
          </w:tcPr>
          <w:p w:rsidR="009D01D6" w:rsidRPr="00C238FB" w:rsidRDefault="001F0751" w:rsidP="005843B3">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Size</w:t>
            </w:r>
          </w:p>
        </w:tc>
      </w:tr>
      <w:tr w:rsidR="00DE5FD9" w:rsidTr="009D01D6">
        <w:trPr>
          <w:cantSplit/>
          <w:trHeight w:val="784"/>
        </w:trPr>
        <w:tc>
          <w:tcPr>
            <w:tcW w:w="1331" w:type="dxa"/>
            <w:vMerge w:val="restart"/>
            <w:tcBorders>
              <w:top w:val="single" w:sz="4" w:space="0" w:color="auto"/>
            </w:tcBorders>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Profitability</w:t>
            </w:r>
          </w:p>
        </w:tc>
        <w:tc>
          <w:tcPr>
            <w:tcW w:w="1868" w:type="dxa"/>
            <w:tcBorders>
              <w:top w:val="single" w:sz="4" w:space="0" w:color="auto"/>
            </w:tcBorders>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tcBorders>
              <w:top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1194"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tcBorders>
              <w:top w:val="single" w:sz="4" w:space="0" w:color="auto"/>
            </w:tcBorders>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SDGs</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-.108</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.196</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Debts</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-.046</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.027</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.580</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.748</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1194"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Liquidity</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-.005</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-.031</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-.402</w:t>
            </w:r>
            <w:r w:rsidRPr="00C238FB">
              <w:rPr>
                <w:rFonts w:ascii="Times New Roman" w:hAnsi="Times New Roman" w:cs="Times New Roman"/>
                <w:vertAlign w:val="superscript"/>
              </w:rPr>
              <w:t>*</w:t>
            </w:r>
            <w:r w:rsidR="00310B8B" w:rsidRPr="00C238FB">
              <w:rPr>
                <w:rFonts w:ascii="Times New Roman" w:hAnsi="Times New Roman" w:cs="Times New Roman"/>
                <w:vertAlign w:val="superscript"/>
              </w:rPr>
              <w:t>*</w:t>
            </w:r>
            <w:r w:rsidRPr="00C238FB">
              <w:rPr>
                <w:rFonts w:ascii="Times New Roman" w:hAnsi="Times New Roman" w:cs="Times New Roman"/>
                <w:vertAlign w:val="superscript"/>
              </w:rPr>
              <w:t>*</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143"/>
        </w:trPr>
        <w:tc>
          <w:tcPr>
            <w:tcW w:w="1331" w:type="dxa"/>
            <w:vMerge/>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.952</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.707</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.000</w:t>
            </w:r>
          </w:p>
        </w:tc>
        <w:tc>
          <w:tcPr>
            <w:tcW w:w="1194" w:type="dxa"/>
            <w:shd w:val="clear" w:color="auto" w:fill="FFFFFF"/>
          </w:tcPr>
          <w:p w:rsidR="009D01D6" w:rsidRPr="00C238FB" w:rsidRDefault="009D01D6" w:rsidP="005843B3">
            <w:pPr>
              <w:spacing w:after="0" w:line="240" w:lineRule="auto"/>
              <w:contextualSpacing/>
              <w:rPr>
                <w:rFonts w:ascii="Times New Roman" w:hAnsi="Times New Roman" w:cs="Times New Roman"/>
              </w:rPr>
            </w:pPr>
          </w:p>
        </w:tc>
        <w:tc>
          <w:tcPr>
            <w:tcW w:w="961" w:type="dxa"/>
            <w:shd w:val="clear" w:color="auto" w:fill="FFFFFF"/>
            <w:vAlign w:val="center"/>
          </w:tcPr>
          <w:p w:rsidR="009D01D6" w:rsidRPr="00C238FB" w:rsidRDefault="009D01D6" w:rsidP="005843B3">
            <w:pPr>
              <w:spacing w:after="0" w:line="240" w:lineRule="auto"/>
              <w:ind w:left="60" w:right="60"/>
              <w:contextualSpacing/>
              <w:jc w:val="right"/>
              <w:rPr>
                <w:rFonts w:ascii="Times New Roman" w:hAnsi="Times New Roman" w:cs="Times New Roman"/>
              </w:rPr>
            </w:pPr>
          </w:p>
        </w:tc>
      </w:tr>
      <w:tr w:rsidR="00DE5FD9" w:rsidTr="009D01D6">
        <w:trPr>
          <w:cantSplit/>
          <w:trHeight w:val="784"/>
        </w:trPr>
        <w:tc>
          <w:tcPr>
            <w:tcW w:w="1331" w:type="dxa"/>
            <w:vMerge w:val="restart"/>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Size</w:t>
            </w:r>
          </w:p>
        </w:tc>
        <w:tc>
          <w:tcPr>
            <w:tcW w:w="1868" w:type="dxa"/>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Pearson Correlation</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.136</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.158</w:t>
            </w:r>
            <w:r w:rsidR="00310B8B" w:rsidRPr="00C238FB">
              <w:rPr>
                <w:rFonts w:ascii="Times New Roman" w:hAnsi="Times New Roman" w:cs="Times New Roman"/>
              </w:rPr>
              <w:t>*</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.282</w:t>
            </w:r>
            <w:r w:rsidRPr="00C238FB">
              <w:rPr>
                <w:rFonts w:ascii="Times New Roman" w:hAnsi="Times New Roman" w:cs="Times New Roman"/>
                <w:vertAlign w:val="superscript"/>
              </w:rPr>
              <w:t>*</w:t>
            </w:r>
            <w:r w:rsidR="00310B8B" w:rsidRPr="00C238FB">
              <w:rPr>
                <w:rFonts w:ascii="Times New Roman" w:hAnsi="Times New Roman" w:cs="Times New Roman"/>
                <w:vertAlign w:val="superscript"/>
              </w:rPr>
              <w:t>*</w:t>
            </w:r>
            <w:r w:rsidRPr="00C238FB">
              <w:rPr>
                <w:rFonts w:ascii="Times New Roman" w:hAnsi="Times New Roman" w:cs="Times New Roman"/>
                <w:vertAlign w:val="superscript"/>
              </w:rPr>
              <w:t>*</w:t>
            </w:r>
          </w:p>
        </w:tc>
        <w:tc>
          <w:tcPr>
            <w:tcW w:w="1194"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-.310</w:t>
            </w:r>
            <w:r w:rsidRPr="00C238FB">
              <w:rPr>
                <w:rFonts w:ascii="Times New Roman" w:hAnsi="Times New Roman" w:cs="Times New Roman"/>
                <w:vertAlign w:val="superscript"/>
              </w:rPr>
              <w:t>**</w:t>
            </w:r>
            <w:r w:rsidR="00310B8B" w:rsidRPr="00C238FB">
              <w:rPr>
                <w:rFonts w:ascii="Times New Roman" w:hAnsi="Times New Roman" w:cs="Times New Roman"/>
                <w:vertAlign w:val="superscript"/>
              </w:rPr>
              <w:t>*</w:t>
            </w:r>
          </w:p>
        </w:tc>
        <w:tc>
          <w:tcPr>
            <w:tcW w:w="961" w:type="dxa"/>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w:t>
            </w:r>
          </w:p>
        </w:tc>
      </w:tr>
      <w:tr w:rsidR="00DE5FD9" w:rsidTr="009D01D6">
        <w:trPr>
          <w:cantSplit/>
          <w:trHeight w:val="143"/>
        </w:trPr>
        <w:tc>
          <w:tcPr>
            <w:tcW w:w="1331" w:type="dxa"/>
            <w:vMerge/>
            <w:tcBorders>
              <w:bottom w:val="single" w:sz="4" w:space="0" w:color="auto"/>
            </w:tcBorders>
            <w:shd w:val="clear" w:color="auto" w:fill="FFFFFF"/>
            <w:vAlign w:val="center"/>
          </w:tcPr>
          <w:p w:rsidR="009D01D6" w:rsidRPr="00C238FB" w:rsidRDefault="009D01D6" w:rsidP="005843B3">
            <w:pPr>
              <w:spacing w:after="0" w:line="240" w:lineRule="auto"/>
              <w:contextualSpacing/>
              <w:rPr>
                <w:rFonts w:ascii="Times New Roman" w:hAnsi="Times New Roman" w:cs="Times New Roman"/>
              </w:rPr>
            </w:pPr>
          </w:p>
        </w:tc>
        <w:tc>
          <w:tcPr>
            <w:tcW w:w="1868"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xml:space="preserve">Sig. </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.102</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.056</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.001</w:t>
            </w:r>
          </w:p>
        </w:tc>
        <w:tc>
          <w:tcPr>
            <w:tcW w:w="1194" w:type="dxa"/>
            <w:tcBorders>
              <w:bottom w:val="single" w:sz="4" w:space="0" w:color="auto"/>
            </w:tcBorders>
            <w:shd w:val="clear" w:color="auto" w:fill="FFFFFF"/>
            <w:vAlign w:val="center"/>
          </w:tcPr>
          <w:p w:rsidR="009D01D6" w:rsidRPr="00C238FB" w:rsidRDefault="001F0751" w:rsidP="005843B3">
            <w:pPr>
              <w:spacing w:after="0" w:line="240" w:lineRule="auto"/>
              <w:ind w:left="60" w:right="60"/>
              <w:contextualSpacing/>
              <w:jc w:val="right"/>
              <w:rPr>
                <w:rFonts w:ascii="Times New Roman" w:hAnsi="Times New Roman" w:cs="Times New Roman"/>
              </w:rPr>
            </w:pPr>
            <w:r w:rsidRPr="00C238FB">
              <w:rPr>
                <w:rFonts w:ascii="Times New Roman" w:hAnsi="Times New Roman" w:cs="Times New Roman"/>
              </w:rPr>
              <w:t>.000</w:t>
            </w:r>
          </w:p>
        </w:tc>
        <w:tc>
          <w:tcPr>
            <w:tcW w:w="961" w:type="dxa"/>
            <w:tcBorders>
              <w:bottom w:val="single" w:sz="4" w:space="0" w:color="auto"/>
            </w:tcBorders>
            <w:shd w:val="clear" w:color="auto" w:fill="FFFFFF"/>
          </w:tcPr>
          <w:p w:rsidR="009D01D6" w:rsidRPr="00C238FB" w:rsidRDefault="009D01D6" w:rsidP="005843B3">
            <w:pPr>
              <w:spacing w:after="0" w:line="240" w:lineRule="auto"/>
              <w:contextualSpacing/>
              <w:rPr>
                <w:rFonts w:ascii="Times New Roman" w:hAnsi="Times New Roman" w:cs="Times New Roman"/>
              </w:rPr>
            </w:pPr>
          </w:p>
        </w:tc>
      </w:tr>
      <w:tr w:rsidR="00DE5FD9" w:rsidTr="00310B8B">
        <w:trPr>
          <w:cantSplit/>
          <w:trHeight w:val="70"/>
        </w:trPr>
        <w:tc>
          <w:tcPr>
            <w:tcW w:w="8931" w:type="dxa"/>
            <w:gridSpan w:val="7"/>
            <w:shd w:val="clear" w:color="auto" w:fill="FFFFFF"/>
          </w:tcPr>
          <w:p w:rsidR="00310B8B" w:rsidRPr="00C238FB" w:rsidRDefault="001F0751" w:rsidP="005843B3">
            <w:pPr>
              <w:pBdr>
                <w:top w:val="single" w:sz="4" w:space="1" w:color="auto"/>
              </w:pBdr>
              <w:spacing w:after="0" w:line="240" w:lineRule="auto"/>
              <w:ind w:left="60" w:right="60"/>
              <w:contextualSpacing/>
              <w:jc w:val="both"/>
              <w:rPr>
                <w:rFonts w:ascii="Times New Roman" w:hAnsi="Times New Roman" w:cs="Times New Roman"/>
              </w:rPr>
            </w:pPr>
            <w:r w:rsidRPr="00C238FB">
              <w:rPr>
                <w:rFonts w:ascii="Times New Roman" w:hAnsi="Times New Roman" w:cs="Times New Roman"/>
              </w:rPr>
              <w:lastRenderedPageBreak/>
              <w:t xml:space="preserve">***. Correlation is significant at the 0.01 level, *. Correlation is significant at the 0.10 level, </w:t>
            </w:r>
          </w:p>
          <w:p w:rsidR="009D01D6" w:rsidRPr="00C238FB" w:rsidRDefault="001F0751" w:rsidP="008D4D32">
            <w:pPr>
              <w:spacing w:after="0" w:line="240" w:lineRule="auto"/>
              <w:ind w:left="60" w:right="60"/>
              <w:contextualSpacing/>
              <w:jc w:val="center"/>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5</w:t>
            </w:r>
            <w:r w:rsidRPr="00C238FB">
              <w:rPr>
                <w:rFonts w:ascii="Times New Roman" w:hAnsi="Times New Roman" w:cs="Times New Roman"/>
              </w:rPr>
              <w:t xml:space="preserve">: </w:t>
            </w:r>
            <w:r w:rsidRPr="00C238FB">
              <w:rPr>
                <w:rFonts w:ascii="Times New Roman" w:hAnsi="Times New Roman" w:cs="Times New Roman"/>
                <w:bCs/>
              </w:rPr>
              <w:t>Correlations</w:t>
            </w:r>
          </w:p>
        </w:tc>
      </w:tr>
    </w:tbl>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p w:rsidR="009D01D6"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The correlation coefficients in table </w:t>
      </w:r>
      <w:r w:rsidR="008D4D32">
        <w:rPr>
          <w:rFonts w:ascii="Times New Roman" w:eastAsia="Times New Roman" w:hAnsi="Times New Roman" w:cs="Times New Roman"/>
          <w:kern w:val="0"/>
          <w:lang w:val="en-US"/>
        </w:rPr>
        <w:t>5</w:t>
      </w:r>
      <w:r w:rsidR="0087236F">
        <w:rPr>
          <w:rFonts w:ascii="Times New Roman" w:eastAsia="Times New Roman" w:hAnsi="Times New Roman" w:cs="Times New Roman"/>
          <w:kern w:val="0"/>
          <w:lang w:val="en-US"/>
        </w:rPr>
        <w:t xml:space="preserve"> </w:t>
      </w:r>
      <w:r w:rsidRPr="00C238FB">
        <w:rPr>
          <w:rFonts w:ascii="Times New Roman" w:eastAsia="Times New Roman" w:hAnsi="Times New Roman" w:cs="Times New Roman"/>
          <w:kern w:val="0"/>
          <w:lang w:val="en-US"/>
        </w:rPr>
        <w:t>indicate a lack of significant multicollinearity among the variables. Although the correlations among the majority of variables are rather weak, notable correlations exist, specifically between Debts and Liquidity (-0.402**) and between Debts and Size (0.282**), both of which are statistically significant at the 0.01 level.</w:t>
      </w:r>
      <w:r w:rsidR="00310B8B" w:rsidRPr="00C238FB">
        <w:rPr>
          <w:rFonts w:ascii="Times New Roman" w:eastAsia="Times New Roman" w:hAnsi="Times New Roman" w:cs="Times New Roman"/>
          <w:kern w:val="0"/>
          <w:lang w:val="en-US"/>
        </w:rPr>
        <w:t xml:space="preserve"> Size also positively correlated with SDGs at 0.10 significant levels.</w:t>
      </w:r>
      <w:r w:rsidRPr="00C238FB">
        <w:rPr>
          <w:rFonts w:ascii="Times New Roman" w:eastAsia="Times New Roman" w:hAnsi="Times New Roman" w:cs="Times New Roman"/>
          <w:kern w:val="0"/>
          <w:lang w:val="en-US"/>
        </w:rPr>
        <w:t xml:space="preserve"> The strength of these correlations does not signify significant collinearity, as they fall below the conventional thresholds of 0.7 or 0.8 which would imply concerning multicollinearity. Consequently, multicollinearity is improbable to pose a substantial problem given these correlation findings.</w:t>
      </w:r>
    </w:p>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p w:rsidR="00C17ED0" w:rsidRPr="00C238FB" w:rsidRDefault="001F0751" w:rsidP="005843B3">
      <w:pPr>
        <w:widowControl w:val="0"/>
        <w:autoSpaceDE w:val="0"/>
        <w:autoSpaceDN w:val="0"/>
        <w:spacing w:after="0" w:line="240" w:lineRule="auto"/>
        <w:ind w:right="355"/>
        <w:jc w:val="both"/>
        <w:rPr>
          <w:rFonts w:ascii="Times New Roman" w:hAnsi="Times New Roman" w:cs="Times New Roman"/>
          <w:b/>
          <w:bCs/>
        </w:rPr>
      </w:pPr>
      <w:r w:rsidRPr="00C238FB">
        <w:rPr>
          <w:rFonts w:ascii="Times New Roman" w:hAnsi="Times New Roman" w:cs="Times New Roman"/>
          <w:b/>
        </w:rPr>
        <w:t>4.4</w:t>
      </w:r>
      <w:r w:rsidRPr="00C238FB">
        <w:rPr>
          <w:rFonts w:ascii="Times New Roman" w:hAnsi="Times New Roman" w:cs="Times New Roman"/>
          <w:b/>
          <w:bCs/>
        </w:rPr>
        <w:t>Model Summary</w:t>
      </w:r>
    </w:p>
    <w:p w:rsidR="00336224" w:rsidRPr="00C238FB" w:rsidRDefault="00336224" w:rsidP="005843B3">
      <w:pPr>
        <w:widowControl w:val="0"/>
        <w:autoSpaceDE w:val="0"/>
        <w:autoSpaceDN w:val="0"/>
        <w:spacing w:after="0" w:line="240" w:lineRule="auto"/>
        <w:ind w:right="355"/>
        <w:jc w:val="both"/>
        <w:rPr>
          <w:rFonts w:ascii="Times New Roman" w:hAnsi="Times New Roman" w:cs="Times New Roman"/>
        </w:rPr>
      </w:pPr>
    </w:p>
    <w:tbl>
      <w:tblPr>
        <w:tblW w:w="8676" w:type="dxa"/>
        <w:tblInd w:w="20" w:type="dxa"/>
        <w:tblLayout w:type="fixed"/>
        <w:tblCellMar>
          <w:left w:w="0" w:type="dxa"/>
          <w:right w:w="0" w:type="dxa"/>
        </w:tblCellMar>
        <w:tblLook w:val="0000" w:firstRow="0" w:lastRow="0" w:firstColumn="0" w:lastColumn="0" w:noHBand="0" w:noVBand="0"/>
      </w:tblPr>
      <w:tblGrid>
        <w:gridCol w:w="818"/>
        <w:gridCol w:w="708"/>
        <w:gridCol w:w="1276"/>
        <w:gridCol w:w="2552"/>
        <w:gridCol w:w="3322"/>
      </w:tblGrid>
      <w:tr w:rsidR="00DE5FD9" w:rsidTr="00336224">
        <w:trPr>
          <w:cantSplit/>
          <w:trHeight w:val="413"/>
        </w:trPr>
        <w:tc>
          <w:tcPr>
            <w:tcW w:w="818"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Model</w:t>
            </w:r>
          </w:p>
        </w:tc>
        <w:tc>
          <w:tcPr>
            <w:tcW w:w="708"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R</w:t>
            </w:r>
          </w:p>
        </w:tc>
        <w:tc>
          <w:tcPr>
            <w:tcW w:w="1276"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R Square</w:t>
            </w:r>
          </w:p>
        </w:tc>
        <w:tc>
          <w:tcPr>
            <w:tcW w:w="2552"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Adjusted R Square</w:t>
            </w:r>
          </w:p>
        </w:tc>
        <w:tc>
          <w:tcPr>
            <w:tcW w:w="3322" w:type="dxa"/>
            <w:tcBorders>
              <w:top w:val="single" w:sz="4" w:space="0" w:color="auto"/>
              <w:bottom w:val="single" w:sz="4" w:space="0" w:color="auto"/>
            </w:tcBorders>
            <w:shd w:val="clear" w:color="auto" w:fill="FFFFFF"/>
          </w:tcPr>
          <w:p w:rsidR="00336224"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Std. Error of the Estimate</w:t>
            </w:r>
          </w:p>
        </w:tc>
      </w:tr>
      <w:tr w:rsidR="00DE5FD9" w:rsidTr="00336224">
        <w:trPr>
          <w:cantSplit/>
          <w:trHeight w:val="207"/>
        </w:trPr>
        <w:tc>
          <w:tcPr>
            <w:tcW w:w="818"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1</w:t>
            </w:r>
          </w:p>
        </w:tc>
        <w:tc>
          <w:tcPr>
            <w:tcW w:w="708"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.249</w:t>
            </w:r>
            <w:r w:rsidRPr="00C238FB">
              <w:rPr>
                <w:rFonts w:ascii="Times New Roman" w:hAnsi="Times New Roman" w:cs="Times New Roman"/>
                <w:vertAlign w:val="superscript"/>
              </w:rPr>
              <w:t>a</w:t>
            </w:r>
          </w:p>
        </w:tc>
        <w:tc>
          <w:tcPr>
            <w:tcW w:w="1276"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.062</w:t>
            </w:r>
          </w:p>
        </w:tc>
        <w:tc>
          <w:tcPr>
            <w:tcW w:w="2552"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.036</w:t>
            </w:r>
          </w:p>
        </w:tc>
        <w:tc>
          <w:tcPr>
            <w:tcW w:w="3322" w:type="dxa"/>
            <w:tcBorders>
              <w:top w:val="single" w:sz="4" w:space="0" w:color="auto"/>
              <w:bottom w:val="single" w:sz="4" w:space="0" w:color="auto"/>
            </w:tcBorders>
            <w:shd w:val="clear" w:color="auto" w:fill="FFFFFF"/>
            <w:vAlign w:val="center"/>
          </w:tcPr>
          <w:p w:rsidR="00336224"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3.409</w:t>
            </w:r>
          </w:p>
        </w:tc>
      </w:tr>
    </w:tbl>
    <w:p w:rsidR="00336224" w:rsidRPr="00C238FB" w:rsidRDefault="001F0751" w:rsidP="005843B3">
      <w:pPr>
        <w:spacing w:after="0" w:line="240" w:lineRule="auto"/>
        <w:jc w:val="center"/>
        <w:rPr>
          <w:rFonts w:ascii="Times New Roman" w:hAnsi="Times New Roman" w:cs="Times New Roman"/>
        </w:rPr>
      </w:pPr>
      <w:r w:rsidRPr="00C238FB">
        <w:rPr>
          <w:rFonts w:ascii="Times New Roman" w:hAnsi="Times New Roman" w:cs="Times New Roman"/>
        </w:rPr>
        <w:t xml:space="preserve">Table </w:t>
      </w:r>
      <w:r w:rsidR="008D4D32">
        <w:rPr>
          <w:rFonts w:ascii="Times New Roman" w:hAnsi="Times New Roman" w:cs="Times New Roman"/>
        </w:rPr>
        <w:t>6</w:t>
      </w:r>
      <w:r w:rsidRPr="00C238FB">
        <w:rPr>
          <w:rFonts w:ascii="Times New Roman" w:hAnsi="Times New Roman" w:cs="Times New Roman"/>
        </w:rPr>
        <w:t xml:space="preserve">: </w:t>
      </w:r>
      <w:r w:rsidRPr="00C238FB">
        <w:rPr>
          <w:rFonts w:ascii="Times New Roman" w:hAnsi="Times New Roman" w:cs="Times New Roman"/>
          <w:bCs/>
        </w:rPr>
        <w:t>Model Summary</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DE5FD9" w:rsidTr="00336224">
        <w:trPr>
          <w:cantSplit/>
        </w:trPr>
        <w:tc>
          <w:tcPr>
            <w:tcW w:w="5889" w:type="dxa"/>
            <w:tcBorders>
              <w:top w:val="nil"/>
              <w:left w:val="nil"/>
              <w:bottom w:val="nil"/>
              <w:right w:val="nil"/>
            </w:tcBorders>
            <w:shd w:val="clear" w:color="auto" w:fill="FFFFFF"/>
          </w:tcPr>
          <w:p w:rsidR="00310B8B" w:rsidRPr="00C238FB" w:rsidRDefault="001F0751" w:rsidP="005843B3">
            <w:pPr>
              <w:pStyle w:val="ListParagraph"/>
              <w:numPr>
                <w:ilvl w:val="0"/>
                <w:numId w:val="1"/>
              </w:numPr>
              <w:spacing w:after="0" w:line="240" w:lineRule="auto"/>
              <w:ind w:right="60"/>
              <w:rPr>
                <w:rFonts w:ascii="Times New Roman" w:hAnsi="Times New Roman" w:cs="Times New Roman"/>
              </w:rPr>
            </w:pPr>
            <w:r w:rsidRPr="00C238FB">
              <w:rPr>
                <w:rFonts w:ascii="Times New Roman" w:hAnsi="Times New Roman" w:cs="Times New Roman"/>
              </w:rPr>
              <w:t>Dependent Variable: Profitability</w:t>
            </w:r>
          </w:p>
          <w:p w:rsidR="00336224" w:rsidRPr="00C238FB" w:rsidRDefault="001F0751" w:rsidP="005843B3">
            <w:pPr>
              <w:pStyle w:val="ListParagraph"/>
              <w:numPr>
                <w:ilvl w:val="0"/>
                <w:numId w:val="1"/>
              </w:numPr>
              <w:spacing w:after="0" w:line="240" w:lineRule="auto"/>
              <w:ind w:right="60"/>
              <w:rPr>
                <w:rFonts w:ascii="Times New Roman" w:hAnsi="Times New Roman" w:cs="Times New Roman"/>
              </w:rPr>
            </w:pPr>
            <w:r w:rsidRPr="00C238FB">
              <w:rPr>
                <w:rFonts w:ascii="Times New Roman" w:hAnsi="Times New Roman" w:cs="Times New Roman"/>
              </w:rPr>
              <w:t xml:space="preserve">Predictors: (Constant), SDGs, </w:t>
            </w:r>
            <w:r w:rsidR="00C45416" w:rsidRPr="00C238FB">
              <w:rPr>
                <w:rFonts w:ascii="Times New Roman" w:hAnsi="Times New Roman" w:cs="Times New Roman"/>
              </w:rPr>
              <w:t>Size, Debts</w:t>
            </w:r>
            <w:r w:rsidRPr="00C238FB">
              <w:rPr>
                <w:rFonts w:ascii="Times New Roman" w:hAnsi="Times New Roman" w:cs="Times New Roman"/>
              </w:rPr>
              <w:t>, Liquidity</w:t>
            </w:r>
          </w:p>
        </w:tc>
      </w:tr>
    </w:tbl>
    <w:p w:rsidR="00732962" w:rsidRPr="00C238FB" w:rsidRDefault="00732962" w:rsidP="005843B3">
      <w:pPr>
        <w:spacing w:after="0" w:line="240" w:lineRule="auto"/>
        <w:jc w:val="both"/>
        <w:rPr>
          <w:rFonts w:ascii="Times New Roman" w:eastAsia="Times New Roman" w:hAnsi="Times New Roman" w:cs="Times New Roman"/>
          <w:kern w:val="0"/>
          <w:lang w:val="en-US"/>
        </w:rPr>
      </w:pPr>
    </w:p>
    <w:p w:rsidR="00336224"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The Model Summary in Table </w:t>
      </w:r>
      <w:r w:rsidR="008D4D32">
        <w:rPr>
          <w:rFonts w:ascii="Times New Roman" w:eastAsia="Times New Roman" w:hAnsi="Times New Roman" w:cs="Times New Roman"/>
          <w:kern w:val="0"/>
          <w:lang w:val="en-US"/>
        </w:rPr>
        <w:t>6</w:t>
      </w:r>
      <w:r w:rsidRPr="00C238FB">
        <w:rPr>
          <w:rFonts w:ascii="Times New Roman" w:eastAsia="Times New Roman" w:hAnsi="Times New Roman" w:cs="Times New Roman"/>
          <w:kern w:val="0"/>
          <w:lang w:val="en-US"/>
        </w:rPr>
        <w:t xml:space="preserve"> provides essential statistics for a regression model forecasting profitability based on the variables SDGs, Size, Debts, and Liquidity. An R score of 0.249 signifies a weak positive linear correlation between the predictors and profitability. An R Square value of 0.062 indicates that 6.2% of the variability in profitability is accounted for by the independent variables in the model. The Adjusted R Square value of 0.036 considers the quantity of predictors in the model. The Standard Error of the Estimate (3.409) signifies the average deviation of the observed values from the regression line, reflecting the degree of prediction error.</w:t>
      </w:r>
    </w:p>
    <w:p w:rsidR="00336224" w:rsidRPr="00C238FB" w:rsidRDefault="00336224" w:rsidP="005843B3">
      <w:pPr>
        <w:widowControl w:val="0"/>
        <w:autoSpaceDE w:val="0"/>
        <w:autoSpaceDN w:val="0"/>
        <w:spacing w:after="0" w:line="240" w:lineRule="auto"/>
        <w:ind w:right="355"/>
        <w:jc w:val="both"/>
        <w:rPr>
          <w:rFonts w:ascii="Times New Roman" w:hAnsi="Times New Roman" w:cs="Times New Roman"/>
        </w:rPr>
      </w:pPr>
    </w:p>
    <w:p w:rsidR="00336224" w:rsidRPr="00C238FB" w:rsidRDefault="001F0751" w:rsidP="00923091">
      <w:pPr>
        <w:widowControl w:val="0"/>
        <w:autoSpaceDE w:val="0"/>
        <w:autoSpaceDN w:val="0"/>
        <w:spacing w:after="0" w:line="240" w:lineRule="auto"/>
        <w:ind w:right="355"/>
        <w:jc w:val="both"/>
        <w:outlineLvl w:val="0"/>
        <w:rPr>
          <w:rFonts w:ascii="Times New Roman" w:hAnsi="Times New Roman" w:cs="Times New Roman"/>
          <w:b/>
          <w:bCs/>
          <w:kern w:val="0"/>
          <w:lang w:val="en-US"/>
        </w:rPr>
      </w:pPr>
      <w:r w:rsidRPr="00C238FB">
        <w:rPr>
          <w:rFonts w:ascii="Times New Roman" w:hAnsi="Times New Roman" w:cs="Times New Roman"/>
          <w:b/>
        </w:rPr>
        <w:t xml:space="preserve">4.5 </w:t>
      </w:r>
      <w:r w:rsidR="00310B8B" w:rsidRPr="00C238FB">
        <w:rPr>
          <w:rFonts w:ascii="Times New Roman" w:hAnsi="Times New Roman" w:cs="Times New Roman"/>
          <w:b/>
          <w:bCs/>
          <w:kern w:val="0"/>
          <w:lang w:val="en-US"/>
        </w:rPr>
        <w:t>ANOVA</w:t>
      </w:r>
    </w:p>
    <w:p w:rsidR="00732962" w:rsidRPr="00C238FB" w:rsidRDefault="00732962" w:rsidP="005843B3">
      <w:pPr>
        <w:widowControl w:val="0"/>
        <w:autoSpaceDE w:val="0"/>
        <w:autoSpaceDN w:val="0"/>
        <w:spacing w:after="0" w:line="240" w:lineRule="auto"/>
        <w:ind w:right="355"/>
        <w:jc w:val="both"/>
        <w:rPr>
          <w:rFonts w:ascii="Times New Roman" w:hAnsi="Times New Roman" w:cs="Times New Roman"/>
          <w:b/>
        </w:rPr>
      </w:pPr>
    </w:p>
    <w:tbl>
      <w:tblPr>
        <w:tblW w:w="7893" w:type="dxa"/>
        <w:jc w:val="center"/>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DE5FD9" w:rsidTr="00732962">
        <w:trPr>
          <w:cantSplit/>
          <w:jc w:val="center"/>
        </w:trPr>
        <w:tc>
          <w:tcPr>
            <w:tcW w:w="2002" w:type="dxa"/>
            <w:gridSpan w:val="2"/>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Model</w:t>
            </w:r>
          </w:p>
        </w:tc>
        <w:tc>
          <w:tcPr>
            <w:tcW w:w="1469"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Sum of Squares</w:t>
            </w:r>
          </w:p>
        </w:tc>
        <w:tc>
          <w:tcPr>
            <w:tcW w:w="1010"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df</w:t>
            </w:r>
          </w:p>
        </w:tc>
        <w:tc>
          <w:tcPr>
            <w:tcW w:w="1392"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Mean Square</w:t>
            </w:r>
          </w:p>
        </w:tc>
        <w:tc>
          <w:tcPr>
            <w:tcW w:w="1010"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F</w:t>
            </w:r>
          </w:p>
        </w:tc>
        <w:tc>
          <w:tcPr>
            <w:tcW w:w="1010" w:type="dxa"/>
            <w:tcBorders>
              <w:top w:val="single" w:sz="4" w:space="0" w:color="auto"/>
              <w:bottom w:val="single" w:sz="4" w:space="0" w:color="auto"/>
            </w:tcBorders>
            <w:shd w:val="clear" w:color="auto" w:fill="FFFFFF"/>
          </w:tcPr>
          <w:p w:rsidR="00336224" w:rsidRPr="00C238FB" w:rsidRDefault="001F0751" w:rsidP="005843B3">
            <w:pPr>
              <w:autoSpaceDE w:val="0"/>
              <w:autoSpaceDN w:val="0"/>
              <w:adjustRightInd w:val="0"/>
              <w:spacing w:after="0" w:line="240" w:lineRule="auto"/>
              <w:ind w:left="60" w:right="60"/>
              <w:jc w:val="center"/>
              <w:rPr>
                <w:rFonts w:ascii="Times New Roman" w:hAnsi="Times New Roman" w:cs="Times New Roman"/>
                <w:kern w:val="0"/>
                <w:lang w:val="en-US"/>
              </w:rPr>
            </w:pPr>
            <w:r w:rsidRPr="00C238FB">
              <w:rPr>
                <w:rFonts w:ascii="Times New Roman" w:hAnsi="Times New Roman" w:cs="Times New Roman"/>
                <w:kern w:val="0"/>
                <w:lang w:val="en-US"/>
              </w:rPr>
              <w:t>Sig.</w:t>
            </w:r>
          </w:p>
        </w:tc>
      </w:tr>
      <w:tr w:rsidR="00DE5FD9" w:rsidTr="00732962">
        <w:trPr>
          <w:cantSplit/>
          <w:jc w:val="center"/>
        </w:trPr>
        <w:tc>
          <w:tcPr>
            <w:tcW w:w="733" w:type="dxa"/>
            <w:vMerge w:val="restart"/>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1</w:t>
            </w:r>
          </w:p>
        </w:tc>
        <w:tc>
          <w:tcPr>
            <w:tcW w:w="1269"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Regression</w:t>
            </w:r>
          </w:p>
        </w:tc>
        <w:tc>
          <w:tcPr>
            <w:tcW w:w="1469"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112.645</w:t>
            </w:r>
          </w:p>
        </w:tc>
        <w:tc>
          <w:tcPr>
            <w:tcW w:w="1010"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4</w:t>
            </w:r>
          </w:p>
        </w:tc>
        <w:tc>
          <w:tcPr>
            <w:tcW w:w="1392"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28.161</w:t>
            </w:r>
          </w:p>
        </w:tc>
        <w:tc>
          <w:tcPr>
            <w:tcW w:w="1010"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2.424</w:t>
            </w:r>
          </w:p>
        </w:tc>
        <w:tc>
          <w:tcPr>
            <w:tcW w:w="1010" w:type="dxa"/>
            <w:tcBorders>
              <w:top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.051</w:t>
            </w:r>
            <w:r w:rsidR="00D87DD1" w:rsidRPr="00C238FB">
              <w:rPr>
                <w:rFonts w:ascii="Times New Roman" w:hAnsi="Times New Roman" w:cs="Times New Roman"/>
                <w:kern w:val="0"/>
                <w:vertAlign w:val="superscript"/>
                <w:lang w:val="en-US"/>
              </w:rPr>
              <w:t>ab</w:t>
            </w:r>
            <w:r w:rsidR="00310B8B" w:rsidRPr="00C238FB">
              <w:rPr>
                <w:rFonts w:ascii="Times New Roman" w:hAnsi="Times New Roman" w:cs="Times New Roman"/>
                <w:kern w:val="0"/>
                <w:lang w:val="en-US"/>
              </w:rPr>
              <w:t>*</w:t>
            </w:r>
          </w:p>
        </w:tc>
      </w:tr>
      <w:tr w:rsidR="00DE5FD9" w:rsidTr="00732962">
        <w:trPr>
          <w:cantSplit/>
          <w:jc w:val="center"/>
        </w:trPr>
        <w:tc>
          <w:tcPr>
            <w:tcW w:w="733" w:type="dxa"/>
            <w:vMerge/>
            <w:shd w:val="clear" w:color="auto" w:fill="FFFFFF"/>
            <w:vAlign w:val="center"/>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269" w:type="dxa"/>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Residual</w:t>
            </w:r>
          </w:p>
        </w:tc>
        <w:tc>
          <w:tcPr>
            <w:tcW w:w="1469" w:type="dxa"/>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1707.987</w:t>
            </w:r>
          </w:p>
        </w:tc>
        <w:tc>
          <w:tcPr>
            <w:tcW w:w="1010" w:type="dxa"/>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147</w:t>
            </w:r>
          </w:p>
        </w:tc>
        <w:tc>
          <w:tcPr>
            <w:tcW w:w="1392" w:type="dxa"/>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11.619</w:t>
            </w:r>
          </w:p>
        </w:tc>
        <w:tc>
          <w:tcPr>
            <w:tcW w:w="1010" w:type="dxa"/>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010" w:type="dxa"/>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r>
      <w:tr w:rsidR="00DE5FD9" w:rsidTr="00732962">
        <w:trPr>
          <w:cantSplit/>
          <w:jc w:val="center"/>
        </w:trPr>
        <w:tc>
          <w:tcPr>
            <w:tcW w:w="733" w:type="dxa"/>
            <w:vMerge/>
            <w:tcBorders>
              <w:bottom w:val="single" w:sz="4" w:space="0" w:color="auto"/>
            </w:tcBorders>
            <w:shd w:val="clear" w:color="auto" w:fill="FFFFFF"/>
            <w:vAlign w:val="center"/>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269" w:type="dxa"/>
            <w:tcBorders>
              <w:bottom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Total</w:t>
            </w:r>
          </w:p>
        </w:tc>
        <w:tc>
          <w:tcPr>
            <w:tcW w:w="1469" w:type="dxa"/>
            <w:tcBorders>
              <w:bottom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1820.631</w:t>
            </w:r>
          </w:p>
        </w:tc>
        <w:tc>
          <w:tcPr>
            <w:tcW w:w="1010" w:type="dxa"/>
            <w:tcBorders>
              <w:bottom w:val="single" w:sz="4" w:space="0" w:color="auto"/>
            </w:tcBorders>
            <w:shd w:val="clear" w:color="auto" w:fill="FFFFFF"/>
            <w:vAlign w:val="center"/>
          </w:tcPr>
          <w:p w:rsidR="00336224" w:rsidRPr="00C238FB" w:rsidRDefault="001F0751" w:rsidP="005843B3">
            <w:pPr>
              <w:autoSpaceDE w:val="0"/>
              <w:autoSpaceDN w:val="0"/>
              <w:adjustRightInd w:val="0"/>
              <w:spacing w:after="0" w:line="240" w:lineRule="auto"/>
              <w:ind w:left="60" w:right="60"/>
              <w:jc w:val="right"/>
              <w:rPr>
                <w:rFonts w:ascii="Times New Roman" w:hAnsi="Times New Roman" w:cs="Times New Roman"/>
                <w:kern w:val="0"/>
                <w:lang w:val="en-US"/>
              </w:rPr>
            </w:pPr>
            <w:r w:rsidRPr="00C238FB">
              <w:rPr>
                <w:rFonts w:ascii="Times New Roman" w:hAnsi="Times New Roman" w:cs="Times New Roman"/>
                <w:kern w:val="0"/>
                <w:lang w:val="en-US"/>
              </w:rPr>
              <w:t>151</w:t>
            </w:r>
          </w:p>
        </w:tc>
        <w:tc>
          <w:tcPr>
            <w:tcW w:w="1392" w:type="dxa"/>
            <w:tcBorders>
              <w:bottom w:val="single" w:sz="4" w:space="0" w:color="auto"/>
            </w:tcBorders>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010" w:type="dxa"/>
            <w:tcBorders>
              <w:bottom w:val="single" w:sz="4" w:space="0" w:color="auto"/>
            </w:tcBorders>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c>
          <w:tcPr>
            <w:tcW w:w="1010" w:type="dxa"/>
            <w:tcBorders>
              <w:bottom w:val="single" w:sz="4" w:space="0" w:color="auto"/>
            </w:tcBorders>
            <w:shd w:val="clear" w:color="auto" w:fill="FFFFFF"/>
          </w:tcPr>
          <w:p w:rsidR="00336224" w:rsidRPr="00C238FB" w:rsidRDefault="00336224" w:rsidP="005843B3">
            <w:pPr>
              <w:autoSpaceDE w:val="0"/>
              <w:autoSpaceDN w:val="0"/>
              <w:adjustRightInd w:val="0"/>
              <w:spacing w:after="0" w:line="240" w:lineRule="auto"/>
              <w:rPr>
                <w:rFonts w:ascii="Times New Roman" w:hAnsi="Times New Roman" w:cs="Times New Roman"/>
                <w:kern w:val="0"/>
                <w:lang w:val="en-US"/>
              </w:rPr>
            </w:pPr>
          </w:p>
        </w:tc>
      </w:tr>
      <w:tr w:rsidR="00DE5FD9" w:rsidTr="00732962">
        <w:trPr>
          <w:cantSplit/>
          <w:jc w:val="center"/>
        </w:trPr>
        <w:tc>
          <w:tcPr>
            <w:tcW w:w="7893" w:type="dxa"/>
            <w:gridSpan w:val="7"/>
            <w:tcBorders>
              <w:top w:val="single" w:sz="4" w:space="0" w:color="auto"/>
            </w:tcBorders>
            <w:shd w:val="clear" w:color="auto" w:fill="FFFFFF"/>
          </w:tcPr>
          <w:p w:rsidR="00310B8B" w:rsidRPr="00C238FB" w:rsidRDefault="001F0751" w:rsidP="005843B3">
            <w:pPr>
              <w:spacing w:after="0" w:line="240" w:lineRule="auto"/>
              <w:ind w:left="60" w:right="60"/>
              <w:contextualSpacing/>
              <w:rPr>
                <w:rFonts w:ascii="Times New Roman" w:hAnsi="Times New Roman" w:cs="Times New Roman"/>
              </w:rPr>
            </w:pPr>
            <w:r w:rsidRPr="00C238FB">
              <w:rPr>
                <w:rFonts w:ascii="Times New Roman" w:hAnsi="Times New Roman" w:cs="Times New Roman"/>
              </w:rPr>
              <w:t>*. Correlation is significant at the 0.10 level.</w:t>
            </w:r>
          </w:p>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 xml:space="preserve">a. Dependent Variable: </w:t>
            </w:r>
            <w:r w:rsidR="00310B8B" w:rsidRPr="00C238FB">
              <w:rPr>
                <w:rFonts w:ascii="Times New Roman" w:hAnsi="Times New Roman" w:cs="Times New Roman"/>
                <w:kern w:val="0"/>
                <w:lang w:val="en-US"/>
              </w:rPr>
              <w:t>Profitability</w:t>
            </w:r>
          </w:p>
        </w:tc>
      </w:tr>
      <w:tr w:rsidR="00DE5FD9" w:rsidTr="00732962">
        <w:trPr>
          <w:cantSplit/>
          <w:jc w:val="center"/>
        </w:trPr>
        <w:tc>
          <w:tcPr>
            <w:tcW w:w="7893" w:type="dxa"/>
            <w:gridSpan w:val="7"/>
            <w:shd w:val="clear" w:color="auto" w:fill="FFFFFF"/>
          </w:tcPr>
          <w:p w:rsidR="00336224" w:rsidRPr="00C238FB" w:rsidRDefault="001F0751" w:rsidP="005843B3">
            <w:pPr>
              <w:autoSpaceDE w:val="0"/>
              <w:autoSpaceDN w:val="0"/>
              <w:adjustRightInd w:val="0"/>
              <w:spacing w:after="0" w:line="240" w:lineRule="auto"/>
              <w:ind w:left="60" w:right="60"/>
              <w:rPr>
                <w:rFonts w:ascii="Times New Roman" w:hAnsi="Times New Roman" w:cs="Times New Roman"/>
                <w:kern w:val="0"/>
                <w:lang w:val="en-US"/>
              </w:rPr>
            </w:pPr>
            <w:r w:rsidRPr="00C238FB">
              <w:rPr>
                <w:rFonts w:ascii="Times New Roman" w:hAnsi="Times New Roman" w:cs="Times New Roman"/>
                <w:kern w:val="0"/>
                <w:lang w:val="en-US"/>
              </w:rPr>
              <w:t>b. Predictors: (Constant), SDG,</w:t>
            </w:r>
            <w:r w:rsidR="00C45416" w:rsidRPr="00C238FB">
              <w:rPr>
                <w:rFonts w:ascii="Times New Roman" w:hAnsi="Times New Roman" w:cs="Times New Roman"/>
                <w:kern w:val="0"/>
                <w:lang w:val="en-US"/>
              </w:rPr>
              <w:t>Size, Debts</w:t>
            </w:r>
            <w:r w:rsidRPr="00C238FB">
              <w:rPr>
                <w:rFonts w:ascii="Times New Roman" w:hAnsi="Times New Roman" w:cs="Times New Roman"/>
                <w:kern w:val="0"/>
                <w:lang w:val="en-US"/>
              </w:rPr>
              <w:t>, Liq</w:t>
            </w:r>
            <w:r w:rsidR="00310B8B" w:rsidRPr="00C238FB">
              <w:rPr>
                <w:rFonts w:ascii="Times New Roman" w:hAnsi="Times New Roman" w:cs="Times New Roman"/>
                <w:kern w:val="0"/>
                <w:lang w:val="en-US"/>
              </w:rPr>
              <w:t>uidity</w:t>
            </w:r>
          </w:p>
        </w:tc>
      </w:tr>
    </w:tbl>
    <w:p w:rsidR="00336224" w:rsidRPr="00C238FB" w:rsidRDefault="001F0751" w:rsidP="005843B3">
      <w:pPr>
        <w:autoSpaceDE w:val="0"/>
        <w:autoSpaceDN w:val="0"/>
        <w:adjustRightInd w:val="0"/>
        <w:spacing w:after="0" w:line="240" w:lineRule="auto"/>
        <w:jc w:val="center"/>
        <w:rPr>
          <w:rFonts w:ascii="Times New Roman" w:hAnsi="Times New Roman" w:cs="Times New Roman"/>
          <w:bCs/>
          <w:kern w:val="0"/>
          <w:vertAlign w:val="superscript"/>
          <w:lang w:val="en-US"/>
        </w:rPr>
      </w:pPr>
      <w:r w:rsidRPr="00C238FB">
        <w:rPr>
          <w:rFonts w:ascii="Times New Roman" w:hAnsi="Times New Roman" w:cs="Times New Roman"/>
          <w:kern w:val="0"/>
          <w:lang w:val="en-US"/>
        </w:rPr>
        <w:t xml:space="preserve">Table </w:t>
      </w:r>
      <w:r w:rsidR="008D4D32">
        <w:rPr>
          <w:rFonts w:ascii="Times New Roman" w:hAnsi="Times New Roman" w:cs="Times New Roman"/>
          <w:kern w:val="0"/>
          <w:lang w:val="en-US"/>
        </w:rPr>
        <w:t>7</w:t>
      </w:r>
      <w:r w:rsidRPr="00C238FB">
        <w:rPr>
          <w:rFonts w:ascii="Times New Roman" w:hAnsi="Times New Roman" w:cs="Times New Roman"/>
          <w:kern w:val="0"/>
          <w:lang w:val="en-US"/>
        </w:rPr>
        <w:t xml:space="preserve">: </w:t>
      </w:r>
      <w:r w:rsidRPr="00C238FB">
        <w:rPr>
          <w:rFonts w:ascii="Times New Roman" w:hAnsi="Times New Roman" w:cs="Times New Roman"/>
          <w:bCs/>
          <w:kern w:val="0"/>
          <w:lang w:val="en-US"/>
        </w:rPr>
        <w:t>ANOVA</w:t>
      </w:r>
    </w:p>
    <w:p w:rsidR="00732962" w:rsidRPr="00C238FB" w:rsidRDefault="00732962" w:rsidP="005843B3">
      <w:pPr>
        <w:autoSpaceDE w:val="0"/>
        <w:autoSpaceDN w:val="0"/>
        <w:adjustRightInd w:val="0"/>
        <w:spacing w:after="0" w:line="240" w:lineRule="auto"/>
        <w:jc w:val="center"/>
        <w:rPr>
          <w:rFonts w:ascii="Times New Roman" w:hAnsi="Times New Roman" w:cs="Times New Roman"/>
          <w:kern w:val="0"/>
          <w:lang w:val="en-US"/>
        </w:rPr>
      </w:pPr>
    </w:p>
    <w:p w:rsidR="00310B8B"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The ANOVA as stated </w:t>
      </w:r>
      <w:r w:rsidR="0026003A" w:rsidRPr="00C238FB">
        <w:rPr>
          <w:rFonts w:ascii="Times New Roman" w:eastAsia="Times New Roman" w:hAnsi="Times New Roman" w:cs="Times New Roman"/>
          <w:kern w:val="0"/>
          <w:lang w:val="en-US"/>
        </w:rPr>
        <w:t xml:space="preserve">at </w:t>
      </w:r>
      <w:r w:rsidR="00732962" w:rsidRPr="00C238FB">
        <w:rPr>
          <w:rFonts w:ascii="Times New Roman" w:eastAsia="Times New Roman" w:hAnsi="Times New Roman" w:cs="Times New Roman"/>
          <w:kern w:val="0"/>
          <w:lang w:val="en-US"/>
        </w:rPr>
        <w:t>T</w:t>
      </w:r>
      <w:r w:rsidRPr="00C238FB">
        <w:rPr>
          <w:rFonts w:ascii="Times New Roman" w:eastAsia="Times New Roman" w:hAnsi="Times New Roman" w:cs="Times New Roman"/>
          <w:kern w:val="0"/>
          <w:lang w:val="en-US"/>
        </w:rPr>
        <w:t>able</w:t>
      </w:r>
      <w:r w:rsidR="008D4D32">
        <w:rPr>
          <w:rFonts w:ascii="Times New Roman" w:eastAsia="Times New Roman" w:hAnsi="Times New Roman" w:cs="Times New Roman"/>
          <w:kern w:val="0"/>
          <w:lang w:val="en-US"/>
        </w:rPr>
        <w:t>7</w:t>
      </w:r>
      <w:r w:rsidRPr="00C238FB">
        <w:rPr>
          <w:rFonts w:ascii="Times New Roman" w:eastAsia="Times New Roman" w:hAnsi="Times New Roman" w:cs="Times New Roman"/>
          <w:kern w:val="0"/>
          <w:lang w:val="en-US"/>
        </w:rPr>
        <w:t xml:space="preserve"> evaluates the overall relevance of the regression model in elucidating the variability in profitability. The regression sum of squares is 112.645, indicating the variation elucidated by the predictors SDG, Size, Debts, and Liquidity. The regression's degrees of freedom (df) is 4, and the mean square for the regression is 28.161. The F statistic is 2.424, with a significance value (Sig.) of 0.051, indicating statistical significance at the 0.10 level. This signifies a substantial correlation between the predictors and profitability. The residual sum of squares (1707.987) signifies the unexplained fluctuation, whereas the total sum of squares (1820.631) denotes the overall variation in profitability.</w:t>
      </w:r>
    </w:p>
    <w:p w:rsidR="00D87DD1" w:rsidRPr="00C238FB" w:rsidRDefault="00D87DD1" w:rsidP="005843B3">
      <w:pPr>
        <w:spacing w:after="0" w:line="240" w:lineRule="auto"/>
        <w:jc w:val="both"/>
        <w:rPr>
          <w:rFonts w:ascii="Times New Roman" w:eastAsia="Times New Roman" w:hAnsi="Times New Roman" w:cs="Times New Roman"/>
          <w:b/>
          <w:kern w:val="0"/>
          <w:lang w:val="en-US"/>
        </w:rPr>
      </w:pPr>
    </w:p>
    <w:p w:rsidR="00D87DD1" w:rsidRPr="00C238FB" w:rsidRDefault="001F0751" w:rsidP="00923091">
      <w:pPr>
        <w:spacing w:after="0" w:line="240" w:lineRule="auto"/>
        <w:jc w:val="both"/>
        <w:outlineLvl w:val="0"/>
        <w:rPr>
          <w:rFonts w:ascii="Times New Roman" w:eastAsia="Times New Roman" w:hAnsi="Times New Roman" w:cs="Times New Roman"/>
          <w:b/>
          <w:kern w:val="0"/>
          <w:lang w:val="en-US"/>
        </w:rPr>
      </w:pPr>
      <w:r w:rsidRPr="00C238FB">
        <w:rPr>
          <w:rFonts w:ascii="Times New Roman" w:eastAsia="Times New Roman" w:hAnsi="Times New Roman" w:cs="Times New Roman"/>
          <w:b/>
          <w:kern w:val="0"/>
          <w:lang w:val="en-US"/>
        </w:rPr>
        <w:t>4.6 Regression Results</w:t>
      </w:r>
    </w:p>
    <w:p w:rsidR="00025DDB"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Table </w:t>
      </w:r>
      <w:r w:rsidR="008D4D32">
        <w:rPr>
          <w:rFonts w:ascii="Times New Roman" w:eastAsia="Times New Roman" w:hAnsi="Times New Roman" w:cs="Times New Roman"/>
          <w:kern w:val="0"/>
          <w:lang w:val="en-US"/>
        </w:rPr>
        <w:t>8</w:t>
      </w:r>
      <w:r w:rsidRPr="00C238FB">
        <w:rPr>
          <w:rFonts w:ascii="Times New Roman" w:eastAsia="Times New Roman" w:hAnsi="Times New Roman" w:cs="Times New Roman"/>
          <w:kern w:val="0"/>
          <w:lang w:val="en-US"/>
        </w:rPr>
        <w:t xml:space="preserve"> displays a regression analysis with profitability as the dependent variable, examining the impact of multiple predicting factors. The constant term, with a coefficient of 0.390, lacks significance, indicating that baseline profitability is not statistically different from zero when other variables are excluded. </w:t>
      </w:r>
    </w:p>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tbl>
      <w:tblPr>
        <w:tblW w:w="8143" w:type="dxa"/>
        <w:jc w:val="center"/>
        <w:tblLayout w:type="fixed"/>
        <w:tblCellMar>
          <w:left w:w="0" w:type="dxa"/>
          <w:right w:w="0" w:type="dxa"/>
        </w:tblCellMar>
        <w:tblLook w:val="0000" w:firstRow="0" w:lastRow="0" w:firstColumn="0" w:lastColumn="0" w:noHBand="0" w:noVBand="0"/>
      </w:tblPr>
      <w:tblGrid>
        <w:gridCol w:w="743"/>
        <w:gridCol w:w="1176"/>
        <w:gridCol w:w="1346"/>
        <w:gridCol w:w="1348"/>
        <w:gridCol w:w="1486"/>
        <w:gridCol w:w="1022"/>
        <w:gridCol w:w="1022"/>
      </w:tblGrid>
      <w:tr w:rsidR="00DE5FD9" w:rsidTr="00D87DD1">
        <w:trPr>
          <w:cantSplit/>
          <w:jc w:val="center"/>
        </w:trPr>
        <w:tc>
          <w:tcPr>
            <w:tcW w:w="1919" w:type="dxa"/>
            <w:gridSpan w:val="2"/>
            <w:vMerge w:val="restart"/>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Model</w:t>
            </w:r>
          </w:p>
        </w:tc>
        <w:tc>
          <w:tcPr>
            <w:tcW w:w="2694" w:type="dxa"/>
            <w:gridSpan w:val="2"/>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Unstandardized Coefficients</w:t>
            </w:r>
          </w:p>
        </w:tc>
        <w:tc>
          <w:tcPr>
            <w:tcW w:w="1486"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Standardized Coefficients</w:t>
            </w:r>
          </w:p>
        </w:tc>
        <w:tc>
          <w:tcPr>
            <w:tcW w:w="1022" w:type="dxa"/>
            <w:vMerge w:val="restart"/>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t</w:t>
            </w:r>
          </w:p>
        </w:tc>
        <w:tc>
          <w:tcPr>
            <w:tcW w:w="1022" w:type="dxa"/>
            <w:vMerge w:val="restart"/>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Sig.</w:t>
            </w:r>
          </w:p>
        </w:tc>
      </w:tr>
      <w:tr w:rsidR="00DE5FD9" w:rsidTr="00025DDB">
        <w:trPr>
          <w:cantSplit/>
          <w:jc w:val="center"/>
        </w:trPr>
        <w:tc>
          <w:tcPr>
            <w:tcW w:w="1919" w:type="dxa"/>
            <w:gridSpan w:val="2"/>
            <w:vMerge/>
            <w:tcBorders>
              <w:top w:val="single" w:sz="4" w:space="0" w:color="auto"/>
              <w:bottom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c>
          <w:tcPr>
            <w:tcW w:w="1346"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B</w:t>
            </w:r>
          </w:p>
        </w:tc>
        <w:tc>
          <w:tcPr>
            <w:tcW w:w="1348"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Std. Error</w:t>
            </w:r>
          </w:p>
        </w:tc>
        <w:tc>
          <w:tcPr>
            <w:tcW w:w="1486" w:type="dxa"/>
            <w:tcBorders>
              <w:top w:val="single" w:sz="4" w:space="0" w:color="auto"/>
              <w:bottom w:val="single" w:sz="4" w:space="0" w:color="auto"/>
            </w:tcBorders>
            <w:shd w:val="clear" w:color="auto" w:fill="FFFFFF"/>
          </w:tcPr>
          <w:p w:rsidR="00D87DD1" w:rsidRPr="00C238FB" w:rsidRDefault="001F0751" w:rsidP="005843B3">
            <w:pPr>
              <w:spacing w:after="0" w:line="240" w:lineRule="auto"/>
              <w:ind w:left="60" w:right="60"/>
              <w:jc w:val="center"/>
              <w:rPr>
                <w:rFonts w:ascii="Times New Roman" w:hAnsi="Times New Roman" w:cs="Times New Roman"/>
              </w:rPr>
            </w:pPr>
            <w:r w:rsidRPr="00C238FB">
              <w:rPr>
                <w:rFonts w:ascii="Times New Roman" w:hAnsi="Times New Roman" w:cs="Times New Roman"/>
              </w:rPr>
              <w:t>Beta</w:t>
            </w:r>
          </w:p>
        </w:tc>
        <w:tc>
          <w:tcPr>
            <w:tcW w:w="1022" w:type="dxa"/>
            <w:vMerge/>
            <w:tcBorders>
              <w:top w:val="single" w:sz="4" w:space="0" w:color="auto"/>
              <w:bottom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c>
          <w:tcPr>
            <w:tcW w:w="1022" w:type="dxa"/>
            <w:vMerge/>
            <w:tcBorders>
              <w:top w:val="single" w:sz="4" w:space="0" w:color="auto"/>
              <w:bottom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r>
      <w:tr w:rsidR="00DE5FD9" w:rsidTr="00025DDB">
        <w:trPr>
          <w:cantSplit/>
          <w:jc w:val="center"/>
        </w:trPr>
        <w:tc>
          <w:tcPr>
            <w:tcW w:w="743" w:type="dxa"/>
            <w:vMerge w:val="restart"/>
            <w:tcBorders>
              <w:top w:val="single" w:sz="4" w:space="0" w:color="auto"/>
            </w:tcBorders>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1</w:t>
            </w:r>
          </w:p>
        </w:tc>
        <w:tc>
          <w:tcPr>
            <w:tcW w:w="1176" w:type="dxa"/>
            <w:tcBorders>
              <w:top w:val="single" w:sz="4" w:space="0" w:color="auto"/>
            </w:tcBorders>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(Constant)</w:t>
            </w:r>
          </w:p>
        </w:tc>
        <w:tc>
          <w:tcPr>
            <w:tcW w:w="1346"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.390</w:t>
            </w:r>
          </w:p>
        </w:tc>
        <w:tc>
          <w:tcPr>
            <w:tcW w:w="1348"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3.844</w:t>
            </w:r>
          </w:p>
        </w:tc>
        <w:tc>
          <w:tcPr>
            <w:tcW w:w="1486" w:type="dxa"/>
            <w:tcBorders>
              <w:top w:val="single" w:sz="4" w:space="0" w:color="auto"/>
            </w:tcBorders>
            <w:shd w:val="clear" w:color="auto" w:fill="FFFFFF"/>
          </w:tcPr>
          <w:p w:rsidR="00D87DD1" w:rsidRPr="00C238FB" w:rsidRDefault="00D87DD1" w:rsidP="005843B3">
            <w:pPr>
              <w:spacing w:after="0" w:line="240" w:lineRule="auto"/>
              <w:rPr>
                <w:rFonts w:ascii="Times New Roman" w:hAnsi="Times New Roman" w:cs="Times New Roman"/>
              </w:rPr>
            </w:pPr>
          </w:p>
        </w:tc>
        <w:tc>
          <w:tcPr>
            <w:tcW w:w="1022"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.102</w:t>
            </w:r>
          </w:p>
        </w:tc>
        <w:tc>
          <w:tcPr>
            <w:tcW w:w="1022" w:type="dxa"/>
            <w:tcBorders>
              <w:top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.919</w:t>
            </w:r>
          </w:p>
        </w:tc>
      </w:tr>
      <w:tr w:rsidR="00DE5FD9" w:rsidTr="00025DDB">
        <w:trPr>
          <w:cantSplit/>
          <w:jc w:val="center"/>
        </w:trPr>
        <w:tc>
          <w:tcPr>
            <w:tcW w:w="743" w:type="dxa"/>
            <w:vMerge/>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SDGs</w:t>
            </w:r>
          </w:p>
        </w:tc>
        <w:tc>
          <w:tcPr>
            <w:tcW w:w="134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-.152</w:t>
            </w:r>
          </w:p>
        </w:tc>
        <w:tc>
          <w:tcPr>
            <w:tcW w:w="1348"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.083</w:t>
            </w:r>
          </w:p>
        </w:tc>
        <w:tc>
          <w:tcPr>
            <w:tcW w:w="148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-.148</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-1.829</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.069</w:t>
            </w:r>
            <w:r w:rsidR="00025DDB" w:rsidRPr="00C238FB">
              <w:rPr>
                <w:rFonts w:ascii="Times New Roman" w:hAnsi="Times New Roman" w:cs="Times New Roman"/>
              </w:rPr>
              <w:t>*</w:t>
            </w:r>
          </w:p>
        </w:tc>
      </w:tr>
      <w:tr w:rsidR="00DE5FD9" w:rsidTr="00025DDB">
        <w:trPr>
          <w:cantSplit/>
          <w:jc w:val="center"/>
        </w:trPr>
        <w:tc>
          <w:tcPr>
            <w:tcW w:w="743" w:type="dxa"/>
            <w:vMerge/>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Debts</w:t>
            </w:r>
          </w:p>
        </w:tc>
        <w:tc>
          <w:tcPr>
            <w:tcW w:w="134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-.608</w:t>
            </w:r>
          </w:p>
        </w:tc>
        <w:tc>
          <w:tcPr>
            <w:tcW w:w="1348"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.313</w:t>
            </w:r>
          </w:p>
        </w:tc>
        <w:tc>
          <w:tcPr>
            <w:tcW w:w="148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-.166</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-1.941</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.054</w:t>
            </w:r>
            <w:r w:rsidR="00025DDB" w:rsidRPr="00C238FB">
              <w:rPr>
                <w:rFonts w:ascii="Times New Roman" w:hAnsi="Times New Roman" w:cs="Times New Roman"/>
              </w:rPr>
              <w:t>*</w:t>
            </w:r>
          </w:p>
        </w:tc>
      </w:tr>
      <w:tr w:rsidR="00DE5FD9" w:rsidTr="00025DDB">
        <w:trPr>
          <w:cantSplit/>
          <w:jc w:val="center"/>
        </w:trPr>
        <w:tc>
          <w:tcPr>
            <w:tcW w:w="743" w:type="dxa"/>
            <w:vMerge/>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Liquidity</w:t>
            </w:r>
          </w:p>
        </w:tc>
        <w:tc>
          <w:tcPr>
            <w:tcW w:w="134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.001</w:t>
            </w:r>
          </w:p>
        </w:tc>
        <w:tc>
          <w:tcPr>
            <w:tcW w:w="1348"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.114</w:t>
            </w:r>
          </w:p>
        </w:tc>
        <w:tc>
          <w:tcPr>
            <w:tcW w:w="1486"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.001</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.011</w:t>
            </w:r>
          </w:p>
        </w:tc>
        <w:tc>
          <w:tcPr>
            <w:tcW w:w="1022" w:type="dxa"/>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.991</w:t>
            </w:r>
          </w:p>
        </w:tc>
      </w:tr>
      <w:tr w:rsidR="00DE5FD9" w:rsidTr="00025DDB">
        <w:trPr>
          <w:cantSplit/>
          <w:jc w:val="center"/>
        </w:trPr>
        <w:tc>
          <w:tcPr>
            <w:tcW w:w="743" w:type="dxa"/>
            <w:vMerge/>
            <w:tcBorders>
              <w:bottom w:val="single" w:sz="4" w:space="0" w:color="auto"/>
            </w:tcBorders>
            <w:shd w:val="clear" w:color="auto" w:fill="FFFFFF"/>
            <w:vAlign w:val="center"/>
          </w:tcPr>
          <w:p w:rsidR="00D87DD1" w:rsidRPr="00C238FB" w:rsidRDefault="00D87DD1" w:rsidP="005843B3">
            <w:pPr>
              <w:spacing w:after="0" w:line="240" w:lineRule="auto"/>
              <w:rPr>
                <w:rFonts w:ascii="Times New Roman" w:hAnsi="Times New Roman" w:cs="Times New Roman"/>
              </w:rPr>
            </w:pPr>
          </w:p>
        </w:tc>
        <w:tc>
          <w:tcPr>
            <w:tcW w:w="1176" w:type="dxa"/>
            <w:tcBorders>
              <w:bottom w:val="single" w:sz="4" w:space="0" w:color="auto"/>
            </w:tcBorders>
            <w:shd w:val="clear" w:color="auto" w:fill="FFFFFF"/>
            <w:vAlign w:val="center"/>
          </w:tcPr>
          <w:p w:rsidR="00D87DD1" w:rsidRPr="00C238FB" w:rsidRDefault="001F0751" w:rsidP="005843B3">
            <w:pPr>
              <w:spacing w:after="0" w:line="240" w:lineRule="auto"/>
              <w:ind w:left="60" w:right="60"/>
              <w:rPr>
                <w:rFonts w:ascii="Times New Roman" w:hAnsi="Times New Roman" w:cs="Times New Roman"/>
              </w:rPr>
            </w:pPr>
            <w:r w:rsidRPr="00C238FB">
              <w:rPr>
                <w:rFonts w:ascii="Times New Roman" w:hAnsi="Times New Roman" w:cs="Times New Roman"/>
              </w:rPr>
              <w:t>Size</w:t>
            </w:r>
          </w:p>
        </w:tc>
        <w:tc>
          <w:tcPr>
            <w:tcW w:w="1346"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.827</w:t>
            </w:r>
          </w:p>
        </w:tc>
        <w:tc>
          <w:tcPr>
            <w:tcW w:w="1348"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.400</w:t>
            </w:r>
          </w:p>
        </w:tc>
        <w:tc>
          <w:tcPr>
            <w:tcW w:w="1486"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.177</w:t>
            </w:r>
          </w:p>
        </w:tc>
        <w:tc>
          <w:tcPr>
            <w:tcW w:w="1022"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2.067</w:t>
            </w:r>
          </w:p>
        </w:tc>
        <w:tc>
          <w:tcPr>
            <w:tcW w:w="1022" w:type="dxa"/>
            <w:tcBorders>
              <w:bottom w:val="single" w:sz="4" w:space="0" w:color="auto"/>
            </w:tcBorders>
            <w:shd w:val="clear" w:color="auto" w:fill="FFFFFF"/>
            <w:vAlign w:val="center"/>
          </w:tcPr>
          <w:p w:rsidR="00D87DD1" w:rsidRPr="00C238FB" w:rsidRDefault="001F0751" w:rsidP="005843B3">
            <w:pPr>
              <w:spacing w:after="0" w:line="240" w:lineRule="auto"/>
              <w:ind w:left="60" w:right="60"/>
              <w:jc w:val="right"/>
              <w:rPr>
                <w:rFonts w:ascii="Times New Roman" w:hAnsi="Times New Roman" w:cs="Times New Roman"/>
              </w:rPr>
            </w:pPr>
            <w:r w:rsidRPr="00C238FB">
              <w:rPr>
                <w:rFonts w:ascii="Times New Roman" w:hAnsi="Times New Roman" w:cs="Times New Roman"/>
              </w:rPr>
              <w:t>.041</w:t>
            </w:r>
            <w:r w:rsidR="00025DDB" w:rsidRPr="00C238FB">
              <w:rPr>
                <w:rFonts w:ascii="Times New Roman" w:hAnsi="Times New Roman" w:cs="Times New Roman"/>
              </w:rPr>
              <w:t>**</w:t>
            </w:r>
          </w:p>
        </w:tc>
      </w:tr>
      <w:tr w:rsidR="00DE5FD9" w:rsidTr="00D87DD1">
        <w:trPr>
          <w:cantSplit/>
          <w:jc w:val="center"/>
        </w:trPr>
        <w:tc>
          <w:tcPr>
            <w:tcW w:w="8143" w:type="dxa"/>
            <w:gridSpan w:val="7"/>
            <w:tcBorders>
              <w:top w:val="single" w:sz="4" w:space="0" w:color="auto"/>
            </w:tcBorders>
            <w:shd w:val="clear" w:color="auto" w:fill="FFFFFF"/>
            <w:vAlign w:val="center"/>
          </w:tcPr>
          <w:p w:rsidR="00D87DD1" w:rsidRPr="00C238FB" w:rsidRDefault="001F0751" w:rsidP="005843B3">
            <w:pPr>
              <w:spacing w:after="0" w:line="240" w:lineRule="auto"/>
              <w:ind w:left="62" w:right="62"/>
              <w:contextualSpacing/>
              <w:rPr>
                <w:rFonts w:ascii="Times New Roman" w:hAnsi="Times New Roman" w:cs="Times New Roman"/>
              </w:rPr>
            </w:pPr>
            <w:r w:rsidRPr="00C238FB">
              <w:rPr>
                <w:rFonts w:ascii="Times New Roman" w:hAnsi="Times New Roman" w:cs="Times New Roman"/>
              </w:rPr>
              <w:t>**. Correlation is significant at the 0.05 level and *</w:t>
            </w:r>
            <w:r w:rsidR="00025DDB" w:rsidRPr="00C238FB">
              <w:rPr>
                <w:rFonts w:ascii="Times New Roman" w:hAnsi="Times New Roman" w:cs="Times New Roman"/>
              </w:rPr>
              <w:t>.</w:t>
            </w:r>
            <w:r w:rsidRPr="00C238FB">
              <w:rPr>
                <w:rFonts w:ascii="Times New Roman" w:hAnsi="Times New Roman" w:cs="Times New Roman"/>
              </w:rPr>
              <w:t xml:space="preserve"> Correlation is significant at the 0.10 level.</w:t>
            </w:r>
          </w:p>
          <w:p w:rsidR="00D87DD1" w:rsidRPr="00C238FB" w:rsidRDefault="001F0751" w:rsidP="005843B3">
            <w:pPr>
              <w:spacing w:after="0" w:line="240" w:lineRule="auto"/>
              <w:ind w:left="62" w:right="62"/>
              <w:contextualSpacing/>
              <w:rPr>
                <w:rFonts w:ascii="Times New Roman" w:hAnsi="Times New Roman" w:cs="Times New Roman"/>
              </w:rPr>
            </w:pPr>
            <w:r w:rsidRPr="00C238FB">
              <w:rPr>
                <w:rFonts w:ascii="Times New Roman" w:hAnsi="Times New Roman" w:cs="Times New Roman"/>
              </w:rPr>
              <w:t>a. Dependent Variable: Profitability</w:t>
            </w:r>
          </w:p>
        </w:tc>
      </w:tr>
    </w:tbl>
    <w:p w:rsidR="00C17ED0" w:rsidRPr="00C238FB" w:rsidRDefault="001F0751" w:rsidP="005843B3">
      <w:pPr>
        <w:widowControl w:val="0"/>
        <w:autoSpaceDE w:val="0"/>
        <w:autoSpaceDN w:val="0"/>
        <w:spacing w:after="0" w:line="240" w:lineRule="auto"/>
        <w:ind w:right="355"/>
        <w:jc w:val="center"/>
        <w:rPr>
          <w:rFonts w:ascii="Times New Roman" w:hAnsi="Times New Roman" w:cs="Times New Roman"/>
          <w:bCs/>
        </w:rPr>
      </w:pPr>
      <w:r w:rsidRPr="00C238FB">
        <w:rPr>
          <w:rFonts w:ascii="Times New Roman" w:hAnsi="Times New Roman" w:cs="Times New Roman"/>
        </w:rPr>
        <w:t xml:space="preserve">Table </w:t>
      </w:r>
      <w:r w:rsidR="008D4D32">
        <w:rPr>
          <w:rFonts w:ascii="Times New Roman" w:hAnsi="Times New Roman" w:cs="Times New Roman"/>
        </w:rPr>
        <w:t>8</w:t>
      </w:r>
      <w:r w:rsidRPr="00C238FB">
        <w:rPr>
          <w:rFonts w:ascii="Times New Roman" w:hAnsi="Times New Roman" w:cs="Times New Roman"/>
        </w:rPr>
        <w:t>: C</w:t>
      </w:r>
      <w:r w:rsidRPr="00C238FB">
        <w:rPr>
          <w:rFonts w:ascii="Times New Roman" w:hAnsi="Times New Roman" w:cs="Times New Roman"/>
          <w:bCs/>
        </w:rPr>
        <w:t>oefficients</w:t>
      </w:r>
    </w:p>
    <w:p w:rsidR="00025DDB" w:rsidRPr="00C238FB" w:rsidRDefault="00025DDB" w:rsidP="005843B3">
      <w:pPr>
        <w:widowControl w:val="0"/>
        <w:autoSpaceDE w:val="0"/>
        <w:autoSpaceDN w:val="0"/>
        <w:spacing w:after="0" w:line="240" w:lineRule="auto"/>
        <w:ind w:right="355"/>
        <w:jc w:val="center"/>
        <w:rPr>
          <w:rFonts w:ascii="Times New Roman" w:hAnsi="Times New Roman" w:cs="Times New Roman"/>
        </w:rPr>
      </w:pPr>
    </w:p>
    <w:p w:rsidR="00E50F34" w:rsidRPr="00E50F34" w:rsidRDefault="00E50F34" w:rsidP="00E50F34">
      <w:pPr>
        <w:spacing w:after="0" w:line="240" w:lineRule="auto"/>
        <w:jc w:val="both"/>
        <w:rPr>
          <w:rFonts w:ascii="Times New Roman" w:eastAsia="Times New Roman" w:hAnsi="Times New Roman" w:cs="Times New Roman"/>
          <w:kern w:val="0"/>
          <w:lang w:val="en-US"/>
        </w:rPr>
      </w:pPr>
      <w:r w:rsidRPr="00E50F34">
        <w:rPr>
          <w:rFonts w:ascii="Times New Roman" w:eastAsia="Times New Roman" w:hAnsi="Times New Roman" w:cs="Times New Roman"/>
          <w:kern w:val="0"/>
          <w:lang w:val="en-US"/>
        </w:rPr>
        <w:t xml:space="preserve">The Sustainable Development Goals (SDGs), as the independent variable, exhibit a negative relationship with profitability, indicated by a coefficient of -0.152. This relationship is marginally significant at the 0.10 level and is consistent with the findings of Khan et al. (2022). Not all SDGs immediately enhance profitability, and in some cases, the pursuit of specific SDGs may negatively affect a company’s financial performance in the short term. For instance, goals related </w:t>
      </w:r>
      <w:r>
        <w:rPr>
          <w:rFonts w:ascii="Times New Roman" w:eastAsia="Times New Roman" w:hAnsi="Times New Roman" w:cs="Times New Roman"/>
          <w:kern w:val="0"/>
          <w:lang w:val="en-US"/>
        </w:rPr>
        <w:t xml:space="preserve">to environmental sustainability </w:t>
      </w:r>
      <w:r w:rsidRPr="00E50F34">
        <w:rPr>
          <w:rFonts w:ascii="Times New Roman" w:eastAsia="Times New Roman" w:hAnsi="Times New Roman" w:cs="Times New Roman"/>
          <w:kern w:val="0"/>
          <w:lang w:val="en-US"/>
        </w:rPr>
        <w:t>such as reducing carbon emissions (SDG 13) or conserving ecosystems (SDG 15) often require substantial upfront investments in new technologies, operational adjustments, and compliance with environmental regulations. These changes can lead to increased operational costs that negatively impact short-term profitability. Similarly, social SDGs such as promoting decent work (SDG 8) and reducing inequalities (SDG 10) may necessitate higher wages, improved working conditions, and broader welfare programs, further increasing expenses. Although these initiativ</w:t>
      </w:r>
      <w:r>
        <w:rPr>
          <w:rFonts w:ascii="Times New Roman" w:eastAsia="Times New Roman" w:hAnsi="Times New Roman" w:cs="Times New Roman"/>
          <w:kern w:val="0"/>
          <w:lang w:val="en-US"/>
        </w:rPr>
        <w:t xml:space="preserve">es may bring long-term benefits </w:t>
      </w:r>
      <w:r w:rsidRPr="00E50F34">
        <w:rPr>
          <w:rFonts w:ascii="Times New Roman" w:eastAsia="Times New Roman" w:hAnsi="Times New Roman" w:cs="Times New Roman"/>
          <w:kern w:val="0"/>
          <w:lang w:val="en-US"/>
        </w:rPr>
        <w:t>such as enhanced reputation, customer loyalty, and</w:t>
      </w:r>
      <w:r>
        <w:rPr>
          <w:rFonts w:ascii="Times New Roman" w:eastAsia="Times New Roman" w:hAnsi="Times New Roman" w:cs="Times New Roman"/>
          <w:kern w:val="0"/>
          <w:lang w:val="en-US"/>
        </w:rPr>
        <w:t xml:space="preserve"> better market positioning, </w:t>
      </w:r>
      <w:r w:rsidRPr="00E50F34">
        <w:rPr>
          <w:rFonts w:ascii="Times New Roman" w:eastAsia="Times New Roman" w:hAnsi="Times New Roman" w:cs="Times New Roman"/>
          <w:kern w:val="0"/>
          <w:lang w:val="en-US"/>
        </w:rPr>
        <w:t>they do not necessarily translate into immediate financial gains. This is particularly challenging for companies operating in highly competitive or low-margin sectors.</w:t>
      </w:r>
    </w:p>
    <w:p w:rsidR="00E50F34" w:rsidRDefault="00E50F34" w:rsidP="00E50F34">
      <w:pPr>
        <w:spacing w:after="0" w:line="240" w:lineRule="auto"/>
        <w:ind w:firstLine="720"/>
        <w:jc w:val="both"/>
        <w:rPr>
          <w:rFonts w:ascii="Times New Roman" w:eastAsia="Times New Roman" w:hAnsi="Times New Roman" w:cs="Times New Roman"/>
          <w:kern w:val="0"/>
          <w:lang w:val="en-US"/>
        </w:rPr>
      </w:pPr>
      <w:r w:rsidRPr="00E50F34">
        <w:rPr>
          <w:rFonts w:ascii="Times New Roman" w:eastAsia="Times New Roman" w:hAnsi="Times New Roman" w:cs="Times New Roman"/>
          <w:kern w:val="0"/>
          <w:lang w:val="en-US"/>
        </w:rPr>
        <w:t>Therefore, the negative and barely significant relationship between SDGs and profitability suggests that, in this context, the findings do not fully support Resource Dependency Theory</w:t>
      </w:r>
      <w:r w:rsidR="00AD26F6">
        <w:rPr>
          <w:rFonts w:ascii="Times New Roman" w:eastAsia="Times New Roman" w:hAnsi="Times New Roman" w:cs="Times New Roman"/>
          <w:kern w:val="0"/>
          <w:lang w:val="en-US"/>
        </w:rPr>
        <w:t xml:space="preserve"> (RTD)</w:t>
      </w:r>
      <w:r w:rsidRPr="00E50F34">
        <w:rPr>
          <w:rFonts w:ascii="Times New Roman" w:eastAsia="Times New Roman" w:hAnsi="Times New Roman" w:cs="Times New Roman"/>
          <w:kern w:val="0"/>
          <w:lang w:val="en-US"/>
        </w:rPr>
        <w:t>, which assumes that strategic adaptation to external pressures, such as sustainability demands, should enhance organizational performance.</w:t>
      </w:r>
    </w:p>
    <w:p w:rsidR="004B5813"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Debts exhibit a negative </w:t>
      </w:r>
      <w:r w:rsidR="008E382C" w:rsidRPr="00C238FB">
        <w:rPr>
          <w:rFonts w:ascii="Times New Roman" w:eastAsia="Times New Roman" w:hAnsi="Times New Roman" w:cs="Times New Roman"/>
          <w:kern w:val="0"/>
          <w:lang w:val="en-US"/>
        </w:rPr>
        <w:t>relationship</w:t>
      </w:r>
      <w:r w:rsidRPr="00C238FB">
        <w:rPr>
          <w:rFonts w:ascii="Times New Roman" w:eastAsia="Times New Roman" w:hAnsi="Times New Roman" w:cs="Times New Roman"/>
          <w:kern w:val="0"/>
          <w:lang w:val="en-US"/>
        </w:rPr>
        <w:t xml:space="preserve">, with a coefficient of -0.608, and are also marginally significant at the 0.10 level as a control variable. The result is consistent with Nguyen, Pham, and Nguyen (2024). </w:t>
      </w:r>
      <w:r w:rsidRPr="00C238FB">
        <w:rPr>
          <w:rFonts w:ascii="Times New Roman" w:hAnsi="Times New Roman" w:cs="Times New Roman"/>
        </w:rPr>
        <w:t xml:space="preserve">This </w:t>
      </w:r>
      <w:r w:rsidR="008E382C" w:rsidRPr="00C238FB">
        <w:rPr>
          <w:rFonts w:ascii="Times New Roman" w:hAnsi="Times New Roman" w:cs="Times New Roman"/>
        </w:rPr>
        <w:t>negative</w:t>
      </w:r>
      <w:r w:rsidRPr="00C238FB">
        <w:rPr>
          <w:rFonts w:ascii="Times New Roman" w:hAnsi="Times New Roman" w:cs="Times New Roman"/>
        </w:rPr>
        <w:t xml:space="preserve"> relationship may be attributed to increased financial risk and interest obligations associated with higher debt levels, which can </w:t>
      </w:r>
      <w:r w:rsidR="008E382C" w:rsidRPr="00C238FB">
        <w:rPr>
          <w:rFonts w:ascii="Times New Roman" w:hAnsi="Times New Roman" w:cs="Times New Roman"/>
        </w:rPr>
        <w:t>reduce</w:t>
      </w:r>
      <w:r w:rsidRPr="00C238FB">
        <w:rPr>
          <w:rFonts w:ascii="Times New Roman" w:hAnsi="Times New Roman" w:cs="Times New Roman"/>
        </w:rPr>
        <w:t xml:space="preserve"> profit margins.</w:t>
      </w:r>
    </w:p>
    <w:p w:rsidR="00025DDB"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 xml:space="preserve">Liquidity, a control variable with an almost minuscule coefficient, is entirely insignificant and does not substantially affect profitability. </w:t>
      </w:r>
    </w:p>
    <w:p w:rsidR="00025DDB"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hAnsi="Times New Roman" w:cs="Times New Roman"/>
        </w:rPr>
        <w:t>The size, indicated by a positive coefficient of 0.827, significantly enhances profitability at the 0.05 level, establishing it as a reliable positive predictor of profitability in this model</w:t>
      </w:r>
      <w:r w:rsidRPr="00C238FB">
        <w:rPr>
          <w:rFonts w:ascii="Times New Roman" w:eastAsia="Times New Roman" w:hAnsi="Times New Roman" w:cs="Times New Roman"/>
          <w:kern w:val="0"/>
          <w:lang w:val="en-US"/>
        </w:rPr>
        <w:t>.</w:t>
      </w:r>
      <w:r w:rsidR="004B5813" w:rsidRPr="00C238FB">
        <w:rPr>
          <w:rFonts w:ascii="Times New Roman" w:hAnsi="Times New Roman" w:cs="Times New Roman"/>
        </w:rPr>
        <w:t xml:space="preserve"> According to Ahmed et al., larger companies have </w:t>
      </w:r>
      <w:r w:rsidR="00C45416" w:rsidRPr="00C238FB">
        <w:rPr>
          <w:rFonts w:ascii="Times New Roman" w:hAnsi="Times New Roman" w:cs="Times New Roman"/>
        </w:rPr>
        <w:t>ability to</w:t>
      </w:r>
      <w:r w:rsidR="004B5813" w:rsidRPr="00C238FB">
        <w:rPr>
          <w:rFonts w:ascii="Times New Roman" w:hAnsi="Times New Roman" w:cs="Times New Roman"/>
        </w:rPr>
        <w:t xml:space="preserve"> achieve economies of scale, access better financing options, and exert greater market influence, all of which can enhance profitability.</w:t>
      </w:r>
    </w:p>
    <w:p w:rsidR="00C17ED0" w:rsidRPr="00C238FB" w:rsidRDefault="00C17ED0" w:rsidP="005843B3">
      <w:pPr>
        <w:widowControl w:val="0"/>
        <w:autoSpaceDE w:val="0"/>
        <w:autoSpaceDN w:val="0"/>
        <w:spacing w:after="0" w:line="240" w:lineRule="auto"/>
        <w:ind w:right="355"/>
        <w:jc w:val="both"/>
        <w:rPr>
          <w:rFonts w:ascii="Times New Roman" w:hAnsi="Times New Roman" w:cs="Times New Roman"/>
        </w:rPr>
      </w:pPr>
    </w:p>
    <w:p w:rsidR="00BC5B92" w:rsidRPr="00C238FB" w:rsidRDefault="001F0751" w:rsidP="005843B3">
      <w:pPr>
        <w:widowControl w:val="0"/>
        <w:autoSpaceDE w:val="0"/>
        <w:autoSpaceDN w:val="0"/>
        <w:spacing w:after="0" w:line="240" w:lineRule="auto"/>
        <w:ind w:right="355"/>
        <w:jc w:val="both"/>
        <w:rPr>
          <w:rFonts w:ascii="Times New Roman" w:hAnsi="Times New Roman" w:cs="Times New Roman"/>
          <w:b/>
        </w:rPr>
      </w:pPr>
      <w:r w:rsidRPr="00C238FB">
        <w:rPr>
          <w:rFonts w:ascii="Times New Roman" w:hAnsi="Times New Roman" w:cs="Times New Roman"/>
          <w:b/>
        </w:rPr>
        <w:t xml:space="preserve">5.0 </w:t>
      </w:r>
      <w:r w:rsidR="00A00CC2" w:rsidRPr="00C238FB">
        <w:rPr>
          <w:rFonts w:ascii="Times New Roman" w:hAnsi="Times New Roman" w:cs="Times New Roman"/>
          <w:b/>
        </w:rPr>
        <w:t xml:space="preserve">Conclusion and </w:t>
      </w:r>
      <w:r w:rsidRPr="00C238FB">
        <w:rPr>
          <w:rFonts w:ascii="Times New Roman" w:hAnsi="Times New Roman" w:cs="Times New Roman"/>
          <w:b/>
        </w:rPr>
        <w:t>Implication of the Study</w:t>
      </w:r>
    </w:p>
    <w:p w:rsidR="00A369C1" w:rsidRPr="00C238FB" w:rsidRDefault="001F0751" w:rsidP="005843B3">
      <w:pPr>
        <w:spacing w:after="0" w:line="240" w:lineRule="auto"/>
        <w:jc w:val="both"/>
        <w:rPr>
          <w:rFonts w:ascii="Times New Roman" w:eastAsia="Times New Roman" w:hAnsi="Times New Roman" w:cs="Times New Roman"/>
          <w:kern w:val="0"/>
          <w:lang w:val="en-US"/>
        </w:rPr>
      </w:pPr>
      <w:r w:rsidRPr="00C238FB">
        <w:rPr>
          <w:rFonts w:ascii="Times New Roman" w:hAnsi="Times New Roman" w:cs="Times New Roman"/>
        </w:rPr>
        <w:t xml:space="preserve">In this study, the SDGs have negative relationship with profitability. </w:t>
      </w:r>
      <w:r w:rsidRPr="00C238FB">
        <w:rPr>
          <w:rFonts w:ascii="Times New Roman" w:eastAsia="Times New Roman" w:hAnsi="Times New Roman" w:cs="Times New Roman"/>
          <w:kern w:val="0"/>
          <w:lang w:val="en-US"/>
        </w:rPr>
        <w:t>Some SDGs such as the environmental goals can lower short-term earnings because they involve significant upfront expenses for technology, procedures, and compliance. Higher pay and improved working conditions are two other ways that social goals may raise costs. Even though these initiatives can eventually increase consumer loyalty and reputation, they might not instantly increase profitability, particularly for businesses operating in competitive industries. Overall, even though the SDGs will benefit society in the long run, they may present short-term financial difficulties.</w:t>
      </w:r>
    </w:p>
    <w:p w:rsidR="00A369C1"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hAnsi="Times New Roman" w:cs="Times New Roman"/>
        </w:rPr>
        <w:t>There are several implication</w:t>
      </w:r>
      <w:r w:rsidR="00FD5754" w:rsidRPr="00C238FB">
        <w:rPr>
          <w:rFonts w:ascii="Times New Roman" w:hAnsi="Times New Roman" w:cs="Times New Roman"/>
        </w:rPr>
        <w:t>s</w:t>
      </w:r>
      <w:r w:rsidRPr="00C238FB">
        <w:rPr>
          <w:rFonts w:ascii="Times New Roman" w:hAnsi="Times New Roman" w:cs="Times New Roman"/>
        </w:rPr>
        <w:t xml:space="preserve"> of the study.</w:t>
      </w:r>
      <w:r w:rsidR="00BC5B92" w:rsidRPr="00C238FB">
        <w:rPr>
          <w:rFonts w:ascii="Times New Roman" w:hAnsi="Times New Roman" w:cs="Times New Roman"/>
        </w:rPr>
        <w:t xml:space="preserve"> For </w:t>
      </w:r>
      <w:r w:rsidRPr="00C238FB">
        <w:rPr>
          <w:rFonts w:ascii="Times New Roman" w:hAnsi="Times New Roman" w:cs="Times New Roman"/>
        </w:rPr>
        <w:t>companies</w:t>
      </w:r>
      <w:r w:rsidR="00BC5B92" w:rsidRPr="00C238FB">
        <w:rPr>
          <w:rFonts w:ascii="Times New Roman" w:hAnsi="Times New Roman" w:cs="Times New Roman"/>
        </w:rPr>
        <w:t xml:space="preserve">, the study suggests that pursuing certain SDGs might involve a trade-off between short-term financial performance and long-term sustainability objectives. </w:t>
      </w:r>
      <w:r w:rsidRPr="00C238FB">
        <w:rPr>
          <w:rFonts w:ascii="Times New Roman" w:eastAsia="Times New Roman" w:hAnsi="Times New Roman" w:cs="Times New Roman"/>
          <w:kern w:val="0"/>
          <w:lang w:val="en-US"/>
        </w:rPr>
        <w:t xml:space="preserve">To lessen possible negative financial effects, companies may need to carefully evaluate which SDGs align with their core competencies and competitive advantage. </w:t>
      </w:r>
      <w:r w:rsidRPr="00C238FB">
        <w:rPr>
          <w:rFonts w:ascii="Times New Roman" w:eastAsia="Times New Roman" w:hAnsi="Times New Roman" w:cs="Times New Roman"/>
          <w:kern w:val="0"/>
          <w:lang w:val="en-US"/>
        </w:rPr>
        <w:lastRenderedPageBreak/>
        <w:t>Companies experiencing financial strain as a result of sustainability expenditures may need to look into other options, such as coming up with creative ways to incorporate sustainability without sacrificing profitability or requesting government assistance in the form of subsidies and incentives.</w:t>
      </w:r>
    </w:p>
    <w:p w:rsidR="00A369C1" w:rsidRPr="00C238FB" w:rsidRDefault="001F0751" w:rsidP="005843B3">
      <w:pPr>
        <w:spacing w:after="0" w:line="240" w:lineRule="auto"/>
        <w:ind w:firstLine="720"/>
        <w:jc w:val="both"/>
        <w:rPr>
          <w:rFonts w:ascii="Times New Roman" w:eastAsia="Times New Roman" w:hAnsi="Times New Roman" w:cs="Times New Roman"/>
          <w:kern w:val="0"/>
          <w:lang w:val="en-US"/>
        </w:rPr>
      </w:pPr>
      <w:r w:rsidRPr="00C238FB">
        <w:rPr>
          <w:rFonts w:ascii="Times New Roman" w:eastAsia="Times New Roman" w:hAnsi="Times New Roman" w:cs="Times New Roman"/>
          <w:kern w:val="0"/>
          <w:lang w:val="en-US"/>
        </w:rPr>
        <w:t>For policymakers, the study highlights the need for a more integrated approach to corporate governance and regulatory frameworks. Governments might consider creating policies that encourage companies to adopt SDGs while balancing the financial burden. This could include tax incentives, subsidies for green technologies, or regulatory frameworks that make it easier for companies to align with SDGs without being penalized for short-term financial setbacks. Additionally, the study could also guide future research into understanding how companies can transition towards sustainable business models without risking profitability, creating a broader business case for the SDGs.</w:t>
      </w:r>
    </w:p>
    <w:p w:rsidR="00047632" w:rsidRDefault="001F0751" w:rsidP="00047632">
      <w:pPr>
        <w:pStyle w:val="NormalWeb"/>
        <w:spacing w:before="0" w:beforeAutospacing="0" w:after="0" w:afterAutospacing="0"/>
        <w:ind w:firstLine="720"/>
        <w:jc w:val="both"/>
        <w:rPr>
          <w:sz w:val="22"/>
          <w:szCs w:val="22"/>
        </w:rPr>
      </w:pPr>
      <w:r w:rsidRPr="00C238FB">
        <w:rPr>
          <w:sz w:val="22"/>
          <w:szCs w:val="22"/>
        </w:rPr>
        <w:t>From a societal perspective, the negative relationship between SDGs and profitability might raise concerns about the speed at which companies are willing to invest in sustainable practices. It may lead to a discussion on the responsibility of firms to balance profit motives with their role in contributing to global sustainability, raising questions about whether the current capitalist model sufficiently incentivizes long-term environmental and social benefits.</w:t>
      </w:r>
    </w:p>
    <w:p w:rsidR="00047632" w:rsidRDefault="00047632" w:rsidP="00047632">
      <w:pPr>
        <w:pStyle w:val="NormalWeb"/>
        <w:spacing w:before="0" w:beforeAutospacing="0" w:after="0" w:afterAutospacing="0"/>
        <w:ind w:firstLine="720"/>
        <w:jc w:val="both"/>
        <w:rPr>
          <w:lang w:val="en-MY"/>
        </w:rPr>
      </w:pPr>
      <w:r w:rsidRPr="00047632">
        <w:rPr>
          <w:lang w:val="en-MY"/>
        </w:rPr>
        <w:t xml:space="preserve">Theoretically, the results contradict Resource Dependency Theory (RTD), which holds that </w:t>
      </w:r>
      <w:r>
        <w:rPr>
          <w:lang w:val="en-MY"/>
        </w:rPr>
        <w:t>companie</w:t>
      </w:r>
      <w:r w:rsidRPr="00047632">
        <w:rPr>
          <w:lang w:val="en-MY"/>
        </w:rPr>
        <w:t>s gain from securing vital resources and adjusting to outside demands. In this instance, despite being strategically driven, meeting global sustainability standards does not always translate into increased profitability. This implies that the benefits of adapting to external dependencies, like the SDGs, might be more nuanced and situation-specific than RDT presumes. To improve the long-term business case for the SDGs, future research should look into how companies may create sustainable business models that strike a balance between resource demands and financial viability.</w:t>
      </w:r>
    </w:p>
    <w:p w:rsidR="00205498" w:rsidRDefault="00205498" w:rsidP="00205498">
      <w:pPr>
        <w:pStyle w:val="NormalWeb"/>
        <w:spacing w:before="0" w:beforeAutospacing="0" w:after="0" w:afterAutospacing="0"/>
        <w:jc w:val="both"/>
        <w:rPr>
          <w:lang w:val="en-MY"/>
        </w:rPr>
      </w:pPr>
    </w:p>
    <w:p w:rsidR="00205498" w:rsidRPr="00A63E1B" w:rsidRDefault="00205498" w:rsidP="00205498">
      <w:pPr>
        <w:spacing w:after="0" w:line="240" w:lineRule="auto"/>
        <w:rPr>
          <w:rFonts w:ascii="Times New Roman" w:hAnsi="Times New Roman" w:cs="Times New Roman"/>
          <w:b/>
          <w:bCs/>
          <w:color w:val="FF0000"/>
        </w:rPr>
      </w:pPr>
      <w:r w:rsidRPr="00A63E1B">
        <w:rPr>
          <w:rFonts w:ascii="Times New Roman" w:hAnsi="Times New Roman" w:cs="Times New Roman"/>
          <w:b/>
          <w:bCs/>
          <w:color w:val="FF0000"/>
        </w:rPr>
        <w:t>7.0 RECOMMENDATIONS FOR FUTURE RESEARCH</w:t>
      </w:r>
    </w:p>
    <w:p w:rsidR="00205498" w:rsidRPr="00A63E1B" w:rsidRDefault="00205498" w:rsidP="00205498">
      <w:pPr>
        <w:pStyle w:val="NormalWeb"/>
        <w:spacing w:before="0" w:beforeAutospacing="0" w:after="0" w:afterAutospacing="0"/>
        <w:jc w:val="both"/>
        <w:rPr>
          <w:color w:val="FF0000"/>
          <w:lang w:val="en-MY"/>
        </w:rPr>
      </w:pPr>
      <w:r w:rsidRPr="00A63E1B">
        <w:rPr>
          <w:color w:val="FF0000"/>
          <w:lang w:val="en-MY"/>
        </w:rPr>
        <w:t xml:space="preserve">Future research is encouraged to use a larger and more recent sample size to enhance the robustness of the findings. This is because </w:t>
      </w:r>
      <w:r w:rsidR="00890CB6" w:rsidRPr="00890CB6">
        <w:rPr>
          <w:color w:val="FF0000"/>
          <w:lang w:val="en-MY"/>
        </w:rPr>
        <w:t>of the growing number of businesses participating in SDGs. A larger dataset would yield more thorough and broadly applicable conclusions as company plans increasingly incorporate sustainability initiatives. Future research would therefore be more accurate and relevant if it included the most recent data.</w:t>
      </w:r>
    </w:p>
    <w:p w:rsidR="00205498" w:rsidRPr="00A63E1B" w:rsidRDefault="00890CB6" w:rsidP="00205498">
      <w:pPr>
        <w:pStyle w:val="NormalWeb"/>
        <w:spacing w:before="0" w:beforeAutospacing="0" w:after="0" w:afterAutospacing="0"/>
        <w:ind w:firstLine="720"/>
        <w:jc w:val="both"/>
        <w:rPr>
          <w:color w:val="FF0000"/>
          <w:lang w:val="en-MY"/>
        </w:rPr>
      </w:pPr>
      <w:r w:rsidRPr="00890CB6">
        <w:rPr>
          <w:color w:val="FF0000"/>
          <w:lang w:val="en-MY"/>
        </w:rPr>
        <w:t xml:space="preserve">This study may be expanded by integrating </w:t>
      </w:r>
      <w:r>
        <w:rPr>
          <w:color w:val="FF0000"/>
          <w:lang w:val="en-MY"/>
        </w:rPr>
        <w:t>others</w:t>
      </w:r>
      <w:r w:rsidRPr="00890CB6">
        <w:rPr>
          <w:color w:val="FF0000"/>
          <w:lang w:val="en-MY"/>
        </w:rPr>
        <w:t xml:space="preserve"> variables beyond </w:t>
      </w:r>
      <w:r>
        <w:rPr>
          <w:color w:val="FF0000"/>
          <w:lang w:val="en-MY"/>
        </w:rPr>
        <w:t xml:space="preserve">company </w:t>
      </w:r>
      <w:r w:rsidRPr="00890CB6">
        <w:rPr>
          <w:color w:val="FF0000"/>
          <w:lang w:val="en-MY"/>
        </w:rPr>
        <w:t xml:space="preserve">characteristics when analysing the </w:t>
      </w:r>
      <w:r>
        <w:rPr>
          <w:color w:val="FF0000"/>
          <w:lang w:val="en-MY"/>
        </w:rPr>
        <w:t>relationship with SDGs</w:t>
      </w:r>
      <w:r w:rsidR="00205498" w:rsidRPr="00A63E1B">
        <w:rPr>
          <w:color w:val="FF0000"/>
          <w:lang w:val="en-MY"/>
        </w:rPr>
        <w:t xml:space="preserve">. </w:t>
      </w:r>
      <w:r w:rsidRPr="00890CB6">
        <w:rPr>
          <w:color w:val="FF0000"/>
          <w:lang w:val="en-MY"/>
        </w:rPr>
        <w:t xml:space="preserve">Exclusively depending on firm characteristics may restrict the comprehension of additional significant aspects that affect sustainability operations. Future research may </w:t>
      </w:r>
      <w:r>
        <w:rPr>
          <w:color w:val="FF0000"/>
          <w:lang w:val="en-MY"/>
        </w:rPr>
        <w:t>consider</w:t>
      </w:r>
      <w:r w:rsidRPr="00890CB6">
        <w:rPr>
          <w:color w:val="FF0000"/>
          <w:lang w:val="en-MY"/>
        </w:rPr>
        <w:t xml:space="preserve"> governance quality, ownership structure, institutional pressure, industry competition, or ESG performance as potential drivers. </w:t>
      </w:r>
      <w:r w:rsidR="00205498" w:rsidRPr="00A63E1B">
        <w:rPr>
          <w:color w:val="FF0000"/>
          <w:lang w:val="en-MY"/>
        </w:rPr>
        <w:t>Expanding the range of variables would provide a more comprehensive understanding of the factors influencing SDGs reporting and strengthen the explanatory power of the research model.</w:t>
      </w:r>
    </w:p>
    <w:p w:rsidR="00FD5754" w:rsidRPr="00C238FB" w:rsidRDefault="00FD5754" w:rsidP="005843B3">
      <w:pPr>
        <w:pStyle w:val="NormalWeb"/>
        <w:spacing w:before="0" w:beforeAutospacing="0" w:after="0" w:afterAutospacing="0"/>
        <w:ind w:firstLine="720"/>
        <w:jc w:val="both"/>
        <w:rPr>
          <w:sz w:val="22"/>
          <w:szCs w:val="22"/>
        </w:rPr>
      </w:pPr>
    </w:p>
    <w:p w:rsidR="001747F5" w:rsidRPr="00C238FB" w:rsidRDefault="00205498" w:rsidP="005843B3">
      <w:pPr>
        <w:spacing w:after="0" w:line="240" w:lineRule="auto"/>
        <w:rPr>
          <w:rFonts w:ascii="Times New Roman" w:hAnsi="Times New Roman" w:cs="Times New Roman"/>
          <w:b/>
          <w:bCs/>
        </w:rPr>
      </w:pPr>
      <w:r>
        <w:rPr>
          <w:rFonts w:ascii="Times New Roman" w:hAnsi="Times New Roman" w:cs="Times New Roman"/>
          <w:b/>
          <w:bCs/>
        </w:rPr>
        <w:t>8</w:t>
      </w:r>
      <w:r w:rsidR="001F0751" w:rsidRPr="00C238FB">
        <w:rPr>
          <w:rFonts w:ascii="Times New Roman" w:hAnsi="Times New Roman" w:cs="Times New Roman"/>
          <w:b/>
          <w:bCs/>
        </w:rPr>
        <w:t>.0 ACKNOWLEDGMENT</w:t>
      </w:r>
    </w:p>
    <w:p w:rsidR="00204FFF" w:rsidRPr="00C238FB" w:rsidRDefault="001F0751" w:rsidP="005843B3">
      <w:pPr>
        <w:pStyle w:val="NormalWeb"/>
        <w:spacing w:before="0" w:beforeAutospacing="0" w:after="0" w:afterAutospacing="0"/>
        <w:jc w:val="both"/>
        <w:rPr>
          <w:sz w:val="22"/>
          <w:szCs w:val="22"/>
        </w:rPr>
      </w:pPr>
      <w:r w:rsidRPr="00C238FB">
        <w:rPr>
          <w:sz w:val="22"/>
          <w:szCs w:val="22"/>
        </w:rPr>
        <w:t xml:space="preserve">We thank the University Malaysia Sarawak (UNIMAS) for financially supporting </w:t>
      </w:r>
      <w:r w:rsidR="00C45416">
        <w:rPr>
          <w:sz w:val="22"/>
          <w:szCs w:val="22"/>
        </w:rPr>
        <w:t xml:space="preserve">publication fee of </w:t>
      </w:r>
      <w:r w:rsidRPr="00C238FB">
        <w:rPr>
          <w:sz w:val="22"/>
          <w:szCs w:val="22"/>
        </w:rPr>
        <w:t>this research.</w:t>
      </w:r>
    </w:p>
    <w:p w:rsidR="001747F5" w:rsidRPr="00C238FB" w:rsidRDefault="001747F5" w:rsidP="005843B3">
      <w:pPr>
        <w:spacing w:after="0" w:line="240" w:lineRule="auto"/>
        <w:rPr>
          <w:rFonts w:ascii="Times New Roman" w:hAnsi="Times New Roman" w:cs="Times New Roman"/>
          <w:b/>
          <w:bCs/>
        </w:rPr>
      </w:pPr>
    </w:p>
    <w:p w:rsidR="001747F5" w:rsidRPr="00C238FB" w:rsidRDefault="001F0751" w:rsidP="00923091">
      <w:pPr>
        <w:spacing w:after="0" w:line="240" w:lineRule="auto"/>
        <w:jc w:val="both"/>
        <w:outlineLvl w:val="0"/>
        <w:rPr>
          <w:rFonts w:ascii="Times New Roman" w:hAnsi="Times New Roman" w:cs="Times New Roman"/>
          <w:b/>
          <w:bCs/>
        </w:rPr>
      </w:pPr>
      <w:r w:rsidRPr="00C238FB">
        <w:rPr>
          <w:rFonts w:ascii="Times New Roman" w:hAnsi="Times New Roman" w:cs="Times New Roman"/>
          <w:b/>
          <w:bCs/>
        </w:rPr>
        <w:t>References</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Ahmed, A. M., Sharif, N. A., Ali, M. N., &amp;Hágen, I. (2023). Effect of firm size on the association between capital structure and profitability. </w:t>
      </w:r>
      <w:r w:rsidRPr="00C238FB">
        <w:rPr>
          <w:rFonts w:ascii="Times New Roman" w:hAnsi="Times New Roman" w:cs="Times New Roman"/>
          <w:i/>
          <w:iCs/>
          <w:shd w:val="clear" w:color="auto" w:fill="FFFFFF"/>
        </w:rPr>
        <w:t>Sustainability</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15</w:t>
      </w:r>
      <w:r w:rsidRPr="00C238FB">
        <w:rPr>
          <w:rFonts w:ascii="Times New Roman" w:hAnsi="Times New Roman" w:cs="Times New Roman"/>
          <w:shd w:val="clear" w:color="auto" w:fill="FFFFFF"/>
        </w:rPr>
        <w:t>(14), 11196.</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color w:val="222222"/>
          <w:shd w:val="clear" w:color="auto" w:fill="FFFFFF"/>
        </w:rPr>
        <w:t>Aremo, A. A., &amp;Ayorinde, Y. O. (2022). Lease Financing and Financial Performance of Listed Manufacturing Companies in Nigeria. </w:t>
      </w:r>
      <w:r w:rsidRPr="00C238FB">
        <w:rPr>
          <w:rFonts w:ascii="Times New Roman" w:hAnsi="Times New Roman" w:cs="Times New Roman"/>
          <w:i/>
          <w:iCs/>
          <w:color w:val="222222"/>
          <w:shd w:val="clear" w:color="auto" w:fill="FFFFFF"/>
        </w:rPr>
        <w:t>European Journal of Accounting, Auditing and Finance Research</w:t>
      </w:r>
      <w:r w:rsidRPr="00C238FB">
        <w:rPr>
          <w:rFonts w:ascii="Times New Roman" w:hAnsi="Times New Roman" w:cs="Times New Roman"/>
          <w:color w:val="222222"/>
          <w:shd w:val="clear" w:color="auto" w:fill="FFFFFF"/>
        </w:rPr>
        <w:t>, </w:t>
      </w:r>
      <w:r w:rsidRPr="00C238FB">
        <w:rPr>
          <w:rFonts w:ascii="Times New Roman" w:hAnsi="Times New Roman" w:cs="Times New Roman"/>
          <w:i/>
          <w:iCs/>
          <w:color w:val="222222"/>
          <w:shd w:val="clear" w:color="auto" w:fill="FFFFFF"/>
        </w:rPr>
        <w:t>10</w:t>
      </w:r>
      <w:r w:rsidRPr="00C238FB">
        <w:rPr>
          <w:rFonts w:ascii="Times New Roman" w:hAnsi="Times New Roman" w:cs="Times New Roman"/>
          <w:color w:val="222222"/>
          <w:shd w:val="clear" w:color="auto" w:fill="FFFFFF"/>
        </w:rPr>
        <w:t>(6), 1-8.</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Bose, S., Khan, H. Z., &amp;Bakshi, S. (2024). Determinants and consequences of sustainable development goals disclosure: International evidence. </w:t>
      </w:r>
      <w:r w:rsidRPr="00140CEC">
        <w:rPr>
          <w:rFonts w:ascii="Times New Roman" w:hAnsi="Times New Roman" w:cs="Times New Roman"/>
          <w:i/>
          <w:lang w:val="en-US"/>
        </w:rPr>
        <w:t>Journal of Cleaner Production, 434</w:t>
      </w:r>
      <w:r w:rsidRPr="00C238FB">
        <w:rPr>
          <w:rFonts w:ascii="Times New Roman" w:hAnsi="Times New Roman" w:cs="Times New Roman"/>
          <w:lang w:val="en-US"/>
        </w:rPr>
        <w:t>, 140021.</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rPr>
        <w:lastRenderedPageBreak/>
        <w:t xml:space="preserve">Buniamin, S., Jaffar, R., Ahmad, N., &amp;Johari, N. H. (2022). </w:t>
      </w:r>
      <w:r w:rsidRPr="00C238FB">
        <w:rPr>
          <w:rFonts w:ascii="Times New Roman" w:hAnsi="Times New Roman" w:cs="Times New Roman"/>
          <w:lang w:val="en-US"/>
        </w:rPr>
        <w:t xml:space="preserve">The role of corporate governance in achieving SDGs among Malaysian companies. </w:t>
      </w:r>
      <w:r w:rsidRPr="00140CEC">
        <w:rPr>
          <w:rFonts w:ascii="Times New Roman" w:hAnsi="Times New Roman" w:cs="Times New Roman"/>
          <w:i/>
          <w:lang w:val="en-US"/>
        </w:rPr>
        <w:t>European Journal of Sustainable Development, 11</w:t>
      </w:r>
      <w:r w:rsidRPr="00C238FB">
        <w:rPr>
          <w:rFonts w:ascii="Times New Roman" w:hAnsi="Times New Roman" w:cs="Times New Roman"/>
          <w:lang w:val="en-US"/>
        </w:rPr>
        <w:t>(3), 326-326.</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Business and Sustainable Development Commission. (2017). Better business better world–The report of the Business &amp; Sustainable Development Commission. Available at:(accessed 16 October 2021): http://report. businesscommission. org/uploads/BetterBiz-BetterWorld_170215_012417. pdf, 2, 63-78.</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Camilleri, M. A. (2018). Closing the loop for resource efficiency, sustainable consumption and production: A critical review of the circular economy. </w:t>
      </w:r>
      <w:r w:rsidRPr="00140CEC">
        <w:rPr>
          <w:rFonts w:ascii="Times New Roman" w:hAnsi="Times New Roman" w:cs="Times New Roman"/>
          <w:i/>
          <w:lang w:val="en-US"/>
        </w:rPr>
        <w:t>International Journal of Sustainable Development, 21</w:t>
      </w:r>
      <w:r w:rsidRPr="00C238FB">
        <w:rPr>
          <w:rFonts w:ascii="Times New Roman" w:hAnsi="Times New Roman" w:cs="Times New Roman"/>
          <w:lang w:val="en-US"/>
        </w:rPr>
        <w:t>(1-4), 1-17.</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Djohan, D. (2023). The Analysis of Liquidity Ratio as Tool to Measure Financial Position in PT. Iplug Indonesia at Medan. </w:t>
      </w:r>
      <w:r w:rsidRPr="00C238FB">
        <w:rPr>
          <w:rFonts w:ascii="Times New Roman" w:hAnsi="Times New Roman" w:cs="Times New Roman"/>
          <w:i/>
          <w:iCs/>
          <w:shd w:val="clear" w:color="auto" w:fill="FFFFFF"/>
        </w:rPr>
        <w:t>International Journal of Health, Economics, and Social Sciences (IJHESS)</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5</w:t>
      </w:r>
      <w:r w:rsidRPr="00C238FB">
        <w:rPr>
          <w:rFonts w:ascii="Times New Roman" w:hAnsi="Times New Roman" w:cs="Times New Roman"/>
          <w:shd w:val="clear" w:color="auto" w:fill="FFFFFF"/>
        </w:rPr>
        <w:t>(3), 322-327.</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ESCAP, U. (2023). SDG 9: Industry, innovation and infrastructure.</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FallahShayan, N., Mohabbati-Kalejahi, N., Alavi, S., &amp;Zahed, M. A. (2022). Sustainable development goals (SDGs) as a framework for corporate social responsibility (CSR). </w:t>
      </w:r>
      <w:r w:rsidRPr="00140CEC">
        <w:rPr>
          <w:rFonts w:ascii="Times New Roman" w:hAnsi="Times New Roman" w:cs="Times New Roman"/>
          <w:i/>
          <w:lang w:val="en-US"/>
        </w:rPr>
        <w:t>Sustainability, 14</w:t>
      </w:r>
      <w:r w:rsidRPr="00C238FB">
        <w:rPr>
          <w:rFonts w:ascii="Times New Roman" w:hAnsi="Times New Roman" w:cs="Times New Roman"/>
          <w:lang w:val="en-US"/>
        </w:rPr>
        <w:t>(3), 1222.</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Hamad, S., Lai, F. W., Shad, M. K., Khatib, S. F., &amp; Ali, S. E. A. (2023). Assessing the implementation of sustainable development goals: does integrated reporting matter?. Sustainability Accounting, Management and Policy Journal, 14(1), 49-74.</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Jevremović, N. (2022). Enforcing Sustainability Clauses in Global Supply Chains with a Focus on Proactive and Relational Contract Theory: Case of SDG 12. ZEuSZeitschriftfürEuroparechtlicheStudien, 25(2), 393-418.</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Keller,G., &amp;Warrack,B.(Eds.). (2005). Statistics for management and economics (Fifthed.): Pacific Grove.</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Khaled, R., Ali, H., &amp; Mohamed, E. K. (2021). The Sustainable Development Goals and corporate sustainability performance: Mapping, extent and determinants</w:t>
      </w:r>
      <w:r w:rsidRPr="00140CEC">
        <w:rPr>
          <w:rFonts w:ascii="Times New Roman" w:hAnsi="Times New Roman" w:cs="Times New Roman"/>
          <w:i/>
          <w:lang w:val="en-US"/>
        </w:rPr>
        <w:t>. Journal of Cleaner Production, 311</w:t>
      </w:r>
      <w:r w:rsidRPr="00C238FB">
        <w:rPr>
          <w:rFonts w:ascii="Times New Roman" w:hAnsi="Times New Roman" w:cs="Times New Roman"/>
          <w:lang w:val="en-US"/>
        </w:rPr>
        <w:t>, 127599.</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rPr>
        <w:t xml:space="preserve">Khan, P. A., Johl, S. K., &amp; Akhtar, S. (2022). </w:t>
      </w:r>
      <w:r w:rsidRPr="00C238FB">
        <w:rPr>
          <w:rFonts w:ascii="Times New Roman" w:hAnsi="Times New Roman" w:cs="Times New Roman"/>
          <w:lang w:val="en-US"/>
        </w:rPr>
        <w:t xml:space="preserve">Vinculum of sustainable development goal practices and firms’ financial performance: A moderation role of green innovation. </w:t>
      </w:r>
      <w:r w:rsidRPr="00140CEC">
        <w:rPr>
          <w:rFonts w:ascii="Times New Roman" w:hAnsi="Times New Roman" w:cs="Times New Roman"/>
          <w:i/>
          <w:lang w:val="en-US"/>
        </w:rPr>
        <w:t>Journal of Risk and Financial Management, 15</w:t>
      </w:r>
      <w:r w:rsidRPr="00C238FB">
        <w:rPr>
          <w:rFonts w:ascii="Times New Roman" w:hAnsi="Times New Roman" w:cs="Times New Roman"/>
          <w:lang w:val="en-US"/>
        </w:rPr>
        <w:t>(3), 96.</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Lam, K. C., Sami, H., &amp; Zhou, H. (2012). The role of cross-listing, foreign ownership and state ownership in dividend policy in an emerging market. </w:t>
      </w:r>
      <w:r w:rsidRPr="00C238FB">
        <w:rPr>
          <w:rFonts w:ascii="Times New Roman" w:hAnsi="Times New Roman" w:cs="Times New Roman"/>
          <w:i/>
          <w:iCs/>
          <w:shd w:val="clear" w:color="auto" w:fill="FFFFFF"/>
        </w:rPr>
        <w:t>China Journal of Accounting Research</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5</w:t>
      </w:r>
      <w:r w:rsidRPr="00C238FB">
        <w:rPr>
          <w:rFonts w:ascii="Times New Roman" w:hAnsi="Times New Roman" w:cs="Times New Roman"/>
          <w:shd w:val="clear" w:color="auto" w:fill="FFFFFF"/>
        </w:rPr>
        <w:t>(3), 199-216.</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Murphy, D. F., &amp; Stott, L. (2021). Partnerships for the sustainable development goals (SDGs). </w:t>
      </w:r>
      <w:r w:rsidRPr="00140CEC">
        <w:rPr>
          <w:rFonts w:ascii="Times New Roman" w:hAnsi="Times New Roman" w:cs="Times New Roman"/>
          <w:i/>
          <w:lang w:val="en-US"/>
        </w:rPr>
        <w:t>Sustainability, 13</w:t>
      </w:r>
      <w:r w:rsidRPr="00C238FB">
        <w:rPr>
          <w:rFonts w:ascii="Times New Roman" w:hAnsi="Times New Roman" w:cs="Times New Roman"/>
          <w:lang w:val="en-US"/>
        </w:rPr>
        <w:t>(2), 658.</w:t>
      </w:r>
    </w:p>
    <w:p w:rsidR="00EF3437" w:rsidRPr="00C238FB" w:rsidRDefault="001F0751" w:rsidP="005843B3">
      <w:pPr>
        <w:spacing w:after="0" w:line="240" w:lineRule="auto"/>
        <w:ind w:left="720" w:hanging="720"/>
        <w:jc w:val="both"/>
        <w:rPr>
          <w:rFonts w:ascii="Times New Roman" w:hAnsi="Times New Roman" w:cs="Times New Roman"/>
          <w:shd w:val="clear" w:color="auto" w:fill="FFFFFF"/>
        </w:rPr>
      </w:pPr>
      <w:r w:rsidRPr="00C238FB">
        <w:rPr>
          <w:rFonts w:ascii="Times New Roman" w:hAnsi="Times New Roman" w:cs="Times New Roman"/>
          <w:shd w:val="clear" w:color="auto" w:fill="FFFFFF"/>
        </w:rPr>
        <w:t xml:space="preserve">Nguyen, Q. N., Pham, K. X., &amp; Nguyen, L. P. (2024). </w:t>
      </w:r>
      <w:r w:rsidR="00140CEC">
        <w:rPr>
          <w:rFonts w:ascii="Times New Roman" w:hAnsi="Times New Roman" w:cs="Times New Roman"/>
          <w:shd w:val="clear" w:color="auto" w:fill="FFFFFF"/>
        </w:rPr>
        <w:t>I</w:t>
      </w:r>
      <w:r w:rsidR="00140CEC" w:rsidRPr="00C238FB">
        <w:rPr>
          <w:rFonts w:ascii="Times New Roman" w:hAnsi="Times New Roman" w:cs="Times New Roman"/>
          <w:shd w:val="clear" w:color="auto" w:fill="FFFFFF"/>
        </w:rPr>
        <w:t>mpact of debt structure on profitability of non-financial listed joint-stock firms</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 xml:space="preserve">Journal of </w:t>
      </w:r>
      <w:r w:rsidR="00140CEC">
        <w:rPr>
          <w:rFonts w:ascii="Times New Roman" w:hAnsi="Times New Roman" w:cs="Times New Roman"/>
          <w:i/>
          <w:iCs/>
          <w:shd w:val="clear" w:color="auto" w:fill="FFFFFF"/>
        </w:rPr>
        <w:t>Governance and Regulation</w:t>
      </w:r>
      <w:r w:rsidRPr="00C238FB">
        <w:rPr>
          <w:rFonts w:ascii="Times New Roman" w:hAnsi="Times New Roman" w:cs="Times New Roman"/>
          <w:shd w:val="clear" w:color="auto" w:fill="FFFFFF"/>
        </w:rPr>
        <w:t>, </w:t>
      </w:r>
      <w:r w:rsidRPr="00C238FB">
        <w:rPr>
          <w:rFonts w:ascii="Times New Roman" w:hAnsi="Times New Roman" w:cs="Times New Roman"/>
          <w:i/>
          <w:iCs/>
          <w:shd w:val="clear" w:color="auto" w:fill="FFFFFF"/>
        </w:rPr>
        <w:t>13</w:t>
      </w:r>
      <w:r w:rsidRPr="00C238FB">
        <w:rPr>
          <w:rFonts w:ascii="Times New Roman" w:hAnsi="Times New Roman" w:cs="Times New Roman"/>
          <w:shd w:val="clear" w:color="auto" w:fill="FFFFFF"/>
        </w:rPr>
        <w:t>(1), 377-387.</w:t>
      </w:r>
    </w:p>
    <w:p w:rsidR="00EF3437" w:rsidRPr="00C238FB" w:rsidRDefault="001F0751" w:rsidP="005843B3">
      <w:pPr>
        <w:spacing w:after="0" w:line="240" w:lineRule="auto"/>
        <w:ind w:left="720" w:hanging="720"/>
        <w:jc w:val="both"/>
        <w:rPr>
          <w:rFonts w:ascii="Times New Roman" w:eastAsia="Times New Roman" w:hAnsi="Times New Roman" w:cs="Times New Roman"/>
          <w:kern w:val="0"/>
          <w:shd w:val="clear" w:color="auto" w:fill="FFFFFF"/>
          <w:lang w:eastAsia="en-MY"/>
        </w:rPr>
      </w:pPr>
      <w:r w:rsidRPr="00C238FB">
        <w:rPr>
          <w:rFonts w:ascii="Times New Roman" w:eastAsia="Times New Roman" w:hAnsi="Times New Roman" w:cs="Times New Roman"/>
          <w:kern w:val="0"/>
          <w:shd w:val="clear" w:color="auto" w:fill="FFFFFF"/>
          <w:lang w:eastAsia="en-MY"/>
        </w:rPr>
        <w:t xml:space="preserve">Nukala, V. B., &amp;Prasada Rao, S. S. (2021). Role of debt-to-equity ratio in project investment valuation, assessing risk and return in capital markets. </w:t>
      </w:r>
      <w:r w:rsidRPr="00140CEC">
        <w:rPr>
          <w:rFonts w:ascii="Times New Roman" w:eastAsia="Times New Roman" w:hAnsi="Times New Roman" w:cs="Times New Roman"/>
          <w:i/>
          <w:kern w:val="0"/>
          <w:shd w:val="clear" w:color="auto" w:fill="FFFFFF"/>
          <w:lang w:eastAsia="en-MY"/>
        </w:rPr>
        <w:t>Future Business Journal, 7</w:t>
      </w:r>
      <w:r w:rsidRPr="00C238FB">
        <w:rPr>
          <w:rFonts w:ascii="Times New Roman" w:eastAsia="Times New Roman" w:hAnsi="Times New Roman" w:cs="Times New Roman"/>
          <w:kern w:val="0"/>
          <w:shd w:val="clear" w:color="auto" w:fill="FFFFFF"/>
          <w:lang w:eastAsia="en-MY"/>
        </w:rPr>
        <w:t>(1), 13.</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Ozili, P. K. (2023). Sustainable Development Goals and bank profitability: </w:t>
      </w:r>
      <w:r w:rsidRPr="00140CEC">
        <w:rPr>
          <w:rFonts w:ascii="Times New Roman" w:hAnsi="Times New Roman" w:cs="Times New Roman"/>
          <w:i/>
          <w:lang w:val="en-US"/>
        </w:rPr>
        <w:t>International evidence. Modern Finance, 1</w:t>
      </w:r>
      <w:r w:rsidRPr="00C238FB">
        <w:rPr>
          <w:rFonts w:ascii="Times New Roman" w:hAnsi="Times New Roman" w:cs="Times New Roman"/>
          <w:lang w:val="en-US"/>
        </w:rPr>
        <w:t>(1), 70-92.</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rPr>
        <w:t xml:space="preserve">Paetzold, F., Busch, T., Utz, S., &amp;Kellers, A. (2022). </w:t>
      </w:r>
      <w:r w:rsidRPr="00C238FB">
        <w:rPr>
          <w:rFonts w:ascii="Times New Roman" w:hAnsi="Times New Roman" w:cs="Times New Roman"/>
          <w:lang w:val="en-US"/>
        </w:rPr>
        <w:t xml:space="preserve">Between impact and returns: Private investors and the sustainable development goals. </w:t>
      </w:r>
      <w:r w:rsidRPr="00140CEC">
        <w:rPr>
          <w:rFonts w:ascii="Times New Roman" w:hAnsi="Times New Roman" w:cs="Times New Roman"/>
          <w:i/>
          <w:lang w:val="en-US"/>
        </w:rPr>
        <w:t>Business Strategy and the Environment, 31</w:t>
      </w:r>
      <w:r w:rsidRPr="00C238FB">
        <w:rPr>
          <w:rFonts w:ascii="Times New Roman" w:hAnsi="Times New Roman" w:cs="Times New Roman"/>
          <w:lang w:val="en-US"/>
        </w:rPr>
        <w:t>(7), 3182-3197.</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Pfeffer, J. (1987). A resource dependence perspective on intercorporate relations. </w:t>
      </w:r>
      <w:r w:rsidRPr="00140CEC">
        <w:rPr>
          <w:rFonts w:ascii="Times New Roman" w:hAnsi="Times New Roman" w:cs="Times New Roman"/>
          <w:i/>
          <w:lang w:val="en-US"/>
        </w:rPr>
        <w:t>Intercorporate relations: The structural analysis of business, 1</w:t>
      </w:r>
      <w:r w:rsidRPr="00C238FB">
        <w:rPr>
          <w:rFonts w:ascii="Times New Roman" w:hAnsi="Times New Roman" w:cs="Times New Roman"/>
          <w:lang w:val="en-US"/>
        </w:rPr>
        <w:t>(1), 25-55.</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Scharlemann, J. P., Brock, R. C., Balfour, N., Brown, C., Burgess, N. D., Guth, M. K., &amp;Kapos, V. (2020). Towards understanding interactions between Sustainable Development Goals: The role of environment–human linkages. </w:t>
      </w:r>
      <w:r w:rsidRPr="00140CEC">
        <w:rPr>
          <w:rFonts w:ascii="Times New Roman" w:hAnsi="Times New Roman" w:cs="Times New Roman"/>
          <w:i/>
          <w:lang w:val="en-US"/>
        </w:rPr>
        <w:t>Sustainability science, 15</w:t>
      </w:r>
      <w:r w:rsidRPr="00C238FB">
        <w:rPr>
          <w:rFonts w:ascii="Times New Roman" w:hAnsi="Times New Roman" w:cs="Times New Roman"/>
          <w:lang w:val="en-US"/>
        </w:rPr>
        <w:t>, 1573-1584.</w:t>
      </w:r>
    </w:p>
    <w:p w:rsidR="00EF3437" w:rsidRPr="00C238FB" w:rsidRDefault="001F0751" w:rsidP="005843B3">
      <w:pPr>
        <w:spacing w:after="0" w:line="240" w:lineRule="auto"/>
        <w:ind w:left="720" w:hanging="720"/>
        <w:jc w:val="both"/>
        <w:rPr>
          <w:rFonts w:ascii="Times New Roman" w:hAnsi="Times New Roman" w:cs="Times New Roman"/>
          <w:lang w:val="en-US"/>
        </w:rPr>
      </w:pPr>
      <w:r w:rsidRPr="00C238FB">
        <w:rPr>
          <w:rFonts w:ascii="Times New Roman" w:hAnsi="Times New Roman" w:cs="Times New Roman"/>
          <w:lang w:val="en-US"/>
        </w:rPr>
        <w:t xml:space="preserve">Zhan, J. X., &amp; Santos-Paulino, A. U. (2021). Investing in the Sustainable Development Goals: Mobilization, channeling, and impact. </w:t>
      </w:r>
      <w:r w:rsidRPr="00140CEC">
        <w:rPr>
          <w:rFonts w:ascii="Times New Roman" w:hAnsi="Times New Roman" w:cs="Times New Roman"/>
          <w:i/>
          <w:lang w:val="en-US"/>
        </w:rPr>
        <w:t>Journal of International Business Policy, 4</w:t>
      </w:r>
      <w:r w:rsidRPr="00C238FB">
        <w:rPr>
          <w:rFonts w:ascii="Times New Roman" w:hAnsi="Times New Roman" w:cs="Times New Roman"/>
          <w:lang w:val="en-US"/>
        </w:rPr>
        <w:t>(1), 166-183.</w:t>
      </w:r>
    </w:p>
    <w:p w:rsidR="00346F4E" w:rsidRPr="00C238FB" w:rsidRDefault="00346F4E" w:rsidP="005843B3">
      <w:pPr>
        <w:widowControl w:val="0"/>
        <w:autoSpaceDE w:val="0"/>
        <w:autoSpaceDN w:val="0"/>
        <w:adjustRightInd w:val="0"/>
        <w:spacing w:after="0" w:line="240" w:lineRule="auto"/>
        <w:ind w:left="480" w:right="401" w:hanging="480"/>
        <w:jc w:val="both"/>
        <w:rPr>
          <w:rFonts w:ascii="Times New Roman" w:hAnsi="Times New Roman" w:cs="Times New Roman"/>
          <w:shd w:val="clear" w:color="auto" w:fill="FFFFFF"/>
        </w:rPr>
      </w:pPr>
    </w:p>
    <w:p w:rsidR="00346F4E" w:rsidRPr="00C238FB" w:rsidRDefault="00346F4E" w:rsidP="005843B3">
      <w:pPr>
        <w:widowControl w:val="0"/>
        <w:autoSpaceDE w:val="0"/>
        <w:autoSpaceDN w:val="0"/>
        <w:adjustRightInd w:val="0"/>
        <w:spacing w:after="0" w:line="240" w:lineRule="auto"/>
        <w:ind w:left="480" w:right="401" w:hanging="480"/>
        <w:jc w:val="both"/>
        <w:rPr>
          <w:rFonts w:ascii="Times New Roman" w:hAnsi="Times New Roman" w:cs="Times New Roman"/>
          <w:lang w:val="en-US"/>
        </w:rPr>
      </w:pPr>
    </w:p>
    <w:sectPr w:rsidR="00346F4E" w:rsidRPr="00C238FB" w:rsidSect="000B413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107" w:rsidRDefault="00827107">
      <w:pPr>
        <w:spacing w:after="0" w:line="240" w:lineRule="auto"/>
      </w:pPr>
      <w:r>
        <w:separator/>
      </w:r>
    </w:p>
  </w:endnote>
  <w:endnote w:type="continuationSeparator" w:id="0">
    <w:p w:rsidR="00827107" w:rsidRDefault="0082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458158"/>
      <w:docPartObj>
        <w:docPartGallery w:val="Page Numbers (Bottom of Page)"/>
        <w:docPartUnique/>
      </w:docPartObj>
    </w:sdtPr>
    <w:sdtEndPr>
      <w:rPr>
        <w:noProof/>
      </w:rPr>
    </w:sdtEndPr>
    <w:sdtContent>
      <w:p w:rsidR="004B5813" w:rsidRDefault="00A26D93">
        <w:pPr>
          <w:pStyle w:val="Footer"/>
          <w:jc w:val="center"/>
        </w:pPr>
        <w:r>
          <w:fldChar w:fldCharType="begin"/>
        </w:r>
        <w:r w:rsidR="00C238FB">
          <w:instrText xml:space="preserve"> PAGE   \* MERGEFORMAT </w:instrText>
        </w:r>
        <w:r>
          <w:fldChar w:fldCharType="separate"/>
        </w:r>
        <w:r w:rsidR="00890CB6">
          <w:rPr>
            <w:noProof/>
          </w:rPr>
          <w:t>4</w:t>
        </w:r>
        <w:r>
          <w:rPr>
            <w:noProof/>
          </w:rPr>
          <w:fldChar w:fldCharType="end"/>
        </w:r>
      </w:p>
    </w:sdtContent>
  </w:sdt>
  <w:p w:rsidR="004B5813" w:rsidRDefault="004B5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107" w:rsidRDefault="00827107">
      <w:pPr>
        <w:spacing w:after="0" w:line="240" w:lineRule="auto"/>
      </w:pPr>
      <w:r>
        <w:separator/>
      </w:r>
    </w:p>
  </w:footnote>
  <w:footnote w:type="continuationSeparator" w:id="0">
    <w:p w:rsidR="00827107" w:rsidRDefault="00827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4757D7"/>
    <w:multiLevelType w:val="multilevel"/>
    <w:tmpl w:val="125A70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6A5B65DD"/>
    <w:multiLevelType w:val="hybridMultilevel"/>
    <w:tmpl w:val="3DC4D5DE"/>
    <w:lvl w:ilvl="0" w:tplc="AB660DAE">
      <w:start w:val="1"/>
      <w:numFmt w:val="lowerLetter"/>
      <w:lvlText w:val="%1."/>
      <w:lvlJc w:val="left"/>
      <w:pPr>
        <w:ind w:left="420" w:hanging="360"/>
      </w:pPr>
      <w:rPr>
        <w:rFonts w:hint="default"/>
      </w:rPr>
    </w:lvl>
    <w:lvl w:ilvl="1" w:tplc="1628429C" w:tentative="1">
      <w:start w:val="1"/>
      <w:numFmt w:val="lowerLetter"/>
      <w:lvlText w:val="%2."/>
      <w:lvlJc w:val="left"/>
      <w:pPr>
        <w:ind w:left="1140" w:hanging="360"/>
      </w:pPr>
    </w:lvl>
    <w:lvl w:ilvl="2" w:tplc="DB96BDBE" w:tentative="1">
      <w:start w:val="1"/>
      <w:numFmt w:val="lowerRoman"/>
      <w:lvlText w:val="%3."/>
      <w:lvlJc w:val="right"/>
      <w:pPr>
        <w:ind w:left="1860" w:hanging="180"/>
      </w:pPr>
    </w:lvl>
    <w:lvl w:ilvl="3" w:tplc="AFE0B03E" w:tentative="1">
      <w:start w:val="1"/>
      <w:numFmt w:val="decimal"/>
      <w:lvlText w:val="%4."/>
      <w:lvlJc w:val="left"/>
      <w:pPr>
        <w:ind w:left="2580" w:hanging="360"/>
      </w:pPr>
    </w:lvl>
    <w:lvl w:ilvl="4" w:tplc="D4AA0168" w:tentative="1">
      <w:start w:val="1"/>
      <w:numFmt w:val="lowerLetter"/>
      <w:lvlText w:val="%5."/>
      <w:lvlJc w:val="left"/>
      <w:pPr>
        <w:ind w:left="3300" w:hanging="360"/>
      </w:pPr>
    </w:lvl>
    <w:lvl w:ilvl="5" w:tplc="3BF0B594" w:tentative="1">
      <w:start w:val="1"/>
      <w:numFmt w:val="lowerRoman"/>
      <w:lvlText w:val="%6."/>
      <w:lvlJc w:val="right"/>
      <w:pPr>
        <w:ind w:left="4020" w:hanging="180"/>
      </w:pPr>
    </w:lvl>
    <w:lvl w:ilvl="6" w:tplc="6568DF62" w:tentative="1">
      <w:start w:val="1"/>
      <w:numFmt w:val="decimal"/>
      <w:lvlText w:val="%7."/>
      <w:lvlJc w:val="left"/>
      <w:pPr>
        <w:ind w:left="4740" w:hanging="360"/>
      </w:pPr>
    </w:lvl>
    <w:lvl w:ilvl="7" w:tplc="5CB883E2" w:tentative="1">
      <w:start w:val="1"/>
      <w:numFmt w:val="lowerLetter"/>
      <w:lvlText w:val="%8."/>
      <w:lvlJc w:val="left"/>
      <w:pPr>
        <w:ind w:left="5460" w:hanging="360"/>
      </w:pPr>
    </w:lvl>
    <w:lvl w:ilvl="8" w:tplc="0F769D12"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4952"/>
    <w:rsid w:val="0001157E"/>
    <w:rsid w:val="00025DDB"/>
    <w:rsid w:val="00041CEB"/>
    <w:rsid w:val="00047632"/>
    <w:rsid w:val="000659D6"/>
    <w:rsid w:val="00076A46"/>
    <w:rsid w:val="000B4132"/>
    <w:rsid w:val="000C2CF6"/>
    <w:rsid w:val="000F77E7"/>
    <w:rsid w:val="00113785"/>
    <w:rsid w:val="00140CEC"/>
    <w:rsid w:val="001631ED"/>
    <w:rsid w:val="00172AEB"/>
    <w:rsid w:val="001747F5"/>
    <w:rsid w:val="00181429"/>
    <w:rsid w:val="00183602"/>
    <w:rsid w:val="001A6161"/>
    <w:rsid w:val="001A78D8"/>
    <w:rsid w:val="001B05CE"/>
    <w:rsid w:val="001E3E1D"/>
    <w:rsid w:val="001F0751"/>
    <w:rsid w:val="00204FFF"/>
    <w:rsid w:val="00205498"/>
    <w:rsid w:val="0026003A"/>
    <w:rsid w:val="00306880"/>
    <w:rsid w:val="00310B8B"/>
    <w:rsid w:val="0031211D"/>
    <w:rsid w:val="00324728"/>
    <w:rsid w:val="00333A37"/>
    <w:rsid w:val="00336224"/>
    <w:rsid w:val="00342C4C"/>
    <w:rsid w:val="00346F4E"/>
    <w:rsid w:val="00426A08"/>
    <w:rsid w:val="004548E2"/>
    <w:rsid w:val="00472043"/>
    <w:rsid w:val="004A1842"/>
    <w:rsid w:val="004A60DA"/>
    <w:rsid w:val="004B1F9B"/>
    <w:rsid w:val="004B510E"/>
    <w:rsid w:val="004B5813"/>
    <w:rsid w:val="004B697E"/>
    <w:rsid w:val="00501381"/>
    <w:rsid w:val="00504FC4"/>
    <w:rsid w:val="00512920"/>
    <w:rsid w:val="0051424B"/>
    <w:rsid w:val="00546E12"/>
    <w:rsid w:val="005545D4"/>
    <w:rsid w:val="00566F20"/>
    <w:rsid w:val="005768E3"/>
    <w:rsid w:val="005843B3"/>
    <w:rsid w:val="005A4F53"/>
    <w:rsid w:val="005B10C2"/>
    <w:rsid w:val="005C5AC8"/>
    <w:rsid w:val="005C7640"/>
    <w:rsid w:val="005D0FA1"/>
    <w:rsid w:val="005D3757"/>
    <w:rsid w:val="005D70C3"/>
    <w:rsid w:val="005E0514"/>
    <w:rsid w:val="005E11D4"/>
    <w:rsid w:val="00607532"/>
    <w:rsid w:val="00623C95"/>
    <w:rsid w:val="00664952"/>
    <w:rsid w:val="0067180C"/>
    <w:rsid w:val="006F672E"/>
    <w:rsid w:val="006F7D06"/>
    <w:rsid w:val="00732962"/>
    <w:rsid w:val="00740299"/>
    <w:rsid w:val="00792BCD"/>
    <w:rsid w:val="007B3594"/>
    <w:rsid w:val="007C2F60"/>
    <w:rsid w:val="007F7C85"/>
    <w:rsid w:val="0080041E"/>
    <w:rsid w:val="00827107"/>
    <w:rsid w:val="00832950"/>
    <w:rsid w:val="00837FB7"/>
    <w:rsid w:val="00851558"/>
    <w:rsid w:val="0087236F"/>
    <w:rsid w:val="00890CB6"/>
    <w:rsid w:val="008D4D32"/>
    <w:rsid w:val="008D4E58"/>
    <w:rsid w:val="008E382C"/>
    <w:rsid w:val="008F4209"/>
    <w:rsid w:val="00923091"/>
    <w:rsid w:val="00956F78"/>
    <w:rsid w:val="00993DAE"/>
    <w:rsid w:val="009A1F4E"/>
    <w:rsid w:val="009C7D2F"/>
    <w:rsid w:val="009D01D6"/>
    <w:rsid w:val="009F222D"/>
    <w:rsid w:val="00A00CC2"/>
    <w:rsid w:val="00A26D93"/>
    <w:rsid w:val="00A369C1"/>
    <w:rsid w:val="00A53E63"/>
    <w:rsid w:val="00A63E1B"/>
    <w:rsid w:val="00A7693F"/>
    <w:rsid w:val="00A939BA"/>
    <w:rsid w:val="00A93EE7"/>
    <w:rsid w:val="00A964AD"/>
    <w:rsid w:val="00AC1D30"/>
    <w:rsid w:val="00AD1246"/>
    <w:rsid w:val="00AD26F6"/>
    <w:rsid w:val="00AE2BDD"/>
    <w:rsid w:val="00BB6943"/>
    <w:rsid w:val="00BC1AF8"/>
    <w:rsid w:val="00BC5B92"/>
    <w:rsid w:val="00C17ED0"/>
    <w:rsid w:val="00C238FB"/>
    <w:rsid w:val="00C45416"/>
    <w:rsid w:val="00C54A5B"/>
    <w:rsid w:val="00C80566"/>
    <w:rsid w:val="00C824FC"/>
    <w:rsid w:val="00CB4304"/>
    <w:rsid w:val="00CB57C8"/>
    <w:rsid w:val="00CC648A"/>
    <w:rsid w:val="00CE463C"/>
    <w:rsid w:val="00CF377B"/>
    <w:rsid w:val="00D27A0C"/>
    <w:rsid w:val="00D6648E"/>
    <w:rsid w:val="00D779F6"/>
    <w:rsid w:val="00D87DD1"/>
    <w:rsid w:val="00DD085C"/>
    <w:rsid w:val="00DE1BEA"/>
    <w:rsid w:val="00DE5FD9"/>
    <w:rsid w:val="00E0144D"/>
    <w:rsid w:val="00E01835"/>
    <w:rsid w:val="00E106F4"/>
    <w:rsid w:val="00E227A3"/>
    <w:rsid w:val="00E26FF7"/>
    <w:rsid w:val="00E31C9C"/>
    <w:rsid w:val="00E50F34"/>
    <w:rsid w:val="00EE70D5"/>
    <w:rsid w:val="00EF3437"/>
    <w:rsid w:val="00F11E11"/>
    <w:rsid w:val="00F25146"/>
    <w:rsid w:val="00F26221"/>
    <w:rsid w:val="00F47F16"/>
    <w:rsid w:val="00F838FD"/>
    <w:rsid w:val="00F9285E"/>
    <w:rsid w:val="00F97965"/>
    <w:rsid w:val="00FB7345"/>
    <w:rsid w:val="00FD57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94A79-4807-451D-A8DC-CB74EF7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F20"/>
    <w:rPr>
      <w:color w:val="0563C1" w:themeColor="hyperlink"/>
      <w:u w:val="single"/>
    </w:rPr>
  </w:style>
  <w:style w:type="character" w:customStyle="1" w:styleId="UnresolvedMention1">
    <w:name w:val="Unresolved Mention1"/>
    <w:basedOn w:val="DefaultParagraphFont"/>
    <w:uiPriority w:val="99"/>
    <w:semiHidden/>
    <w:unhideWhenUsed/>
    <w:rsid w:val="00566F20"/>
    <w:rPr>
      <w:color w:val="605E5C"/>
      <w:shd w:val="clear" w:color="auto" w:fill="E1DFDD"/>
    </w:rPr>
  </w:style>
  <w:style w:type="paragraph" w:styleId="Header">
    <w:name w:val="header"/>
    <w:basedOn w:val="Normal"/>
    <w:link w:val="HeaderChar"/>
    <w:uiPriority w:val="99"/>
    <w:unhideWhenUsed/>
    <w:rsid w:val="00F4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F16"/>
  </w:style>
  <w:style w:type="paragraph" w:styleId="Footer">
    <w:name w:val="footer"/>
    <w:basedOn w:val="Normal"/>
    <w:link w:val="FooterChar"/>
    <w:uiPriority w:val="99"/>
    <w:unhideWhenUsed/>
    <w:rsid w:val="00F4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F16"/>
  </w:style>
  <w:style w:type="table" w:styleId="TableGrid">
    <w:name w:val="Table Grid"/>
    <w:basedOn w:val="TableNormal"/>
    <w:uiPriority w:val="59"/>
    <w:qFormat/>
    <w:rsid w:val="00E31C9C"/>
    <w:pPr>
      <w:spacing w:after="0" w:line="240" w:lineRule="auto"/>
    </w:pPr>
    <w:rPr>
      <w:rFonts w:eastAsiaTheme="minorEastAsia"/>
      <w:kern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5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92"/>
    <w:rPr>
      <w:rFonts w:ascii="Tahoma" w:hAnsi="Tahoma" w:cs="Tahoma"/>
      <w:sz w:val="16"/>
      <w:szCs w:val="16"/>
    </w:rPr>
  </w:style>
  <w:style w:type="paragraph" w:styleId="NormalWeb">
    <w:name w:val="Normal (Web)"/>
    <w:basedOn w:val="Normal"/>
    <w:uiPriority w:val="99"/>
    <w:unhideWhenUsed/>
    <w:rsid w:val="00BC5B9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customStyle="1" w:styleId="TableGrid1">
    <w:name w:val="Table Grid1"/>
    <w:basedOn w:val="TableNormal"/>
    <w:next w:val="TableGrid"/>
    <w:uiPriority w:val="39"/>
    <w:rsid w:val="00E10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106F4"/>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106F4"/>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336224"/>
    <w:pPr>
      <w:ind w:left="720"/>
      <w:contextualSpacing/>
    </w:pPr>
  </w:style>
  <w:style w:type="character" w:customStyle="1" w:styleId="truncate">
    <w:name w:val="truncate"/>
    <w:basedOn w:val="DefaultParagraphFont"/>
    <w:rsid w:val="004B5813"/>
  </w:style>
  <w:style w:type="character" w:customStyle="1" w:styleId="hps">
    <w:name w:val="hps"/>
    <w:basedOn w:val="DefaultParagraphFont"/>
    <w:qFormat/>
    <w:rsid w:val="00C238FB"/>
  </w:style>
  <w:style w:type="paragraph" w:styleId="DocumentMap">
    <w:name w:val="Document Map"/>
    <w:basedOn w:val="Normal"/>
    <w:link w:val="DocumentMapChar"/>
    <w:uiPriority w:val="99"/>
    <w:semiHidden/>
    <w:unhideWhenUsed/>
    <w:rsid w:val="009230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23091"/>
    <w:rPr>
      <w:rFonts w:ascii="Tahoma" w:hAnsi="Tahoma" w:cs="Tahoma"/>
      <w:sz w:val="16"/>
      <w:szCs w:val="16"/>
    </w:rPr>
  </w:style>
  <w:style w:type="character" w:styleId="Strong">
    <w:name w:val="Strong"/>
    <w:basedOn w:val="DefaultParagraphFont"/>
    <w:uiPriority w:val="22"/>
    <w:qFormat/>
    <w:rsid w:val="005E0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9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irazal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Number of Companies</a:t>
            </a:r>
          </a:p>
        </c:rich>
      </c:tx>
      <c:overlay val="0"/>
      <c:spPr>
        <a:noFill/>
        <a:ln>
          <a:noFill/>
        </a:ln>
        <a:effectLst/>
      </c:spPr>
    </c:title>
    <c:autoTitleDeleted val="0"/>
    <c:plotArea>
      <c:layout/>
      <c:barChart>
        <c:barDir val="col"/>
        <c:grouping val="clustered"/>
        <c:varyColors val="0"/>
        <c:ser>
          <c:idx val="0"/>
          <c:order val="0"/>
          <c:tx>
            <c:strRef>
              <c:f>Alternative2!$EU$3</c:f>
              <c:strCache>
                <c:ptCount val="1"/>
                <c:pt idx="0">
                  <c:v>number of companies</c:v>
                </c:pt>
              </c:strCache>
            </c:strRef>
          </c:tx>
          <c:spPr>
            <a:solidFill>
              <a:schemeClr val="accent1"/>
            </a:solidFill>
            <a:ln>
              <a:noFill/>
            </a:ln>
            <a:effectLst/>
          </c:spPr>
          <c:invertIfNegative val="0"/>
          <c:cat>
            <c:strRef>
              <c:f>Alternative2!$ET$4:$ET$20</c:f>
              <c:strCache>
                <c:ptCount val="17"/>
                <c:pt idx="0">
                  <c:v>SDG 1</c:v>
                </c:pt>
                <c:pt idx="1">
                  <c:v>SDG 2</c:v>
                </c:pt>
                <c:pt idx="2">
                  <c:v>SDG 3</c:v>
                </c:pt>
                <c:pt idx="3">
                  <c:v>SDG 4</c:v>
                </c:pt>
                <c:pt idx="4">
                  <c:v>SDG 5</c:v>
                </c:pt>
                <c:pt idx="5">
                  <c:v>SDG 6</c:v>
                </c:pt>
                <c:pt idx="6">
                  <c:v>SDG 7</c:v>
                </c:pt>
                <c:pt idx="7">
                  <c:v>SDG 8</c:v>
                </c:pt>
                <c:pt idx="8">
                  <c:v>SDG 9</c:v>
                </c:pt>
                <c:pt idx="9">
                  <c:v>SDG 10</c:v>
                </c:pt>
                <c:pt idx="10">
                  <c:v>SDG 11</c:v>
                </c:pt>
                <c:pt idx="11">
                  <c:v>SDG 12</c:v>
                </c:pt>
                <c:pt idx="12">
                  <c:v>SDG 13</c:v>
                </c:pt>
                <c:pt idx="13">
                  <c:v>SDG 14</c:v>
                </c:pt>
                <c:pt idx="14">
                  <c:v>SDG 15</c:v>
                </c:pt>
                <c:pt idx="15">
                  <c:v>SDG 16</c:v>
                </c:pt>
                <c:pt idx="16">
                  <c:v>SDG 17</c:v>
                </c:pt>
              </c:strCache>
            </c:strRef>
          </c:cat>
          <c:val>
            <c:numRef>
              <c:f>Alternative2!$EU$4:$EU$20</c:f>
              <c:numCache>
                <c:formatCode>General</c:formatCode>
                <c:ptCount val="17"/>
                <c:pt idx="0">
                  <c:v>22</c:v>
                </c:pt>
                <c:pt idx="1">
                  <c:v>22</c:v>
                </c:pt>
                <c:pt idx="2">
                  <c:v>64.5</c:v>
                </c:pt>
                <c:pt idx="3">
                  <c:v>55</c:v>
                </c:pt>
                <c:pt idx="4">
                  <c:v>52.5</c:v>
                </c:pt>
                <c:pt idx="5">
                  <c:v>42</c:v>
                </c:pt>
                <c:pt idx="6">
                  <c:v>45.5</c:v>
                </c:pt>
                <c:pt idx="7">
                  <c:v>70.5</c:v>
                </c:pt>
                <c:pt idx="8">
                  <c:v>53</c:v>
                </c:pt>
                <c:pt idx="9">
                  <c:v>43.5</c:v>
                </c:pt>
                <c:pt idx="10">
                  <c:v>39.5</c:v>
                </c:pt>
                <c:pt idx="11">
                  <c:v>64.5</c:v>
                </c:pt>
                <c:pt idx="12">
                  <c:v>62.5</c:v>
                </c:pt>
                <c:pt idx="13">
                  <c:v>24.5</c:v>
                </c:pt>
                <c:pt idx="14">
                  <c:v>31.5</c:v>
                </c:pt>
                <c:pt idx="15">
                  <c:v>49.5</c:v>
                </c:pt>
                <c:pt idx="16">
                  <c:v>35.5</c:v>
                </c:pt>
              </c:numCache>
            </c:numRef>
          </c:val>
          <c:extLst xmlns:c16r2="http://schemas.microsoft.com/office/drawing/2015/06/chart">
            <c:ext xmlns:c16="http://schemas.microsoft.com/office/drawing/2014/chart" uri="{C3380CC4-5D6E-409C-BE32-E72D297353CC}">
              <c16:uniqueId val="{00000000-EB3D-4AC0-BB9C-EB242B27C968}"/>
            </c:ext>
          </c:extLst>
        </c:ser>
        <c:dLbls>
          <c:showLegendKey val="0"/>
          <c:showVal val="0"/>
          <c:showCatName val="0"/>
          <c:showSerName val="0"/>
          <c:showPercent val="0"/>
          <c:showBubbleSize val="0"/>
        </c:dLbls>
        <c:gapWidth val="219"/>
        <c:overlap val="-27"/>
        <c:axId val="336922744"/>
        <c:axId val="336925488"/>
      </c:barChart>
      <c:catAx>
        <c:axId val="3369227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6925488"/>
        <c:crosses val="autoZero"/>
        <c:auto val="1"/>
        <c:lblAlgn val="ctr"/>
        <c:lblOffset val="100"/>
        <c:noMultiLvlLbl val="0"/>
      </c:catAx>
      <c:valAx>
        <c:axId val="33692548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922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880D1-2633-4B05-9ABE-20524F72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5772</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walirazali@gmail.com</dc:creator>
  <cp:lastModifiedBy>Asus S5005C</cp:lastModifiedBy>
  <cp:revision>5</cp:revision>
  <dcterms:created xsi:type="dcterms:W3CDTF">2026-01-17T13:31:00Z</dcterms:created>
  <dcterms:modified xsi:type="dcterms:W3CDTF">2026-03-03T10:09:00Z</dcterms:modified>
</cp:coreProperties>
</file>