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27D87" w14:textId="6FB8036B" w:rsidR="0015660C" w:rsidRDefault="004F1A07" w:rsidP="00955CDE">
      <w:pPr>
        <w:spacing w:line="360" w:lineRule="auto"/>
        <w:jc w:val="both"/>
        <w:rPr>
          <w:b/>
        </w:rPr>
      </w:pPr>
      <w:r>
        <w:rPr>
          <w:b/>
        </w:rPr>
        <w:t>Behavioural Biases, Financial Literacy and SME Growth: The Mediating Role of Financial Literacy in Cameroon</w:t>
      </w:r>
    </w:p>
    <w:p w14:paraId="67FD1590" w14:textId="731D3F90" w:rsidR="00052F32" w:rsidRDefault="00052F32" w:rsidP="00052F32">
      <w:pPr>
        <w:spacing w:line="360" w:lineRule="auto"/>
        <w:jc w:val="both"/>
        <w:rPr>
          <w:b/>
          <w:vertAlign w:val="superscript"/>
        </w:rPr>
      </w:pPr>
      <w:r>
        <w:rPr>
          <w:b/>
          <w:vertAlign w:val="superscript"/>
        </w:rPr>
        <w:t>1</w:t>
      </w:r>
      <w:r>
        <w:rPr>
          <w:b/>
        </w:rPr>
        <w:t xml:space="preserve">Fah Noushi Mono, </w:t>
      </w:r>
      <w:r>
        <w:rPr>
          <w:b/>
          <w:vertAlign w:val="superscript"/>
        </w:rPr>
        <w:t>1</w:t>
      </w:r>
      <w:r>
        <w:rPr>
          <w:b/>
        </w:rPr>
        <w:t xml:space="preserve">Kamdem Fah Foh, </w:t>
      </w:r>
      <w:r>
        <w:rPr>
          <w:b/>
          <w:vertAlign w:val="superscript"/>
        </w:rPr>
        <w:t>2</w:t>
      </w:r>
      <w:r>
        <w:rPr>
          <w:b/>
        </w:rPr>
        <w:t xml:space="preserve">Fah Foh Tella, </w:t>
      </w:r>
      <w:r>
        <w:rPr>
          <w:b/>
          <w:vertAlign w:val="superscript"/>
        </w:rPr>
        <w:t>3</w:t>
      </w:r>
      <w:r>
        <w:rPr>
          <w:b/>
        </w:rPr>
        <w:t>Molem Sama Christopher</w:t>
      </w:r>
    </w:p>
    <w:p w14:paraId="73312EEB" w14:textId="77777777" w:rsidR="00052F32" w:rsidRDefault="00052F32" w:rsidP="00052F32">
      <w:pPr>
        <w:spacing w:line="360" w:lineRule="auto"/>
        <w:jc w:val="both"/>
      </w:pPr>
      <w:r>
        <w:rPr>
          <w:b/>
          <w:vertAlign w:val="superscript"/>
        </w:rPr>
        <w:t>1</w:t>
      </w:r>
      <w:r>
        <w:rPr>
          <w:b/>
        </w:rPr>
        <w:t>School of Management Sciences-Biaka University Institute of Buea,</w:t>
      </w:r>
      <w:r>
        <w:rPr>
          <w:b/>
          <w:vertAlign w:val="superscript"/>
        </w:rPr>
        <w:t>2</w:t>
      </w:r>
      <w:r>
        <w:rPr>
          <w:b/>
        </w:rPr>
        <w:t xml:space="preserve"> Societe General du Cameroun, </w:t>
      </w:r>
      <w:r>
        <w:rPr>
          <w:b/>
          <w:vertAlign w:val="superscript"/>
        </w:rPr>
        <w:t>3</w:t>
      </w:r>
      <w:r>
        <w:rPr>
          <w:b/>
        </w:rPr>
        <w:t>Department of Economics- University of Buea</w:t>
      </w:r>
    </w:p>
    <w:p w14:paraId="30567770" w14:textId="77777777" w:rsidR="0015660C" w:rsidRDefault="004F1A07" w:rsidP="00DB01B2">
      <w:pPr>
        <w:spacing w:line="360" w:lineRule="auto"/>
        <w:jc w:val="both"/>
      </w:pPr>
      <w:r>
        <w:rPr>
          <w:b/>
        </w:rPr>
        <w:t>Abstract</w:t>
      </w:r>
    </w:p>
    <w:p w14:paraId="4933EE13" w14:textId="04F5E90F" w:rsidR="00DB01B2" w:rsidRPr="00E06BE9" w:rsidRDefault="00DB01B2" w:rsidP="00DB01B2">
      <w:pPr>
        <w:jc w:val="both"/>
        <w:rPr>
          <w:rFonts w:cs="Times New Roman"/>
          <w:szCs w:val="24"/>
        </w:rPr>
      </w:pPr>
      <w:r w:rsidRPr="006E5E06">
        <w:rPr>
          <w:rFonts w:cs="Times New Roman"/>
          <w:szCs w:val="24"/>
        </w:rPr>
        <w:t xml:space="preserve">The study </w:t>
      </w:r>
      <w:r>
        <w:rPr>
          <w:rFonts w:cs="Times New Roman"/>
          <w:szCs w:val="24"/>
        </w:rPr>
        <w:t>examines the effects</w:t>
      </w:r>
      <w:r w:rsidRPr="006E5E06">
        <w:rPr>
          <w:rFonts w:cs="Times New Roman"/>
          <w:szCs w:val="24"/>
        </w:rPr>
        <w:t xml:space="preserve"> of </w:t>
      </w:r>
      <w:r w:rsidR="00886F0A">
        <w:rPr>
          <w:rFonts w:cs="Times New Roman"/>
          <w:szCs w:val="24"/>
        </w:rPr>
        <w:t>behavioural biases</w:t>
      </w:r>
      <w:r w:rsidRPr="006E5E06">
        <w:rPr>
          <w:rFonts w:cs="Times New Roman"/>
          <w:szCs w:val="24"/>
        </w:rPr>
        <w:t xml:space="preserve"> and financial literacy on the growth of small and medium-sized enterprises (SMEs) in the Southwest Region of Cameroon. </w:t>
      </w:r>
      <w:r>
        <w:rPr>
          <w:rFonts w:cs="Times New Roman"/>
          <w:szCs w:val="24"/>
        </w:rPr>
        <w:t>Given the vital role SMEs play in economic development, it is imperative to understand the factors influencing their growth</w:t>
      </w:r>
      <w:r w:rsidRPr="006E5E06">
        <w:rPr>
          <w:rFonts w:cs="Times New Roman"/>
          <w:szCs w:val="24"/>
        </w:rPr>
        <w:t xml:space="preserve">. </w:t>
      </w:r>
      <w:r>
        <w:rPr>
          <w:rFonts w:cs="Times New Roman"/>
          <w:szCs w:val="24"/>
        </w:rPr>
        <w:t>Despite the crucial role of SMEs in Cameroon, the expansion of new branches and the introduction of innovative products still lag behind, with fewer than 15% of SMEs successfully entering new markets or launching new products each year</w:t>
      </w:r>
      <w:r w:rsidRPr="00E06BE9">
        <w:rPr>
          <w:rFonts w:cs="Times New Roman"/>
          <w:szCs w:val="24"/>
        </w:rPr>
        <w:t xml:space="preserve">. Data </w:t>
      </w:r>
      <w:r>
        <w:rPr>
          <w:rFonts w:cs="Times New Roman"/>
          <w:szCs w:val="24"/>
        </w:rPr>
        <w:t>were gathered from 304 SME owners and managers using a structured questionnaire, providing insights into their views</w:t>
      </w:r>
      <w:r w:rsidRPr="00E06BE9">
        <w:rPr>
          <w:rFonts w:cs="Times New Roman"/>
          <w:szCs w:val="24"/>
        </w:rPr>
        <w:t xml:space="preserve"> on risk and financial management techniques. The </w:t>
      </w:r>
      <w:r w:rsidR="0061157E">
        <w:rPr>
          <w:rFonts w:cs="Times New Roman"/>
          <w:szCs w:val="24"/>
        </w:rPr>
        <w:t>study</w:t>
      </w:r>
      <w:r w:rsidRPr="00E06BE9">
        <w:rPr>
          <w:rFonts w:cs="Times New Roman"/>
          <w:szCs w:val="24"/>
        </w:rPr>
        <w:t xml:space="preserve"> employs a quantitative research approach, </w:t>
      </w:r>
      <w:r>
        <w:rPr>
          <w:rFonts w:cs="Times New Roman"/>
          <w:szCs w:val="24"/>
        </w:rPr>
        <w:t>utilising</w:t>
      </w:r>
      <w:r w:rsidRPr="00E06BE9">
        <w:rPr>
          <w:rFonts w:cs="Times New Roman"/>
          <w:szCs w:val="24"/>
        </w:rPr>
        <w:t xml:space="preserve"> multiple regression and structural equation modelling for statistical analysis to investigate the direct and mediated correlations between the variables under investigation. The results show that </w:t>
      </w:r>
      <w:r w:rsidR="00D21E19">
        <w:rPr>
          <w:rFonts w:cs="Times New Roman"/>
          <w:szCs w:val="24"/>
        </w:rPr>
        <w:t>b</w:t>
      </w:r>
      <w:r w:rsidR="00720D44">
        <w:rPr>
          <w:rFonts w:cs="Times New Roman"/>
          <w:szCs w:val="24"/>
        </w:rPr>
        <w:t xml:space="preserve">ehavioural </w:t>
      </w:r>
      <w:r w:rsidR="00D21E19">
        <w:rPr>
          <w:rFonts w:cs="Times New Roman"/>
          <w:szCs w:val="24"/>
        </w:rPr>
        <w:t>b</w:t>
      </w:r>
      <w:r w:rsidR="00720D44">
        <w:rPr>
          <w:rFonts w:cs="Times New Roman"/>
          <w:szCs w:val="24"/>
        </w:rPr>
        <w:t>iases</w:t>
      </w:r>
      <w:r>
        <w:rPr>
          <w:rFonts w:cs="Times New Roman"/>
          <w:szCs w:val="24"/>
        </w:rPr>
        <w:t>, particularly overconfidence, anchoring and regret aversion, positively and significantly influence</w:t>
      </w:r>
      <w:r w:rsidRPr="00E06BE9">
        <w:rPr>
          <w:rFonts w:cs="Times New Roman"/>
          <w:szCs w:val="24"/>
        </w:rPr>
        <w:t xml:space="preserve"> the growth of SMEs</w:t>
      </w:r>
      <w:r w:rsidRPr="00E06BE9">
        <w:rPr>
          <w:rFonts w:cs="Times New Roman"/>
        </w:rPr>
        <w:t xml:space="preserve">. </w:t>
      </w:r>
      <w:r w:rsidRPr="00E06BE9">
        <w:rPr>
          <w:rFonts w:cs="Times New Roman"/>
          <w:szCs w:val="24"/>
        </w:rPr>
        <w:t xml:space="preserve">Financial literacy emerges as a critical facilitator of SME growth, with both financial knowledge and </w:t>
      </w:r>
      <w:r>
        <w:rPr>
          <w:rFonts w:cs="Times New Roman"/>
          <w:szCs w:val="24"/>
        </w:rPr>
        <w:t>behaviour</w:t>
      </w:r>
      <w:r w:rsidRPr="00E06BE9">
        <w:rPr>
          <w:rFonts w:cs="Times New Roman"/>
          <w:szCs w:val="24"/>
        </w:rPr>
        <w:t xml:space="preserve"> showing strong positive correlations with business expansion. Additionally, the study reveals that financial literacy </w:t>
      </w:r>
      <w:r>
        <w:rPr>
          <w:rFonts w:cs="Times New Roman"/>
          <w:szCs w:val="24"/>
        </w:rPr>
        <w:t>acts as a mediator</w:t>
      </w:r>
      <w:r w:rsidRPr="00E06BE9">
        <w:rPr>
          <w:rFonts w:cs="Times New Roman"/>
          <w:szCs w:val="24"/>
        </w:rPr>
        <w:t xml:space="preserve"> in the relationship between risk perception and SME growth, suggesting that effective financial management can mitigate some of the potential negative effects of </w:t>
      </w:r>
      <w:r w:rsidR="00D21E19">
        <w:rPr>
          <w:rFonts w:cs="Times New Roman"/>
          <w:szCs w:val="24"/>
        </w:rPr>
        <w:t>Behavioural biase</w:t>
      </w:r>
      <w:r w:rsidR="00B15087">
        <w:rPr>
          <w:rFonts w:cs="Times New Roman"/>
          <w:szCs w:val="24"/>
        </w:rPr>
        <w:t>s</w:t>
      </w:r>
      <w:r w:rsidRPr="00E06BE9">
        <w:rPr>
          <w:rFonts w:cs="Times New Roman"/>
          <w:szCs w:val="24"/>
        </w:rPr>
        <w:t xml:space="preserve">. This </w:t>
      </w:r>
      <w:r w:rsidR="00720D44">
        <w:rPr>
          <w:rFonts w:cs="Times New Roman"/>
          <w:szCs w:val="24"/>
        </w:rPr>
        <w:t>study</w:t>
      </w:r>
      <w:r w:rsidRPr="00E06BE9">
        <w:rPr>
          <w:rFonts w:cs="Times New Roman"/>
          <w:szCs w:val="24"/>
        </w:rPr>
        <w:t xml:space="preserve"> contributes to the theoretical and empirical literature on SME development by delineating the complex interplay between psychological factors and financial acumen. </w:t>
      </w:r>
    </w:p>
    <w:p w14:paraId="68413CD2" w14:textId="5CBDC202" w:rsidR="00DB01B2" w:rsidRPr="00E06BE9" w:rsidRDefault="00DB01B2" w:rsidP="00DB01B2">
      <w:pPr>
        <w:rPr>
          <w:rFonts w:cs="Times New Roman"/>
          <w:b/>
          <w:bCs/>
          <w:szCs w:val="24"/>
        </w:rPr>
      </w:pPr>
      <w:r w:rsidRPr="00E06BE9">
        <w:rPr>
          <w:rFonts w:cs="Times New Roman"/>
          <w:b/>
          <w:bCs/>
          <w:szCs w:val="24"/>
        </w:rPr>
        <w:t xml:space="preserve">Keywords: </w:t>
      </w:r>
      <w:r w:rsidR="00D21E19">
        <w:rPr>
          <w:rFonts w:cs="Times New Roman"/>
          <w:b/>
          <w:bCs/>
          <w:szCs w:val="24"/>
        </w:rPr>
        <w:t>F</w:t>
      </w:r>
      <w:r w:rsidRPr="00E06BE9">
        <w:rPr>
          <w:rFonts w:cs="Times New Roman"/>
          <w:b/>
          <w:bCs/>
          <w:szCs w:val="24"/>
        </w:rPr>
        <w:t xml:space="preserve">inancial </w:t>
      </w:r>
      <w:r w:rsidR="00F65026">
        <w:rPr>
          <w:rFonts w:cs="Times New Roman"/>
          <w:b/>
          <w:bCs/>
          <w:szCs w:val="24"/>
        </w:rPr>
        <w:t>Lit</w:t>
      </w:r>
      <w:r w:rsidRPr="00E06BE9">
        <w:rPr>
          <w:rFonts w:cs="Times New Roman"/>
          <w:b/>
          <w:bCs/>
          <w:szCs w:val="24"/>
        </w:rPr>
        <w:t>eracy</w:t>
      </w:r>
      <w:r w:rsidR="00D21E19">
        <w:rPr>
          <w:rFonts w:cs="Times New Roman"/>
          <w:b/>
          <w:bCs/>
          <w:szCs w:val="24"/>
        </w:rPr>
        <w:t>;</w:t>
      </w:r>
      <w:r w:rsidRPr="00E06BE9">
        <w:rPr>
          <w:rFonts w:cs="Times New Roman"/>
          <w:b/>
          <w:bCs/>
          <w:szCs w:val="24"/>
        </w:rPr>
        <w:t xml:space="preserve"> </w:t>
      </w:r>
      <w:r w:rsidR="00D21E19">
        <w:rPr>
          <w:rFonts w:cs="Times New Roman"/>
          <w:b/>
          <w:bCs/>
          <w:szCs w:val="24"/>
        </w:rPr>
        <w:t>Behavioural Biases</w:t>
      </w:r>
      <w:r w:rsidRPr="00E06BE9">
        <w:rPr>
          <w:rFonts w:cs="Times New Roman"/>
          <w:b/>
          <w:bCs/>
          <w:szCs w:val="24"/>
        </w:rPr>
        <w:t xml:space="preserve">, </w:t>
      </w:r>
      <w:r w:rsidR="00F65026">
        <w:rPr>
          <w:rFonts w:cs="Times New Roman"/>
          <w:b/>
          <w:bCs/>
          <w:szCs w:val="24"/>
        </w:rPr>
        <w:t xml:space="preserve">Overconfidence, Anchoring, Regret Aversion, Financial Knowledge, Financial Behaviour </w:t>
      </w:r>
      <w:r w:rsidRPr="00E06BE9">
        <w:rPr>
          <w:rFonts w:cs="Times New Roman"/>
          <w:b/>
          <w:bCs/>
          <w:szCs w:val="24"/>
        </w:rPr>
        <w:t xml:space="preserve">and SME </w:t>
      </w:r>
      <w:r w:rsidR="00D21E19">
        <w:rPr>
          <w:rFonts w:cs="Times New Roman"/>
          <w:b/>
          <w:bCs/>
          <w:szCs w:val="24"/>
        </w:rPr>
        <w:t>G</w:t>
      </w:r>
      <w:r w:rsidRPr="00E06BE9">
        <w:rPr>
          <w:rFonts w:cs="Times New Roman"/>
          <w:b/>
          <w:bCs/>
          <w:szCs w:val="24"/>
        </w:rPr>
        <w:t>rowth</w:t>
      </w:r>
    </w:p>
    <w:p w14:paraId="231C7903" w14:textId="21484C9B" w:rsidR="0015660C" w:rsidRPr="00750D67" w:rsidRDefault="004F1A07" w:rsidP="00955CDE">
      <w:pPr>
        <w:spacing w:line="360" w:lineRule="auto"/>
        <w:jc w:val="both"/>
        <w:rPr>
          <w:b/>
          <w:bCs/>
        </w:rPr>
      </w:pPr>
      <w:r w:rsidRPr="00750D67">
        <w:rPr>
          <w:b/>
          <w:bCs/>
        </w:rPr>
        <w:t>1. Introduction</w:t>
      </w:r>
    </w:p>
    <w:p w14:paraId="41B8CA47" w14:textId="121140AB" w:rsidR="0015660C" w:rsidRDefault="004F1A07" w:rsidP="00955CDE">
      <w:pPr>
        <w:spacing w:line="360" w:lineRule="auto"/>
        <w:jc w:val="both"/>
      </w:pPr>
      <w:r>
        <w:t xml:space="preserve">Small and medium-sized enterprises (SMEs) are widely recognised as critical drivers of economic development, particularly in developing economies where they contribute significantly to employment creation, income generation, and industrial development. Across emerging markets, SMEs account for a substantial share of economic activity, yet </w:t>
      </w:r>
      <w:r>
        <w:lastRenderedPageBreak/>
        <w:t>their growth performance remains uneven and often constrained by both structural and internal factors (Eniola &amp; Entebang, 2015). In sub-Saharan Africa, and specifically in Cameroon, SMEs operate in environments characterised by financial constraints, institutional inefficiencies, and market uncertainties, which collectively limit their ability to achieve sustained growth (Beck &amp; Demirgüç-Kunt, 2006; Ngek, 2016). Despite these constraints, notable variations in firm performance persist, suggesting that factors beyond external conditions play a crucial role in shaping SME outcomes.</w:t>
      </w:r>
    </w:p>
    <w:p w14:paraId="2B5A6833" w14:textId="5AEA4336" w:rsidR="0015660C" w:rsidRDefault="004F1A07" w:rsidP="00955CDE">
      <w:pPr>
        <w:spacing w:line="360" w:lineRule="auto"/>
        <w:jc w:val="both"/>
      </w:pPr>
      <w:r>
        <w:t>Recent empirical research has increasingly shifted attention toward internal determinants of firm performance, particularly those related to entrepreneurial cognition and decision-making processes. Scholars argue that the success or failure of SMEs cannot be fully explained by access to resources alone but must also consider how entrepreneurs perceive, interpret, and act upon available information (Shane, 2003; Baron, 2007</w:t>
      </w:r>
      <w:r w:rsidR="008A4D90">
        <w:t>)</w:t>
      </w:r>
      <w:r>
        <w:t xml:space="preserve"> Within this context, behavioural finance provides a useful framework for understanding how cognitive biases influence economic decisions, particularly under conditions of uncertainty where rational decision-making is often constrained (Kahneman &amp; Tversky, 1979; Tversky &amp; Kahneman, 1974; Slovic, 2000).</w:t>
      </w:r>
    </w:p>
    <w:p w14:paraId="5A3B75E4" w14:textId="7C39E713" w:rsidR="0015660C" w:rsidRDefault="004F1A07" w:rsidP="00955CDE">
      <w:pPr>
        <w:spacing w:line="360" w:lineRule="auto"/>
        <w:jc w:val="both"/>
      </w:pPr>
      <w:r>
        <w:t>Behavioural biases such as overconfidence, anchoring, and herding have been shown to significantly affect financial decision-making across various contexts, including entrepreneurship and small business management (</w:t>
      </w:r>
      <w:r w:rsidR="008A4D90">
        <w:rPr>
          <w:rFonts w:cs="Times New Roman"/>
          <w:szCs w:val="24"/>
        </w:rPr>
        <w:fldChar w:fldCharType="begin"/>
      </w:r>
      <w:r w:rsidR="008A4D90">
        <w:rPr>
          <w:rFonts w:cs="Times New Roman"/>
          <w:szCs w:val="24"/>
        </w:rPr>
        <w:instrText xml:space="preserve"> ADDIN ZOTERO_ITEM CSL_CITATION {"citationID":"ati4r07246","properties":{"formattedCitation":"\\uldash{(Yu et al., 2021)}","plainCitation":"(Yu et al., 2021)","dontUpdate":true,"noteIndex":0},"citationItems":[{"id":997,"uris":["http://zotero.org/users/local/EF5FYntM/items/Q2HMNW6S"],"itemData":{"id":997,"type":"article-journal","abstract":"Purpose - Prior studies have found that the characteristics of managers, corporate governance structure, corporate social responsibility and so on affect firm value. This study explores whether managerial overconfidence affects firm value through empirical analysis.","container-title":"The Institute of Management and Economy Research","DOI":"10.32599/apjb.12.3.202109.71","ISSN":"22335900","issue":"3","journalAbbreviation":"The Institute Manag Econ Research","language":"en","page":"71-85","source":"DOI.org (Crossref)","title":"Managerial Overconfidence and Firm Value","volume":"12","author":[{"family":"Yu","given":"Gaoa"},{"family":"Han","given":"Kil-Seok"},{"family":"Chung","given":"Kyoung-Hwa"}],"issued":{"date-parts":[["2021",9,30]]}}}],"schema":"https://github.com/citation-style-language/schema/raw/master/csl-citation.json"} </w:instrText>
      </w:r>
      <w:r w:rsidR="008A4D90">
        <w:rPr>
          <w:rFonts w:cs="Times New Roman"/>
          <w:szCs w:val="24"/>
        </w:rPr>
        <w:fldChar w:fldCharType="separate"/>
      </w:r>
      <w:r w:rsidR="008A4D90">
        <w:rPr>
          <w:rFonts w:cs="Times New Roman"/>
          <w:szCs w:val="24"/>
        </w:rPr>
        <w:t xml:space="preserve">Yu et </w:t>
      </w:r>
      <w:r w:rsidR="008A4D90">
        <w:rPr>
          <w:rFonts w:cs="Times New Roman"/>
          <w:i/>
          <w:iCs/>
          <w:szCs w:val="24"/>
        </w:rPr>
        <w:t>al.,</w:t>
      </w:r>
      <w:r w:rsidR="008A4D90">
        <w:rPr>
          <w:rFonts w:cs="Times New Roman"/>
          <w:szCs w:val="24"/>
        </w:rPr>
        <w:t xml:space="preserve"> 2021</w:t>
      </w:r>
      <w:r w:rsidR="008A4D90">
        <w:rPr>
          <w:rFonts w:cs="Times New Roman"/>
          <w:szCs w:val="24"/>
        </w:rPr>
        <w:fldChar w:fldCharType="end"/>
      </w:r>
      <w:r w:rsidR="008A4D90">
        <w:rPr>
          <w:rFonts w:cs="Times New Roman"/>
          <w:szCs w:val="24"/>
        </w:rPr>
        <w:t>;</w:t>
      </w:r>
      <w:r w:rsidR="008A4D90" w:rsidRPr="008A4D90">
        <w:rPr>
          <w:rFonts w:cs="Times New Roman"/>
          <w:szCs w:val="24"/>
        </w:rPr>
        <w:t xml:space="preserve"> </w:t>
      </w:r>
      <w:r w:rsidR="008A4D90">
        <w:rPr>
          <w:rFonts w:cs="Times New Roman"/>
          <w:szCs w:val="24"/>
        </w:rPr>
        <w:fldChar w:fldCharType="begin"/>
      </w:r>
      <w:r w:rsidR="008A4D90">
        <w:rPr>
          <w:rFonts w:cs="Times New Roman"/>
          <w:szCs w:val="24"/>
        </w:rPr>
        <w:instrText xml:space="preserve"> ADDIN ZOTERO_ITEM CSL_CITATION {"citationID":"a27coiievg4","properties":{"formattedCitation":"\\uldash{(Apochi et al., 2024)}","plainCitation":"(Apochi et al., 2024)","dontUpdate":true,"noteIndex":0},"citationItems":[{"id":1002,"uris":["http://zotero.org/users/local/EF5FYntM/items/LXAD3QKQ"],"itemData":{"id":1002,"type":"article-journal","abstract":"Prior studies have shown that various individuals’ behavioral traits such as herding bias and risk tolerance have an unfavorable effect on investors' decision-making. This paper examined the moderating role of financial literacy on herding bias and financial risk tolerance on individual investment performance in Nigeria. The population consisted of 460 active individual investors in Kaduna city as at the first quarter of 2023. A total of 460 copies of questionnaires were distributed, with 349 valid. A census method of sampling was used, and primary data was collected using a self-administered questionnaire and an online Google form. A 7-point Likert scale that ranged from '1' \"Extremely Agree\" to '7' \"Extremely Disagree\" was used. Smart-PLS version 4 was used to analyze the data. The study discovered that the herding bias has a positive and significant effect on investment performance, whereas financial risk tolerance has an insignificant negative effect on investment performance. Financial literacy has a positive but insignificant impact on investment performance. Furthermore, the moderating effect of financial literacy demonstrated that the herding bias has a significant and positive impact on investment performance. Risk tolerance has a significant negative influence on investment performance. This study concluded that herding bias helps investors make better investment decisions, Consequently, the study recommends that investors should reduce their risk tolerance levels while maintaining the herding behavioral bias.","container-title":"International Journal of Business and Management Review","DOI":"10.37745/ijbmr.2013/vol12n3117","ISSN":"20526393, 20526407","issue":"3","journalAbbreviation":"IJBMR","language":"en","page":"1-17","source":"DOI.org (Crossref)","title":"Herding Bias and Financial Risk Tolerance On Individual Investment Performance in Nigeria: Moderated by Financial Literacy","title-short":"Herding Bias and Financial Risk Tolerance On Individual Investment Performance in Nigeria","volume":"12","author":[{"family":"Apochi","given":"James George"},{"family":"Ahmed","given":"Nma Mohammed"},{"family":"Okpanachi","given":"Joshua"},{"family":"Agbi","given":"Samuel Eniola"}],"issued":{"date-parts":[["2024",3,1]]}}}],"schema":"https://github.com/citation-style-language/schema/raw/master/csl-citation.json"} </w:instrText>
      </w:r>
      <w:r w:rsidR="008A4D90">
        <w:rPr>
          <w:rFonts w:cs="Times New Roman"/>
          <w:szCs w:val="24"/>
        </w:rPr>
        <w:fldChar w:fldCharType="separate"/>
      </w:r>
      <w:r w:rsidR="008A4D90">
        <w:rPr>
          <w:rFonts w:cs="Times New Roman"/>
          <w:szCs w:val="24"/>
        </w:rPr>
        <w:t xml:space="preserve">Apochi et </w:t>
      </w:r>
      <w:r w:rsidR="008A4D90">
        <w:rPr>
          <w:rFonts w:cs="Times New Roman"/>
          <w:i/>
          <w:iCs/>
          <w:szCs w:val="24"/>
        </w:rPr>
        <w:t>al.</w:t>
      </w:r>
      <w:r w:rsidR="008A4D90">
        <w:rPr>
          <w:rFonts w:cs="Times New Roman"/>
          <w:szCs w:val="24"/>
        </w:rPr>
        <w:t>, 2024)</w:t>
      </w:r>
      <w:r w:rsidR="008A4D90">
        <w:rPr>
          <w:rFonts w:cs="Times New Roman"/>
          <w:szCs w:val="24"/>
        </w:rPr>
        <w:fldChar w:fldCharType="end"/>
      </w:r>
      <w:r>
        <w:t xml:space="preserve">. Overconfidence bias leads entrepreneurs to overestimate their abilities and the likelihood of success, often resulting in aggressive investment and expansion strategies. Anchoring bias constrains decision-making by causing individuals to rely heavily on initial information, even when more relevant data become available. Herding behaviour reflects the tendency to imitate </w:t>
      </w:r>
      <w:r w:rsidR="007E37EA">
        <w:t>others' actions</w:t>
      </w:r>
      <w:r>
        <w:t>, particularly in uncertain environments, which may either reduce decision complexity or lead to inefficient outcomes. Empirical evidence suggests that these biases are particularly pronounced in SME contexts, where decision-making authority is centralised</w:t>
      </w:r>
      <w:r w:rsidR="007E37EA">
        <w:t>,</w:t>
      </w:r>
      <w:r>
        <w:t xml:space="preserve"> and formal analytical frameworks are often limited </w:t>
      </w:r>
      <w:r w:rsidR="00F5357C">
        <w:t>(</w:t>
      </w:r>
      <w:r w:rsidR="00F5357C">
        <w:rPr>
          <w:rFonts w:cs="Times New Roman"/>
          <w:noProof/>
          <w:szCs w:val="24"/>
        </w:rPr>
        <w:t xml:space="preserve">Nur Aini &amp; Lutfi, 2019; </w:t>
      </w:r>
      <w:r w:rsidR="00F5357C">
        <w:rPr>
          <w:rFonts w:cs="Times New Roman"/>
          <w:szCs w:val="24"/>
        </w:rPr>
        <w:fldChar w:fldCharType="begin"/>
      </w:r>
      <w:r w:rsidR="00F5357C">
        <w:rPr>
          <w:rFonts w:cs="Times New Roman"/>
          <w:szCs w:val="24"/>
        </w:rPr>
        <w:instrText xml:space="preserve"> ADDIN ZOTERO_ITEM CSL_CITATION {"citationID":"ca8tx8QI","properties":{"formattedCitation":"(Gentile et al., 2015)","plainCitation":"(Gentile et al., 2015)","dontUpdate":true,"noteIndex":0},"citationItems":[{"id":"KnmqYhws/U9DsSALl","uris":["http://zotero.org/users/local/QzLdffIR/items/LDHYIIN9"],"itemData":{"id":636,"type":"article-journal","container-title":"SSRN Electronic Journal","DOI":"10.2139/ssrn.2616277","ISSN":"1556-5068","journalAbbreviation":"SSRN Journal","language":"en","source":"DOI.org (Crossref)","title":"Financial Disclosure, Risk Perception and Investment Choices: Evidence from a Consumer Testing Exercise","title-short":"Financial Disclosure, Risk Perception and Investment Choices","URL":"http://www.ssrn.com/abstract=2616277","author":[{"family":"Gentile","given":"Monica"},{"family":"Linciano","given":"Nadia"},{"family":"Lucarelli","given":"Caterina"},{"family":"Soccorso","given":"Paola"}],"accessed":{"date-parts":[["2023",4,27]]},"issued":{"date-parts":[["2015"]]}}}],"schema":"https://github.com/citation-style-language/schema/raw/master/csl-citation.json"} </w:instrText>
      </w:r>
      <w:r w:rsidR="00F5357C">
        <w:rPr>
          <w:rFonts w:cs="Times New Roman"/>
          <w:szCs w:val="24"/>
        </w:rPr>
        <w:fldChar w:fldCharType="separate"/>
      </w:r>
      <w:r w:rsidR="00F5357C">
        <w:rPr>
          <w:rFonts w:cs="Times New Roman"/>
          <w:noProof/>
          <w:szCs w:val="24"/>
        </w:rPr>
        <w:t xml:space="preserve">Gentile </w:t>
      </w:r>
      <w:r w:rsidR="00F5357C">
        <w:rPr>
          <w:rFonts w:cs="Times New Roman"/>
          <w:i/>
          <w:iCs/>
          <w:noProof/>
          <w:szCs w:val="24"/>
        </w:rPr>
        <w:t>et al.,</w:t>
      </w:r>
      <w:r w:rsidR="00F5357C">
        <w:rPr>
          <w:rFonts w:cs="Times New Roman"/>
          <w:noProof/>
          <w:szCs w:val="24"/>
        </w:rPr>
        <w:t xml:space="preserve"> 2015)</w:t>
      </w:r>
      <w:r w:rsidR="00F5357C">
        <w:rPr>
          <w:rFonts w:cs="Times New Roman"/>
          <w:szCs w:val="24"/>
        </w:rPr>
        <w:fldChar w:fldCharType="end"/>
      </w:r>
    </w:p>
    <w:p w14:paraId="02805927" w14:textId="7837FDBF" w:rsidR="0015660C" w:rsidRDefault="004F1A07" w:rsidP="00955CDE">
      <w:pPr>
        <w:spacing w:line="360" w:lineRule="auto"/>
        <w:jc w:val="both"/>
      </w:pPr>
      <w:r>
        <w:t xml:space="preserve">However, the relationship between behavioural biases and SME growth is not straightforward. While behavioural biases shape decision-making processes, their </w:t>
      </w:r>
      <w:r>
        <w:lastRenderedPageBreak/>
        <w:t>ultimate effect on firm performance depends on how these decisions are implemented within the business. This introduces financial literacy as a critical intervening factor. Financial literacy, broadly defined as the ability to understand and apply financial knowledge in decision-making, has been identified as a key determinant of financial behaviour and business performance (Lusardi &amp; Mitchell, 2014;</w:t>
      </w:r>
      <w:r w:rsidR="005F5C6E">
        <w:t xml:space="preserve"> </w:t>
      </w:r>
      <w:r w:rsidR="005F5C6E">
        <w:rPr>
          <w:rFonts w:cs="Times New Roman"/>
          <w:szCs w:val="24"/>
        </w:rPr>
        <w:fldChar w:fldCharType="begin"/>
      </w:r>
      <w:r w:rsidR="005F5C6E">
        <w:rPr>
          <w:rFonts w:cs="Times New Roman"/>
          <w:szCs w:val="24"/>
        </w:rPr>
        <w:instrText xml:space="preserve"> ADDIN ZOTERO_ITEM CSL_CITATION {"citationID":"a20ps279pqp","properties":{"formattedCitation":"\\uldash{(Hossain, 2020)}","plainCitation":"(Hossain, 2020)","dontUpdate":true,"noteIndex":0},"citationItems":[{"id":930,"uris":["http://zotero.org/users/local/EF5FYntM/items/8GXJCY9B"],"itemData":{"id":930,"type":"article-journal","abstract":"Studies on small firm growth in many countries focused on some specific factors, and no comprehensive research on this issue is available to draw the conclusion. Based on the concept of the theory of Resource Based View (RBV), a research framework is formulated in order to examine how resources like finance and financial literacy of the owner-manager affect financial and non-financial growth of small firms operating in Bangladesh. Data was collected through self-administered questionnaires from 407 owner-managers of small firms operating in three divisions of Bangladesh where most of the small businesses are concentrated. Using partial least squares analysis, the paper found that both finance and financial literacy have positive and statistically significant relation with small firm financial and non-financial growth. The paper also showed that private organizations support moderates the relationships between finance, financial literacy and small firm financial and non-financial growth. From the findings, it is evident that if small firms have better access to financial resources and can earn required financial literacy and at the same time get proper and adequate support from private organizations, they will contribute more to the economy by achieving their financial and non-financial growth.","issue":"2","language":"en","source":"Zotero","title":"Financial resources, financial literacy and small firm growth: Does private organizations","volume":"30","author":[{"family":"Hossain","given":"M"}],"issued":{"date-parts":[["2020"]]}}}],"schema":"https://github.com/citation-style-language/schema/raw/master/csl-citation.json"} </w:instrText>
      </w:r>
      <w:r w:rsidR="005F5C6E">
        <w:rPr>
          <w:rFonts w:cs="Times New Roman"/>
          <w:szCs w:val="24"/>
        </w:rPr>
        <w:fldChar w:fldCharType="separate"/>
      </w:r>
      <w:r w:rsidR="005F5C6E">
        <w:rPr>
          <w:rFonts w:cs="Times New Roman"/>
          <w:szCs w:val="24"/>
        </w:rPr>
        <w:t>Hossain, 2020;</w:t>
      </w:r>
      <w:r w:rsidR="005F5C6E">
        <w:rPr>
          <w:rFonts w:cs="Times New Roman"/>
          <w:szCs w:val="24"/>
        </w:rPr>
        <w:fldChar w:fldCharType="end"/>
      </w:r>
      <w:r w:rsidR="005F5C6E">
        <w:rPr>
          <w:rFonts w:cs="Times New Roman"/>
          <w:szCs w:val="24"/>
        </w:rPr>
        <w:t xml:space="preserve"> </w:t>
      </w:r>
      <w:r w:rsidR="00E65FB5">
        <w:rPr>
          <w:rFonts w:cs="Times New Roman"/>
          <w:szCs w:val="24"/>
        </w:rPr>
        <w:fldChar w:fldCharType="begin"/>
      </w:r>
      <w:r w:rsidR="00E65FB5">
        <w:rPr>
          <w:rFonts w:cs="Times New Roman"/>
          <w:szCs w:val="24"/>
        </w:rPr>
        <w:instrText xml:space="preserve"> ADDIN ZOTERO_ITEM CSL_CITATION {"citationID":"a1bap37lp2g","properties":{"formattedCitation":"\\uldash{(Addo et al., 2023)}","plainCitation":"(Addo et al., 2023)","dontUpdate":true,"noteIndex":0},"citationItems":[{"id":943,"uris":["http://zotero.org/users/local/EF5FYntM/items/W947PTXV"],"itemData":{"id":943,"type":"article-journal","abstract":"The importance of SMEs to the growth of emerging economies cannot be overemphasized. SMEs remain an important source of employment and economic growth for most developing economies. However, it has been found that, most SMEs in developing countries are unable to survive even up to their fifth year of operation due to a multiplicity of factors including the level of financial literacy and risk attitude of SME owners. The current study aims to examine the effect of financial literacy on SME growth mediated by the risk attitude of SME owners. The study’s data was collected from SME owners/managers in Ghana. 500 questionnaires were administered and out of the 432 retrieved, 400 were deemed useful for analysis using causal mediation. The study found a significantly positive association between financial literacy and SME growth in the main outcome model. Also, risk attitude was found to be positively related to financial literacy in the mediation model, whereas risk attitude further mediated the relationship between financial literacy and SME growth which demonstrates that risk attitude plays an intermediary role in the association between financial literacy and SME growth. Our results support the dual process theory of reasoning, according to which decisions made by entrepreneurs to improve the growth and sustainability of their businesses are influenced by two different systems of thought: the automatic unconscious system, which is based on their risk tolerance, and the intentional conscious system, which weighs numerous factors and models in light of their financial literacy.","container-title":"International Journal of Business, Management and Economics","DOI":"10.47747/ijbme.v4i3.1225","ISSN":"2746-1351","issue":"3","journalAbbreviation":"IJBME","language":"en","license":"https://creativecommons.org/licenses/by/4.0","page":"185-202","source":"DOI.org (Crossref)","title":"Re-Examining The Financial Literacy – SME Growth Nexus: Fresh Evidence from Causal Mediation Analysis","title-short":"Re-Examining The Financial Literacy – SME Growth Nexus","volume":"4","author":[{"family":"Addo","given":"Selma Dzifa"},{"family":"Asante","given":"Joseph"},{"family":"Mensah","given":"Emmanuel"}],"issued":{"date-parts":[["2023",8,6]]}}}],"schema":"https://github.com/citation-style-language/schema/raw/master/csl-citation.json"} </w:instrText>
      </w:r>
      <w:r w:rsidR="00E65FB5">
        <w:rPr>
          <w:rFonts w:cs="Times New Roman"/>
          <w:szCs w:val="24"/>
        </w:rPr>
        <w:fldChar w:fldCharType="separate"/>
      </w:r>
      <w:r w:rsidR="00E65FB5">
        <w:rPr>
          <w:rFonts w:cs="Times New Roman"/>
          <w:szCs w:val="24"/>
        </w:rPr>
        <w:t xml:space="preserve">Addo </w:t>
      </w:r>
      <w:r w:rsidR="00E65FB5">
        <w:rPr>
          <w:rFonts w:cs="Times New Roman"/>
          <w:i/>
          <w:iCs/>
          <w:szCs w:val="24"/>
        </w:rPr>
        <w:t>et al.,</w:t>
      </w:r>
      <w:r w:rsidR="00E65FB5">
        <w:rPr>
          <w:rFonts w:cs="Times New Roman"/>
          <w:szCs w:val="24"/>
        </w:rPr>
        <w:t xml:space="preserve"> 2023</w:t>
      </w:r>
      <w:r w:rsidR="00E65FB5">
        <w:rPr>
          <w:rFonts w:cs="Times New Roman"/>
          <w:szCs w:val="24"/>
        </w:rPr>
        <w:fldChar w:fldCharType="end"/>
      </w:r>
      <w:r w:rsidR="007E37EA">
        <w:t xml:space="preserve">; </w:t>
      </w:r>
      <w:r>
        <w:t xml:space="preserve">OECD, 2022). In the SME context, financial literacy enables entrepreneurs to manage financial resources effectively, evaluate investment opportunities, and implement sound financial practices (Eniola &amp; Entebang, 2015; </w:t>
      </w:r>
      <w:r w:rsidR="00E65FB5">
        <w:rPr>
          <w:rFonts w:cs="Times New Roman"/>
          <w:szCs w:val="24"/>
        </w:rPr>
        <w:fldChar w:fldCharType="begin"/>
      </w:r>
      <w:r w:rsidR="00E65FB5">
        <w:rPr>
          <w:rFonts w:cs="Times New Roman"/>
          <w:szCs w:val="24"/>
        </w:rPr>
        <w:instrText xml:space="preserve"> ADDIN ZOTERO_ITEM CSL_CITATION {"citationID":"al8kcqr3nt","properties":{"formattedCitation":"\\uldash{(Oktariswan, 2024)}","plainCitation":"(Oktariswan, 2024)","dontUpdate":true,"noteIndex":0},"citationItems":[{"id":1063,"uris":["http://zotero.org/users/local/EF5FYntM/items/MKYL2TKY"],"itemData":{"id":1063,"type":"article-journal","abstract":"The purpose is to determine the influence of behavioral financial bias on firm performance and to find out if it is mediated by behavioral financial bias. Design a type of quantitative research with a positivism paradigm and develop research hypotheses related to financial literacy variables, behavioral financial bias, and firm performance variables. The research sample of owners, and general managers because they have adequate knowledge about the performance of the companies they lead is 245 samples. The unit of analysis is SME business actors who are members of the Indonesian Credit Guarantee and the research locations were carried out in DKI Jakarta, Bogor, Depok, Tangerang, and Bekasi. The result is a positive and significant influence of financial literacy on firm performance directly or mediated by financial behavior bias. The findings are novelty research, to improve firm performance by increasing financial literacy in financial knowledge and financial education. Meanwhile, financial behavior can be used to improve firm performance, which can reduce the influence of mental accounting to separate and group financial resources into different mental \"accounts\" and overconfidence due to the tendency of business actors to have excessive confidence.","language":"en","source":"Zotero","title":"Financial Literacy and Firm Performance: Mediation of Behavioral Financial Bias","author":[{"family":"Oktariswan","given":"Dony"}],"issued":{"date-parts":[["2024"]]}}}],"schema":"https://github.com/citation-style-language/schema/raw/master/csl-citation.json"} </w:instrText>
      </w:r>
      <w:r w:rsidR="00E65FB5">
        <w:rPr>
          <w:rFonts w:cs="Times New Roman"/>
          <w:szCs w:val="24"/>
        </w:rPr>
        <w:fldChar w:fldCharType="separate"/>
      </w:r>
      <w:r w:rsidR="00E65FB5">
        <w:rPr>
          <w:rFonts w:cs="Times New Roman"/>
          <w:szCs w:val="24"/>
        </w:rPr>
        <w:t>Oktariswan, 2024)</w:t>
      </w:r>
      <w:r w:rsidR="00E65FB5">
        <w:rPr>
          <w:rFonts w:cs="Times New Roman"/>
          <w:szCs w:val="24"/>
        </w:rPr>
        <w:fldChar w:fldCharType="end"/>
      </w:r>
    </w:p>
    <w:p w14:paraId="5349513B" w14:textId="63BB7AB0" w:rsidR="0015660C" w:rsidRDefault="004F1A07" w:rsidP="00955CDE">
      <w:pPr>
        <w:spacing w:line="360" w:lineRule="auto"/>
        <w:jc w:val="both"/>
      </w:pPr>
      <w:r>
        <w:t xml:space="preserve">Empirical studies further indicate that financial literacy is not limited to knowledge alone but </w:t>
      </w:r>
      <w:r w:rsidR="007E37EA">
        <w:t>also encompasses financial behaviour, reflecting</w:t>
      </w:r>
      <w:r>
        <w:t xml:space="preserve"> the practical application of financial skills in business operations (Perry &amp; Morris, 2005; Xiao, 2016). Entrepreneurs who demonstrate strong financial behaviour</w:t>
      </w:r>
      <w:r w:rsidR="007E37EA">
        <w:t>,</w:t>
      </w:r>
      <w:r w:rsidR="005C7A5B">
        <w:t xml:space="preserve"> </w:t>
      </w:r>
      <w:r>
        <w:t>such as budgeting, record keeping, and cash flow management</w:t>
      </w:r>
      <w:r w:rsidR="007E37EA">
        <w:t>,</w:t>
      </w:r>
      <w:r w:rsidR="005C7A5B">
        <w:t xml:space="preserve"> </w:t>
      </w:r>
      <w:r>
        <w:t>are more likely to achieve improved business outcomes compared to those who rely solely on intuitive decision-making (</w:t>
      </w:r>
      <w:r w:rsidR="00A7467E">
        <w:rPr>
          <w:rFonts w:cs="Times New Roman"/>
          <w:szCs w:val="24"/>
        </w:rPr>
        <w:fldChar w:fldCharType="begin"/>
      </w:r>
      <w:r w:rsidR="00A7467E">
        <w:rPr>
          <w:rFonts w:cs="Times New Roman"/>
          <w:szCs w:val="24"/>
        </w:rPr>
        <w:instrText xml:space="preserve"> ADDIN ZOTERO_ITEM CSL_CITATION {"citationID":"iFJ0YRsH","properties":{"formattedCitation":"(Hidayati et al., 2021)","plainCitation":"(Hidayati et al., 2021)","dontUpdate":true,"noteIndex":0},"citationItems":[{"id":"KnmqYhws/3yyv27DK","uris":["http://zotero.org/users/local/QzLdffIR/items/E687GY74"],"itemData":{"id":240,"type":"article-journal","abstract":"This study aims to analyze the effect of Financial Attitude and Financial Knowledge on Company Performance with Financial Decision as an Intervening Variable on Small Medium Enterprises Owners in Lombok Island. This research's theoretical contribution is expected to contribute to the knowledge and development of behavioral finance theory related to Financial Decision-making and Company Performance in Small Medium Enterprises. Besides, it is also hoped that behavioral finance will become a subject in the financial management course. Furthermore, this research's practical contribution is expected to provide input, suggestions, and recommendations to the NTB Provincial Government's policymakers in making policies related to SMEs development.","container-title":"JMM UNRAM - MASTER OF MANAGEMENT JOURNAL","DOI":"10.29303/jmm.v10i1.635","ISSN":"2548-3919, 2621-7902","issue":"1","journalAbbreviation":"JMM UNRAM","language":"en","page":"1-14","source":"DOI.org (Crossref)","title":"THE EFFECT OF FINANCIAL ATTITUDE AND FINANCIAL KNOWLEDGE ON COMPANY PERFORMANCE WITH FINANCIAL DECISIONS AS INTERVENING VARIABLES: A BEHAVIORAL FINANCE PERSPECTIVE","title-short":"THE EFFECT OF FINANCIAL ATTITUDE AND FINANCIAL KNOWLEDGE ON COMPANY PERFORMANCE WITH FINANCIAL DECISIONS AS INTERVENING VARIABLES","volume":"10","author":[{"family":"Hidayati","given":"Siti Aisyah"},{"family":"Wahyulina","given":"Sri"},{"family":"Suryani","given":"Embun"}],"issued":{"date-parts":[["2021",3,19]]}}}],"schema":"https://github.com/citation-style-language/schema/raw/master/csl-citation.json"} </w:instrText>
      </w:r>
      <w:r w:rsidR="00A7467E">
        <w:rPr>
          <w:rFonts w:cs="Times New Roman"/>
          <w:szCs w:val="24"/>
        </w:rPr>
        <w:fldChar w:fldCharType="separate"/>
      </w:r>
      <w:r w:rsidR="00A7467E">
        <w:rPr>
          <w:rFonts w:cs="Times New Roman"/>
          <w:noProof/>
          <w:szCs w:val="24"/>
        </w:rPr>
        <w:t xml:space="preserve">Hidayati </w:t>
      </w:r>
      <w:r w:rsidR="00A7467E">
        <w:rPr>
          <w:rFonts w:cs="Times New Roman"/>
          <w:i/>
          <w:iCs/>
          <w:noProof/>
          <w:szCs w:val="24"/>
        </w:rPr>
        <w:t>et al.,</w:t>
      </w:r>
      <w:r w:rsidR="00A7467E">
        <w:rPr>
          <w:rFonts w:cs="Times New Roman"/>
          <w:noProof/>
          <w:szCs w:val="24"/>
        </w:rPr>
        <w:t xml:space="preserve"> 2021</w:t>
      </w:r>
      <w:r w:rsidR="00A7467E">
        <w:rPr>
          <w:rFonts w:cs="Times New Roman"/>
          <w:szCs w:val="24"/>
        </w:rPr>
        <w:fldChar w:fldCharType="end"/>
      </w:r>
      <w:r>
        <w:t>; Lusardi &amp; Mitchell, 2014). This suggests that financial literacy may serve as a mechanism through which behavioural biases influence firm performance.</w:t>
      </w:r>
    </w:p>
    <w:p w14:paraId="227BE87C" w14:textId="0A55A9C0" w:rsidR="0015660C" w:rsidRDefault="004F1A07" w:rsidP="00955CDE">
      <w:pPr>
        <w:spacing w:line="360" w:lineRule="auto"/>
        <w:jc w:val="both"/>
      </w:pPr>
      <w:r>
        <w:t xml:space="preserve">Despite the growing body of literature on behavioural finance and financial literacy, limited studies have integrated these perspectives to examine how behavioural biases influence SME growth through financial literacy, particularly in developing economies. Most existing studies treat behavioural biases and financial literacy as independent determinants of performance, thereby overlooking </w:t>
      </w:r>
      <w:r w:rsidR="007E37EA">
        <w:t>their potential interaction</w:t>
      </w:r>
      <w:r>
        <w:t>. This gap is particularly evident in the Cameroonian context, where empirical evidence on the mediating role of financial literacy remains scarce.</w:t>
      </w:r>
    </w:p>
    <w:p w14:paraId="6337BAFF" w14:textId="0E2EC928" w:rsidR="00750D67" w:rsidRPr="00B307E2" w:rsidRDefault="004F1A07" w:rsidP="00955CDE">
      <w:pPr>
        <w:spacing w:line="360" w:lineRule="auto"/>
        <w:jc w:val="both"/>
      </w:pPr>
      <w:r>
        <w:t>This study addresses this gap by examining the mediating role of financial literacy in the relationship between behavioural biases and SME growth. By integrating behavioural and capability perspectives, the study provides a more comprehensive understanding of SME performance and offers insights into how cognitive and financial factors jointly influence business outcomes. In doing so, it contributes to the literature by extending behavioural finance into the SME domain and by highlighting the importance of financial literacy as a critical pathway through which behavioural tendencies affect firm growth.</w:t>
      </w:r>
    </w:p>
    <w:p w14:paraId="1580450A" w14:textId="77777777" w:rsidR="00D21E19" w:rsidRDefault="00D21E19" w:rsidP="00955CDE">
      <w:pPr>
        <w:spacing w:line="360" w:lineRule="auto"/>
        <w:jc w:val="both"/>
        <w:rPr>
          <w:b/>
          <w:bCs/>
        </w:rPr>
      </w:pPr>
    </w:p>
    <w:p w14:paraId="195064E9" w14:textId="77777777" w:rsidR="00D21E19" w:rsidRDefault="00D21E19" w:rsidP="00955CDE">
      <w:pPr>
        <w:spacing w:line="360" w:lineRule="auto"/>
        <w:jc w:val="both"/>
        <w:rPr>
          <w:b/>
          <w:bCs/>
        </w:rPr>
      </w:pPr>
    </w:p>
    <w:p w14:paraId="7D525EC6" w14:textId="74E53C8A" w:rsidR="0015660C" w:rsidRPr="00750D67" w:rsidRDefault="004F1A07" w:rsidP="00955CDE">
      <w:pPr>
        <w:spacing w:line="360" w:lineRule="auto"/>
        <w:jc w:val="both"/>
        <w:rPr>
          <w:b/>
          <w:bCs/>
        </w:rPr>
      </w:pPr>
      <w:r w:rsidRPr="00750D67">
        <w:rPr>
          <w:b/>
          <w:bCs/>
        </w:rPr>
        <w:t xml:space="preserve">3. </w:t>
      </w:r>
      <w:r w:rsidR="00750D67" w:rsidRPr="00750D67">
        <w:rPr>
          <w:b/>
          <w:bCs/>
        </w:rPr>
        <w:t xml:space="preserve">Conceptual Framework and </w:t>
      </w:r>
      <w:r w:rsidRPr="00750D67">
        <w:rPr>
          <w:b/>
          <w:bCs/>
        </w:rPr>
        <w:t>Hypotheses Development</w:t>
      </w:r>
    </w:p>
    <w:p w14:paraId="4E051F2D" w14:textId="135F8608" w:rsidR="00750D67" w:rsidRDefault="00750D67" w:rsidP="00955CDE">
      <w:pPr>
        <w:spacing w:line="360" w:lineRule="auto"/>
        <w:jc w:val="both"/>
        <w:rPr>
          <w:rFonts w:cs="Times New Roman"/>
          <w:szCs w:val="24"/>
        </w:rPr>
      </w:pPr>
      <w:r>
        <w:rPr>
          <w:rFonts w:cs="Times New Roman"/>
          <w:szCs w:val="24"/>
        </w:rPr>
        <w:t xml:space="preserve">The conceptual framework </w:t>
      </w:r>
      <w:r w:rsidR="007E37EA">
        <w:rPr>
          <w:rFonts w:cs="Times New Roman"/>
          <w:szCs w:val="24"/>
        </w:rPr>
        <w:t xml:space="preserve">presents the diagrammatic </w:t>
      </w:r>
      <w:r>
        <w:rPr>
          <w:rFonts w:cs="Times New Roman"/>
          <w:szCs w:val="24"/>
        </w:rPr>
        <w:t>link between the explanatory and the explained variables.</w:t>
      </w:r>
    </w:p>
    <w:p w14:paraId="0575847E" w14:textId="3DF17886" w:rsidR="006F5020" w:rsidRPr="006F5020" w:rsidRDefault="006F5020" w:rsidP="00955CDE">
      <w:pPr>
        <w:spacing w:line="360" w:lineRule="auto"/>
        <w:jc w:val="both"/>
        <w:rPr>
          <w:rFonts w:cs="Times New Roman"/>
          <w:b/>
          <w:bCs/>
          <w:szCs w:val="24"/>
        </w:rPr>
      </w:pPr>
      <w:r w:rsidRPr="006F5020">
        <w:rPr>
          <w:rFonts w:cs="Times New Roman"/>
          <w:b/>
          <w:bCs/>
          <w:szCs w:val="24"/>
        </w:rPr>
        <w:t>3.1 Conceptual Framework</w:t>
      </w:r>
    </w:p>
    <w:p w14:paraId="08482878" w14:textId="59ED1021" w:rsidR="00750D67" w:rsidRDefault="00750D67" w:rsidP="00955CDE">
      <w:pPr>
        <w:spacing w:line="360" w:lineRule="auto"/>
        <w:jc w:val="both"/>
        <w:rPr>
          <w:rFonts w:cs="Times New Roman"/>
          <w:b/>
          <w:szCs w:val="24"/>
        </w:rPr>
      </w:pPr>
      <w:r>
        <w:rPr>
          <w:rFonts w:cs="Times New Roman"/>
          <w:b/>
          <w:szCs w:val="24"/>
        </w:rPr>
        <w:t>Independent variable    Mediating Variable          Dependent Variable</w:t>
      </w:r>
    </w:p>
    <w:p w14:paraId="5345465B" w14:textId="77777777" w:rsidR="00750D67" w:rsidRDefault="00750D67" w:rsidP="00955CDE">
      <w:pPr>
        <w:tabs>
          <w:tab w:val="left" w:pos="7142"/>
        </w:tabs>
        <w:spacing w:line="360" w:lineRule="auto"/>
        <w:jc w:val="both"/>
        <w:rPr>
          <w:rFonts w:cs="Times New Roman"/>
          <w:bCs/>
          <w:szCs w:val="24"/>
        </w:rPr>
      </w:pPr>
      <w:bookmarkStart w:id="0" w:name="_Toc109726824"/>
      <w:bookmarkStart w:id="1" w:name="_Toc109726825"/>
      <w:bookmarkEnd w:id="0"/>
      <w:r>
        <w:rPr>
          <w:rFonts w:cs="Times New Roman"/>
          <w:bCs/>
          <w:noProof/>
          <w:szCs w:val="24"/>
          <w:lang w:val="en-GB" w:eastAsia="en-GB"/>
        </w:rPr>
        <mc:AlternateContent>
          <mc:Choice Requires="wpg">
            <w:drawing>
              <wp:anchor distT="0" distB="0" distL="0" distR="0" simplePos="0" relativeHeight="251658240" behindDoc="0" locked="0" layoutInCell="1" allowOverlap="1" wp14:anchorId="6E232AB0" wp14:editId="5629A06A">
                <wp:simplePos x="0" y="0"/>
                <wp:positionH relativeFrom="column">
                  <wp:posOffset>766</wp:posOffset>
                </wp:positionH>
                <wp:positionV relativeFrom="paragraph">
                  <wp:posOffset>4489</wp:posOffset>
                </wp:positionV>
                <wp:extent cx="5675586" cy="2772479"/>
                <wp:effectExtent l="0" t="0" r="20955" b="27940"/>
                <wp:wrapNone/>
                <wp:docPr id="10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5586" cy="2772479"/>
                          <a:chOff x="0" y="0"/>
                          <a:chExt cx="5675586" cy="2772479"/>
                        </a:xfrm>
                      </wpg:grpSpPr>
                      <wps:wsp>
                        <wps:cNvPr id="1" name="Rectangle 1"/>
                        <wps:cNvSpPr/>
                        <wps:spPr>
                          <a:xfrm>
                            <a:off x="1813035" y="409903"/>
                            <a:ext cx="1633454" cy="132949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B18CDAD" w14:textId="77777777" w:rsidR="00750D67" w:rsidRDefault="00750D67" w:rsidP="00750D67">
                              <w:pPr>
                                <w:spacing w:line="240" w:lineRule="auto"/>
                                <w:jc w:val="center"/>
                                <w:rPr>
                                  <w:b/>
                                  <w:szCs w:val="24"/>
                                </w:rPr>
                              </w:pPr>
                              <w:r>
                                <w:rPr>
                                  <w:b/>
                                  <w:szCs w:val="24"/>
                                </w:rPr>
                                <w:t>Financial Literacy</w:t>
                              </w:r>
                            </w:p>
                            <w:p w14:paraId="71972EE6" w14:textId="77777777" w:rsidR="00750D67" w:rsidRDefault="00750D67" w:rsidP="00750D67">
                              <w:pPr>
                                <w:spacing w:line="240" w:lineRule="auto"/>
                                <w:rPr>
                                  <w:b/>
                                  <w:bCs/>
                                  <w:szCs w:val="24"/>
                                </w:rPr>
                              </w:pPr>
                              <w:r>
                                <w:rPr>
                                  <w:b/>
                                  <w:bCs/>
                                  <w:szCs w:val="24"/>
                                </w:rPr>
                                <w:t>-Financial Knowledge</w:t>
                              </w:r>
                            </w:p>
                            <w:p w14:paraId="4FEF3194" w14:textId="77777777" w:rsidR="00750D67" w:rsidRDefault="00750D67" w:rsidP="00750D67">
                              <w:pPr>
                                <w:spacing w:line="240" w:lineRule="auto"/>
                                <w:rPr>
                                  <w:b/>
                                  <w:bCs/>
                                  <w:szCs w:val="24"/>
                                </w:rPr>
                              </w:pPr>
                              <w:r>
                                <w:rPr>
                                  <w:szCs w:val="24"/>
                                </w:rPr>
                                <w:t xml:space="preserve">- </w:t>
                              </w:r>
                              <w:r>
                                <w:rPr>
                                  <w:b/>
                                  <w:bCs/>
                                  <w:szCs w:val="24"/>
                                </w:rPr>
                                <w:t xml:space="preserve">Financial Behaviour </w:t>
                              </w:r>
                            </w:p>
                            <w:p w14:paraId="264DD6B4" w14:textId="77777777" w:rsidR="00750D67" w:rsidRDefault="00750D67" w:rsidP="00750D67">
                              <w:pPr>
                                <w:spacing w:line="240" w:lineRule="auto"/>
                              </w:pPr>
                            </w:p>
                            <w:p w14:paraId="13328C5D" w14:textId="77777777" w:rsidR="00750D67" w:rsidRDefault="00750D67" w:rsidP="00750D67">
                              <w:pPr>
                                <w:spacing w:line="240" w:lineRule="auto"/>
                                <w:jc w:val="center"/>
                              </w:pPr>
                            </w:p>
                            <w:p w14:paraId="153F7E84" w14:textId="77777777" w:rsidR="00750D67" w:rsidRDefault="00750D67" w:rsidP="00750D67">
                              <w:pPr>
                                <w:spacing w:line="240" w:lineRule="auto"/>
                                <w:jc w:val="center"/>
                              </w:pPr>
                            </w:p>
                            <w:p w14:paraId="3FE5404E" w14:textId="77777777" w:rsidR="00750D67" w:rsidRDefault="00750D67" w:rsidP="00750D67">
                              <w:pPr>
                                <w:spacing w:line="240" w:lineRule="auto"/>
                                <w:jc w:val="center"/>
                              </w:pPr>
                            </w:p>
                            <w:p w14:paraId="58E0CC92" w14:textId="77777777" w:rsidR="00750D67" w:rsidRDefault="00750D67" w:rsidP="00750D67">
                              <w:pPr>
                                <w:spacing w:line="240" w:lineRule="auto"/>
                                <w:jc w:val="center"/>
                              </w:pPr>
                            </w:p>
                            <w:p w14:paraId="4314EDE2" w14:textId="77777777" w:rsidR="00750D67" w:rsidRDefault="00750D67" w:rsidP="00750D67">
                              <w:pPr>
                                <w:spacing w:line="240" w:lineRule="auto"/>
                                <w:jc w:val="center"/>
                              </w:pPr>
                            </w:p>
                            <w:p w14:paraId="14F6BFB6" w14:textId="77777777" w:rsidR="00750D67" w:rsidRDefault="00750D67" w:rsidP="00750D67">
                              <w:pPr>
                                <w:spacing w:line="240" w:lineRule="auto"/>
                                <w:jc w:val="center"/>
                              </w:pPr>
                            </w:p>
                            <w:p w14:paraId="59255CF7" w14:textId="77777777" w:rsidR="00750D67" w:rsidRDefault="00750D67" w:rsidP="00750D67">
                              <w:pPr>
                                <w:spacing w:line="240" w:lineRule="auto"/>
                                <w:jc w:val="center"/>
                              </w:pPr>
                            </w:p>
                          </w:txbxContent>
                        </wps:txbx>
                        <wps:bodyPr vert="horz" wrap="square" lIns="91440" tIns="45720" rIns="91440" bIns="45720" anchor="ctr" upright="1">
                          <a:prstTxWarp prst="textNoShape">
                            <a:avLst/>
                          </a:prstTxWarp>
                          <a:noAutofit/>
                        </wps:bodyPr>
                      </wps:wsp>
                      <wps:wsp>
                        <wps:cNvPr id="2" name="Rectangle 2"/>
                        <wps:cNvSpPr/>
                        <wps:spPr>
                          <a:xfrm>
                            <a:off x="0" y="0"/>
                            <a:ext cx="1567180" cy="238741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E4E89AC" w14:textId="77777777" w:rsidR="00750D67" w:rsidRDefault="00750D67" w:rsidP="00750D67">
                              <w:pPr>
                                <w:spacing w:line="240" w:lineRule="auto"/>
                                <w:rPr>
                                  <w:b/>
                                  <w:szCs w:val="24"/>
                                </w:rPr>
                              </w:pPr>
                            </w:p>
                            <w:p w14:paraId="46045B95" w14:textId="7C9348A3" w:rsidR="00750D67" w:rsidRDefault="006F5020" w:rsidP="00750D67">
                              <w:pPr>
                                <w:spacing w:line="240" w:lineRule="auto"/>
                                <w:rPr>
                                  <w:b/>
                                  <w:szCs w:val="24"/>
                                </w:rPr>
                              </w:pPr>
                              <w:r>
                                <w:rPr>
                                  <w:b/>
                                  <w:szCs w:val="24"/>
                                </w:rPr>
                                <w:t>Behavioural Biases</w:t>
                              </w:r>
                            </w:p>
                            <w:p w14:paraId="303A43A3" w14:textId="77777777" w:rsidR="00750D67" w:rsidRDefault="00750D67" w:rsidP="00750D67">
                              <w:pPr>
                                <w:spacing w:line="240" w:lineRule="auto"/>
                                <w:rPr>
                                  <w:b/>
                                  <w:szCs w:val="24"/>
                                </w:rPr>
                              </w:pPr>
                              <w:r>
                                <w:rPr>
                                  <w:b/>
                                  <w:szCs w:val="24"/>
                                </w:rPr>
                                <w:t xml:space="preserve">  - Overconfidence</w:t>
                              </w:r>
                            </w:p>
                            <w:p w14:paraId="46419C41" w14:textId="77777777" w:rsidR="00750D67" w:rsidRDefault="00750D67" w:rsidP="00750D67">
                              <w:pPr>
                                <w:spacing w:line="240" w:lineRule="auto"/>
                                <w:rPr>
                                  <w:b/>
                                  <w:szCs w:val="24"/>
                                </w:rPr>
                              </w:pPr>
                              <w:r>
                                <w:rPr>
                                  <w:b/>
                                  <w:szCs w:val="24"/>
                                </w:rPr>
                                <w:t xml:space="preserve">  - Herding Bias</w:t>
                              </w:r>
                            </w:p>
                            <w:p w14:paraId="5E1453DC" w14:textId="77777777" w:rsidR="00750D67" w:rsidRDefault="00750D67" w:rsidP="00750D67">
                              <w:pPr>
                                <w:spacing w:line="240" w:lineRule="auto"/>
                                <w:rPr>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b/>
                                  <w:szCs w:val="24"/>
                                </w:rPr>
                                <w:t xml:space="preserve">  - Anchoring</w:t>
                              </w:r>
                            </w:p>
                            <w:p w14:paraId="4CE20E7D" w14:textId="77777777" w:rsidR="00750D67" w:rsidRDefault="00750D67" w:rsidP="00750D67">
                              <w:pPr>
                                <w:spacing w:line="240" w:lineRule="auto"/>
                                <w:rPr>
                                  <w:b/>
                                  <w:szCs w:val="24"/>
                                </w:rPr>
                              </w:pPr>
                              <w:r>
                                <w:rPr>
                                  <w:b/>
                                  <w:szCs w:val="24"/>
                                </w:rPr>
                                <w:t xml:space="preserve">  - Loss Aversion</w:t>
                              </w:r>
                            </w:p>
                            <w:p w14:paraId="1752BD03" w14:textId="77777777" w:rsidR="00750D67" w:rsidRDefault="00750D67" w:rsidP="00750D67">
                              <w:pPr>
                                <w:spacing w:line="240" w:lineRule="auto"/>
                                <w:rPr>
                                  <w:b/>
                                  <w:szCs w:val="24"/>
                                </w:rPr>
                              </w:pPr>
                              <w:r>
                                <w:rPr>
                                  <w:b/>
                                  <w:szCs w:val="24"/>
                                </w:rPr>
                                <w:t xml:space="preserve"> - Regret Aversion</w:t>
                              </w:r>
                            </w:p>
                            <w:p w14:paraId="5C29C945" w14:textId="77777777" w:rsidR="00750D67" w:rsidRDefault="00750D67" w:rsidP="00750D67">
                              <w:pPr>
                                <w:spacing w:line="240" w:lineRule="auto"/>
                                <w:jc w:val="center"/>
                              </w:pPr>
                            </w:p>
                            <w:p w14:paraId="4A1B4A36" w14:textId="77777777" w:rsidR="00750D67" w:rsidRDefault="00750D67" w:rsidP="00750D67">
                              <w:pPr>
                                <w:spacing w:line="240" w:lineRule="auto"/>
                                <w:jc w:val="center"/>
                              </w:pPr>
                            </w:p>
                            <w:p w14:paraId="13FAD3E9" w14:textId="77777777" w:rsidR="00750D67" w:rsidRDefault="00750D67" w:rsidP="00750D67">
                              <w:pPr>
                                <w:spacing w:line="240" w:lineRule="auto"/>
                                <w:jc w:val="center"/>
                              </w:pPr>
                            </w:p>
                            <w:p w14:paraId="18A04067" w14:textId="77777777" w:rsidR="00750D67" w:rsidRDefault="00750D67" w:rsidP="00750D67">
                              <w:pPr>
                                <w:spacing w:line="240" w:lineRule="auto"/>
                                <w:jc w:val="center"/>
                              </w:pPr>
                            </w:p>
                            <w:p w14:paraId="56D37014" w14:textId="77777777" w:rsidR="00750D67" w:rsidRDefault="00750D67" w:rsidP="00750D67">
                              <w:pPr>
                                <w:spacing w:line="240" w:lineRule="auto"/>
                                <w:jc w:val="center"/>
                              </w:pPr>
                            </w:p>
                            <w:p w14:paraId="087FA61B" w14:textId="77777777" w:rsidR="00750D67" w:rsidRDefault="00750D67" w:rsidP="00750D67">
                              <w:pPr>
                                <w:spacing w:line="240" w:lineRule="auto"/>
                                <w:jc w:val="center"/>
                              </w:pPr>
                            </w:p>
                            <w:p w14:paraId="2414106F" w14:textId="77777777" w:rsidR="00750D67" w:rsidRDefault="00750D67" w:rsidP="00750D67">
                              <w:pPr>
                                <w:spacing w:line="240" w:lineRule="auto"/>
                                <w:jc w:val="center"/>
                              </w:pPr>
                            </w:p>
                          </w:txbxContent>
                        </wps:txbx>
                        <wps:bodyPr vert="horz" wrap="square" lIns="91440" tIns="45720" rIns="91440" bIns="45720" anchor="ctr" upright="1">
                          <a:prstTxWarp prst="textNoShape">
                            <a:avLst/>
                          </a:prstTxWarp>
                          <a:noAutofit/>
                        </wps:bodyPr>
                      </wps:wsp>
                      <wps:wsp>
                        <wps:cNvPr id="3" name="Rectangle 3"/>
                        <wps:cNvSpPr/>
                        <wps:spPr>
                          <a:xfrm>
                            <a:off x="3925614" y="0"/>
                            <a:ext cx="1749972" cy="2422566"/>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5663F99" w14:textId="77777777" w:rsidR="00750D67" w:rsidRDefault="00750D67" w:rsidP="00750D67">
                              <w:pPr>
                                <w:spacing w:after="0" w:line="240" w:lineRule="auto"/>
                                <w:jc w:val="center"/>
                                <w:rPr>
                                  <w:b/>
                                  <w:szCs w:val="24"/>
                                </w:rPr>
                              </w:pPr>
                              <w:r>
                                <w:rPr>
                                  <w:b/>
                                  <w:szCs w:val="24"/>
                                </w:rPr>
                                <w:t>SMEs Growth</w:t>
                              </w:r>
                            </w:p>
                            <w:p w14:paraId="1EA2AE8B" w14:textId="77777777" w:rsidR="00750D67" w:rsidRDefault="00750D67" w:rsidP="00750D67">
                              <w:pPr>
                                <w:pStyle w:val="ListParagraph"/>
                                <w:numPr>
                                  <w:ilvl w:val="0"/>
                                  <w:numId w:val="10"/>
                                </w:numPr>
                                <w:spacing w:after="0" w:line="240" w:lineRule="auto"/>
                                <w:jc w:val="both"/>
                                <w:rPr>
                                  <w:b/>
                                  <w:szCs w:val="24"/>
                                </w:rPr>
                              </w:pPr>
                              <w:r>
                                <w:rPr>
                                  <w:b/>
                                  <w:szCs w:val="24"/>
                                </w:rPr>
                                <w:t>Increased Business Profit</w:t>
                              </w:r>
                            </w:p>
                            <w:p w14:paraId="620EDBCB" w14:textId="77777777" w:rsidR="00750D67" w:rsidRDefault="00750D67" w:rsidP="00750D67">
                              <w:pPr>
                                <w:numPr>
                                  <w:ilvl w:val="0"/>
                                  <w:numId w:val="10"/>
                                </w:numPr>
                                <w:spacing w:after="0" w:line="240" w:lineRule="auto"/>
                                <w:jc w:val="both"/>
                                <w:rPr>
                                  <w:b/>
                                  <w:szCs w:val="24"/>
                                </w:rPr>
                              </w:pPr>
                              <w:r>
                                <w:rPr>
                                  <w:b/>
                                  <w:szCs w:val="24"/>
                                </w:rPr>
                                <w:t>Increased employee’s size</w:t>
                              </w:r>
                            </w:p>
                            <w:p w14:paraId="6F12D7A8" w14:textId="77777777" w:rsidR="00750D67" w:rsidRDefault="00750D67" w:rsidP="00750D67">
                              <w:pPr>
                                <w:numPr>
                                  <w:ilvl w:val="0"/>
                                  <w:numId w:val="10"/>
                                </w:numPr>
                                <w:spacing w:after="0" w:line="240" w:lineRule="auto"/>
                                <w:jc w:val="both"/>
                                <w:rPr>
                                  <w:b/>
                                  <w:szCs w:val="24"/>
                                </w:rPr>
                              </w:pPr>
                              <w:r>
                                <w:rPr>
                                  <w:b/>
                                  <w:szCs w:val="24"/>
                                </w:rPr>
                                <w:t xml:space="preserve">Increased business turnover  </w:t>
                              </w:r>
                            </w:p>
                            <w:p w14:paraId="40E82ADD" w14:textId="77777777" w:rsidR="00750D67" w:rsidRDefault="00750D67" w:rsidP="00750D67">
                              <w:pPr>
                                <w:numPr>
                                  <w:ilvl w:val="0"/>
                                  <w:numId w:val="10"/>
                                </w:numPr>
                                <w:spacing w:after="0" w:line="240" w:lineRule="auto"/>
                                <w:jc w:val="both"/>
                                <w:rPr>
                                  <w:b/>
                                  <w:szCs w:val="24"/>
                                </w:rPr>
                              </w:pPr>
                              <w:r>
                                <w:rPr>
                                  <w:b/>
                                  <w:szCs w:val="24"/>
                                </w:rPr>
                                <w:t>Innovation</w:t>
                              </w:r>
                            </w:p>
                            <w:p w14:paraId="25C12A3E" w14:textId="77777777" w:rsidR="00750D67" w:rsidRDefault="00750D67" w:rsidP="00750D67">
                              <w:pPr>
                                <w:numPr>
                                  <w:ilvl w:val="0"/>
                                  <w:numId w:val="10"/>
                                </w:numPr>
                                <w:spacing w:after="0" w:line="240" w:lineRule="auto"/>
                                <w:jc w:val="both"/>
                                <w:rPr>
                                  <w:b/>
                                  <w:szCs w:val="24"/>
                                </w:rPr>
                              </w:pPr>
                              <w:r>
                                <w:rPr>
                                  <w:b/>
                                  <w:szCs w:val="24"/>
                                </w:rPr>
                                <w:t>New market entry</w:t>
                              </w:r>
                            </w:p>
                          </w:txbxContent>
                        </wps:txbx>
                        <wps:bodyPr vert="horz" wrap="square" lIns="91440" tIns="45720" rIns="91440" bIns="45720" anchor="ctr" upright="1">
                          <a:prstTxWarp prst="textNoShape">
                            <a:avLst/>
                          </a:prstTxWarp>
                          <a:noAutofit/>
                        </wps:bodyPr>
                      </wps:wsp>
                      <wps:wsp>
                        <wps:cNvPr id="4" name="Straight Arrow Connector 4"/>
                        <wps:cNvCnPr/>
                        <wps:spPr>
                          <a:xfrm>
                            <a:off x="1576552" y="1040524"/>
                            <a:ext cx="236220" cy="0"/>
                          </a:xfrm>
                          <a:prstGeom prst="straightConnector1">
                            <a:avLst/>
                          </a:prstGeom>
                          <a:ln w="9525" cap="flat" cmpd="sng">
                            <a:solidFill>
                              <a:srgbClr val="000000"/>
                            </a:solidFill>
                            <a:prstDash val="solid"/>
                            <a:round/>
                            <a:headEnd/>
                            <a:tailEnd type="triangle" w="med" len="med"/>
                          </a:ln>
                        </wps:spPr>
                        <wps:bodyPr/>
                      </wps:wsp>
                      <wps:wsp>
                        <wps:cNvPr id="5" name="Straight Arrow Connector 5"/>
                        <wps:cNvCnPr/>
                        <wps:spPr>
                          <a:xfrm>
                            <a:off x="3452649" y="1040524"/>
                            <a:ext cx="394138" cy="0"/>
                          </a:xfrm>
                          <a:prstGeom prst="straightConnector1">
                            <a:avLst/>
                          </a:prstGeom>
                          <a:ln w="9525" cap="flat" cmpd="sng">
                            <a:solidFill>
                              <a:srgbClr val="000000"/>
                            </a:solidFill>
                            <a:prstDash val="solid"/>
                            <a:round/>
                            <a:headEnd/>
                            <a:tailEnd type="triangle" w="med" len="med"/>
                          </a:ln>
                        </wps:spPr>
                        <wps:bodyPr/>
                      </wps:wsp>
                      <wps:wsp>
                        <wps:cNvPr id="6" name="Straight Connector 6"/>
                        <wps:cNvCnPr/>
                        <wps:spPr>
                          <a:xfrm>
                            <a:off x="709449" y="2380593"/>
                            <a:ext cx="0" cy="391886"/>
                          </a:xfrm>
                          <a:prstGeom prst="line">
                            <a:avLst/>
                          </a:prstGeom>
                          <a:ln w="9525" cap="flat" cmpd="sng">
                            <a:solidFill>
                              <a:srgbClr val="000000"/>
                            </a:solidFill>
                            <a:prstDash val="solid"/>
                            <a:round/>
                            <a:headEnd/>
                            <a:tailEnd/>
                          </a:ln>
                        </wps:spPr>
                        <wps:bodyPr/>
                      </wps:wsp>
                      <wps:wsp>
                        <wps:cNvPr id="7" name="Straight Connector 7"/>
                        <wps:cNvCnPr/>
                        <wps:spPr>
                          <a:xfrm flipV="1">
                            <a:off x="725214" y="2758965"/>
                            <a:ext cx="4387556" cy="7434"/>
                          </a:xfrm>
                          <a:prstGeom prst="line">
                            <a:avLst/>
                          </a:prstGeom>
                          <a:ln w="9525" cap="flat" cmpd="sng">
                            <a:solidFill>
                              <a:srgbClr val="000000"/>
                            </a:solidFill>
                            <a:prstDash val="solid"/>
                            <a:round/>
                            <a:headEnd/>
                            <a:tailEnd/>
                          </a:ln>
                        </wps:spPr>
                        <wps:bodyPr/>
                      </wps:wsp>
                      <wps:wsp>
                        <wps:cNvPr id="8" name="Straight Arrow Connector 8"/>
                        <wps:cNvCnPr/>
                        <wps:spPr>
                          <a:xfrm flipH="1" flipV="1">
                            <a:off x="5108028" y="2412124"/>
                            <a:ext cx="6986" cy="352842"/>
                          </a:xfrm>
                          <a:prstGeom prst="straightConnector1">
                            <a:avLst/>
                          </a:prstGeom>
                          <a:ln w="9525" cap="flat" cmpd="sng">
                            <a:solidFill>
                              <a:srgbClr val="000000"/>
                            </a:solidFill>
                            <a:prstDash val="solid"/>
                            <a:round/>
                            <a:headEnd/>
                            <a:tailEnd type="triangle" w="med" len="med"/>
                          </a:ln>
                        </wps:spPr>
                        <wps:bodyPr/>
                      </wps:wsp>
                    </wpg:wgp>
                  </a:graphicData>
                </a:graphic>
              </wp:anchor>
            </w:drawing>
          </mc:Choice>
          <mc:Fallback>
            <w:pict>
              <v:group w14:anchorId="6E232AB0" id="Group 28" o:spid="_x0000_s1026" style="position:absolute;left:0;text-align:left;margin-left:.05pt;margin-top:.35pt;width:446.9pt;height:218.3pt;z-index:251658240;mso-wrap-distance-left:0;mso-wrap-distance-right:0" coordsize="56755,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">
                <v:rect id="Rectangle 1" o:spid="_x0000_s1027" style="position:absolute;left:18130;top:4099;width:16334;height:13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" strokeweight="2pt">
                  <v:stroke joinstyle="round"/>
                  <v:textbox>
                    <w:txbxContent>
                      <w:p w14:paraId="2B18CDAD" w14:textId="77777777" w:rsidR="00750D67" w:rsidRDefault="00750D67" w:rsidP="00750D67">
                        <w:pPr>
                          <w:spacing w:line="240" w:lineRule="auto"/>
                          <w:jc w:val="center"/>
                          <w:rPr>
                            <w:b/>
                            <w:szCs w:val="24"/>
                          </w:rPr>
                        </w:pPr>
                        <w:r>
                          <w:rPr>
                            <w:b/>
                            <w:szCs w:val="24"/>
                          </w:rPr>
                          <w:t>Financial Literacy</w:t>
                        </w:r>
                      </w:p>
                      <w:p w14:paraId="71972EE6" w14:textId="77777777" w:rsidR="00750D67" w:rsidRDefault="00750D67" w:rsidP="00750D67">
                        <w:pPr>
                          <w:spacing w:line="240" w:lineRule="auto"/>
                          <w:rPr>
                            <w:b/>
                            <w:bCs/>
                            <w:szCs w:val="24"/>
                          </w:rPr>
                        </w:pPr>
                        <w:r>
                          <w:rPr>
                            <w:b/>
                            <w:bCs/>
                            <w:szCs w:val="24"/>
                          </w:rPr>
                          <w:t>-Financial Knowledge</w:t>
                        </w:r>
                      </w:p>
                      <w:p w14:paraId="4FEF3194" w14:textId="77777777" w:rsidR="00750D67" w:rsidRDefault="00750D67" w:rsidP="00750D67">
                        <w:pPr>
                          <w:spacing w:line="240" w:lineRule="auto"/>
                          <w:rPr>
                            <w:b/>
                            <w:bCs/>
                            <w:szCs w:val="24"/>
                          </w:rPr>
                        </w:pPr>
                        <w:r>
                          <w:rPr>
                            <w:szCs w:val="24"/>
                          </w:rPr>
                          <w:t xml:space="preserve">- </w:t>
                        </w:r>
                        <w:r>
                          <w:rPr>
                            <w:b/>
                            <w:bCs/>
                            <w:szCs w:val="24"/>
                          </w:rPr>
                          <w:t xml:space="preserve">Financial Behaviour </w:t>
                        </w:r>
                      </w:p>
                      <w:p w14:paraId="264DD6B4" w14:textId="77777777" w:rsidR="00750D67" w:rsidRDefault="00750D67" w:rsidP="00750D67">
                        <w:pPr>
                          <w:spacing w:line="240" w:lineRule="auto"/>
                        </w:pPr>
                      </w:p>
                      <w:p w14:paraId="13328C5D" w14:textId="77777777" w:rsidR="00750D67" w:rsidRDefault="00750D67" w:rsidP="00750D67">
                        <w:pPr>
                          <w:spacing w:line="240" w:lineRule="auto"/>
                          <w:jc w:val="center"/>
                        </w:pPr>
                      </w:p>
                      <w:p w14:paraId="153F7E84" w14:textId="77777777" w:rsidR="00750D67" w:rsidRDefault="00750D67" w:rsidP="00750D67">
                        <w:pPr>
                          <w:spacing w:line="240" w:lineRule="auto"/>
                          <w:jc w:val="center"/>
                        </w:pPr>
                      </w:p>
                      <w:p w14:paraId="3FE5404E" w14:textId="77777777" w:rsidR="00750D67" w:rsidRDefault="00750D67" w:rsidP="00750D67">
                        <w:pPr>
                          <w:spacing w:line="240" w:lineRule="auto"/>
                          <w:jc w:val="center"/>
                        </w:pPr>
                      </w:p>
                      <w:p w14:paraId="58E0CC92" w14:textId="77777777" w:rsidR="00750D67" w:rsidRDefault="00750D67" w:rsidP="00750D67">
                        <w:pPr>
                          <w:spacing w:line="240" w:lineRule="auto"/>
                          <w:jc w:val="center"/>
                        </w:pPr>
                      </w:p>
                      <w:p w14:paraId="4314EDE2" w14:textId="77777777" w:rsidR="00750D67" w:rsidRDefault="00750D67" w:rsidP="00750D67">
                        <w:pPr>
                          <w:spacing w:line="240" w:lineRule="auto"/>
                          <w:jc w:val="center"/>
                        </w:pPr>
                      </w:p>
                      <w:p w14:paraId="14F6BFB6" w14:textId="77777777" w:rsidR="00750D67" w:rsidRDefault="00750D67" w:rsidP="00750D67">
                        <w:pPr>
                          <w:spacing w:line="240" w:lineRule="auto"/>
                          <w:jc w:val="center"/>
                        </w:pPr>
                      </w:p>
                      <w:p w14:paraId="59255CF7" w14:textId="77777777" w:rsidR="00750D67" w:rsidRDefault="00750D67" w:rsidP="00750D67">
                        <w:pPr>
                          <w:spacing w:line="240" w:lineRule="auto"/>
                          <w:jc w:val="center"/>
                        </w:pPr>
                      </w:p>
                    </w:txbxContent>
                  </v:textbox>
                </v:rect>
                <v:rect id="Rectangle 2" o:spid="_x0000_s1028" style="position:absolute;width:15671;height:2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stroke joinstyle="round"/>
                  <v:textbox>
                    <w:txbxContent>
                      <w:p w14:paraId="1E4E89AC" w14:textId="77777777" w:rsidR="00750D67" w:rsidRDefault="00750D67" w:rsidP="00750D67">
                        <w:pPr>
                          <w:spacing w:line="240" w:lineRule="auto"/>
                          <w:rPr>
                            <w:b/>
                            <w:szCs w:val="24"/>
                          </w:rPr>
                        </w:pPr>
                      </w:p>
                      <w:p w14:paraId="46045B95" w14:textId="7C9348A3" w:rsidR="00750D67" w:rsidRDefault="006F5020" w:rsidP="00750D67">
                        <w:pPr>
                          <w:spacing w:line="240" w:lineRule="auto"/>
                          <w:rPr>
                            <w:b/>
                            <w:szCs w:val="24"/>
                          </w:rPr>
                        </w:pPr>
                        <w:r>
                          <w:rPr>
                            <w:b/>
                            <w:szCs w:val="24"/>
                          </w:rPr>
                          <w:t>Behavioural Biases</w:t>
                        </w:r>
                      </w:p>
                      <w:p w14:paraId="303A43A3" w14:textId="77777777" w:rsidR="00750D67" w:rsidRDefault="00750D67" w:rsidP="00750D67">
                        <w:pPr>
                          <w:spacing w:line="240" w:lineRule="auto"/>
                          <w:rPr>
                            <w:b/>
                            <w:szCs w:val="24"/>
                          </w:rPr>
                        </w:pPr>
                        <w:r>
                          <w:rPr>
                            <w:b/>
                            <w:szCs w:val="24"/>
                          </w:rPr>
                          <w:t xml:space="preserve">  - Overconfidence</w:t>
                        </w:r>
                      </w:p>
                      <w:p w14:paraId="46419C41" w14:textId="77777777" w:rsidR="00750D67" w:rsidRDefault="00750D67" w:rsidP="00750D67">
                        <w:pPr>
                          <w:spacing w:line="240" w:lineRule="auto"/>
                          <w:rPr>
                            <w:b/>
                            <w:szCs w:val="24"/>
                          </w:rPr>
                        </w:pPr>
                        <w:r>
                          <w:rPr>
                            <w:b/>
                            <w:szCs w:val="24"/>
                          </w:rPr>
                          <w:t xml:space="preserve">  - Herding Bias</w:t>
                        </w:r>
                      </w:p>
                      <w:p w14:paraId="5E1453DC" w14:textId="77777777" w:rsidR="00750D67" w:rsidRDefault="00750D67" w:rsidP="00750D67">
                        <w:pPr>
                          <w:spacing w:line="240" w:lineRule="auto"/>
                          <w:rPr>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b/>
                            <w:szCs w:val="24"/>
                          </w:rPr>
                          <w:t xml:space="preserve">  - Anchoring</w:t>
                        </w:r>
                      </w:p>
                      <w:p w14:paraId="4CE20E7D" w14:textId="77777777" w:rsidR="00750D67" w:rsidRDefault="00750D67" w:rsidP="00750D67">
                        <w:pPr>
                          <w:spacing w:line="240" w:lineRule="auto"/>
                          <w:rPr>
                            <w:b/>
                            <w:szCs w:val="24"/>
                          </w:rPr>
                        </w:pPr>
                        <w:r>
                          <w:rPr>
                            <w:b/>
                            <w:szCs w:val="24"/>
                          </w:rPr>
                          <w:t xml:space="preserve">  - Loss Aversion</w:t>
                        </w:r>
                      </w:p>
                      <w:p w14:paraId="1752BD03" w14:textId="77777777" w:rsidR="00750D67" w:rsidRDefault="00750D67" w:rsidP="00750D67">
                        <w:pPr>
                          <w:spacing w:line="240" w:lineRule="auto"/>
                          <w:rPr>
                            <w:b/>
                            <w:szCs w:val="24"/>
                          </w:rPr>
                        </w:pPr>
                        <w:r>
                          <w:rPr>
                            <w:b/>
                            <w:szCs w:val="24"/>
                          </w:rPr>
                          <w:t xml:space="preserve"> - Regret Aversion</w:t>
                        </w:r>
                      </w:p>
                      <w:p w14:paraId="5C29C945" w14:textId="77777777" w:rsidR="00750D67" w:rsidRDefault="00750D67" w:rsidP="00750D67">
                        <w:pPr>
                          <w:spacing w:line="240" w:lineRule="auto"/>
                          <w:jc w:val="center"/>
                        </w:pPr>
                      </w:p>
                      <w:p w14:paraId="4A1B4A36" w14:textId="77777777" w:rsidR="00750D67" w:rsidRDefault="00750D67" w:rsidP="00750D67">
                        <w:pPr>
                          <w:spacing w:line="240" w:lineRule="auto"/>
                          <w:jc w:val="center"/>
                        </w:pPr>
                      </w:p>
                      <w:p w14:paraId="13FAD3E9" w14:textId="77777777" w:rsidR="00750D67" w:rsidRDefault="00750D67" w:rsidP="00750D67">
                        <w:pPr>
                          <w:spacing w:line="240" w:lineRule="auto"/>
                          <w:jc w:val="center"/>
                        </w:pPr>
                      </w:p>
                      <w:p w14:paraId="18A04067" w14:textId="77777777" w:rsidR="00750D67" w:rsidRDefault="00750D67" w:rsidP="00750D67">
                        <w:pPr>
                          <w:spacing w:line="240" w:lineRule="auto"/>
                          <w:jc w:val="center"/>
                        </w:pPr>
                      </w:p>
                      <w:p w14:paraId="56D37014" w14:textId="77777777" w:rsidR="00750D67" w:rsidRDefault="00750D67" w:rsidP="00750D67">
                        <w:pPr>
                          <w:spacing w:line="240" w:lineRule="auto"/>
                          <w:jc w:val="center"/>
                        </w:pPr>
                      </w:p>
                      <w:p w14:paraId="087FA61B" w14:textId="77777777" w:rsidR="00750D67" w:rsidRDefault="00750D67" w:rsidP="00750D67">
                        <w:pPr>
                          <w:spacing w:line="240" w:lineRule="auto"/>
                          <w:jc w:val="center"/>
                        </w:pPr>
                      </w:p>
                      <w:p w14:paraId="2414106F" w14:textId="77777777" w:rsidR="00750D67" w:rsidRDefault="00750D67" w:rsidP="00750D67">
                        <w:pPr>
                          <w:spacing w:line="240" w:lineRule="auto"/>
                          <w:jc w:val="center"/>
                        </w:pPr>
                      </w:p>
                    </w:txbxContent>
                  </v:textbox>
                </v:rect>
                <v:rect id="Rectangle 3" o:spid="_x0000_s1029" style="position:absolute;left:39256;width:17499;height:24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stroke joinstyle="round"/>
                  <v:textbox>
                    <w:txbxContent>
                      <w:p w14:paraId="65663F99" w14:textId="77777777" w:rsidR="00750D67" w:rsidRDefault="00750D67" w:rsidP="00750D67">
                        <w:pPr>
                          <w:spacing w:after="0" w:line="240" w:lineRule="auto"/>
                          <w:jc w:val="center"/>
                          <w:rPr>
                            <w:b/>
                            <w:szCs w:val="24"/>
                          </w:rPr>
                        </w:pPr>
                        <w:r>
                          <w:rPr>
                            <w:b/>
                            <w:szCs w:val="24"/>
                          </w:rPr>
                          <w:t>SMEs Growth</w:t>
                        </w:r>
                      </w:p>
                      <w:p w14:paraId="1EA2AE8B" w14:textId="77777777" w:rsidR="00750D67" w:rsidRDefault="00750D67" w:rsidP="00750D67">
                        <w:pPr>
                          <w:pStyle w:val="ListParagraph"/>
                          <w:numPr>
                            <w:ilvl w:val="0"/>
                            <w:numId w:val="10"/>
                          </w:numPr>
                          <w:spacing w:after="0" w:line="240" w:lineRule="auto"/>
                          <w:jc w:val="both"/>
                          <w:rPr>
                            <w:b/>
                            <w:szCs w:val="24"/>
                          </w:rPr>
                        </w:pPr>
                        <w:r>
                          <w:rPr>
                            <w:b/>
                            <w:szCs w:val="24"/>
                          </w:rPr>
                          <w:t>Increased Business Profit</w:t>
                        </w:r>
                      </w:p>
                      <w:p w14:paraId="620EDBCB" w14:textId="77777777" w:rsidR="00750D67" w:rsidRDefault="00750D67" w:rsidP="00750D67">
                        <w:pPr>
                          <w:numPr>
                            <w:ilvl w:val="0"/>
                            <w:numId w:val="10"/>
                          </w:numPr>
                          <w:spacing w:after="0" w:line="240" w:lineRule="auto"/>
                          <w:jc w:val="both"/>
                          <w:rPr>
                            <w:b/>
                            <w:szCs w:val="24"/>
                          </w:rPr>
                        </w:pPr>
                        <w:r>
                          <w:rPr>
                            <w:b/>
                            <w:szCs w:val="24"/>
                          </w:rPr>
                          <w:t>Increased employee’s size</w:t>
                        </w:r>
                      </w:p>
                      <w:p w14:paraId="6F12D7A8" w14:textId="77777777" w:rsidR="00750D67" w:rsidRDefault="00750D67" w:rsidP="00750D67">
                        <w:pPr>
                          <w:numPr>
                            <w:ilvl w:val="0"/>
                            <w:numId w:val="10"/>
                          </w:numPr>
                          <w:spacing w:after="0" w:line="240" w:lineRule="auto"/>
                          <w:jc w:val="both"/>
                          <w:rPr>
                            <w:b/>
                            <w:szCs w:val="24"/>
                          </w:rPr>
                        </w:pPr>
                        <w:r>
                          <w:rPr>
                            <w:b/>
                            <w:szCs w:val="24"/>
                          </w:rPr>
                          <w:t xml:space="preserve">Increased business turnover  </w:t>
                        </w:r>
                      </w:p>
                      <w:p w14:paraId="40E82ADD" w14:textId="77777777" w:rsidR="00750D67" w:rsidRDefault="00750D67" w:rsidP="00750D67">
                        <w:pPr>
                          <w:numPr>
                            <w:ilvl w:val="0"/>
                            <w:numId w:val="10"/>
                          </w:numPr>
                          <w:spacing w:after="0" w:line="240" w:lineRule="auto"/>
                          <w:jc w:val="both"/>
                          <w:rPr>
                            <w:b/>
                            <w:szCs w:val="24"/>
                          </w:rPr>
                        </w:pPr>
                        <w:r>
                          <w:rPr>
                            <w:b/>
                            <w:szCs w:val="24"/>
                          </w:rPr>
                          <w:t>Innovation</w:t>
                        </w:r>
                      </w:p>
                      <w:p w14:paraId="25C12A3E" w14:textId="77777777" w:rsidR="00750D67" w:rsidRDefault="00750D67" w:rsidP="00750D67">
                        <w:pPr>
                          <w:numPr>
                            <w:ilvl w:val="0"/>
                            <w:numId w:val="10"/>
                          </w:numPr>
                          <w:spacing w:after="0" w:line="240" w:lineRule="auto"/>
                          <w:jc w:val="both"/>
                          <w:rPr>
                            <w:b/>
                            <w:szCs w:val="24"/>
                          </w:rPr>
                        </w:pPr>
                        <w:r>
                          <w:rPr>
                            <w:b/>
                            <w:szCs w:val="24"/>
                          </w:rPr>
                          <w:t>New market entry</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5765;top:10405;width:2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5" o:spid="_x0000_s1031" type="#_x0000_t32" style="position:absolute;left:34526;top:10405;width:39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line id="Straight Connector 6" o:spid="_x0000_s1032" style="position:absolute;visibility:visible;mso-wrap-style:square" from="7094,23805" to="7094,2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Straight Connector 7" o:spid="_x0000_s1033" style="position:absolute;flip:y;visibility:visible;mso-wrap-style:square" from="7252,27589" to="51127,2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 id="Straight Arrow Connector 8" o:spid="_x0000_s1034" type="#_x0000_t32" style="position:absolute;left:51080;top:24121;width:70;height:35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">
                  <v:stroke endarrow="block"/>
                </v:shape>
              </v:group>
            </w:pict>
          </mc:Fallback>
        </mc:AlternateContent>
      </w:r>
    </w:p>
    <w:bookmarkEnd w:id="1"/>
    <w:p w14:paraId="23A8E4D5" w14:textId="77777777" w:rsidR="00750D67" w:rsidRDefault="00750D67" w:rsidP="00955CDE">
      <w:pPr>
        <w:spacing w:line="360" w:lineRule="auto"/>
        <w:jc w:val="both"/>
        <w:rPr>
          <w:rFonts w:cs="Times New Roman"/>
          <w:bCs/>
          <w:szCs w:val="24"/>
        </w:rPr>
      </w:pPr>
    </w:p>
    <w:p w14:paraId="215F75B4" w14:textId="77777777" w:rsidR="00750D67" w:rsidRDefault="00750D67" w:rsidP="00955CDE">
      <w:pPr>
        <w:spacing w:line="360" w:lineRule="auto"/>
        <w:jc w:val="both"/>
        <w:rPr>
          <w:rFonts w:cs="Times New Roman"/>
          <w:szCs w:val="24"/>
        </w:rPr>
      </w:pPr>
      <w:bookmarkStart w:id="2" w:name="_Toc161356738"/>
      <w:r>
        <w:rPr>
          <w:rFonts w:cs="Times New Roman"/>
          <w:szCs w:val="24"/>
        </w:rPr>
        <w:tab/>
      </w:r>
      <w:bookmarkEnd w:id="2"/>
    </w:p>
    <w:p w14:paraId="66334850" w14:textId="77777777" w:rsidR="00750D67" w:rsidRDefault="00750D67" w:rsidP="00955CDE">
      <w:pPr>
        <w:spacing w:line="360" w:lineRule="auto"/>
        <w:jc w:val="both"/>
        <w:rPr>
          <w:rFonts w:cs="Times New Roman"/>
          <w:szCs w:val="24"/>
        </w:rPr>
      </w:pPr>
      <w:bookmarkStart w:id="3" w:name="_Toc151106057"/>
      <w:bookmarkStart w:id="4" w:name="_Toc151107569"/>
      <w:bookmarkStart w:id="5" w:name="_Toc151109725"/>
    </w:p>
    <w:p w14:paraId="586A21AB" w14:textId="77777777" w:rsidR="00750D67" w:rsidRDefault="00750D67" w:rsidP="00955CDE">
      <w:pPr>
        <w:spacing w:line="360" w:lineRule="auto"/>
        <w:jc w:val="both"/>
        <w:rPr>
          <w:rFonts w:cs="Times New Roman"/>
          <w:szCs w:val="24"/>
        </w:rPr>
      </w:pPr>
      <w:r>
        <w:rPr>
          <w:rFonts w:cs="Times New Roman"/>
          <w:szCs w:val="24"/>
        </w:rPr>
        <w:t xml:space="preserve"> </w:t>
      </w:r>
      <w:bookmarkEnd w:id="3"/>
      <w:bookmarkEnd w:id="4"/>
      <w:bookmarkEnd w:id="5"/>
    </w:p>
    <w:p w14:paraId="461A0C45" w14:textId="4513403A" w:rsidR="00750D67" w:rsidRDefault="00750D67" w:rsidP="00955CDE">
      <w:pPr>
        <w:pStyle w:val="fig"/>
        <w:spacing w:line="360" w:lineRule="auto"/>
        <w:ind w:left="0" w:firstLine="0"/>
      </w:pPr>
      <w:bookmarkStart w:id="6" w:name="_Toc174112009"/>
      <w:bookmarkStart w:id="7" w:name="_Toc151106058"/>
      <w:bookmarkStart w:id="8" w:name="_Toc151107570"/>
      <w:bookmarkStart w:id="9" w:name="_Toc151109726"/>
    </w:p>
    <w:p w14:paraId="78868E94" w14:textId="77777777" w:rsidR="00B852A5" w:rsidRDefault="00B852A5" w:rsidP="007E37EA">
      <w:pPr>
        <w:pStyle w:val="fig"/>
        <w:spacing w:line="360" w:lineRule="auto"/>
        <w:ind w:left="0" w:firstLine="0"/>
        <w:rPr>
          <w:color w:val="auto"/>
        </w:rPr>
      </w:pPr>
    </w:p>
    <w:p w14:paraId="18094AF4" w14:textId="77777777" w:rsidR="00B852A5" w:rsidRDefault="00B852A5" w:rsidP="007E37EA">
      <w:pPr>
        <w:pStyle w:val="fig"/>
        <w:spacing w:line="360" w:lineRule="auto"/>
        <w:ind w:left="0" w:firstLine="0"/>
        <w:rPr>
          <w:color w:val="auto"/>
        </w:rPr>
      </w:pPr>
    </w:p>
    <w:p w14:paraId="7055955F" w14:textId="5D18B5F4" w:rsidR="00750D67" w:rsidRPr="006F5020" w:rsidRDefault="00750D67" w:rsidP="007E37EA">
      <w:pPr>
        <w:pStyle w:val="fig"/>
        <w:spacing w:line="360" w:lineRule="auto"/>
        <w:ind w:left="0" w:firstLine="0"/>
        <w:rPr>
          <w:color w:val="auto"/>
        </w:rPr>
      </w:pPr>
      <w:r w:rsidRPr="006F5020">
        <w:rPr>
          <w:color w:val="auto"/>
        </w:rPr>
        <w:t xml:space="preserve">Figure 1: </w:t>
      </w:r>
      <w:r w:rsidR="006F5020">
        <w:rPr>
          <w:color w:val="auto"/>
        </w:rPr>
        <w:t>Behavioural Biases, Financial Literacy</w:t>
      </w:r>
      <w:r w:rsidRPr="006F5020">
        <w:rPr>
          <w:color w:val="auto"/>
        </w:rPr>
        <w:t xml:space="preserve"> and SMEs' Growth.</w:t>
      </w:r>
      <w:bookmarkStart w:id="10" w:name="_Toc161356739"/>
      <w:bookmarkStart w:id="11" w:name="_Toc171671235"/>
      <w:bookmarkEnd w:id="6"/>
    </w:p>
    <w:p w14:paraId="1E504357" w14:textId="77777777" w:rsidR="00750D67" w:rsidRPr="005150CD" w:rsidRDefault="00750D67" w:rsidP="00955CDE">
      <w:pPr>
        <w:spacing w:line="360" w:lineRule="auto"/>
        <w:jc w:val="both"/>
        <w:rPr>
          <w:rFonts w:cs="Times New Roman"/>
          <w:b/>
          <w:szCs w:val="24"/>
        </w:rPr>
      </w:pPr>
      <w:r w:rsidRPr="005150CD">
        <w:rPr>
          <w:rFonts w:cs="Times New Roman"/>
          <w:b/>
          <w:i/>
          <w:szCs w:val="24"/>
        </w:rPr>
        <w:t>Source: Author(s) 202</w:t>
      </w:r>
      <w:bookmarkEnd w:id="10"/>
      <w:bookmarkEnd w:id="11"/>
      <w:r w:rsidRPr="005150CD">
        <w:rPr>
          <w:rFonts w:cs="Times New Roman"/>
          <w:b/>
          <w:i/>
          <w:szCs w:val="24"/>
        </w:rPr>
        <w:t>4</w:t>
      </w:r>
    </w:p>
    <w:p w14:paraId="26B079B1" w14:textId="6ADF4D2E" w:rsidR="00750D67" w:rsidRPr="00750D67" w:rsidRDefault="00750D67" w:rsidP="00955CDE">
      <w:pPr>
        <w:spacing w:line="360" w:lineRule="auto"/>
        <w:jc w:val="both"/>
        <w:rPr>
          <w:rFonts w:cs="Times New Roman"/>
          <w:szCs w:val="24"/>
        </w:rPr>
      </w:pPr>
      <w:r>
        <w:rPr>
          <w:rFonts w:cs="Times New Roman"/>
          <w:szCs w:val="24"/>
        </w:rPr>
        <w:t>From the conceptual framework, the following relationships are established between the variables:</w:t>
      </w:r>
      <w:bookmarkEnd w:id="7"/>
      <w:bookmarkEnd w:id="8"/>
      <w:bookmarkEnd w:id="9"/>
    </w:p>
    <w:p w14:paraId="5510CCDB" w14:textId="77807DB2" w:rsidR="0015660C" w:rsidRPr="00750D67" w:rsidRDefault="004F1A07" w:rsidP="00955CDE">
      <w:pPr>
        <w:spacing w:line="360" w:lineRule="auto"/>
        <w:jc w:val="both"/>
        <w:rPr>
          <w:b/>
          <w:bCs/>
        </w:rPr>
      </w:pPr>
      <w:r w:rsidRPr="00750D67">
        <w:rPr>
          <w:b/>
          <w:bCs/>
        </w:rPr>
        <w:t>3.1</w:t>
      </w:r>
      <w:r w:rsidR="007E37EA">
        <w:rPr>
          <w:b/>
          <w:bCs/>
        </w:rPr>
        <w:t>.1</w:t>
      </w:r>
      <w:r w:rsidRPr="00750D67">
        <w:rPr>
          <w:b/>
          <w:bCs/>
        </w:rPr>
        <w:t xml:space="preserve"> Behavioural Biases and SME Growth</w:t>
      </w:r>
    </w:p>
    <w:p w14:paraId="2AEC372C" w14:textId="33B076FE" w:rsidR="0015660C" w:rsidRDefault="004F1A07" w:rsidP="00955CDE">
      <w:pPr>
        <w:spacing w:line="360" w:lineRule="auto"/>
        <w:jc w:val="both"/>
      </w:pPr>
      <w:r>
        <w:t xml:space="preserve">Entrepreneurial decision-making is inherently shaped by cognitive processes that influence how individuals perceive and respond to risk and uncertainty. Within the behavioural finance literature, it is well established that decision-makers rely on </w:t>
      </w:r>
      <w:r>
        <w:lastRenderedPageBreak/>
        <w:t>heuristics, which often result in systematic biases that affect economic outcomes. In the SME context, where decision-making authority is largely concentrated in the entrepreneur, these behavioural tendencies become critical determinants of firm performance. Studies have shown that overconfidence bias may encourage entrepreneurs to pursue growth opportunities by overestimating their capabilities and the likelihood of success, thereby promoting investment and expansion (</w:t>
      </w:r>
      <w:r w:rsidR="00D36FC6">
        <w:rPr>
          <w:rFonts w:cs="Times New Roman"/>
          <w:szCs w:val="24"/>
        </w:rPr>
        <w:fldChar w:fldCharType="begin"/>
      </w:r>
      <w:r w:rsidR="00D36FC6">
        <w:rPr>
          <w:rFonts w:cs="Times New Roman"/>
          <w:szCs w:val="24"/>
        </w:rPr>
        <w:instrText xml:space="preserve"> ADDIN ZOTERO_ITEM CSL_CITATION {"citationID":"a26m878j3jh","properties":{"formattedCitation":"\\uldash{(Yanti, 2024)}","plainCitation":"(Yanti, 2024)","dontUpdate":true,"noteIndex":0},"citationItems":[{"id":1061,"uris":["http://zotero.org/users/local/EF5FYntM/items/YSVIJ8T4"],"itemData":{"id":1061,"type":"article-journal","abstract":"This study aims to test and analyze the influence of financial behavior, overconfidence, and risk perception on financial literacy and investment decisions in the millennial generation in Jakarta. This study was conducted using quantitative methods, structural equation modeling (SEM), and assisted by the Smart PLS 4.0 program with a total of 100 respondents with an average age of 25-35 years. The structural model was evaluated using R-square for dependent constructs, Stone-Geisser Q-square test for Q2 predictive relevance, and significance test of structural path parameter coefficients. The results of this study can be an input in the development of investment behavior theory, especially investment decision-making, as well as the mediation role of financial literacy in these relationships, on individual millennial investors in the Jakarta area. The study found that financial behavior and overconfidence significantly impact the financial literacy of the Millennial Generation in Jakarta, while overconfidence did not. It is recommended that Millennial investors focus on improving their financial literacy, risk perception, and financial behavior to influence investment decisions, while avoiding overconfidence.","container-title":"International Journal of Social Service and Research","DOI":"10.46799/ijssr.v4i6.801","ISSN":"2807-8691, 2807-839X","issue":"6","journalAbbreviation":"IJSSR","language":"en","license":"https://creativecommons.org/licenses/by-sa/4.0","source":"DOI.org (Crossref)","title":"THE INFLUENCE OF FINANCIAL BEHAVIOR, OVERCONFIDENCE, AND RISK PERCEPTION ON INVESTMENT DECISIONS: THE ROLE OF FINANCIAL LITERACY MEDIATION (AN EMPIRICAL STUDY OF MILLENNIAL INVIDUAL INVESTORS IN JAKARTA)","title-short":"THE INFLUENCE OF FINANCIAL BEHAVIOR, OVERCONFIDENCE, AND RISK PERCEPTION ON INVESTMENT DECISIONS","URL":"https://ijssr.ridwaninstitute.co.id/index.php/ijssr/article/view/801","volume":"4","author":[{"family":"Yanti","given":"Feby"}],"accessed":{"date-parts":[["2024",7,15]]},"issued":{"date-parts":[["2024",6,27]]}}}],"schema":"https://github.com/citation-style-language/schema/raw/master/csl-citation.json"} </w:instrText>
      </w:r>
      <w:r w:rsidR="00D36FC6">
        <w:rPr>
          <w:rFonts w:cs="Times New Roman"/>
          <w:szCs w:val="24"/>
        </w:rPr>
        <w:fldChar w:fldCharType="separate"/>
      </w:r>
      <w:r w:rsidR="00D36FC6">
        <w:rPr>
          <w:rFonts w:cs="Times New Roman"/>
          <w:szCs w:val="24"/>
        </w:rPr>
        <w:t>Yanti, 2024</w:t>
      </w:r>
      <w:r w:rsidR="00D36FC6">
        <w:rPr>
          <w:rFonts w:cs="Times New Roman"/>
          <w:szCs w:val="24"/>
        </w:rPr>
        <w:fldChar w:fldCharType="end"/>
      </w:r>
      <w:r w:rsidR="00D36FC6">
        <w:rPr>
          <w:rFonts w:cs="Times New Roman"/>
          <w:szCs w:val="24"/>
        </w:rPr>
        <w:t xml:space="preserve">; </w:t>
      </w:r>
      <w:r>
        <w:t xml:space="preserve">Simon et al., 2000; Forbes, 2005). However, such tendencies may also expose firms to </w:t>
      </w:r>
      <w:r w:rsidR="007E37EA">
        <w:t>greater</w:t>
      </w:r>
      <w:r>
        <w:t xml:space="preserve"> risk when decisions are not adequately grounded in objective analysis.</w:t>
      </w:r>
    </w:p>
    <w:p w14:paraId="7126A516" w14:textId="6F3AB97D" w:rsidR="0015660C" w:rsidRDefault="004F1A07" w:rsidP="00955CDE">
      <w:pPr>
        <w:spacing w:line="360" w:lineRule="auto"/>
        <w:jc w:val="both"/>
      </w:pPr>
      <w:r>
        <w:t>Anchoring bias, which reflects the tendency to rely excessively on initial information, has been found to limit the ability of decision-makers to adapt to changing conditions, thereby constraining strategic flexibility (</w:t>
      </w:r>
      <w:r w:rsidR="00D36FC6">
        <w:rPr>
          <w:rFonts w:cs="Times New Roman"/>
          <w:szCs w:val="24"/>
        </w:rPr>
        <w:fldChar w:fldCharType="begin"/>
      </w:r>
      <w:r w:rsidR="00D36FC6">
        <w:rPr>
          <w:rFonts w:cs="Times New Roman"/>
          <w:szCs w:val="24"/>
        </w:rPr>
        <w:instrText xml:space="preserve"> ADDIN ZOTERO_ITEM CSL_CITATION {"citationID":"a2a1qskka9q","properties":{"formattedCitation":"\\uldash{(Iram et al., 2023)}","plainCitation":"(Iram et al., 2023)","dontUpdate":true,"noteIndex":0},"citationItems":[{"id":1050,"uris":["http://zotero.org/users/local/EF5FYntM/items/LDJRSAKV"],"itemData":{"id":1050,"type":"article-journal","abstract":"This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Making","volume":"25","author":[{"family":"Iram","given":"Tahira"},{"family":"Bilal","given":"Ahmad Raza"},{"family":"Ahmad","given":"Zeshan"}],"issued":{"date-parts":[["2023",2,8]]}}}],"schema":"https://github.com/citation-style-language/schema/raw/master/csl-citation.json"} </w:instrText>
      </w:r>
      <w:r w:rsidR="00D36FC6">
        <w:rPr>
          <w:rFonts w:cs="Times New Roman"/>
          <w:szCs w:val="24"/>
        </w:rPr>
        <w:fldChar w:fldCharType="separate"/>
      </w:r>
      <w:r w:rsidR="00D36FC6">
        <w:rPr>
          <w:rFonts w:cs="Times New Roman"/>
          <w:szCs w:val="24"/>
        </w:rPr>
        <w:t>Iram et al., 2023</w:t>
      </w:r>
      <w:r w:rsidR="00D36FC6">
        <w:rPr>
          <w:rFonts w:cs="Times New Roman"/>
          <w:szCs w:val="24"/>
        </w:rPr>
        <w:fldChar w:fldCharType="end"/>
      </w:r>
      <w:r w:rsidR="00D36FC6">
        <w:rPr>
          <w:rFonts w:cs="Times New Roman"/>
          <w:szCs w:val="24"/>
        </w:rPr>
        <w:t xml:space="preserve">; </w:t>
      </w:r>
      <w:r>
        <w:t>Tversky &amp; Kahneman, 1974;). Similarly, herding behaviour has been associated with imitation-driven decision-making, which may either facilitate learning or lead to inefficient outcomes depending on the reliability of the information being followed (Devenow &amp; Welch, 1996; Chiang &amp; Zheng, 2010). Empirical evidence across SME and entrepreneurial studies suggests that these behavioural biases significantly influence financial and strategic decisions, ultimately shaping firm growth trajectories.</w:t>
      </w:r>
    </w:p>
    <w:p w14:paraId="72983BEB" w14:textId="77777777" w:rsidR="0015660C" w:rsidRDefault="004F1A07" w:rsidP="00955CDE">
      <w:pPr>
        <w:spacing w:line="360" w:lineRule="auto"/>
        <w:jc w:val="both"/>
      </w:pPr>
      <w:r>
        <w:t>Given that behavioural biases affect how entrepreneurs evaluate opportunities and allocate resources, they are expected to play a significant role in determining SME growth outcomes.</w:t>
      </w:r>
    </w:p>
    <w:p w14:paraId="04313AD0" w14:textId="4241AC08" w:rsidR="0015660C" w:rsidRPr="005145AD" w:rsidRDefault="004F1A07" w:rsidP="00955CDE">
      <w:pPr>
        <w:spacing w:line="360" w:lineRule="auto"/>
        <w:jc w:val="both"/>
        <w:rPr>
          <w:b/>
          <w:bCs/>
        </w:rPr>
      </w:pPr>
      <w:r w:rsidRPr="005145AD">
        <w:rPr>
          <w:b/>
          <w:bCs/>
        </w:rPr>
        <w:t>H1: Behavioural biases have a significant effect on SME growth.</w:t>
      </w:r>
    </w:p>
    <w:p w14:paraId="071B51ED" w14:textId="25916F00" w:rsidR="0015660C" w:rsidRPr="005145AD" w:rsidRDefault="004F1A07" w:rsidP="00955CDE">
      <w:pPr>
        <w:spacing w:line="360" w:lineRule="auto"/>
        <w:jc w:val="both"/>
        <w:rPr>
          <w:b/>
          <w:bCs/>
        </w:rPr>
      </w:pPr>
      <w:r w:rsidRPr="005145AD">
        <w:rPr>
          <w:b/>
          <w:bCs/>
        </w:rPr>
        <w:t>3</w:t>
      </w:r>
      <w:r w:rsidR="00616203">
        <w:rPr>
          <w:b/>
          <w:bCs/>
        </w:rPr>
        <w:t>.1</w:t>
      </w:r>
      <w:r w:rsidRPr="005145AD">
        <w:rPr>
          <w:b/>
          <w:bCs/>
        </w:rPr>
        <w:t>.2 Behavioural Biases and Financial Literacy</w:t>
      </w:r>
    </w:p>
    <w:p w14:paraId="5041A1E5" w14:textId="38EA97E9" w:rsidR="0015660C" w:rsidRDefault="004F1A07" w:rsidP="00955CDE">
      <w:pPr>
        <w:spacing w:line="360" w:lineRule="auto"/>
        <w:jc w:val="both"/>
      </w:pPr>
      <w:r>
        <w:t xml:space="preserve">Behavioural biases not only </w:t>
      </w:r>
      <w:r w:rsidR="00616203">
        <w:t>affect</w:t>
      </w:r>
      <w:r>
        <w:t xml:space="preserve"> strategic decision-making but also affect the development and application of financial capability among entrepreneurs. Financial literacy, particularly in its multidimensional form, depends not only on access to knowledge but also on how individuals process information and engage with financial decisions. Entrepreneurs exhibiting overconfidence, for instance, are often more actively involved in financial activities, which may increase their exposure to financial information and enhance their financial competence over time (Gervais &amp; Odean, 2001; </w:t>
      </w:r>
      <w:r>
        <w:lastRenderedPageBreak/>
        <w:t>Van Rooij, Lusardi, &amp; Alessie, 2011). However, excessive confidence may also lead to the neglect of structured financial practices, thereby producing mixed outcomes.</w:t>
      </w:r>
    </w:p>
    <w:p w14:paraId="1397D9D4" w14:textId="4E346469" w:rsidR="0015660C" w:rsidRDefault="004F1A07" w:rsidP="00955CDE">
      <w:pPr>
        <w:spacing w:line="360" w:lineRule="auto"/>
        <w:jc w:val="both"/>
      </w:pPr>
      <w:r>
        <w:t xml:space="preserve">Anchoring bias may limit the acquisition of financial knowledge by restricting </w:t>
      </w:r>
      <w:r w:rsidR="00616203">
        <w:t xml:space="preserve">entrepreneurs' ability </w:t>
      </w:r>
      <w:r>
        <w:t xml:space="preserve">to update their understanding in response to new information. Likewise, herding behaviour may reduce independent financial learning, as individuals rely on the actions and decisions of others rather than developing their own financial expertise (Aren &amp; Zengin, 2016; </w:t>
      </w:r>
      <w:r>
        <w:rPr>
          <w:rFonts w:cs="Times New Roman"/>
          <w:szCs w:val="24"/>
        </w:rPr>
        <w:fldChar w:fldCharType="begin"/>
      </w:r>
      <w:r>
        <w:rPr>
          <w:rFonts w:cs="Times New Roman"/>
          <w:szCs w:val="24"/>
        </w:rPr>
        <w:instrText xml:space="preserve"> ADDIN ZOTERO_ITEM CSL_CITATION {"citationID":"WZbLKLSa","properties":{"formattedCitation":"(Rasool &amp; Ullah, 2020)","plainCitation":"(Rasool &amp; Ullah, 2020)","dontUpdate":true,"noteIndex":0},"citationItems":[{"id":"KnmqYhws/1YPKBVeo","uris":["http://zotero.org/users/local/QzLdffIR/items/G2ZFTT5G"],"itemData":{"id":138,"type":"article-journal","abstract":"Purpose – Financial literacy is a crucial element of ﬁnancial decision-making, exerting signiﬁcant inﬂuence on the behaviour of individual investors, while making budgetary, house ﬁnancing, stock investing and retirement planning decisions. So, the purpose of this research is to determine the relationship between ﬁnancial literacy and behavioural biases of individual investors in Pakistan.","container-title":"Journal of Economics, Finance and Administrative Science","DOI":"10.1108/JEFAS-03-2019-0031","ISSN":"2077-1886, 2077-1886","issue":"50","journalAbbreviation":"JEFAS","language":"en","page":"261-278","source":"DOI.org (Crossref)","title":"Financial literacy and behavioural biases of individual investors: empirical evidence of Pakistan stock exchange","title-short":"Financial literacy and behavioural biases of individual investors","volume":"25","author":[{"family":"Rasool","given":"Nosheen"},{"family":"Ullah","given":"Safi"}],"issued":{"date-parts":[["2020",5,2]]}}}],"schema":"https://github.com/citation-style-language/schema/raw/master/csl-citation.json"} </w:instrText>
      </w:r>
      <w:r>
        <w:rPr>
          <w:rFonts w:cs="Times New Roman"/>
          <w:szCs w:val="24"/>
        </w:rPr>
        <w:fldChar w:fldCharType="separate"/>
      </w:r>
      <w:r>
        <w:rPr>
          <w:rFonts w:cs="Times New Roman"/>
          <w:noProof/>
          <w:szCs w:val="24"/>
        </w:rPr>
        <w:t xml:space="preserve">Rasool </w:t>
      </w:r>
      <w:r w:rsidR="00905382">
        <w:rPr>
          <w:rFonts w:cs="Times New Roman"/>
          <w:noProof/>
          <w:szCs w:val="24"/>
        </w:rPr>
        <w:t xml:space="preserve">&amp; </w:t>
      </w:r>
      <w:r>
        <w:rPr>
          <w:rFonts w:cs="Times New Roman"/>
          <w:noProof/>
          <w:szCs w:val="24"/>
        </w:rPr>
        <w:t>Ullah, 2020)</w:t>
      </w:r>
      <w:r>
        <w:rPr>
          <w:rFonts w:cs="Times New Roman"/>
          <w:szCs w:val="24"/>
        </w:rPr>
        <w:fldChar w:fldCharType="end"/>
      </w:r>
      <w:r>
        <w:t>. Empirical findings suggest that cognitive biases influence both the acquisition and application of financial knowledge, thereby shaping the overall level of financial literacy among SME owners.</w:t>
      </w:r>
    </w:p>
    <w:p w14:paraId="438C5D4D" w14:textId="48DA6223" w:rsidR="0015660C" w:rsidRDefault="004F1A07" w:rsidP="00955CDE">
      <w:pPr>
        <w:spacing w:line="360" w:lineRule="auto"/>
        <w:jc w:val="both"/>
      </w:pPr>
      <w:r>
        <w:t xml:space="preserve">In this context, behavioural biases are expected to significantly </w:t>
      </w:r>
      <w:r w:rsidR="005145AD">
        <w:t>affect</w:t>
      </w:r>
      <w:r>
        <w:t xml:space="preserve"> financial literacy.</w:t>
      </w:r>
    </w:p>
    <w:p w14:paraId="20F7EDEC" w14:textId="02FEAA15" w:rsidR="0015660C" w:rsidRPr="005145AD" w:rsidRDefault="004F1A07" w:rsidP="00955CDE">
      <w:pPr>
        <w:spacing w:line="360" w:lineRule="auto"/>
        <w:jc w:val="both"/>
        <w:rPr>
          <w:b/>
          <w:bCs/>
        </w:rPr>
      </w:pPr>
      <w:r w:rsidRPr="005145AD">
        <w:rPr>
          <w:b/>
          <w:bCs/>
        </w:rPr>
        <w:t>H2: Behavioural biases have a significant effect on financial literacy.</w:t>
      </w:r>
    </w:p>
    <w:p w14:paraId="6C6C4AAE" w14:textId="1EF7D5CE" w:rsidR="0015660C" w:rsidRPr="00D36FC6" w:rsidRDefault="004F1A07" w:rsidP="00955CDE">
      <w:pPr>
        <w:spacing w:line="360" w:lineRule="auto"/>
        <w:jc w:val="both"/>
        <w:rPr>
          <w:b/>
          <w:bCs/>
        </w:rPr>
      </w:pPr>
      <w:r w:rsidRPr="00D36FC6">
        <w:rPr>
          <w:b/>
          <w:bCs/>
        </w:rPr>
        <w:t>3.</w:t>
      </w:r>
      <w:r w:rsidR="00616203">
        <w:rPr>
          <w:b/>
          <w:bCs/>
        </w:rPr>
        <w:t>1.</w:t>
      </w:r>
      <w:r w:rsidRPr="00D36FC6">
        <w:rPr>
          <w:b/>
          <w:bCs/>
        </w:rPr>
        <w:t>3 Financial Literacy and SME Growth</w:t>
      </w:r>
    </w:p>
    <w:p w14:paraId="0A1A0B43" w14:textId="5C42A438" w:rsidR="0015660C" w:rsidRDefault="004F1A07" w:rsidP="00955CDE">
      <w:pPr>
        <w:spacing w:line="360" w:lineRule="auto"/>
        <w:jc w:val="both"/>
      </w:pPr>
      <w:r>
        <w:t>Financial literacy has been widely identified as a key determinant of firm performance, particularly in SMEs where financial management practices are closely tied to the capabilities of the entrepreneur. Financial knowledge enables business owners to understand financial concepts, assess investment opportunities, and make informed decisions, while financial behaviour reflects the extent to which such knowledge is translated into effective financial practices (Huston, 2010; Lusardi &amp; Mitchell, 2014). The interaction between these dimensions determines the overall effectiveness of financial decision-making within the firm.</w:t>
      </w:r>
    </w:p>
    <w:p w14:paraId="30E605E6" w14:textId="03A2D256" w:rsidR="0015660C" w:rsidRDefault="004F1A07" w:rsidP="00955CDE">
      <w:pPr>
        <w:spacing w:line="360" w:lineRule="auto"/>
        <w:jc w:val="both"/>
      </w:pPr>
      <w:r>
        <w:t xml:space="preserve">Empirical studies have consistently demonstrated that higher levels of financial literacy are associated with improved business performance, as financially literate entrepreneurs are better equipped to manage resources, control costs, and plan for growth (Eniola &amp; Entebang, 2015; Wise, 2013; Bruhn &amp; Zia, 2013). In addition, financial behaviour has been shown to play a particularly important role in influencing firm outcomes, as it directly affects operational efficiency and financial discipline (Hilgert et al., 2003; Xiao, 2016). In developing economies, where SMEs often operate under financial constraints, </w:t>
      </w:r>
      <w:r>
        <w:lastRenderedPageBreak/>
        <w:t>the role of financial literacy becomes even more critical in supporting business sustainability and expansion.</w:t>
      </w:r>
    </w:p>
    <w:p w14:paraId="037D1FC6" w14:textId="77777777" w:rsidR="0015660C" w:rsidRDefault="004F1A07" w:rsidP="00955CDE">
      <w:pPr>
        <w:spacing w:line="360" w:lineRule="auto"/>
        <w:jc w:val="both"/>
      </w:pPr>
      <w:r>
        <w:t>Based on this evidence, financial literacy is expected to have a significant impact on SME growth.</w:t>
      </w:r>
    </w:p>
    <w:p w14:paraId="0433A501" w14:textId="6D747EF4" w:rsidR="0015660C" w:rsidRPr="00D36FC6" w:rsidRDefault="004F1A07" w:rsidP="00955CDE">
      <w:pPr>
        <w:spacing w:line="360" w:lineRule="auto"/>
        <w:jc w:val="both"/>
        <w:rPr>
          <w:b/>
          <w:bCs/>
        </w:rPr>
      </w:pPr>
      <w:r w:rsidRPr="00D36FC6">
        <w:rPr>
          <w:b/>
          <w:bCs/>
        </w:rPr>
        <w:t>H3: Financial literacy has a significant effect on SME growth.</w:t>
      </w:r>
    </w:p>
    <w:p w14:paraId="6A6E351E" w14:textId="4F44EA65" w:rsidR="0015660C" w:rsidRPr="00D36FC6" w:rsidRDefault="004F1A07" w:rsidP="00955CDE">
      <w:pPr>
        <w:spacing w:line="360" w:lineRule="auto"/>
        <w:jc w:val="both"/>
        <w:rPr>
          <w:b/>
          <w:bCs/>
        </w:rPr>
      </w:pPr>
      <w:r w:rsidRPr="00D36FC6">
        <w:rPr>
          <w:b/>
          <w:bCs/>
        </w:rPr>
        <w:t>3.</w:t>
      </w:r>
      <w:r w:rsidR="00616203">
        <w:rPr>
          <w:b/>
          <w:bCs/>
        </w:rPr>
        <w:t>1.</w:t>
      </w:r>
      <w:r w:rsidRPr="00D36FC6">
        <w:rPr>
          <w:b/>
          <w:bCs/>
        </w:rPr>
        <w:t>4 Mediating Role of Financial Literacy</w:t>
      </w:r>
    </w:p>
    <w:p w14:paraId="00D7A3AA" w14:textId="79105E76" w:rsidR="0015660C" w:rsidRDefault="004F1A07" w:rsidP="00955CDE">
      <w:pPr>
        <w:spacing w:line="360" w:lineRule="auto"/>
        <w:jc w:val="both"/>
      </w:pPr>
      <w:r>
        <w:t>The relationship between behavioural biases and SME growth is unlikely to be purely direct, as decision-making processes alone do not guarantee effective implementation. Rather, the impact of behavioural biases on firm performance is expected to operate through financial capability, particularly financial literacy. Behavioural biases influence how entrepreneurs perceive and evaluate financial decisions, while financial literacy determines how these decisions are translated into practical actions within the firm.</w:t>
      </w:r>
    </w:p>
    <w:p w14:paraId="1EA0E871" w14:textId="0404D9CB" w:rsidR="0015660C" w:rsidRDefault="004F1A07" w:rsidP="00955CDE">
      <w:pPr>
        <w:spacing w:line="360" w:lineRule="auto"/>
        <w:jc w:val="both"/>
      </w:pPr>
      <w:r>
        <w:t>From a theoretical perspective, this relationship can be explained by integrating behavioural finance with the Resource-Based View. Behavioural finance explains how cognitive biases shape decision-making processes (Kahneman &amp; Tversky, 1979), while the Resource-Based View emphasises the role of internal capabilities in driving firm performance (Barney, 1991). Financial literacy, as an internal capability, enables firms to effectively implement financial decisions, thereby linking cognition to performance outcomes.</w:t>
      </w:r>
    </w:p>
    <w:p w14:paraId="4F63171B" w14:textId="29F6AE8A" w:rsidR="0015660C" w:rsidRDefault="004F1A07" w:rsidP="00955CDE">
      <w:pPr>
        <w:spacing w:line="360" w:lineRule="auto"/>
        <w:jc w:val="both"/>
      </w:pPr>
      <w:r>
        <w:t>Empirical studies provide further support for this mediating relationship. Research has shown that financial literacy serves as a mechanism through which individual characteristics and behavioural tendencies influence financial outcomes and business performance (</w:t>
      </w:r>
      <w:r w:rsidR="00D36FC6">
        <w:rPr>
          <w:rFonts w:cs="Times New Roman"/>
          <w:szCs w:val="24"/>
        </w:rPr>
        <w:fldChar w:fldCharType="begin"/>
      </w:r>
      <w:r w:rsidR="00D36FC6">
        <w:rPr>
          <w:rFonts w:cs="Times New Roman"/>
          <w:szCs w:val="24"/>
        </w:rPr>
        <w:instrText xml:space="preserve"> ADDIN ZOTERO_ITEM CSL_CITATION {"citationID":"a7kabrqdmb","properties":{"formattedCitation":"\\uldash{(Hidayati et al., 2021)}","plainCitation":"(Hidayati et al., 2021)","dontUpdate":true,"noteIndex":0},"citationItems":[{"id":371,"uris":["http://zotero.org/users/local/EF5FYntM/items/XWAEBKP8"],"itemData":{"id":371,"type":"article-journal","abstract":"This study aims to analyze the effect of Financial Attitude and Financial Knowledge on Company Performance with Financial Decision as an Intervening Variable on Small Medium Enterprises Owners in Lombok Island. This research's theoretical contribution is expected to contribute to the knowledge and development of behavioral finance theory related to Financial Decision-making and Company Performance in Small Medium Enterprises. Besides, it is also hoped that behavioral finance will become a subject in the financial management course. Furthermore, this research's practical contribution is expected to provide input, suggestions, and recommendations to the NTB Provincial Government's policymakers in making policies related to SMEs development.","container-title":"JMM UNRAM - MASTER OF MANAGEMENT JOURNAL","DOI":"10.29303/jmm.v10i1.635","ISSN":"2548-3919, 2621-7902","issue":"1","journalAbbreviation":"JMM UNRAM","language":"en","page":"1-14","source":"DOI.org (Crossref)","title":"THE EFFECT OF FINANCIAL ATTITUDE AND FINANCIAL KNOWLEDGE ON COMPANY PERFORMANCE WITH FINANCIAL DECISIONS AS INTERVENING VARIABLES: A BEHAVIORAL FINANCE PERSPECTIVE","title-short":"THE EFFECT OF FINANCIAL ATTITUDE AND FINANCIAL KNOWLEDGE ON COMPANY PERFORMANCE WITH FINANCIAL DECISIONS AS INTERVENING VARIABLES","volume":"10","author":[{"family":"Hidayati","given":"Siti Aisyah"},{"family":"Wahyulina","given":"Sri"},{"family":"Suryani","given":"Embun"}],"issued":{"date-parts":[["2021",3,19]]}}}],"schema":"https://github.com/citation-style-language/schema/raw/master/csl-citation.json"} </w:instrText>
      </w:r>
      <w:r w:rsidR="00D36FC6">
        <w:rPr>
          <w:rFonts w:cs="Times New Roman"/>
          <w:szCs w:val="24"/>
        </w:rPr>
        <w:fldChar w:fldCharType="separate"/>
      </w:r>
      <w:r w:rsidR="00D36FC6">
        <w:rPr>
          <w:rFonts w:cs="Times New Roman"/>
          <w:szCs w:val="24"/>
        </w:rPr>
        <w:t>Hidayati et al., 2021</w:t>
      </w:r>
      <w:r w:rsidR="00D36FC6">
        <w:rPr>
          <w:rFonts w:cs="Times New Roman"/>
          <w:szCs w:val="24"/>
        </w:rPr>
        <w:fldChar w:fldCharType="end"/>
      </w:r>
      <w:r>
        <w:t>; Klapper, Lusardi, &amp; Van Oudheusden, 2015). In addition, studies on entrepreneurial finance suggest that the effectiveness of decision-making depends not only on cognitive orientation but also on the level of financial capability within the firm (</w:t>
      </w:r>
      <w:r>
        <w:rPr>
          <w:rFonts w:cs="Times New Roman"/>
          <w:szCs w:val="24"/>
        </w:rPr>
        <w:t xml:space="preserve">Antony, 2022; </w:t>
      </w:r>
      <w:r w:rsidR="00D36FC6">
        <w:rPr>
          <w:rFonts w:cs="Times New Roman"/>
          <w:szCs w:val="24"/>
        </w:rPr>
        <w:fldChar w:fldCharType="begin"/>
      </w:r>
      <w:r w:rsidR="00D36FC6">
        <w:rPr>
          <w:rFonts w:cs="Times New Roman"/>
          <w:szCs w:val="24"/>
        </w:rPr>
        <w:instrText xml:space="preserve"> ADDIN ZOTERO_ITEM CSL_CITATION {"citationID":"amn2bljchu","properties":{"formattedCitation":"(Khan, 2020)","plainCitation":"(Khan, 2020)","dontUpdate":true,"noteIndex":0},"citationItems":[{"id":647,"uris":["http://zotero.org/users/local/EF5FYntM/items/BWPAS62N"],"itemData":{"id":647,"type":"article-journal","abstract":"Purpose - The purpose of this study is to examine the impact of cognitive Biases on investment decisions in Pakistani market while the financial literacy plays moderating role. A study model has been developed to describe the impact of cognitive biases i.e. herding bias, Disposition effect and mental accountability on investment decisions while the financial literacy is playing a moderating role in this study.","container-title":"SSRN Electronic Journal","DOI":"10.2139/ssrn.3514086","ISSN":"1556-5068","journalAbbreviation":"SSRN Journal","language":"en","source":"DOI.org (Crossref)","title":"Cognitive Driven Biases, Investment Decision Making: The Moderating Role of Financial Literacy","title-short":"Cognitive Driven Biases, Investment Decision Making","URL":"https://www.ssrn.com/abstract=3514086","author":[{"family":"Khan","given":"Dahiman"}],"accessed":{"date-parts":[["2024",3,9]]},"issued":{"date-parts":[["2020"]]}}}],"schema":"https://github.com/citation-style-language/schema/raw/master/csl-citation.json"} </w:instrText>
      </w:r>
      <w:r w:rsidR="00D36FC6">
        <w:rPr>
          <w:rFonts w:cs="Times New Roman"/>
          <w:szCs w:val="24"/>
        </w:rPr>
        <w:fldChar w:fldCharType="separate"/>
      </w:r>
      <w:r w:rsidR="00D36FC6">
        <w:rPr>
          <w:rFonts w:cs="Times New Roman"/>
          <w:szCs w:val="24"/>
        </w:rPr>
        <w:t>Khan, 2020</w:t>
      </w:r>
      <w:r w:rsidR="00D36FC6">
        <w:rPr>
          <w:rFonts w:cs="Times New Roman"/>
          <w:szCs w:val="24"/>
        </w:rPr>
        <w:fldChar w:fldCharType="end"/>
      </w:r>
      <w:r w:rsidR="00D36FC6">
        <w:rPr>
          <w:rFonts w:cs="Times New Roman"/>
          <w:szCs w:val="24"/>
        </w:rPr>
        <w:t>;</w:t>
      </w:r>
      <w:r>
        <w:rPr>
          <w:rFonts w:cs="Times New Roman"/>
          <w:szCs w:val="24"/>
        </w:rPr>
        <w:t xml:space="preserve"> </w:t>
      </w:r>
      <w:r>
        <w:t>Fatoki, 2014;).</w:t>
      </w:r>
    </w:p>
    <w:p w14:paraId="277A38DB" w14:textId="77777777" w:rsidR="0015660C" w:rsidRDefault="004F1A07" w:rsidP="00955CDE">
      <w:pPr>
        <w:spacing w:line="360" w:lineRule="auto"/>
        <w:jc w:val="both"/>
      </w:pPr>
      <w:r>
        <w:t xml:space="preserve">These findings suggest that behavioural biases influence SME growth both directly and indirectly through financial literacy. The mediating role of financial literacy implies that </w:t>
      </w:r>
      <w:r>
        <w:lastRenderedPageBreak/>
        <w:t>the effect of behavioural biases on firm performance depends on the entrepreneur’s ability to translate cognitive tendencies into effective financial practices.</w:t>
      </w:r>
    </w:p>
    <w:p w14:paraId="18D0F3B1" w14:textId="6A94C1FA" w:rsidR="007F64A9" w:rsidRDefault="004F1A07" w:rsidP="00955CDE">
      <w:pPr>
        <w:spacing w:line="360" w:lineRule="auto"/>
        <w:jc w:val="both"/>
        <w:rPr>
          <w:b/>
          <w:bCs/>
        </w:rPr>
      </w:pPr>
      <w:r w:rsidRPr="00D36FC6">
        <w:rPr>
          <w:b/>
          <w:bCs/>
        </w:rPr>
        <w:t>H</w:t>
      </w:r>
      <w:r w:rsidR="00755185">
        <w:rPr>
          <w:b/>
          <w:bCs/>
        </w:rPr>
        <w:t>4</w:t>
      </w:r>
      <w:r w:rsidRPr="00D36FC6">
        <w:rPr>
          <w:b/>
          <w:bCs/>
        </w:rPr>
        <w:t>: Financial literacy mediates the relationship between behavioural biases and SME growth.</w:t>
      </w:r>
    </w:p>
    <w:p w14:paraId="42ECF71F" w14:textId="40946AC6" w:rsidR="0015660C" w:rsidRPr="00D310E9" w:rsidRDefault="004F1A07" w:rsidP="00955CDE">
      <w:pPr>
        <w:spacing w:line="360" w:lineRule="auto"/>
        <w:jc w:val="both"/>
        <w:rPr>
          <w:b/>
          <w:bCs/>
        </w:rPr>
      </w:pPr>
      <w:r w:rsidRPr="00D310E9">
        <w:rPr>
          <w:b/>
          <w:bCs/>
        </w:rPr>
        <w:t>4. Methodology</w:t>
      </w:r>
    </w:p>
    <w:p w14:paraId="48B5E85F" w14:textId="47EF2D4A" w:rsidR="0015660C" w:rsidRPr="00994C7C" w:rsidRDefault="004F1A07" w:rsidP="00955CDE">
      <w:pPr>
        <w:spacing w:line="360" w:lineRule="auto"/>
        <w:jc w:val="both"/>
        <w:rPr>
          <w:b/>
          <w:bCs/>
        </w:rPr>
      </w:pPr>
      <w:r w:rsidRPr="00994C7C">
        <w:rPr>
          <w:b/>
          <w:bCs/>
        </w:rPr>
        <w:t>4.1 Research Design and Data Collection</w:t>
      </w:r>
    </w:p>
    <w:p w14:paraId="612FE26D" w14:textId="6FA1DB83" w:rsidR="000A5948" w:rsidRDefault="004F1A07" w:rsidP="000A5948">
      <w:pPr>
        <w:spacing w:line="360" w:lineRule="auto"/>
        <w:jc w:val="both"/>
      </w:pPr>
      <w:r>
        <w:t xml:space="preserve">This study adopts a quantitative research design </w:t>
      </w:r>
      <w:r w:rsidR="006D2F9B">
        <w:t>using a cross-sectional survey to examine the relationships among</w:t>
      </w:r>
      <w:r>
        <w:t xml:space="preserve"> behavioural biases, financial literacy, and SME growth. The target respondents </w:t>
      </w:r>
      <w:r w:rsidR="006D2F9B">
        <w:t xml:space="preserve">were SME owners and managers </w:t>
      </w:r>
      <w:r>
        <w:t xml:space="preserve">directly involved in financial and strategic decision-making within their firms. A structured questionnaire was administered to capture information on behavioural biases, financial literacy, and </w:t>
      </w:r>
      <w:r w:rsidR="00D310E9">
        <w:t>SME growth</w:t>
      </w:r>
      <w:r>
        <w:t xml:space="preserve">. A total of 304 valid responses were obtained and used for </w:t>
      </w:r>
      <w:r w:rsidR="006D2F9B">
        <w:t>analysis, providing an adequate sample size for both regression and structural equation modelling</w:t>
      </w:r>
      <w:bookmarkStart w:id="12" w:name="_Toc174112011"/>
    </w:p>
    <w:p w14:paraId="123227B2" w14:textId="292997CE" w:rsidR="000A5948" w:rsidRPr="00755185" w:rsidRDefault="00755185" w:rsidP="000A5948">
      <w:pPr>
        <w:pStyle w:val="fig"/>
        <w:rPr>
          <w:color w:val="auto"/>
        </w:rPr>
      </w:pPr>
      <w:r w:rsidRPr="00755185">
        <w:rPr>
          <w:color w:val="auto"/>
        </w:rPr>
        <w:t xml:space="preserve">Table </w:t>
      </w:r>
      <w:r>
        <w:rPr>
          <w:color w:val="auto"/>
        </w:rPr>
        <w:t>1</w:t>
      </w:r>
      <w:r w:rsidRPr="00755185">
        <w:rPr>
          <w:color w:val="auto"/>
        </w:rPr>
        <w:t xml:space="preserve">: </w:t>
      </w:r>
      <w:r w:rsidR="00993599" w:rsidRPr="00755185">
        <w:rPr>
          <w:color w:val="auto"/>
        </w:rPr>
        <w:t>Measurability</w:t>
      </w:r>
      <w:r w:rsidRPr="00755185">
        <w:rPr>
          <w:color w:val="auto"/>
        </w:rPr>
        <w:t xml:space="preserve"> of Variables</w:t>
      </w:r>
      <w:bookmarkEnd w:id="12"/>
    </w:p>
    <w:tbl>
      <w:tblPr>
        <w:tblW w:w="5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883"/>
        <w:gridCol w:w="1525"/>
        <w:gridCol w:w="2343"/>
        <w:gridCol w:w="1982"/>
        <w:gridCol w:w="1264"/>
      </w:tblGrid>
      <w:tr w:rsidR="000A5948" w:rsidRPr="000A5948" w14:paraId="2D97ACC1" w14:textId="77777777" w:rsidTr="000A5948">
        <w:trPr>
          <w:jc w:val="center"/>
        </w:trPr>
        <w:tc>
          <w:tcPr>
            <w:tcW w:w="623" w:type="pct"/>
          </w:tcPr>
          <w:p w14:paraId="104DFE3B"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Construct</w:t>
            </w:r>
          </w:p>
        </w:tc>
        <w:tc>
          <w:tcPr>
            <w:tcW w:w="916" w:type="pct"/>
          </w:tcPr>
          <w:p w14:paraId="1B1EDC27"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Definition</w:t>
            </w:r>
          </w:p>
        </w:tc>
        <w:tc>
          <w:tcPr>
            <w:tcW w:w="742" w:type="pct"/>
          </w:tcPr>
          <w:p w14:paraId="09F078EC"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Sub Constructs</w:t>
            </w:r>
          </w:p>
        </w:tc>
        <w:tc>
          <w:tcPr>
            <w:tcW w:w="1140" w:type="pct"/>
          </w:tcPr>
          <w:p w14:paraId="695BA46A"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 xml:space="preserve">Definition </w:t>
            </w:r>
          </w:p>
        </w:tc>
        <w:tc>
          <w:tcPr>
            <w:tcW w:w="964" w:type="pct"/>
          </w:tcPr>
          <w:p w14:paraId="7BBF5690"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Measures</w:t>
            </w:r>
          </w:p>
        </w:tc>
        <w:tc>
          <w:tcPr>
            <w:tcW w:w="615" w:type="pct"/>
          </w:tcPr>
          <w:p w14:paraId="7668CD44" w14:textId="77777777" w:rsidR="00755185" w:rsidRPr="000A5948" w:rsidRDefault="00755185" w:rsidP="000A5948">
            <w:pPr>
              <w:spacing w:after="0" w:line="240" w:lineRule="auto"/>
              <w:rPr>
                <w:rFonts w:cs="Times New Roman"/>
                <w:b/>
                <w:bCs/>
                <w:sz w:val="20"/>
                <w:szCs w:val="20"/>
              </w:rPr>
            </w:pPr>
            <w:r w:rsidRPr="000A5948">
              <w:rPr>
                <w:rFonts w:cs="Times New Roman"/>
                <w:b/>
                <w:bCs/>
                <w:sz w:val="20"/>
                <w:szCs w:val="20"/>
              </w:rPr>
              <w:t>Authors and year</w:t>
            </w:r>
          </w:p>
        </w:tc>
      </w:tr>
      <w:tr w:rsidR="000A5948" w:rsidRPr="000A5948" w14:paraId="221F9C81" w14:textId="77777777" w:rsidTr="000A5948">
        <w:trPr>
          <w:trHeight w:val="1079"/>
          <w:jc w:val="center"/>
        </w:trPr>
        <w:tc>
          <w:tcPr>
            <w:tcW w:w="623" w:type="pct"/>
          </w:tcPr>
          <w:p w14:paraId="2ECB361D" w14:textId="36FB2244" w:rsidR="00755185" w:rsidRPr="000A5948" w:rsidRDefault="008F70F0" w:rsidP="000A5948">
            <w:pPr>
              <w:spacing w:after="0" w:line="240" w:lineRule="auto"/>
              <w:rPr>
                <w:rFonts w:cs="Times New Roman"/>
                <w:sz w:val="20"/>
                <w:szCs w:val="20"/>
              </w:rPr>
            </w:pPr>
            <w:r w:rsidRPr="000A5948">
              <w:rPr>
                <w:rFonts w:cs="Times New Roman"/>
                <w:sz w:val="20"/>
                <w:szCs w:val="20"/>
              </w:rPr>
              <w:t>Behavioural Biases</w:t>
            </w:r>
            <w:r w:rsidR="00755185" w:rsidRPr="000A5948">
              <w:rPr>
                <w:rFonts w:cs="Times New Roman"/>
                <w:sz w:val="20"/>
                <w:szCs w:val="20"/>
              </w:rPr>
              <w:t xml:space="preserve"> (</w:t>
            </w:r>
            <w:r w:rsidRPr="000A5948">
              <w:rPr>
                <w:rFonts w:cs="Times New Roman"/>
                <w:sz w:val="20"/>
                <w:szCs w:val="20"/>
              </w:rPr>
              <w:t>BB</w:t>
            </w:r>
            <w:r w:rsidR="00755185" w:rsidRPr="000A5948">
              <w:rPr>
                <w:rFonts w:cs="Times New Roman"/>
                <w:sz w:val="20"/>
                <w:szCs w:val="20"/>
              </w:rPr>
              <w:t xml:space="preserve">) </w:t>
            </w:r>
          </w:p>
          <w:p w14:paraId="44E7D3BF" w14:textId="77777777" w:rsidR="00755185" w:rsidRPr="000A5948" w:rsidRDefault="00755185" w:rsidP="000A5948">
            <w:pPr>
              <w:spacing w:after="0" w:line="240" w:lineRule="auto"/>
              <w:rPr>
                <w:rFonts w:cs="Times New Roman"/>
                <w:sz w:val="20"/>
                <w:szCs w:val="20"/>
              </w:rPr>
            </w:pPr>
          </w:p>
        </w:tc>
        <w:tc>
          <w:tcPr>
            <w:tcW w:w="916" w:type="pct"/>
          </w:tcPr>
          <w:p w14:paraId="0CB31EBB"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The subjective judgement about the potential hazards or risks involved in business decisions</w:t>
            </w:r>
          </w:p>
        </w:tc>
        <w:tc>
          <w:tcPr>
            <w:tcW w:w="742" w:type="pct"/>
          </w:tcPr>
          <w:p w14:paraId="4EAEA554"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Overconfidence</w:t>
            </w:r>
          </w:p>
          <w:p w14:paraId="1D09669A" w14:textId="77777777" w:rsidR="00755185" w:rsidRPr="000A5948" w:rsidRDefault="00755185" w:rsidP="000A5948">
            <w:pPr>
              <w:spacing w:after="0" w:line="240" w:lineRule="auto"/>
              <w:ind w:left="360"/>
              <w:rPr>
                <w:rFonts w:cs="Times New Roman"/>
                <w:sz w:val="20"/>
                <w:szCs w:val="20"/>
              </w:rPr>
            </w:pPr>
          </w:p>
        </w:tc>
        <w:tc>
          <w:tcPr>
            <w:tcW w:w="1140" w:type="pct"/>
          </w:tcPr>
          <w:p w14:paraId="0CB1E8AE"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Strong Belief in understanding risks in market expansion</w:t>
            </w:r>
          </w:p>
        </w:tc>
        <w:tc>
          <w:tcPr>
            <w:tcW w:w="964" w:type="pct"/>
          </w:tcPr>
          <w:p w14:paraId="203820AC"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Self-rating,</w:t>
            </w:r>
          </w:p>
          <w:p w14:paraId="244A2893"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Accuracy in prediction </w:t>
            </w:r>
          </w:p>
        </w:tc>
        <w:tc>
          <w:tcPr>
            <w:tcW w:w="615" w:type="pct"/>
            <w:vMerge w:val="restart"/>
          </w:tcPr>
          <w:p w14:paraId="4C034AD2"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Lin 2011, </w:t>
            </w:r>
          </w:p>
          <w:p w14:paraId="355A35B4"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Khan 2016,</w:t>
            </w:r>
          </w:p>
          <w:p w14:paraId="60CB04F1"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Barno 2021 and</w:t>
            </w:r>
          </w:p>
          <w:p w14:paraId="6789877C"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Ahmed et at 2022</w:t>
            </w:r>
          </w:p>
        </w:tc>
      </w:tr>
      <w:tr w:rsidR="000A5948" w:rsidRPr="000A5948" w14:paraId="473FAAC8" w14:textId="77777777" w:rsidTr="000A5948">
        <w:trPr>
          <w:jc w:val="center"/>
        </w:trPr>
        <w:tc>
          <w:tcPr>
            <w:tcW w:w="623" w:type="pct"/>
          </w:tcPr>
          <w:p w14:paraId="31C3CF64" w14:textId="77777777" w:rsidR="00755185" w:rsidRPr="000A5948" w:rsidRDefault="00755185" w:rsidP="000A5948">
            <w:pPr>
              <w:spacing w:after="0" w:line="240" w:lineRule="auto"/>
              <w:rPr>
                <w:rFonts w:cs="Times New Roman"/>
                <w:sz w:val="20"/>
                <w:szCs w:val="20"/>
              </w:rPr>
            </w:pPr>
          </w:p>
        </w:tc>
        <w:tc>
          <w:tcPr>
            <w:tcW w:w="916" w:type="pct"/>
          </w:tcPr>
          <w:p w14:paraId="3FF7F097" w14:textId="77777777" w:rsidR="00755185" w:rsidRPr="000A5948" w:rsidRDefault="00755185" w:rsidP="000A5948">
            <w:pPr>
              <w:spacing w:after="0" w:line="240" w:lineRule="auto"/>
              <w:rPr>
                <w:rFonts w:cs="Times New Roman"/>
                <w:sz w:val="20"/>
                <w:szCs w:val="20"/>
              </w:rPr>
            </w:pPr>
          </w:p>
        </w:tc>
        <w:tc>
          <w:tcPr>
            <w:tcW w:w="742" w:type="pct"/>
          </w:tcPr>
          <w:p w14:paraId="25D5B2B7"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Herding</w:t>
            </w:r>
          </w:p>
          <w:p w14:paraId="1235D280" w14:textId="77777777" w:rsidR="00755185" w:rsidRPr="000A5948" w:rsidRDefault="00755185" w:rsidP="000A5948">
            <w:pPr>
              <w:spacing w:after="0" w:line="240" w:lineRule="auto"/>
              <w:ind w:left="720"/>
              <w:rPr>
                <w:rFonts w:cs="Times New Roman"/>
                <w:sz w:val="20"/>
                <w:szCs w:val="20"/>
              </w:rPr>
            </w:pPr>
          </w:p>
        </w:tc>
        <w:tc>
          <w:tcPr>
            <w:tcW w:w="1140" w:type="pct"/>
          </w:tcPr>
          <w:p w14:paraId="35D93EEF"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Tendency to follow others in investment decisions         </w:t>
            </w:r>
          </w:p>
        </w:tc>
        <w:tc>
          <w:tcPr>
            <w:tcW w:w="964" w:type="pct"/>
          </w:tcPr>
          <w:p w14:paraId="6A5026C5"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Following trends, peer influence, market sentiments</w:t>
            </w:r>
          </w:p>
        </w:tc>
        <w:tc>
          <w:tcPr>
            <w:tcW w:w="615" w:type="pct"/>
            <w:vMerge/>
          </w:tcPr>
          <w:p w14:paraId="1FEC4C81" w14:textId="77777777" w:rsidR="00755185" w:rsidRPr="000A5948" w:rsidRDefault="00755185" w:rsidP="000A5948">
            <w:pPr>
              <w:spacing w:after="0" w:line="240" w:lineRule="auto"/>
              <w:rPr>
                <w:rFonts w:cs="Times New Roman"/>
                <w:bCs/>
                <w:sz w:val="20"/>
                <w:szCs w:val="20"/>
              </w:rPr>
            </w:pPr>
          </w:p>
        </w:tc>
      </w:tr>
      <w:tr w:rsidR="000A5948" w:rsidRPr="000A5948" w14:paraId="00DB668E" w14:textId="77777777" w:rsidTr="000A5948">
        <w:trPr>
          <w:jc w:val="center"/>
        </w:trPr>
        <w:tc>
          <w:tcPr>
            <w:tcW w:w="623" w:type="pct"/>
          </w:tcPr>
          <w:p w14:paraId="7087A427" w14:textId="77777777" w:rsidR="00755185" w:rsidRPr="000A5948" w:rsidRDefault="00755185" w:rsidP="000A5948">
            <w:pPr>
              <w:spacing w:after="0" w:line="240" w:lineRule="auto"/>
              <w:rPr>
                <w:rFonts w:cs="Times New Roman"/>
                <w:sz w:val="20"/>
                <w:szCs w:val="20"/>
              </w:rPr>
            </w:pPr>
          </w:p>
        </w:tc>
        <w:tc>
          <w:tcPr>
            <w:tcW w:w="916" w:type="pct"/>
          </w:tcPr>
          <w:p w14:paraId="1EB162C8" w14:textId="77777777" w:rsidR="00755185" w:rsidRPr="000A5948" w:rsidRDefault="00755185" w:rsidP="000A5948">
            <w:pPr>
              <w:spacing w:after="0" w:line="240" w:lineRule="auto"/>
              <w:rPr>
                <w:rFonts w:cs="Times New Roman"/>
                <w:sz w:val="20"/>
                <w:szCs w:val="20"/>
              </w:rPr>
            </w:pPr>
          </w:p>
        </w:tc>
        <w:tc>
          <w:tcPr>
            <w:tcW w:w="742" w:type="pct"/>
          </w:tcPr>
          <w:p w14:paraId="16275AD1"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Anchoring</w:t>
            </w:r>
          </w:p>
          <w:p w14:paraId="7ED3B453" w14:textId="77777777" w:rsidR="00755185" w:rsidRPr="000A5948" w:rsidRDefault="00755185" w:rsidP="000A5948">
            <w:pPr>
              <w:spacing w:after="0" w:line="240" w:lineRule="auto"/>
              <w:ind w:left="720"/>
              <w:rPr>
                <w:rFonts w:cs="Times New Roman"/>
                <w:sz w:val="20"/>
                <w:szCs w:val="20"/>
              </w:rPr>
            </w:pPr>
          </w:p>
        </w:tc>
        <w:tc>
          <w:tcPr>
            <w:tcW w:w="1140" w:type="pct"/>
          </w:tcPr>
          <w:p w14:paraId="1AB9E165"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Reliance on initial information for decision-making       </w:t>
            </w:r>
          </w:p>
        </w:tc>
        <w:tc>
          <w:tcPr>
            <w:tcW w:w="964" w:type="pct"/>
          </w:tcPr>
          <w:p w14:paraId="6808A24D"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Initial price, resistance</w:t>
            </w:r>
          </w:p>
        </w:tc>
        <w:tc>
          <w:tcPr>
            <w:tcW w:w="615" w:type="pct"/>
            <w:vMerge/>
          </w:tcPr>
          <w:p w14:paraId="2E47502C" w14:textId="77777777" w:rsidR="00755185" w:rsidRPr="000A5948" w:rsidRDefault="00755185" w:rsidP="000A5948">
            <w:pPr>
              <w:spacing w:after="0" w:line="240" w:lineRule="auto"/>
              <w:rPr>
                <w:rFonts w:cs="Times New Roman"/>
                <w:bCs/>
                <w:sz w:val="20"/>
                <w:szCs w:val="20"/>
              </w:rPr>
            </w:pPr>
          </w:p>
        </w:tc>
      </w:tr>
      <w:tr w:rsidR="000A5948" w:rsidRPr="000A5948" w14:paraId="269A76E7" w14:textId="77777777" w:rsidTr="000A5948">
        <w:trPr>
          <w:jc w:val="center"/>
        </w:trPr>
        <w:tc>
          <w:tcPr>
            <w:tcW w:w="623" w:type="pct"/>
          </w:tcPr>
          <w:p w14:paraId="7BF9FC65" w14:textId="77777777" w:rsidR="00755185" w:rsidRPr="000A5948" w:rsidRDefault="00755185" w:rsidP="000A5948">
            <w:pPr>
              <w:spacing w:after="0" w:line="240" w:lineRule="auto"/>
              <w:rPr>
                <w:rFonts w:cs="Times New Roman"/>
                <w:sz w:val="20"/>
                <w:szCs w:val="20"/>
              </w:rPr>
            </w:pPr>
          </w:p>
        </w:tc>
        <w:tc>
          <w:tcPr>
            <w:tcW w:w="916" w:type="pct"/>
          </w:tcPr>
          <w:p w14:paraId="4054B258" w14:textId="77777777" w:rsidR="00755185" w:rsidRPr="000A5948" w:rsidRDefault="00755185" w:rsidP="000A5948">
            <w:pPr>
              <w:spacing w:after="0" w:line="240" w:lineRule="auto"/>
              <w:rPr>
                <w:rFonts w:cs="Times New Roman"/>
                <w:sz w:val="20"/>
                <w:szCs w:val="20"/>
              </w:rPr>
            </w:pPr>
          </w:p>
        </w:tc>
        <w:tc>
          <w:tcPr>
            <w:tcW w:w="742" w:type="pct"/>
          </w:tcPr>
          <w:p w14:paraId="0C4A9E88"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Loss Aversion</w:t>
            </w:r>
          </w:p>
        </w:tc>
        <w:tc>
          <w:tcPr>
            <w:tcW w:w="1140" w:type="pct"/>
          </w:tcPr>
          <w:p w14:paraId="25B0829A"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Sensitivity to potential losses more than gains           </w:t>
            </w:r>
          </w:p>
        </w:tc>
        <w:tc>
          <w:tcPr>
            <w:tcW w:w="964" w:type="pct"/>
          </w:tcPr>
          <w:p w14:paraId="7F8F1473"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Emotional impact</w:t>
            </w:r>
          </w:p>
        </w:tc>
        <w:tc>
          <w:tcPr>
            <w:tcW w:w="615" w:type="pct"/>
            <w:vMerge/>
          </w:tcPr>
          <w:p w14:paraId="2F107D0F" w14:textId="77777777" w:rsidR="00755185" w:rsidRPr="000A5948" w:rsidRDefault="00755185" w:rsidP="000A5948">
            <w:pPr>
              <w:spacing w:after="0" w:line="240" w:lineRule="auto"/>
              <w:rPr>
                <w:rFonts w:cs="Times New Roman"/>
                <w:bCs/>
                <w:sz w:val="20"/>
                <w:szCs w:val="20"/>
              </w:rPr>
            </w:pPr>
          </w:p>
        </w:tc>
      </w:tr>
      <w:tr w:rsidR="000A5948" w:rsidRPr="000A5948" w14:paraId="2083073E" w14:textId="77777777" w:rsidTr="000A5948">
        <w:trPr>
          <w:jc w:val="center"/>
        </w:trPr>
        <w:tc>
          <w:tcPr>
            <w:tcW w:w="623" w:type="pct"/>
          </w:tcPr>
          <w:p w14:paraId="0ED03637" w14:textId="77777777" w:rsidR="00755185" w:rsidRPr="000A5948" w:rsidRDefault="00755185" w:rsidP="000A5948">
            <w:pPr>
              <w:spacing w:after="0" w:line="240" w:lineRule="auto"/>
              <w:rPr>
                <w:rFonts w:cs="Times New Roman"/>
                <w:sz w:val="20"/>
                <w:szCs w:val="20"/>
              </w:rPr>
            </w:pPr>
          </w:p>
        </w:tc>
        <w:tc>
          <w:tcPr>
            <w:tcW w:w="916" w:type="pct"/>
          </w:tcPr>
          <w:p w14:paraId="64BC9B98" w14:textId="77777777" w:rsidR="00755185" w:rsidRPr="000A5948" w:rsidRDefault="00755185" w:rsidP="000A5948">
            <w:pPr>
              <w:spacing w:after="0" w:line="240" w:lineRule="auto"/>
              <w:rPr>
                <w:rFonts w:cs="Times New Roman"/>
                <w:sz w:val="20"/>
                <w:szCs w:val="20"/>
              </w:rPr>
            </w:pPr>
          </w:p>
        </w:tc>
        <w:tc>
          <w:tcPr>
            <w:tcW w:w="742" w:type="pct"/>
          </w:tcPr>
          <w:p w14:paraId="32A9F83A"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Regret Aversion</w:t>
            </w:r>
          </w:p>
        </w:tc>
        <w:tc>
          <w:tcPr>
            <w:tcW w:w="1140" w:type="pct"/>
          </w:tcPr>
          <w:p w14:paraId="3DA49306"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Avoidance of decisions that could lead to regret          </w:t>
            </w:r>
          </w:p>
        </w:tc>
        <w:tc>
          <w:tcPr>
            <w:tcW w:w="964" w:type="pct"/>
          </w:tcPr>
          <w:p w14:paraId="6DA931BB"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Post decision discomfort</w:t>
            </w:r>
          </w:p>
        </w:tc>
        <w:tc>
          <w:tcPr>
            <w:tcW w:w="615" w:type="pct"/>
            <w:vMerge/>
          </w:tcPr>
          <w:p w14:paraId="0EE5C9FF" w14:textId="77777777" w:rsidR="00755185" w:rsidRPr="000A5948" w:rsidRDefault="00755185" w:rsidP="000A5948">
            <w:pPr>
              <w:spacing w:after="0" w:line="240" w:lineRule="auto"/>
              <w:rPr>
                <w:rFonts w:cs="Times New Roman"/>
                <w:bCs/>
                <w:sz w:val="20"/>
                <w:szCs w:val="20"/>
              </w:rPr>
            </w:pPr>
          </w:p>
        </w:tc>
      </w:tr>
      <w:tr w:rsidR="000A5948" w:rsidRPr="000A5948" w14:paraId="5A0F81C7" w14:textId="77777777" w:rsidTr="000A5948">
        <w:trPr>
          <w:jc w:val="center"/>
        </w:trPr>
        <w:tc>
          <w:tcPr>
            <w:tcW w:w="623" w:type="pct"/>
          </w:tcPr>
          <w:p w14:paraId="5DB99390"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Financial Literacy (FL)</w:t>
            </w:r>
          </w:p>
        </w:tc>
        <w:tc>
          <w:tcPr>
            <w:tcW w:w="916" w:type="pct"/>
          </w:tcPr>
          <w:p w14:paraId="335EE470"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Ability to understand and effectively apply various financial skills, including personal financial management budgeting, and investing</w:t>
            </w:r>
          </w:p>
        </w:tc>
        <w:tc>
          <w:tcPr>
            <w:tcW w:w="742" w:type="pct"/>
          </w:tcPr>
          <w:p w14:paraId="5A6E7075"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Financial Knowledge (FK)</w:t>
            </w:r>
          </w:p>
        </w:tc>
        <w:tc>
          <w:tcPr>
            <w:tcW w:w="1140" w:type="pct"/>
          </w:tcPr>
          <w:p w14:paraId="59DD1530"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Understanding of basic financial principles and products</w:t>
            </w:r>
          </w:p>
        </w:tc>
        <w:tc>
          <w:tcPr>
            <w:tcW w:w="964" w:type="pct"/>
          </w:tcPr>
          <w:p w14:paraId="1182C6BB"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Financial management skills bookkeeping, balance sheet, inflation, risk diversification</w:t>
            </w:r>
          </w:p>
        </w:tc>
        <w:tc>
          <w:tcPr>
            <w:tcW w:w="615" w:type="pct"/>
            <w:vMerge w:val="restart"/>
          </w:tcPr>
          <w:p w14:paraId="610EA3D0"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OECD (2022), </w:t>
            </w:r>
          </w:p>
          <w:p w14:paraId="09AF3F07"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fldChar w:fldCharType="begin"/>
            </w:r>
            <w:r w:rsidRPr="000A5948">
              <w:rPr>
                <w:rFonts w:cs="Times New Roman"/>
                <w:sz w:val="20"/>
                <w:szCs w:val="20"/>
              </w:rPr>
              <w:instrText xml:space="preserve"> ADDIN ZOTERO_ITEM CSL_CITATION {"citationID":"ks0siznp","properties":{"formattedCitation":"(Atkinson &amp; Messy, 2012)","plainCitation":"(Atkinson &amp; Messy, 2012)","dontUpdate":true,"noteIndex":0},"citationItems":[{"id":"KnmqYhws/j04op6MD","uris":["http://zotero.org/users/local/QzLdffIR/items/49IN67M9"],"itemData":{"id":402,"type":"report","abstract":"This paper presents the findings from an OECD International Network on Financial Education pilot study undertaken in 14 countries. The analysis focuses on variations in financial knowledge, behaviour and attitude across countries and within countries by socio-demographics.The results highlight a lack of financial knowledge amongst a sizeable proportion of the population in each of the countries surveyed. Furthermore, there is considerable room for improvement in terms of financial behaviour. Attitudes are shown to vary widely. These results will enable countries to identify needs and gaps in financial education provision and develop national policies or strategies. They also provide a sound evidence base for developing OECD recommendations and principles.","event-place":"Paris","language":"en","note":"DOI: 10.1787/5k9csfs90fr4-en","publisher":"OECD","publisher-place":"Paris","source":"OECD iLibrary","title":"Measuring Financial Literacy: Results of the OECD / International Network on Financial Education (INFE) Pilot Study","title-short":"Measuring Financial Literacy","URL":"https://www.oecd-ilibrary.org/finance-and-investment/measuring-financial-literacy_5k9csfs90fr4-en","author":[{"family":"Atkinson","given":"Adele"},{"family":"Messy","given":"Flore-Anne"}],"accessed":{"date-parts":[["2022",7,25]]},"issued":{"date-parts":[["2012",3,26]]}}}],"schema":"https://github.com/citation-style-language/schema/raw/master/csl-citation.json"} </w:instrText>
            </w:r>
            <w:r w:rsidRPr="000A5948">
              <w:rPr>
                <w:rFonts w:cs="Times New Roman"/>
                <w:sz w:val="20"/>
                <w:szCs w:val="20"/>
              </w:rPr>
              <w:fldChar w:fldCharType="separate"/>
            </w:r>
            <w:r w:rsidRPr="000A5948">
              <w:rPr>
                <w:rFonts w:cs="Times New Roman"/>
                <w:sz w:val="20"/>
                <w:szCs w:val="20"/>
              </w:rPr>
              <w:t>Atkinson and Messy (2012)</w:t>
            </w:r>
            <w:r w:rsidRPr="000A5948">
              <w:rPr>
                <w:rFonts w:cs="Times New Roman"/>
                <w:sz w:val="20"/>
                <w:szCs w:val="20"/>
              </w:rPr>
              <w:fldChar w:fldCharType="end"/>
            </w:r>
            <w:r w:rsidRPr="000A5948">
              <w:rPr>
                <w:rFonts w:cs="Times New Roman"/>
                <w:bCs/>
                <w:sz w:val="20"/>
                <w:szCs w:val="20"/>
              </w:rPr>
              <w:t xml:space="preserve"> </w:t>
            </w:r>
          </w:p>
          <w:p w14:paraId="2311A891" w14:textId="77777777" w:rsidR="00755185" w:rsidRPr="000A5948" w:rsidRDefault="00755185" w:rsidP="000A5948">
            <w:pPr>
              <w:spacing w:after="0" w:line="240" w:lineRule="auto"/>
              <w:rPr>
                <w:rFonts w:cs="Times New Roman"/>
                <w:sz w:val="20"/>
                <w:szCs w:val="20"/>
              </w:rPr>
            </w:pPr>
            <w:r w:rsidRPr="000A5948">
              <w:rPr>
                <w:rFonts w:cs="Times New Roman"/>
                <w:bCs/>
                <w:sz w:val="20"/>
                <w:szCs w:val="20"/>
              </w:rPr>
              <w:t>Shockey (2002).</w:t>
            </w:r>
          </w:p>
          <w:p w14:paraId="777C7EEA"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Bhushan and Medury </w:t>
            </w:r>
            <w:r w:rsidRPr="000A5948">
              <w:rPr>
                <w:rFonts w:cs="Times New Roman"/>
                <w:bCs/>
                <w:sz w:val="20"/>
                <w:szCs w:val="20"/>
              </w:rPr>
              <w:lastRenderedPageBreak/>
              <w:t>(2014)</w:t>
            </w:r>
          </w:p>
          <w:p w14:paraId="7E1DD8B5"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Hasler and Lusardi (2017) </w:t>
            </w:r>
          </w:p>
        </w:tc>
      </w:tr>
      <w:tr w:rsidR="000A5948" w:rsidRPr="000A5948" w14:paraId="75910E91" w14:textId="77777777" w:rsidTr="000A5948">
        <w:trPr>
          <w:jc w:val="center"/>
        </w:trPr>
        <w:tc>
          <w:tcPr>
            <w:tcW w:w="623" w:type="pct"/>
          </w:tcPr>
          <w:p w14:paraId="1FF28A09" w14:textId="77777777" w:rsidR="00755185" w:rsidRPr="000A5948" w:rsidRDefault="00755185" w:rsidP="000A5948">
            <w:pPr>
              <w:spacing w:after="0" w:line="240" w:lineRule="auto"/>
              <w:rPr>
                <w:rFonts w:cs="Times New Roman"/>
                <w:sz w:val="20"/>
                <w:szCs w:val="20"/>
              </w:rPr>
            </w:pPr>
          </w:p>
        </w:tc>
        <w:tc>
          <w:tcPr>
            <w:tcW w:w="916" w:type="pct"/>
          </w:tcPr>
          <w:p w14:paraId="36A62D79" w14:textId="77777777" w:rsidR="00755185" w:rsidRPr="000A5948" w:rsidRDefault="00755185" w:rsidP="000A5948">
            <w:pPr>
              <w:spacing w:after="0" w:line="240" w:lineRule="auto"/>
              <w:rPr>
                <w:rFonts w:cs="Times New Roman"/>
                <w:sz w:val="20"/>
                <w:szCs w:val="20"/>
              </w:rPr>
            </w:pPr>
          </w:p>
        </w:tc>
        <w:tc>
          <w:tcPr>
            <w:tcW w:w="742" w:type="pct"/>
          </w:tcPr>
          <w:p w14:paraId="202B4942" w14:textId="77777777" w:rsidR="00755185" w:rsidRPr="000A5948" w:rsidRDefault="00755185" w:rsidP="000A5948">
            <w:pPr>
              <w:spacing w:after="0" w:line="240" w:lineRule="auto"/>
              <w:rPr>
                <w:rFonts w:cs="Times New Roman"/>
                <w:b/>
                <w:sz w:val="20"/>
                <w:szCs w:val="20"/>
              </w:rPr>
            </w:pPr>
            <w:r w:rsidRPr="000A5948">
              <w:rPr>
                <w:rFonts w:cs="Times New Roman"/>
                <w:sz w:val="20"/>
                <w:szCs w:val="20"/>
              </w:rPr>
              <w:t>Financial Behaviour (FB)</w:t>
            </w:r>
          </w:p>
        </w:tc>
        <w:tc>
          <w:tcPr>
            <w:tcW w:w="1140" w:type="pct"/>
          </w:tcPr>
          <w:p w14:paraId="37A63BB3"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Application of financial knowledge in making business decision</w:t>
            </w:r>
          </w:p>
        </w:tc>
        <w:tc>
          <w:tcPr>
            <w:tcW w:w="964" w:type="pct"/>
          </w:tcPr>
          <w:p w14:paraId="7F4D09E1"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Savings behaviour, bill and loan repayment behaviour, responsible investment behaviour, financial planning behaviour, budgeting, analysis and review</w:t>
            </w:r>
          </w:p>
        </w:tc>
        <w:tc>
          <w:tcPr>
            <w:tcW w:w="615" w:type="pct"/>
            <w:vMerge/>
          </w:tcPr>
          <w:p w14:paraId="4981045C" w14:textId="77777777" w:rsidR="00755185" w:rsidRPr="000A5948" w:rsidRDefault="00755185" w:rsidP="000A5948">
            <w:pPr>
              <w:spacing w:after="0" w:line="240" w:lineRule="auto"/>
              <w:rPr>
                <w:rFonts w:cs="Times New Roman"/>
                <w:bCs/>
                <w:sz w:val="20"/>
                <w:szCs w:val="20"/>
              </w:rPr>
            </w:pPr>
          </w:p>
        </w:tc>
      </w:tr>
      <w:tr w:rsidR="000A5948" w:rsidRPr="000A5948" w14:paraId="58C5D2C5" w14:textId="77777777" w:rsidTr="000A5948">
        <w:trPr>
          <w:jc w:val="center"/>
        </w:trPr>
        <w:tc>
          <w:tcPr>
            <w:tcW w:w="623" w:type="pct"/>
          </w:tcPr>
          <w:p w14:paraId="58E8C603"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SMES Growth</w:t>
            </w:r>
          </w:p>
        </w:tc>
        <w:tc>
          <w:tcPr>
            <w:tcW w:w="916" w:type="pct"/>
          </w:tcPr>
          <w:p w14:paraId="75014C4F"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Expansion of small and medium-sized enterprises as measured by various financial and strategic metrics</w:t>
            </w:r>
          </w:p>
        </w:tc>
        <w:tc>
          <w:tcPr>
            <w:tcW w:w="742" w:type="pct"/>
          </w:tcPr>
          <w:p w14:paraId="4DD97021"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 xml:space="preserve"> Revenue Growth</w:t>
            </w:r>
          </w:p>
        </w:tc>
        <w:tc>
          <w:tcPr>
            <w:tcW w:w="1140" w:type="pct"/>
          </w:tcPr>
          <w:p w14:paraId="29AF7E87"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Increase in companies’ income over time</w:t>
            </w:r>
          </w:p>
        </w:tc>
        <w:tc>
          <w:tcPr>
            <w:tcW w:w="964" w:type="pct"/>
          </w:tcPr>
          <w:p w14:paraId="4C95C108"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Sales </w:t>
            </w:r>
          </w:p>
        </w:tc>
        <w:tc>
          <w:tcPr>
            <w:tcW w:w="615" w:type="pct"/>
            <w:vMerge w:val="restart"/>
          </w:tcPr>
          <w:p w14:paraId="281B2E65"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 xml:space="preserve">Lusimbo (2016) and </w:t>
            </w:r>
            <w:r w:rsidRPr="000A5948">
              <w:rPr>
                <w:rFonts w:cs="Times New Roman"/>
                <w:bCs/>
                <w:sz w:val="20"/>
                <w:szCs w:val="20"/>
              </w:rPr>
              <w:fldChar w:fldCharType="begin"/>
            </w:r>
            <w:r w:rsidRPr="000A5948">
              <w:rPr>
                <w:rFonts w:cs="Times New Roman"/>
                <w:bCs/>
                <w:sz w:val="20"/>
                <w:szCs w:val="20"/>
              </w:rPr>
              <w:instrText xml:space="preserve"> ADDIN ZOTERO_ITEM CSL_CITATION {"citationID":"KvLtOci3","properties":{"formattedCitation":"(Ogheneogaga Irikefe &amp; Isaac Opusunju, 2021)","plainCitation":"(Ogheneogaga Irikefe &amp; Isaac Opusunju, 2021)","noteIndex":0},"citationItems":[{"id":1043,"uris":["http://zotero.org/users/local/EF5FYntM/items/N9ZPYG7Y"],"itemData":{"id":1043,"type":"article-journal","abstract":"This study assessed the effect of financial literacy on the growth of micro, small and medium enterprises (MSMEs) in Murg shopping mall, Abuja, Nigeria. The study utilised a descriptive survey research design wherein survey research instruments were employed. The study was carried out using a primary source in which qualitative data were collected using structured questionnaires and converted to quantitative data using five-point Likert scaling. An aggregate of 208 data collection instruments was administered, of which, 200 were properly filled and returned; representing a 96.1% returned rate. The data was then analysed with the application of inferential statistics like Regression and Analysis of Variance. Arising from the result, the null hypothesis was rejected since the calculated value was greater than the critical value (107.666&gt;2.42). In conclusion, there was a significant effect of financial literacy on the growth of MSMEs in Murg Shopping Mall, Abuja. However, of the four proxies of financial literacy tested, debt management literacy had the highest positive impact on MSMEs’ growth, followed by bookkeeping literacy and banking services literacy, whereas budgeting literacy was insignificant. It was therefore recommended that entities who wish to carry out effective corporate social responsibilities to grow MSMEs, should train them in the aspects of debt management literacy, banking services literacy and bookkeeping literacy.","container-title":"International Journal of Research Publications","DOI":"10.47119/IJRP1009011220212541","ISSN":"27083578","issue":"1","journalAbbreviation":"IJRP","language":"en","source":"DOI.org (Crossref)","title":"Effect of Financial Literacy on the Growth of MSMEs","URL":"https://www.ijrp.org/paper-detail/2525","volume":"90","author":[{"family":"Ogheneogaga Irikefe","given":"Pureheart"},{"family":"Isaac Opusunju","given":"Michael"}],"accessed":{"date-parts":[["2024",4,21]]},"issued":{"date-parts":[["2021",11,16]]}}}],"schema":"https://github.com/citation-style-language/schema/raw/master/csl-citation.json"} </w:instrText>
            </w:r>
            <w:r w:rsidRPr="000A5948">
              <w:rPr>
                <w:rFonts w:cs="Times New Roman"/>
                <w:bCs/>
                <w:sz w:val="20"/>
                <w:szCs w:val="20"/>
              </w:rPr>
              <w:fldChar w:fldCharType="separate"/>
            </w:r>
            <w:r w:rsidRPr="000A5948">
              <w:rPr>
                <w:rFonts w:cs="Times New Roman"/>
                <w:sz w:val="20"/>
                <w:szCs w:val="20"/>
              </w:rPr>
              <w:t>(Ogheneogaga Irikefe &amp; Isaac Opusunju, 2021)</w:t>
            </w:r>
            <w:r w:rsidRPr="000A5948">
              <w:rPr>
                <w:rFonts w:cs="Times New Roman"/>
                <w:bCs/>
                <w:sz w:val="20"/>
                <w:szCs w:val="20"/>
              </w:rPr>
              <w:fldChar w:fldCharType="end"/>
            </w:r>
          </w:p>
          <w:p w14:paraId="35CF8E0B"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White &amp; Grey (2019).         </w:t>
            </w:r>
          </w:p>
          <w:p w14:paraId="7688FC0F"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Khan et al. (2022)          </w:t>
            </w:r>
          </w:p>
          <w:p w14:paraId="003AB0E8"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Lim &amp; Tan (2021)            </w:t>
            </w:r>
          </w:p>
          <w:p w14:paraId="66A165A8" w14:textId="77777777" w:rsidR="00755185" w:rsidRPr="000A5948" w:rsidRDefault="00755185" w:rsidP="000A5948">
            <w:pPr>
              <w:spacing w:after="0" w:line="240" w:lineRule="auto"/>
              <w:rPr>
                <w:rFonts w:cs="Times New Roman"/>
                <w:bCs/>
                <w:sz w:val="20"/>
                <w:szCs w:val="20"/>
              </w:rPr>
            </w:pPr>
            <w:r w:rsidRPr="000A5948">
              <w:rPr>
                <w:rFonts w:cs="Times New Roman"/>
                <w:sz w:val="20"/>
                <w:szCs w:val="20"/>
              </w:rPr>
              <w:t xml:space="preserve">O’Neil (2018)               </w:t>
            </w:r>
          </w:p>
        </w:tc>
      </w:tr>
      <w:tr w:rsidR="000A5948" w:rsidRPr="000A5948" w14:paraId="79168253" w14:textId="77777777" w:rsidTr="000A5948">
        <w:trPr>
          <w:jc w:val="center"/>
        </w:trPr>
        <w:tc>
          <w:tcPr>
            <w:tcW w:w="623" w:type="pct"/>
          </w:tcPr>
          <w:p w14:paraId="3833B7A5" w14:textId="77777777" w:rsidR="00755185" w:rsidRPr="000A5948" w:rsidRDefault="00755185" w:rsidP="000A5948">
            <w:pPr>
              <w:spacing w:after="0" w:line="240" w:lineRule="auto"/>
              <w:rPr>
                <w:rFonts w:cs="Times New Roman"/>
                <w:sz w:val="20"/>
                <w:szCs w:val="20"/>
              </w:rPr>
            </w:pPr>
          </w:p>
        </w:tc>
        <w:tc>
          <w:tcPr>
            <w:tcW w:w="916" w:type="pct"/>
          </w:tcPr>
          <w:p w14:paraId="3318F3E2" w14:textId="77777777" w:rsidR="00755185" w:rsidRPr="000A5948" w:rsidRDefault="00755185" w:rsidP="000A5948">
            <w:pPr>
              <w:spacing w:after="0" w:line="240" w:lineRule="auto"/>
              <w:rPr>
                <w:rFonts w:cs="Times New Roman"/>
                <w:sz w:val="20"/>
                <w:szCs w:val="20"/>
              </w:rPr>
            </w:pPr>
          </w:p>
        </w:tc>
        <w:tc>
          <w:tcPr>
            <w:tcW w:w="742" w:type="pct"/>
          </w:tcPr>
          <w:p w14:paraId="5F50EEC1"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Employment Growth</w:t>
            </w:r>
          </w:p>
          <w:p w14:paraId="3EE45128" w14:textId="77777777" w:rsidR="00755185" w:rsidRPr="000A5948" w:rsidRDefault="00755185" w:rsidP="000A5948">
            <w:pPr>
              <w:spacing w:after="0" w:line="240" w:lineRule="auto"/>
              <w:ind w:left="360"/>
              <w:rPr>
                <w:rFonts w:cs="Times New Roman"/>
                <w:sz w:val="20"/>
                <w:szCs w:val="20"/>
              </w:rPr>
            </w:pPr>
          </w:p>
        </w:tc>
        <w:tc>
          <w:tcPr>
            <w:tcW w:w="1140" w:type="pct"/>
          </w:tcPr>
          <w:p w14:paraId="580A4CB6"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Increase in the number of employees.</w:t>
            </w:r>
          </w:p>
        </w:tc>
        <w:tc>
          <w:tcPr>
            <w:tcW w:w="964" w:type="pct"/>
          </w:tcPr>
          <w:p w14:paraId="1E2DD283"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Number of employees</w:t>
            </w:r>
          </w:p>
        </w:tc>
        <w:tc>
          <w:tcPr>
            <w:tcW w:w="615" w:type="pct"/>
            <w:vMerge/>
          </w:tcPr>
          <w:p w14:paraId="5EF1B0BF" w14:textId="77777777" w:rsidR="00755185" w:rsidRPr="000A5948" w:rsidRDefault="00755185" w:rsidP="000A5948">
            <w:pPr>
              <w:spacing w:after="0" w:line="240" w:lineRule="auto"/>
              <w:rPr>
                <w:rFonts w:cs="Times New Roman"/>
                <w:bCs/>
                <w:sz w:val="20"/>
                <w:szCs w:val="20"/>
              </w:rPr>
            </w:pPr>
          </w:p>
        </w:tc>
      </w:tr>
      <w:tr w:rsidR="000A5948" w:rsidRPr="000A5948" w14:paraId="22CA18AE" w14:textId="77777777" w:rsidTr="000A5948">
        <w:trPr>
          <w:jc w:val="center"/>
        </w:trPr>
        <w:tc>
          <w:tcPr>
            <w:tcW w:w="623" w:type="pct"/>
          </w:tcPr>
          <w:p w14:paraId="6F929C6A" w14:textId="77777777" w:rsidR="00755185" w:rsidRPr="000A5948" w:rsidRDefault="00755185" w:rsidP="000A5948">
            <w:pPr>
              <w:spacing w:after="0" w:line="240" w:lineRule="auto"/>
              <w:rPr>
                <w:rFonts w:cs="Times New Roman"/>
                <w:sz w:val="20"/>
                <w:szCs w:val="20"/>
              </w:rPr>
            </w:pPr>
          </w:p>
        </w:tc>
        <w:tc>
          <w:tcPr>
            <w:tcW w:w="916" w:type="pct"/>
          </w:tcPr>
          <w:p w14:paraId="66878EDC" w14:textId="77777777" w:rsidR="00755185" w:rsidRPr="000A5948" w:rsidRDefault="00755185" w:rsidP="000A5948">
            <w:pPr>
              <w:spacing w:after="0" w:line="240" w:lineRule="auto"/>
              <w:rPr>
                <w:rFonts w:cs="Times New Roman"/>
                <w:sz w:val="20"/>
                <w:szCs w:val="20"/>
              </w:rPr>
            </w:pPr>
          </w:p>
        </w:tc>
        <w:tc>
          <w:tcPr>
            <w:tcW w:w="742" w:type="pct"/>
          </w:tcPr>
          <w:p w14:paraId="79806D9A"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New market Enteries</w:t>
            </w:r>
          </w:p>
        </w:tc>
        <w:tc>
          <w:tcPr>
            <w:tcW w:w="1140" w:type="pct"/>
          </w:tcPr>
          <w:p w14:paraId="4EF9AB6C"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Expansion into new markets or regions</w:t>
            </w:r>
          </w:p>
        </w:tc>
        <w:tc>
          <w:tcPr>
            <w:tcW w:w="964" w:type="pct"/>
          </w:tcPr>
          <w:p w14:paraId="5B323F73"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Additional branches</w:t>
            </w:r>
          </w:p>
        </w:tc>
        <w:tc>
          <w:tcPr>
            <w:tcW w:w="615" w:type="pct"/>
            <w:vMerge/>
          </w:tcPr>
          <w:p w14:paraId="31B90A3A" w14:textId="77777777" w:rsidR="00755185" w:rsidRPr="000A5948" w:rsidRDefault="00755185" w:rsidP="000A5948">
            <w:pPr>
              <w:spacing w:after="0" w:line="240" w:lineRule="auto"/>
              <w:rPr>
                <w:rFonts w:cs="Times New Roman"/>
                <w:bCs/>
                <w:sz w:val="20"/>
                <w:szCs w:val="20"/>
              </w:rPr>
            </w:pPr>
          </w:p>
        </w:tc>
      </w:tr>
      <w:tr w:rsidR="000A5948" w:rsidRPr="000A5948" w14:paraId="219FCC2D" w14:textId="77777777" w:rsidTr="000A5948">
        <w:trPr>
          <w:jc w:val="center"/>
        </w:trPr>
        <w:tc>
          <w:tcPr>
            <w:tcW w:w="623" w:type="pct"/>
          </w:tcPr>
          <w:p w14:paraId="3E219B3C" w14:textId="77777777" w:rsidR="00755185" w:rsidRPr="000A5948" w:rsidRDefault="00755185" w:rsidP="000A5948">
            <w:pPr>
              <w:spacing w:after="0" w:line="240" w:lineRule="auto"/>
              <w:rPr>
                <w:rFonts w:cs="Times New Roman"/>
                <w:sz w:val="20"/>
                <w:szCs w:val="20"/>
              </w:rPr>
            </w:pPr>
          </w:p>
        </w:tc>
        <w:tc>
          <w:tcPr>
            <w:tcW w:w="916" w:type="pct"/>
          </w:tcPr>
          <w:p w14:paraId="2A4D2656" w14:textId="77777777" w:rsidR="00755185" w:rsidRPr="000A5948" w:rsidRDefault="00755185" w:rsidP="000A5948">
            <w:pPr>
              <w:spacing w:after="0" w:line="240" w:lineRule="auto"/>
              <w:rPr>
                <w:rFonts w:cs="Times New Roman"/>
                <w:sz w:val="20"/>
                <w:szCs w:val="20"/>
              </w:rPr>
            </w:pPr>
          </w:p>
        </w:tc>
        <w:tc>
          <w:tcPr>
            <w:tcW w:w="742" w:type="pct"/>
          </w:tcPr>
          <w:p w14:paraId="6CC48D67" w14:textId="77777777" w:rsidR="00755185" w:rsidRPr="000A5948" w:rsidRDefault="00755185" w:rsidP="000A5948">
            <w:pPr>
              <w:spacing w:after="0" w:line="240" w:lineRule="auto"/>
              <w:rPr>
                <w:rFonts w:cs="Times New Roman"/>
                <w:sz w:val="20"/>
                <w:szCs w:val="20"/>
              </w:rPr>
            </w:pPr>
            <w:r w:rsidRPr="000A5948">
              <w:rPr>
                <w:rFonts w:cs="Times New Roman"/>
                <w:sz w:val="20"/>
                <w:szCs w:val="20"/>
              </w:rPr>
              <w:t>Innovation</w:t>
            </w:r>
          </w:p>
        </w:tc>
        <w:tc>
          <w:tcPr>
            <w:tcW w:w="1140" w:type="pct"/>
          </w:tcPr>
          <w:p w14:paraId="4B71924B"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Introduction of new products into the existing market</w:t>
            </w:r>
          </w:p>
        </w:tc>
        <w:tc>
          <w:tcPr>
            <w:tcW w:w="964" w:type="pct"/>
          </w:tcPr>
          <w:p w14:paraId="5F06140C" w14:textId="77777777" w:rsidR="00755185" w:rsidRPr="000A5948" w:rsidRDefault="00755185" w:rsidP="000A5948">
            <w:pPr>
              <w:spacing w:after="0" w:line="240" w:lineRule="auto"/>
              <w:rPr>
                <w:rFonts w:cs="Times New Roman"/>
                <w:bCs/>
                <w:sz w:val="20"/>
                <w:szCs w:val="20"/>
              </w:rPr>
            </w:pPr>
            <w:r w:rsidRPr="000A5948">
              <w:rPr>
                <w:rFonts w:cs="Times New Roman"/>
                <w:bCs/>
                <w:sz w:val="20"/>
                <w:szCs w:val="20"/>
              </w:rPr>
              <w:t>Different lines of business</w:t>
            </w:r>
          </w:p>
        </w:tc>
        <w:tc>
          <w:tcPr>
            <w:tcW w:w="615" w:type="pct"/>
            <w:vMerge/>
          </w:tcPr>
          <w:p w14:paraId="073BF12C" w14:textId="77777777" w:rsidR="00755185" w:rsidRPr="000A5948" w:rsidRDefault="00755185" w:rsidP="000A5948">
            <w:pPr>
              <w:spacing w:after="0" w:line="240" w:lineRule="auto"/>
              <w:rPr>
                <w:rFonts w:cs="Times New Roman"/>
                <w:bCs/>
                <w:sz w:val="20"/>
                <w:szCs w:val="20"/>
              </w:rPr>
            </w:pPr>
          </w:p>
        </w:tc>
      </w:tr>
    </w:tbl>
    <w:p w14:paraId="0A688DC1" w14:textId="12D67986" w:rsidR="00755185" w:rsidRDefault="00755185" w:rsidP="00807F99">
      <w:pPr>
        <w:spacing w:after="0" w:line="480" w:lineRule="auto"/>
        <w:rPr>
          <w:rFonts w:cs="Times New Roman"/>
          <w:b/>
          <w:bCs/>
          <w:szCs w:val="24"/>
        </w:rPr>
      </w:pPr>
      <w:r>
        <w:rPr>
          <w:rFonts w:cs="Times New Roman"/>
          <w:b/>
          <w:bCs/>
          <w:szCs w:val="24"/>
        </w:rPr>
        <w:t>Source Arthur’s computation 2024</w:t>
      </w:r>
    </w:p>
    <w:p w14:paraId="79F97FFD" w14:textId="2F6F19A4" w:rsidR="00755185" w:rsidRPr="000A5948" w:rsidRDefault="00755185" w:rsidP="000A5948">
      <w:pPr>
        <w:spacing w:after="0" w:line="360" w:lineRule="auto"/>
        <w:jc w:val="both"/>
        <w:rPr>
          <w:rFonts w:cs="Times New Roman"/>
          <w:szCs w:val="24"/>
        </w:rPr>
      </w:pPr>
      <w:r>
        <w:rPr>
          <w:rFonts w:cs="Times New Roman"/>
          <w:bCs/>
          <w:szCs w:val="24"/>
        </w:rPr>
        <w:t xml:space="preserve">The main variables considered in this study include the independent variables, the mediating variable as well as the dependent variable. The independent variable includes behavioural </w:t>
      </w:r>
      <w:r w:rsidR="00B3700D">
        <w:rPr>
          <w:rFonts w:cs="Times New Roman"/>
          <w:bCs/>
          <w:szCs w:val="24"/>
        </w:rPr>
        <w:t>b</w:t>
      </w:r>
      <w:r>
        <w:rPr>
          <w:rFonts w:cs="Times New Roman"/>
          <w:bCs/>
          <w:szCs w:val="24"/>
        </w:rPr>
        <w:t>iases captured</w:t>
      </w:r>
      <w:r>
        <w:rPr>
          <w:rFonts w:cs="Times New Roman"/>
          <w:bCs/>
          <w:szCs w:val="24"/>
        </w:rPr>
        <w:t xml:space="preserve"> as overconfidence, herding bias, anchoring, loss aversion and regret aversion as adopted by Gentile et al. 2015, Barno 2021</w:t>
      </w:r>
      <w:r>
        <w:rPr>
          <w:rFonts w:cs="Times New Roman"/>
          <w:bCs/>
          <w:szCs w:val="24"/>
        </w:rPr>
        <w:t xml:space="preserve"> and</w:t>
      </w:r>
      <w:r>
        <w:rPr>
          <w:rFonts w:cs="Times New Roman"/>
          <w:bCs/>
          <w:szCs w:val="24"/>
        </w:rPr>
        <w:t xml:space="preserve"> Lin 2011, Financial literacy was the mediating variable and generally follows the definition provided by the OECD, which focuses on operationalising financial knowledge and financial behaviour in capturing this variable. </w:t>
      </w:r>
      <w:r>
        <w:rPr>
          <w:rFonts w:cs="Times New Roman"/>
          <w:bCs/>
          <w:szCs w:val="24"/>
        </w:rPr>
        <w:fldChar w:fldCharType="begin"/>
      </w:r>
      <w:r>
        <w:rPr>
          <w:rFonts w:cs="Times New Roman"/>
          <w:bCs/>
          <w:szCs w:val="24"/>
        </w:rPr>
        <w:instrText xml:space="preserve"> ADDIN ZOTERO_ITEM CSL_CITATION {"citationID":"I7JIEHhk","properties":{"formattedCitation":"({\\i{}OECD/INFE Toolkit for Measuring Financial Literacy and Financial Inclusion 2022}, 2022)","plainCitation":"(OECD/INFE Toolkit for Measuring Financial Literacy and Financial Inclusion 2022, 2022)","dontUpdate":true,"noteIndex":0},"citationItems":[{"id":"KnmqYhws/Ogm4dH2K","uris":["http://zotero.org/users/local/QzLdffIR/items/BJ4GWVF9"],"itemData":{"id":274,"type":"article-journal","language":"en","page":"54","source":"Zotero","title":"OECD/INFE Toolkit for Measuring Financial Literacy and Financial Inclusion 2022","issued":{"date-parts":[["2022"]]}}}],"schema":"https://github.com/citation-style-language/schema/raw/master/csl-citation.json"} </w:instrText>
      </w:r>
      <w:r>
        <w:rPr>
          <w:rFonts w:cs="Times New Roman"/>
          <w:bCs/>
          <w:szCs w:val="24"/>
        </w:rPr>
        <w:fldChar w:fldCharType="separate"/>
      </w:r>
      <w:r>
        <w:rPr>
          <w:rFonts w:cs="Times New Roman"/>
          <w:szCs w:val="24"/>
        </w:rPr>
        <w:t>(</w:t>
      </w:r>
      <w:r>
        <w:rPr>
          <w:rFonts w:cs="Times New Roman"/>
          <w:iCs/>
          <w:szCs w:val="24"/>
        </w:rPr>
        <w:t>OECD</w:t>
      </w:r>
      <w:r>
        <w:rPr>
          <w:rFonts w:cs="Times New Roman"/>
          <w:szCs w:val="24"/>
        </w:rPr>
        <w:t>, 2022)</w:t>
      </w:r>
      <w:r>
        <w:rPr>
          <w:rFonts w:cs="Times New Roman"/>
          <w:bCs/>
          <w:szCs w:val="24"/>
        </w:rPr>
        <w:fldChar w:fldCharType="end"/>
      </w:r>
      <w:r>
        <w:rPr>
          <w:rFonts w:cs="Times New Roman"/>
          <w:bCs/>
          <w:szCs w:val="24"/>
        </w:rPr>
        <w:t>.</w:t>
      </w:r>
    </w:p>
    <w:p w14:paraId="660BF70E" w14:textId="437012A7" w:rsidR="0015660C" w:rsidRPr="00A11BFC" w:rsidRDefault="004F1A07" w:rsidP="00807F99">
      <w:pPr>
        <w:spacing w:after="0" w:line="360" w:lineRule="auto"/>
        <w:jc w:val="both"/>
        <w:rPr>
          <w:b/>
          <w:bCs/>
        </w:rPr>
      </w:pPr>
      <w:r w:rsidRPr="00A11BFC">
        <w:rPr>
          <w:b/>
          <w:bCs/>
        </w:rPr>
        <w:t>4.</w:t>
      </w:r>
      <w:r w:rsidR="00994C7C">
        <w:rPr>
          <w:b/>
          <w:bCs/>
        </w:rPr>
        <w:t>2</w:t>
      </w:r>
      <w:r w:rsidRPr="00A11BFC">
        <w:rPr>
          <w:b/>
          <w:bCs/>
        </w:rPr>
        <w:t xml:space="preserve"> Model Specification (Baron and Kenny Approach)</w:t>
      </w:r>
    </w:p>
    <w:p w14:paraId="1F55F48E" w14:textId="13E5BDFD" w:rsidR="008E3DC2" w:rsidRDefault="00A11BFC" w:rsidP="00807F99">
      <w:pPr>
        <w:spacing w:after="0" w:line="360" w:lineRule="auto"/>
        <w:jc w:val="both"/>
        <w:rPr>
          <w:rFonts w:eastAsia="SimSun" w:cs="Times New Roman"/>
          <w:szCs w:val="24"/>
        </w:rPr>
      </w:pPr>
      <w:r>
        <w:rPr>
          <w:rFonts w:eastAsia="SimSun" w:cs="Times New Roman"/>
          <w:szCs w:val="24"/>
        </w:rPr>
        <w:t>B</w:t>
      </w:r>
      <w:r w:rsidR="008E3DC2">
        <w:rPr>
          <w:rFonts w:eastAsia="SimSun" w:cs="Times New Roman"/>
          <w:szCs w:val="24"/>
        </w:rPr>
        <w:t>ased on the Barron and Kenny approach, the model is specified as follows;</w:t>
      </w:r>
    </w:p>
    <w:p w14:paraId="3F93ACC6" w14:textId="77777777" w:rsidR="008E3DC2" w:rsidRDefault="008E3DC2" w:rsidP="00807F99">
      <w:pPr>
        <w:spacing w:after="0" w:line="360" w:lineRule="auto"/>
        <w:jc w:val="both"/>
        <w:rPr>
          <w:rFonts w:eastAsia="SimSun" w:cs="Times New Roman"/>
          <w:szCs w:val="24"/>
        </w:rPr>
      </w:pPr>
      <w:r>
        <w:rPr>
          <w:rFonts w:eastAsia="SimSun" w:cs="Times New Roman"/>
          <w:szCs w:val="24"/>
        </w:rPr>
        <w:t>Dependent Variable (Y) = SMEs Growth</w:t>
      </w:r>
    </w:p>
    <w:p w14:paraId="1F5802D2" w14:textId="77777777" w:rsidR="008E3DC2" w:rsidRDefault="008E3DC2" w:rsidP="00807F99">
      <w:pPr>
        <w:spacing w:after="0" w:line="360" w:lineRule="auto"/>
        <w:jc w:val="both"/>
        <w:rPr>
          <w:rFonts w:eastAsia="SimSun" w:cs="Times New Roman"/>
          <w:szCs w:val="24"/>
        </w:rPr>
      </w:pPr>
      <w:r>
        <w:rPr>
          <w:rFonts w:eastAsia="SimSun" w:cs="Times New Roman"/>
          <w:szCs w:val="24"/>
        </w:rPr>
        <w:t>Independent Variable (X) = Risk perception</w:t>
      </w:r>
    </w:p>
    <w:p w14:paraId="0E70F26E" w14:textId="77777777" w:rsidR="008E3DC2" w:rsidRDefault="008E3DC2" w:rsidP="00807F99">
      <w:pPr>
        <w:spacing w:after="0" w:line="360" w:lineRule="auto"/>
        <w:jc w:val="both"/>
        <w:rPr>
          <w:rFonts w:eastAsia="SimSun" w:cs="Times New Roman"/>
          <w:szCs w:val="24"/>
        </w:rPr>
      </w:pPr>
      <w:r>
        <w:rPr>
          <w:rFonts w:eastAsia="SimSun" w:cs="Times New Roman"/>
          <w:szCs w:val="24"/>
        </w:rPr>
        <w:t>Mediator Variable (M) = Financial Literacy</w:t>
      </w:r>
    </w:p>
    <w:p w14:paraId="1E112C05" w14:textId="04848234" w:rsidR="008E3DC2" w:rsidRDefault="008E3DC2" w:rsidP="00807F99">
      <w:pPr>
        <w:spacing w:after="0" w:line="360" w:lineRule="auto"/>
        <w:jc w:val="both"/>
        <w:rPr>
          <w:rFonts w:eastAsia="SimSun" w:cs="Times New Roman"/>
          <w:szCs w:val="24"/>
        </w:rPr>
      </w:pPr>
      <w:r>
        <w:rPr>
          <w:rFonts w:eastAsia="SimSun" w:cs="Times New Roman"/>
          <w:szCs w:val="24"/>
        </w:rPr>
        <w:t>Y=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1</w:t>
      </w:r>
      <w:r>
        <w:rPr>
          <w:rFonts w:eastAsia="SimSun" w:cs="Times New Roman"/>
          <w:szCs w:val="24"/>
        </w:rPr>
        <w:t>+µ……………………………………………………………(1)</w:t>
      </w:r>
    </w:p>
    <w:p w14:paraId="13D28F4A" w14:textId="6A83C21B" w:rsidR="008E3DC2" w:rsidRDefault="008E3DC2" w:rsidP="00807F99">
      <w:pPr>
        <w:spacing w:after="0" w:line="360" w:lineRule="auto"/>
        <w:jc w:val="both"/>
        <w:rPr>
          <w:rFonts w:eastAsia="SimSun" w:cs="Times New Roman"/>
          <w:szCs w:val="24"/>
        </w:rPr>
      </w:pPr>
      <w:r>
        <w:rPr>
          <w:rFonts w:eastAsia="SimSun" w:cs="Times New Roman"/>
          <w:szCs w:val="24"/>
        </w:rPr>
        <w:t>M=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2</w:t>
      </w:r>
      <w:r>
        <w:rPr>
          <w:rFonts w:eastAsia="SimSun" w:cs="Times New Roman"/>
          <w:szCs w:val="24"/>
        </w:rPr>
        <w:t>X</w:t>
      </w:r>
      <w:r w:rsidR="003B7ECE">
        <w:rPr>
          <w:rFonts w:eastAsia="SimSun" w:cs="Times New Roman"/>
          <w:szCs w:val="24"/>
          <w:vertAlign w:val="subscript"/>
        </w:rPr>
        <w:t>i</w:t>
      </w:r>
      <w:r>
        <w:rPr>
          <w:rFonts w:eastAsia="SimSun" w:cs="Times New Roman"/>
          <w:szCs w:val="24"/>
        </w:rPr>
        <w:t>+µ………………………………………………………….(2)</w:t>
      </w:r>
    </w:p>
    <w:p w14:paraId="0FCFCAB3" w14:textId="49DBFD81" w:rsidR="008E3DC2" w:rsidRDefault="008E3DC2" w:rsidP="00807F99">
      <w:pPr>
        <w:spacing w:after="0" w:line="360" w:lineRule="auto"/>
        <w:jc w:val="both"/>
        <w:rPr>
          <w:rFonts w:eastAsia="SimSun" w:cs="Times New Roman"/>
          <w:szCs w:val="24"/>
        </w:rPr>
      </w:pPr>
      <w:r>
        <w:rPr>
          <w:rFonts w:eastAsia="SimSun" w:cs="Times New Roman"/>
          <w:szCs w:val="24"/>
        </w:rPr>
        <w:t>Y=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3</w:t>
      </w:r>
      <w:r>
        <w:rPr>
          <w:rFonts w:eastAsia="SimSun" w:cs="Times New Roman"/>
          <w:szCs w:val="24"/>
        </w:rPr>
        <w:t>X</w:t>
      </w:r>
      <w:r w:rsidR="003B7ECE">
        <w:rPr>
          <w:rFonts w:eastAsia="SimSun" w:cs="Times New Roman"/>
          <w:szCs w:val="24"/>
          <w:vertAlign w:val="subscript"/>
        </w:rPr>
        <w:t>i</w:t>
      </w:r>
      <w:r>
        <w:rPr>
          <w:rFonts w:eastAsia="SimSun" w:cs="Times New Roman"/>
          <w:szCs w:val="24"/>
        </w:rPr>
        <w:t>+ β</w:t>
      </w:r>
      <w:r>
        <w:rPr>
          <w:rFonts w:eastAsia="SimSun" w:cs="Times New Roman"/>
          <w:szCs w:val="24"/>
          <w:vertAlign w:val="subscript"/>
        </w:rPr>
        <w:t>4</w:t>
      </w:r>
      <w:r>
        <w:rPr>
          <w:rFonts w:eastAsia="SimSun" w:cs="Times New Roman"/>
          <w:szCs w:val="24"/>
        </w:rPr>
        <w:t>M</w:t>
      </w:r>
      <w:r w:rsidR="003B7ECE">
        <w:rPr>
          <w:rFonts w:eastAsia="SimSun" w:cs="Times New Roman"/>
          <w:szCs w:val="24"/>
          <w:vertAlign w:val="subscript"/>
        </w:rPr>
        <w:t>i</w:t>
      </w:r>
      <w:r w:rsidR="003B7ECE">
        <w:rPr>
          <w:rFonts w:eastAsia="SimSun" w:cs="Times New Roman"/>
          <w:szCs w:val="24"/>
        </w:rPr>
        <w:t xml:space="preserve"> +</w:t>
      </w:r>
      <w:r>
        <w:rPr>
          <w:rFonts w:eastAsia="SimSun" w:cs="Times New Roman"/>
          <w:szCs w:val="24"/>
        </w:rPr>
        <w:t xml:space="preserve"> µ…………………………………………………</w:t>
      </w:r>
      <w:r w:rsidR="00955CDE">
        <w:rPr>
          <w:rFonts w:eastAsia="SimSun" w:cs="Times New Roman"/>
          <w:szCs w:val="24"/>
        </w:rPr>
        <w:t>.</w:t>
      </w:r>
      <w:r>
        <w:rPr>
          <w:rFonts w:eastAsia="SimSun" w:cs="Times New Roman"/>
          <w:szCs w:val="24"/>
        </w:rPr>
        <w:t>(3)</w:t>
      </w:r>
    </w:p>
    <w:p w14:paraId="319FED13" w14:textId="77777777" w:rsidR="008E3DC2" w:rsidRDefault="008E3DC2" w:rsidP="00807F99">
      <w:pPr>
        <w:spacing w:after="0" w:line="360" w:lineRule="auto"/>
        <w:jc w:val="both"/>
        <w:rPr>
          <w:rFonts w:eastAsia="SimSun" w:cs="Times New Roman"/>
          <w:szCs w:val="24"/>
        </w:rPr>
      </w:pPr>
      <w:r>
        <w:rPr>
          <w:rFonts w:eastAsia="SimSun" w:cs="Times New Roman"/>
          <w:szCs w:val="24"/>
        </w:rPr>
        <w:t xml:space="preserve">Where: </w:t>
      </w:r>
    </w:p>
    <w:p w14:paraId="5F56C6A5" w14:textId="77777777" w:rsidR="008E3DC2" w:rsidRDefault="008E3DC2" w:rsidP="00807F99">
      <w:pPr>
        <w:spacing w:after="0" w:line="360" w:lineRule="auto"/>
        <w:jc w:val="both"/>
        <w:rPr>
          <w:rFonts w:eastAsia="SimSun" w:cs="Times New Roman"/>
          <w:szCs w:val="24"/>
        </w:rPr>
      </w:pPr>
      <w:r>
        <w:rPr>
          <w:rFonts w:eastAsia="SimSun" w:cs="Times New Roman"/>
          <w:szCs w:val="24"/>
        </w:rPr>
        <w:lastRenderedPageBreak/>
        <w:t>β</w:t>
      </w:r>
      <w:r>
        <w:rPr>
          <w:rFonts w:eastAsia="SimSun" w:cs="Times New Roman"/>
          <w:szCs w:val="24"/>
          <w:vertAlign w:val="subscript"/>
        </w:rPr>
        <w:t>0</w:t>
      </w:r>
      <w:r>
        <w:rPr>
          <w:rFonts w:eastAsia="SimSun" w:cs="Times New Roman"/>
          <w:szCs w:val="24"/>
        </w:rPr>
        <w:t xml:space="preserve"> is the constant term.</w:t>
      </w:r>
    </w:p>
    <w:p w14:paraId="4173A65F" w14:textId="7ADE634D" w:rsidR="00F96E98" w:rsidRDefault="008E3DC2" w:rsidP="00A11BFC">
      <w:pPr>
        <w:spacing w:line="360" w:lineRule="auto"/>
        <w:jc w:val="both"/>
        <w:rPr>
          <w:rFonts w:cs="Times New Roman"/>
          <w:b/>
          <w:szCs w:val="24"/>
        </w:rPr>
      </w:pPr>
      <w:r>
        <w:rPr>
          <w:rFonts w:eastAsia="SimSun" w:cs="Times New Roman"/>
          <w:szCs w:val="24"/>
        </w:rPr>
        <w:t>β</w:t>
      </w:r>
      <w:r>
        <w:rPr>
          <w:rFonts w:eastAsia="SimSun" w:cs="Times New Roman"/>
          <w:szCs w:val="24"/>
          <w:vertAlign w:val="subscript"/>
        </w:rPr>
        <w:t xml:space="preserve">1 </w:t>
      </w:r>
      <w:r>
        <w:rPr>
          <w:rFonts w:eastAsia="SimSun" w:cs="Times New Roman"/>
          <w:szCs w:val="24"/>
        </w:rPr>
        <w:t>is the coefficient of variable 1</w:t>
      </w:r>
      <w:r w:rsidR="006D2F9B">
        <w:rPr>
          <w:rFonts w:eastAsia="SimSun" w:cs="Times New Roman"/>
          <w:szCs w:val="24"/>
        </w:rPr>
        <w:t>, which measures whether there is responsiveness of Y to changes in X. β1 and β2 are the parameters to be estimated,</w:t>
      </w:r>
      <w:r>
        <w:rPr>
          <w:rFonts w:eastAsia="SimSun" w:cs="Times New Roman"/>
          <w:szCs w:val="24"/>
        </w:rPr>
        <w:t xml:space="preserve"> and µ is the error term or stochastic term.</w:t>
      </w:r>
      <w:r>
        <w:rPr>
          <w:rFonts w:cs="Times New Roman"/>
          <w:b/>
          <w:szCs w:val="24"/>
        </w:rPr>
        <w:t xml:space="preserve"> </w:t>
      </w:r>
    </w:p>
    <w:p w14:paraId="2059E5FB" w14:textId="232184E6" w:rsidR="00F96E98" w:rsidRPr="007F64A9" w:rsidRDefault="004F1A07" w:rsidP="00955CDE">
      <w:pPr>
        <w:spacing w:line="360" w:lineRule="auto"/>
        <w:jc w:val="both"/>
      </w:pPr>
      <w:r>
        <w:t>The study employs Ordinary Least Squares (OLS) regression to estimate the relationships specified in the mediation model.</w:t>
      </w:r>
      <w:r w:rsidR="008E3DC2">
        <w:t xml:space="preserve"> </w:t>
      </w:r>
      <w:r>
        <w:t xml:space="preserve">Structural Equation Modelling (SEM) is </w:t>
      </w:r>
      <w:r w:rsidR="006D2F9B">
        <w:t>used to validate mediation results by simultaneously estimating both direct and indirect effects</w:t>
      </w:r>
      <w:r>
        <w:t xml:space="preserve">. SEM provides a more robust analytical framework for testing mediation, as it allows for the assessment of complex relationships </w:t>
      </w:r>
      <w:r w:rsidR="006D2F9B">
        <w:t>among variables and for confirming</w:t>
      </w:r>
      <w:r>
        <w:t xml:space="preserve"> the significance of indirect effects.</w:t>
      </w:r>
      <w:r w:rsidR="008E3DC2">
        <w:t xml:space="preserve"> </w:t>
      </w:r>
    </w:p>
    <w:p w14:paraId="567A4EBE" w14:textId="08B4EFA3" w:rsidR="0015660C" w:rsidRPr="0070451B" w:rsidRDefault="008E3DC2" w:rsidP="00955CDE">
      <w:pPr>
        <w:spacing w:line="360" w:lineRule="auto"/>
        <w:jc w:val="both"/>
        <w:rPr>
          <w:b/>
          <w:bCs/>
        </w:rPr>
      </w:pPr>
      <w:r>
        <w:rPr>
          <w:b/>
          <w:bCs/>
        </w:rPr>
        <w:t xml:space="preserve">5. </w:t>
      </w:r>
      <w:r w:rsidR="004F1A07" w:rsidRPr="008E3DC2">
        <w:rPr>
          <w:b/>
          <w:bCs/>
        </w:rPr>
        <w:t>Results</w:t>
      </w:r>
    </w:p>
    <w:p w14:paraId="3318A4B7" w14:textId="77777777" w:rsidR="00955CDE" w:rsidRPr="0070451B" w:rsidRDefault="00955CDE" w:rsidP="00955CDE">
      <w:pPr>
        <w:pStyle w:val="table"/>
        <w:spacing w:after="0" w:line="480" w:lineRule="auto"/>
        <w:rPr>
          <w:color w:val="auto"/>
          <w:szCs w:val="24"/>
        </w:rPr>
      </w:pPr>
      <w:r w:rsidRPr="0070451B">
        <w:rPr>
          <w:color w:val="auto"/>
        </w:rPr>
        <w:t>5.1 Descriptive Statistics</w:t>
      </w:r>
      <w:bookmarkStart w:id="13" w:name="_Toc174111986"/>
      <w:r w:rsidRPr="0070451B">
        <w:rPr>
          <w:color w:val="auto"/>
          <w:szCs w:val="24"/>
        </w:rPr>
        <w:t xml:space="preserve"> </w:t>
      </w:r>
    </w:p>
    <w:p w14:paraId="4CE6717A" w14:textId="080CA098" w:rsidR="00955CDE" w:rsidRDefault="00955CDE" w:rsidP="00955CDE">
      <w:pPr>
        <w:pStyle w:val="table"/>
        <w:spacing w:after="0" w:line="480" w:lineRule="auto"/>
        <w:rPr>
          <w:color w:val="auto"/>
          <w:szCs w:val="24"/>
        </w:rPr>
      </w:pPr>
      <w:r>
        <w:rPr>
          <w:color w:val="auto"/>
          <w:szCs w:val="24"/>
        </w:rPr>
        <w:t>Table 1: Summary Statistics</w:t>
      </w:r>
      <w:bookmarkEnd w:id="13"/>
      <w:r>
        <w:rPr>
          <w:color w:val="auto"/>
          <w:szCs w:val="24"/>
        </w:rPr>
        <w:t xml:space="preserve"> </w:t>
      </w:r>
    </w:p>
    <w:tbl>
      <w:tblPr>
        <w:tblW w:w="5000" w:type="pct"/>
        <w:tblLook w:val="04A0" w:firstRow="1" w:lastRow="0" w:firstColumn="1" w:lastColumn="0" w:noHBand="0" w:noVBand="1"/>
      </w:tblPr>
      <w:tblGrid>
        <w:gridCol w:w="3355"/>
        <w:gridCol w:w="1033"/>
        <w:gridCol w:w="1201"/>
        <w:gridCol w:w="1201"/>
        <w:gridCol w:w="1033"/>
        <w:gridCol w:w="1033"/>
      </w:tblGrid>
      <w:tr w:rsidR="00955CDE" w14:paraId="7F490F0C" w14:textId="77777777" w:rsidTr="00590AA8">
        <w:trPr>
          <w:trHeight w:val="307"/>
        </w:trPr>
        <w:tc>
          <w:tcPr>
            <w:tcW w:w="1895" w:type="pct"/>
            <w:tcBorders>
              <w:top w:val="single" w:sz="4" w:space="0" w:color="auto"/>
              <w:left w:val="single" w:sz="4" w:space="0" w:color="auto"/>
              <w:bottom w:val="single" w:sz="4" w:space="0" w:color="auto"/>
              <w:right w:val="single" w:sz="4" w:space="0" w:color="auto"/>
            </w:tcBorders>
            <w:noWrap/>
            <w:vAlign w:val="bottom"/>
            <w:hideMark/>
          </w:tcPr>
          <w:p w14:paraId="3F9C3CA6" w14:textId="77777777" w:rsidR="00955CDE" w:rsidRDefault="00955CDE" w:rsidP="00590AA8">
            <w:pPr>
              <w:spacing w:after="0" w:line="240" w:lineRule="auto"/>
              <w:rPr>
                <w:rFonts w:cs="Times New Roman"/>
                <w:szCs w:val="24"/>
              </w:rPr>
            </w:pPr>
            <w:r>
              <w:rPr>
                <w:rFonts w:cs="Times New Roman"/>
                <w:szCs w:val="24"/>
              </w:rPr>
              <w:t>Variables</w:t>
            </w:r>
          </w:p>
        </w:tc>
        <w:tc>
          <w:tcPr>
            <w:tcW w:w="583" w:type="pct"/>
            <w:tcBorders>
              <w:top w:val="single" w:sz="4" w:space="0" w:color="auto"/>
              <w:left w:val="nil"/>
              <w:bottom w:val="single" w:sz="4" w:space="0" w:color="auto"/>
              <w:right w:val="single" w:sz="4" w:space="0" w:color="auto"/>
            </w:tcBorders>
            <w:noWrap/>
            <w:vAlign w:val="bottom"/>
            <w:hideMark/>
          </w:tcPr>
          <w:p w14:paraId="67CF7249" w14:textId="77777777" w:rsidR="00955CDE" w:rsidRDefault="00955CDE" w:rsidP="00590AA8">
            <w:pPr>
              <w:spacing w:after="0" w:line="240" w:lineRule="auto"/>
              <w:rPr>
                <w:rFonts w:cs="Times New Roman"/>
                <w:szCs w:val="24"/>
              </w:rPr>
            </w:pPr>
            <w:r>
              <w:rPr>
                <w:rFonts w:cs="Times New Roman"/>
                <w:szCs w:val="24"/>
              </w:rPr>
              <w:t>Obs</w:t>
            </w:r>
          </w:p>
        </w:tc>
        <w:tc>
          <w:tcPr>
            <w:tcW w:w="678" w:type="pct"/>
            <w:tcBorders>
              <w:top w:val="single" w:sz="4" w:space="0" w:color="auto"/>
              <w:left w:val="nil"/>
              <w:bottom w:val="single" w:sz="4" w:space="0" w:color="auto"/>
              <w:right w:val="single" w:sz="4" w:space="0" w:color="auto"/>
            </w:tcBorders>
            <w:noWrap/>
            <w:vAlign w:val="bottom"/>
            <w:hideMark/>
          </w:tcPr>
          <w:p w14:paraId="1C604D63" w14:textId="77777777" w:rsidR="00955CDE" w:rsidRDefault="00955CDE" w:rsidP="00590AA8">
            <w:pPr>
              <w:spacing w:after="0" w:line="240" w:lineRule="auto"/>
              <w:rPr>
                <w:rFonts w:cs="Times New Roman"/>
                <w:szCs w:val="24"/>
              </w:rPr>
            </w:pPr>
            <w:r>
              <w:rPr>
                <w:rFonts w:cs="Times New Roman"/>
                <w:szCs w:val="24"/>
              </w:rPr>
              <w:t>Mean</w:t>
            </w:r>
          </w:p>
        </w:tc>
        <w:tc>
          <w:tcPr>
            <w:tcW w:w="678" w:type="pct"/>
            <w:tcBorders>
              <w:top w:val="single" w:sz="4" w:space="0" w:color="auto"/>
              <w:left w:val="nil"/>
              <w:bottom w:val="single" w:sz="4" w:space="0" w:color="auto"/>
              <w:right w:val="single" w:sz="4" w:space="0" w:color="auto"/>
            </w:tcBorders>
            <w:noWrap/>
            <w:vAlign w:val="bottom"/>
            <w:hideMark/>
          </w:tcPr>
          <w:p w14:paraId="358593E6" w14:textId="77777777" w:rsidR="00955CDE" w:rsidRDefault="00955CDE" w:rsidP="00590AA8">
            <w:pPr>
              <w:spacing w:after="0" w:line="240" w:lineRule="auto"/>
              <w:rPr>
                <w:rFonts w:cs="Times New Roman"/>
                <w:szCs w:val="24"/>
              </w:rPr>
            </w:pPr>
            <w:r>
              <w:rPr>
                <w:rFonts w:cs="Times New Roman"/>
                <w:szCs w:val="24"/>
              </w:rPr>
              <w:t>Std. dev.</w:t>
            </w:r>
          </w:p>
        </w:tc>
        <w:tc>
          <w:tcPr>
            <w:tcW w:w="583" w:type="pct"/>
            <w:tcBorders>
              <w:top w:val="single" w:sz="4" w:space="0" w:color="auto"/>
              <w:left w:val="nil"/>
              <w:bottom w:val="single" w:sz="4" w:space="0" w:color="auto"/>
              <w:right w:val="single" w:sz="4" w:space="0" w:color="auto"/>
            </w:tcBorders>
            <w:noWrap/>
            <w:vAlign w:val="bottom"/>
            <w:hideMark/>
          </w:tcPr>
          <w:p w14:paraId="6087BC97" w14:textId="77777777" w:rsidR="00955CDE" w:rsidRDefault="00955CDE" w:rsidP="00590AA8">
            <w:pPr>
              <w:spacing w:after="0" w:line="240" w:lineRule="auto"/>
              <w:rPr>
                <w:rFonts w:cs="Times New Roman"/>
                <w:szCs w:val="24"/>
              </w:rPr>
            </w:pPr>
            <w:r>
              <w:rPr>
                <w:rFonts w:cs="Times New Roman"/>
                <w:szCs w:val="24"/>
              </w:rPr>
              <w:t>Min</w:t>
            </w:r>
          </w:p>
        </w:tc>
        <w:tc>
          <w:tcPr>
            <w:tcW w:w="583" w:type="pct"/>
            <w:tcBorders>
              <w:top w:val="single" w:sz="4" w:space="0" w:color="auto"/>
              <w:left w:val="nil"/>
              <w:bottom w:val="single" w:sz="4" w:space="0" w:color="auto"/>
              <w:right w:val="single" w:sz="4" w:space="0" w:color="auto"/>
            </w:tcBorders>
            <w:noWrap/>
            <w:vAlign w:val="bottom"/>
            <w:hideMark/>
          </w:tcPr>
          <w:p w14:paraId="525AC51F" w14:textId="77777777" w:rsidR="00955CDE" w:rsidRDefault="00955CDE" w:rsidP="00590AA8">
            <w:pPr>
              <w:spacing w:after="0" w:line="240" w:lineRule="auto"/>
              <w:rPr>
                <w:rFonts w:cs="Times New Roman"/>
                <w:szCs w:val="24"/>
              </w:rPr>
            </w:pPr>
            <w:r>
              <w:rPr>
                <w:rFonts w:cs="Times New Roman"/>
                <w:szCs w:val="24"/>
              </w:rPr>
              <w:t>Max</w:t>
            </w:r>
          </w:p>
        </w:tc>
      </w:tr>
      <w:tr w:rsidR="00955CDE" w14:paraId="730B10B0"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30D348EE" w14:textId="77777777" w:rsidR="00955CDE" w:rsidRDefault="00955CDE" w:rsidP="00590AA8">
            <w:pPr>
              <w:spacing w:after="0" w:line="240" w:lineRule="auto"/>
              <w:rPr>
                <w:rFonts w:cs="Times New Roman"/>
                <w:szCs w:val="24"/>
              </w:rPr>
            </w:pPr>
            <w:r>
              <w:rPr>
                <w:rFonts w:cs="Times New Roman"/>
                <w:szCs w:val="24"/>
              </w:rPr>
              <w:t>Overconfidence Index</w:t>
            </w:r>
          </w:p>
        </w:tc>
        <w:tc>
          <w:tcPr>
            <w:tcW w:w="583" w:type="pct"/>
            <w:tcBorders>
              <w:top w:val="nil"/>
              <w:left w:val="nil"/>
              <w:bottom w:val="single" w:sz="4" w:space="0" w:color="auto"/>
              <w:right w:val="single" w:sz="4" w:space="0" w:color="auto"/>
            </w:tcBorders>
            <w:noWrap/>
            <w:vAlign w:val="bottom"/>
            <w:hideMark/>
          </w:tcPr>
          <w:p w14:paraId="34A198D2"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36707945" w14:textId="77777777" w:rsidR="00955CDE" w:rsidRDefault="00955CDE" w:rsidP="00590AA8">
            <w:pPr>
              <w:spacing w:after="0" w:line="240" w:lineRule="auto"/>
              <w:jc w:val="right"/>
              <w:rPr>
                <w:rFonts w:cs="Times New Roman"/>
                <w:szCs w:val="24"/>
              </w:rPr>
            </w:pPr>
            <w:r>
              <w:rPr>
                <w:rFonts w:cs="Times New Roman"/>
                <w:szCs w:val="24"/>
              </w:rPr>
              <w:t>0.481246</w:t>
            </w:r>
          </w:p>
        </w:tc>
        <w:tc>
          <w:tcPr>
            <w:tcW w:w="678" w:type="pct"/>
            <w:tcBorders>
              <w:top w:val="nil"/>
              <w:left w:val="nil"/>
              <w:bottom w:val="single" w:sz="4" w:space="0" w:color="auto"/>
              <w:right w:val="single" w:sz="4" w:space="0" w:color="auto"/>
            </w:tcBorders>
            <w:noWrap/>
            <w:vAlign w:val="bottom"/>
            <w:hideMark/>
          </w:tcPr>
          <w:p w14:paraId="13E922C3" w14:textId="77777777" w:rsidR="00955CDE" w:rsidRDefault="00955CDE" w:rsidP="00590AA8">
            <w:pPr>
              <w:spacing w:after="0" w:line="240" w:lineRule="auto"/>
              <w:jc w:val="right"/>
              <w:rPr>
                <w:rFonts w:cs="Times New Roman"/>
                <w:szCs w:val="24"/>
              </w:rPr>
            </w:pPr>
            <w:r>
              <w:rPr>
                <w:rFonts w:cs="Times New Roman"/>
                <w:szCs w:val="24"/>
              </w:rPr>
              <w:t>0.191888</w:t>
            </w:r>
          </w:p>
        </w:tc>
        <w:tc>
          <w:tcPr>
            <w:tcW w:w="583" w:type="pct"/>
            <w:tcBorders>
              <w:top w:val="nil"/>
              <w:left w:val="nil"/>
              <w:bottom w:val="single" w:sz="4" w:space="0" w:color="auto"/>
              <w:right w:val="single" w:sz="4" w:space="0" w:color="auto"/>
            </w:tcBorders>
            <w:noWrap/>
            <w:vAlign w:val="bottom"/>
            <w:hideMark/>
          </w:tcPr>
          <w:p w14:paraId="71E74C62"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516A389F"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0BB5115D"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0A8C237B" w14:textId="77777777" w:rsidR="00955CDE" w:rsidRDefault="00955CDE" w:rsidP="00590AA8">
            <w:pPr>
              <w:spacing w:after="0" w:line="240" w:lineRule="auto"/>
              <w:rPr>
                <w:rFonts w:cs="Times New Roman"/>
                <w:szCs w:val="24"/>
              </w:rPr>
            </w:pPr>
            <w:r>
              <w:rPr>
                <w:rFonts w:cs="Times New Roman"/>
                <w:bCs/>
                <w:szCs w:val="24"/>
              </w:rPr>
              <w:t>Herding Bias</w:t>
            </w:r>
            <w:r>
              <w:rPr>
                <w:rFonts w:cs="Times New Roman"/>
                <w:szCs w:val="24"/>
              </w:rPr>
              <w:t xml:space="preserve"> index </w:t>
            </w:r>
          </w:p>
        </w:tc>
        <w:tc>
          <w:tcPr>
            <w:tcW w:w="583" w:type="pct"/>
            <w:tcBorders>
              <w:top w:val="nil"/>
              <w:left w:val="nil"/>
              <w:bottom w:val="single" w:sz="4" w:space="0" w:color="auto"/>
              <w:right w:val="single" w:sz="4" w:space="0" w:color="auto"/>
            </w:tcBorders>
            <w:noWrap/>
            <w:vAlign w:val="bottom"/>
            <w:hideMark/>
          </w:tcPr>
          <w:p w14:paraId="3D39DCC2"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6FD6C55B" w14:textId="77777777" w:rsidR="00955CDE" w:rsidRDefault="00955CDE" w:rsidP="00590AA8">
            <w:pPr>
              <w:spacing w:after="0" w:line="240" w:lineRule="auto"/>
              <w:jc w:val="right"/>
              <w:rPr>
                <w:rFonts w:cs="Times New Roman"/>
                <w:szCs w:val="24"/>
              </w:rPr>
            </w:pPr>
            <w:r>
              <w:rPr>
                <w:rFonts w:cs="Times New Roman"/>
                <w:szCs w:val="24"/>
              </w:rPr>
              <w:t>0.50517</w:t>
            </w:r>
          </w:p>
        </w:tc>
        <w:tc>
          <w:tcPr>
            <w:tcW w:w="678" w:type="pct"/>
            <w:tcBorders>
              <w:top w:val="nil"/>
              <w:left w:val="nil"/>
              <w:bottom w:val="single" w:sz="4" w:space="0" w:color="auto"/>
              <w:right w:val="single" w:sz="4" w:space="0" w:color="auto"/>
            </w:tcBorders>
            <w:noWrap/>
            <w:vAlign w:val="bottom"/>
            <w:hideMark/>
          </w:tcPr>
          <w:p w14:paraId="1D5E2DD2" w14:textId="77777777" w:rsidR="00955CDE" w:rsidRDefault="00955CDE" w:rsidP="00590AA8">
            <w:pPr>
              <w:spacing w:after="0" w:line="240" w:lineRule="auto"/>
              <w:jc w:val="right"/>
              <w:rPr>
                <w:rFonts w:cs="Times New Roman"/>
                <w:szCs w:val="24"/>
              </w:rPr>
            </w:pPr>
            <w:r>
              <w:rPr>
                <w:rFonts w:cs="Times New Roman"/>
                <w:szCs w:val="24"/>
              </w:rPr>
              <w:t>0.191919</w:t>
            </w:r>
          </w:p>
        </w:tc>
        <w:tc>
          <w:tcPr>
            <w:tcW w:w="583" w:type="pct"/>
            <w:tcBorders>
              <w:top w:val="nil"/>
              <w:left w:val="nil"/>
              <w:bottom w:val="single" w:sz="4" w:space="0" w:color="auto"/>
              <w:right w:val="single" w:sz="4" w:space="0" w:color="auto"/>
            </w:tcBorders>
            <w:noWrap/>
            <w:vAlign w:val="bottom"/>
            <w:hideMark/>
          </w:tcPr>
          <w:p w14:paraId="41108B35"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32B959C1"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394BF902"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3C67E4DE" w14:textId="77777777" w:rsidR="00955CDE" w:rsidRDefault="00955CDE" w:rsidP="00590AA8">
            <w:pPr>
              <w:spacing w:after="0" w:line="240" w:lineRule="auto"/>
              <w:rPr>
                <w:rFonts w:cs="Times New Roman"/>
                <w:bCs/>
                <w:szCs w:val="24"/>
              </w:rPr>
            </w:pPr>
            <w:r>
              <w:rPr>
                <w:rFonts w:cs="Times New Roman"/>
                <w:bCs/>
                <w:szCs w:val="24"/>
              </w:rPr>
              <w:t>Anchoring Index</w:t>
            </w:r>
          </w:p>
        </w:tc>
        <w:tc>
          <w:tcPr>
            <w:tcW w:w="583" w:type="pct"/>
            <w:tcBorders>
              <w:top w:val="nil"/>
              <w:left w:val="nil"/>
              <w:bottom w:val="single" w:sz="4" w:space="0" w:color="auto"/>
              <w:right w:val="single" w:sz="4" w:space="0" w:color="auto"/>
            </w:tcBorders>
            <w:noWrap/>
            <w:vAlign w:val="bottom"/>
            <w:hideMark/>
          </w:tcPr>
          <w:p w14:paraId="78C3E872"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0EB9486A" w14:textId="77777777" w:rsidR="00955CDE" w:rsidRDefault="00955CDE" w:rsidP="00590AA8">
            <w:pPr>
              <w:spacing w:after="0" w:line="240" w:lineRule="auto"/>
              <w:jc w:val="right"/>
              <w:rPr>
                <w:rFonts w:cs="Times New Roman"/>
                <w:szCs w:val="24"/>
              </w:rPr>
            </w:pPr>
            <w:r>
              <w:rPr>
                <w:rFonts w:cs="Times New Roman"/>
                <w:szCs w:val="24"/>
              </w:rPr>
              <w:t>0.644152</w:t>
            </w:r>
          </w:p>
        </w:tc>
        <w:tc>
          <w:tcPr>
            <w:tcW w:w="678" w:type="pct"/>
            <w:tcBorders>
              <w:top w:val="nil"/>
              <w:left w:val="nil"/>
              <w:bottom w:val="single" w:sz="4" w:space="0" w:color="auto"/>
              <w:right w:val="single" w:sz="4" w:space="0" w:color="auto"/>
            </w:tcBorders>
            <w:noWrap/>
            <w:vAlign w:val="bottom"/>
            <w:hideMark/>
          </w:tcPr>
          <w:p w14:paraId="751BCCAB" w14:textId="77777777" w:rsidR="00955CDE" w:rsidRDefault="00955CDE" w:rsidP="00590AA8">
            <w:pPr>
              <w:spacing w:after="0" w:line="240" w:lineRule="auto"/>
              <w:jc w:val="right"/>
              <w:rPr>
                <w:rFonts w:cs="Times New Roman"/>
                <w:szCs w:val="24"/>
              </w:rPr>
            </w:pPr>
            <w:r>
              <w:rPr>
                <w:rFonts w:cs="Times New Roman"/>
                <w:szCs w:val="24"/>
              </w:rPr>
              <w:t>0.210262</w:t>
            </w:r>
          </w:p>
        </w:tc>
        <w:tc>
          <w:tcPr>
            <w:tcW w:w="583" w:type="pct"/>
            <w:tcBorders>
              <w:top w:val="nil"/>
              <w:left w:val="nil"/>
              <w:bottom w:val="single" w:sz="4" w:space="0" w:color="auto"/>
              <w:right w:val="single" w:sz="4" w:space="0" w:color="auto"/>
            </w:tcBorders>
            <w:noWrap/>
            <w:vAlign w:val="bottom"/>
            <w:hideMark/>
          </w:tcPr>
          <w:p w14:paraId="4687A4DF"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5CCCD674"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3C912FC7"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329C858A" w14:textId="77777777" w:rsidR="00955CDE" w:rsidRDefault="00955CDE" w:rsidP="00590AA8">
            <w:pPr>
              <w:spacing w:after="0" w:line="240" w:lineRule="auto"/>
              <w:rPr>
                <w:rFonts w:cs="Times New Roman"/>
                <w:bCs/>
                <w:szCs w:val="24"/>
              </w:rPr>
            </w:pPr>
            <w:r>
              <w:rPr>
                <w:rFonts w:cs="Times New Roman"/>
                <w:bCs/>
                <w:szCs w:val="24"/>
              </w:rPr>
              <w:t>Loss Aversion index</w:t>
            </w:r>
          </w:p>
        </w:tc>
        <w:tc>
          <w:tcPr>
            <w:tcW w:w="583" w:type="pct"/>
            <w:tcBorders>
              <w:top w:val="nil"/>
              <w:left w:val="nil"/>
              <w:bottom w:val="single" w:sz="4" w:space="0" w:color="auto"/>
              <w:right w:val="single" w:sz="4" w:space="0" w:color="auto"/>
            </w:tcBorders>
            <w:noWrap/>
            <w:vAlign w:val="bottom"/>
            <w:hideMark/>
          </w:tcPr>
          <w:p w14:paraId="39BBC15F"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72F622DD" w14:textId="77777777" w:rsidR="00955CDE" w:rsidRDefault="00955CDE" w:rsidP="00590AA8">
            <w:pPr>
              <w:spacing w:after="0" w:line="240" w:lineRule="auto"/>
              <w:jc w:val="right"/>
              <w:rPr>
                <w:rFonts w:cs="Times New Roman"/>
                <w:szCs w:val="24"/>
              </w:rPr>
            </w:pPr>
            <w:r>
              <w:rPr>
                <w:rFonts w:cs="Times New Roman"/>
                <w:szCs w:val="24"/>
              </w:rPr>
              <w:t>0.375476</w:t>
            </w:r>
          </w:p>
        </w:tc>
        <w:tc>
          <w:tcPr>
            <w:tcW w:w="678" w:type="pct"/>
            <w:tcBorders>
              <w:top w:val="nil"/>
              <w:left w:val="nil"/>
              <w:bottom w:val="single" w:sz="4" w:space="0" w:color="auto"/>
              <w:right w:val="single" w:sz="4" w:space="0" w:color="auto"/>
            </w:tcBorders>
            <w:noWrap/>
            <w:vAlign w:val="bottom"/>
            <w:hideMark/>
          </w:tcPr>
          <w:p w14:paraId="67A471D1" w14:textId="77777777" w:rsidR="00955CDE" w:rsidRDefault="00955CDE" w:rsidP="00590AA8">
            <w:pPr>
              <w:spacing w:after="0" w:line="240" w:lineRule="auto"/>
              <w:jc w:val="right"/>
              <w:rPr>
                <w:rFonts w:cs="Times New Roman"/>
                <w:szCs w:val="24"/>
              </w:rPr>
            </w:pPr>
            <w:r>
              <w:rPr>
                <w:rFonts w:cs="Times New Roman"/>
                <w:szCs w:val="24"/>
              </w:rPr>
              <w:t>0.206546</w:t>
            </w:r>
          </w:p>
        </w:tc>
        <w:tc>
          <w:tcPr>
            <w:tcW w:w="583" w:type="pct"/>
            <w:tcBorders>
              <w:top w:val="nil"/>
              <w:left w:val="nil"/>
              <w:bottom w:val="single" w:sz="4" w:space="0" w:color="auto"/>
              <w:right w:val="single" w:sz="4" w:space="0" w:color="auto"/>
            </w:tcBorders>
            <w:noWrap/>
            <w:vAlign w:val="bottom"/>
            <w:hideMark/>
          </w:tcPr>
          <w:p w14:paraId="2AAF50BE"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22B95F7E"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098D0484"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28E2B851" w14:textId="77777777" w:rsidR="00955CDE" w:rsidRDefault="00955CDE" w:rsidP="00590AA8">
            <w:pPr>
              <w:spacing w:after="0" w:line="240" w:lineRule="auto"/>
              <w:rPr>
                <w:rFonts w:cs="Times New Roman"/>
                <w:bCs/>
                <w:szCs w:val="24"/>
              </w:rPr>
            </w:pPr>
            <w:r>
              <w:rPr>
                <w:rFonts w:cs="Times New Roman"/>
                <w:bCs/>
                <w:szCs w:val="24"/>
              </w:rPr>
              <w:t>Regret Aversion Index</w:t>
            </w:r>
          </w:p>
        </w:tc>
        <w:tc>
          <w:tcPr>
            <w:tcW w:w="583" w:type="pct"/>
            <w:tcBorders>
              <w:top w:val="nil"/>
              <w:left w:val="nil"/>
              <w:bottom w:val="single" w:sz="4" w:space="0" w:color="auto"/>
              <w:right w:val="single" w:sz="4" w:space="0" w:color="auto"/>
            </w:tcBorders>
            <w:noWrap/>
            <w:vAlign w:val="bottom"/>
            <w:hideMark/>
          </w:tcPr>
          <w:p w14:paraId="1CC5B8CB"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684F1484" w14:textId="77777777" w:rsidR="00955CDE" w:rsidRDefault="00955CDE" w:rsidP="00590AA8">
            <w:pPr>
              <w:spacing w:after="0" w:line="240" w:lineRule="auto"/>
              <w:jc w:val="right"/>
              <w:rPr>
                <w:rFonts w:cs="Times New Roman"/>
                <w:szCs w:val="24"/>
              </w:rPr>
            </w:pPr>
            <w:r>
              <w:rPr>
                <w:rFonts w:cs="Times New Roman"/>
                <w:szCs w:val="24"/>
              </w:rPr>
              <w:t>0.552315</w:t>
            </w:r>
          </w:p>
        </w:tc>
        <w:tc>
          <w:tcPr>
            <w:tcW w:w="678" w:type="pct"/>
            <w:tcBorders>
              <w:top w:val="nil"/>
              <w:left w:val="nil"/>
              <w:bottom w:val="single" w:sz="4" w:space="0" w:color="auto"/>
              <w:right w:val="single" w:sz="4" w:space="0" w:color="auto"/>
            </w:tcBorders>
            <w:noWrap/>
            <w:vAlign w:val="bottom"/>
            <w:hideMark/>
          </w:tcPr>
          <w:p w14:paraId="3CD304D0" w14:textId="77777777" w:rsidR="00955CDE" w:rsidRDefault="00955CDE" w:rsidP="00590AA8">
            <w:pPr>
              <w:spacing w:after="0" w:line="240" w:lineRule="auto"/>
              <w:jc w:val="right"/>
              <w:rPr>
                <w:rFonts w:cs="Times New Roman"/>
                <w:szCs w:val="24"/>
              </w:rPr>
            </w:pPr>
            <w:r>
              <w:rPr>
                <w:rFonts w:cs="Times New Roman"/>
                <w:szCs w:val="24"/>
              </w:rPr>
              <w:t>0.26551</w:t>
            </w:r>
          </w:p>
        </w:tc>
        <w:tc>
          <w:tcPr>
            <w:tcW w:w="583" w:type="pct"/>
            <w:tcBorders>
              <w:top w:val="nil"/>
              <w:left w:val="nil"/>
              <w:bottom w:val="single" w:sz="4" w:space="0" w:color="auto"/>
              <w:right w:val="single" w:sz="4" w:space="0" w:color="auto"/>
            </w:tcBorders>
            <w:noWrap/>
            <w:vAlign w:val="bottom"/>
            <w:hideMark/>
          </w:tcPr>
          <w:p w14:paraId="066C78E2"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0A661700"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66595AE4"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01F2E132" w14:textId="77777777" w:rsidR="00955CDE" w:rsidRDefault="00955CDE" w:rsidP="00590AA8">
            <w:pPr>
              <w:spacing w:after="0" w:line="240" w:lineRule="auto"/>
              <w:rPr>
                <w:rFonts w:cs="Times New Roman"/>
                <w:szCs w:val="24"/>
              </w:rPr>
            </w:pPr>
            <w:r>
              <w:rPr>
                <w:rFonts w:cs="Times New Roman"/>
                <w:szCs w:val="24"/>
              </w:rPr>
              <w:t>Financial Knowledge Index</w:t>
            </w:r>
          </w:p>
        </w:tc>
        <w:tc>
          <w:tcPr>
            <w:tcW w:w="583" w:type="pct"/>
            <w:tcBorders>
              <w:top w:val="nil"/>
              <w:left w:val="nil"/>
              <w:bottom w:val="single" w:sz="4" w:space="0" w:color="auto"/>
              <w:right w:val="single" w:sz="4" w:space="0" w:color="auto"/>
            </w:tcBorders>
            <w:noWrap/>
            <w:vAlign w:val="bottom"/>
            <w:hideMark/>
          </w:tcPr>
          <w:p w14:paraId="5DB5F934"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29262905" w14:textId="77777777" w:rsidR="00955CDE" w:rsidRDefault="00955CDE" w:rsidP="00590AA8">
            <w:pPr>
              <w:spacing w:after="0" w:line="240" w:lineRule="auto"/>
              <w:jc w:val="right"/>
              <w:rPr>
                <w:rFonts w:cs="Times New Roman"/>
                <w:szCs w:val="24"/>
              </w:rPr>
            </w:pPr>
            <w:r>
              <w:rPr>
                <w:rFonts w:cs="Times New Roman"/>
                <w:szCs w:val="24"/>
              </w:rPr>
              <w:t>0.479084</w:t>
            </w:r>
          </w:p>
        </w:tc>
        <w:tc>
          <w:tcPr>
            <w:tcW w:w="678" w:type="pct"/>
            <w:tcBorders>
              <w:top w:val="nil"/>
              <w:left w:val="nil"/>
              <w:bottom w:val="single" w:sz="4" w:space="0" w:color="auto"/>
              <w:right w:val="single" w:sz="4" w:space="0" w:color="auto"/>
            </w:tcBorders>
            <w:noWrap/>
            <w:vAlign w:val="bottom"/>
            <w:hideMark/>
          </w:tcPr>
          <w:p w14:paraId="3800693A" w14:textId="77777777" w:rsidR="00955CDE" w:rsidRDefault="00955CDE" w:rsidP="00590AA8">
            <w:pPr>
              <w:spacing w:after="0" w:line="240" w:lineRule="auto"/>
              <w:jc w:val="right"/>
              <w:rPr>
                <w:rFonts w:cs="Times New Roman"/>
                <w:szCs w:val="24"/>
              </w:rPr>
            </w:pPr>
            <w:r>
              <w:rPr>
                <w:rFonts w:cs="Times New Roman"/>
                <w:szCs w:val="24"/>
              </w:rPr>
              <w:t>0.234067</w:t>
            </w:r>
          </w:p>
        </w:tc>
        <w:tc>
          <w:tcPr>
            <w:tcW w:w="583" w:type="pct"/>
            <w:tcBorders>
              <w:top w:val="nil"/>
              <w:left w:val="nil"/>
              <w:bottom w:val="single" w:sz="4" w:space="0" w:color="auto"/>
              <w:right w:val="single" w:sz="4" w:space="0" w:color="auto"/>
            </w:tcBorders>
            <w:noWrap/>
            <w:vAlign w:val="bottom"/>
            <w:hideMark/>
          </w:tcPr>
          <w:p w14:paraId="02D1A9B2"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4067BA0D"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5C379F92"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0D00C954" w14:textId="77777777" w:rsidR="00955CDE" w:rsidRDefault="00955CDE" w:rsidP="00590AA8">
            <w:pPr>
              <w:spacing w:after="0" w:line="240" w:lineRule="auto"/>
              <w:rPr>
                <w:rFonts w:cs="Times New Roman"/>
                <w:szCs w:val="24"/>
              </w:rPr>
            </w:pPr>
            <w:r>
              <w:rPr>
                <w:rFonts w:cs="Times New Roman"/>
                <w:szCs w:val="24"/>
              </w:rPr>
              <w:t>Financial Behaviour Index</w:t>
            </w:r>
          </w:p>
        </w:tc>
        <w:tc>
          <w:tcPr>
            <w:tcW w:w="583" w:type="pct"/>
            <w:tcBorders>
              <w:top w:val="nil"/>
              <w:left w:val="nil"/>
              <w:bottom w:val="single" w:sz="4" w:space="0" w:color="auto"/>
              <w:right w:val="single" w:sz="4" w:space="0" w:color="auto"/>
            </w:tcBorders>
            <w:noWrap/>
            <w:vAlign w:val="bottom"/>
            <w:hideMark/>
          </w:tcPr>
          <w:p w14:paraId="72384F97"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755236E8" w14:textId="77777777" w:rsidR="00955CDE" w:rsidRDefault="00955CDE" w:rsidP="00590AA8">
            <w:pPr>
              <w:spacing w:after="0" w:line="240" w:lineRule="auto"/>
              <w:jc w:val="right"/>
              <w:rPr>
                <w:rFonts w:cs="Times New Roman"/>
                <w:szCs w:val="24"/>
              </w:rPr>
            </w:pPr>
            <w:r>
              <w:rPr>
                <w:rFonts w:cs="Times New Roman"/>
                <w:szCs w:val="24"/>
              </w:rPr>
              <w:t>0.582988</w:t>
            </w:r>
          </w:p>
        </w:tc>
        <w:tc>
          <w:tcPr>
            <w:tcW w:w="678" w:type="pct"/>
            <w:tcBorders>
              <w:top w:val="nil"/>
              <w:left w:val="nil"/>
              <w:bottom w:val="single" w:sz="4" w:space="0" w:color="auto"/>
              <w:right w:val="single" w:sz="4" w:space="0" w:color="auto"/>
            </w:tcBorders>
            <w:noWrap/>
            <w:vAlign w:val="bottom"/>
            <w:hideMark/>
          </w:tcPr>
          <w:p w14:paraId="6E116794" w14:textId="77777777" w:rsidR="00955CDE" w:rsidRDefault="00955CDE" w:rsidP="00590AA8">
            <w:pPr>
              <w:spacing w:after="0" w:line="240" w:lineRule="auto"/>
              <w:jc w:val="right"/>
              <w:rPr>
                <w:rFonts w:cs="Times New Roman"/>
                <w:szCs w:val="24"/>
              </w:rPr>
            </w:pPr>
            <w:r>
              <w:rPr>
                <w:rFonts w:cs="Times New Roman"/>
                <w:szCs w:val="24"/>
              </w:rPr>
              <w:t>0.255543</w:t>
            </w:r>
          </w:p>
        </w:tc>
        <w:tc>
          <w:tcPr>
            <w:tcW w:w="583" w:type="pct"/>
            <w:tcBorders>
              <w:top w:val="nil"/>
              <w:left w:val="nil"/>
              <w:bottom w:val="single" w:sz="4" w:space="0" w:color="auto"/>
              <w:right w:val="single" w:sz="4" w:space="0" w:color="auto"/>
            </w:tcBorders>
            <w:noWrap/>
            <w:vAlign w:val="bottom"/>
            <w:hideMark/>
          </w:tcPr>
          <w:p w14:paraId="2CBF7800"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486B6CBE"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45BCBA63"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5CF1891E" w14:textId="77777777" w:rsidR="00955CDE" w:rsidRDefault="00955CDE" w:rsidP="00590AA8">
            <w:pPr>
              <w:spacing w:after="0" w:line="240" w:lineRule="auto"/>
              <w:rPr>
                <w:rFonts w:cs="Times New Roman"/>
                <w:szCs w:val="24"/>
              </w:rPr>
            </w:pPr>
            <w:r>
              <w:rPr>
                <w:rFonts w:cs="Times New Roman"/>
                <w:szCs w:val="24"/>
              </w:rPr>
              <w:t>Risk Perception Index</w:t>
            </w:r>
          </w:p>
        </w:tc>
        <w:tc>
          <w:tcPr>
            <w:tcW w:w="583" w:type="pct"/>
            <w:tcBorders>
              <w:top w:val="nil"/>
              <w:left w:val="nil"/>
              <w:bottom w:val="single" w:sz="4" w:space="0" w:color="auto"/>
              <w:right w:val="single" w:sz="4" w:space="0" w:color="auto"/>
            </w:tcBorders>
            <w:noWrap/>
            <w:vAlign w:val="bottom"/>
            <w:hideMark/>
          </w:tcPr>
          <w:p w14:paraId="39261F03"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06808B23" w14:textId="77777777" w:rsidR="00955CDE" w:rsidRDefault="00955CDE" w:rsidP="00590AA8">
            <w:pPr>
              <w:spacing w:after="0" w:line="240" w:lineRule="auto"/>
              <w:jc w:val="right"/>
              <w:rPr>
                <w:rFonts w:cs="Times New Roman"/>
                <w:szCs w:val="24"/>
              </w:rPr>
            </w:pPr>
            <w:r>
              <w:rPr>
                <w:rFonts w:cs="Times New Roman"/>
                <w:szCs w:val="24"/>
              </w:rPr>
              <w:t>0.559225</w:t>
            </w:r>
          </w:p>
        </w:tc>
        <w:tc>
          <w:tcPr>
            <w:tcW w:w="678" w:type="pct"/>
            <w:tcBorders>
              <w:top w:val="nil"/>
              <w:left w:val="nil"/>
              <w:bottom w:val="single" w:sz="4" w:space="0" w:color="auto"/>
              <w:right w:val="single" w:sz="4" w:space="0" w:color="auto"/>
            </w:tcBorders>
            <w:noWrap/>
            <w:vAlign w:val="bottom"/>
            <w:hideMark/>
          </w:tcPr>
          <w:p w14:paraId="0C66776A" w14:textId="77777777" w:rsidR="00955CDE" w:rsidRDefault="00955CDE" w:rsidP="00590AA8">
            <w:pPr>
              <w:spacing w:after="0" w:line="240" w:lineRule="auto"/>
              <w:jc w:val="right"/>
              <w:rPr>
                <w:rFonts w:cs="Times New Roman"/>
                <w:szCs w:val="24"/>
              </w:rPr>
            </w:pPr>
            <w:r>
              <w:rPr>
                <w:rFonts w:cs="Times New Roman"/>
                <w:szCs w:val="24"/>
              </w:rPr>
              <w:t>0.185638</w:t>
            </w:r>
          </w:p>
        </w:tc>
        <w:tc>
          <w:tcPr>
            <w:tcW w:w="583" w:type="pct"/>
            <w:tcBorders>
              <w:top w:val="nil"/>
              <w:left w:val="nil"/>
              <w:bottom w:val="single" w:sz="4" w:space="0" w:color="auto"/>
              <w:right w:val="single" w:sz="4" w:space="0" w:color="auto"/>
            </w:tcBorders>
            <w:noWrap/>
            <w:vAlign w:val="bottom"/>
            <w:hideMark/>
          </w:tcPr>
          <w:p w14:paraId="51FFCBBD"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5D37EE45"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2BC43E04"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74474253" w14:textId="77777777" w:rsidR="00955CDE" w:rsidRDefault="00955CDE" w:rsidP="00590AA8">
            <w:pPr>
              <w:spacing w:after="0" w:line="240" w:lineRule="auto"/>
              <w:rPr>
                <w:rFonts w:cs="Times New Roman"/>
                <w:szCs w:val="24"/>
              </w:rPr>
            </w:pPr>
            <w:r>
              <w:rPr>
                <w:rFonts w:cs="Times New Roman"/>
                <w:szCs w:val="24"/>
              </w:rPr>
              <w:t>Financial Literacy Index</w:t>
            </w:r>
          </w:p>
        </w:tc>
        <w:tc>
          <w:tcPr>
            <w:tcW w:w="583" w:type="pct"/>
            <w:tcBorders>
              <w:top w:val="nil"/>
              <w:left w:val="nil"/>
              <w:bottom w:val="single" w:sz="4" w:space="0" w:color="auto"/>
              <w:right w:val="single" w:sz="4" w:space="0" w:color="auto"/>
            </w:tcBorders>
            <w:noWrap/>
            <w:vAlign w:val="bottom"/>
            <w:hideMark/>
          </w:tcPr>
          <w:p w14:paraId="6CC86C9A"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5FFB32ED" w14:textId="77777777" w:rsidR="00955CDE" w:rsidRDefault="00955CDE" w:rsidP="00590AA8">
            <w:pPr>
              <w:spacing w:after="0" w:line="240" w:lineRule="auto"/>
              <w:jc w:val="right"/>
              <w:rPr>
                <w:rFonts w:cs="Times New Roman"/>
                <w:szCs w:val="24"/>
              </w:rPr>
            </w:pPr>
            <w:r>
              <w:rPr>
                <w:rFonts w:cs="Times New Roman"/>
                <w:szCs w:val="24"/>
              </w:rPr>
              <w:t>0.517197</w:t>
            </w:r>
          </w:p>
        </w:tc>
        <w:tc>
          <w:tcPr>
            <w:tcW w:w="678" w:type="pct"/>
            <w:tcBorders>
              <w:top w:val="nil"/>
              <w:left w:val="nil"/>
              <w:bottom w:val="single" w:sz="4" w:space="0" w:color="auto"/>
              <w:right w:val="single" w:sz="4" w:space="0" w:color="auto"/>
            </w:tcBorders>
            <w:noWrap/>
            <w:vAlign w:val="bottom"/>
            <w:hideMark/>
          </w:tcPr>
          <w:p w14:paraId="42DD85FD" w14:textId="77777777" w:rsidR="00955CDE" w:rsidRDefault="00955CDE" w:rsidP="00590AA8">
            <w:pPr>
              <w:spacing w:after="0" w:line="240" w:lineRule="auto"/>
              <w:jc w:val="right"/>
              <w:rPr>
                <w:rFonts w:cs="Times New Roman"/>
                <w:szCs w:val="24"/>
              </w:rPr>
            </w:pPr>
            <w:r>
              <w:rPr>
                <w:rFonts w:cs="Times New Roman"/>
                <w:szCs w:val="24"/>
              </w:rPr>
              <w:t>0.228872</w:t>
            </w:r>
          </w:p>
        </w:tc>
        <w:tc>
          <w:tcPr>
            <w:tcW w:w="583" w:type="pct"/>
            <w:tcBorders>
              <w:top w:val="nil"/>
              <w:left w:val="nil"/>
              <w:bottom w:val="single" w:sz="4" w:space="0" w:color="auto"/>
              <w:right w:val="single" w:sz="4" w:space="0" w:color="auto"/>
            </w:tcBorders>
            <w:noWrap/>
            <w:vAlign w:val="bottom"/>
            <w:hideMark/>
          </w:tcPr>
          <w:p w14:paraId="476A1739"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4C09B727"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6023E20F"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228BFA0B" w14:textId="77777777" w:rsidR="00955CDE" w:rsidRDefault="00955CDE" w:rsidP="00590AA8">
            <w:pPr>
              <w:spacing w:after="0" w:line="240" w:lineRule="auto"/>
              <w:rPr>
                <w:rFonts w:cs="Times New Roman"/>
                <w:szCs w:val="24"/>
              </w:rPr>
            </w:pPr>
            <w:r>
              <w:rPr>
                <w:rFonts w:cs="Times New Roman"/>
                <w:szCs w:val="24"/>
              </w:rPr>
              <w:t>Growth of SME index</w:t>
            </w:r>
          </w:p>
        </w:tc>
        <w:tc>
          <w:tcPr>
            <w:tcW w:w="583" w:type="pct"/>
            <w:tcBorders>
              <w:top w:val="nil"/>
              <w:left w:val="nil"/>
              <w:bottom w:val="single" w:sz="4" w:space="0" w:color="auto"/>
              <w:right w:val="single" w:sz="4" w:space="0" w:color="auto"/>
            </w:tcBorders>
            <w:noWrap/>
            <w:vAlign w:val="bottom"/>
            <w:hideMark/>
          </w:tcPr>
          <w:p w14:paraId="6F04429F"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117CCAAC" w14:textId="77777777" w:rsidR="00955CDE" w:rsidRDefault="00955CDE" w:rsidP="00590AA8">
            <w:pPr>
              <w:spacing w:after="0" w:line="240" w:lineRule="auto"/>
              <w:jc w:val="right"/>
              <w:rPr>
                <w:rFonts w:cs="Times New Roman"/>
                <w:szCs w:val="24"/>
              </w:rPr>
            </w:pPr>
            <w:r>
              <w:rPr>
                <w:rFonts w:cs="Times New Roman"/>
                <w:szCs w:val="24"/>
              </w:rPr>
              <w:t>0.663331</w:t>
            </w:r>
          </w:p>
        </w:tc>
        <w:tc>
          <w:tcPr>
            <w:tcW w:w="678" w:type="pct"/>
            <w:tcBorders>
              <w:top w:val="nil"/>
              <w:left w:val="nil"/>
              <w:bottom w:val="single" w:sz="4" w:space="0" w:color="auto"/>
              <w:right w:val="single" w:sz="4" w:space="0" w:color="auto"/>
            </w:tcBorders>
            <w:noWrap/>
            <w:vAlign w:val="bottom"/>
            <w:hideMark/>
          </w:tcPr>
          <w:p w14:paraId="7B77D42A" w14:textId="77777777" w:rsidR="00955CDE" w:rsidRDefault="00955CDE" w:rsidP="00590AA8">
            <w:pPr>
              <w:spacing w:after="0" w:line="240" w:lineRule="auto"/>
              <w:jc w:val="right"/>
              <w:rPr>
                <w:rFonts w:cs="Times New Roman"/>
                <w:szCs w:val="24"/>
              </w:rPr>
            </w:pPr>
            <w:r>
              <w:rPr>
                <w:rFonts w:cs="Times New Roman"/>
                <w:szCs w:val="24"/>
              </w:rPr>
              <w:t>0.282842</w:t>
            </w:r>
          </w:p>
        </w:tc>
        <w:tc>
          <w:tcPr>
            <w:tcW w:w="583" w:type="pct"/>
            <w:tcBorders>
              <w:top w:val="nil"/>
              <w:left w:val="nil"/>
              <w:bottom w:val="single" w:sz="4" w:space="0" w:color="auto"/>
              <w:right w:val="single" w:sz="4" w:space="0" w:color="auto"/>
            </w:tcBorders>
            <w:noWrap/>
            <w:vAlign w:val="bottom"/>
            <w:hideMark/>
          </w:tcPr>
          <w:p w14:paraId="3F134B7D"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6243DA8B"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5B145B58"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5BA431F0" w14:textId="77777777" w:rsidR="00955CDE" w:rsidRDefault="00955CDE" w:rsidP="00590AA8">
            <w:pPr>
              <w:spacing w:after="0" w:line="240" w:lineRule="auto"/>
              <w:rPr>
                <w:rFonts w:cs="Times New Roman"/>
                <w:szCs w:val="24"/>
              </w:rPr>
            </w:pPr>
            <w:r>
              <w:rPr>
                <w:rFonts w:cs="Times New Roman"/>
                <w:szCs w:val="24"/>
              </w:rPr>
              <w:t>Duration of operation</w:t>
            </w:r>
          </w:p>
        </w:tc>
        <w:tc>
          <w:tcPr>
            <w:tcW w:w="583" w:type="pct"/>
            <w:tcBorders>
              <w:top w:val="nil"/>
              <w:left w:val="nil"/>
              <w:bottom w:val="single" w:sz="4" w:space="0" w:color="auto"/>
              <w:right w:val="single" w:sz="4" w:space="0" w:color="auto"/>
            </w:tcBorders>
            <w:noWrap/>
            <w:vAlign w:val="bottom"/>
            <w:hideMark/>
          </w:tcPr>
          <w:p w14:paraId="451CB1E2" w14:textId="77777777" w:rsidR="00955CDE" w:rsidRDefault="00955CDE" w:rsidP="00590AA8">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14:paraId="78E101F1" w14:textId="77777777" w:rsidR="00955CDE" w:rsidRDefault="00955CDE" w:rsidP="00590AA8">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14:paraId="6B146865" w14:textId="77777777" w:rsidR="00955CDE" w:rsidRDefault="00955CDE" w:rsidP="00590AA8">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14:paraId="08F5CFA0" w14:textId="77777777" w:rsidR="00955CDE" w:rsidRDefault="00955CDE" w:rsidP="00590AA8">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14:paraId="592AD403" w14:textId="77777777" w:rsidR="00955CDE" w:rsidRDefault="00955CDE" w:rsidP="00590AA8">
            <w:pPr>
              <w:spacing w:after="0" w:line="240" w:lineRule="auto"/>
              <w:rPr>
                <w:rFonts w:cs="Times New Roman"/>
                <w:szCs w:val="24"/>
              </w:rPr>
            </w:pPr>
            <w:r>
              <w:rPr>
                <w:rFonts w:cs="Times New Roman"/>
                <w:szCs w:val="24"/>
              </w:rPr>
              <w:t> </w:t>
            </w:r>
          </w:p>
        </w:tc>
      </w:tr>
      <w:tr w:rsidR="00955CDE" w14:paraId="6E17273D"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37011A28" w14:textId="77777777" w:rsidR="00955CDE" w:rsidRDefault="00955CDE" w:rsidP="00590AA8">
            <w:pPr>
              <w:spacing w:after="0" w:line="240" w:lineRule="auto"/>
              <w:jc w:val="right"/>
              <w:rPr>
                <w:rFonts w:cs="Times New Roman"/>
                <w:szCs w:val="24"/>
              </w:rPr>
            </w:pPr>
            <w:r>
              <w:rPr>
                <w:rFonts w:cs="Times New Roman"/>
                <w:szCs w:val="24"/>
              </w:rPr>
              <w:t>&lt;5</w:t>
            </w:r>
          </w:p>
        </w:tc>
        <w:tc>
          <w:tcPr>
            <w:tcW w:w="583" w:type="pct"/>
            <w:tcBorders>
              <w:top w:val="nil"/>
              <w:left w:val="nil"/>
              <w:bottom w:val="single" w:sz="4" w:space="0" w:color="auto"/>
              <w:right w:val="single" w:sz="4" w:space="0" w:color="auto"/>
            </w:tcBorders>
            <w:noWrap/>
            <w:vAlign w:val="bottom"/>
            <w:hideMark/>
          </w:tcPr>
          <w:p w14:paraId="40554C8B"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23664C6F" w14:textId="77777777" w:rsidR="00955CDE" w:rsidRDefault="00955CDE" w:rsidP="00590AA8">
            <w:pPr>
              <w:spacing w:after="0" w:line="240" w:lineRule="auto"/>
              <w:jc w:val="right"/>
              <w:rPr>
                <w:rFonts w:cs="Times New Roman"/>
                <w:szCs w:val="24"/>
              </w:rPr>
            </w:pPr>
            <w:r>
              <w:rPr>
                <w:rFonts w:cs="Times New Roman"/>
                <w:szCs w:val="24"/>
              </w:rPr>
              <w:t>0.328947</w:t>
            </w:r>
          </w:p>
        </w:tc>
        <w:tc>
          <w:tcPr>
            <w:tcW w:w="678" w:type="pct"/>
            <w:tcBorders>
              <w:top w:val="nil"/>
              <w:left w:val="nil"/>
              <w:bottom w:val="single" w:sz="4" w:space="0" w:color="auto"/>
              <w:right w:val="single" w:sz="4" w:space="0" w:color="auto"/>
            </w:tcBorders>
            <w:noWrap/>
            <w:vAlign w:val="bottom"/>
            <w:hideMark/>
          </w:tcPr>
          <w:p w14:paraId="268F134B" w14:textId="77777777" w:rsidR="00955CDE" w:rsidRDefault="00955CDE" w:rsidP="00590AA8">
            <w:pPr>
              <w:spacing w:after="0" w:line="240" w:lineRule="auto"/>
              <w:jc w:val="right"/>
              <w:rPr>
                <w:rFonts w:cs="Times New Roman"/>
                <w:szCs w:val="24"/>
              </w:rPr>
            </w:pPr>
            <w:r>
              <w:rPr>
                <w:rFonts w:cs="Times New Roman"/>
                <w:szCs w:val="24"/>
              </w:rPr>
              <w:t>0.470606</w:t>
            </w:r>
          </w:p>
        </w:tc>
        <w:tc>
          <w:tcPr>
            <w:tcW w:w="583" w:type="pct"/>
            <w:tcBorders>
              <w:top w:val="nil"/>
              <w:left w:val="nil"/>
              <w:bottom w:val="single" w:sz="4" w:space="0" w:color="auto"/>
              <w:right w:val="single" w:sz="4" w:space="0" w:color="auto"/>
            </w:tcBorders>
            <w:noWrap/>
            <w:vAlign w:val="bottom"/>
            <w:hideMark/>
          </w:tcPr>
          <w:p w14:paraId="59E3FD56"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1A7AA4F6"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6B3D685D"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09494001" w14:textId="77777777" w:rsidR="00955CDE" w:rsidRDefault="00955CDE" w:rsidP="00590AA8">
            <w:pPr>
              <w:spacing w:after="0" w:line="240" w:lineRule="auto"/>
              <w:jc w:val="right"/>
              <w:rPr>
                <w:rFonts w:cs="Times New Roman"/>
                <w:szCs w:val="24"/>
              </w:rPr>
            </w:pPr>
            <w:r>
              <w:rPr>
                <w:rFonts w:cs="Times New Roman"/>
                <w:szCs w:val="24"/>
              </w:rPr>
              <w:t>5-9</w:t>
            </w:r>
          </w:p>
        </w:tc>
        <w:tc>
          <w:tcPr>
            <w:tcW w:w="583" w:type="pct"/>
            <w:tcBorders>
              <w:top w:val="nil"/>
              <w:left w:val="nil"/>
              <w:bottom w:val="single" w:sz="4" w:space="0" w:color="auto"/>
              <w:right w:val="single" w:sz="4" w:space="0" w:color="auto"/>
            </w:tcBorders>
            <w:noWrap/>
            <w:vAlign w:val="bottom"/>
            <w:hideMark/>
          </w:tcPr>
          <w:p w14:paraId="5A292F1E"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79017A0C" w14:textId="77777777" w:rsidR="00955CDE" w:rsidRDefault="00955CDE" w:rsidP="00590AA8">
            <w:pPr>
              <w:spacing w:after="0" w:line="240" w:lineRule="auto"/>
              <w:jc w:val="right"/>
              <w:rPr>
                <w:rFonts w:cs="Times New Roman"/>
                <w:szCs w:val="24"/>
              </w:rPr>
            </w:pPr>
            <w:r>
              <w:rPr>
                <w:rFonts w:cs="Times New Roman"/>
                <w:szCs w:val="24"/>
              </w:rPr>
              <w:t>0.3125</w:t>
            </w:r>
          </w:p>
        </w:tc>
        <w:tc>
          <w:tcPr>
            <w:tcW w:w="678" w:type="pct"/>
            <w:tcBorders>
              <w:top w:val="nil"/>
              <w:left w:val="nil"/>
              <w:bottom w:val="single" w:sz="4" w:space="0" w:color="auto"/>
              <w:right w:val="single" w:sz="4" w:space="0" w:color="auto"/>
            </w:tcBorders>
            <w:noWrap/>
            <w:vAlign w:val="bottom"/>
            <w:hideMark/>
          </w:tcPr>
          <w:p w14:paraId="48B40AA1" w14:textId="77777777" w:rsidR="00955CDE" w:rsidRDefault="00955CDE" w:rsidP="00590AA8">
            <w:pPr>
              <w:spacing w:after="0" w:line="240" w:lineRule="auto"/>
              <w:jc w:val="right"/>
              <w:rPr>
                <w:rFonts w:cs="Times New Roman"/>
                <w:szCs w:val="24"/>
              </w:rPr>
            </w:pPr>
            <w:r>
              <w:rPr>
                <w:rFonts w:cs="Times New Roman"/>
                <w:szCs w:val="24"/>
              </w:rPr>
              <w:t>0.464277</w:t>
            </w:r>
          </w:p>
        </w:tc>
        <w:tc>
          <w:tcPr>
            <w:tcW w:w="583" w:type="pct"/>
            <w:tcBorders>
              <w:top w:val="nil"/>
              <w:left w:val="nil"/>
              <w:bottom w:val="single" w:sz="4" w:space="0" w:color="auto"/>
              <w:right w:val="single" w:sz="4" w:space="0" w:color="auto"/>
            </w:tcBorders>
            <w:noWrap/>
            <w:vAlign w:val="bottom"/>
            <w:hideMark/>
          </w:tcPr>
          <w:p w14:paraId="3E08AE76"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6E19B4E3"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6902D7CD"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2DD9BA63" w14:textId="77777777" w:rsidR="00955CDE" w:rsidRDefault="00955CDE" w:rsidP="00590AA8">
            <w:pPr>
              <w:spacing w:after="0" w:line="240" w:lineRule="auto"/>
              <w:jc w:val="right"/>
              <w:rPr>
                <w:rFonts w:cs="Times New Roman"/>
                <w:szCs w:val="24"/>
              </w:rPr>
            </w:pPr>
            <w:r>
              <w:rPr>
                <w:rFonts w:cs="Times New Roman"/>
                <w:szCs w:val="24"/>
              </w:rPr>
              <w:t>10-14</w:t>
            </w:r>
          </w:p>
        </w:tc>
        <w:tc>
          <w:tcPr>
            <w:tcW w:w="583" w:type="pct"/>
            <w:tcBorders>
              <w:top w:val="nil"/>
              <w:left w:val="nil"/>
              <w:bottom w:val="single" w:sz="4" w:space="0" w:color="auto"/>
              <w:right w:val="single" w:sz="4" w:space="0" w:color="auto"/>
            </w:tcBorders>
            <w:noWrap/>
            <w:vAlign w:val="bottom"/>
            <w:hideMark/>
          </w:tcPr>
          <w:p w14:paraId="14D03285"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122EE7E5" w14:textId="77777777" w:rsidR="00955CDE" w:rsidRDefault="00955CDE" w:rsidP="00590AA8">
            <w:pPr>
              <w:spacing w:after="0" w:line="240" w:lineRule="auto"/>
              <w:jc w:val="right"/>
              <w:rPr>
                <w:rFonts w:cs="Times New Roman"/>
                <w:szCs w:val="24"/>
              </w:rPr>
            </w:pPr>
            <w:r>
              <w:rPr>
                <w:rFonts w:cs="Times New Roman"/>
                <w:szCs w:val="24"/>
              </w:rPr>
              <w:t>0.194079</w:t>
            </w:r>
          </w:p>
        </w:tc>
        <w:tc>
          <w:tcPr>
            <w:tcW w:w="678" w:type="pct"/>
            <w:tcBorders>
              <w:top w:val="nil"/>
              <w:left w:val="nil"/>
              <w:bottom w:val="single" w:sz="4" w:space="0" w:color="auto"/>
              <w:right w:val="single" w:sz="4" w:space="0" w:color="auto"/>
            </w:tcBorders>
            <w:noWrap/>
            <w:vAlign w:val="bottom"/>
            <w:hideMark/>
          </w:tcPr>
          <w:p w14:paraId="2C82EBEC" w14:textId="77777777" w:rsidR="00955CDE" w:rsidRDefault="00955CDE" w:rsidP="00590AA8">
            <w:pPr>
              <w:spacing w:after="0" w:line="240" w:lineRule="auto"/>
              <w:jc w:val="right"/>
              <w:rPr>
                <w:rFonts w:cs="Times New Roman"/>
                <w:szCs w:val="24"/>
              </w:rPr>
            </w:pPr>
            <w:r>
              <w:rPr>
                <w:rFonts w:cs="Times New Roman"/>
                <w:szCs w:val="24"/>
              </w:rPr>
              <w:t>0.396142</w:t>
            </w:r>
          </w:p>
        </w:tc>
        <w:tc>
          <w:tcPr>
            <w:tcW w:w="583" w:type="pct"/>
            <w:tcBorders>
              <w:top w:val="nil"/>
              <w:left w:val="nil"/>
              <w:bottom w:val="single" w:sz="4" w:space="0" w:color="auto"/>
              <w:right w:val="single" w:sz="4" w:space="0" w:color="auto"/>
            </w:tcBorders>
            <w:noWrap/>
            <w:vAlign w:val="bottom"/>
            <w:hideMark/>
          </w:tcPr>
          <w:p w14:paraId="35A18B43"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11684A9B"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4A5A6689"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2D1DB5DB" w14:textId="77777777" w:rsidR="00955CDE" w:rsidRDefault="00955CDE" w:rsidP="00590AA8">
            <w:pPr>
              <w:spacing w:after="0" w:line="240" w:lineRule="auto"/>
              <w:jc w:val="right"/>
              <w:rPr>
                <w:rFonts w:cs="Times New Roman"/>
                <w:szCs w:val="24"/>
              </w:rPr>
            </w:pPr>
            <w:r>
              <w:rPr>
                <w:rFonts w:cs="Times New Roman"/>
                <w:szCs w:val="24"/>
              </w:rPr>
              <w:t>15-19</w:t>
            </w:r>
          </w:p>
        </w:tc>
        <w:tc>
          <w:tcPr>
            <w:tcW w:w="583" w:type="pct"/>
            <w:tcBorders>
              <w:top w:val="nil"/>
              <w:left w:val="nil"/>
              <w:bottom w:val="single" w:sz="4" w:space="0" w:color="auto"/>
              <w:right w:val="single" w:sz="4" w:space="0" w:color="auto"/>
            </w:tcBorders>
            <w:noWrap/>
            <w:vAlign w:val="bottom"/>
            <w:hideMark/>
          </w:tcPr>
          <w:p w14:paraId="67D658FD"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2520D839" w14:textId="77777777" w:rsidR="00955CDE" w:rsidRDefault="00955CDE" w:rsidP="00590AA8">
            <w:pPr>
              <w:spacing w:after="0" w:line="240" w:lineRule="auto"/>
              <w:jc w:val="right"/>
              <w:rPr>
                <w:rFonts w:cs="Times New Roman"/>
                <w:szCs w:val="24"/>
              </w:rPr>
            </w:pPr>
            <w:r>
              <w:rPr>
                <w:rFonts w:cs="Times New Roman"/>
                <w:szCs w:val="24"/>
              </w:rPr>
              <w:t>0.088816</w:t>
            </w:r>
          </w:p>
        </w:tc>
        <w:tc>
          <w:tcPr>
            <w:tcW w:w="678" w:type="pct"/>
            <w:tcBorders>
              <w:top w:val="nil"/>
              <w:left w:val="nil"/>
              <w:bottom w:val="single" w:sz="4" w:space="0" w:color="auto"/>
              <w:right w:val="single" w:sz="4" w:space="0" w:color="auto"/>
            </w:tcBorders>
            <w:noWrap/>
            <w:vAlign w:val="bottom"/>
            <w:hideMark/>
          </w:tcPr>
          <w:p w14:paraId="7813D546" w14:textId="77777777" w:rsidR="00955CDE" w:rsidRDefault="00955CDE" w:rsidP="00590AA8">
            <w:pPr>
              <w:spacing w:after="0" w:line="240" w:lineRule="auto"/>
              <w:jc w:val="right"/>
              <w:rPr>
                <w:rFonts w:cs="Times New Roman"/>
                <w:szCs w:val="24"/>
              </w:rPr>
            </w:pPr>
            <w:r>
              <w:rPr>
                <w:rFonts w:cs="Times New Roman"/>
                <w:szCs w:val="24"/>
              </w:rPr>
              <w:t>0.284947</w:t>
            </w:r>
          </w:p>
        </w:tc>
        <w:tc>
          <w:tcPr>
            <w:tcW w:w="583" w:type="pct"/>
            <w:tcBorders>
              <w:top w:val="nil"/>
              <w:left w:val="nil"/>
              <w:bottom w:val="single" w:sz="4" w:space="0" w:color="auto"/>
              <w:right w:val="single" w:sz="4" w:space="0" w:color="auto"/>
            </w:tcBorders>
            <w:noWrap/>
            <w:vAlign w:val="bottom"/>
            <w:hideMark/>
          </w:tcPr>
          <w:p w14:paraId="2BE9E514"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4705F37A"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3C29D076"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091C8019" w14:textId="77777777" w:rsidR="00955CDE" w:rsidRDefault="00955CDE" w:rsidP="00590AA8">
            <w:pPr>
              <w:spacing w:after="0" w:line="240" w:lineRule="auto"/>
              <w:jc w:val="right"/>
              <w:rPr>
                <w:rFonts w:cs="Times New Roman"/>
                <w:szCs w:val="24"/>
              </w:rPr>
            </w:pPr>
            <w:r>
              <w:rPr>
                <w:rFonts w:cs="Times New Roman"/>
                <w:szCs w:val="24"/>
              </w:rPr>
              <w:t>20 and above</w:t>
            </w:r>
          </w:p>
        </w:tc>
        <w:tc>
          <w:tcPr>
            <w:tcW w:w="583" w:type="pct"/>
            <w:tcBorders>
              <w:top w:val="nil"/>
              <w:left w:val="nil"/>
              <w:bottom w:val="single" w:sz="4" w:space="0" w:color="auto"/>
              <w:right w:val="single" w:sz="4" w:space="0" w:color="auto"/>
            </w:tcBorders>
            <w:noWrap/>
            <w:vAlign w:val="bottom"/>
            <w:hideMark/>
          </w:tcPr>
          <w:p w14:paraId="256AE8E5"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11755A4F" w14:textId="77777777" w:rsidR="00955CDE" w:rsidRDefault="00955CDE" w:rsidP="00590AA8">
            <w:pPr>
              <w:spacing w:after="0" w:line="240" w:lineRule="auto"/>
              <w:jc w:val="right"/>
              <w:rPr>
                <w:rFonts w:cs="Times New Roman"/>
                <w:szCs w:val="24"/>
              </w:rPr>
            </w:pPr>
            <w:r>
              <w:rPr>
                <w:rFonts w:cs="Times New Roman"/>
                <w:szCs w:val="24"/>
              </w:rPr>
              <w:t>0.075658</w:t>
            </w:r>
          </w:p>
        </w:tc>
        <w:tc>
          <w:tcPr>
            <w:tcW w:w="678" w:type="pct"/>
            <w:tcBorders>
              <w:top w:val="nil"/>
              <w:left w:val="nil"/>
              <w:bottom w:val="single" w:sz="4" w:space="0" w:color="auto"/>
              <w:right w:val="single" w:sz="4" w:space="0" w:color="auto"/>
            </w:tcBorders>
            <w:noWrap/>
            <w:vAlign w:val="bottom"/>
            <w:hideMark/>
          </w:tcPr>
          <w:p w14:paraId="5E163641" w14:textId="77777777" w:rsidR="00955CDE" w:rsidRDefault="00955CDE" w:rsidP="00590AA8">
            <w:pPr>
              <w:spacing w:after="0" w:line="240" w:lineRule="auto"/>
              <w:jc w:val="right"/>
              <w:rPr>
                <w:rFonts w:cs="Times New Roman"/>
                <w:szCs w:val="24"/>
              </w:rPr>
            </w:pPr>
            <w:r>
              <w:rPr>
                <w:rFonts w:cs="Times New Roman"/>
                <w:szCs w:val="24"/>
              </w:rPr>
              <w:t>0.264886</w:t>
            </w:r>
          </w:p>
        </w:tc>
        <w:tc>
          <w:tcPr>
            <w:tcW w:w="583" w:type="pct"/>
            <w:tcBorders>
              <w:top w:val="nil"/>
              <w:left w:val="nil"/>
              <w:bottom w:val="single" w:sz="4" w:space="0" w:color="auto"/>
              <w:right w:val="single" w:sz="4" w:space="0" w:color="auto"/>
            </w:tcBorders>
            <w:noWrap/>
            <w:vAlign w:val="bottom"/>
            <w:hideMark/>
          </w:tcPr>
          <w:p w14:paraId="152C463D"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5E8F57D8"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5BC038CF"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2B2F1449" w14:textId="77777777" w:rsidR="00955CDE" w:rsidRDefault="00955CDE" w:rsidP="00590AA8">
            <w:pPr>
              <w:spacing w:after="0" w:line="240" w:lineRule="auto"/>
              <w:rPr>
                <w:rFonts w:cs="Times New Roman"/>
                <w:szCs w:val="24"/>
              </w:rPr>
            </w:pPr>
            <w:r>
              <w:rPr>
                <w:rFonts w:cs="Times New Roman"/>
                <w:szCs w:val="24"/>
              </w:rPr>
              <w:t xml:space="preserve">Number of Employees </w:t>
            </w:r>
          </w:p>
        </w:tc>
        <w:tc>
          <w:tcPr>
            <w:tcW w:w="583" w:type="pct"/>
            <w:tcBorders>
              <w:top w:val="nil"/>
              <w:left w:val="nil"/>
              <w:bottom w:val="single" w:sz="4" w:space="0" w:color="auto"/>
              <w:right w:val="single" w:sz="4" w:space="0" w:color="auto"/>
            </w:tcBorders>
            <w:noWrap/>
            <w:vAlign w:val="bottom"/>
            <w:hideMark/>
          </w:tcPr>
          <w:p w14:paraId="482A110E" w14:textId="77777777" w:rsidR="00955CDE" w:rsidRDefault="00955CDE" w:rsidP="00590AA8">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14:paraId="10DD2C71" w14:textId="77777777" w:rsidR="00955CDE" w:rsidRDefault="00955CDE" w:rsidP="00590AA8">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14:paraId="0FFEA32D" w14:textId="77777777" w:rsidR="00955CDE" w:rsidRDefault="00955CDE" w:rsidP="00590AA8">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14:paraId="36C6AAB3" w14:textId="77777777" w:rsidR="00955CDE" w:rsidRDefault="00955CDE" w:rsidP="00590AA8">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14:paraId="7E8F5516" w14:textId="77777777" w:rsidR="00955CDE" w:rsidRDefault="00955CDE" w:rsidP="00590AA8">
            <w:pPr>
              <w:spacing w:after="0" w:line="240" w:lineRule="auto"/>
              <w:rPr>
                <w:rFonts w:cs="Times New Roman"/>
                <w:szCs w:val="24"/>
              </w:rPr>
            </w:pPr>
            <w:r>
              <w:rPr>
                <w:rFonts w:cs="Times New Roman"/>
                <w:szCs w:val="24"/>
              </w:rPr>
              <w:t> </w:t>
            </w:r>
          </w:p>
        </w:tc>
      </w:tr>
      <w:tr w:rsidR="00955CDE" w14:paraId="3F8F32A3"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785034F0" w14:textId="77777777" w:rsidR="00955CDE" w:rsidRDefault="00955CDE" w:rsidP="00590AA8">
            <w:pPr>
              <w:spacing w:after="0" w:line="240" w:lineRule="auto"/>
              <w:jc w:val="right"/>
              <w:rPr>
                <w:rFonts w:cs="Times New Roman"/>
                <w:szCs w:val="24"/>
              </w:rPr>
            </w:pPr>
            <w:r>
              <w:rPr>
                <w:rFonts w:cs="Times New Roman"/>
                <w:szCs w:val="24"/>
              </w:rPr>
              <w:t>&lt; 6</w:t>
            </w:r>
          </w:p>
        </w:tc>
        <w:tc>
          <w:tcPr>
            <w:tcW w:w="583" w:type="pct"/>
            <w:tcBorders>
              <w:top w:val="nil"/>
              <w:left w:val="nil"/>
              <w:bottom w:val="single" w:sz="4" w:space="0" w:color="auto"/>
              <w:right w:val="single" w:sz="4" w:space="0" w:color="auto"/>
            </w:tcBorders>
            <w:noWrap/>
            <w:vAlign w:val="bottom"/>
            <w:hideMark/>
          </w:tcPr>
          <w:p w14:paraId="380BCFED"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383490F0" w14:textId="77777777" w:rsidR="00955CDE" w:rsidRDefault="00955CDE" w:rsidP="00590AA8">
            <w:pPr>
              <w:spacing w:after="0" w:line="240" w:lineRule="auto"/>
              <w:jc w:val="right"/>
              <w:rPr>
                <w:rFonts w:cs="Times New Roman"/>
                <w:szCs w:val="24"/>
              </w:rPr>
            </w:pPr>
            <w:r>
              <w:rPr>
                <w:rFonts w:cs="Times New Roman"/>
                <w:szCs w:val="24"/>
              </w:rPr>
              <w:t>0.371711</w:t>
            </w:r>
          </w:p>
        </w:tc>
        <w:tc>
          <w:tcPr>
            <w:tcW w:w="678" w:type="pct"/>
            <w:tcBorders>
              <w:top w:val="nil"/>
              <w:left w:val="nil"/>
              <w:bottom w:val="single" w:sz="4" w:space="0" w:color="auto"/>
              <w:right w:val="single" w:sz="4" w:space="0" w:color="auto"/>
            </w:tcBorders>
            <w:noWrap/>
            <w:vAlign w:val="bottom"/>
            <w:hideMark/>
          </w:tcPr>
          <w:p w14:paraId="53A918DC" w14:textId="77777777" w:rsidR="00955CDE" w:rsidRDefault="00955CDE" w:rsidP="00590AA8">
            <w:pPr>
              <w:spacing w:after="0" w:line="240" w:lineRule="auto"/>
              <w:jc w:val="right"/>
              <w:rPr>
                <w:rFonts w:cs="Times New Roman"/>
                <w:szCs w:val="24"/>
              </w:rPr>
            </w:pPr>
            <w:r>
              <w:rPr>
                <w:rFonts w:cs="Times New Roman"/>
                <w:szCs w:val="24"/>
              </w:rPr>
              <w:t>0.484058</w:t>
            </w:r>
          </w:p>
        </w:tc>
        <w:tc>
          <w:tcPr>
            <w:tcW w:w="583" w:type="pct"/>
            <w:tcBorders>
              <w:top w:val="nil"/>
              <w:left w:val="nil"/>
              <w:bottom w:val="single" w:sz="4" w:space="0" w:color="auto"/>
              <w:right w:val="single" w:sz="4" w:space="0" w:color="auto"/>
            </w:tcBorders>
            <w:noWrap/>
            <w:vAlign w:val="bottom"/>
            <w:hideMark/>
          </w:tcPr>
          <w:p w14:paraId="192B8950"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363F904A"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2D93BD9D"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73966330" w14:textId="77777777" w:rsidR="00955CDE" w:rsidRDefault="00955CDE" w:rsidP="00590AA8">
            <w:pPr>
              <w:spacing w:after="0" w:line="240" w:lineRule="auto"/>
              <w:jc w:val="right"/>
              <w:rPr>
                <w:rFonts w:cs="Times New Roman"/>
                <w:szCs w:val="24"/>
              </w:rPr>
            </w:pPr>
            <w:r>
              <w:rPr>
                <w:rFonts w:cs="Times New Roman"/>
                <w:szCs w:val="24"/>
              </w:rPr>
              <w:t>6-20</w:t>
            </w:r>
          </w:p>
        </w:tc>
        <w:tc>
          <w:tcPr>
            <w:tcW w:w="583" w:type="pct"/>
            <w:tcBorders>
              <w:top w:val="nil"/>
              <w:left w:val="nil"/>
              <w:bottom w:val="single" w:sz="4" w:space="0" w:color="auto"/>
              <w:right w:val="single" w:sz="4" w:space="0" w:color="auto"/>
            </w:tcBorders>
            <w:noWrap/>
            <w:vAlign w:val="bottom"/>
            <w:hideMark/>
          </w:tcPr>
          <w:p w14:paraId="6B682FAE"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16FA212C" w14:textId="77777777" w:rsidR="00955CDE" w:rsidRDefault="00955CDE" w:rsidP="00590AA8">
            <w:pPr>
              <w:spacing w:after="0" w:line="240" w:lineRule="auto"/>
              <w:jc w:val="right"/>
              <w:rPr>
                <w:rFonts w:cs="Times New Roman"/>
                <w:szCs w:val="24"/>
              </w:rPr>
            </w:pPr>
            <w:r>
              <w:rPr>
                <w:rFonts w:cs="Times New Roman"/>
                <w:szCs w:val="24"/>
              </w:rPr>
              <w:t>0.473684</w:t>
            </w:r>
          </w:p>
        </w:tc>
        <w:tc>
          <w:tcPr>
            <w:tcW w:w="678" w:type="pct"/>
            <w:tcBorders>
              <w:top w:val="nil"/>
              <w:left w:val="nil"/>
              <w:bottom w:val="single" w:sz="4" w:space="0" w:color="auto"/>
              <w:right w:val="single" w:sz="4" w:space="0" w:color="auto"/>
            </w:tcBorders>
            <w:noWrap/>
            <w:vAlign w:val="bottom"/>
            <w:hideMark/>
          </w:tcPr>
          <w:p w14:paraId="14D74B4F" w14:textId="77777777" w:rsidR="00955CDE" w:rsidRDefault="00955CDE" w:rsidP="00590AA8">
            <w:pPr>
              <w:spacing w:after="0" w:line="240" w:lineRule="auto"/>
              <w:jc w:val="right"/>
              <w:rPr>
                <w:rFonts w:cs="Times New Roman"/>
                <w:szCs w:val="24"/>
              </w:rPr>
            </w:pPr>
            <w:r>
              <w:rPr>
                <w:rFonts w:cs="Times New Roman"/>
                <w:szCs w:val="24"/>
              </w:rPr>
              <w:t>0.50013</w:t>
            </w:r>
          </w:p>
        </w:tc>
        <w:tc>
          <w:tcPr>
            <w:tcW w:w="583" w:type="pct"/>
            <w:tcBorders>
              <w:top w:val="nil"/>
              <w:left w:val="nil"/>
              <w:bottom w:val="single" w:sz="4" w:space="0" w:color="auto"/>
              <w:right w:val="single" w:sz="4" w:space="0" w:color="auto"/>
            </w:tcBorders>
            <w:noWrap/>
            <w:vAlign w:val="bottom"/>
            <w:hideMark/>
          </w:tcPr>
          <w:p w14:paraId="2270E3A0"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5FD9475E" w14:textId="77777777" w:rsidR="00955CDE" w:rsidRDefault="00955CDE" w:rsidP="00590AA8">
            <w:pPr>
              <w:spacing w:after="0" w:line="240" w:lineRule="auto"/>
              <w:jc w:val="right"/>
              <w:rPr>
                <w:rFonts w:cs="Times New Roman"/>
                <w:szCs w:val="24"/>
              </w:rPr>
            </w:pPr>
            <w:r>
              <w:rPr>
                <w:rFonts w:cs="Times New Roman"/>
                <w:szCs w:val="24"/>
              </w:rPr>
              <w:t>1</w:t>
            </w:r>
          </w:p>
        </w:tc>
      </w:tr>
      <w:tr w:rsidR="00955CDE" w14:paraId="74673B77" w14:textId="77777777" w:rsidTr="00590AA8">
        <w:trPr>
          <w:trHeight w:val="307"/>
        </w:trPr>
        <w:tc>
          <w:tcPr>
            <w:tcW w:w="1895" w:type="pct"/>
            <w:tcBorders>
              <w:top w:val="nil"/>
              <w:left w:val="single" w:sz="4" w:space="0" w:color="auto"/>
              <w:bottom w:val="single" w:sz="4" w:space="0" w:color="auto"/>
              <w:right w:val="single" w:sz="4" w:space="0" w:color="auto"/>
            </w:tcBorders>
            <w:noWrap/>
            <w:vAlign w:val="bottom"/>
            <w:hideMark/>
          </w:tcPr>
          <w:p w14:paraId="17DDE90F" w14:textId="77777777" w:rsidR="00955CDE" w:rsidRDefault="00955CDE" w:rsidP="00590AA8">
            <w:pPr>
              <w:spacing w:after="0" w:line="240" w:lineRule="auto"/>
              <w:jc w:val="right"/>
              <w:rPr>
                <w:rFonts w:cs="Times New Roman"/>
                <w:szCs w:val="24"/>
              </w:rPr>
            </w:pPr>
            <w:r>
              <w:rPr>
                <w:rFonts w:cs="Times New Roman"/>
                <w:szCs w:val="24"/>
              </w:rPr>
              <w:t>21-100</w:t>
            </w:r>
          </w:p>
        </w:tc>
        <w:tc>
          <w:tcPr>
            <w:tcW w:w="583" w:type="pct"/>
            <w:tcBorders>
              <w:top w:val="nil"/>
              <w:left w:val="nil"/>
              <w:bottom w:val="single" w:sz="4" w:space="0" w:color="auto"/>
              <w:right w:val="single" w:sz="4" w:space="0" w:color="auto"/>
            </w:tcBorders>
            <w:noWrap/>
            <w:vAlign w:val="bottom"/>
            <w:hideMark/>
          </w:tcPr>
          <w:p w14:paraId="3742A0B1" w14:textId="77777777" w:rsidR="00955CDE" w:rsidRDefault="00955CDE" w:rsidP="00590AA8">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14:paraId="121B81A4" w14:textId="77777777" w:rsidR="00955CDE" w:rsidRDefault="00955CDE" w:rsidP="00590AA8">
            <w:pPr>
              <w:spacing w:after="0" w:line="240" w:lineRule="auto"/>
              <w:jc w:val="right"/>
              <w:rPr>
                <w:rFonts w:cs="Times New Roman"/>
                <w:szCs w:val="24"/>
              </w:rPr>
            </w:pPr>
            <w:r>
              <w:rPr>
                <w:rFonts w:cs="Times New Roman"/>
                <w:szCs w:val="24"/>
              </w:rPr>
              <w:t>0.154605</w:t>
            </w:r>
          </w:p>
        </w:tc>
        <w:tc>
          <w:tcPr>
            <w:tcW w:w="678" w:type="pct"/>
            <w:tcBorders>
              <w:top w:val="nil"/>
              <w:left w:val="nil"/>
              <w:bottom w:val="single" w:sz="4" w:space="0" w:color="auto"/>
              <w:right w:val="single" w:sz="4" w:space="0" w:color="auto"/>
            </w:tcBorders>
            <w:noWrap/>
            <w:vAlign w:val="bottom"/>
            <w:hideMark/>
          </w:tcPr>
          <w:p w14:paraId="4449342A" w14:textId="77777777" w:rsidR="00955CDE" w:rsidRDefault="00955CDE" w:rsidP="00590AA8">
            <w:pPr>
              <w:spacing w:after="0" w:line="240" w:lineRule="auto"/>
              <w:jc w:val="right"/>
              <w:rPr>
                <w:rFonts w:cs="Times New Roman"/>
                <w:szCs w:val="24"/>
              </w:rPr>
            </w:pPr>
            <w:r>
              <w:rPr>
                <w:rFonts w:cs="Times New Roman"/>
                <w:szCs w:val="24"/>
              </w:rPr>
              <w:t>0.362124</w:t>
            </w:r>
          </w:p>
        </w:tc>
        <w:tc>
          <w:tcPr>
            <w:tcW w:w="583" w:type="pct"/>
            <w:tcBorders>
              <w:top w:val="nil"/>
              <w:left w:val="nil"/>
              <w:bottom w:val="single" w:sz="4" w:space="0" w:color="auto"/>
              <w:right w:val="single" w:sz="4" w:space="0" w:color="auto"/>
            </w:tcBorders>
            <w:noWrap/>
            <w:vAlign w:val="bottom"/>
            <w:hideMark/>
          </w:tcPr>
          <w:p w14:paraId="476302F4" w14:textId="77777777" w:rsidR="00955CDE" w:rsidRDefault="00955CDE" w:rsidP="00590AA8">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14:paraId="3C75205C" w14:textId="77777777" w:rsidR="00955CDE" w:rsidRDefault="00955CDE" w:rsidP="00590AA8">
            <w:pPr>
              <w:spacing w:after="0" w:line="240" w:lineRule="auto"/>
              <w:jc w:val="right"/>
              <w:rPr>
                <w:rFonts w:cs="Times New Roman"/>
                <w:szCs w:val="24"/>
              </w:rPr>
            </w:pPr>
            <w:r>
              <w:rPr>
                <w:rFonts w:cs="Times New Roman"/>
                <w:szCs w:val="24"/>
              </w:rPr>
              <w:t>1</w:t>
            </w:r>
          </w:p>
        </w:tc>
      </w:tr>
    </w:tbl>
    <w:p w14:paraId="37614076" w14:textId="77777777" w:rsidR="00955CDE" w:rsidRDefault="00955CDE" w:rsidP="00955CDE">
      <w:pPr>
        <w:spacing w:line="480" w:lineRule="auto"/>
        <w:rPr>
          <w:rFonts w:cs="Times New Roman"/>
          <w:szCs w:val="24"/>
        </w:rPr>
      </w:pPr>
      <w:r>
        <w:rPr>
          <w:rFonts w:cs="Times New Roman"/>
          <w:b/>
          <w:noProof/>
          <w:szCs w:val="24"/>
        </w:rPr>
        <w:lastRenderedPageBreak/>
        <w:t>Source: Author’s computation (2024)</w:t>
      </w:r>
    </w:p>
    <w:p w14:paraId="4FCE963E" w14:textId="6EA4AAC9" w:rsidR="006D2F9B" w:rsidRPr="00F96E98" w:rsidRDefault="00955CDE" w:rsidP="00F96E98">
      <w:pPr>
        <w:spacing w:line="360" w:lineRule="auto"/>
        <w:jc w:val="both"/>
        <w:outlineLvl w:val="4"/>
        <w:rPr>
          <w:rFonts w:cs="Times New Roman"/>
          <w:szCs w:val="24"/>
        </w:rPr>
      </w:pPr>
      <w:r>
        <w:rPr>
          <w:rFonts w:cs="Times New Roman"/>
          <w:szCs w:val="24"/>
        </w:rPr>
        <w:t xml:space="preserve">Table </w:t>
      </w:r>
      <w:r w:rsidR="000A5948">
        <w:rPr>
          <w:rFonts w:cs="Times New Roman"/>
          <w:szCs w:val="24"/>
        </w:rPr>
        <w:t>2</w:t>
      </w:r>
      <w:r>
        <w:rPr>
          <w:rFonts w:cs="Times New Roman"/>
          <w:szCs w:val="24"/>
        </w:rPr>
        <w:t xml:space="preserve"> above </w:t>
      </w:r>
      <w:r w:rsidR="006D2F9B">
        <w:rPr>
          <w:rFonts w:cs="Times New Roman"/>
          <w:szCs w:val="24"/>
        </w:rPr>
        <w:t>summarises</w:t>
      </w:r>
      <w:r>
        <w:rPr>
          <w:rFonts w:cs="Times New Roman"/>
          <w:szCs w:val="24"/>
        </w:rPr>
        <w:t xml:space="preserve"> the descriptive statistics for the variables included in our model. All the variables in the model were </w:t>
      </w:r>
      <w:r w:rsidR="006D2F9B">
        <w:rPr>
          <w:rFonts w:cs="Times New Roman"/>
          <w:szCs w:val="24"/>
        </w:rPr>
        <w:t>normalised</w:t>
      </w:r>
      <w:r>
        <w:rPr>
          <w:rFonts w:cs="Times New Roman"/>
          <w:szCs w:val="24"/>
        </w:rPr>
        <w:t xml:space="preserve"> between 0 and 1. The objective of the </w:t>
      </w:r>
      <w:r w:rsidR="006D2F9B">
        <w:rPr>
          <w:rFonts w:cs="Times New Roman"/>
          <w:szCs w:val="24"/>
        </w:rPr>
        <w:t>normalisation was to ease the interpretation challenges posed by the variables' negativity</w:t>
      </w:r>
      <w:r>
        <w:rPr>
          <w:rFonts w:cs="Times New Roman"/>
          <w:szCs w:val="24"/>
        </w:rPr>
        <w:t xml:space="preserve">. We observe from the table that the mean </w:t>
      </w:r>
      <w:r w:rsidR="006D2F9B">
        <w:rPr>
          <w:rFonts w:cs="Times New Roman"/>
          <w:szCs w:val="24"/>
        </w:rPr>
        <w:t>overconfidence is 0.481, with a standard deviation of 0.192 and minimum and maximum values of 0 and 1,</w:t>
      </w:r>
      <w:r>
        <w:rPr>
          <w:rFonts w:cs="Times New Roman"/>
          <w:szCs w:val="24"/>
        </w:rPr>
        <w:t xml:space="preserve"> respectively. The result shows </w:t>
      </w:r>
      <w:r w:rsidR="00F96E98">
        <w:rPr>
          <w:rFonts w:cs="Times New Roman"/>
          <w:szCs w:val="24"/>
        </w:rPr>
        <w:t>little deviation from the mean, as the standard deviation is close to the mean</w:t>
      </w:r>
      <w:r>
        <w:rPr>
          <w:rFonts w:cs="Times New Roman"/>
          <w:szCs w:val="24"/>
        </w:rPr>
        <w:t xml:space="preserve">. Furthermore, the mean </w:t>
      </w:r>
      <w:r w:rsidR="00F96E98">
        <w:rPr>
          <w:rFonts w:cs="Times New Roman"/>
          <w:szCs w:val="24"/>
        </w:rPr>
        <w:t xml:space="preserve">herding bias is 0.505, with a standard deviation of 0.192 and minimum and maximum values of 0 and 1, respectively, indicating a low deviation </w:t>
      </w:r>
      <w:r>
        <w:rPr>
          <w:rFonts w:cs="Times New Roman"/>
          <w:szCs w:val="24"/>
        </w:rPr>
        <w:t xml:space="preserve">from the mean. Again, the mean </w:t>
      </w:r>
      <w:r w:rsidR="00F96E98">
        <w:rPr>
          <w:rFonts w:cs="Times New Roman"/>
          <w:szCs w:val="24"/>
        </w:rPr>
        <w:t xml:space="preserve">anchoring value is 0.644, with a standard deviation of 0.210 and minimum and maximum values of 0 and 1, respectively, indicating a low deviation </w:t>
      </w:r>
      <w:r>
        <w:rPr>
          <w:rFonts w:cs="Times New Roman"/>
          <w:szCs w:val="24"/>
        </w:rPr>
        <w:t xml:space="preserve">from the mean. The mean value of loss aversion </w:t>
      </w:r>
      <w:r w:rsidR="006D2F9B">
        <w:rPr>
          <w:rFonts w:cs="Times New Roman"/>
          <w:szCs w:val="24"/>
        </w:rPr>
        <w:t xml:space="preserve">is 0.375, with a standard deviation of 0.207 and minimum and maximum values of 0 and 1, respectively, indicating a low deviation </w:t>
      </w:r>
      <w:r>
        <w:rPr>
          <w:rFonts w:cs="Times New Roman"/>
          <w:szCs w:val="24"/>
        </w:rPr>
        <w:t xml:space="preserve">from the mean. In the same light, regret aversion </w:t>
      </w:r>
      <w:r w:rsidR="006D2F9B">
        <w:rPr>
          <w:rFonts w:cs="Times New Roman"/>
          <w:szCs w:val="24"/>
        </w:rPr>
        <w:t>showed a low deviation from the mean, with a standard deviation of</w:t>
      </w:r>
      <w:r>
        <w:rPr>
          <w:rFonts w:cs="Times New Roman"/>
          <w:szCs w:val="24"/>
        </w:rPr>
        <w:t xml:space="preserve"> 0.266 and a mean of 0.552. Therefore, we observe that the mean values and standard deviations of all other variables included in our model</w:t>
      </w:r>
      <w:r w:rsidR="006D2F9B">
        <w:rPr>
          <w:rFonts w:cs="Times New Roman"/>
          <w:szCs w:val="24"/>
        </w:rPr>
        <w:t>,</w:t>
      </w:r>
      <w:r>
        <w:rPr>
          <w:rFonts w:cs="Times New Roman"/>
          <w:szCs w:val="24"/>
        </w:rPr>
        <w:t xml:space="preserve"> such as risk perception, financial literacy, growth of SMEs, duration of operation and number of employees</w:t>
      </w:r>
      <w:r w:rsidR="006D2F9B">
        <w:rPr>
          <w:rFonts w:cs="Times New Roman"/>
          <w:szCs w:val="24"/>
        </w:rPr>
        <w:t>,</w:t>
      </w:r>
      <w:r>
        <w:rPr>
          <w:rFonts w:cs="Times New Roman"/>
          <w:szCs w:val="24"/>
        </w:rPr>
        <w:t xml:space="preserve"> all show low deviations from their respective means</w:t>
      </w:r>
      <w:r w:rsidR="006D2F9B">
        <w:rPr>
          <w:rFonts w:cs="Times New Roman"/>
          <w:szCs w:val="24"/>
        </w:rPr>
        <w:t>,</w:t>
      </w:r>
      <w:r>
        <w:rPr>
          <w:rFonts w:cs="Times New Roman"/>
          <w:szCs w:val="24"/>
        </w:rPr>
        <w:t xml:space="preserve"> and also these low deviations indicate that the variables were relatively stable during the period under study. </w:t>
      </w:r>
    </w:p>
    <w:p w14:paraId="26DCF17B" w14:textId="24E066A5" w:rsidR="008E3DC2" w:rsidRPr="008E3DC2" w:rsidRDefault="00955CDE" w:rsidP="00955CDE">
      <w:pPr>
        <w:spacing w:line="360" w:lineRule="auto"/>
        <w:jc w:val="both"/>
        <w:rPr>
          <w:b/>
          <w:bCs/>
        </w:rPr>
      </w:pPr>
      <w:r>
        <w:rPr>
          <w:b/>
          <w:bCs/>
        </w:rPr>
        <w:t xml:space="preserve">5.2 </w:t>
      </w:r>
      <w:r w:rsidR="008E3DC2" w:rsidRPr="008E3DC2">
        <w:rPr>
          <w:b/>
          <w:bCs/>
        </w:rPr>
        <w:t>Regression</w:t>
      </w:r>
    </w:p>
    <w:p w14:paraId="02357C4D" w14:textId="7C2128A2" w:rsidR="0015660C" w:rsidRDefault="004F1A07" w:rsidP="00955CDE">
      <w:pPr>
        <w:spacing w:line="360" w:lineRule="auto"/>
        <w:jc w:val="both"/>
      </w:pPr>
      <w:r>
        <w:t>5</w:t>
      </w:r>
      <w:r w:rsidR="006D2F9B">
        <w:t>.2.</w:t>
      </w:r>
      <w:r>
        <w:t>1 Behavioural Biases and SME Growth</w:t>
      </w:r>
    </w:p>
    <w:tbl>
      <w:tblPr>
        <w:tblpPr w:leftFromText="180" w:rightFromText="180" w:vertAnchor="text" w:tblpXSpec="center" w:tblpY="1"/>
        <w:tblOverlap w:val="never"/>
        <w:tblW w:w="5000" w:type="pct"/>
        <w:tblCellMar>
          <w:left w:w="75" w:type="dxa"/>
          <w:right w:w="75" w:type="dxa"/>
        </w:tblCellMar>
        <w:tblLook w:val="0000" w:firstRow="0" w:lastRow="0" w:firstColumn="0" w:lastColumn="0" w:noHBand="0" w:noVBand="0"/>
      </w:tblPr>
      <w:tblGrid>
        <w:gridCol w:w="4989"/>
        <w:gridCol w:w="3801"/>
      </w:tblGrid>
      <w:tr w:rsidR="0070451B" w:rsidRPr="0070451B" w14:paraId="6A399611" w14:textId="77777777" w:rsidTr="00590AA8">
        <w:tc>
          <w:tcPr>
            <w:tcW w:w="2838" w:type="pct"/>
            <w:tcBorders>
              <w:top w:val="nil"/>
              <w:left w:val="nil"/>
              <w:bottom w:val="single" w:sz="6" w:space="0" w:color="auto"/>
              <w:right w:val="nil"/>
            </w:tcBorders>
          </w:tcPr>
          <w:p w14:paraId="33416AB0" w14:textId="77777777" w:rsidR="0070451B" w:rsidRPr="0070451B" w:rsidRDefault="0070451B" w:rsidP="0070451B">
            <w:pPr>
              <w:widowControl w:val="0"/>
              <w:autoSpaceDE w:val="0"/>
              <w:autoSpaceDN w:val="0"/>
              <w:adjustRightInd w:val="0"/>
              <w:spacing w:after="0" w:line="240" w:lineRule="auto"/>
              <w:rPr>
                <w:rFonts w:cs="Times New Roman"/>
                <w:b/>
                <w:sz w:val="20"/>
                <w:szCs w:val="20"/>
              </w:rPr>
            </w:pPr>
            <w:bookmarkStart w:id="14" w:name="_Hlk171433016"/>
            <w:r w:rsidRPr="0070451B">
              <w:rPr>
                <w:rFonts w:cs="Times New Roman"/>
                <w:b/>
                <w:sz w:val="20"/>
                <w:szCs w:val="20"/>
              </w:rPr>
              <w:t>VARIABLES</w:t>
            </w:r>
          </w:p>
        </w:tc>
        <w:tc>
          <w:tcPr>
            <w:tcW w:w="2162" w:type="pct"/>
            <w:tcBorders>
              <w:top w:val="nil"/>
              <w:left w:val="nil"/>
              <w:bottom w:val="single" w:sz="6" w:space="0" w:color="auto"/>
              <w:right w:val="nil"/>
            </w:tcBorders>
          </w:tcPr>
          <w:p w14:paraId="6FA6B9FA" w14:textId="77777777" w:rsidR="0070451B" w:rsidRPr="0070451B" w:rsidRDefault="0070451B" w:rsidP="0070451B">
            <w:pPr>
              <w:widowControl w:val="0"/>
              <w:autoSpaceDE w:val="0"/>
              <w:autoSpaceDN w:val="0"/>
              <w:adjustRightInd w:val="0"/>
              <w:spacing w:after="0" w:line="240" w:lineRule="auto"/>
              <w:jc w:val="center"/>
              <w:rPr>
                <w:rFonts w:cs="Times New Roman"/>
                <w:b/>
                <w:sz w:val="20"/>
                <w:szCs w:val="20"/>
              </w:rPr>
            </w:pPr>
            <w:r w:rsidRPr="0070451B">
              <w:rPr>
                <w:rFonts w:cs="Times New Roman"/>
                <w:b/>
                <w:sz w:val="20"/>
                <w:szCs w:val="20"/>
              </w:rPr>
              <w:t>Robust Standard Errors</w:t>
            </w:r>
          </w:p>
        </w:tc>
      </w:tr>
      <w:tr w:rsidR="0070451B" w:rsidRPr="0070451B" w14:paraId="1ED95017" w14:textId="77777777" w:rsidTr="00590AA8">
        <w:tc>
          <w:tcPr>
            <w:tcW w:w="2838" w:type="pct"/>
            <w:tcBorders>
              <w:top w:val="nil"/>
              <w:left w:val="nil"/>
              <w:bottom w:val="nil"/>
              <w:right w:val="nil"/>
            </w:tcBorders>
          </w:tcPr>
          <w:p w14:paraId="3E3EF9E5"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 xml:space="preserve">Financial Knowledge </w:t>
            </w:r>
          </w:p>
        </w:tc>
        <w:tc>
          <w:tcPr>
            <w:tcW w:w="2162" w:type="pct"/>
            <w:tcBorders>
              <w:top w:val="nil"/>
              <w:left w:val="nil"/>
              <w:bottom w:val="nil"/>
              <w:right w:val="nil"/>
            </w:tcBorders>
          </w:tcPr>
          <w:p w14:paraId="1105995D"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0.289***</w:t>
            </w:r>
          </w:p>
        </w:tc>
      </w:tr>
      <w:tr w:rsidR="0070451B" w:rsidRPr="0070451B" w14:paraId="40644D64" w14:textId="77777777" w:rsidTr="00590AA8">
        <w:tc>
          <w:tcPr>
            <w:tcW w:w="2838" w:type="pct"/>
            <w:tcBorders>
              <w:top w:val="nil"/>
              <w:left w:val="nil"/>
              <w:bottom w:val="nil"/>
              <w:right w:val="nil"/>
            </w:tcBorders>
          </w:tcPr>
          <w:p w14:paraId="11E24AE4"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315FB9B6"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(0.0692)</w:t>
            </w:r>
          </w:p>
        </w:tc>
      </w:tr>
      <w:tr w:rsidR="0070451B" w:rsidRPr="0070451B" w14:paraId="2F55A7E8" w14:textId="77777777" w:rsidTr="00590AA8">
        <w:tc>
          <w:tcPr>
            <w:tcW w:w="2838" w:type="pct"/>
            <w:tcBorders>
              <w:top w:val="nil"/>
              <w:left w:val="nil"/>
              <w:bottom w:val="nil"/>
              <w:right w:val="nil"/>
            </w:tcBorders>
          </w:tcPr>
          <w:p w14:paraId="62F9B9BC"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Financial Behaviour</w:t>
            </w:r>
          </w:p>
        </w:tc>
        <w:tc>
          <w:tcPr>
            <w:tcW w:w="2162" w:type="pct"/>
            <w:tcBorders>
              <w:top w:val="nil"/>
              <w:left w:val="nil"/>
              <w:bottom w:val="nil"/>
              <w:right w:val="nil"/>
            </w:tcBorders>
          </w:tcPr>
          <w:p w14:paraId="21575B48"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0.431***</w:t>
            </w:r>
          </w:p>
        </w:tc>
      </w:tr>
      <w:tr w:rsidR="0070451B" w:rsidRPr="0070451B" w14:paraId="4ABF9492" w14:textId="77777777" w:rsidTr="00590AA8">
        <w:tc>
          <w:tcPr>
            <w:tcW w:w="2838" w:type="pct"/>
            <w:tcBorders>
              <w:top w:val="nil"/>
              <w:left w:val="nil"/>
              <w:bottom w:val="nil"/>
              <w:right w:val="nil"/>
            </w:tcBorders>
          </w:tcPr>
          <w:p w14:paraId="04174574"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0BD02246"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(0.0619)</w:t>
            </w:r>
          </w:p>
        </w:tc>
      </w:tr>
      <w:tr w:rsidR="0070451B" w:rsidRPr="0070451B" w14:paraId="771C9C49" w14:textId="77777777" w:rsidTr="00590AA8">
        <w:tc>
          <w:tcPr>
            <w:tcW w:w="2838" w:type="pct"/>
            <w:tcBorders>
              <w:top w:val="nil"/>
              <w:left w:val="nil"/>
              <w:bottom w:val="nil"/>
              <w:right w:val="nil"/>
            </w:tcBorders>
          </w:tcPr>
          <w:p w14:paraId="32B38745" w14:textId="77777777" w:rsidR="0070451B" w:rsidRPr="0070451B" w:rsidRDefault="0070451B" w:rsidP="0070451B">
            <w:pPr>
              <w:widowControl w:val="0"/>
              <w:autoSpaceDE w:val="0"/>
              <w:autoSpaceDN w:val="0"/>
              <w:adjustRightInd w:val="0"/>
              <w:spacing w:after="0" w:line="240" w:lineRule="auto"/>
              <w:rPr>
                <w:rFonts w:cs="Times New Roman"/>
                <w:b/>
                <w:sz w:val="20"/>
                <w:szCs w:val="20"/>
              </w:rPr>
            </w:pPr>
            <w:r w:rsidRPr="0070451B">
              <w:rPr>
                <w:rFonts w:cs="Times New Roman"/>
                <w:b/>
                <w:sz w:val="20"/>
                <w:szCs w:val="20"/>
              </w:rPr>
              <w:t>Duration of employees</w:t>
            </w:r>
          </w:p>
        </w:tc>
        <w:tc>
          <w:tcPr>
            <w:tcW w:w="2162" w:type="pct"/>
            <w:tcBorders>
              <w:top w:val="nil"/>
              <w:left w:val="nil"/>
              <w:bottom w:val="nil"/>
              <w:right w:val="nil"/>
            </w:tcBorders>
          </w:tcPr>
          <w:p w14:paraId="2C5940ED" w14:textId="77777777" w:rsidR="0070451B" w:rsidRPr="0070451B" w:rsidRDefault="0070451B" w:rsidP="0070451B">
            <w:pPr>
              <w:widowControl w:val="0"/>
              <w:autoSpaceDE w:val="0"/>
              <w:autoSpaceDN w:val="0"/>
              <w:adjustRightInd w:val="0"/>
              <w:spacing w:after="0" w:line="240" w:lineRule="auto"/>
              <w:jc w:val="center"/>
              <w:rPr>
                <w:rFonts w:cs="Times New Roman"/>
                <w:b/>
                <w:sz w:val="20"/>
                <w:szCs w:val="20"/>
              </w:rPr>
            </w:pPr>
          </w:p>
        </w:tc>
      </w:tr>
      <w:tr w:rsidR="0070451B" w:rsidRPr="0070451B" w14:paraId="2960ECD4" w14:textId="77777777" w:rsidTr="00590AA8">
        <w:tc>
          <w:tcPr>
            <w:tcW w:w="2838" w:type="pct"/>
            <w:tcBorders>
              <w:top w:val="nil"/>
              <w:left w:val="nil"/>
              <w:bottom w:val="nil"/>
              <w:right w:val="nil"/>
            </w:tcBorders>
          </w:tcPr>
          <w:p w14:paraId="1FA494B5"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5-9</w:t>
            </w:r>
          </w:p>
        </w:tc>
        <w:tc>
          <w:tcPr>
            <w:tcW w:w="2162" w:type="pct"/>
            <w:tcBorders>
              <w:top w:val="nil"/>
              <w:left w:val="nil"/>
              <w:bottom w:val="nil"/>
              <w:right w:val="nil"/>
            </w:tcBorders>
          </w:tcPr>
          <w:p w14:paraId="07E9A4B8"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-0.0798**</w:t>
            </w:r>
          </w:p>
        </w:tc>
      </w:tr>
      <w:tr w:rsidR="0070451B" w:rsidRPr="0070451B" w14:paraId="47D8F149" w14:textId="77777777" w:rsidTr="00590AA8">
        <w:tc>
          <w:tcPr>
            <w:tcW w:w="2838" w:type="pct"/>
            <w:tcBorders>
              <w:top w:val="nil"/>
              <w:left w:val="nil"/>
              <w:bottom w:val="nil"/>
              <w:right w:val="nil"/>
            </w:tcBorders>
          </w:tcPr>
          <w:p w14:paraId="066A4D85"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372CAC40"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(0.0327)</w:t>
            </w:r>
          </w:p>
        </w:tc>
      </w:tr>
      <w:tr w:rsidR="0070451B" w:rsidRPr="0070451B" w14:paraId="6D4A6067" w14:textId="77777777" w:rsidTr="00590AA8">
        <w:tc>
          <w:tcPr>
            <w:tcW w:w="2838" w:type="pct"/>
            <w:tcBorders>
              <w:top w:val="nil"/>
              <w:left w:val="nil"/>
              <w:bottom w:val="nil"/>
              <w:right w:val="nil"/>
            </w:tcBorders>
          </w:tcPr>
          <w:p w14:paraId="68AD55C8"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9-14</w:t>
            </w:r>
          </w:p>
        </w:tc>
        <w:tc>
          <w:tcPr>
            <w:tcW w:w="2162" w:type="pct"/>
            <w:tcBorders>
              <w:top w:val="nil"/>
              <w:left w:val="nil"/>
              <w:bottom w:val="nil"/>
              <w:right w:val="nil"/>
            </w:tcBorders>
          </w:tcPr>
          <w:p w14:paraId="5CC0D8CF"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-0.0602</w:t>
            </w:r>
          </w:p>
        </w:tc>
      </w:tr>
      <w:tr w:rsidR="0070451B" w:rsidRPr="0070451B" w14:paraId="5E24C803" w14:textId="77777777" w:rsidTr="00590AA8">
        <w:tc>
          <w:tcPr>
            <w:tcW w:w="2838" w:type="pct"/>
            <w:tcBorders>
              <w:top w:val="nil"/>
              <w:left w:val="nil"/>
              <w:bottom w:val="nil"/>
              <w:right w:val="nil"/>
            </w:tcBorders>
          </w:tcPr>
          <w:p w14:paraId="59613C23"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024CFA23"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(0.0403)</w:t>
            </w:r>
          </w:p>
        </w:tc>
      </w:tr>
      <w:tr w:rsidR="0070451B" w:rsidRPr="0070451B" w14:paraId="1234CB33" w14:textId="77777777" w:rsidTr="00590AA8">
        <w:tc>
          <w:tcPr>
            <w:tcW w:w="2838" w:type="pct"/>
            <w:tcBorders>
              <w:top w:val="nil"/>
              <w:left w:val="nil"/>
              <w:bottom w:val="nil"/>
              <w:right w:val="nil"/>
            </w:tcBorders>
          </w:tcPr>
          <w:p w14:paraId="4419F6E1"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15-19</w:t>
            </w:r>
          </w:p>
        </w:tc>
        <w:tc>
          <w:tcPr>
            <w:tcW w:w="2162" w:type="pct"/>
            <w:tcBorders>
              <w:top w:val="nil"/>
              <w:left w:val="nil"/>
              <w:bottom w:val="nil"/>
              <w:right w:val="nil"/>
            </w:tcBorders>
          </w:tcPr>
          <w:p w14:paraId="3320F3C6"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-0.165***</w:t>
            </w:r>
          </w:p>
        </w:tc>
      </w:tr>
      <w:tr w:rsidR="0070451B" w:rsidRPr="0070451B" w14:paraId="2E4B8F31" w14:textId="77777777" w:rsidTr="00590AA8">
        <w:tc>
          <w:tcPr>
            <w:tcW w:w="2838" w:type="pct"/>
            <w:tcBorders>
              <w:top w:val="nil"/>
              <w:left w:val="nil"/>
              <w:bottom w:val="nil"/>
              <w:right w:val="nil"/>
            </w:tcBorders>
          </w:tcPr>
          <w:p w14:paraId="0E6415F5"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30AB14D9"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(0.0419)</w:t>
            </w:r>
          </w:p>
        </w:tc>
      </w:tr>
      <w:tr w:rsidR="0070451B" w:rsidRPr="0070451B" w14:paraId="1F00543E" w14:textId="77777777" w:rsidTr="00590AA8">
        <w:tc>
          <w:tcPr>
            <w:tcW w:w="2838" w:type="pct"/>
            <w:tcBorders>
              <w:top w:val="nil"/>
              <w:left w:val="nil"/>
              <w:bottom w:val="nil"/>
              <w:right w:val="nil"/>
            </w:tcBorders>
          </w:tcPr>
          <w:p w14:paraId="23C113C8"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lastRenderedPageBreak/>
              <w:t>20 and above</w:t>
            </w:r>
          </w:p>
        </w:tc>
        <w:tc>
          <w:tcPr>
            <w:tcW w:w="2162" w:type="pct"/>
            <w:tcBorders>
              <w:top w:val="nil"/>
              <w:left w:val="nil"/>
              <w:bottom w:val="nil"/>
              <w:right w:val="nil"/>
            </w:tcBorders>
          </w:tcPr>
          <w:p w14:paraId="4120B659"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-0.0386</w:t>
            </w:r>
          </w:p>
        </w:tc>
      </w:tr>
      <w:tr w:rsidR="0070451B" w:rsidRPr="0070451B" w14:paraId="37AA82E2" w14:textId="77777777" w:rsidTr="00590AA8">
        <w:tc>
          <w:tcPr>
            <w:tcW w:w="2838" w:type="pct"/>
            <w:tcBorders>
              <w:top w:val="nil"/>
              <w:left w:val="nil"/>
              <w:bottom w:val="nil"/>
              <w:right w:val="nil"/>
            </w:tcBorders>
          </w:tcPr>
          <w:p w14:paraId="6AAC952E"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79E3EA90"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(0.0535)</w:t>
            </w:r>
          </w:p>
        </w:tc>
      </w:tr>
      <w:tr w:rsidR="0070451B" w:rsidRPr="0070451B" w14:paraId="7F11A0F1" w14:textId="77777777" w:rsidTr="00590AA8">
        <w:tc>
          <w:tcPr>
            <w:tcW w:w="2838" w:type="pct"/>
            <w:tcBorders>
              <w:top w:val="nil"/>
              <w:left w:val="nil"/>
              <w:bottom w:val="nil"/>
              <w:right w:val="nil"/>
            </w:tcBorders>
          </w:tcPr>
          <w:p w14:paraId="236BF996" w14:textId="77777777" w:rsidR="0070451B" w:rsidRPr="0070451B" w:rsidRDefault="0070451B" w:rsidP="0070451B">
            <w:pPr>
              <w:widowControl w:val="0"/>
              <w:autoSpaceDE w:val="0"/>
              <w:autoSpaceDN w:val="0"/>
              <w:adjustRightInd w:val="0"/>
              <w:spacing w:after="0" w:line="240" w:lineRule="auto"/>
              <w:rPr>
                <w:rFonts w:cs="Times New Roman"/>
                <w:b/>
                <w:sz w:val="20"/>
                <w:szCs w:val="20"/>
              </w:rPr>
            </w:pPr>
            <w:r w:rsidRPr="0070451B">
              <w:rPr>
                <w:rFonts w:cs="Times New Roman"/>
                <w:b/>
                <w:sz w:val="20"/>
                <w:szCs w:val="20"/>
              </w:rPr>
              <w:t>Number of employees</w:t>
            </w:r>
          </w:p>
        </w:tc>
        <w:tc>
          <w:tcPr>
            <w:tcW w:w="2162" w:type="pct"/>
            <w:tcBorders>
              <w:top w:val="nil"/>
              <w:left w:val="nil"/>
              <w:bottom w:val="nil"/>
              <w:right w:val="nil"/>
            </w:tcBorders>
          </w:tcPr>
          <w:p w14:paraId="0052AF09" w14:textId="77777777" w:rsidR="0070451B" w:rsidRPr="0070451B" w:rsidRDefault="0070451B" w:rsidP="0070451B">
            <w:pPr>
              <w:widowControl w:val="0"/>
              <w:autoSpaceDE w:val="0"/>
              <w:autoSpaceDN w:val="0"/>
              <w:adjustRightInd w:val="0"/>
              <w:spacing w:after="0" w:line="240" w:lineRule="auto"/>
              <w:jc w:val="center"/>
              <w:rPr>
                <w:rFonts w:cs="Times New Roman"/>
                <w:b/>
                <w:sz w:val="20"/>
                <w:szCs w:val="20"/>
              </w:rPr>
            </w:pPr>
          </w:p>
        </w:tc>
      </w:tr>
      <w:tr w:rsidR="0070451B" w:rsidRPr="0070451B" w14:paraId="6BAC7CBE" w14:textId="77777777" w:rsidTr="00590AA8">
        <w:tc>
          <w:tcPr>
            <w:tcW w:w="2838" w:type="pct"/>
            <w:tcBorders>
              <w:top w:val="nil"/>
              <w:left w:val="nil"/>
              <w:bottom w:val="nil"/>
              <w:right w:val="nil"/>
            </w:tcBorders>
          </w:tcPr>
          <w:p w14:paraId="625831FD"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6-20</w:t>
            </w:r>
          </w:p>
        </w:tc>
        <w:tc>
          <w:tcPr>
            <w:tcW w:w="2162" w:type="pct"/>
            <w:tcBorders>
              <w:top w:val="nil"/>
              <w:left w:val="nil"/>
              <w:bottom w:val="nil"/>
              <w:right w:val="nil"/>
            </w:tcBorders>
          </w:tcPr>
          <w:p w14:paraId="6C82A979"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0.0117</w:t>
            </w:r>
          </w:p>
        </w:tc>
      </w:tr>
      <w:tr w:rsidR="0070451B" w:rsidRPr="0070451B" w14:paraId="42823B16" w14:textId="77777777" w:rsidTr="00590AA8">
        <w:tc>
          <w:tcPr>
            <w:tcW w:w="2838" w:type="pct"/>
            <w:tcBorders>
              <w:top w:val="nil"/>
              <w:left w:val="nil"/>
              <w:bottom w:val="nil"/>
              <w:right w:val="nil"/>
            </w:tcBorders>
          </w:tcPr>
          <w:p w14:paraId="533A738B"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046F7258"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(0.0294)</w:t>
            </w:r>
          </w:p>
        </w:tc>
      </w:tr>
      <w:tr w:rsidR="0070451B" w:rsidRPr="0070451B" w14:paraId="74270D25" w14:textId="77777777" w:rsidTr="00590AA8">
        <w:tc>
          <w:tcPr>
            <w:tcW w:w="2838" w:type="pct"/>
            <w:tcBorders>
              <w:top w:val="nil"/>
              <w:left w:val="nil"/>
              <w:bottom w:val="nil"/>
              <w:right w:val="nil"/>
            </w:tcBorders>
          </w:tcPr>
          <w:p w14:paraId="19219FC6"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21-100</w:t>
            </w:r>
          </w:p>
        </w:tc>
        <w:tc>
          <w:tcPr>
            <w:tcW w:w="2162" w:type="pct"/>
            <w:tcBorders>
              <w:top w:val="nil"/>
              <w:left w:val="nil"/>
              <w:bottom w:val="nil"/>
              <w:right w:val="nil"/>
            </w:tcBorders>
          </w:tcPr>
          <w:p w14:paraId="39FB2E2B"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0.144***</w:t>
            </w:r>
          </w:p>
        </w:tc>
      </w:tr>
      <w:tr w:rsidR="0070451B" w:rsidRPr="0070451B" w14:paraId="52DD1247" w14:textId="77777777" w:rsidTr="00590AA8">
        <w:tc>
          <w:tcPr>
            <w:tcW w:w="2838" w:type="pct"/>
            <w:tcBorders>
              <w:top w:val="nil"/>
              <w:left w:val="nil"/>
              <w:bottom w:val="nil"/>
              <w:right w:val="nil"/>
            </w:tcBorders>
          </w:tcPr>
          <w:p w14:paraId="1930495E"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6C7B579D"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(0.0434)</w:t>
            </w:r>
          </w:p>
        </w:tc>
      </w:tr>
      <w:tr w:rsidR="0070451B" w:rsidRPr="0070451B" w14:paraId="6993A762" w14:textId="77777777" w:rsidTr="00590AA8">
        <w:tc>
          <w:tcPr>
            <w:tcW w:w="2838" w:type="pct"/>
            <w:tcBorders>
              <w:top w:val="nil"/>
              <w:left w:val="nil"/>
              <w:bottom w:val="nil"/>
              <w:right w:val="nil"/>
            </w:tcBorders>
          </w:tcPr>
          <w:p w14:paraId="06130B88"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Constant</w:t>
            </w:r>
          </w:p>
        </w:tc>
        <w:tc>
          <w:tcPr>
            <w:tcW w:w="2162" w:type="pct"/>
            <w:tcBorders>
              <w:top w:val="nil"/>
              <w:left w:val="nil"/>
              <w:bottom w:val="nil"/>
              <w:right w:val="nil"/>
            </w:tcBorders>
          </w:tcPr>
          <w:p w14:paraId="23AE1CCD"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-0.750***</w:t>
            </w:r>
          </w:p>
        </w:tc>
      </w:tr>
      <w:tr w:rsidR="0070451B" w:rsidRPr="0070451B" w14:paraId="7D76951D" w14:textId="77777777" w:rsidTr="00590AA8">
        <w:tc>
          <w:tcPr>
            <w:tcW w:w="2838" w:type="pct"/>
            <w:tcBorders>
              <w:top w:val="nil"/>
              <w:left w:val="nil"/>
              <w:bottom w:val="nil"/>
              <w:right w:val="nil"/>
            </w:tcBorders>
          </w:tcPr>
          <w:p w14:paraId="60893C4E"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14:paraId="0BDB7726"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(0.0687)</w:t>
            </w:r>
          </w:p>
        </w:tc>
      </w:tr>
      <w:tr w:rsidR="0070451B" w:rsidRPr="0070451B" w14:paraId="06A6CEAB" w14:textId="77777777" w:rsidTr="00590AA8">
        <w:tc>
          <w:tcPr>
            <w:tcW w:w="2838" w:type="pct"/>
            <w:tcBorders>
              <w:top w:val="nil"/>
              <w:left w:val="nil"/>
              <w:bottom w:val="nil"/>
              <w:right w:val="nil"/>
            </w:tcBorders>
          </w:tcPr>
          <w:p w14:paraId="49436F19"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Observations</w:t>
            </w:r>
          </w:p>
        </w:tc>
        <w:tc>
          <w:tcPr>
            <w:tcW w:w="2162" w:type="pct"/>
            <w:tcBorders>
              <w:top w:val="nil"/>
              <w:left w:val="nil"/>
              <w:bottom w:val="nil"/>
              <w:right w:val="nil"/>
            </w:tcBorders>
          </w:tcPr>
          <w:p w14:paraId="3B09EBC6"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304</w:t>
            </w:r>
          </w:p>
        </w:tc>
      </w:tr>
      <w:tr w:rsidR="0070451B" w:rsidRPr="0070451B" w14:paraId="57982FA1" w14:textId="77777777" w:rsidTr="00590AA8">
        <w:tblPrEx>
          <w:tblBorders>
            <w:bottom w:val="single" w:sz="6" w:space="0" w:color="auto"/>
          </w:tblBorders>
        </w:tblPrEx>
        <w:tc>
          <w:tcPr>
            <w:tcW w:w="2838" w:type="pct"/>
            <w:tcBorders>
              <w:top w:val="nil"/>
              <w:left w:val="nil"/>
              <w:bottom w:val="single" w:sz="6" w:space="0" w:color="auto"/>
              <w:right w:val="nil"/>
            </w:tcBorders>
          </w:tcPr>
          <w:p w14:paraId="48533164" w14:textId="77777777" w:rsidR="0070451B" w:rsidRPr="0070451B" w:rsidRDefault="0070451B" w:rsidP="0070451B">
            <w:pPr>
              <w:widowControl w:val="0"/>
              <w:autoSpaceDE w:val="0"/>
              <w:autoSpaceDN w:val="0"/>
              <w:adjustRightInd w:val="0"/>
              <w:spacing w:after="0" w:line="240" w:lineRule="auto"/>
              <w:rPr>
                <w:rFonts w:cs="Times New Roman"/>
                <w:sz w:val="20"/>
                <w:szCs w:val="20"/>
              </w:rPr>
            </w:pPr>
            <w:r w:rsidRPr="0070451B">
              <w:rPr>
                <w:rFonts w:cs="Times New Roman"/>
                <w:sz w:val="20"/>
                <w:szCs w:val="20"/>
              </w:rPr>
              <w:t>R-squared</w:t>
            </w:r>
          </w:p>
        </w:tc>
        <w:tc>
          <w:tcPr>
            <w:tcW w:w="2162" w:type="pct"/>
            <w:tcBorders>
              <w:top w:val="nil"/>
              <w:left w:val="nil"/>
              <w:bottom w:val="single" w:sz="6" w:space="0" w:color="auto"/>
              <w:right w:val="nil"/>
            </w:tcBorders>
          </w:tcPr>
          <w:p w14:paraId="3A9A96CE" w14:textId="77777777" w:rsidR="0070451B" w:rsidRPr="0070451B" w:rsidRDefault="0070451B" w:rsidP="0070451B">
            <w:pPr>
              <w:widowControl w:val="0"/>
              <w:autoSpaceDE w:val="0"/>
              <w:autoSpaceDN w:val="0"/>
              <w:adjustRightInd w:val="0"/>
              <w:spacing w:after="0" w:line="240" w:lineRule="auto"/>
              <w:jc w:val="center"/>
              <w:rPr>
                <w:rFonts w:cs="Times New Roman"/>
                <w:sz w:val="20"/>
                <w:szCs w:val="20"/>
              </w:rPr>
            </w:pPr>
            <w:r w:rsidRPr="0070451B">
              <w:rPr>
                <w:rFonts w:cs="Times New Roman"/>
                <w:sz w:val="20"/>
                <w:szCs w:val="20"/>
              </w:rPr>
              <w:t>0.373</w:t>
            </w:r>
          </w:p>
        </w:tc>
      </w:tr>
    </w:tbl>
    <w:bookmarkEnd w:id="14"/>
    <w:p w14:paraId="38A6FEB7" w14:textId="77777777" w:rsidR="0070451B" w:rsidRDefault="0070451B" w:rsidP="0070451B">
      <w:pPr>
        <w:widowControl w:val="0"/>
        <w:autoSpaceDE w:val="0"/>
        <w:autoSpaceDN w:val="0"/>
        <w:adjustRightInd w:val="0"/>
        <w:spacing w:after="0" w:line="240" w:lineRule="auto"/>
        <w:jc w:val="center"/>
        <w:rPr>
          <w:rFonts w:cs="Times New Roman"/>
          <w:b/>
          <w:bCs/>
          <w:i/>
          <w:iCs/>
          <w:szCs w:val="24"/>
        </w:rPr>
      </w:pPr>
      <w:r>
        <w:rPr>
          <w:rFonts w:cs="Times New Roman"/>
          <w:b/>
          <w:bCs/>
          <w:i/>
          <w:iCs/>
          <w:szCs w:val="24"/>
        </w:rPr>
        <w:t>Robust standard errors in parentheses</w:t>
      </w:r>
    </w:p>
    <w:p w14:paraId="79867CA8" w14:textId="77777777" w:rsidR="0070451B" w:rsidRDefault="0070451B" w:rsidP="0070451B">
      <w:pPr>
        <w:widowControl w:val="0"/>
        <w:autoSpaceDE w:val="0"/>
        <w:autoSpaceDN w:val="0"/>
        <w:adjustRightInd w:val="0"/>
        <w:spacing w:after="0" w:line="240" w:lineRule="auto"/>
        <w:jc w:val="center"/>
        <w:rPr>
          <w:rFonts w:cs="Times New Roman"/>
          <w:b/>
          <w:bCs/>
          <w:i/>
          <w:iCs/>
          <w:szCs w:val="24"/>
        </w:rPr>
      </w:pPr>
      <w:r>
        <w:rPr>
          <w:rFonts w:cs="Times New Roman"/>
          <w:b/>
          <w:bCs/>
          <w:i/>
          <w:iCs/>
          <w:szCs w:val="24"/>
        </w:rPr>
        <w:t>*** p&lt;0.01, ** p&lt;0.05, * p&lt;0.1</w:t>
      </w:r>
    </w:p>
    <w:p w14:paraId="06599DA8" w14:textId="59C2D02F" w:rsidR="0070451B" w:rsidRPr="0070451B" w:rsidRDefault="0070451B" w:rsidP="0070451B">
      <w:pPr>
        <w:spacing w:after="0" w:line="240" w:lineRule="auto"/>
        <w:rPr>
          <w:rFonts w:cs="Times New Roman"/>
          <w:b/>
          <w:bCs/>
          <w:i/>
          <w:iCs/>
          <w:szCs w:val="24"/>
        </w:rPr>
      </w:pPr>
      <w:r>
        <w:rPr>
          <w:rFonts w:cs="Times New Roman"/>
          <w:b/>
          <w:bCs/>
          <w:i/>
          <w:iCs/>
          <w:noProof/>
          <w:szCs w:val="24"/>
        </w:rPr>
        <w:t xml:space="preserve">                                           Source: Author’s computation (2024)</w:t>
      </w:r>
    </w:p>
    <w:p w14:paraId="45E9B075" w14:textId="407F9612" w:rsidR="0015660C" w:rsidRDefault="004F1A07" w:rsidP="00955CDE">
      <w:pPr>
        <w:spacing w:line="360" w:lineRule="auto"/>
        <w:jc w:val="both"/>
      </w:pPr>
      <w:r>
        <w:t xml:space="preserve">The results of the first objective reveal that behavioural biases exert a statistically significant influence on SME growth, although the magnitude and direction of the effects vary across bias types. Overconfidence bias </w:t>
      </w:r>
      <w:r w:rsidR="00A772AC">
        <w:t>shows a positive,</w:t>
      </w:r>
      <w:r>
        <w:t xml:space="preserve"> significant relationship with firm growth, suggesting that entrepreneurs who exhibit higher levels of confidence are more inclined to undertake expansion-oriented decisions. This tendency reflects the role of confidence in facilitating risk-taking behaviour, particularly in environments characterised by uncertainty and limited access to formal financial support.</w:t>
      </w:r>
    </w:p>
    <w:p w14:paraId="31C10622" w14:textId="7DB085B3" w:rsidR="00955CDE" w:rsidRDefault="004F1A07" w:rsidP="00955CDE">
      <w:pPr>
        <w:spacing w:line="360" w:lineRule="auto"/>
        <w:jc w:val="both"/>
      </w:pPr>
      <w:r>
        <w:t xml:space="preserve">In contrast, anchoring bias exhibits a weaker effect, indicating that reliance on initial information may constrain adaptive decision-making and reduce the flexibility required for sustained growth. Similarly, herding behaviour </w:t>
      </w:r>
      <w:r w:rsidR="00A772AC">
        <w:t xml:space="preserve">yields mixed outcomes, suggesting that imitation-based decisions may either support or hinder firm performance depending on the quality of the </w:t>
      </w:r>
      <w:r>
        <w:t>information being followed. Overall, the findings confirm that behavioural biases are relevant predictors of SME growth, thereby supporting the first hypothesis.</w:t>
      </w:r>
    </w:p>
    <w:p w14:paraId="4FCF541B" w14:textId="77777777" w:rsidR="007F64A9" w:rsidRDefault="007F64A9" w:rsidP="00955CDE">
      <w:pPr>
        <w:spacing w:line="360" w:lineRule="auto"/>
        <w:jc w:val="both"/>
      </w:pPr>
    </w:p>
    <w:p w14:paraId="5A6CC775" w14:textId="77777777" w:rsidR="007F64A9" w:rsidRDefault="007F64A9" w:rsidP="00955CDE">
      <w:pPr>
        <w:spacing w:line="360" w:lineRule="auto"/>
        <w:jc w:val="both"/>
      </w:pPr>
    </w:p>
    <w:p w14:paraId="3F92942D" w14:textId="77777777" w:rsidR="007F64A9" w:rsidRDefault="007F64A9" w:rsidP="00955CDE">
      <w:pPr>
        <w:spacing w:line="360" w:lineRule="auto"/>
        <w:jc w:val="both"/>
      </w:pPr>
    </w:p>
    <w:p w14:paraId="64E90875" w14:textId="77777777" w:rsidR="007F64A9" w:rsidRDefault="007F64A9" w:rsidP="00955CDE">
      <w:pPr>
        <w:spacing w:line="360" w:lineRule="auto"/>
        <w:jc w:val="both"/>
      </w:pPr>
    </w:p>
    <w:p w14:paraId="35D3E08A" w14:textId="77777777" w:rsidR="007F64A9" w:rsidRDefault="007F64A9" w:rsidP="00955CDE">
      <w:pPr>
        <w:spacing w:line="360" w:lineRule="auto"/>
        <w:jc w:val="both"/>
      </w:pPr>
    </w:p>
    <w:p w14:paraId="19F1D79A" w14:textId="77777777" w:rsidR="007F64A9" w:rsidRDefault="007F64A9" w:rsidP="00955CDE">
      <w:pPr>
        <w:spacing w:line="360" w:lineRule="auto"/>
        <w:jc w:val="both"/>
      </w:pPr>
    </w:p>
    <w:p w14:paraId="637A40BB" w14:textId="474FADDE" w:rsidR="00E91BC9" w:rsidRPr="007F64A9" w:rsidRDefault="004F1A07" w:rsidP="00E91BC9">
      <w:pPr>
        <w:spacing w:line="360" w:lineRule="auto"/>
        <w:jc w:val="both"/>
        <w:rPr>
          <w:b/>
          <w:bCs/>
        </w:rPr>
      </w:pPr>
      <w:r w:rsidRPr="007F64A9">
        <w:rPr>
          <w:b/>
          <w:bCs/>
        </w:rPr>
        <w:lastRenderedPageBreak/>
        <w:t>5.</w:t>
      </w:r>
      <w:r w:rsidR="0029423A" w:rsidRPr="007F64A9">
        <w:rPr>
          <w:b/>
          <w:bCs/>
        </w:rPr>
        <w:t>2.</w:t>
      </w:r>
      <w:r w:rsidRPr="007F64A9">
        <w:rPr>
          <w:b/>
          <w:bCs/>
        </w:rPr>
        <w:t>2 Behavioural Biases and Financial Literacy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556"/>
        <w:gridCol w:w="2117"/>
        <w:gridCol w:w="2117"/>
      </w:tblGrid>
      <w:tr w:rsidR="00E91BC9" w:rsidRPr="00E91BC9" w14:paraId="7DBF8A8A" w14:textId="77777777" w:rsidTr="00E91BC9">
        <w:trPr>
          <w:jc w:val="center"/>
        </w:trPr>
        <w:tc>
          <w:tcPr>
            <w:tcW w:w="2592" w:type="pct"/>
          </w:tcPr>
          <w:p w14:paraId="64123773" w14:textId="77777777" w:rsidR="00E91BC9" w:rsidRPr="00E91BC9" w:rsidRDefault="00E91BC9" w:rsidP="00E91BC9">
            <w:pPr>
              <w:widowControl w:val="0"/>
              <w:autoSpaceDE w:val="0"/>
              <w:autoSpaceDN w:val="0"/>
              <w:adjustRightInd w:val="0"/>
              <w:spacing w:after="0" w:line="240" w:lineRule="auto"/>
              <w:rPr>
                <w:rFonts w:cs="Times New Roman"/>
                <w:b/>
                <w:bCs/>
                <w:sz w:val="20"/>
                <w:szCs w:val="20"/>
              </w:rPr>
            </w:pPr>
          </w:p>
        </w:tc>
        <w:tc>
          <w:tcPr>
            <w:tcW w:w="1204" w:type="pct"/>
          </w:tcPr>
          <w:p w14:paraId="29E617BC" w14:textId="77777777" w:rsidR="00E91BC9" w:rsidRPr="00E91BC9" w:rsidRDefault="00E91BC9" w:rsidP="00E91BC9">
            <w:pPr>
              <w:widowControl w:val="0"/>
              <w:autoSpaceDE w:val="0"/>
              <w:autoSpaceDN w:val="0"/>
              <w:adjustRightInd w:val="0"/>
              <w:spacing w:after="0" w:line="240" w:lineRule="auto"/>
              <w:jc w:val="center"/>
              <w:rPr>
                <w:rFonts w:cs="Times New Roman"/>
                <w:b/>
                <w:bCs/>
                <w:sz w:val="20"/>
                <w:szCs w:val="20"/>
              </w:rPr>
            </w:pPr>
            <w:r w:rsidRPr="00E91BC9">
              <w:rPr>
                <w:rFonts w:cs="Times New Roman"/>
                <w:b/>
                <w:bCs/>
                <w:sz w:val="20"/>
                <w:szCs w:val="20"/>
              </w:rPr>
              <w:t>(1)</w:t>
            </w:r>
          </w:p>
        </w:tc>
        <w:tc>
          <w:tcPr>
            <w:tcW w:w="1204" w:type="pct"/>
          </w:tcPr>
          <w:p w14:paraId="7B2962C8" w14:textId="77777777" w:rsidR="00E91BC9" w:rsidRPr="00E91BC9" w:rsidRDefault="00E91BC9" w:rsidP="00E91BC9">
            <w:pPr>
              <w:widowControl w:val="0"/>
              <w:autoSpaceDE w:val="0"/>
              <w:autoSpaceDN w:val="0"/>
              <w:adjustRightInd w:val="0"/>
              <w:spacing w:after="0" w:line="240" w:lineRule="auto"/>
              <w:jc w:val="center"/>
              <w:rPr>
                <w:rFonts w:cs="Times New Roman"/>
                <w:b/>
                <w:bCs/>
                <w:sz w:val="20"/>
                <w:szCs w:val="20"/>
              </w:rPr>
            </w:pPr>
            <w:r w:rsidRPr="00E91BC9">
              <w:rPr>
                <w:rFonts w:cs="Times New Roman"/>
                <w:b/>
                <w:bCs/>
                <w:sz w:val="20"/>
                <w:szCs w:val="20"/>
              </w:rPr>
              <w:t>(2)</w:t>
            </w:r>
          </w:p>
        </w:tc>
      </w:tr>
      <w:tr w:rsidR="00E91BC9" w:rsidRPr="00E91BC9" w14:paraId="440DC844" w14:textId="77777777" w:rsidTr="00E91BC9">
        <w:trPr>
          <w:jc w:val="center"/>
        </w:trPr>
        <w:tc>
          <w:tcPr>
            <w:tcW w:w="2592" w:type="pct"/>
          </w:tcPr>
          <w:p w14:paraId="3832C1F3" w14:textId="77777777" w:rsidR="00E91BC9" w:rsidRPr="00E91BC9" w:rsidRDefault="00E91BC9" w:rsidP="00E91BC9">
            <w:pPr>
              <w:widowControl w:val="0"/>
              <w:autoSpaceDE w:val="0"/>
              <w:autoSpaceDN w:val="0"/>
              <w:adjustRightInd w:val="0"/>
              <w:spacing w:after="0" w:line="240" w:lineRule="auto"/>
              <w:rPr>
                <w:rFonts w:cs="Times New Roman"/>
                <w:b/>
                <w:bCs/>
                <w:sz w:val="20"/>
                <w:szCs w:val="20"/>
              </w:rPr>
            </w:pPr>
            <w:r w:rsidRPr="00E91BC9">
              <w:rPr>
                <w:rFonts w:cs="Times New Roman"/>
                <w:b/>
                <w:bCs/>
                <w:sz w:val="20"/>
                <w:szCs w:val="20"/>
              </w:rPr>
              <w:t>VARIABLES</w:t>
            </w:r>
          </w:p>
        </w:tc>
        <w:tc>
          <w:tcPr>
            <w:tcW w:w="1204" w:type="pct"/>
          </w:tcPr>
          <w:p w14:paraId="0E475DD3" w14:textId="77777777" w:rsidR="00E91BC9" w:rsidRPr="00E91BC9" w:rsidRDefault="00E91BC9" w:rsidP="00E91BC9">
            <w:pPr>
              <w:widowControl w:val="0"/>
              <w:autoSpaceDE w:val="0"/>
              <w:autoSpaceDN w:val="0"/>
              <w:adjustRightInd w:val="0"/>
              <w:spacing w:after="0" w:line="240" w:lineRule="auto"/>
              <w:jc w:val="center"/>
              <w:rPr>
                <w:rFonts w:cs="Times New Roman"/>
                <w:b/>
                <w:bCs/>
                <w:sz w:val="20"/>
                <w:szCs w:val="20"/>
              </w:rPr>
            </w:pPr>
            <w:r w:rsidRPr="00E91BC9">
              <w:rPr>
                <w:rFonts w:cs="Times New Roman"/>
                <w:b/>
                <w:bCs/>
                <w:sz w:val="20"/>
                <w:szCs w:val="20"/>
              </w:rPr>
              <w:t xml:space="preserve">Financial Literacy </w:t>
            </w:r>
          </w:p>
          <w:p w14:paraId="62E71342" w14:textId="77777777" w:rsidR="00E91BC9" w:rsidRPr="00E91BC9" w:rsidRDefault="00E91BC9" w:rsidP="00E91BC9">
            <w:pPr>
              <w:widowControl w:val="0"/>
              <w:autoSpaceDE w:val="0"/>
              <w:autoSpaceDN w:val="0"/>
              <w:adjustRightInd w:val="0"/>
              <w:spacing w:after="0" w:line="240" w:lineRule="auto"/>
              <w:rPr>
                <w:rFonts w:cs="Times New Roman"/>
                <w:b/>
                <w:bCs/>
                <w:sz w:val="20"/>
                <w:szCs w:val="20"/>
              </w:rPr>
            </w:pPr>
            <w:r w:rsidRPr="00E91BC9">
              <w:rPr>
                <w:rFonts w:cs="Times New Roman"/>
                <w:b/>
                <w:bCs/>
                <w:sz w:val="20"/>
                <w:szCs w:val="20"/>
              </w:rPr>
              <w:t xml:space="preserve">       (FL)</w:t>
            </w:r>
          </w:p>
        </w:tc>
        <w:tc>
          <w:tcPr>
            <w:tcW w:w="1204" w:type="pct"/>
          </w:tcPr>
          <w:p w14:paraId="55DAC03D" w14:textId="77777777" w:rsidR="00E91BC9" w:rsidRPr="00E91BC9" w:rsidRDefault="00E91BC9" w:rsidP="00E91BC9">
            <w:pPr>
              <w:widowControl w:val="0"/>
              <w:autoSpaceDE w:val="0"/>
              <w:autoSpaceDN w:val="0"/>
              <w:adjustRightInd w:val="0"/>
              <w:spacing w:after="0" w:line="240" w:lineRule="auto"/>
              <w:jc w:val="center"/>
              <w:rPr>
                <w:rFonts w:cs="Times New Roman"/>
                <w:b/>
                <w:bCs/>
                <w:sz w:val="20"/>
                <w:szCs w:val="20"/>
              </w:rPr>
            </w:pPr>
            <w:r w:rsidRPr="00E91BC9">
              <w:rPr>
                <w:rFonts w:cs="Times New Roman"/>
                <w:b/>
                <w:bCs/>
                <w:sz w:val="20"/>
                <w:szCs w:val="20"/>
              </w:rPr>
              <w:t xml:space="preserve">normal_FL </w:t>
            </w:r>
          </w:p>
        </w:tc>
      </w:tr>
      <w:tr w:rsidR="00E91BC9" w:rsidRPr="00E91BC9" w14:paraId="6E28B505" w14:textId="77777777" w:rsidTr="00E91BC9">
        <w:trPr>
          <w:jc w:val="center"/>
        </w:trPr>
        <w:tc>
          <w:tcPr>
            <w:tcW w:w="2592" w:type="pct"/>
          </w:tcPr>
          <w:p w14:paraId="5856A930" w14:textId="5FA1E43D"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Behavoural Bias</w:t>
            </w:r>
          </w:p>
        </w:tc>
        <w:tc>
          <w:tcPr>
            <w:tcW w:w="1204" w:type="pct"/>
          </w:tcPr>
          <w:p w14:paraId="0FA56B6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0.584***</w:t>
            </w:r>
          </w:p>
        </w:tc>
        <w:tc>
          <w:tcPr>
            <w:tcW w:w="1204" w:type="pct"/>
          </w:tcPr>
          <w:p w14:paraId="581664DF"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r>
      <w:tr w:rsidR="00E91BC9" w:rsidRPr="00E91BC9" w14:paraId="7601F532" w14:textId="77777777" w:rsidTr="00E91BC9">
        <w:trPr>
          <w:jc w:val="center"/>
        </w:trPr>
        <w:tc>
          <w:tcPr>
            <w:tcW w:w="2592" w:type="pct"/>
          </w:tcPr>
          <w:p w14:paraId="2AB5843E"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109F0915"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(0.0625)</w:t>
            </w:r>
          </w:p>
        </w:tc>
        <w:tc>
          <w:tcPr>
            <w:tcW w:w="1204" w:type="pct"/>
          </w:tcPr>
          <w:p w14:paraId="402C13D7"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r>
      <w:tr w:rsidR="00E91BC9" w:rsidRPr="00E91BC9" w14:paraId="3EEFD9D2" w14:textId="77777777" w:rsidTr="00E91BC9">
        <w:trPr>
          <w:jc w:val="center"/>
        </w:trPr>
        <w:tc>
          <w:tcPr>
            <w:tcW w:w="2592" w:type="pct"/>
          </w:tcPr>
          <w:p w14:paraId="4428740D"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Overconfidence</w:t>
            </w:r>
          </w:p>
        </w:tc>
        <w:tc>
          <w:tcPr>
            <w:tcW w:w="1204" w:type="pct"/>
          </w:tcPr>
          <w:p w14:paraId="5EF8FE5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11427E31"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-0.270***</w:t>
            </w:r>
          </w:p>
        </w:tc>
      </w:tr>
      <w:tr w:rsidR="00E91BC9" w:rsidRPr="00E91BC9" w14:paraId="6751A2E0" w14:textId="77777777" w:rsidTr="00E91BC9">
        <w:trPr>
          <w:jc w:val="center"/>
        </w:trPr>
        <w:tc>
          <w:tcPr>
            <w:tcW w:w="2592" w:type="pct"/>
          </w:tcPr>
          <w:p w14:paraId="128413BA"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6FF57027"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35DC811A"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(0.0709)</w:t>
            </w:r>
          </w:p>
        </w:tc>
      </w:tr>
      <w:tr w:rsidR="00E91BC9" w:rsidRPr="00E91BC9" w14:paraId="1CC04DC5" w14:textId="77777777" w:rsidTr="00E91BC9">
        <w:trPr>
          <w:jc w:val="center"/>
        </w:trPr>
        <w:tc>
          <w:tcPr>
            <w:tcW w:w="2592" w:type="pct"/>
          </w:tcPr>
          <w:p w14:paraId="41E262D0"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bCs/>
                <w:sz w:val="20"/>
                <w:szCs w:val="20"/>
              </w:rPr>
              <w:t>Herding Bias</w:t>
            </w:r>
            <w:r w:rsidRPr="00E91BC9">
              <w:rPr>
                <w:rFonts w:cs="Times New Roman"/>
                <w:sz w:val="20"/>
                <w:szCs w:val="20"/>
              </w:rPr>
              <w:t xml:space="preserve">  </w:t>
            </w:r>
          </w:p>
        </w:tc>
        <w:tc>
          <w:tcPr>
            <w:tcW w:w="1204" w:type="pct"/>
          </w:tcPr>
          <w:p w14:paraId="24F58D92"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7B44E2DE"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0.142**</w:t>
            </w:r>
          </w:p>
        </w:tc>
      </w:tr>
      <w:tr w:rsidR="00E91BC9" w:rsidRPr="00E91BC9" w14:paraId="53D7F4BF" w14:textId="77777777" w:rsidTr="00E91BC9">
        <w:trPr>
          <w:jc w:val="center"/>
        </w:trPr>
        <w:tc>
          <w:tcPr>
            <w:tcW w:w="2592" w:type="pct"/>
          </w:tcPr>
          <w:p w14:paraId="1874406E"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3ED888D6"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14066185"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(0.0687)</w:t>
            </w:r>
          </w:p>
        </w:tc>
      </w:tr>
      <w:tr w:rsidR="00E91BC9" w:rsidRPr="00E91BC9" w14:paraId="4B2B5E9E" w14:textId="77777777" w:rsidTr="00E91BC9">
        <w:trPr>
          <w:jc w:val="center"/>
        </w:trPr>
        <w:tc>
          <w:tcPr>
            <w:tcW w:w="2592" w:type="pct"/>
          </w:tcPr>
          <w:p w14:paraId="1ED51D87"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 xml:space="preserve">Anchoring </w:t>
            </w:r>
          </w:p>
        </w:tc>
        <w:tc>
          <w:tcPr>
            <w:tcW w:w="1204" w:type="pct"/>
          </w:tcPr>
          <w:p w14:paraId="70DA8B3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0B1BF8F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0.232***</w:t>
            </w:r>
          </w:p>
        </w:tc>
      </w:tr>
      <w:tr w:rsidR="00E91BC9" w:rsidRPr="00E91BC9" w14:paraId="3F50043A" w14:textId="77777777" w:rsidTr="00E91BC9">
        <w:trPr>
          <w:jc w:val="center"/>
        </w:trPr>
        <w:tc>
          <w:tcPr>
            <w:tcW w:w="2592" w:type="pct"/>
          </w:tcPr>
          <w:p w14:paraId="59D9BE65"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116A1138"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2D2353B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(0.0661)</w:t>
            </w:r>
          </w:p>
        </w:tc>
      </w:tr>
      <w:tr w:rsidR="00E91BC9" w:rsidRPr="00E91BC9" w14:paraId="6DC9C5AB" w14:textId="77777777" w:rsidTr="00E91BC9">
        <w:trPr>
          <w:jc w:val="center"/>
        </w:trPr>
        <w:tc>
          <w:tcPr>
            <w:tcW w:w="2592" w:type="pct"/>
          </w:tcPr>
          <w:p w14:paraId="7BBEEFFF"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 xml:space="preserve">Loss Aversion </w:t>
            </w:r>
          </w:p>
        </w:tc>
        <w:tc>
          <w:tcPr>
            <w:tcW w:w="1204" w:type="pct"/>
          </w:tcPr>
          <w:p w14:paraId="6709FC0D"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051766A7"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0.129**</w:t>
            </w:r>
          </w:p>
        </w:tc>
      </w:tr>
      <w:tr w:rsidR="00E91BC9" w:rsidRPr="00E91BC9" w14:paraId="14451E7E" w14:textId="77777777" w:rsidTr="00E91BC9">
        <w:trPr>
          <w:jc w:val="center"/>
        </w:trPr>
        <w:tc>
          <w:tcPr>
            <w:tcW w:w="2592" w:type="pct"/>
          </w:tcPr>
          <w:p w14:paraId="70B12961"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578D5C9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65269593"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(0.0576)</w:t>
            </w:r>
          </w:p>
        </w:tc>
      </w:tr>
      <w:tr w:rsidR="00E91BC9" w:rsidRPr="00E91BC9" w14:paraId="6A2F3F80" w14:textId="77777777" w:rsidTr="00E91BC9">
        <w:trPr>
          <w:jc w:val="center"/>
        </w:trPr>
        <w:tc>
          <w:tcPr>
            <w:tcW w:w="2592" w:type="pct"/>
          </w:tcPr>
          <w:p w14:paraId="3AAF8571"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 xml:space="preserve">Regret Aversion </w:t>
            </w:r>
          </w:p>
        </w:tc>
        <w:tc>
          <w:tcPr>
            <w:tcW w:w="1204" w:type="pct"/>
          </w:tcPr>
          <w:p w14:paraId="7A9F0655"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41C2D341"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0.126**</w:t>
            </w:r>
          </w:p>
        </w:tc>
      </w:tr>
      <w:tr w:rsidR="00E91BC9" w:rsidRPr="00E91BC9" w14:paraId="1852BEB8" w14:textId="77777777" w:rsidTr="00E91BC9">
        <w:trPr>
          <w:jc w:val="center"/>
        </w:trPr>
        <w:tc>
          <w:tcPr>
            <w:tcW w:w="2592" w:type="pct"/>
          </w:tcPr>
          <w:p w14:paraId="31A3F801"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7A6E046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69AC76B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(0.0516)</w:t>
            </w:r>
          </w:p>
        </w:tc>
      </w:tr>
      <w:tr w:rsidR="00E91BC9" w:rsidRPr="00E91BC9" w14:paraId="371D2B49" w14:textId="77777777" w:rsidTr="00E91BC9">
        <w:trPr>
          <w:jc w:val="center"/>
        </w:trPr>
        <w:tc>
          <w:tcPr>
            <w:tcW w:w="2592" w:type="pct"/>
          </w:tcPr>
          <w:p w14:paraId="396B5ED4"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Duration of Institution</w:t>
            </w:r>
          </w:p>
        </w:tc>
        <w:tc>
          <w:tcPr>
            <w:tcW w:w="1204" w:type="pct"/>
          </w:tcPr>
          <w:p w14:paraId="6721B78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138A2E41"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r>
      <w:tr w:rsidR="00E91BC9" w:rsidRPr="00E91BC9" w14:paraId="636D7602" w14:textId="77777777" w:rsidTr="00E91BC9">
        <w:trPr>
          <w:jc w:val="center"/>
        </w:trPr>
        <w:tc>
          <w:tcPr>
            <w:tcW w:w="2592" w:type="pct"/>
          </w:tcPr>
          <w:p w14:paraId="751267C8"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5-9</w:t>
            </w:r>
          </w:p>
        </w:tc>
        <w:tc>
          <w:tcPr>
            <w:tcW w:w="1204" w:type="pct"/>
          </w:tcPr>
          <w:p w14:paraId="5E2462CF"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-0.0203</w:t>
            </w:r>
          </w:p>
        </w:tc>
        <w:tc>
          <w:tcPr>
            <w:tcW w:w="1204" w:type="pct"/>
          </w:tcPr>
          <w:p w14:paraId="34EF827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-0.0213</w:t>
            </w:r>
          </w:p>
        </w:tc>
      </w:tr>
      <w:tr w:rsidR="00E91BC9" w:rsidRPr="00E91BC9" w14:paraId="2D190938" w14:textId="77777777" w:rsidTr="00E91BC9">
        <w:trPr>
          <w:jc w:val="center"/>
        </w:trPr>
        <w:tc>
          <w:tcPr>
            <w:tcW w:w="2592" w:type="pct"/>
          </w:tcPr>
          <w:p w14:paraId="795515F2"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5037E258"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(0.0288)</w:t>
            </w:r>
          </w:p>
        </w:tc>
        <w:tc>
          <w:tcPr>
            <w:tcW w:w="1204" w:type="pct"/>
          </w:tcPr>
          <w:p w14:paraId="0AF32682"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(0.0283)</w:t>
            </w:r>
          </w:p>
        </w:tc>
      </w:tr>
      <w:tr w:rsidR="00E91BC9" w:rsidRPr="00E91BC9" w14:paraId="22D38846" w14:textId="77777777" w:rsidTr="00E91BC9">
        <w:trPr>
          <w:jc w:val="center"/>
        </w:trPr>
        <w:tc>
          <w:tcPr>
            <w:tcW w:w="2592" w:type="pct"/>
          </w:tcPr>
          <w:p w14:paraId="34836177"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9-14</w:t>
            </w:r>
          </w:p>
        </w:tc>
        <w:tc>
          <w:tcPr>
            <w:tcW w:w="1204" w:type="pct"/>
          </w:tcPr>
          <w:p w14:paraId="2F3EEDF2"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-0.0165</w:t>
            </w:r>
          </w:p>
        </w:tc>
        <w:tc>
          <w:tcPr>
            <w:tcW w:w="1204" w:type="pct"/>
          </w:tcPr>
          <w:p w14:paraId="1C3B1CFB"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-0.0120</w:t>
            </w:r>
          </w:p>
        </w:tc>
      </w:tr>
      <w:tr w:rsidR="00E91BC9" w:rsidRPr="00E91BC9" w14:paraId="6B2779DD" w14:textId="77777777" w:rsidTr="00E91BC9">
        <w:trPr>
          <w:jc w:val="center"/>
        </w:trPr>
        <w:tc>
          <w:tcPr>
            <w:tcW w:w="2592" w:type="pct"/>
          </w:tcPr>
          <w:p w14:paraId="281FBD06"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64A34F9E"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(0.0331)</w:t>
            </w:r>
          </w:p>
        </w:tc>
        <w:tc>
          <w:tcPr>
            <w:tcW w:w="1204" w:type="pct"/>
          </w:tcPr>
          <w:p w14:paraId="6832425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(0.0325)</w:t>
            </w:r>
          </w:p>
        </w:tc>
      </w:tr>
      <w:tr w:rsidR="00E91BC9" w:rsidRPr="00E91BC9" w14:paraId="42814F44" w14:textId="77777777" w:rsidTr="00E91BC9">
        <w:trPr>
          <w:jc w:val="center"/>
        </w:trPr>
        <w:tc>
          <w:tcPr>
            <w:tcW w:w="2592" w:type="pct"/>
          </w:tcPr>
          <w:p w14:paraId="647AFBF5"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15-19</w:t>
            </w:r>
          </w:p>
        </w:tc>
        <w:tc>
          <w:tcPr>
            <w:tcW w:w="1204" w:type="pct"/>
          </w:tcPr>
          <w:p w14:paraId="5D20DCC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0.00899</w:t>
            </w:r>
          </w:p>
        </w:tc>
        <w:tc>
          <w:tcPr>
            <w:tcW w:w="1204" w:type="pct"/>
          </w:tcPr>
          <w:p w14:paraId="50C22138"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0.00535</w:t>
            </w:r>
          </w:p>
        </w:tc>
      </w:tr>
      <w:tr w:rsidR="00E91BC9" w:rsidRPr="00E91BC9" w14:paraId="4069DFE8" w14:textId="77777777" w:rsidTr="00E91BC9">
        <w:trPr>
          <w:jc w:val="center"/>
        </w:trPr>
        <w:tc>
          <w:tcPr>
            <w:tcW w:w="2592" w:type="pct"/>
          </w:tcPr>
          <w:p w14:paraId="75CAA915"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7AC59278"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(0.0441)</w:t>
            </w:r>
          </w:p>
        </w:tc>
        <w:tc>
          <w:tcPr>
            <w:tcW w:w="1204" w:type="pct"/>
          </w:tcPr>
          <w:p w14:paraId="089111F0"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(0.0434)</w:t>
            </w:r>
          </w:p>
        </w:tc>
      </w:tr>
      <w:tr w:rsidR="00E91BC9" w:rsidRPr="00E91BC9" w14:paraId="5FDF5113" w14:textId="77777777" w:rsidTr="00E91BC9">
        <w:trPr>
          <w:jc w:val="center"/>
        </w:trPr>
        <w:tc>
          <w:tcPr>
            <w:tcW w:w="2592" w:type="pct"/>
          </w:tcPr>
          <w:p w14:paraId="38BF9834"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20 and above</w:t>
            </w:r>
          </w:p>
        </w:tc>
        <w:tc>
          <w:tcPr>
            <w:tcW w:w="1204" w:type="pct"/>
          </w:tcPr>
          <w:p w14:paraId="293EE353"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0.00287</w:t>
            </w:r>
          </w:p>
        </w:tc>
        <w:tc>
          <w:tcPr>
            <w:tcW w:w="1204" w:type="pct"/>
          </w:tcPr>
          <w:p w14:paraId="6CA3B83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-0.0132</w:t>
            </w:r>
          </w:p>
        </w:tc>
      </w:tr>
      <w:tr w:rsidR="00E91BC9" w:rsidRPr="00E91BC9" w14:paraId="49E3E44D" w14:textId="77777777" w:rsidTr="00E91BC9">
        <w:trPr>
          <w:jc w:val="center"/>
        </w:trPr>
        <w:tc>
          <w:tcPr>
            <w:tcW w:w="2592" w:type="pct"/>
          </w:tcPr>
          <w:p w14:paraId="1536352C"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5BA2A8B5"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(0.0463)</w:t>
            </w:r>
          </w:p>
        </w:tc>
        <w:tc>
          <w:tcPr>
            <w:tcW w:w="1204" w:type="pct"/>
          </w:tcPr>
          <w:p w14:paraId="0A2F0BC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(0.0458)</w:t>
            </w:r>
          </w:p>
        </w:tc>
      </w:tr>
      <w:tr w:rsidR="00E91BC9" w:rsidRPr="00E91BC9" w14:paraId="73AF9A12" w14:textId="77777777" w:rsidTr="00E91BC9">
        <w:trPr>
          <w:jc w:val="center"/>
        </w:trPr>
        <w:tc>
          <w:tcPr>
            <w:tcW w:w="2592" w:type="pct"/>
          </w:tcPr>
          <w:p w14:paraId="46BA4659"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Number of Employees</w:t>
            </w:r>
          </w:p>
        </w:tc>
        <w:tc>
          <w:tcPr>
            <w:tcW w:w="1204" w:type="pct"/>
          </w:tcPr>
          <w:p w14:paraId="73299F2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c>
          <w:tcPr>
            <w:tcW w:w="1204" w:type="pct"/>
          </w:tcPr>
          <w:p w14:paraId="1ECB2DFA"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p>
        </w:tc>
      </w:tr>
      <w:tr w:rsidR="00E91BC9" w:rsidRPr="00E91BC9" w14:paraId="1B7EA7B4" w14:textId="77777777" w:rsidTr="00E91BC9">
        <w:trPr>
          <w:jc w:val="center"/>
        </w:trPr>
        <w:tc>
          <w:tcPr>
            <w:tcW w:w="2592" w:type="pct"/>
          </w:tcPr>
          <w:p w14:paraId="32B6A4F8"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6-20</w:t>
            </w:r>
          </w:p>
        </w:tc>
        <w:tc>
          <w:tcPr>
            <w:tcW w:w="1204" w:type="pct"/>
          </w:tcPr>
          <w:p w14:paraId="23E37E76"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0.0727***</w:t>
            </w:r>
          </w:p>
        </w:tc>
        <w:tc>
          <w:tcPr>
            <w:tcW w:w="1204" w:type="pct"/>
          </w:tcPr>
          <w:p w14:paraId="69772977"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0.0716***</w:t>
            </w:r>
          </w:p>
        </w:tc>
      </w:tr>
      <w:tr w:rsidR="00E91BC9" w:rsidRPr="00E91BC9" w14:paraId="041ADA13" w14:textId="77777777" w:rsidTr="00E91BC9">
        <w:trPr>
          <w:jc w:val="center"/>
        </w:trPr>
        <w:tc>
          <w:tcPr>
            <w:tcW w:w="2592" w:type="pct"/>
          </w:tcPr>
          <w:p w14:paraId="64F46653"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0F06785D"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(0.0254)</w:t>
            </w:r>
          </w:p>
        </w:tc>
        <w:tc>
          <w:tcPr>
            <w:tcW w:w="1204" w:type="pct"/>
          </w:tcPr>
          <w:p w14:paraId="06444515"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(0.0250)</w:t>
            </w:r>
          </w:p>
        </w:tc>
      </w:tr>
      <w:tr w:rsidR="00E91BC9" w:rsidRPr="00E91BC9" w14:paraId="1CEA42EE" w14:textId="77777777" w:rsidTr="00E91BC9">
        <w:trPr>
          <w:jc w:val="center"/>
        </w:trPr>
        <w:tc>
          <w:tcPr>
            <w:tcW w:w="2592" w:type="pct"/>
          </w:tcPr>
          <w:p w14:paraId="152CBB29"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21-100</w:t>
            </w:r>
          </w:p>
        </w:tc>
        <w:tc>
          <w:tcPr>
            <w:tcW w:w="1204" w:type="pct"/>
          </w:tcPr>
          <w:p w14:paraId="7014C678"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0.0629*</w:t>
            </w:r>
          </w:p>
        </w:tc>
        <w:tc>
          <w:tcPr>
            <w:tcW w:w="1204" w:type="pct"/>
          </w:tcPr>
          <w:p w14:paraId="680EDABC"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0.0738**</w:t>
            </w:r>
          </w:p>
        </w:tc>
      </w:tr>
      <w:tr w:rsidR="00E91BC9" w:rsidRPr="00E91BC9" w14:paraId="107B5D69" w14:textId="77777777" w:rsidTr="00E91BC9">
        <w:trPr>
          <w:jc w:val="center"/>
        </w:trPr>
        <w:tc>
          <w:tcPr>
            <w:tcW w:w="2592" w:type="pct"/>
          </w:tcPr>
          <w:p w14:paraId="621655C3"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0DE5079D"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(0.0354)</w:t>
            </w:r>
          </w:p>
        </w:tc>
        <w:tc>
          <w:tcPr>
            <w:tcW w:w="1204" w:type="pct"/>
          </w:tcPr>
          <w:p w14:paraId="2661C97C"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(0.0354)</w:t>
            </w:r>
          </w:p>
        </w:tc>
      </w:tr>
      <w:tr w:rsidR="00E91BC9" w:rsidRPr="00E91BC9" w14:paraId="3221DD53" w14:textId="77777777" w:rsidTr="00E91BC9">
        <w:trPr>
          <w:jc w:val="center"/>
        </w:trPr>
        <w:tc>
          <w:tcPr>
            <w:tcW w:w="2592" w:type="pct"/>
          </w:tcPr>
          <w:p w14:paraId="67BB43EF"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Constant</w:t>
            </w:r>
          </w:p>
        </w:tc>
        <w:tc>
          <w:tcPr>
            <w:tcW w:w="1204" w:type="pct"/>
          </w:tcPr>
          <w:p w14:paraId="162A09E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0.155***</w:t>
            </w:r>
          </w:p>
        </w:tc>
        <w:tc>
          <w:tcPr>
            <w:tcW w:w="1204" w:type="pct"/>
          </w:tcPr>
          <w:p w14:paraId="65CADA3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0.273***</w:t>
            </w:r>
          </w:p>
        </w:tc>
      </w:tr>
      <w:tr w:rsidR="00E91BC9" w:rsidRPr="00E91BC9" w14:paraId="2F83E2D7" w14:textId="77777777" w:rsidTr="00E91BC9">
        <w:trPr>
          <w:jc w:val="center"/>
        </w:trPr>
        <w:tc>
          <w:tcPr>
            <w:tcW w:w="2592" w:type="pct"/>
          </w:tcPr>
          <w:p w14:paraId="58348A39"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p>
        </w:tc>
        <w:tc>
          <w:tcPr>
            <w:tcW w:w="1204" w:type="pct"/>
          </w:tcPr>
          <w:p w14:paraId="72A79B13"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(0.0415)</w:t>
            </w:r>
          </w:p>
        </w:tc>
        <w:tc>
          <w:tcPr>
            <w:tcW w:w="1204" w:type="pct"/>
          </w:tcPr>
          <w:p w14:paraId="22F51719"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(0.0821)</w:t>
            </w:r>
          </w:p>
        </w:tc>
      </w:tr>
      <w:tr w:rsidR="00E91BC9" w:rsidRPr="00E91BC9" w14:paraId="232F9C17" w14:textId="77777777" w:rsidTr="00E91BC9">
        <w:trPr>
          <w:jc w:val="center"/>
        </w:trPr>
        <w:tc>
          <w:tcPr>
            <w:tcW w:w="2592" w:type="pct"/>
          </w:tcPr>
          <w:p w14:paraId="6B43C994"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Observations</w:t>
            </w:r>
          </w:p>
        </w:tc>
        <w:tc>
          <w:tcPr>
            <w:tcW w:w="1204" w:type="pct"/>
          </w:tcPr>
          <w:p w14:paraId="2299312C"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304</w:t>
            </w:r>
          </w:p>
        </w:tc>
        <w:tc>
          <w:tcPr>
            <w:tcW w:w="1204" w:type="pct"/>
          </w:tcPr>
          <w:p w14:paraId="6A0028F1"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304</w:t>
            </w:r>
          </w:p>
        </w:tc>
      </w:tr>
      <w:tr w:rsidR="00E91BC9" w:rsidRPr="00E91BC9" w14:paraId="5F7EC1AA" w14:textId="77777777" w:rsidTr="00E91BC9">
        <w:trPr>
          <w:jc w:val="center"/>
        </w:trPr>
        <w:tc>
          <w:tcPr>
            <w:tcW w:w="2592" w:type="pct"/>
          </w:tcPr>
          <w:p w14:paraId="7483DF77" w14:textId="77777777" w:rsidR="00E91BC9" w:rsidRPr="00E91BC9" w:rsidRDefault="00E91BC9" w:rsidP="00E91BC9">
            <w:pPr>
              <w:widowControl w:val="0"/>
              <w:autoSpaceDE w:val="0"/>
              <w:autoSpaceDN w:val="0"/>
              <w:adjustRightInd w:val="0"/>
              <w:spacing w:after="0" w:line="240" w:lineRule="auto"/>
              <w:rPr>
                <w:rFonts w:cs="Times New Roman"/>
                <w:sz w:val="20"/>
                <w:szCs w:val="20"/>
              </w:rPr>
            </w:pPr>
            <w:r w:rsidRPr="00E91BC9">
              <w:rPr>
                <w:rFonts w:cs="Times New Roman"/>
                <w:sz w:val="20"/>
                <w:szCs w:val="20"/>
              </w:rPr>
              <w:t>R-squared</w:t>
            </w:r>
          </w:p>
        </w:tc>
        <w:tc>
          <w:tcPr>
            <w:tcW w:w="1204" w:type="pct"/>
          </w:tcPr>
          <w:p w14:paraId="0220D284"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0.259</w:t>
            </w:r>
          </w:p>
        </w:tc>
        <w:tc>
          <w:tcPr>
            <w:tcW w:w="1204" w:type="pct"/>
          </w:tcPr>
          <w:p w14:paraId="4038D637" w14:textId="77777777" w:rsidR="00E91BC9" w:rsidRPr="00E91BC9" w:rsidRDefault="00E91BC9" w:rsidP="00E91BC9">
            <w:pPr>
              <w:widowControl w:val="0"/>
              <w:autoSpaceDE w:val="0"/>
              <w:autoSpaceDN w:val="0"/>
              <w:adjustRightInd w:val="0"/>
              <w:spacing w:after="0" w:line="240" w:lineRule="auto"/>
              <w:jc w:val="center"/>
              <w:rPr>
                <w:rFonts w:cs="Times New Roman"/>
                <w:sz w:val="20"/>
                <w:szCs w:val="20"/>
              </w:rPr>
            </w:pPr>
            <w:r w:rsidRPr="00E91BC9">
              <w:rPr>
                <w:rFonts w:cs="Times New Roman"/>
                <w:sz w:val="20"/>
                <w:szCs w:val="20"/>
              </w:rPr>
              <w:t>0.301</w:t>
            </w:r>
          </w:p>
        </w:tc>
      </w:tr>
    </w:tbl>
    <w:p w14:paraId="1CD884C1" w14:textId="77777777" w:rsidR="00E91BC9" w:rsidRPr="00E91BC9" w:rsidRDefault="00E91BC9" w:rsidP="00E91BC9">
      <w:pPr>
        <w:widowControl w:val="0"/>
        <w:autoSpaceDE w:val="0"/>
        <w:autoSpaceDN w:val="0"/>
        <w:adjustRightInd w:val="0"/>
        <w:spacing w:after="0" w:line="240" w:lineRule="auto"/>
        <w:jc w:val="center"/>
        <w:rPr>
          <w:rFonts w:cs="Times New Roman"/>
          <w:b/>
          <w:bCs/>
          <w:i/>
          <w:iCs/>
          <w:noProof/>
          <w:sz w:val="20"/>
          <w:szCs w:val="20"/>
        </w:rPr>
      </w:pPr>
      <w:r w:rsidRPr="00E91BC9">
        <w:rPr>
          <w:rFonts w:cs="Times New Roman"/>
          <w:b/>
          <w:bCs/>
          <w:i/>
          <w:iCs/>
          <w:sz w:val="20"/>
          <w:szCs w:val="20"/>
        </w:rPr>
        <w:t>Standard errors in parentheses *** p&lt;0.01, ** p&lt;0.05, * p&lt;0.1</w:t>
      </w:r>
    </w:p>
    <w:p w14:paraId="7D8B48F1" w14:textId="6D778126" w:rsidR="00E91BC9" w:rsidRPr="00E91BC9" w:rsidRDefault="00E91BC9" w:rsidP="00E91BC9">
      <w:pPr>
        <w:spacing w:after="0" w:line="240" w:lineRule="auto"/>
        <w:rPr>
          <w:rFonts w:cs="Times New Roman"/>
          <w:b/>
          <w:noProof/>
          <w:sz w:val="20"/>
          <w:szCs w:val="20"/>
        </w:rPr>
      </w:pPr>
      <w:r w:rsidRPr="00E91BC9">
        <w:rPr>
          <w:rFonts w:cs="Times New Roman"/>
          <w:b/>
          <w:noProof/>
          <w:sz w:val="20"/>
          <w:szCs w:val="20"/>
        </w:rPr>
        <w:t>Source: Author’s computation (2024)</w:t>
      </w:r>
    </w:p>
    <w:p w14:paraId="73E08AEC" w14:textId="4167913C" w:rsidR="0015660C" w:rsidRDefault="004F1A07" w:rsidP="00955CDE">
      <w:pPr>
        <w:spacing w:line="360" w:lineRule="auto"/>
        <w:jc w:val="both"/>
      </w:pPr>
      <w:r>
        <w:t>The second objective examines the extent to which behavioural biases influence financial literacy among SME owners. The results indicate that behavioural biases have a statistically significant effect on financial literacy, suggesting that cognitive tendencies shape not only decision-making processes but also the development and application of financial capability.</w:t>
      </w:r>
    </w:p>
    <w:p w14:paraId="083E7E84" w14:textId="205DA986" w:rsidR="0015660C" w:rsidRDefault="004F1A07" w:rsidP="00955CDE">
      <w:pPr>
        <w:spacing w:line="360" w:lineRule="auto"/>
        <w:jc w:val="both"/>
      </w:pPr>
      <w:r>
        <w:t xml:space="preserve">Overconfidence bias appears to be positively associated with financial engagement, as entrepreneurs with higher confidence levels are more actively involved in financial decision-making, thereby enhancing their financial knowledge and behaviour. Conversely, anchoring bias tends to limit </w:t>
      </w:r>
      <w:r w:rsidR="00A772AC">
        <w:t xml:space="preserve">entrepreneurs' ability </w:t>
      </w:r>
      <w:r>
        <w:t xml:space="preserve">to update their financial </w:t>
      </w:r>
      <w:r>
        <w:lastRenderedPageBreak/>
        <w:t>understanding in response to new information, while herding behaviour reduces independent financial learning by encouraging reliance on external cues. These findings confirm that behavioural biases influence financial literacy and provide support for the second hypothesis.</w:t>
      </w:r>
    </w:p>
    <w:p w14:paraId="6AB5AEF8" w14:textId="4F442E90" w:rsidR="0015660C" w:rsidRPr="005C7A5B" w:rsidRDefault="004F1A07" w:rsidP="00955CDE">
      <w:pPr>
        <w:spacing w:line="360" w:lineRule="auto"/>
        <w:jc w:val="both"/>
        <w:rPr>
          <w:b/>
          <w:bCs/>
        </w:rPr>
      </w:pPr>
      <w:r w:rsidRPr="005C7A5B">
        <w:rPr>
          <w:b/>
          <w:bCs/>
        </w:rPr>
        <w:t>5.3 Mediating Role of Financial Literacy</w:t>
      </w:r>
    </w:p>
    <w:p w14:paraId="2664C66D" w14:textId="05BB3517" w:rsidR="0015660C" w:rsidRDefault="004F1A07" w:rsidP="00955CDE">
      <w:pPr>
        <w:spacing w:line="360" w:lineRule="auto"/>
        <w:jc w:val="both"/>
      </w:pPr>
      <w:r>
        <w:t>The third objective focuses on the mediating role of financial literacy in the relationship between behavioural biases and SME growth. The results provide strong evidence that financial literacy plays a critical role in transmitting the effects of behavioural biases to firm performance.</w:t>
      </w:r>
    </w:p>
    <w:p w14:paraId="72707BEC" w14:textId="3D648BB4" w:rsidR="00E91BC9" w:rsidRDefault="00E91BC9" w:rsidP="005C7A5B">
      <w:pPr>
        <w:pStyle w:val="table"/>
        <w:spacing w:after="0"/>
        <w:rPr>
          <w:color w:val="auto"/>
          <w:szCs w:val="24"/>
        </w:rPr>
      </w:pPr>
      <w:bookmarkStart w:id="15" w:name="_Toc174112003"/>
      <w:r>
        <w:rPr>
          <w:color w:val="auto"/>
          <w:szCs w:val="24"/>
        </w:rPr>
        <w:t xml:space="preserve">Table </w:t>
      </w:r>
      <w:r w:rsidR="0070451B">
        <w:rPr>
          <w:color w:val="auto"/>
          <w:szCs w:val="24"/>
        </w:rPr>
        <w:t>4</w:t>
      </w:r>
      <w:r>
        <w:rPr>
          <w:color w:val="auto"/>
          <w:szCs w:val="24"/>
        </w:rPr>
        <w:t>: Structural Results</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116"/>
        <w:gridCol w:w="1192"/>
        <w:gridCol w:w="964"/>
        <w:gridCol w:w="812"/>
        <w:gridCol w:w="2376"/>
      </w:tblGrid>
      <w:tr w:rsidR="00E91BC9" w:rsidRPr="0070451B" w14:paraId="1007AF94" w14:textId="77777777" w:rsidTr="005C7A5B">
        <w:tc>
          <w:tcPr>
            <w:tcW w:w="1382" w:type="pct"/>
          </w:tcPr>
          <w:p w14:paraId="604EF927" w14:textId="77777777" w:rsidR="00E91BC9" w:rsidRPr="0070451B" w:rsidRDefault="00E91BC9" w:rsidP="005C7A5B">
            <w:pPr>
              <w:spacing w:after="0" w:line="240" w:lineRule="auto"/>
              <w:rPr>
                <w:rFonts w:cs="Times New Roman"/>
                <w:sz w:val="20"/>
                <w:szCs w:val="20"/>
              </w:rPr>
            </w:pPr>
            <w:bookmarkStart w:id="16" w:name="_Hlk172215858"/>
            <w:r w:rsidRPr="0070451B">
              <w:rPr>
                <w:rFonts w:cs="Times New Roman"/>
                <w:sz w:val="20"/>
                <w:szCs w:val="20"/>
              </w:rPr>
              <w:t xml:space="preserve">                 </w:t>
            </w:r>
          </w:p>
        </w:tc>
        <w:tc>
          <w:tcPr>
            <w:tcW w:w="486" w:type="pct"/>
          </w:tcPr>
          <w:p w14:paraId="50B94713" w14:textId="77777777" w:rsidR="00E91BC9" w:rsidRPr="0070451B" w:rsidRDefault="00E91BC9" w:rsidP="005C7A5B">
            <w:pPr>
              <w:spacing w:after="0" w:line="240" w:lineRule="auto"/>
              <w:rPr>
                <w:rFonts w:cs="Times New Roman"/>
                <w:sz w:val="20"/>
                <w:szCs w:val="20"/>
              </w:rPr>
            </w:pPr>
          </w:p>
        </w:tc>
        <w:tc>
          <w:tcPr>
            <w:tcW w:w="702" w:type="pct"/>
          </w:tcPr>
          <w:p w14:paraId="6EE8920B" w14:textId="77777777" w:rsidR="00E91BC9" w:rsidRPr="0070451B" w:rsidRDefault="00E91BC9" w:rsidP="005C7A5B">
            <w:pPr>
              <w:spacing w:after="0" w:line="240" w:lineRule="auto"/>
              <w:ind w:left="268"/>
              <w:rPr>
                <w:rFonts w:cs="Times New Roman"/>
                <w:sz w:val="20"/>
                <w:szCs w:val="20"/>
              </w:rPr>
            </w:pPr>
            <w:r w:rsidRPr="0070451B">
              <w:rPr>
                <w:rFonts w:cs="Times New Roman"/>
                <w:sz w:val="20"/>
                <w:szCs w:val="20"/>
              </w:rPr>
              <w:t>OIM</w:t>
            </w:r>
          </w:p>
        </w:tc>
        <w:tc>
          <w:tcPr>
            <w:tcW w:w="573" w:type="pct"/>
          </w:tcPr>
          <w:p w14:paraId="6B37B0A5" w14:textId="77777777" w:rsidR="00E91BC9" w:rsidRPr="0070451B" w:rsidRDefault="00E91BC9" w:rsidP="005C7A5B">
            <w:pPr>
              <w:spacing w:after="0" w:line="240" w:lineRule="auto"/>
              <w:rPr>
                <w:rFonts w:cs="Times New Roman"/>
                <w:sz w:val="20"/>
                <w:szCs w:val="20"/>
              </w:rPr>
            </w:pPr>
          </w:p>
        </w:tc>
        <w:tc>
          <w:tcPr>
            <w:tcW w:w="487" w:type="pct"/>
          </w:tcPr>
          <w:p w14:paraId="5280A57F" w14:textId="77777777" w:rsidR="00E91BC9" w:rsidRPr="0070451B" w:rsidRDefault="00E91BC9" w:rsidP="005C7A5B">
            <w:pPr>
              <w:spacing w:after="0" w:line="240" w:lineRule="auto"/>
              <w:rPr>
                <w:rFonts w:cs="Times New Roman"/>
                <w:sz w:val="20"/>
                <w:szCs w:val="20"/>
              </w:rPr>
            </w:pPr>
          </w:p>
        </w:tc>
        <w:tc>
          <w:tcPr>
            <w:tcW w:w="1370" w:type="pct"/>
          </w:tcPr>
          <w:p w14:paraId="2C59E735" w14:textId="77777777" w:rsidR="00E91BC9" w:rsidRPr="0070451B" w:rsidRDefault="00E91BC9" w:rsidP="005C7A5B">
            <w:pPr>
              <w:spacing w:after="0" w:line="240" w:lineRule="auto"/>
              <w:rPr>
                <w:rFonts w:cs="Times New Roman"/>
                <w:sz w:val="20"/>
                <w:szCs w:val="20"/>
              </w:rPr>
            </w:pPr>
          </w:p>
        </w:tc>
      </w:tr>
      <w:tr w:rsidR="00E91BC9" w:rsidRPr="0070451B" w14:paraId="70BC1144" w14:textId="77777777" w:rsidTr="005C7A5B">
        <w:tc>
          <w:tcPr>
            <w:tcW w:w="1382" w:type="pct"/>
          </w:tcPr>
          <w:p w14:paraId="11E773A5" w14:textId="77777777" w:rsidR="00E91BC9" w:rsidRPr="0070451B" w:rsidRDefault="00E91BC9" w:rsidP="00590AA8">
            <w:pPr>
              <w:spacing w:after="0"/>
              <w:rPr>
                <w:rFonts w:cs="Times New Roman"/>
                <w:sz w:val="20"/>
                <w:szCs w:val="20"/>
              </w:rPr>
            </w:pPr>
            <w:r w:rsidRPr="0070451B">
              <w:rPr>
                <w:rFonts w:cs="Times New Roman"/>
                <w:sz w:val="20"/>
                <w:szCs w:val="20"/>
              </w:rPr>
              <w:t xml:space="preserve">                 </w:t>
            </w:r>
          </w:p>
        </w:tc>
        <w:tc>
          <w:tcPr>
            <w:tcW w:w="486" w:type="pct"/>
          </w:tcPr>
          <w:p w14:paraId="774C413A" w14:textId="77777777" w:rsidR="00E91BC9" w:rsidRPr="0070451B" w:rsidRDefault="00E91BC9" w:rsidP="00590AA8">
            <w:pPr>
              <w:spacing w:after="0"/>
              <w:rPr>
                <w:rFonts w:cs="Times New Roman"/>
                <w:sz w:val="20"/>
                <w:szCs w:val="20"/>
              </w:rPr>
            </w:pPr>
            <w:r w:rsidRPr="0070451B">
              <w:rPr>
                <w:rFonts w:cs="Times New Roman"/>
                <w:sz w:val="20"/>
                <w:szCs w:val="20"/>
              </w:rPr>
              <w:t xml:space="preserve">Coefficient  </w:t>
            </w:r>
          </w:p>
        </w:tc>
        <w:tc>
          <w:tcPr>
            <w:tcW w:w="702" w:type="pct"/>
          </w:tcPr>
          <w:p w14:paraId="436F486E" w14:textId="77777777" w:rsidR="00E91BC9" w:rsidRPr="0070451B" w:rsidRDefault="00E91BC9" w:rsidP="00590AA8">
            <w:pPr>
              <w:spacing w:after="0"/>
              <w:rPr>
                <w:rFonts w:cs="Times New Roman"/>
                <w:sz w:val="20"/>
                <w:szCs w:val="20"/>
              </w:rPr>
            </w:pPr>
            <w:r w:rsidRPr="0070451B">
              <w:rPr>
                <w:rFonts w:cs="Times New Roman"/>
                <w:sz w:val="20"/>
                <w:szCs w:val="20"/>
              </w:rPr>
              <w:t xml:space="preserve">std. err.        </w:t>
            </w:r>
          </w:p>
        </w:tc>
        <w:tc>
          <w:tcPr>
            <w:tcW w:w="573" w:type="pct"/>
          </w:tcPr>
          <w:p w14:paraId="1F3A6F44" w14:textId="77777777" w:rsidR="00E91BC9" w:rsidRPr="0070451B" w:rsidRDefault="00E91BC9" w:rsidP="00590AA8">
            <w:pPr>
              <w:spacing w:after="0"/>
              <w:rPr>
                <w:rFonts w:cs="Times New Roman"/>
                <w:sz w:val="20"/>
                <w:szCs w:val="20"/>
              </w:rPr>
            </w:pPr>
            <w:r w:rsidRPr="0070451B">
              <w:rPr>
                <w:rFonts w:cs="Times New Roman"/>
                <w:sz w:val="20"/>
                <w:szCs w:val="20"/>
              </w:rPr>
              <w:t xml:space="preserve">z  </w:t>
            </w:r>
          </w:p>
        </w:tc>
        <w:tc>
          <w:tcPr>
            <w:tcW w:w="487" w:type="pct"/>
          </w:tcPr>
          <w:p w14:paraId="1FCB4C3C" w14:textId="77777777" w:rsidR="00E91BC9" w:rsidRPr="0070451B" w:rsidRDefault="00E91BC9" w:rsidP="00590AA8">
            <w:pPr>
              <w:spacing w:after="0"/>
              <w:rPr>
                <w:rFonts w:cs="Times New Roman"/>
                <w:sz w:val="20"/>
                <w:szCs w:val="20"/>
              </w:rPr>
            </w:pPr>
            <w:r w:rsidRPr="0070451B">
              <w:rPr>
                <w:rFonts w:cs="Times New Roman"/>
                <w:sz w:val="20"/>
                <w:szCs w:val="20"/>
              </w:rPr>
              <w:t xml:space="preserve">P&gt;|z|     </w:t>
            </w:r>
          </w:p>
        </w:tc>
        <w:tc>
          <w:tcPr>
            <w:tcW w:w="1370" w:type="pct"/>
          </w:tcPr>
          <w:p w14:paraId="55386D0B" w14:textId="77777777" w:rsidR="00E91BC9" w:rsidRPr="0070451B" w:rsidRDefault="00E91BC9" w:rsidP="00590AA8">
            <w:pPr>
              <w:spacing w:after="0"/>
              <w:rPr>
                <w:rFonts w:cs="Times New Roman"/>
                <w:sz w:val="20"/>
                <w:szCs w:val="20"/>
              </w:rPr>
            </w:pPr>
            <w:r w:rsidRPr="0070451B">
              <w:rPr>
                <w:rFonts w:cs="Times New Roman"/>
                <w:sz w:val="20"/>
                <w:szCs w:val="20"/>
              </w:rPr>
              <w:t>[95%conf. interval]</w:t>
            </w:r>
          </w:p>
        </w:tc>
      </w:tr>
      <w:tr w:rsidR="00E91BC9" w:rsidRPr="0070451B" w14:paraId="0B2C7249" w14:textId="77777777" w:rsidTr="005C7A5B">
        <w:tc>
          <w:tcPr>
            <w:tcW w:w="1382" w:type="pct"/>
          </w:tcPr>
          <w:p w14:paraId="79EF4879" w14:textId="77777777" w:rsidR="00E91BC9" w:rsidRPr="0070451B" w:rsidRDefault="00E91BC9" w:rsidP="00590AA8">
            <w:pPr>
              <w:spacing w:after="0"/>
              <w:rPr>
                <w:rFonts w:cs="Times New Roman"/>
                <w:sz w:val="20"/>
                <w:szCs w:val="20"/>
              </w:rPr>
            </w:pPr>
            <w:r w:rsidRPr="0070451B">
              <w:rPr>
                <w:rFonts w:cs="Times New Roman"/>
                <w:sz w:val="20"/>
                <w:szCs w:val="20"/>
              </w:rPr>
              <w:t xml:space="preserve">Structural       </w:t>
            </w:r>
          </w:p>
        </w:tc>
        <w:tc>
          <w:tcPr>
            <w:tcW w:w="486" w:type="pct"/>
          </w:tcPr>
          <w:p w14:paraId="6BBC4403" w14:textId="77777777" w:rsidR="00E91BC9" w:rsidRPr="0070451B" w:rsidRDefault="00E91BC9" w:rsidP="00590AA8">
            <w:pPr>
              <w:spacing w:after="0"/>
              <w:rPr>
                <w:rFonts w:cs="Times New Roman"/>
                <w:sz w:val="20"/>
                <w:szCs w:val="20"/>
              </w:rPr>
            </w:pPr>
          </w:p>
        </w:tc>
        <w:tc>
          <w:tcPr>
            <w:tcW w:w="702" w:type="pct"/>
          </w:tcPr>
          <w:p w14:paraId="308A233F" w14:textId="77777777" w:rsidR="00E91BC9" w:rsidRPr="0070451B" w:rsidRDefault="00E91BC9" w:rsidP="00590AA8">
            <w:pPr>
              <w:spacing w:after="0"/>
              <w:rPr>
                <w:rFonts w:cs="Times New Roman"/>
                <w:sz w:val="20"/>
                <w:szCs w:val="20"/>
              </w:rPr>
            </w:pPr>
          </w:p>
        </w:tc>
        <w:tc>
          <w:tcPr>
            <w:tcW w:w="573" w:type="pct"/>
          </w:tcPr>
          <w:p w14:paraId="3E7700FA" w14:textId="77777777" w:rsidR="00E91BC9" w:rsidRPr="0070451B" w:rsidRDefault="00E91BC9" w:rsidP="00590AA8">
            <w:pPr>
              <w:spacing w:after="0"/>
              <w:rPr>
                <w:rFonts w:cs="Times New Roman"/>
                <w:sz w:val="20"/>
                <w:szCs w:val="20"/>
              </w:rPr>
            </w:pPr>
          </w:p>
        </w:tc>
        <w:tc>
          <w:tcPr>
            <w:tcW w:w="487" w:type="pct"/>
          </w:tcPr>
          <w:p w14:paraId="766D4F88" w14:textId="77777777" w:rsidR="00E91BC9" w:rsidRPr="0070451B" w:rsidRDefault="00E91BC9" w:rsidP="00590AA8">
            <w:pPr>
              <w:spacing w:after="0"/>
              <w:rPr>
                <w:rFonts w:cs="Times New Roman"/>
                <w:sz w:val="20"/>
                <w:szCs w:val="20"/>
              </w:rPr>
            </w:pPr>
          </w:p>
        </w:tc>
        <w:tc>
          <w:tcPr>
            <w:tcW w:w="1370" w:type="pct"/>
          </w:tcPr>
          <w:p w14:paraId="5A911701" w14:textId="77777777" w:rsidR="00E91BC9" w:rsidRPr="0070451B" w:rsidRDefault="00E91BC9" w:rsidP="00590AA8">
            <w:pPr>
              <w:spacing w:after="0"/>
              <w:rPr>
                <w:rFonts w:cs="Times New Roman"/>
                <w:sz w:val="20"/>
                <w:szCs w:val="20"/>
              </w:rPr>
            </w:pPr>
          </w:p>
        </w:tc>
      </w:tr>
      <w:tr w:rsidR="00E91BC9" w:rsidRPr="0070451B" w14:paraId="319A80BB" w14:textId="77777777" w:rsidTr="005C7A5B">
        <w:tc>
          <w:tcPr>
            <w:tcW w:w="1382" w:type="pct"/>
          </w:tcPr>
          <w:p w14:paraId="432903BB" w14:textId="77777777" w:rsidR="00E91BC9" w:rsidRPr="0070451B" w:rsidRDefault="00E91BC9" w:rsidP="00590AA8">
            <w:pPr>
              <w:spacing w:after="0"/>
              <w:rPr>
                <w:rFonts w:cs="Times New Roman"/>
                <w:sz w:val="20"/>
                <w:szCs w:val="20"/>
              </w:rPr>
            </w:pPr>
            <w:r w:rsidRPr="0070451B">
              <w:rPr>
                <w:rFonts w:cs="Times New Roman"/>
                <w:sz w:val="20"/>
                <w:szCs w:val="20"/>
              </w:rPr>
              <w:t>Financial Literacy</w:t>
            </w:r>
          </w:p>
        </w:tc>
        <w:tc>
          <w:tcPr>
            <w:tcW w:w="486" w:type="pct"/>
          </w:tcPr>
          <w:p w14:paraId="1780F307" w14:textId="77777777" w:rsidR="00E91BC9" w:rsidRPr="0070451B" w:rsidRDefault="00E91BC9" w:rsidP="00590AA8">
            <w:pPr>
              <w:spacing w:after="0"/>
              <w:ind w:left="424"/>
              <w:rPr>
                <w:rFonts w:cs="Times New Roman"/>
                <w:sz w:val="20"/>
                <w:szCs w:val="20"/>
              </w:rPr>
            </w:pPr>
            <w:r w:rsidRPr="0070451B">
              <w:rPr>
                <w:rFonts w:cs="Times New Roman"/>
                <w:sz w:val="20"/>
                <w:szCs w:val="20"/>
              </w:rPr>
              <w:t>|</w:t>
            </w:r>
          </w:p>
        </w:tc>
        <w:tc>
          <w:tcPr>
            <w:tcW w:w="702" w:type="pct"/>
          </w:tcPr>
          <w:p w14:paraId="48F82211" w14:textId="77777777" w:rsidR="00E91BC9" w:rsidRPr="0070451B" w:rsidRDefault="00E91BC9" w:rsidP="00590AA8">
            <w:pPr>
              <w:spacing w:after="0"/>
              <w:rPr>
                <w:rFonts w:cs="Times New Roman"/>
                <w:sz w:val="20"/>
                <w:szCs w:val="20"/>
              </w:rPr>
            </w:pPr>
          </w:p>
        </w:tc>
        <w:tc>
          <w:tcPr>
            <w:tcW w:w="573" w:type="pct"/>
          </w:tcPr>
          <w:p w14:paraId="723FCDCD" w14:textId="77777777" w:rsidR="00E91BC9" w:rsidRPr="0070451B" w:rsidRDefault="00E91BC9" w:rsidP="00590AA8">
            <w:pPr>
              <w:spacing w:after="0"/>
              <w:rPr>
                <w:rFonts w:cs="Times New Roman"/>
                <w:sz w:val="20"/>
                <w:szCs w:val="20"/>
              </w:rPr>
            </w:pPr>
          </w:p>
        </w:tc>
        <w:tc>
          <w:tcPr>
            <w:tcW w:w="487" w:type="pct"/>
          </w:tcPr>
          <w:p w14:paraId="14C71355" w14:textId="77777777" w:rsidR="00E91BC9" w:rsidRPr="0070451B" w:rsidRDefault="00E91BC9" w:rsidP="00590AA8">
            <w:pPr>
              <w:spacing w:after="0"/>
              <w:rPr>
                <w:rFonts w:cs="Times New Roman"/>
                <w:sz w:val="20"/>
                <w:szCs w:val="20"/>
              </w:rPr>
            </w:pPr>
          </w:p>
        </w:tc>
        <w:tc>
          <w:tcPr>
            <w:tcW w:w="1370" w:type="pct"/>
          </w:tcPr>
          <w:p w14:paraId="343D600C" w14:textId="77777777" w:rsidR="00E91BC9" w:rsidRPr="0070451B" w:rsidRDefault="00E91BC9" w:rsidP="00590AA8">
            <w:pPr>
              <w:spacing w:after="0"/>
              <w:rPr>
                <w:rFonts w:cs="Times New Roman"/>
                <w:sz w:val="20"/>
                <w:szCs w:val="20"/>
              </w:rPr>
            </w:pPr>
          </w:p>
        </w:tc>
      </w:tr>
      <w:tr w:rsidR="00E91BC9" w:rsidRPr="0070451B" w14:paraId="780E9D33" w14:textId="77777777" w:rsidTr="005C7A5B">
        <w:tc>
          <w:tcPr>
            <w:tcW w:w="1382" w:type="pct"/>
          </w:tcPr>
          <w:p w14:paraId="0F494DA5" w14:textId="77777777" w:rsidR="00E91BC9" w:rsidRPr="0070451B" w:rsidRDefault="00E91BC9" w:rsidP="00590AA8">
            <w:pPr>
              <w:spacing w:after="0"/>
              <w:rPr>
                <w:rFonts w:cs="Times New Roman"/>
                <w:sz w:val="20"/>
                <w:szCs w:val="20"/>
              </w:rPr>
            </w:pPr>
            <w:r w:rsidRPr="0070451B">
              <w:rPr>
                <w:rFonts w:cs="Times New Roman"/>
                <w:sz w:val="20"/>
                <w:szCs w:val="20"/>
              </w:rPr>
              <w:t>Risk Perception</w:t>
            </w:r>
          </w:p>
        </w:tc>
        <w:tc>
          <w:tcPr>
            <w:tcW w:w="486" w:type="pct"/>
          </w:tcPr>
          <w:p w14:paraId="0A345FE7" w14:textId="77777777" w:rsidR="00E91BC9" w:rsidRPr="0070451B" w:rsidRDefault="00E91BC9" w:rsidP="00590AA8">
            <w:pPr>
              <w:spacing w:after="0"/>
              <w:ind w:left="48"/>
              <w:rPr>
                <w:rFonts w:cs="Times New Roman"/>
                <w:sz w:val="20"/>
                <w:szCs w:val="20"/>
              </w:rPr>
            </w:pPr>
            <w:r w:rsidRPr="0070451B">
              <w:rPr>
                <w:rFonts w:cs="Times New Roman"/>
                <w:sz w:val="20"/>
                <w:szCs w:val="20"/>
              </w:rPr>
              <w:t>.5985196</w:t>
            </w:r>
          </w:p>
        </w:tc>
        <w:tc>
          <w:tcPr>
            <w:tcW w:w="702" w:type="pct"/>
          </w:tcPr>
          <w:p w14:paraId="164FD3CC" w14:textId="77777777" w:rsidR="00E91BC9" w:rsidRPr="0070451B" w:rsidRDefault="00E91BC9" w:rsidP="00590AA8">
            <w:pPr>
              <w:spacing w:after="0"/>
              <w:ind w:left="30"/>
              <w:rPr>
                <w:rFonts w:cs="Times New Roman"/>
                <w:sz w:val="20"/>
                <w:szCs w:val="20"/>
              </w:rPr>
            </w:pPr>
            <w:r w:rsidRPr="0070451B">
              <w:rPr>
                <w:rFonts w:cs="Times New Roman"/>
                <w:sz w:val="20"/>
                <w:szCs w:val="20"/>
              </w:rPr>
              <w:t>.0618198</w:t>
            </w:r>
          </w:p>
        </w:tc>
        <w:tc>
          <w:tcPr>
            <w:tcW w:w="573" w:type="pct"/>
          </w:tcPr>
          <w:p w14:paraId="0F7CF967" w14:textId="77777777" w:rsidR="00E91BC9" w:rsidRPr="0070451B" w:rsidRDefault="00E91BC9" w:rsidP="00590AA8">
            <w:pPr>
              <w:spacing w:after="0"/>
              <w:ind w:left="207"/>
              <w:rPr>
                <w:rFonts w:cs="Times New Roman"/>
                <w:sz w:val="20"/>
                <w:szCs w:val="20"/>
              </w:rPr>
            </w:pPr>
            <w:r w:rsidRPr="0070451B">
              <w:rPr>
                <w:rFonts w:cs="Times New Roman"/>
                <w:sz w:val="20"/>
                <w:szCs w:val="20"/>
              </w:rPr>
              <w:t>9.68</w:t>
            </w:r>
          </w:p>
        </w:tc>
        <w:tc>
          <w:tcPr>
            <w:tcW w:w="487" w:type="pct"/>
          </w:tcPr>
          <w:p w14:paraId="4878920D" w14:textId="77777777" w:rsidR="00E91BC9" w:rsidRPr="0070451B" w:rsidRDefault="00E91BC9" w:rsidP="00590AA8">
            <w:pPr>
              <w:spacing w:after="0"/>
              <w:rPr>
                <w:rFonts w:cs="Times New Roman"/>
                <w:sz w:val="20"/>
                <w:szCs w:val="20"/>
              </w:rPr>
            </w:pPr>
            <w:r w:rsidRPr="0070451B">
              <w:rPr>
                <w:rFonts w:cs="Times New Roman"/>
                <w:sz w:val="20"/>
                <w:szCs w:val="20"/>
              </w:rPr>
              <w:t>0.000</w:t>
            </w:r>
          </w:p>
        </w:tc>
        <w:tc>
          <w:tcPr>
            <w:tcW w:w="1370" w:type="pct"/>
          </w:tcPr>
          <w:p w14:paraId="5487C7F3" w14:textId="77777777" w:rsidR="00E91BC9" w:rsidRPr="0070451B" w:rsidRDefault="00E91BC9" w:rsidP="00590AA8">
            <w:pPr>
              <w:spacing w:after="0"/>
              <w:rPr>
                <w:rFonts w:cs="Times New Roman"/>
                <w:sz w:val="20"/>
                <w:szCs w:val="20"/>
              </w:rPr>
            </w:pPr>
            <w:r w:rsidRPr="0070451B">
              <w:rPr>
                <w:rFonts w:cs="Times New Roman"/>
                <w:sz w:val="20"/>
                <w:szCs w:val="20"/>
              </w:rPr>
              <w:t>.4773549    .7196842</w:t>
            </w:r>
          </w:p>
        </w:tc>
      </w:tr>
      <w:tr w:rsidR="00E91BC9" w:rsidRPr="0070451B" w14:paraId="3E9BB039" w14:textId="77777777" w:rsidTr="005C7A5B">
        <w:tc>
          <w:tcPr>
            <w:tcW w:w="1382" w:type="pct"/>
          </w:tcPr>
          <w:p w14:paraId="63B1AB41" w14:textId="77777777" w:rsidR="00E91BC9" w:rsidRPr="0070451B" w:rsidRDefault="00E91BC9" w:rsidP="00590AA8">
            <w:pPr>
              <w:spacing w:after="0"/>
              <w:rPr>
                <w:rFonts w:cs="Times New Roman"/>
                <w:sz w:val="20"/>
                <w:szCs w:val="20"/>
              </w:rPr>
            </w:pPr>
            <w:r w:rsidRPr="0070451B">
              <w:rPr>
                <w:rFonts w:cs="Times New Roman"/>
                <w:sz w:val="20"/>
                <w:szCs w:val="20"/>
              </w:rPr>
              <w:t xml:space="preserve">           Constant </w:t>
            </w:r>
          </w:p>
        </w:tc>
        <w:tc>
          <w:tcPr>
            <w:tcW w:w="486" w:type="pct"/>
          </w:tcPr>
          <w:p w14:paraId="3203D506" w14:textId="77777777" w:rsidR="00E91BC9" w:rsidRPr="0070451B" w:rsidRDefault="00E91BC9" w:rsidP="00590AA8">
            <w:pPr>
              <w:spacing w:after="0"/>
              <w:ind w:left="48"/>
              <w:rPr>
                <w:rFonts w:cs="Times New Roman"/>
                <w:sz w:val="20"/>
                <w:szCs w:val="20"/>
              </w:rPr>
            </w:pPr>
            <w:r w:rsidRPr="0070451B">
              <w:rPr>
                <w:rFonts w:cs="Times New Roman"/>
                <w:sz w:val="20"/>
                <w:szCs w:val="20"/>
              </w:rPr>
              <w:t>.1824893</w:t>
            </w:r>
          </w:p>
        </w:tc>
        <w:tc>
          <w:tcPr>
            <w:tcW w:w="702" w:type="pct"/>
          </w:tcPr>
          <w:p w14:paraId="58101D0C" w14:textId="77777777" w:rsidR="00E91BC9" w:rsidRPr="0070451B" w:rsidRDefault="00E91BC9" w:rsidP="00590AA8">
            <w:pPr>
              <w:spacing w:after="0"/>
              <w:ind w:left="30"/>
              <w:rPr>
                <w:rFonts w:cs="Times New Roman"/>
                <w:sz w:val="20"/>
                <w:szCs w:val="20"/>
              </w:rPr>
            </w:pPr>
            <w:r w:rsidRPr="0070451B">
              <w:rPr>
                <w:rFonts w:cs="Times New Roman"/>
                <w:sz w:val="20"/>
                <w:szCs w:val="20"/>
              </w:rPr>
              <w:t>.0364203</w:t>
            </w:r>
          </w:p>
        </w:tc>
        <w:tc>
          <w:tcPr>
            <w:tcW w:w="573" w:type="pct"/>
          </w:tcPr>
          <w:p w14:paraId="7D373557" w14:textId="77777777" w:rsidR="00E91BC9" w:rsidRPr="0070451B" w:rsidRDefault="00E91BC9" w:rsidP="00590AA8">
            <w:pPr>
              <w:spacing w:after="0"/>
              <w:ind w:left="207"/>
              <w:rPr>
                <w:rFonts w:cs="Times New Roman"/>
                <w:sz w:val="20"/>
                <w:szCs w:val="20"/>
              </w:rPr>
            </w:pPr>
            <w:r w:rsidRPr="0070451B">
              <w:rPr>
                <w:rFonts w:cs="Times New Roman"/>
                <w:sz w:val="20"/>
                <w:szCs w:val="20"/>
              </w:rPr>
              <w:t>5.01</w:t>
            </w:r>
          </w:p>
        </w:tc>
        <w:tc>
          <w:tcPr>
            <w:tcW w:w="487" w:type="pct"/>
          </w:tcPr>
          <w:p w14:paraId="4A063E98" w14:textId="77777777" w:rsidR="00E91BC9" w:rsidRPr="0070451B" w:rsidRDefault="00E91BC9" w:rsidP="00590AA8">
            <w:pPr>
              <w:spacing w:after="0"/>
              <w:rPr>
                <w:rFonts w:cs="Times New Roman"/>
                <w:sz w:val="20"/>
                <w:szCs w:val="20"/>
              </w:rPr>
            </w:pPr>
            <w:r w:rsidRPr="0070451B">
              <w:rPr>
                <w:rFonts w:cs="Times New Roman"/>
                <w:sz w:val="20"/>
                <w:szCs w:val="20"/>
              </w:rPr>
              <w:t>0.000</w:t>
            </w:r>
          </w:p>
        </w:tc>
        <w:tc>
          <w:tcPr>
            <w:tcW w:w="1370" w:type="pct"/>
          </w:tcPr>
          <w:p w14:paraId="6C9C2DF3" w14:textId="77777777" w:rsidR="00E91BC9" w:rsidRPr="0070451B" w:rsidRDefault="00E91BC9" w:rsidP="00590AA8">
            <w:pPr>
              <w:spacing w:after="0"/>
              <w:rPr>
                <w:rFonts w:cs="Times New Roman"/>
                <w:sz w:val="20"/>
                <w:szCs w:val="20"/>
              </w:rPr>
            </w:pPr>
            <w:r w:rsidRPr="0070451B">
              <w:rPr>
                <w:rFonts w:cs="Times New Roman"/>
                <w:sz w:val="20"/>
                <w:szCs w:val="20"/>
              </w:rPr>
              <w:t>.1111068    .2538718</w:t>
            </w:r>
          </w:p>
        </w:tc>
      </w:tr>
      <w:tr w:rsidR="00E91BC9" w:rsidRPr="0070451B" w14:paraId="273BA12D" w14:textId="77777777" w:rsidTr="005C7A5B">
        <w:tc>
          <w:tcPr>
            <w:tcW w:w="1382" w:type="pct"/>
          </w:tcPr>
          <w:p w14:paraId="75C458BD" w14:textId="77777777" w:rsidR="00E91BC9" w:rsidRPr="0070451B" w:rsidRDefault="00E91BC9" w:rsidP="00590AA8">
            <w:pPr>
              <w:spacing w:after="0"/>
              <w:rPr>
                <w:rFonts w:cs="Times New Roman"/>
                <w:sz w:val="20"/>
                <w:szCs w:val="20"/>
              </w:rPr>
            </w:pPr>
            <w:r w:rsidRPr="0070451B">
              <w:rPr>
                <w:rFonts w:cs="Times New Roman"/>
                <w:sz w:val="20"/>
                <w:szCs w:val="20"/>
              </w:rPr>
              <w:t>SMEs Growth</w:t>
            </w:r>
          </w:p>
        </w:tc>
        <w:tc>
          <w:tcPr>
            <w:tcW w:w="486" w:type="pct"/>
          </w:tcPr>
          <w:p w14:paraId="088D494B" w14:textId="77777777" w:rsidR="00E91BC9" w:rsidRPr="0070451B" w:rsidRDefault="00E91BC9" w:rsidP="00590AA8">
            <w:pPr>
              <w:spacing w:after="0"/>
              <w:rPr>
                <w:rFonts w:cs="Times New Roman"/>
                <w:sz w:val="20"/>
                <w:szCs w:val="20"/>
              </w:rPr>
            </w:pPr>
          </w:p>
        </w:tc>
        <w:tc>
          <w:tcPr>
            <w:tcW w:w="702" w:type="pct"/>
          </w:tcPr>
          <w:p w14:paraId="2F4174D3" w14:textId="77777777" w:rsidR="00E91BC9" w:rsidRPr="0070451B" w:rsidRDefault="00E91BC9" w:rsidP="00590AA8">
            <w:pPr>
              <w:spacing w:after="0"/>
              <w:rPr>
                <w:rFonts w:cs="Times New Roman"/>
                <w:sz w:val="20"/>
                <w:szCs w:val="20"/>
              </w:rPr>
            </w:pPr>
          </w:p>
        </w:tc>
        <w:tc>
          <w:tcPr>
            <w:tcW w:w="573" w:type="pct"/>
          </w:tcPr>
          <w:p w14:paraId="7D2B8D6D" w14:textId="77777777" w:rsidR="00E91BC9" w:rsidRPr="0070451B" w:rsidRDefault="00E91BC9" w:rsidP="00590AA8">
            <w:pPr>
              <w:spacing w:after="0"/>
              <w:rPr>
                <w:rFonts w:cs="Times New Roman"/>
                <w:sz w:val="20"/>
                <w:szCs w:val="20"/>
              </w:rPr>
            </w:pPr>
          </w:p>
        </w:tc>
        <w:tc>
          <w:tcPr>
            <w:tcW w:w="487" w:type="pct"/>
          </w:tcPr>
          <w:p w14:paraId="0ADD9971" w14:textId="77777777" w:rsidR="00E91BC9" w:rsidRPr="0070451B" w:rsidRDefault="00E91BC9" w:rsidP="00590AA8">
            <w:pPr>
              <w:spacing w:after="0"/>
              <w:rPr>
                <w:rFonts w:cs="Times New Roman"/>
                <w:sz w:val="20"/>
                <w:szCs w:val="20"/>
              </w:rPr>
            </w:pPr>
          </w:p>
        </w:tc>
        <w:tc>
          <w:tcPr>
            <w:tcW w:w="1370" w:type="pct"/>
          </w:tcPr>
          <w:p w14:paraId="72544DDA" w14:textId="77777777" w:rsidR="00E91BC9" w:rsidRPr="0070451B" w:rsidRDefault="00E91BC9" w:rsidP="00590AA8">
            <w:pPr>
              <w:spacing w:after="0"/>
              <w:rPr>
                <w:rFonts w:cs="Times New Roman"/>
                <w:sz w:val="20"/>
                <w:szCs w:val="20"/>
              </w:rPr>
            </w:pPr>
          </w:p>
        </w:tc>
      </w:tr>
      <w:tr w:rsidR="00E91BC9" w:rsidRPr="0070451B" w14:paraId="66EE183A" w14:textId="77777777" w:rsidTr="005C7A5B">
        <w:tc>
          <w:tcPr>
            <w:tcW w:w="1382" w:type="pct"/>
          </w:tcPr>
          <w:p w14:paraId="35A3144A" w14:textId="77777777" w:rsidR="00E91BC9" w:rsidRPr="0070451B" w:rsidRDefault="00E91BC9" w:rsidP="00590AA8">
            <w:pPr>
              <w:spacing w:after="0"/>
              <w:rPr>
                <w:rFonts w:cs="Times New Roman"/>
                <w:sz w:val="20"/>
                <w:szCs w:val="20"/>
              </w:rPr>
            </w:pPr>
            <w:r w:rsidRPr="0070451B">
              <w:rPr>
                <w:rFonts w:cs="Times New Roman"/>
                <w:sz w:val="20"/>
                <w:szCs w:val="20"/>
              </w:rPr>
              <w:t>Financial Literacy</w:t>
            </w:r>
          </w:p>
        </w:tc>
        <w:tc>
          <w:tcPr>
            <w:tcW w:w="486" w:type="pct"/>
          </w:tcPr>
          <w:p w14:paraId="4C4E25A9" w14:textId="77777777" w:rsidR="00E91BC9" w:rsidRPr="0070451B" w:rsidRDefault="00E91BC9" w:rsidP="00590AA8">
            <w:pPr>
              <w:spacing w:after="0"/>
              <w:ind w:left="138"/>
              <w:rPr>
                <w:rFonts w:cs="Times New Roman"/>
                <w:sz w:val="20"/>
                <w:szCs w:val="20"/>
              </w:rPr>
            </w:pPr>
            <w:r w:rsidRPr="0070451B">
              <w:rPr>
                <w:rFonts w:cs="Times New Roman"/>
                <w:sz w:val="20"/>
                <w:szCs w:val="20"/>
              </w:rPr>
              <w:t>.575283</w:t>
            </w:r>
          </w:p>
        </w:tc>
        <w:tc>
          <w:tcPr>
            <w:tcW w:w="702" w:type="pct"/>
          </w:tcPr>
          <w:p w14:paraId="6D07A8DF" w14:textId="77777777" w:rsidR="00E91BC9" w:rsidRPr="0070451B" w:rsidRDefault="00E91BC9" w:rsidP="00590AA8">
            <w:pPr>
              <w:spacing w:after="0"/>
              <w:ind w:left="108"/>
              <w:rPr>
                <w:rFonts w:cs="Times New Roman"/>
                <w:sz w:val="20"/>
                <w:szCs w:val="20"/>
              </w:rPr>
            </w:pPr>
            <w:r w:rsidRPr="0070451B">
              <w:rPr>
                <w:rFonts w:cs="Times New Roman"/>
                <w:sz w:val="20"/>
                <w:szCs w:val="20"/>
              </w:rPr>
              <w:t>.0650325</w:t>
            </w:r>
          </w:p>
        </w:tc>
        <w:tc>
          <w:tcPr>
            <w:tcW w:w="573" w:type="pct"/>
          </w:tcPr>
          <w:p w14:paraId="59E6631A" w14:textId="77777777" w:rsidR="00E91BC9" w:rsidRPr="0070451B" w:rsidRDefault="00E91BC9" w:rsidP="00590AA8">
            <w:pPr>
              <w:spacing w:after="0"/>
              <w:ind w:left="363"/>
              <w:rPr>
                <w:rFonts w:cs="Times New Roman"/>
                <w:sz w:val="20"/>
                <w:szCs w:val="20"/>
              </w:rPr>
            </w:pPr>
            <w:r w:rsidRPr="0070451B">
              <w:rPr>
                <w:rFonts w:cs="Times New Roman"/>
                <w:sz w:val="20"/>
                <w:szCs w:val="20"/>
              </w:rPr>
              <w:t>8.85</w:t>
            </w:r>
          </w:p>
        </w:tc>
        <w:tc>
          <w:tcPr>
            <w:tcW w:w="487" w:type="pct"/>
          </w:tcPr>
          <w:p w14:paraId="7674D274" w14:textId="77777777" w:rsidR="00E91BC9" w:rsidRPr="0070451B" w:rsidRDefault="00E91BC9" w:rsidP="00590AA8">
            <w:pPr>
              <w:spacing w:after="0"/>
              <w:rPr>
                <w:rFonts w:cs="Times New Roman"/>
                <w:sz w:val="20"/>
                <w:szCs w:val="20"/>
              </w:rPr>
            </w:pPr>
            <w:r w:rsidRPr="0070451B">
              <w:rPr>
                <w:rFonts w:cs="Times New Roman"/>
                <w:sz w:val="20"/>
                <w:szCs w:val="20"/>
              </w:rPr>
              <w:t>0.000</w:t>
            </w:r>
          </w:p>
        </w:tc>
        <w:tc>
          <w:tcPr>
            <w:tcW w:w="1370" w:type="pct"/>
          </w:tcPr>
          <w:p w14:paraId="7ABAAF90" w14:textId="77777777" w:rsidR="00E91BC9" w:rsidRPr="0070451B" w:rsidRDefault="00E91BC9" w:rsidP="00590AA8">
            <w:pPr>
              <w:spacing w:after="0"/>
              <w:rPr>
                <w:rFonts w:cs="Times New Roman"/>
                <w:sz w:val="20"/>
                <w:szCs w:val="20"/>
              </w:rPr>
            </w:pPr>
            <w:r w:rsidRPr="0070451B">
              <w:rPr>
                <w:rFonts w:cs="Times New Roman"/>
                <w:sz w:val="20"/>
                <w:szCs w:val="20"/>
              </w:rPr>
              <w:t>.4478216    .7027443</w:t>
            </w:r>
          </w:p>
        </w:tc>
      </w:tr>
      <w:tr w:rsidR="00E91BC9" w:rsidRPr="0070451B" w14:paraId="5A421B13" w14:textId="77777777" w:rsidTr="005C7A5B">
        <w:tc>
          <w:tcPr>
            <w:tcW w:w="1382" w:type="pct"/>
          </w:tcPr>
          <w:p w14:paraId="57245F15" w14:textId="77777777" w:rsidR="00E91BC9" w:rsidRPr="0070451B" w:rsidRDefault="00E91BC9" w:rsidP="00590AA8">
            <w:pPr>
              <w:spacing w:after="0"/>
              <w:rPr>
                <w:rFonts w:cs="Times New Roman"/>
                <w:sz w:val="20"/>
                <w:szCs w:val="20"/>
              </w:rPr>
            </w:pPr>
            <w:r w:rsidRPr="0070451B">
              <w:rPr>
                <w:rFonts w:cs="Times New Roman"/>
                <w:sz w:val="20"/>
                <w:szCs w:val="20"/>
              </w:rPr>
              <w:t>Risk Perception</w:t>
            </w:r>
          </w:p>
        </w:tc>
        <w:tc>
          <w:tcPr>
            <w:tcW w:w="486" w:type="pct"/>
          </w:tcPr>
          <w:p w14:paraId="296085B1" w14:textId="77777777" w:rsidR="00E91BC9" w:rsidRPr="0070451B" w:rsidRDefault="00E91BC9" w:rsidP="00590AA8">
            <w:pPr>
              <w:spacing w:after="0"/>
              <w:ind w:left="48"/>
              <w:rPr>
                <w:rFonts w:cs="Times New Roman"/>
                <w:sz w:val="20"/>
                <w:szCs w:val="20"/>
              </w:rPr>
            </w:pPr>
            <w:r w:rsidRPr="0070451B">
              <w:rPr>
                <w:rFonts w:cs="Times New Roman"/>
                <w:sz w:val="20"/>
                <w:szCs w:val="20"/>
              </w:rPr>
              <w:t>.3214254</w:t>
            </w:r>
          </w:p>
        </w:tc>
        <w:tc>
          <w:tcPr>
            <w:tcW w:w="702" w:type="pct"/>
          </w:tcPr>
          <w:p w14:paraId="76F5A1B4" w14:textId="77777777" w:rsidR="00E91BC9" w:rsidRPr="0070451B" w:rsidRDefault="00E91BC9" w:rsidP="00590AA8">
            <w:pPr>
              <w:spacing w:after="0"/>
              <w:ind w:left="121"/>
              <w:rPr>
                <w:rFonts w:cs="Times New Roman"/>
                <w:sz w:val="20"/>
                <w:szCs w:val="20"/>
              </w:rPr>
            </w:pPr>
            <w:r w:rsidRPr="0070451B">
              <w:rPr>
                <w:rFonts w:cs="Times New Roman"/>
                <w:sz w:val="20"/>
                <w:szCs w:val="20"/>
              </w:rPr>
              <w:t>.080178</w:t>
            </w:r>
          </w:p>
        </w:tc>
        <w:tc>
          <w:tcPr>
            <w:tcW w:w="573" w:type="pct"/>
          </w:tcPr>
          <w:p w14:paraId="48495E64" w14:textId="77777777" w:rsidR="00E91BC9" w:rsidRPr="0070451B" w:rsidRDefault="00E91BC9" w:rsidP="00590AA8">
            <w:pPr>
              <w:spacing w:after="0"/>
              <w:ind w:left="285"/>
              <w:rPr>
                <w:rFonts w:cs="Times New Roman"/>
                <w:sz w:val="20"/>
                <w:szCs w:val="20"/>
              </w:rPr>
            </w:pPr>
            <w:r w:rsidRPr="0070451B">
              <w:rPr>
                <w:rFonts w:cs="Times New Roman"/>
                <w:sz w:val="20"/>
                <w:szCs w:val="20"/>
              </w:rPr>
              <w:t>4.01</w:t>
            </w:r>
          </w:p>
        </w:tc>
        <w:tc>
          <w:tcPr>
            <w:tcW w:w="487" w:type="pct"/>
          </w:tcPr>
          <w:p w14:paraId="41B700AA" w14:textId="77777777" w:rsidR="00E91BC9" w:rsidRPr="0070451B" w:rsidRDefault="00E91BC9" w:rsidP="00590AA8">
            <w:pPr>
              <w:spacing w:after="0"/>
              <w:rPr>
                <w:rFonts w:cs="Times New Roman"/>
                <w:sz w:val="20"/>
                <w:szCs w:val="20"/>
              </w:rPr>
            </w:pPr>
            <w:r w:rsidRPr="0070451B">
              <w:rPr>
                <w:rFonts w:cs="Times New Roman"/>
                <w:sz w:val="20"/>
                <w:szCs w:val="20"/>
              </w:rPr>
              <w:t>0.000</w:t>
            </w:r>
          </w:p>
        </w:tc>
        <w:tc>
          <w:tcPr>
            <w:tcW w:w="1370" w:type="pct"/>
          </w:tcPr>
          <w:p w14:paraId="24A14789" w14:textId="77777777" w:rsidR="00E91BC9" w:rsidRPr="0070451B" w:rsidRDefault="00E91BC9" w:rsidP="00590AA8">
            <w:pPr>
              <w:spacing w:after="0"/>
              <w:rPr>
                <w:rFonts w:cs="Times New Roman"/>
                <w:sz w:val="20"/>
                <w:szCs w:val="20"/>
              </w:rPr>
            </w:pPr>
            <w:r w:rsidRPr="0070451B">
              <w:rPr>
                <w:rFonts w:cs="Times New Roman"/>
                <w:sz w:val="20"/>
                <w:szCs w:val="20"/>
              </w:rPr>
              <w:t>.1642795    .4785713</w:t>
            </w:r>
          </w:p>
        </w:tc>
      </w:tr>
      <w:tr w:rsidR="00E91BC9" w:rsidRPr="0070451B" w14:paraId="5ACDEA32" w14:textId="77777777" w:rsidTr="005C7A5B">
        <w:tc>
          <w:tcPr>
            <w:tcW w:w="1382" w:type="pct"/>
          </w:tcPr>
          <w:p w14:paraId="35158C9B" w14:textId="77777777" w:rsidR="00E91BC9" w:rsidRPr="0070451B" w:rsidRDefault="00E91BC9" w:rsidP="00590AA8">
            <w:pPr>
              <w:spacing w:after="0"/>
              <w:rPr>
                <w:rFonts w:cs="Times New Roman"/>
                <w:sz w:val="20"/>
                <w:szCs w:val="20"/>
              </w:rPr>
            </w:pPr>
            <w:r w:rsidRPr="0070451B">
              <w:rPr>
                <w:rFonts w:cs="Times New Roman"/>
                <w:sz w:val="20"/>
                <w:szCs w:val="20"/>
              </w:rPr>
              <w:t xml:space="preserve">          Constant </w:t>
            </w:r>
          </w:p>
        </w:tc>
        <w:tc>
          <w:tcPr>
            <w:tcW w:w="486" w:type="pct"/>
          </w:tcPr>
          <w:p w14:paraId="16BFF4F2" w14:textId="77777777" w:rsidR="00E91BC9" w:rsidRPr="0070451B" w:rsidRDefault="00E91BC9" w:rsidP="00590AA8">
            <w:pPr>
              <w:spacing w:after="0"/>
              <w:rPr>
                <w:rFonts w:cs="Times New Roman"/>
                <w:sz w:val="20"/>
                <w:szCs w:val="20"/>
              </w:rPr>
            </w:pPr>
            <w:r w:rsidRPr="0070451B">
              <w:rPr>
                <w:rFonts w:cs="Times New Roman"/>
                <w:sz w:val="20"/>
                <w:szCs w:val="20"/>
              </w:rPr>
              <w:t>-1.140615</w:t>
            </w:r>
          </w:p>
        </w:tc>
        <w:tc>
          <w:tcPr>
            <w:tcW w:w="702" w:type="pct"/>
          </w:tcPr>
          <w:p w14:paraId="5D24AB33" w14:textId="77777777" w:rsidR="00E91BC9" w:rsidRPr="0070451B" w:rsidRDefault="00E91BC9" w:rsidP="00590AA8">
            <w:pPr>
              <w:spacing w:after="0"/>
              <w:ind w:left="21"/>
              <w:rPr>
                <w:rFonts w:cs="Times New Roman"/>
                <w:sz w:val="20"/>
                <w:szCs w:val="20"/>
              </w:rPr>
            </w:pPr>
            <w:r w:rsidRPr="0070451B">
              <w:rPr>
                <w:rFonts w:cs="Times New Roman"/>
                <w:sz w:val="20"/>
                <w:szCs w:val="20"/>
              </w:rPr>
              <w:t>.0429677</w:t>
            </w:r>
          </w:p>
        </w:tc>
        <w:tc>
          <w:tcPr>
            <w:tcW w:w="573" w:type="pct"/>
          </w:tcPr>
          <w:p w14:paraId="62C8A1B6" w14:textId="77777777" w:rsidR="00E91BC9" w:rsidRPr="0070451B" w:rsidRDefault="00E91BC9" w:rsidP="00590AA8">
            <w:pPr>
              <w:spacing w:after="0"/>
              <w:ind w:left="4"/>
              <w:rPr>
                <w:rFonts w:cs="Times New Roman"/>
                <w:sz w:val="20"/>
                <w:szCs w:val="20"/>
              </w:rPr>
            </w:pPr>
            <w:r w:rsidRPr="0070451B">
              <w:rPr>
                <w:rFonts w:cs="Times New Roman"/>
                <w:sz w:val="20"/>
                <w:szCs w:val="20"/>
              </w:rPr>
              <w:t>-26.55</w:t>
            </w:r>
          </w:p>
        </w:tc>
        <w:tc>
          <w:tcPr>
            <w:tcW w:w="487" w:type="pct"/>
          </w:tcPr>
          <w:p w14:paraId="45F0A952" w14:textId="77777777" w:rsidR="00E91BC9" w:rsidRPr="0070451B" w:rsidRDefault="00E91BC9" w:rsidP="00590AA8">
            <w:pPr>
              <w:spacing w:after="0"/>
              <w:ind w:left="13"/>
              <w:rPr>
                <w:rFonts w:cs="Times New Roman"/>
                <w:sz w:val="20"/>
                <w:szCs w:val="20"/>
              </w:rPr>
            </w:pPr>
            <w:r w:rsidRPr="0070451B">
              <w:rPr>
                <w:rFonts w:cs="Times New Roman"/>
                <w:sz w:val="20"/>
                <w:szCs w:val="20"/>
              </w:rPr>
              <w:t>0.000</w:t>
            </w:r>
          </w:p>
        </w:tc>
        <w:tc>
          <w:tcPr>
            <w:tcW w:w="1370" w:type="pct"/>
          </w:tcPr>
          <w:p w14:paraId="3C9C7F56" w14:textId="77777777" w:rsidR="00E91BC9" w:rsidRPr="0070451B" w:rsidRDefault="00E91BC9" w:rsidP="00590AA8">
            <w:pPr>
              <w:spacing w:after="0"/>
              <w:ind w:left="22"/>
              <w:rPr>
                <w:rFonts w:cs="Times New Roman"/>
                <w:sz w:val="20"/>
                <w:szCs w:val="20"/>
              </w:rPr>
            </w:pPr>
            <w:r w:rsidRPr="0070451B">
              <w:rPr>
                <w:rFonts w:cs="Times New Roman"/>
                <w:sz w:val="20"/>
                <w:szCs w:val="20"/>
              </w:rPr>
              <w:t>-1.22483     -1.0564</w:t>
            </w:r>
          </w:p>
        </w:tc>
      </w:tr>
      <w:tr w:rsidR="00E91BC9" w:rsidRPr="0070451B" w14:paraId="51BE3ABF" w14:textId="77777777" w:rsidTr="005C7A5B">
        <w:tc>
          <w:tcPr>
            <w:tcW w:w="1382" w:type="pct"/>
          </w:tcPr>
          <w:p w14:paraId="289E65D8" w14:textId="77777777" w:rsidR="00E91BC9" w:rsidRPr="0070451B" w:rsidRDefault="00E91BC9" w:rsidP="00590AA8">
            <w:pPr>
              <w:spacing w:after="0"/>
              <w:rPr>
                <w:rFonts w:cs="Times New Roman"/>
                <w:sz w:val="20"/>
                <w:szCs w:val="20"/>
              </w:rPr>
            </w:pPr>
            <w:r w:rsidRPr="0070451B">
              <w:rPr>
                <w:rFonts w:cs="Times New Roman"/>
                <w:sz w:val="20"/>
                <w:szCs w:val="20"/>
              </w:rPr>
              <w:t xml:space="preserve"> var(e.Financial Literacy)</w:t>
            </w:r>
          </w:p>
        </w:tc>
        <w:tc>
          <w:tcPr>
            <w:tcW w:w="486" w:type="pct"/>
          </w:tcPr>
          <w:p w14:paraId="5FB5D59A" w14:textId="77777777" w:rsidR="00E91BC9" w:rsidRPr="0070451B" w:rsidRDefault="00E91BC9" w:rsidP="00590AA8">
            <w:pPr>
              <w:spacing w:after="0"/>
              <w:ind w:left="48"/>
              <w:rPr>
                <w:rFonts w:cs="Times New Roman"/>
                <w:sz w:val="20"/>
                <w:szCs w:val="20"/>
              </w:rPr>
            </w:pPr>
            <w:r w:rsidRPr="0070451B">
              <w:rPr>
                <w:rFonts w:cs="Times New Roman"/>
                <w:sz w:val="20"/>
                <w:szCs w:val="20"/>
              </w:rPr>
              <w:t>.0399056</w:t>
            </w:r>
          </w:p>
        </w:tc>
        <w:tc>
          <w:tcPr>
            <w:tcW w:w="702" w:type="pct"/>
          </w:tcPr>
          <w:p w14:paraId="5DD04F62" w14:textId="77777777" w:rsidR="00E91BC9" w:rsidRPr="0070451B" w:rsidRDefault="00E91BC9" w:rsidP="00590AA8">
            <w:pPr>
              <w:spacing w:after="0"/>
              <w:ind w:left="30"/>
              <w:rPr>
                <w:rFonts w:cs="Times New Roman"/>
                <w:sz w:val="20"/>
                <w:szCs w:val="20"/>
              </w:rPr>
            </w:pPr>
            <w:r w:rsidRPr="0070451B">
              <w:rPr>
                <w:rFonts w:cs="Times New Roman"/>
                <w:sz w:val="20"/>
                <w:szCs w:val="20"/>
              </w:rPr>
              <w:t>.0032368</w:t>
            </w:r>
          </w:p>
        </w:tc>
        <w:tc>
          <w:tcPr>
            <w:tcW w:w="573" w:type="pct"/>
          </w:tcPr>
          <w:p w14:paraId="1B8245A9" w14:textId="77777777" w:rsidR="00E91BC9" w:rsidRPr="0070451B" w:rsidRDefault="00E91BC9" w:rsidP="00590AA8">
            <w:pPr>
              <w:spacing w:after="0"/>
              <w:rPr>
                <w:rFonts w:cs="Times New Roman"/>
                <w:sz w:val="20"/>
                <w:szCs w:val="20"/>
              </w:rPr>
            </w:pPr>
          </w:p>
        </w:tc>
        <w:tc>
          <w:tcPr>
            <w:tcW w:w="487" w:type="pct"/>
          </w:tcPr>
          <w:p w14:paraId="6FB71CD0" w14:textId="77777777" w:rsidR="00E91BC9" w:rsidRPr="0070451B" w:rsidRDefault="00E91BC9" w:rsidP="00590AA8">
            <w:pPr>
              <w:spacing w:after="0"/>
              <w:rPr>
                <w:rFonts w:cs="Times New Roman"/>
                <w:sz w:val="20"/>
                <w:szCs w:val="20"/>
              </w:rPr>
            </w:pPr>
          </w:p>
        </w:tc>
        <w:tc>
          <w:tcPr>
            <w:tcW w:w="1370" w:type="pct"/>
          </w:tcPr>
          <w:p w14:paraId="5ED94F26" w14:textId="77777777" w:rsidR="00E91BC9" w:rsidRPr="0070451B" w:rsidRDefault="00E91BC9" w:rsidP="00590AA8">
            <w:pPr>
              <w:spacing w:after="0"/>
              <w:ind w:left="39"/>
              <w:rPr>
                <w:rFonts w:cs="Times New Roman"/>
                <w:sz w:val="20"/>
                <w:szCs w:val="20"/>
              </w:rPr>
            </w:pPr>
            <w:r w:rsidRPr="0070451B">
              <w:rPr>
                <w:rFonts w:cs="Times New Roman"/>
                <w:sz w:val="20"/>
                <w:szCs w:val="20"/>
              </w:rPr>
              <w:t>.0340402    .0467817</w:t>
            </w:r>
          </w:p>
        </w:tc>
      </w:tr>
      <w:tr w:rsidR="00E91BC9" w:rsidRPr="0070451B" w14:paraId="44311BF1" w14:textId="77777777" w:rsidTr="005C7A5B">
        <w:tc>
          <w:tcPr>
            <w:tcW w:w="1382" w:type="pct"/>
          </w:tcPr>
          <w:p w14:paraId="09E09858" w14:textId="77777777" w:rsidR="00E91BC9" w:rsidRPr="0070451B" w:rsidRDefault="00E91BC9" w:rsidP="00590AA8">
            <w:pPr>
              <w:spacing w:after="0"/>
              <w:rPr>
                <w:rFonts w:cs="Times New Roman"/>
                <w:sz w:val="20"/>
                <w:szCs w:val="20"/>
              </w:rPr>
            </w:pPr>
            <w:r w:rsidRPr="0070451B">
              <w:rPr>
                <w:rFonts w:cs="Times New Roman"/>
                <w:sz w:val="20"/>
                <w:szCs w:val="20"/>
              </w:rPr>
              <w:t>var(e.SMEs Growth)</w:t>
            </w:r>
          </w:p>
        </w:tc>
        <w:tc>
          <w:tcPr>
            <w:tcW w:w="486" w:type="pct"/>
          </w:tcPr>
          <w:p w14:paraId="08410B1D" w14:textId="77777777" w:rsidR="00E91BC9" w:rsidRPr="0070451B" w:rsidRDefault="00E91BC9" w:rsidP="00590AA8">
            <w:pPr>
              <w:spacing w:after="0"/>
              <w:ind w:left="138"/>
              <w:rPr>
                <w:rFonts w:cs="Times New Roman"/>
                <w:sz w:val="20"/>
                <w:szCs w:val="20"/>
              </w:rPr>
            </w:pPr>
            <w:r w:rsidRPr="0070451B">
              <w:rPr>
                <w:rFonts w:cs="Times New Roman"/>
                <w:sz w:val="20"/>
                <w:szCs w:val="20"/>
              </w:rPr>
              <w:t>.051306</w:t>
            </w:r>
          </w:p>
        </w:tc>
        <w:tc>
          <w:tcPr>
            <w:tcW w:w="702" w:type="pct"/>
          </w:tcPr>
          <w:p w14:paraId="42541247" w14:textId="77777777" w:rsidR="00E91BC9" w:rsidRPr="0070451B" w:rsidRDefault="00E91BC9" w:rsidP="00590AA8">
            <w:pPr>
              <w:spacing w:after="0"/>
              <w:ind w:left="108"/>
              <w:rPr>
                <w:rFonts w:cs="Times New Roman"/>
                <w:sz w:val="20"/>
                <w:szCs w:val="20"/>
              </w:rPr>
            </w:pPr>
            <w:r w:rsidRPr="0070451B">
              <w:rPr>
                <w:rFonts w:cs="Times New Roman"/>
                <w:sz w:val="20"/>
                <w:szCs w:val="20"/>
              </w:rPr>
              <w:t>.0041615</w:t>
            </w:r>
          </w:p>
        </w:tc>
        <w:tc>
          <w:tcPr>
            <w:tcW w:w="573" w:type="pct"/>
          </w:tcPr>
          <w:p w14:paraId="2E4E1738" w14:textId="77777777" w:rsidR="00E91BC9" w:rsidRPr="0070451B" w:rsidRDefault="00E91BC9" w:rsidP="00590AA8">
            <w:pPr>
              <w:spacing w:after="0"/>
              <w:rPr>
                <w:rFonts w:cs="Times New Roman"/>
                <w:sz w:val="20"/>
                <w:szCs w:val="20"/>
              </w:rPr>
            </w:pPr>
          </w:p>
        </w:tc>
        <w:tc>
          <w:tcPr>
            <w:tcW w:w="487" w:type="pct"/>
          </w:tcPr>
          <w:p w14:paraId="04DD88A1" w14:textId="77777777" w:rsidR="00E91BC9" w:rsidRPr="0070451B" w:rsidRDefault="00E91BC9" w:rsidP="00590AA8">
            <w:pPr>
              <w:spacing w:after="0"/>
              <w:rPr>
                <w:rFonts w:cs="Times New Roman"/>
                <w:sz w:val="20"/>
                <w:szCs w:val="20"/>
              </w:rPr>
            </w:pPr>
          </w:p>
        </w:tc>
        <w:tc>
          <w:tcPr>
            <w:tcW w:w="1370" w:type="pct"/>
          </w:tcPr>
          <w:p w14:paraId="41CF2E54" w14:textId="77777777" w:rsidR="00E91BC9" w:rsidRPr="0070451B" w:rsidRDefault="00E91BC9" w:rsidP="00590AA8">
            <w:pPr>
              <w:spacing w:after="0"/>
              <w:rPr>
                <w:rFonts w:cs="Times New Roman"/>
                <w:sz w:val="20"/>
                <w:szCs w:val="20"/>
              </w:rPr>
            </w:pPr>
            <w:r w:rsidRPr="0070451B">
              <w:rPr>
                <w:rFonts w:cs="Times New Roman"/>
                <w:sz w:val="20"/>
                <w:szCs w:val="20"/>
              </w:rPr>
              <w:t>.043765    .0601464</w:t>
            </w:r>
          </w:p>
        </w:tc>
      </w:tr>
      <w:tr w:rsidR="00E91BC9" w:rsidRPr="0070451B" w14:paraId="2E665A86" w14:textId="77777777" w:rsidTr="00590AA8">
        <w:tc>
          <w:tcPr>
            <w:tcW w:w="5000" w:type="pct"/>
            <w:gridSpan w:val="6"/>
          </w:tcPr>
          <w:p w14:paraId="2B09B4B5" w14:textId="77777777" w:rsidR="00E91BC9" w:rsidRPr="0070451B" w:rsidRDefault="00E91BC9" w:rsidP="00590AA8">
            <w:pPr>
              <w:spacing w:after="0"/>
              <w:rPr>
                <w:rFonts w:cs="Times New Roman"/>
                <w:sz w:val="20"/>
                <w:szCs w:val="20"/>
              </w:rPr>
            </w:pPr>
            <w:r w:rsidRPr="0070451B">
              <w:rPr>
                <w:rFonts w:cs="Times New Roman"/>
                <w:sz w:val="20"/>
                <w:szCs w:val="20"/>
              </w:rPr>
              <w:t>LR test of model vs. saturated: chi2(2) = 28.36            Prob &gt; chi2 = 0.0000</w:t>
            </w:r>
          </w:p>
        </w:tc>
      </w:tr>
    </w:tbl>
    <w:p w14:paraId="27AB8732" w14:textId="77777777" w:rsidR="00E91BC9" w:rsidRDefault="00E91BC9" w:rsidP="00E91BC9">
      <w:pPr>
        <w:spacing w:line="480" w:lineRule="auto"/>
        <w:rPr>
          <w:rFonts w:cs="Times New Roman"/>
          <w:szCs w:val="24"/>
        </w:rPr>
      </w:pPr>
      <w:r>
        <w:rPr>
          <w:rFonts w:cs="Times New Roman"/>
          <w:b/>
          <w:noProof/>
          <w:szCs w:val="24"/>
        </w:rPr>
        <w:t>Source: Author’s computation (2024)</w:t>
      </w:r>
    </w:p>
    <w:p w14:paraId="7A6E4BB2" w14:textId="1C4A5563" w:rsidR="00E91BC9" w:rsidRDefault="00E91BC9" w:rsidP="00A772AC">
      <w:pPr>
        <w:spacing w:line="360" w:lineRule="auto"/>
        <w:jc w:val="both"/>
        <w:rPr>
          <w:rFonts w:cs="Times New Roman"/>
          <w:szCs w:val="24"/>
        </w:rPr>
      </w:pPr>
      <w:r>
        <w:rPr>
          <w:rFonts w:cs="Times New Roman"/>
          <w:szCs w:val="24"/>
        </w:rPr>
        <w:t xml:space="preserve">From </w:t>
      </w:r>
      <w:r w:rsidR="006F3513">
        <w:rPr>
          <w:rFonts w:cs="Times New Roman"/>
          <w:szCs w:val="24"/>
        </w:rPr>
        <w:t>Table 4</w:t>
      </w:r>
      <w:r>
        <w:rPr>
          <w:rFonts w:cs="Times New Roman"/>
          <w:szCs w:val="24"/>
        </w:rPr>
        <w:t xml:space="preserve"> above, a coefficient of 0.598 indicates a strong positive relationship, </w:t>
      </w:r>
      <w:r w:rsidR="006F3513">
        <w:rPr>
          <w:rFonts w:cs="Times New Roman"/>
          <w:szCs w:val="24"/>
        </w:rPr>
        <w:t>suggesting that higher risk perception is associated with greater</w:t>
      </w:r>
      <w:r>
        <w:rPr>
          <w:rFonts w:cs="Times New Roman"/>
          <w:szCs w:val="24"/>
        </w:rPr>
        <w:t xml:space="preserve"> financial literacy among SME owners. In addition, A coefficient of 0.575 suggests that financial literacy directly contributes to SME growth, reinforcing the notion that well-informed financial decision-making drives business success. A coefficient of 0.321 indicates that better risk perception also contributes to SME growth, albeit less strongly than financial literacy. Enhancing financial literacy can significantly improve both </w:t>
      </w:r>
      <w:r w:rsidR="00A772AC">
        <w:rPr>
          <w:rFonts w:cs="Times New Roman"/>
          <w:szCs w:val="24"/>
        </w:rPr>
        <w:t xml:space="preserve">risk understanding and growth capacity </w:t>
      </w:r>
      <w:r>
        <w:rPr>
          <w:rFonts w:cs="Times New Roman"/>
          <w:szCs w:val="24"/>
        </w:rPr>
        <w:t>in SMEs.</w:t>
      </w:r>
    </w:p>
    <w:p w14:paraId="1C00A6DD" w14:textId="77777777" w:rsidR="007F64A9" w:rsidRDefault="007F64A9" w:rsidP="005C7A5B">
      <w:pPr>
        <w:pStyle w:val="table"/>
        <w:spacing w:after="0"/>
        <w:rPr>
          <w:color w:val="auto"/>
          <w:szCs w:val="24"/>
        </w:rPr>
      </w:pPr>
      <w:bookmarkStart w:id="17" w:name="_Toc174112004"/>
    </w:p>
    <w:p w14:paraId="745AF741" w14:textId="6DE8EE08" w:rsidR="00E91BC9" w:rsidRDefault="00E91BC9" w:rsidP="005C7A5B">
      <w:pPr>
        <w:pStyle w:val="table"/>
        <w:spacing w:after="0"/>
        <w:rPr>
          <w:color w:val="auto"/>
          <w:szCs w:val="24"/>
        </w:rPr>
      </w:pPr>
      <w:r>
        <w:rPr>
          <w:color w:val="auto"/>
          <w:szCs w:val="24"/>
        </w:rPr>
        <w:lastRenderedPageBreak/>
        <w:t xml:space="preserve">Table </w:t>
      </w:r>
      <w:r w:rsidR="005C7A5B">
        <w:rPr>
          <w:color w:val="auto"/>
          <w:szCs w:val="24"/>
        </w:rPr>
        <w:t>5</w:t>
      </w:r>
      <w:r>
        <w:rPr>
          <w:color w:val="auto"/>
          <w:szCs w:val="24"/>
        </w:rPr>
        <w:t>: Direct Effect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333"/>
        <w:gridCol w:w="1304"/>
        <w:gridCol w:w="785"/>
        <w:gridCol w:w="925"/>
        <w:gridCol w:w="2928"/>
      </w:tblGrid>
      <w:tr w:rsidR="00E91BC9" w:rsidRPr="0070451B" w14:paraId="45F8B7FD" w14:textId="77777777" w:rsidTr="00590AA8">
        <w:tc>
          <w:tcPr>
            <w:tcW w:w="893" w:type="pct"/>
          </w:tcPr>
          <w:p w14:paraId="60CC61BC" w14:textId="77777777" w:rsidR="00E91BC9" w:rsidRPr="0070451B" w:rsidRDefault="00E91BC9" w:rsidP="005C7A5B">
            <w:pPr>
              <w:spacing w:after="0" w:line="240" w:lineRule="auto"/>
              <w:jc w:val="both"/>
              <w:rPr>
                <w:rFonts w:cs="Times New Roman"/>
                <w:sz w:val="20"/>
                <w:szCs w:val="20"/>
              </w:rPr>
            </w:pPr>
            <w:r w:rsidRPr="0070451B">
              <w:rPr>
                <w:rFonts w:cs="Times New Roman"/>
                <w:sz w:val="20"/>
                <w:szCs w:val="20"/>
              </w:rPr>
              <w:t xml:space="preserve">              </w:t>
            </w:r>
          </w:p>
        </w:tc>
        <w:tc>
          <w:tcPr>
            <w:tcW w:w="753" w:type="pct"/>
          </w:tcPr>
          <w:p w14:paraId="1BCE6382" w14:textId="77777777" w:rsidR="00E91BC9" w:rsidRPr="0070451B" w:rsidRDefault="00E91BC9" w:rsidP="005C7A5B">
            <w:pPr>
              <w:spacing w:after="0" w:line="240" w:lineRule="auto"/>
              <w:jc w:val="both"/>
              <w:rPr>
                <w:rFonts w:cs="Times New Roman"/>
                <w:sz w:val="20"/>
                <w:szCs w:val="20"/>
              </w:rPr>
            </w:pPr>
          </w:p>
        </w:tc>
        <w:tc>
          <w:tcPr>
            <w:tcW w:w="736" w:type="pct"/>
          </w:tcPr>
          <w:p w14:paraId="57CC2F84" w14:textId="77777777" w:rsidR="00E91BC9" w:rsidRPr="0070451B" w:rsidRDefault="00E91BC9" w:rsidP="005C7A5B">
            <w:pPr>
              <w:spacing w:after="0" w:line="240" w:lineRule="auto"/>
              <w:ind w:left="268"/>
              <w:jc w:val="both"/>
              <w:rPr>
                <w:rFonts w:cs="Times New Roman"/>
                <w:sz w:val="20"/>
                <w:szCs w:val="20"/>
              </w:rPr>
            </w:pPr>
            <w:r w:rsidRPr="0070451B">
              <w:rPr>
                <w:rFonts w:cs="Times New Roman"/>
                <w:sz w:val="20"/>
                <w:szCs w:val="20"/>
              </w:rPr>
              <w:t>OIM</w:t>
            </w:r>
          </w:p>
        </w:tc>
        <w:tc>
          <w:tcPr>
            <w:tcW w:w="443" w:type="pct"/>
          </w:tcPr>
          <w:p w14:paraId="4F47CB1F" w14:textId="77777777" w:rsidR="00E91BC9" w:rsidRPr="0070451B" w:rsidRDefault="00E91BC9" w:rsidP="005C7A5B">
            <w:pPr>
              <w:spacing w:after="0" w:line="240" w:lineRule="auto"/>
              <w:jc w:val="both"/>
              <w:rPr>
                <w:rFonts w:cs="Times New Roman"/>
                <w:sz w:val="20"/>
                <w:szCs w:val="20"/>
              </w:rPr>
            </w:pPr>
          </w:p>
        </w:tc>
        <w:tc>
          <w:tcPr>
            <w:tcW w:w="522" w:type="pct"/>
          </w:tcPr>
          <w:p w14:paraId="10483AE2" w14:textId="77777777" w:rsidR="00E91BC9" w:rsidRPr="0070451B" w:rsidRDefault="00E91BC9" w:rsidP="005C7A5B">
            <w:pPr>
              <w:spacing w:after="0" w:line="240" w:lineRule="auto"/>
              <w:jc w:val="both"/>
              <w:rPr>
                <w:rFonts w:cs="Times New Roman"/>
                <w:sz w:val="20"/>
                <w:szCs w:val="20"/>
              </w:rPr>
            </w:pPr>
          </w:p>
        </w:tc>
        <w:tc>
          <w:tcPr>
            <w:tcW w:w="1654" w:type="pct"/>
          </w:tcPr>
          <w:p w14:paraId="3E07A2AE" w14:textId="77777777" w:rsidR="00E91BC9" w:rsidRPr="0070451B" w:rsidRDefault="00E91BC9" w:rsidP="005C7A5B">
            <w:pPr>
              <w:spacing w:after="0" w:line="240" w:lineRule="auto"/>
              <w:jc w:val="both"/>
              <w:rPr>
                <w:rFonts w:cs="Times New Roman"/>
                <w:sz w:val="20"/>
                <w:szCs w:val="20"/>
              </w:rPr>
            </w:pPr>
          </w:p>
        </w:tc>
      </w:tr>
      <w:tr w:rsidR="00E91BC9" w:rsidRPr="0070451B" w14:paraId="7D077E3C" w14:textId="77777777" w:rsidTr="00590AA8">
        <w:tc>
          <w:tcPr>
            <w:tcW w:w="893" w:type="pct"/>
          </w:tcPr>
          <w:p w14:paraId="71B74963"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 xml:space="preserve">               Coefficient</w:t>
            </w:r>
          </w:p>
        </w:tc>
        <w:tc>
          <w:tcPr>
            <w:tcW w:w="753" w:type="pct"/>
          </w:tcPr>
          <w:p w14:paraId="1F874B0F" w14:textId="77777777" w:rsidR="00E91BC9" w:rsidRPr="0070451B" w:rsidRDefault="00E91BC9" w:rsidP="0070451B">
            <w:pPr>
              <w:spacing w:after="0" w:line="240" w:lineRule="auto"/>
              <w:jc w:val="both"/>
              <w:rPr>
                <w:rFonts w:cs="Times New Roman"/>
                <w:sz w:val="20"/>
                <w:szCs w:val="20"/>
              </w:rPr>
            </w:pPr>
          </w:p>
          <w:p w14:paraId="24574E1A" w14:textId="77777777" w:rsidR="00E91BC9" w:rsidRPr="0070451B" w:rsidRDefault="00E91BC9" w:rsidP="0070451B">
            <w:pPr>
              <w:spacing w:after="0" w:line="240" w:lineRule="auto"/>
              <w:jc w:val="both"/>
              <w:rPr>
                <w:rFonts w:cs="Times New Roman"/>
                <w:sz w:val="20"/>
                <w:szCs w:val="20"/>
              </w:rPr>
            </w:pPr>
          </w:p>
        </w:tc>
        <w:tc>
          <w:tcPr>
            <w:tcW w:w="736" w:type="pct"/>
          </w:tcPr>
          <w:p w14:paraId="445BF225"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std. err.</w:t>
            </w:r>
          </w:p>
        </w:tc>
        <w:tc>
          <w:tcPr>
            <w:tcW w:w="443" w:type="pct"/>
          </w:tcPr>
          <w:p w14:paraId="16653FD9" w14:textId="77777777" w:rsidR="00E91BC9" w:rsidRPr="0070451B" w:rsidRDefault="00E91BC9" w:rsidP="0070451B">
            <w:pPr>
              <w:spacing w:after="0" w:line="240" w:lineRule="auto"/>
              <w:ind w:left="100"/>
              <w:jc w:val="both"/>
              <w:rPr>
                <w:rFonts w:cs="Times New Roman"/>
                <w:sz w:val="20"/>
                <w:szCs w:val="20"/>
              </w:rPr>
            </w:pPr>
            <w:r w:rsidRPr="0070451B">
              <w:rPr>
                <w:rFonts w:cs="Times New Roman"/>
                <w:sz w:val="20"/>
                <w:szCs w:val="20"/>
              </w:rPr>
              <w:t>z</w:t>
            </w:r>
          </w:p>
        </w:tc>
        <w:tc>
          <w:tcPr>
            <w:tcW w:w="522" w:type="pct"/>
          </w:tcPr>
          <w:p w14:paraId="454F2978" w14:textId="77777777" w:rsidR="00E91BC9" w:rsidRPr="0070451B" w:rsidRDefault="00E91BC9" w:rsidP="0070451B">
            <w:pPr>
              <w:spacing w:after="0" w:line="240" w:lineRule="auto"/>
              <w:ind w:left="70"/>
              <w:jc w:val="both"/>
              <w:rPr>
                <w:rFonts w:cs="Times New Roman"/>
                <w:sz w:val="20"/>
                <w:szCs w:val="20"/>
              </w:rPr>
            </w:pPr>
            <w:r w:rsidRPr="0070451B">
              <w:rPr>
                <w:rFonts w:cs="Times New Roman"/>
                <w:sz w:val="20"/>
                <w:szCs w:val="20"/>
              </w:rPr>
              <w:t>P&gt;|z|</w:t>
            </w:r>
          </w:p>
        </w:tc>
        <w:tc>
          <w:tcPr>
            <w:tcW w:w="1654" w:type="pct"/>
          </w:tcPr>
          <w:p w14:paraId="08F6BEEF" w14:textId="77777777" w:rsidR="00E91BC9" w:rsidRPr="0070451B" w:rsidRDefault="00E91BC9" w:rsidP="0070451B">
            <w:pPr>
              <w:spacing w:after="0" w:line="240" w:lineRule="auto"/>
              <w:ind w:left="183"/>
              <w:jc w:val="both"/>
              <w:rPr>
                <w:rFonts w:cs="Times New Roman"/>
                <w:sz w:val="20"/>
                <w:szCs w:val="20"/>
              </w:rPr>
            </w:pPr>
            <w:r w:rsidRPr="0070451B">
              <w:rPr>
                <w:rFonts w:cs="Times New Roman"/>
                <w:sz w:val="20"/>
                <w:szCs w:val="20"/>
              </w:rPr>
              <w:t>[95% conf. interval]</w:t>
            </w:r>
          </w:p>
        </w:tc>
      </w:tr>
      <w:tr w:rsidR="00E91BC9" w:rsidRPr="0070451B" w14:paraId="7E46CB01" w14:textId="77777777" w:rsidTr="00590AA8">
        <w:tc>
          <w:tcPr>
            <w:tcW w:w="893" w:type="pct"/>
          </w:tcPr>
          <w:p w14:paraId="2382B278"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 xml:space="preserve">Structural    </w:t>
            </w:r>
          </w:p>
        </w:tc>
        <w:tc>
          <w:tcPr>
            <w:tcW w:w="753" w:type="pct"/>
          </w:tcPr>
          <w:p w14:paraId="68056402" w14:textId="77777777" w:rsidR="00E91BC9" w:rsidRPr="0070451B" w:rsidRDefault="00E91BC9" w:rsidP="0070451B">
            <w:pPr>
              <w:spacing w:after="0" w:line="240" w:lineRule="auto"/>
              <w:jc w:val="both"/>
              <w:rPr>
                <w:rFonts w:cs="Times New Roman"/>
                <w:sz w:val="20"/>
                <w:szCs w:val="20"/>
              </w:rPr>
            </w:pPr>
          </w:p>
        </w:tc>
        <w:tc>
          <w:tcPr>
            <w:tcW w:w="736" w:type="pct"/>
          </w:tcPr>
          <w:p w14:paraId="31DA8655" w14:textId="77777777" w:rsidR="00E91BC9" w:rsidRPr="0070451B" w:rsidRDefault="00E91BC9" w:rsidP="0070451B">
            <w:pPr>
              <w:spacing w:after="0" w:line="240" w:lineRule="auto"/>
              <w:jc w:val="both"/>
              <w:rPr>
                <w:rFonts w:cs="Times New Roman"/>
                <w:sz w:val="20"/>
                <w:szCs w:val="20"/>
              </w:rPr>
            </w:pPr>
          </w:p>
        </w:tc>
        <w:tc>
          <w:tcPr>
            <w:tcW w:w="443" w:type="pct"/>
          </w:tcPr>
          <w:p w14:paraId="27602A0C" w14:textId="77777777" w:rsidR="00E91BC9" w:rsidRPr="0070451B" w:rsidRDefault="00E91BC9" w:rsidP="0070451B">
            <w:pPr>
              <w:spacing w:after="0" w:line="240" w:lineRule="auto"/>
              <w:jc w:val="both"/>
              <w:rPr>
                <w:rFonts w:cs="Times New Roman"/>
                <w:sz w:val="20"/>
                <w:szCs w:val="20"/>
              </w:rPr>
            </w:pPr>
          </w:p>
        </w:tc>
        <w:tc>
          <w:tcPr>
            <w:tcW w:w="522" w:type="pct"/>
          </w:tcPr>
          <w:p w14:paraId="2F39C68F" w14:textId="77777777" w:rsidR="00E91BC9" w:rsidRPr="0070451B" w:rsidRDefault="00E91BC9" w:rsidP="0070451B">
            <w:pPr>
              <w:spacing w:after="0" w:line="240" w:lineRule="auto"/>
              <w:jc w:val="both"/>
              <w:rPr>
                <w:rFonts w:cs="Times New Roman"/>
                <w:sz w:val="20"/>
                <w:szCs w:val="20"/>
              </w:rPr>
            </w:pPr>
          </w:p>
        </w:tc>
        <w:tc>
          <w:tcPr>
            <w:tcW w:w="1654" w:type="pct"/>
          </w:tcPr>
          <w:p w14:paraId="56831844" w14:textId="77777777" w:rsidR="00E91BC9" w:rsidRPr="0070451B" w:rsidRDefault="00E91BC9" w:rsidP="0070451B">
            <w:pPr>
              <w:spacing w:after="0" w:line="240" w:lineRule="auto"/>
              <w:jc w:val="both"/>
              <w:rPr>
                <w:rFonts w:cs="Times New Roman"/>
                <w:sz w:val="20"/>
                <w:szCs w:val="20"/>
              </w:rPr>
            </w:pPr>
          </w:p>
        </w:tc>
      </w:tr>
      <w:tr w:rsidR="00E91BC9" w:rsidRPr="0070451B" w14:paraId="05397666" w14:textId="77777777" w:rsidTr="00590AA8">
        <w:tc>
          <w:tcPr>
            <w:tcW w:w="893" w:type="pct"/>
          </w:tcPr>
          <w:p w14:paraId="7CE6F18D"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Financial Literacy</w:t>
            </w:r>
          </w:p>
        </w:tc>
        <w:tc>
          <w:tcPr>
            <w:tcW w:w="753" w:type="pct"/>
          </w:tcPr>
          <w:p w14:paraId="42CDA8BB" w14:textId="77777777" w:rsidR="00E91BC9" w:rsidRPr="0070451B" w:rsidRDefault="00E91BC9" w:rsidP="0070451B">
            <w:pPr>
              <w:spacing w:after="0" w:line="240" w:lineRule="auto"/>
              <w:jc w:val="both"/>
              <w:rPr>
                <w:rFonts w:cs="Times New Roman"/>
                <w:sz w:val="20"/>
                <w:szCs w:val="20"/>
              </w:rPr>
            </w:pPr>
          </w:p>
        </w:tc>
        <w:tc>
          <w:tcPr>
            <w:tcW w:w="736" w:type="pct"/>
          </w:tcPr>
          <w:p w14:paraId="66CEE72C" w14:textId="77777777" w:rsidR="00E91BC9" w:rsidRPr="0070451B" w:rsidRDefault="00E91BC9" w:rsidP="0070451B">
            <w:pPr>
              <w:spacing w:after="0" w:line="240" w:lineRule="auto"/>
              <w:jc w:val="both"/>
              <w:rPr>
                <w:rFonts w:cs="Times New Roman"/>
                <w:sz w:val="20"/>
                <w:szCs w:val="20"/>
              </w:rPr>
            </w:pPr>
          </w:p>
        </w:tc>
        <w:tc>
          <w:tcPr>
            <w:tcW w:w="443" w:type="pct"/>
          </w:tcPr>
          <w:p w14:paraId="2A8769A3" w14:textId="77777777" w:rsidR="00E91BC9" w:rsidRPr="0070451B" w:rsidRDefault="00E91BC9" w:rsidP="0070451B">
            <w:pPr>
              <w:spacing w:after="0" w:line="240" w:lineRule="auto"/>
              <w:jc w:val="both"/>
              <w:rPr>
                <w:rFonts w:cs="Times New Roman"/>
                <w:sz w:val="20"/>
                <w:szCs w:val="20"/>
              </w:rPr>
            </w:pPr>
          </w:p>
        </w:tc>
        <w:tc>
          <w:tcPr>
            <w:tcW w:w="522" w:type="pct"/>
          </w:tcPr>
          <w:p w14:paraId="27EC6636" w14:textId="77777777" w:rsidR="00E91BC9" w:rsidRPr="0070451B" w:rsidRDefault="00E91BC9" w:rsidP="0070451B">
            <w:pPr>
              <w:spacing w:after="0" w:line="240" w:lineRule="auto"/>
              <w:jc w:val="both"/>
              <w:rPr>
                <w:rFonts w:cs="Times New Roman"/>
                <w:sz w:val="20"/>
                <w:szCs w:val="20"/>
              </w:rPr>
            </w:pPr>
          </w:p>
        </w:tc>
        <w:tc>
          <w:tcPr>
            <w:tcW w:w="1654" w:type="pct"/>
          </w:tcPr>
          <w:p w14:paraId="3319F0D9" w14:textId="77777777" w:rsidR="00E91BC9" w:rsidRPr="0070451B" w:rsidRDefault="00E91BC9" w:rsidP="0070451B">
            <w:pPr>
              <w:spacing w:after="0" w:line="240" w:lineRule="auto"/>
              <w:jc w:val="both"/>
              <w:rPr>
                <w:rFonts w:cs="Times New Roman"/>
                <w:sz w:val="20"/>
                <w:szCs w:val="20"/>
              </w:rPr>
            </w:pPr>
          </w:p>
        </w:tc>
      </w:tr>
      <w:tr w:rsidR="00E91BC9" w:rsidRPr="0070451B" w14:paraId="6CDEDA3E" w14:textId="77777777" w:rsidTr="00590AA8">
        <w:tc>
          <w:tcPr>
            <w:tcW w:w="893" w:type="pct"/>
          </w:tcPr>
          <w:p w14:paraId="087FD810"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Risk Perception</w:t>
            </w:r>
          </w:p>
        </w:tc>
        <w:tc>
          <w:tcPr>
            <w:tcW w:w="753" w:type="pct"/>
          </w:tcPr>
          <w:p w14:paraId="2B908959" w14:textId="77777777" w:rsidR="00E91BC9" w:rsidRPr="0070451B" w:rsidRDefault="00E91BC9" w:rsidP="0070451B">
            <w:pPr>
              <w:spacing w:after="0" w:line="240" w:lineRule="auto"/>
              <w:ind w:left="60"/>
              <w:jc w:val="both"/>
              <w:rPr>
                <w:rFonts w:cs="Times New Roman"/>
                <w:sz w:val="20"/>
                <w:szCs w:val="20"/>
              </w:rPr>
            </w:pPr>
            <w:r w:rsidRPr="0070451B">
              <w:rPr>
                <w:rFonts w:cs="Times New Roman"/>
                <w:sz w:val="20"/>
                <w:szCs w:val="20"/>
              </w:rPr>
              <w:t>.5985196</w:t>
            </w:r>
          </w:p>
        </w:tc>
        <w:tc>
          <w:tcPr>
            <w:tcW w:w="736" w:type="pct"/>
          </w:tcPr>
          <w:p w14:paraId="62F1E343"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.0618198</w:t>
            </w:r>
          </w:p>
        </w:tc>
        <w:tc>
          <w:tcPr>
            <w:tcW w:w="443" w:type="pct"/>
          </w:tcPr>
          <w:p w14:paraId="74A86990"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9.68</w:t>
            </w:r>
          </w:p>
        </w:tc>
        <w:tc>
          <w:tcPr>
            <w:tcW w:w="522" w:type="pct"/>
          </w:tcPr>
          <w:p w14:paraId="7BE6AC8D" w14:textId="77777777" w:rsidR="00E91BC9" w:rsidRPr="0070451B" w:rsidRDefault="00E91BC9" w:rsidP="0070451B">
            <w:pPr>
              <w:spacing w:after="0" w:line="240" w:lineRule="auto"/>
              <w:ind w:left="60"/>
              <w:jc w:val="both"/>
              <w:rPr>
                <w:rFonts w:cs="Times New Roman"/>
                <w:sz w:val="20"/>
                <w:szCs w:val="20"/>
              </w:rPr>
            </w:pPr>
            <w:r w:rsidRPr="0070451B">
              <w:rPr>
                <w:rFonts w:cs="Times New Roman"/>
                <w:sz w:val="20"/>
                <w:szCs w:val="20"/>
              </w:rPr>
              <w:t>0.000</w:t>
            </w:r>
          </w:p>
        </w:tc>
        <w:tc>
          <w:tcPr>
            <w:tcW w:w="1654" w:type="pct"/>
          </w:tcPr>
          <w:p w14:paraId="5B768526" w14:textId="77777777" w:rsidR="00E91BC9" w:rsidRPr="0070451B" w:rsidRDefault="00E91BC9" w:rsidP="0070451B">
            <w:pPr>
              <w:spacing w:after="0" w:line="240" w:lineRule="auto"/>
              <w:ind w:left="173"/>
              <w:jc w:val="both"/>
              <w:rPr>
                <w:rFonts w:cs="Times New Roman"/>
                <w:sz w:val="20"/>
                <w:szCs w:val="20"/>
              </w:rPr>
            </w:pPr>
            <w:r w:rsidRPr="0070451B">
              <w:rPr>
                <w:rFonts w:cs="Times New Roman"/>
                <w:sz w:val="20"/>
                <w:szCs w:val="20"/>
              </w:rPr>
              <w:t>.4773549    .7196842</w:t>
            </w:r>
          </w:p>
        </w:tc>
      </w:tr>
      <w:tr w:rsidR="00E91BC9" w:rsidRPr="0070451B" w14:paraId="7CA61A36" w14:textId="77777777" w:rsidTr="00590AA8">
        <w:tc>
          <w:tcPr>
            <w:tcW w:w="893" w:type="pct"/>
          </w:tcPr>
          <w:p w14:paraId="3C677BC1"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SMEs Growth</w:t>
            </w:r>
          </w:p>
        </w:tc>
        <w:tc>
          <w:tcPr>
            <w:tcW w:w="753" w:type="pct"/>
          </w:tcPr>
          <w:p w14:paraId="69035F12" w14:textId="77777777" w:rsidR="00E91BC9" w:rsidRPr="0070451B" w:rsidRDefault="00E91BC9" w:rsidP="0070451B">
            <w:pPr>
              <w:spacing w:after="0" w:line="240" w:lineRule="auto"/>
              <w:jc w:val="both"/>
              <w:rPr>
                <w:rFonts w:cs="Times New Roman"/>
                <w:sz w:val="20"/>
                <w:szCs w:val="20"/>
              </w:rPr>
            </w:pPr>
          </w:p>
        </w:tc>
        <w:tc>
          <w:tcPr>
            <w:tcW w:w="736" w:type="pct"/>
          </w:tcPr>
          <w:p w14:paraId="41632C13" w14:textId="77777777" w:rsidR="00E91BC9" w:rsidRPr="0070451B" w:rsidRDefault="00E91BC9" w:rsidP="0070451B">
            <w:pPr>
              <w:spacing w:after="0" w:line="240" w:lineRule="auto"/>
              <w:jc w:val="both"/>
              <w:rPr>
                <w:rFonts w:cs="Times New Roman"/>
                <w:sz w:val="20"/>
                <w:szCs w:val="20"/>
              </w:rPr>
            </w:pPr>
          </w:p>
        </w:tc>
        <w:tc>
          <w:tcPr>
            <w:tcW w:w="443" w:type="pct"/>
          </w:tcPr>
          <w:p w14:paraId="149EBC62" w14:textId="77777777" w:rsidR="00E91BC9" w:rsidRPr="0070451B" w:rsidRDefault="00E91BC9" w:rsidP="0070451B">
            <w:pPr>
              <w:spacing w:after="0" w:line="240" w:lineRule="auto"/>
              <w:jc w:val="both"/>
              <w:rPr>
                <w:rFonts w:cs="Times New Roman"/>
                <w:sz w:val="20"/>
                <w:szCs w:val="20"/>
              </w:rPr>
            </w:pPr>
          </w:p>
        </w:tc>
        <w:tc>
          <w:tcPr>
            <w:tcW w:w="522" w:type="pct"/>
          </w:tcPr>
          <w:p w14:paraId="28ADA929" w14:textId="77777777" w:rsidR="00E91BC9" w:rsidRPr="0070451B" w:rsidRDefault="00E91BC9" w:rsidP="0070451B">
            <w:pPr>
              <w:spacing w:after="0" w:line="240" w:lineRule="auto"/>
              <w:jc w:val="both"/>
              <w:rPr>
                <w:rFonts w:cs="Times New Roman"/>
                <w:sz w:val="20"/>
                <w:szCs w:val="20"/>
              </w:rPr>
            </w:pPr>
          </w:p>
        </w:tc>
        <w:tc>
          <w:tcPr>
            <w:tcW w:w="1654" w:type="pct"/>
          </w:tcPr>
          <w:p w14:paraId="293F4E28" w14:textId="77777777" w:rsidR="00E91BC9" w:rsidRPr="0070451B" w:rsidRDefault="00E91BC9" w:rsidP="0070451B">
            <w:pPr>
              <w:spacing w:after="0" w:line="240" w:lineRule="auto"/>
              <w:jc w:val="both"/>
              <w:rPr>
                <w:rFonts w:cs="Times New Roman"/>
                <w:sz w:val="20"/>
                <w:szCs w:val="20"/>
              </w:rPr>
            </w:pPr>
          </w:p>
        </w:tc>
      </w:tr>
      <w:tr w:rsidR="00E91BC9" w:rsidRPr="0070451B" w14:paraId="2B4EDACB" w14:textId="77777777" w:rsidTr="00590AA8">
        <w:tc>
          <w:tcPr>
            <w:tcW w:w="893" w:type="pct"/>
          </w:tcPr>
          <w:p w14:paraId="0B4886FA"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Financial Literacy</w:t>
            </w:r>
          </w:p>
        </w:tc>
        <w:tc>
          <w:tcPr>
            <w:tcW w:w="753" w:type="pct"/>
          </w:tcPr>
          <w:p w14:paraId="786ED3F2" w14:textId="77777777" w:rsidR="00E91BC9" w:rsidRPr="0070451B" w:rsidRDefault="00E91BC9" w:rsidP="0070451B">
            <w:pPr>
              <w:spacing w:after="0" w:line="240" w:lineRule="auto"/>
              <w:ind w:left="151"/>
              <w:jc w:val="both"/>
              <w:rPr>
                <w:rFonts w:cs="Times New Roman"/>
                <w:sz w:val="20"/>
                <w:szCs w:val="20"/>
              </w:rPr>
            </w:pPr>
            <w:r w:rsidRPr="0070451B">
              <w:rPr>
                <w:rFonts w:cs="Times New Roman"/>
                <w:sz w:val="20"/>
                <w:szCs w:val="20"/>
              </w:rPr>
              <w:t>.575283</w:t>
            </w:r>
          </w:p>
        </w:tc>
        <w:tc>
          <w:tcPr>
            <w:tcW w:w="736" w:type="pct"/>
          </w:tcPr>
          <w:p w14:paraId="4EC5F4C8"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.0650325</w:t>
            </w:r>
          </w:p>
        </w:tc>
        <w:tc>
          <w:tcPr>
            <w:tcW w:w="443" w:type="pct"/>
          </w:tcPr>
          <w:p w14:paraId="1B4C7EE4"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8.85</w:t>
            </w:r>
          </w:p>
        </w:tc>
        <w:tc>
          <w:tcPr>
            <w:tcW w:w="522" w:type="pct"/>
          </w:tcPr>
          <w:p w14:paraId="60ACA953" w14:textId="77777777" w:rsidR="00E91BC9" w:rsidRPr="0070451B" w:rsidRDefault="00E91BC9" w:rsidP="0070451B">
            <w:pPr>
              <w:spacing w:after="0" w:line="240" w:lineRule="auto"/>
              <w:ind w:left="60"/>
              <w:jc w:val="both"/>
              <w:rPr>
                <w:rFonts w:cs="Times New Roman"/>
                <w:sz w:val="20"/>
                <w:szCs w:val="20"/>
              </w:rPr>
            </w:pPr>
            <w:r w:rsidRPr="0070451B">
              <w:rPr>
                <w:rFonts w:cs="Times New Roman"/>
                <w:sz w:val="20"/>
                <w:szCs w:val="20"/>
              </w:rPr>
              <w:t>0.000</w:t>
            </w:r>
          </w:p>
        </w:tc>
        <w:tc>
          <w:tcPr>
            <w:tcW w:w="1654" w:type="pct"/>
          </w:tcPr>
          <w:p w14:paraId="5AE8AD57" w14:textId="77777777" w:rsidR="00E91BC9" w:rsidRPr="0070451B" w:rsidRDefault="00E91BC9" w:rsidP="0070451B">
            <w:pPr>
              <w:spacing w:after="0" w:line="240" w:lineRule="auto"/>
              <w:ind w:left="173"/>
              <w:jc w:val="both"/>
              <w:rPr>
                <w:rFonts w:cs="Times New Roman"/>
                <w:sz w:val="20"/>
                <w:szCs w:val="20"/>
              </w:rPr>
            </w:pPr>
            <w:r w:rsidRPr="0070451B">
              <w:rPr>
                <w:rFonts w:cs="Times New Roman"/>
                <w:sz w:val="20"/>
                <w:szCs w:val="20"/>
              </w:rPr>
              <w:t>.4478216    .7027443</w:t>
            </w:r>
          </w:p>
        </w:tc>
      </w:tr>
      <w:tr w:rsidR="00E91BC9" w:rsidRPr="0070451B" w14:paraId="6E59629D" w14:textId="77777777" w:rsidTr="00590AA8">
        <w:tc>
          <w:tcPr>
            <w:tcW w:w="893" w:type="pct"/>
          </w:tcPr>
          <w:p w14:paraId="0B2C5EB6"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Risk Perception</w:t>
            </w:r>
          </w:p>
        </w:tc>
        <w:tc>
          <w:tcPr>
            <w:tcW w:w="753" w:type="pct"/>
          </w:tcPr>
          <w:p w14:paraId="403A321A" w14:textId="77777777" w:rsidR="00E91BC9" w:rsidRPr="0070451B" w:rsidRDefault="00E91BC9" w:rsidP="0070451B">
            <w:pPr>
              <w:spacing w:after="0" w:line="240" w:lineRule="auto"/>
              <w:jc w:val="both"/>
              <w:rPr>
                <w:rFonts w:cs="Times New Roman"/>
                <w:sz w:val="20"/>
                <w:szCs w:val="20"/>
              </w:rPr>
            </w:pPr>
            <w:r w:rsidRPr="0070451B">
              <w:rPr>
                <w:rFonts w:cs="Times New Roman"/>
                <w:sz w:val="20"/>
                <w:szCs w:val="20"/>
              </w:rPr>
              <w:t>.3214254</w:t>
            </w:r>
          </w:p>
        </w:tc>
        <w:tc>
          <w:tcPr>
            <w:tcW w:w="736" w:type="pct"/>
          </w:tcPr>
          <w:p w14:paraId="13A0DBF3" w14:textId="77777777" w:rsidR="00E91BC9" w:rsidRPr="0070451B" w:rsidRDefault="00E91BC9" w:rsidP="0070451B">
            <w:pPr>
              <w:spacing w:after="0" w:line="240" w:lineRule="auto"/>
              <w:ind w:left="74"/>
              <w:jc w:val="both"/>
              <w:rPr>
                <w:rFonts w:cs="Times New Roman"/>
                <w:sz w:val="20"/>
                <w:szCs w:val="20"/>
              </w:rPr>
            </w:pPr>
            <w:r w:rsidRPr="0070451B">
              <w:rPr>
                <w:rFonts w:cs="Times New Roman"/>
                <w:sz w:val="20"/>
                <w:szCs w:val="20"/>
              </w:rPr>
              <w:t xml:space="preserve">.080178     </w:t>
            </w:r>
          </w:p>
        </w:tc>
        <w:tc>
          <w:tcPr>
            <w:tcW w:w="443" w:type="pct"/>
          </w:tcPr>
          <w:p w14:paraId="1D22BE37" w14:textId="77777777" w:rsidR="00E91BC9" w:rsidRPr="0070451B" w:rsidRDefault="00E91BC9" w:rsidP="0070451B">
            <w:pPr>
              <w:spacing w:after="0" w:line="240" w:lineRule="auto"/>
              <w:ind w:left="74"/>
              <w:jc w:val="both"/>
              <w:rPr>
                <w:rFonts w:cs="Times New Roman"/>
                <w:sz w:val="20"/>
                <w:szCs w:val="20"/>
              </w:rPr>
            </w:pPr>
            <w:r w:rsidRPr="0070451B">
              <w:rPr>
                <w:rFonts w:cs="Times New Roman"/>
                <w:sz w:val="20"/>
                <w:szCs w:val="20"/>
              </w:rPr>
              <w:t xml:space="preserve">4.01   </w:t>
            </w:r>
          </w:p>
        </w:tc>
        <w:tc>
          <w:tcPr>
            <w:tcW w:w="522" w:type="pct"/>
          </w:tcPr>
          <w:p w14:paraId="58E7FBA7" w14:textId="77777777" w:rsidR="00E91BC9" w:rsidRPr="0070451B" w:rsidRDefault="00E91BC9" w:rsidP="0070451B">
            <w:pPr>
              <w:spacing w:after="0" w:line="240" w:lineRule="auto"/>
              <w:ind w:left="74"/>
              <w:jc w:val="both"/>
              <w:rPr>
                <w:rFonts w:cs="Times New Roman"/>
                <w:sz w:val="20"/>
                <w:szCs w:val="20"/>
              </w:rPr>
            </w:pPr>
            <w:r w:rsidRPr="0070451B">
              <w:rPr>
                <w:rFonts w:cs="Times New Roman"/>
                <w:sz w:val="20"/>
                <w:szCs w:val="20"/>
              </w:rPr>
              <w:t xml:space="preserve">0.000     </w:t>
            </w:r>
          </w:p>
        </w:tc>
        <w:tc>
          <w:tcPr>
            <w:tcW w:w="1654" w:type="pct"/>
          </w:tcPr>
          <w:p w14:paraId="56AE0DEF" w14:textId="77777777" w:rsidR="00E91BC9" w:rsidRPr="0070451B" w:rsidRDefault="00E91BC9" w:rsidP="0070451B">
            <w:pPr>
              <w:spacing w:after="0" w:line="240" w:lineRule="auto"/>
              <w:ind w:left="74"/>
              <w:jc w:val="both"/>
              <w:rPr>
                <w:rFonts w:cs="Times New Roman"/>
                <w:sz w:val="20"/>
                <w:szCs w:val="20"/>
              </w:rPr>
            </w:pPr>
            <w:r w:rsidRPr="0070451B">
              <w:rPr>
                <w:rFonts w:cs="Times New Roman"/>
                <w:sz w:val="20"/>
                <w:szCs w:val="20"/>
              </w:rPr>
              <w:t>.1642795    .4785713</w:t>
            </w:r>
          </w:p>
        </w:tc>
      </w:tr>
    </w:tbl>
    <w:p w14:paraId="7629043D" w14:textId="77777777" w:rsidR="00E91BC9" w:rsidRDefault="00E91BC9" w:rsidP="005C7A5B">
      <w:pPr>
        <w:spacing w:line="360" w:lineRule="auto"/>
        <w:jc w:val="both"/>
        <w:rPr>
          <w:rFonts w:cs="Times New Roman"/>
          <w:szCs w:val="24"/>
        </w:rPr>
      </w:pPr>
      <w:r>
        <w:rPr>
          <w:rFonts w:cs="Times New Roman"/>
          <w:b/>
          <w:noProof/>
          <w:szCs w:val="24"/>
        </w:rPr>
        <w:t>Source: Author’s computation (2024)</w:t>
      </w:r>
    </w:p>
    <w:p w14:paraId="3802845F" w14:textId="5FB2CE48" w:rsidR="0070451B" w:rsidRPr="005C7A5B" w:rsidRDefault="00E91BC9" w:rsidP="005C7A5B">
      <w:pPr>
        <w:spacing w:after="0" w:line="360" w:lineRule="auto"/>
        <w:jc w:val="both"/>
        <w:rPr>
          <w:rFonts w:cs="Times New Roman"/>
          <w:szCs w:val="24"/>
        </w:rPr>
      </w:pPr>
      <w:r>
        <w:rPr>
          <w:rFonts w:cs="Times New Roman"/>
          <w:szCs w:val="24"/>
        </w:rPr>
        <w:t xml:space="preserve">The direct effects </w:t>
      </w:r>
      <w:r w:rsidR="006F3513">
        <w:rPr>
          <w:rFonts w:cs="Times New Roman"/>
          <w:szCs w:val="24"/>
        </w:rPr>
        <w:t>in Table</w:t>
      </w:r>
      <w:r>
        <w:rPr>
          <w:rFonts w:cs="Times New Roman"/>
          <w:szCs w:val="24"/>
        </w:rPr>
        <w:t xml:space="preserve"> </w:t>
      </w:r>
      <w:r w:rsidR="005C7A5B">
        <w:rPr>
          <w:rFonts w:cs="Times New Roman"/>
          <w:szCs w:val="24"/>
        </w:rPr>
        <w:t>5</w:t>
      </w:r>
      <w:r>
        <w:rPr>
          <w:rFonts w:cs="Times New Roman"/>
          <w:szCs w:val="24"/>
        </w:rPr>
        <w:t xml:space="preserve"> above closely mirror the structural coefficients, with significant impacts </w:t>
      </w:r>
      <w:r w:rsidR="00D96811">
        <w:rPr>
          <w:rFonts w:cs="Times New Roman"/>
          <w:szCs w:val="24"/>
        </w:rPr>
        <w:t>on SME growth from both financial literacy and risk perception</w:t>
      </w:r>
      <w:r>
        <w:rPr>
          <w:rFonts w:cs="Times New Roman"/>
          <w:szCs w:val="24"/>
        </w:rPr>
        <w:t>. This underlines the importance of these factors independent of their interactions. Direct interventions in financial education and risk perception training are justified by their significant standalone impacts on growth.</w:t>
      </w:r>
      <w:bookmarkStart w:id="18" w:name="_Toc174112005"/>
    </w:p>
    <w:p w14:paraId="1B03B1E4" w14:textId="17B13DB9" w:rsidR="00E91BC9" w:rsidRDefault="00E91BC9" w:rsidP="005C7A5B">
      <w:pPr>
        <w:pStyle w:val="table"/>
        <w:spacing w:after="0"/>
        <w:rPr>
          <w:color w:val="auto"/>
          <w:szCs w:val="24"/>
        </w:rPr>
      </w:pPr>
      <w:r>
        <w:rPr>
          <w:color w:val="auto"/>
          <w:szCs w:val="24"/>
        </w:rPr>
        <w:t xml:space="preserve">Table </w:t>
      </w:r>
      <w:r w:rsidR="005C7A5B">
        <w:rPr>
          <w:color w:val="auto"/>
          <w:szCs w:val="24"/>
        </w:rPr>
        <w:t>6</w:t>
      </w:r>
      <w:r>
        <w:rPr>
          <w:color w:val="auto"/>
          <w:szCs w:val="24"/>
        </w:rPr>
        <w:t>: Indirect Effect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29"/>
        <w:gridCol w:w="1250"/>
        <w:gridCol w:w="834"/>
        <w:gridCol w:w="972"/>
        <w:gridCol w:w="1490"/>
      </w:tblGrid>
      <w:tr w:rsidR="00E91BC9" w:rsidRPr="005C7A5B" w14:paraId="6FC59413" w14:textId="77777777" w:rsidTr="00590AA8">
        <w:tc>
          <w:tcPr>
            <w:tcW w:w="5000" w:type="pct"/>
            <w:gridSpan w:val="6"/>
          </w:tcPr>
          <w:p w14:paraId="77CC32CB" w14:textId="77777777" w:rsidR="00E91BC9" w:rsidRPr="005C7A5B" w:rsidRDefault="00E91BC9" w:rsidP="005C7A5B">
            <w:pPr>
              <w:spacing w:after="0" w:line="240" w:lineRule="auto"/>
              <w:jc w:val="both"/>
              <w:rPr>
                <w:rFonts w:cs="Times New Roman"/>
                <w:b/>
                <w:sz w:val="20"/>
                <w:szCs w:val="20"/>
              </w:rPr>
            </w:pPr>
            <w:r w:rsidRPr="005C7A5B">
              <w:rPr>
                <w:rFonts w:cs="Times New Roman"/>
                <w:b/>
                <w:sz w:val="20"/>
                <w:szCs w:val="20"/>
              </w:rPr>
              <w:t>Indirect Effects</w:t>
            </w:r>
          </w:p>
        </w:tc>
      </w:tr>
      <w:tr w:rsidR="00E91BC9" w:rsidRPr="005C7A5B" w14:paraId="4CF3577A" w14:textId="77777777" w:rsidTr="0051368D">
        <w:tc>
          <w:tcPr>
            <w:tcW w:w="1570" w:type="pct"/>
          </w:tcPr>
          <w:p w14:paraId="09CE8056"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 xml:space="preserve">              </w:t>
            </w:r>
          </w:p>
        </w:tc>
        <w:tc>
          <w:tcPr>
            <w:tcW w:w="863" w:type="pct"/>
          </w:tcPr>
          <w:p w14:paraId="521E1837" w14:textId="77777777" w:rsidR="00E91BC9" w:rsidRPr="005C7A5B" w:rsidRDefault="00E91BC9" w:rsidP="005C7A5B">
            <w:pPr>
              <w:spacing w:after="0" w:line="240" w:lineRule="auto"/>
              <w:jc w:val="both"/>
              <w:rPr>
                <w:rFonts w:cs="Times New Roman"/>
                <w:sz w:val="20"/>
                <w:szCs w:val="20"/>
              </w:rPr>
            </w:pPr>
          </w:p>
        </w:tc>
        <w:tc>
          <w:tcPr>
            <w:tcW w:w="706" w:type="pct"/>
          </w:tcPr>
          <w:p w14:paraId="6793DFED" w14:textId="77777777" w:rsidR="00E91BC9" w:rsidRPr="005C7A5B" w:rsidRDefault="00E91BC9" w:rsidP="005C7A5B">
            <w:pPr>
              <w:spacing w:after="0" w:line="240" w:lineRule="auto"/>
              <w:ind w:left="294"/>
              <w:jc w:val="both"/>
              <w:rPr>
                <w:rFonts w:cs="Times New Roman"/>
                <w:sz w:val="20"/>
                <w:szCs w:val="20"/>
              </w:rPr>
            </w:pPr>
            <w:r w:rsidRPr="005C7A5B">
              <w:rPr>
                <w:rFonts w:cs="Times New Roman"/>
                <w:sz w:val="20"/>
                <w:szCs w:val="20"/>
              </w:rPr>
              <w:t>OIM</w:t>
            </w:r>
          </w:p>
        </w:tc>
        <w:tc>
          <w:tcPr>
            <w:tcW w:w="471" w:type="pct"/>
          </w:tcPr>
          <w:p w14:paraId="2F028128" w14:textId="77777777" w:rsidR="00E91BC9" w:rsidRPr="005C7A5B" w:rsidRDefault="00E91BC9" w:rsidP="005C7A5B">
            <w:pPr>
              <w:spacing w:after="0" w:line="240" w:lineRule="auto"/>
              <w:jc w:val="both"/>
              <w:rPr>
                <w:rFonts w:cs="Times New Roman"/>
                <w:sz w:val="20"/>
                <w:szCs w:val="20"/>
              </w:rPr>
            </w:pPr>
          </w:p>
        </w:tc>
        <w:tc>
          <w:tcPr>
            <w:tcW w:w="549" w:type="pct"/>
          </w:tcPr>
          <w:p w14:paraId="0E21B141" w14:textId="77777777" w:rsidR="00E91BC9" w:rsidRPr="005C7A5B" w:rsidRDefault="00E91BC9" w:rsidP="005C7A5B">
            <w:pPr>
              <w:spacing w:after="0" w:line="240" w:lineRule="auto"/>
              <w:jc w:val="both"/>
              <w:rPr>
                <w:rFonts w:cs="Times New Roman"/>
                <w:sz w:val="20"/>
                <w:szCs w:val="20"/>
              </w:rPr>
            </w:pPr>
          </w:p>
        </w:tc>
        <w:tc>
          <w:tcPr>
            <w:tcW w:w="842" w:type="pct"/>
          </w:tcPr>
          <w:p w14:paraId="3D99B64C" w14:textId="77777777" w:rsidR="00E91BC9" w:rsidRPr="005C7A5B" w:rsidRDefault="00E91BC9" w:rsidP="005C7A5B">
            <w:pPr>
              <w:spacing w:after="0" w:line="240" w:lineRule="auto"/>
              <w:jc w:val="both"/>
              <w:rPr>
                <w:rFonts w:cs="Times New Roman"/>
                <w:sz w:val="20"/>
                <w:szCs w:val="20"/>
              </w:rPr>
            </w:pPr>
          </w:p>
        </w:tc>
      </w:tr>
      <w:tr w:rsidR="00E91BC9" w:rsidRPr="005C7A5B" w14:paraId="5D633DC9" w14:textId="77777777" w:rsidTr="0051368D">
        <w:tc>
          <w:tcPr>
            <w:tcW w:w="1570" w:type="pct"/>
          </w:tcPr>
          <w:p w14:paraId="2E6FC34E"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 xml:space="preserve">               </w:t>
            </w:r>
          </w:p>
        </w:tc>
        <w:tc>
          <w:tcPr>
            <w:tcW w:w="863" w:type="pct"/>
          </w:tcPr>
          <w:p w14:paraId="10A454F7"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Coefficient</w:t>
            </w:r>
          </w:p>
        </w:tc>
        <w:tc>
          <w:tcPr>
            <w:tcW w:w="706" w:type="pct"/>
          </w:tcPr>
          <w:p w14:paraId="0B5C421A" w14:textId="77777777" w:rsidR="00E91BC9" w:rsidRPr="005C7A5B" w:rsidRDefault="00E91BC9" w:rsidP="005C7A5B">
            <w:pPr>
              <w:spacing w:after="0" w:line="240" w:lineRule="auto"/>
              <w:ind w:left="9"/>
              <w:jc w:val="both"/>
              <w:rPr>
                <w:rFonts w:cs="Times New Roman"/>
                <w:sz w:val="20"/>
                <w:szCs w:val="20"/>
              </w:rPr>
            </w:pPr>
            <w:r w:rsidRPr="005C7A5B">
              <w:rPr>
                <w:rFonts w:cs="Times New Roman"/>
                <w:sz w:val="20"/>
                <w:szCs w:val="20"/>
              </w:rPr>
              <w:t>std. err.</w:t>
            </w:r>
          </w:p>
        </w:tc>
        <w:tc>
          <w:tcPr>
            <w:tcW w:w="471" w:type="pct"/>
          </w:tcPr>
          <w:p w14:paraId="6D60A606" w14:textId="77777777" w:rsidR="00E91BC9" w:rsidRPr="005C7A5B" w:rsidRDefault="00E91BC9" w:rsidP="005C7A5B">
            <w:pPr>
              <w:spacing w:after="0" w:line="240" w:lineRule="auto"/>
              <w:ind w:left="294"/>
              <w:jc w:val="both"/>
              <w:rPr>
                <w:rFonts w:cs="Times New Roman"/>
                <w:sz w:val="20"/>
                <w:szCs w:val="20"/>
              </w:rPr>
            </w:pPr>
            <w:r w:rsidRPr="005C7A5B">
              <w:rPr>
                <w:rFonts w:cs="Times New Roman"/>
                <w:sz w:val="20"/>
                <w:szCs w:val="20"/>
              </w:rPr>
              <w:t>z</w:t>
            </w:r>
          </w:p>
        </w:tc>
        <w:tc>
          <w:tcPr>
            <w:tcW w:w="549" w:type="pct"/>
          </w:tcPr>
          <w:p w14:paraId="2FCE386E" w14:textId="77777777" w:rsidR="00E91BC9" w:rsidRPr="005C7A5B" w:rsidRDefault="00E91BC9" w:rsidP="005C7A5B">
            <w:pPr>
              <w:spacing w:after="0" w:line="240" w:lineRule="auto"/>
              <w:ind w:left="48"/>
              <w:jc w:val="both"/>
              <w:rPr>
                <w:rFonts w:cs="Times New Roman"/>
                <w:sz w:val="20"/>
                <w:szCs w:val="20"/>
              </w:rPr>
            </w:pPr>
            <w:r w:rsidRPr="005C7A5B">
              <w:rPr>
                <w:rFonts w:cs="Times New Roman"/>
                <w:sz w:val="20"/>
                <w:szCs w:val="20"/>
              </w:rPr>
              <w:t>P&gt;|z|</w:t>
            </w:r>
          </w:p>
        </w:tc>
        <w:tc>
          <w:tcPr>
            <w:tcW w:w="842" w:type="pct"/>
          </w:tcPr>
          <w:p w14:paraId="15579E5E" w14:textId="77777777" w:rsidR="00E91BC9" w:rsidRPr="005C7A5B" w:rsidRDefault="00E91BC9" w:rsidP="005C7A5B">
            <w:pPr>
              <w:spacing w:after="0" w:line="240" w:lineRule="auto"/>
              <w:ind w:left="87"/>
              <w:jc w:val="both"/>
              <w:rPr>
                <w:rFonts w:cs="Times New Roman"/>
                <w:sz w:val="20"/>
                <w:szCs w:val="20"/>
              </w:rPr>
            </w:pPr>
            <w:r w:rsidRPr="005C7A5B">
              <w:rPr>
                <w:rFonts w:cs="Times New Roman"/>
                <w:sz w:val="20"/>
                <w:szCs w:val="20"/>
              </w:rPr>
              <w:t>[95% conf. interval]</w:t>
            </w:r>
          </w:p>
        </w:tc>
      </w:tr>
      <w:tr w:rsidR="00E91BC9" w:rsidRPr="005C7A5B" w14:paraId="7CA47032" w14:textId="77777777" w:rsidTr="0051368D">
        <w:tc>
          <w:tcPr>
            <w:tcW w:w="1570" w:type="pct"/>
          </w:tcPr>
          <w:p w14:paraId="4346265B"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 xml:space="preserve">Structural    </w:t>
            </w:r>
          </w:p>
        </w:tc>
        <w:tc>
          <w:tcPr>
            <w:tcW w:w="863" w:type="pct"/>
          </w:tcPr>
          <w:p w14:paraId="753A3ED5" w14:textId="77777777" w:rsidR="00E91BC9" w:rsidRPr="005C7A5B" w:rsidRDefault="00E91BC9" w:rsidP="005C7A5B">
            <w:pPr>
              <w:spacing w:after="0" w:line="240" w:lineRule="auto"/>
              <w:jc w:val="both"/>
              <w:rPr>
                <w:rFonts w:cs="Times New Roman"/>
                <w:sz w:val="20"/>
                <w:szCs w:val="20"/>
              </w:rPr>
            </w:pPr>
          </w:p>
        </w:tc>
        <w:tc>
          <w:tcPr>
            <w:tcW w:w="706" w:type="pct"/>
          </w:tcPr>
          <w:p w14:paraId="5689600C" w14:textId="77777777" w:rsidR="00E91BC9" w:rsidRPr="005C7A5B" w:rsidRDefault="00E91BC9" w:rsidP="005C7A5B">
            <w:pPr>
              <w:spacing w:after="0" w:line="240" w:lineRule="auto"/>
              <w:jc w:val="both"/>
              <w:rPr>
                <w:rFonts w:cs="Times New Roman"/>
                <w:sz w:val="20"/>
                <w:szCs w:val="20"/>
              </w:rPr>
            </w:pPr>
          </w:p>
        </w:tc>
        <w:tc>
          <w:tcPr>
            <w:tcW w:w="471" w:type="pct"/>
          </w:tcPr>
          <w:p w14:paraId="6F369123" w14:textId="77777777" w:rsidR="00E91BC9" w:rsidRPr="005C7A5B" w:rsidRDefault="00E91BC9" w:rsidP="005C7A5B">
            <w:pPr>
              <w:spacing w:after="0" w:line="240" w:lineRule="auto"/>
              <w:jc w:val="both"/>
              <w:rPr>
                <w:rFonts w:cs="Times New Roman"/>
                <w:sz w:val="20"/>
                <w:szCs w:val="20"/>
              </w:rPr>
            </w:pPr>
          </w:p>
        </w:tc>
        <w:tc>
          <w:tcPr>
            <w:tcW w:w="549" w:type="pct"/>
          </w:tcPr>
          <w:p w14:paraId="1B6AD152" w14:textId="77777777" w:rsidR="00E91BC9" w:rsidRPr="005C7A5B" w:rsidRDefault="00E91BC9" w:rsidP="005C7A5B">
            <w:pPr>
              <w:spacing w:after="0" w:line="240" w:lineRule="auto"/>
              <w:jc w:val="both"/>
              <w:rPr>
                <w:rFonts w:cs="Times New Roman"/>
                <w:sz w:val="20"/>
                <w:szCs w:val="20"/>
              </w:rPr>
            </w:pPr>
          </w:p>
        </w:tc>
        <w:tc>
          <w:tcPr>
            <w:tcW w:w="842" w:type="pct"/>
          </w:tcPr>
          <w:p w14:paraId="6BECF5F4" w14:textId="77777777" w:rsidR="00E91BC9" w:rsidRPr="005C7A5B" w:rsidRDefault="00E91BC9" w:rsidP="005C7A5B">
            <w:pPr>
              <w:spacing w:after="0" w:line="240" w:lineRule="auto"/>
              <w:jc w:val="both"/>
              <w:rPr>
                <w:rFonts w:cs="Times New Roman"/>
                <w:sz w:val="20"/>
                <w:szCs w:val="20"/>
              </w:rPr>
            </w:pPr>
          </w:p>
        </w:tc>
      </w:tr>
      <w:tr w:rsidR="00E91BC9" w:rsidRPr="005C7A5B" w14:paraId="788344DD" w14:textId="77777777" w:rsidTr="0051368D">
        <w:tc>
          <w:tcPr>
            <w:tcW w:w="1570" w:type="pct"/>
          </w:tcPr>
          <w:p w14:paraId="4B71375B"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Financial Literacy</w:t>
            </w:r>
          </w:p>
        </w:tc>
        <w:tc>
          <w:tcPr>
            <w:tcW w:w="863" w:type="pct"/>
          </w:tcPr>
          <w:p w14:paraId="51658E60" w14:textId="77777777" w:rsidR="00E91BC9" w:rsidRPr="005C7A5B" w:rsidRDefault="00E91BC9" w:rsidP="005C7A5B">
            <w:pPr>
              <w:spacing w:after="0" w:line="240" w:lineRule="auto"/>
              <w:jc w:val="both"/>
              <w:rPr>
                <w:rFonts w:cs="Times New Roman"/>
                <w:sz w:val="20"/>
                <w:szCs w:val="20"/>
              </w:rPr>
            </w:pPr>
          </w:p>
        </w:tc>
        <w:tc>
          <w:tcPr>
            <w:tcW w:w="706" w:type="pct"/>
          </w:tcPr>
          <w:p w14:paraId="4013DD6E" w14:textId="77777777" w:rsidR="00E91BC9" w:rsidRPr="005C7A5B" w:rsidRDefault="00E91BC9" w:rsidP="005C7A5B">
            <w:pPr>
              <w:spacing w:after="0" w:line="240" w:lineRule="auto"/>
              <w:jc w:val="both"/>
              <w:rPr>
                <w:rFonts w:cs="Times New Roman"/>
                <w:sz w:val="20"/>
                <w:szCs w:val="20"/>
              </w:rPr>
            </w:pPr>
          </w:p>
        </w:tc>
        <w:tc>
          <w:tcPr>
            <w:tcW w:w="471" w:type="pct"/>
          </w:tcPr>
          <w:p w14:paraId="552295A8" w14:textId="77777777" w:rsidR="00E91BC9" w:rsidRPr="005C7A5B" w:rsidRDefault="00E91BC9" w:rsidP="005C7A5B">
            <w:pPr>
              <w:spacing w:after="0" w:line="240" w:lineRule="auto"/>
              <w:jc w:val="both"/>
              <w:rPr>
                <w:rFonts w:cs="Times New Roman"/>
                <w:sz w:val="20"/>
                <w:szCs w:val="20"/>
              </w:rPr>
            </w:pPr>
          </w:p>
        </w:tc>
        <w:tc>
          <w:tcPr>
            <w:tcW w:w="549" w:type="pct"/>
          </w:tcPr>
          <w:p w14:paraId="2AD43FED" w14:textId="77777777" w:rsidR="00E91BC9" w:rsidRPr="005C7A5B" w:rsidRDefault="00E91BC9" w:rsidP="005C7A5B">
            <w:pPr>
              <w:spacing w:after="0" w:line="240" w:lineRule="auto"/>
              <w:jc w:val="both"/>
              <w:rPr>
                <w:rFonts w:cs="Times New Roman"/>
                <w:sz w:val="20"/>
                <w:szCs w:val="20"/>
              </w:rPr>
            </w:pPr>
          </w:p>
        </w:tc>
        <w:tc>
          <w:tcPr>
            <w:tcW w:w="842" w:type="pct"/>
          </w:tcPr>
          <w:p w14:paraId="2BA51E2C" w14:textId="77777777" w:rsidR="00E91BC9" w:rsidRPr="005C7A5B" w:rsidRDefault="00E91BC9" w:rsidP="005C7A5B">
            <w:pPr>
              <w:spacing w:after="0" w:line="240" w:lineRule="auto"/>
              <w:jc w:val="both"/>
              <w:rPr>
                <w:rFonts w:cs="Times New Roman"/>
                <w:sz w:val="20"/>
                <w:szCs w:val="20"/>
              </w:rPr>
            </w:pPr>
          </w:p>
        </w:tc>
      </w:tr>
      <w:tr w:rsidR="00E91BC9" w:rsidRPr="005C7A5B" w14:paraId="1338DC14" w14:textId="77777777" w:rsidTr="0051368D">
        <w:tc>
          <w:tcPr>
            <w:tcW w:w="1570" w:type="pct"/>
          </w:tcPr>
          <w:p w14:paraId="5EF5CC0B"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Risk Perception</w:t>
            </w:r>
          </w:p>
        </w:tc>
        <w:tc>
          <w:tcPr>
            <w:tcW w:w="863" w:type="pct"/>
          </w:tcPr>
          <w:p w14:paraId="16A1A248" w14:textId="77777777" w:rsidR="00E91BC9" w:rsidRPr="005C7A5B" w:rsidRDefault="00E91BC9" w:rsidP="005C7A5B">
            <w:pPr>
              <w:spacing w:after="0" w:line="240" w:lineRule="auto"/>
              <w:ind w:left="658"/>
              <w:jc w:val="both"/>
              <w:rPr>
                <w:rFonts w:cs="Times New Roman"/>
                <w:sz w:val="20"/>
                <w:szCs w:val="20"/>
              </w:rPr>
            </w:pPr>
            <w:r w:rsidRPr="005C7A5B">
              <w:rPr>
                <w:rFonts w:cs="Times New Roman"/>
                <w:sz w:val="20"/>
                <w:szCs w:val="20"/>
              </w:rPr>
              <w:t>0</w:t>
            </w:r>
          </w:p>
        </w:tc>
        <w:tc>
          <w:tcPr>
            <w:tcW w:w="706" w:type="pct"/>
          </w:tcPr>
          <w:p w14:paraId="51DB674B"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(no path)</w:t>
            </w:r>
          </w:p>
        </w:tc>
        <w:tc>
          <w:tcPr>
            <w:tcW w:w="471" w:type="pct"/>
          </w:tcPr>
          <w:p w14:paraId="6916787E" w14:textId="77777777" w:rsidR="00E91BC9" w:rsidRPr="005C7A5B" w:rsidRDefault="00E91BC9" w:rsidP="005C7A5B">
            <w:pPr>
              <w:spacing w:after="0" w:line="240" w:lineRule="auto"/>
              <w:jc w:val="both"/>
              <w:rPr>
                <w:rFonts w:cs="Times New Roman"/>
                <w:sz w:val="20"/>
                <w:szCs w:val="20"/>
              </w:rPr>
            </w:pPr>
          </w:p>
        </w:tc>
        <w:tc>
          <w:tcPr>
            <w:tcW w:w="549" w:type="pct"/>
          </w:tcPr>
          <w:p w14:paraId="1E196838" w14:textId="77777777" w:rsidR="00E91BC9" w:rsidRPr="005C7A5B" w:rsidRDefault="00E91BC9" w:rsidP="005C7A5B">
            <w:pPr>
              <w:spacing w:after="0" w:line="240" w:lineRule="auto"/>
              <w:jc w:val="both"/>
              <w:rPr>
                <w:rFonts w:cs="Times New Roman"/>
                <w:sz w:val="20"/>
                <w:szCs w:val="20"/>
              </w:rPr>
            </w:pPr>
          </w:p>
        </w:tc>
        <w:tc>
          <w:tcPr>
            <w:tcW w:w="842" w:type="pct"/>
          </w:tcPr>
          <w:p w14:paraId="4FBFFC24" w14:textId="77777777" w:rsidR="00E91BC9" w:rsidRPr="005C7A5B" w:rsidRDefault="00E91BC9" w:rsidP="005C7A5B">
            <w:pPr>
              <w:spacing w:after="0" w:line="240" w:lineRule="auto"/>
              <w:jc w:val="both"/>
              <w:rPr>
                <w:rFonts w:cs="Times New Roman"/>
                <w:sz w:val="20"/>
                <w:szCs w:val="20"/>
              </w:rPr>
            </w:pPr>
          </w:p>
        </w:tc>
      </w:tr>
      <w:tr w:rsidR="00E91BC9" w:rsidRPr="005C7A5B" w14:paraId="35095747" w14:textId="77777777" w:rsidTr="0051368D">
        <w:tc>
          <w:tcPr>
            <w:tcW w:w="1570" w:type="pct"/>
          </w:tcPr>
          <w:p w14:paraId="075FAD6E"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 xml:space="preserve">  SMEs Growth  </w:t>
            </w:r>
          </w:p>
        </w:tc>
        <w:tc>
          <w:tcPr>
            <w:tcW w:w="863" w:type="pct"/>
          </w:tcPr>
          <w:p w14:paraId="7C8D1758" w14:textId="77777777" w:rsidR="00E91BC9" w:rsidRPr="005C7A5B" w:rsidRDefault="00E91BC9" w:rsidP="005C7A5B">
            <w:pPr>
              <w:spacing w:after="0" w:line="240" w:lineRule="auto"/>
              <w:jc w:val="both"/>
              <w:rPr>
                <w:rFonts w:cs="Times New Roman"/>
                <w:sz w:val="20"/>
                <w:szCs w:val="20"/>
              </w:rPr>
            </w:pPr>
          </w:p>
        </w:tc>
        <w:tc>
          <w:tcPr>
            <w:tcW w:w="706" w:type="pct"/>
          </w:tcPr>
          <w:p w14:paraId="4BC588A0" w14:textId="77777777" w:rsidR="00E91BC9" w:rsidRPr="005C7A5B" w:rsidRDefault="00E91BC9" w:rsidP="005C7A5B">
            <w:pPr>
              <w:spacing w:after="0" w:line="240" w:lineRule="auto"/>
              <w:jc w:val="both"/>
              <w:rPr>
                <w:rFonts w:cs="Times New Roman"/>
                <w:sz w:val="20"/>
                <w:szCs w:val="20"/>
              </w:rPr>
            </w:pPr>
          </w:p>
        </w:tc>
        <w:tc>
          <w:tcPr>
            <w:tcW w:w="471" w:type="pct"/>
          </w:tcPr>
          <w:p w14:paraId="74172D20" w14:textId="77777777" w:rsidR="00E91BC9" w:rsidRPr="005C7A5B" w:rsidRDefault="00E91BC9" w:rsidP="005C7A5B">
            <w:pPr>
              <w:spacing w:after="0" w:line="240" w:lineRule="auto"/>
              <w:jc w:val="both"/>
              <w:rPr>
                <w:rFonts w:cs="Times New Roman"/>
                <w:sz w:val="20"/>
                <w:szCs w:val="20"/>
              </w:rPr>
            </w:pPr>
          </w:p>
        </w:tc>
        <w:tc>
          <w:tcPr>
            <w:tcW w:w="549" w:type="pct"/>
          </w:tcPr>
          <w:p w14:paraId="382B1E02" w14:textId="77777777" w:rsidR="00E91BC9" w:rsidRPr="005C7A5B" w:rsidRDefault="00E91BC9" w:rsidP="005C7A5B">
            <w:pPr>
              <w:spacing w:after="0" w:line="240" w:lineRule="auto"/>
              <w:jc w:val="both"/>
              <w:rPr>
                <w:rFonts w:cs="Times New Roman"/>
                <w:sz w:val="20"/>
                <w:szCs w:val="20"/>
              </w:rPr>
            </w:pPr>
          </w:p>
        </w:tc>
        <w:tc>
          <w:tcPr>
            <w:tcW w:w="842" w:type="pct"/>
          </w:tcPr>
          <w:p w14:paraId="692B1674" w14:textId="77777777" w:rsidR="00E91BC9" w:rsidRPr="005C7A5B" w:rsidRDefault="00E91BC9" w:rsidP="005C7A5B">
            <w:pPr>
              <w:spacing w:after="0" w:line="240" w:lineRule="auto"/>
              <w:jc w:val="both"/>
              <w:rPr>
                <w:rFonts w:cs="Times New Roman"/>
                <w:sz w:val="20"/>
                <w:szCs w:val="20"/>
              </w:rPr>
            </w:pPr>
          </w:p>
        </w:tc>
      </w:tr>
      <w:tr w:rsidR="00E91BC9" w:rsidRPr="005C7A5B" w14:paraId="620780ED" w14:textId="77777777" w:rsidTr="0051368D">
        <w:tc>
          <w:tcPr>
            <w:tcW w:w="1570" w:type="pct"/>
          </w:tcPr>
          <w:p w14:paraId="4266114A"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Financial Literacy</w:t>
            </w:r>
          </w:p>
        </w:tc>
        <w:tc>
          <w:tcPr>
            <w:tcW w:w="863" w:type="pct"/>
          </w:tcPr>
          <w:p w14:paraId="60B21D32" w14:textId="77777777" w:rsidR="00E91BC9" w:rsidRPr="005C7A5B" w:rsidRDefault="00E91BC9" w:rsidP="005C7A5B">
            <w:pPr>
              <w:spacing w:after="0" w:line="240" w:lineRule="auto"/>
              <w:ind w:left="658"/>
              <w:jc w:val="both"/>
              <w:rPr>
                <w:rFonts w:cs="Times New Roman"/>
                <w:sz w:val="20"/>
                <w:szCs w:val="20"/>
              </w:rPr>
            </w:pPr>
            <w:r w:rsidRPr="005C7A5B">
              <w:rPr>
                <w:rFonts w:cs="Times New Roman"/>
                <w:sz w:val="20"/>
                <w:szCs w:val="20"/>
              </w:rPr>
              <w:t>0</w:t>
            </w:r>
          </w:p>
        </w:tc>
        <w:tc>
          <w:tcPr>
            <w:tcW w:w="706" w:type="pct"/>
          </w:tcPr>
          <w:p w14:paraId="2C16F4C9"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(no path)</w:t>
            </w:r>
          </w:p>
        </w:tc>
        <w:tc>
          <w:tcPr>
            <w:tcW w:w="471" w:type="pct"/>
          </w:tcPr>
          <w:p w14:paraId="07B992E6" w14:textId="77777777" w:rsidR="00E91BC9" w:rsidRPr="005C7A5B" w:rsidRDefault="00E91BC9" w:rsidP="005C7A5B">
            <w:pPr>
              <w:spacing w:after="0" w:line="240" w:lineRule="auto"/>
              <w:jc w:val="both"/>
              <w:rPr>
                <w:rFonts w:cs="Times New Roman"/>
                <w:sz w:val="20"/>
                <w:szCs w:val="20"/>
              </w:rPr>
            </w:pPr>
          </w:p>
        </w:tc>
        <w:tc>
          <w:tcPr>
            <w:tcW w:w="549" w:type="pct"/>
          </w:tcPr>
          <w:p w14:paraId="754526CB" w14:textId="77777777" w:rsidR="00E91BC9" w:rsidRPr="005C7A5B" w:rsidRDefault="00E91BC9" w:rsidP="005C7A5B">
            <w:pPr>
              <w:spacing w:after="0" w:line="240" w:lineRule="auto"/>
              <w:jc w:val="both"/>
              <w:rPr>
                <w:rFonts w:cs="Times New Roman"/>
                <w:sz w:val="20"/>
                <w:szCs w:val="20"/>
              </w:rPr>
            </w:pPr>
          </w:p>
        </w:tc>
        <w:tc>
          <w:tcPr>
            <w:tcW w:w="842" w:type="pct"/>
          </w:tcPr>
          <w:p w14:paraId="78EE1E26" w14:textId="77777777" w:rsidR="00E91BC9" w:rsidRPr="005C7A5B" w:rsidRDefault="00E91BC9" w:rsidP="005C7A5B">
            <w:pPr>
              <w:spacing w:after="0" w:line="240" w:lineRule="auto"/>
              <w:jc w:val="both"/>
              <w:rPr>
                <w:rFonts w:cs="Times New Roman"/>
                <w:sz w:val="20"/>
                <w:szCs w:val="20"/>
              </w:rPr>
            </w:pPr>
          </w:p>
        </w:tc>
      </w:tr>
      <w:tr w:rsidR="00E91BC9" w:rsidRPr="005C7A5B" w14:paraId="3BB3D75B" w14:textId="77777777" w:rsidTr="0051368D">
        <w:tc>
          <w:tcPr>
            <w:tcW w:w="1570" w:type="pct"/>
          </w:tcPr>
          <w:p w14:paraId="54E9FE4E"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Risk Perception</w:t>
            </w:r>
          </w:p>
        </w:tc>
        <w:tc>
          <w:tcPr>
            <w:tcW w:w="863" w:type="pct"/>
          </w:tcPr>
          <w:p w14:paraId="2FCDD9FE" w14:textId="77777777" w:rsidR="00E91BC9" w:rsidRPr="005C7A5B" w:rsidRDefault="00E91BC9" w:rsidP="005C7A5B">
            <w:pPr>
              <w:spacing w:after="0" w:line="240" w:lineRule="auto"/>
              <w:jc w:val="both"/>
              <w:rPr>
                <w:rFonts w:cs="Times New Roman"/>
                <w:sz w:val="20"/>
                <w:szCs w:val="20"/>
              </w:rPr>
            </w:pPr>
            <w:r w:rsidRPr="005C7A5B">
              <w:rPr>
                <w:rFonts w:cs="Times New Roman"/>
                <w:sz w:val="20"/>
                <w:szCs w:val="20"/>
              </w:rPr>
              <w:t>.3443181</w:t>
            </w:r>
          </w:p>
        </w:tc>
        <w:tc>
          <w:tcPr>
            <w:tcW w:w="706" w:type="pct"/>
          </w:tcPr>
          <w:p w14:paraId="0730AF15" w14:textId="77777777" w:rsidR="00E91BC9" w:rsidRPr="005C7A5B" w:rsidRDefault="00E91BC9" w:rsidP="005C7A5B">
            <w:pPr>
              <w:spacing w:after="0" w:line="240" w:lineRule="auto"/>
              <w:ind w:left="9"/>
              <w:jc w:val="both"/>
              <w:rPr>
                <w:rFonts w:cs="Times New Roman"/>
                <w:sz w:val="20"/>
                <w:szCs w:val="20"/>
              </w:rPr>
            </w:pPr>
            <w:r w:rsidRPr="005C7A5B">
              <w:rPr>
                <w:rFonts w:cs="Times New Roman"/>
                <w:sz w:val="20"/>
                <w:szCs w:val="20"/>
              </w:rPr>
              <w:t>.0527239</w:t>
            </w:r>
          </w:p>
        </w:tc>
        <w:tc>
          <w:tcPr>
            <w:tcW w:w="471" w:type="pct"/>
          </w:tcPr>
          <w:p w14:paraId="71B968E1" w14:textId="77777777" w:rsidR="00E91BC9" w:rsidRPr="005C7A5B" w:rsidRDefault="00E91BC9" w:rsidP="005C7A5B">
            <w:pPr>
              <w:spacing w:after="0" w:line="240" w:lineRule="auto"/>
              <w:ind w:left="99"/>
              <w:jc w:val="both"/>
              <w:rPr>
                <w:rFonts w:cs="Times New Roman"/>
                <w:sz w:val="20"/>
                <w:szCs w:val="20"/>
              </w:rPr>
            </w:pPr>
            <w:r w:rsidRPr="005C7A5B">
              <w:rPr>
                <w:rFonts w:cs="Times New Roman"/>
                <w:sz w:val="20"/>
                <w:szCs w:val="20"/>
              </w:rPr>
              <w:t>6.53</w:t>
            </w:r>
          </w:p>
        </w:tc>
        <w:tc>
          <w:tcPr>
            <w:tcW w:w="549" w:type="pct"/>
          </w:tcPr>
          <w:p w14:paraId="70F97F0A" w14:textId="77777777" w:rsidR="00E91BC9" w:rsidRPr="005C7A5B" w:rsidRDefault="00E91BC9" w:rsidP="005C7A5B">
            <w:pPr>
              <w:spacing w:after="0" w:line="240" w:lineRule="auto"/>
              <w:ind w:left="48"/>
              <w:jc w:val="both"/>
              <w:rPr>
                <w:rFonts w:cs="Times New Roman"/>
                <w:sz w:val="20"/>
                <w:szCs w:val="20"/>
              </w:rPr>
            </w:pPr>
            <w:r w:rsidRPr="005C7A5B">
              <w:rPr>
                <w:rFonts w:cs="Times New Roman"/>
                <w:sz w:val="20"/>
                <w:szCs w:val="20"/>
              </w:rPr>
              <w:t>0.000</w:t>
            </w:r>
          </w:p>
        </w:tc>
        <w:tc>
          <w:tcPr>
            <w:tcW w:w="842" w:type="pct"/>
          </w:tcPr>
          <w:p w14:paraId="2E8B93DA" w14:textId="77777777" w:rsidR="00E91BC9" w:rsidRPr="005C7A5B" w:rsidRDefault="00E91BC9" w:rsidP="005C7A5B">
            <w:pPr>
              <w:spacing w:after="0" w:line="240" w:lineRule="auto"/>
              <w:ind w:left="87"/>
              <w:jc w:val="both"/>
              <w:rPr>
                <w:rFonts w:cs="Times New Roman"/>
                <w:sz w:val="20"/>
                <w:szCs w:val="20"/>
              </w:rPr>
            </w:pPr>
            <w:r w:rsidRPr="005C7A5B">
              <w:rPr>
                <w:rFonts w:cs="Times New Roman"/>
                <w:sz w:val="20"/>
                <w:szCs w:val="20"/>
              </w:rPr>
              <w:t>.2409812     .447655</w:t>
            </w:r>
          </w:p>
        </w:tc>
      </w:tr>
    </w:tbl>
    <w:bookmarkEnd w:id="16"/>
    <w:p w14:paraId="47F1E61D" w14:textId="14476B7B" w:rsidR="0051368D" w:rsidRPr="0051368D" w:rsidRDefault="0051368D" w:rsidP="0051368D">
      <w:pPr>
        <w:spacing w:line="480" w:lineRule="auto"/>
        <w:jc w:val="both"/>
        <w:rPr>
          <w:rFonts w:cs="Times New Roman"/>
          <w:szCs w:val="24"/>
        </w:rPr>
      </w:pPr>
      <w:r>
        <w:rPr>
          <w:rFonts w:cs="Times New Roman"/>
          <w:b/>
          <w:noProof/>
          <w:szCs w:val="24"/>
        </w:rPr>
        <w:t>Source: Author’s computation (2024)</w:t>
      </w:r>
    </w:p>
    <w:p w14:paraId="1A59D54C" w14:textId="278C1E55" w:rsidR="0015660C" w:rsidRDefault="004F1A07" w:rsidP="0070451B">
      <w:pPr>
        <w:spacing w:line="360" w:lineRule="auto"/>
        <w:jc w:val="both"/>
      </w:pPr>
      <w:r>
        <w:t>The structural equation modelling (SEM) results further reinforce this conclusion by confirming the significance of the indirect effects of behavioural biases on SME growth through financial literacy. The SEM estimates demonstrate that the pathway linking behavioural biases to financial literacy and</w:t>
      </w:r>
      <w:r w:rsidR="006F3513">
        <w:t>, subsequently, to SME growth is statistically significant, thereby validating the proposed mediation structure</w:t>
      </w:r>
      <w:r>
        <w:t>. The consistency between the OLS and SEM results strengthens the robustness of the findings and confirms that financial literacy serves as an important transmission mechanism.</w:t>
      </w:r>
    </w:p>
    <w:p w14:paraId="764B3B68" w14:textId="4475D462" w:rsidR="0015660C" w:rsidRDefault="004F1A07" w:rsidP="0070451B">
      <w:pPr>
        <w:spacing w:line="360" w:lineRule="auto"/>
        <w:jc w:val="both"/>
      </w:pPr>
      <w:r>
        <w:lastRenderedPageBreak/>
        <w:t xml:space="preserve">These findings highlight that the effect of behavioural biases on SME growth is not solely dependent on cognitive tendencies but also on the extent to which these tendencies are supported or moderated by financial capability. </w:t>
      </w:r>
    </w:p>
    <w:p w14:paraId="546B4016" w14:textId="3C91570A" w:rsidR="005145AD" w:rsidRPr="005C7A5B" w:rsidRDefault="004F1A07" w:rsidP="0070451B">
      <w:pPr>
        <w:spacing w:line="360" w:lineRule="auto"/>
        <w:jc w:val="both"/>
      </w:pPr>
      <w:r>
        <w:t>Overall, the results provide strong empirical support for the mediating role of financial literacy and confirm that it is a critical link between behavioural biases and SME growth.</w:t>
      </w:r>
    </w:p>
    <w:p w14:paraId="780153C8" w14:textId="3186617D" w:rsidR="0015660C" w:rsidRPr="005145AD" w:rsidRDefault="004F1A07" w:rsidP="0070451B">
      <w:pPr>
        <w:spacing w:line="360" w:lineRule="auto"/>
        <w:jc w:val="both"/>
        <w:rPr>
          <w:b/>
          <w:bCs/>
        </w:rPr>
      </w:pPr>
      <w:r w:rsidRPr="005145AD">
        <w:rPr>
          <w:b/>
          <w:bCs/>
        </w:rPr>
        <w:t>6. Discussion</w:t>
      </w:r>
    </w:p>
    <w:p w14:paraId="7B8925A1" w14:textId="539CF54C" w:rsidR="0015660C" w:rsidRDefault="004F1A07" w:rsidP="0070451B">
      <w:pPr>
        <w:spacing w:line="360" w:lineRule="auto"/>
        <w:jc w:val="both"/>
      </w:pPr>
      <w:r>
        <w:t>The findings of this study provide important insights into the role of behavioural biases and financial literacy in shaping SME growth, particularly within a fragile economic environment. The results confirm that behavioural biases are significant determinants of firm performance, although their effects vary across bias types. More importantly, the study demonstrates that financial literacy serves as a critical mechanism through which these behavioural tendencies are translated into business outcomes.</w:t>
      </w:r>
    </w:p>
    <w:p w14:paraId="512FC9FB" w14:textId="477B34B5" w:rsidR="0015660C" w:rsidRDefault="004F1A07" w:rsidP="00955CDE">
      <w:pPr>
        <w:spacing w:line="360" w:lineRule="auto"/>
        <w:jc w:val="both"/>
      </w:pPr>
      <w:r>
        <w:t>The positive and significant effect of overconfidence bias on SME growth suggests that confidence plays a functional role in entrepreneurial decision-making. This finding is consistent with empirical studies which indicate that overconfidence can stimulate investment and growth by encouraging entrepreneurs to pursue opportunities that might otherwise be perceived as too risky (Simon et al., 2000; Forbes, 2005). Similarly, research by Hmieleski and Baron (2009) shows that entrepreneurial optimism and confidence can enhance firm performance when aligned with appropriate strategic actions. However, the literature also cautions that excessive confidence may lead to overinvestment and poor financial decisions, particularly in the absence of adequate financial control mechanisms. The present findings suggest that in the context of SMEs, overconfidence may be beneficial when supported by strong financial practices.</w:t>
      </w:r>
    </w:p>
    <w:p w14:paraId="76C5E60C" w14:textId="0DC5D4E3" w:rsidR="0015660C" w:rsidRDefault="004F1A07" w:rsidP="00955CDE">
      <w:pPr>
        <w:spacing w:line="360" w:lineRule="auto"/>
        <w:jc w:val="both"/>
      </w:pPr>
      <w:r>
        <w:t xml:space="preserve">The results relating to anchoring and herding biases further highlight the complexity of behavioural influences on firm performance. The weaker and inconsistent effects of anchoring bias observed in this study align with </w:t>
      </w:r>
      <w:r w:rsidR="006F3513">
        <w:t>Baker and Nofsinger's (2002) findings, which</w:t>
      </w:r>
      <w:r>
        <w:t xml:space="preserve"> argue that reliance on initial information may limit adaptive decision-making. Similarly, studies on herding behaviour suggest that imitation-based decisions may reduce uncertainty but can also lead to inefficiencies when entrepreneurs follow incorrect </w:t>
      </w:r>
      <w:r>
        <w:lastRenderedPageBreak/>
        <w:t>or incomplete information (Devenow &amp; Welch, 1996; Chiang &amp; Zheng, 2010). In SME contexts, where access to reliable information is often limited, such biases may have ambiguous effects on performance, as reflected in the present results.</w:t>
      </w:r>
    </w:p>
    <w:p w14:paraId="16E90446" w14:textId="0B56B58E" w:rsidR="0015660C" w:rsidRDefault="004F1A07" w:rsidP="00955CDE">
      <w:pPr>
        <w:spacing w:line="360" w:lineRule="auto"/>
        <w:jc w:val="both"/>
      </w:pPr>
      <w:r>
        <w:t>The findings of the second objective demonstrate that behavioural biases significantly influence financial literacy, thereby confirming that cognitive tendencies extend beyond decision-making to affect financial capability. This result is consistent with studies that emphasise the role of psychological factors in shaping financial behaviour and literacy levels (Aren &amp; Zengin, 2016; Hsu &amp; Shiu, 2010). For instance, Van Rooij et al. (2011) show that individuals’ cognitive characteristics influence their financial knowledge and investment behaviour, while Gervais and Odean (2001) highlight the role of confidence in shaping financial engagement. These studies support the argument that behavioural biases are not merely decision-making distortions but also influence how individuals acquire and apply financial knowledge.</w:t>
      </w:r>
    </w:p>
    <w:p w14:paraId="65C0BD26" w14:textId="31E15BBB" w:rsidR="0015660C" w:rsidRDefault="004F1A07" w:rsidP="00955CDE">
      <w:pPr>
        <w:spacing w:line="360" w:lineRule="auto"/>
        <w:jc w:val="both"/>
      </w:pPr>
      <w:r>
        <w:t xml:space="preserve">The most significant contribution of this study lies in </w:t>
      </w:r>
      <w:r w:rsidR="005F59FC">
        <w:t>confirming</w:t>
      </w:r>
      <w:r>
        <w:t xml:space="preserve"> the mediating role of financial literacy in the relationship between behavioural biases and SME growth. The results indicate that financial literacy has a strong and significant effect on firm performance and that its inclusion in the regression model reduces the impact of behavioural biases. This provides evidence of partial mediation, suggesting that behavioural biases influence SME growth both directly and indirectly through financial capability.</w:t>
      </w:r>
    </w:p>
    <w:p w14:paraId="6669B834" w14:textId="78A074FF" w:rsidR="0015660C" w:rsidRDefault="004F1A07" w:rsidP="00955CDE">
      <w:pPr>
        <w:spacing w:line="360" w:lineRule="auto"/>
        <w:jc w:val="both"/>
      </w:pPr>
      <w:r>
        <w:t>This finding is consistent with empirical studies that identify financial literacy as a key determinant of business performance and a mechanism through which individual characteristics influence financial outcomes. For example, Eniola and Entebang (2015) demonstrate that financial literacy significantly improves SME performance through better financial management practices. Similarly, Wise (2013) finds that financially literate entrepreneurs are more likely to adopt structured financial practices that enhance firm growth. Bruhn and Zia (2013) further show that financial training programs improve business outcomes by strengthening financial skills and decision-making.</w:t>
      </w:r>
    </w:p>
    <w:p w14:paraId="42FBDF86" w14:textId="3EB55931" w:rsidR="0015660C" w:rsidRDefault="004F1A07" w:rsidP="00955CDE">
      <w:pPr>
        <w:spacing w:line="360" w:lineRule="auto"/>
        <w:jc w:val="both"/>
      </w:pPr>
      <w:r>
        <w:lastRenderedPageBreak/>
        <w:t>The mediating role of financial literacy also aligns with studies that emphasise the importance of financial behaviour in translating knowledge into performance outcomes. Hilgert et al. (2003) and Xiao (2016) argue that financial behaviour, rather than knowledge alone, plays a critical role in determining financial outcomes. In the SME context, this implies that the effectiveness of entrepreneurial decision-making depends not only on cognitive orientation but also on the ability to implement decisions through disciplined financial practices.</w:t>
      </w:r>
    </w:p>
    <w:p w14:paraId="45EA374A" w14:textId="44B3C88A" w:rsidR="0015660C" w:rsidRDefault="004F1A07" w:rsidP="00955CDE">
      <w:pPr>
        <w:spacing w:line="360" w:lineRule="auto"/>
        <w:jc w:val="both"/>
      </w:pPr>
      <w:r>
        <w:t xml:space="preserve">From a theoretical perspective, these findings support the integration of behavioural finance and the Resource-Based View. Behavioural finance explains how cognitive biases influence decision-making, while the Resource-Based View emphasises the role of internal capabilities in determining firm performance (Barney, 1991). Financial literacy, particularly financial behaviour, can be seen as a strategic capability that enables firms to effectively implement financial decisions and manage resources. This integrated perspective provides a more comprehensive explanation of SME growth, particularly in environments </w:t>
      </w:r>
      <w:r w:rsidR="006F3513">
        <w:t>with limited external support systems</w:t>
      </w:r>
      <w:r>
        <w:t>.</w:t>
      </w:r>
    </w:p>
    <w:p w14:paraId="57E6F64B" w14:textId="56D7F6FF" w:rsidR="0015660C" w:rsidRDefault="004F1A07" w:rsidP="00955CDE">
      <w:pPr>
        <w:spacing w:line="360" w:lineRule="auto"/>
        <w:jc w:val="both"/>
      </w:pPr>
      <w:r>
        <w:t xml:space="preserve">The findings are particularly relevant in </w:t>
      </w:r>
      <w:r w:rsidR="006F3513">
        <w:t xml:space="preserve">Cameroon, where SMEs operate under </w:t>
      </w:r>
      <w:r>
        <w:t>financial constraints and institutional weaknesses. In such environments, the ability to manage financial resources effectively becomes critical for business survival and growth. The results suggest that improving financial literacy can enhance the effectiveness of entrepreneurial decision-making, thereby mitigating the negative effects of behavioural biases and reinforcing their positive aspects.</w:t>
      </w:r>
    </w:p>
    <w:p w14:paraId="4EDBB5B1" w14:textId="532C9F18" w:rsidR="007F64A9" w:rsidRPr="00D319EA" w:rsidRDefault="004F1A07" w:rsidP="005145AD">
      <w:pPr>
        <w:spacing w:line="360" w:lineRule="auto"/>
        <w:jc w:val="both"/>
      </w:pPr>
      <w:r>
        <w:t xml:space="preserve">Overall, the study demonstrates that behavioural biases are </w:t>
      </w:r>
      <w:r w:rsidR="006F3513">
        <w:t>neither inherently detrimental nor beneficial; rather, their impact on SME growth depends on the firm's level of financial capability</w:t>
      </w:r>
      <w:r>
        <w:t>. Financial literacy serves as a critical link that determines whether behavioural tendencies lead to positive or negative outcomes. This highlights the importance of integrating behavioural and financial perspectives in understanding SME performance.</w:t>
      </w:r>
    </w:p>
    <w:p w14:paraId="712CEF65" w14:textId="77777777" w:rsidR="00D15627" w:rsidRDefault="00D15627" w:rsidP="005145AD">
      <w:pPr>
        <w:spacing w:line="360" w:lineRule="auto"/>
        <w:jc w:val="both"/>
        <w:rPr>
          <w:b/>
          <w:bCs/>
        </w:rPr>
      </w:pPr>
    </w:p>
    <w:p w14:paraId="794B39A9" w14:textId="77777777" w:rsidR="00D15627" w:rsidRDefault="00D15627" w:rsidP="005145AD">
      <w:pPr>
        <w:spacing w:line="360" w:lineRule="auto"/>
        <w:jc w:val="both"/>
        <w:rPr>
          <w:b/>
          <w:bCs/>
        </w:rPr>
      </w:pPr>
    </w:p>
    <w:p w14:paraId="3CF2E959" w14:textId="56022256" w:rsidR="005145AD" w:rsidRPr="005145AD" w:rsidRDefault="005145AD" w:rsidP="005145AD">
      <w:pPr>
        <w:spacing w:line="360" w:lineRule="auto"/>
        <w:jc w:val="both"/>
        <w:rPr>
          <w:b/>
          <w:bCs/>
        </w:rPr>
      </w:pPr>
      <w:r w:rsidRPr="005145AD">
        <w:rPr>
          <w:b/>
          <w:bCs/>
        </w:rPr>
        <w:lastRenderedPageBreak/>
        <w:t xml:space="preserve">7. </w:t>
      </w:r>
      <w:r w:rsidR="00D15627" w:rsidRPr="005C7A5B">
        <w:rPr>
          <w:b/>
          <w:bCs/>
        </w:rPr>
        <w:t>Policy Recommendations</w:t>
      </w:r>
      <w:r w:rsidR="00D15627" w:rsidRPr="005145AD">
        <w:rPr>
          <w:b/>
          <w:bCs/>
        </w:rPr>
        <w:t xml:space="preserve"> </w:t>
      </w:r>
      <w:r w:rsidR="00D15627">
        <w:rPr>
          <w:b/>
          <w:bCs/>
        </w:rPr>
        <w:t xml:space="preserve">and </w:t>
      </w:r>
      <w:r w:rsidRPr="005145AD">
        <w:rPr>
          <w:b/>
          <w:bCs/>
        </w:rPr>
        <w:t>Conclusion</w:t>
      </w:r>
    </w:p>
    <w:p w14:paraId="4DEEC0A4" w14:textId="5EAA528D" w:rsidR="005145AD" w:rsidRDefault="005145AD" w:rsidP="005145AD">
      <w:pPr>
        <w:spacing w:line="360" w:lineRule="auto"/>
        <w:jc w:val="both"/>
      </w:pPr>
      <w:r>
        <w:t xml:space="preserve">The findings provide clear evidence that behavioural biases significantly influence SME growth, although their effects are not uniform across bias types. Overconfidence bias was found to </w:t>
      </w:r>
      <w:r w:rsidR="006F3513">
        <w:t>positively influence firm growth by encouraging risk-taking and opportunity exploitation, while anchoring and herding biases exhibited mixed, context-dependent effects, reflecting their dual roles</w:t>
      </w:r>
      <w:r>
        <w:t xml:space="preserve"> in shaping entrepreneurial decision-making. More importantly, the study established that financial literacy plays a critical intervening role in this relationship. While behavioural biases shape how decisions are made, financial literacy determines how effectively those decisions are implemented within the firm. The findings</w:t>
      </w:r>
      <w:r w:rsidR="006F3513">
        <w:t>, therefore,</w:t>
      </w:r>
      <w:r>
        <w:t xml:space="preserve"> contribute to the literature by providing an integrated perspective that combines behavioural finance and capability-based explanations of firm performance. Rather than treating behavioural biases and financial literacy as independent determinants, the study demonstrates that their interaction is central to understanding SME growth, particularly in fragile economic environments. </w:t>
      </w:r>
    </w:p>
    <w:p w14:paraId="65D03FE7" w14:textId="5BD65C0D" w:rsidR="005C7A5B" w:rsidRPr="00D15627" w:rsidRDefault="005C7A5B" w:rsidP="005C7A5B">
      <w:pPr>
        <w:spacing w:line="360" w:lineRule="auto"/>
        <w:jc w:val="both"/>
        <w:rPr>
          <w:b/>
          <w:bCs/>
        </w:rPr>
      </w:pPr>
      <w:r>
        <w:t xml:space="preserve">There is a need to redesign financial literacy programs to move beyond a narrow focus on financial knowledge toward a more comprehensive approach that emphasises financial behaviour. </w:t>
      </w:r>
      <w:r w:rsidR="0007600C">
        <w:t>Also</w:t>
      </w:r>
      <w:r>
        <w:t xml:space="preserve">, entrepreneurial development initiatives should incorporate behavioural awareness as a core component of training. Since behavioural biases such as overconfidence, anchoring, and herding significantly influence decision-making, educating entrepreneurs about these biases can improve the quality of their financial and strategic decisions. Policymakers should strengthen access to financial advisory and support services for SMEs. Providing access to financial coaching, mentorship programs, and business advisory services can enhance financial capability and improve decision-making outcomes. </w:t>
      </w:r>
    </w:p>
    <w:p w14:paraId="1E1A155C" w14:textId="71E03003" w:rsidR="00A060F2" w:rsidRDefault="00A060F2" w:rsidP="005C7A5B">
      <w:pPr>
        <w:spacing w:line="360" w:lineRule="auto"/>
        <w:jc w:val="both"/>
      </w:pPr>
    </w:p>
    <w:p w14:paraId="409ECA31" w14:textId="26BF913E" w:rsidR="00D319EA" w:rsidRDefault="00D319EA" w:rsidP="005C7A5B">
      <w:pPr>
        <w:spacing w:line="360" w:lineRule="auto"/>
        <w:jc w:val="both"/>
      </w:pPr>
    </w:p>
    <w:p w14:paraId="1E33D064" w14:textId="29696B2D" w:rsidR="00D319EA" w:rsidRDefault="00D319EA" w:rsidP="005C7A5B">
      <w:pPr>
        <w:spacing w:line="360" w:lineRule="auto"/>
        <w:jc w:val="both"/>
      </w:pPr>
    </w:p>
    <w:p w14:paraId="4C4177A3" w14:textId="77777777" w:rsidR="00B9127B" w:rsidRDefault="00B9127B" w:rsidP="005C7A5B">
      <w:pPr>
        <w:spacing w:line="360" w:lineRule="auto"/>
        <w:jc w:val="both"/>
      </w:pPr>
    </w:p>
    <w:p w14:paraId="7613DEF1" w14:textId="331A1F78" w:rsidR="00A060F2" w:rsidRDefault="00A060F2" w:rsidP="00A060F2">
      <w:pPr>
        <w:spacing w:line="360" w:lineRule="auto"/>
        <w:jc w:val="center"/>
        <w:rPr>
          <w:b/>
          <w:bCs/>
        </w:rPr>
      </w:pPr>
      <w:r w:rsidRPr="003A22A6">
        <w:rPr>
          <w:b/>
          <w:bCs/>
        </w:rPr>
        <w:lastRenderedPageBreak/>
        <w:t>Referenc</w:t>
      </w:r>
      <w:r>
        <w:rPr>
          <w:b/>
          <w:bCs/>
        </w:rPr>
        <w:t>es</w:t>
      </w:r>
    </w:p>
    <w:p w14:paraId="735CA8C7" w14:textId="77777777" w:rsidR="00A060F2" w:rsidRPr="00731E3F" w:rsidRDefault="00A060F2" w:rsidP="00A060F2">
      <w:pPr>
        <w:pStyle w:val="Bibliography"/>
        <w:spacing w:line="240" w:lineRule="auto"/>
        <w:rPr>
          <w:rFonts w:cs="Times New Roman"/>
          <w:szCs w:val="24"/>
        </w:rPr>
      </w:pPr>
      <w:bookmarkStart w:id="19" w:name="_Hlk174563866"/>
      <w:r w:rsidRPr="00962009">
        <w:rPr>
          <w:rFonts w:cs="Times New Roman"/>
          <w:szCs w:val="24"/>
          <w:lang w:val="fr-FR"/>
        </w:rPr>
        <w:t xml:space="preserve">Addo, S. D., asante, J., &amp; Mensah, e. (2023). </w:t>
      </w:r>
      <w:r w:rsidRPr="00731E3F">
        <w:rPr>
          <w:rFonts w:cs="Times New Roman"/>
          <w:szCs w:val="24"/>
        </w:rPr>
        <w:t xml:space="preserve">Re-examining the financial literacy – sme growth nexus: fresh evidence from causal mediation analysis. </w:t>
      </w:r>
      <w:r w:rsidRPr="00731E3F">
        <w:rPr>
          <w:rFonts w:cs="Times New Roman"/>
          <w:i/>
          <w:iCs/>
          <w:szCs w:val="24"/>
        </w:rPr>
        <w:t>International journal of business, management and economics</w:t>
      </w:r>
      <w:r w:rsidRPr="00731E3F">
        <w:rPr>
          <w:rFonts w:cs="Times New Roman"/>
          <w:szCs w:val="24"/>
        </w:rPr>
        <w:t xml:space="preserve">, </w:t>
      </w:r>
      <w:r w:rsidRPr="00731E3F">
        <w:rPr>
          <w:rFonts w:cs="Times New Roman"/>
          <w:i/>
          <w:iCs/>
          <w:szCs w:val="24"/>
        </w:rPr>
        <w:t>4</w:t>
      </w:r>
      <w:r w:rsidRPr="00731E3F">
        <w:rPr>
          <w:rFonts w:cs="Times New Roman"/>
          <w:szCs w:val="24"/>
        </w:rPr>
        <w:t>(3), 185–202. Https://doi.org/10.47747/ijbme.v4i3.1225</w:t>
      </w:r>
    </w:p>
    <w:bookmarkEnd w:id="19"/>
    <w:p w14:paraId="44C3C36B"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Antony, J. (2022). </w:t>
      </w:r>
      <w:r w:rsidRPr="00731E3F">
        <w:rPr>
          <w:rFonts w:cs="Times New Roman"/>
          <w:i/>
          <w:iCs/>
          <w:szCs w:val="24"/>
        </w:rPr>
        <w:t>The mediating effect of financial literacy on personality traits and investment decisions – a study among stock market investors in kerala</w:t>
      </w:r>
      <w:r w:rsidRPr="00731E3F">
        <w:rPr>
          <w:rFonts w:cs="Times New Roman"/>
          <w:szCs w:val="24"/>
        </w:rPr>
        <w:t xml:space="preserve">. </w:t>
      </w:r>
      <w:r w:rsidRPr="00731E3F">
        <w:rPr>
          <w:rFonts w:cs="Times New Roman"/>
          <w:i/>
          <w:iCs/>
          <w:szCs w:val="24"/>
        </w:rPr>
        <w:t>30</w:t>
      </w:r>
      <w:r w:rsidRPr="00731E3F">
        <w:rPr>
          <w:rFonts w:cs="Times New Roman"/>
          <w:szCs w:val="24"/>
        </w:rPr>
        <w:t>.</w:t>
      </w:r>
    </w:p>
    <w:p w14:paraId="252CB3B8" w14:textId="77777777" w:rsidR="00A060F2" w:rsidRDefault="00A060F2" w:rsidP="00A060F2">
      <w:pPr>
        <w:pStyle w:val="Bibliography"/>
        <w:spacing w:line="240" w:lineRule="auto"/>
        <w:rPr>
          <w:rFonts w:cs="Times New Roman"/>
          <w:szCs w:val="24"/>
        </w:rPr>
      </w:pPr>
      <w:r w:rsidRPr="00731E3F">
        <w:rPr>
          <w:rFonts w:cs="Times New Roman"/>
          <w:szCs w:val="24"/>
        </w:rPr>
        <w:t xml:space="preserve">Apochi, J. G., Ahmed, N. M., Okpanachi, J., &amp; Agbi, S. E. (2024). Herding bias and financial risk tolerance on individual investment performance in nigeria: moderated by financial literacy. </w:t>
      </w:r>
      <w:r w:rsidRPr="00731E3F">
        <w:rPr>
          <w:rFonts w:cs="Times New Roman"/>
          <w:i/>
          <w:iCs/>
          <w:szCs w:val="24"/>
        </w:rPr>
        <w:t>International journal of business and management review</w:t>
      </w:r>
      <w:r w:rsidRPr="00731E3F">
        <w:rPr>
          <w:rFonts w:cs="Times New Roman"/>
          <w:szCs w:val="24"/>
        </w:rPr>
        <w:t xml:space="preserve">, </w:t>
      </w:r>
      <w:r w:rsidRPr="00731E3F">
        <w:rPr>
          <w:rFonts w:cs="Times New Roman"/>
          <w:i/>
          <w:iCs/>
          <w:szCs w:val="24"/>
        </w:rPr>
        <w:t>12</w:t>
      </w:r>
      <w:r w:rsidRPr="00731E3F">
        <w:rPr>
          <w:rFonts w:cs="Times New Roman"/>
          <w:szCs w:val="24"/>
        </w:rPr>
        <w:t xml:space="preserve">(3), 1–17. </w:t>
      </w:r>
      <w:hyperlink r:id="rId6" w:history="1">
        <w:r w:rsidRPr="00186C16">
          <w:rPr>
            <w:rStyle w:val="Hyperlink"/>
            <w:rFonts w:cs="Times New Roman"/>
            <w:color w:val="auto"/>
            <w:szCs w:val="24"/>
            <w:u w:val="none"/>
          </w:rPr>
          <w:t>Https://doi.org/10.37745/ijbmr.2013/vol12n3117</w:t>
        </w:r>
      </w:hyperlink>
    </w:p>
    <w:p w14:paraId="3EF75723" w14:textId="77777777" w:rsidR="00A060F2" w:rsidRDefault="00A060F2" w:rsidP="00A060F2">
      <w:pPr>
        <w:spacing w:line="240" w:lineRule="auto"/>
        <w:jc w:val="both"/>
      </w:pPr>
      <w:r w:rsidRPr="00186C16">
        <w:t>Aren, S., &amp; Zengin, A. N. (2016). Influence of financial literacy and risk perception on choice of investment. </w:t>
      </w:r>
      <w:r w:rsidRPr="00186C16">
        <w:rPr>
          <w:i/>
          <w:iCs/>
        </w:rPr>
        <w:t>Procedia-Social and Behavioral Sciences</w:t>
      </w:r>
      <w:r w:rsidRPr="00186C16">
        <w:t>, </w:t>
      </w:r>
      <w:r w:rsidRPr="00186C16">
        <w:rPr>
          <w:i/>
          <w:iCs/>
        </w:rPr>
        <w:t>235</w:t>
      </w:r>
      <w:r w:rsidRPr="00186C16">
        <w:t>, 656-663.</w:t>
      </w:r>
    </w:p>
    <w:p w14:paraId="31D6A385"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Bakar, S. W., Ghasarma, R., &amp; Maulana, A. (2020). Financial literacy, risk perception and cashless services. </w:t>
      </w:r>
      <w:r w:rsidRPr="00731E3F">
        <w:rPr>
          <w:rFonts w:cs="Times New Roman"/>
          <w:i/>
          <w:iCs/>
          <w:szCs w:val="24"/>
        </w:rPr>
        <w:t>Proceedings of the 5th sriwijaya economics, accounting, and business conference (seabc 2019)</w:t>
      </w:r>
      <w:r w:rsidRPr="00731E3F">
        <w:rPr>
          <w:rFonts w:cs="Times New Roman"/>
          <w:szCs w:val="24"/>
        </w:rPr>
        <w:t>. 5th sriwijaya economics, accounting, and business conference (seabc 2019), palembang, indonesia. Https://doi.org/10.2991/aebmr.k.200520.026</w:t>
      </w:r>
    </w:p>
    <w:p w14:paraId="124BFBF0" w14:textId="77777777" w:rsidR="00A060F2" w:rsidRDefault="00A060F2" w:rsidP="00A060F2">
      <w:pPr>
        <w:spacing w:line="240" w:lineRule="auto"/>
        <w:jc w:val="both"/>
      </w:pPr>
      <w:r w:rsidRPr="00421033">
        <w:t>Baker, H. K., &amp; Nofsinger, J. R. (2002). Psychological biases of investors. </w:t>
      </w:r>
      <w:r w:rsidRPr="00421033">
        <w:rPr>
          <w:i/>
          <w:iCs/>
        </w:rPr>
        <w:t>Financial services review</w:t>
      </w:r>
      <w:r w:rsidRPr="00421033">
        <w:t>, </w:t>
      </w:r>
      <w:r w:rsidRPr="00421033">
        <w:rPr>
          <w:i/>
          <w:iCs/>
        </w:rPr>
        <w:t>11</w:t>
      </w:r>
      <w:r w:rsidRPr="00421033">
        <w:t>(2), 97-116.</w:t>
      </w:r>
    </w:p>
    <w:p w14:paraId="080CD8C5" w14:textId="77777777" w:rsidR="00A060F2" w:rsidRDefault="00A060F2" w:rsidP="00A060F2">
      <w:pPr>
        <w:spacing w:line="240" w:lineRule="auto"/>
        <w:jc w:val="both"/>
      </w:pPr>
      <w:r w:rsidRPr="003A22A6">
        <w:t>Baron, R. A. (2007). Behavioral and cognitive factors in entrepreneurship: Entrepreneurs as the active element in new venture creation. </w:t>
      </w:r>
      <w:r w:rsidRPr="003A22A6">
        <w:rPr>
          <w:i/>
          <w:iCs/>
        </w:rPr>
        <w:t>Strategic entrepreneurship journal</w:t>
      </w:r>
      <w:r w:rsidRPr="003A22A6">
        <w:t>, </w:t>
      </w:r>
      <w:r w:rsidRPr="003A22A6">
        <w:rPr>
          <w:i/>
          <w:iCs/>
        </w:rPr>
        <w:t>1</w:t>
      </w:r>
      <w:r w:rsidRPr="003A22A6">
        <w:t>(1‐2), 167-182.</w:t>
      </w:r>
    </w:p>
    <w:p w14:paraId="6FE4A1FB" w14:textId="77777777" w:rsidR="00A060F2" w:rsidRDefault="00A060F2" w:rsidP="00A060F2">
      <w:pPr>
        <w:spacing w:line="240" w:lineRule="auto"/>
        <w:jc w:val="both"/>
      </w:pPr>
      <w:r w:rsidRPr="003A22A6">
        <w:t>Beck, T., &amp; Demirguc-Kunt, A. (2006). Small and medium-size enterprises: Access to finance as a growth constraint. </w:t>
      </w:r>
      <w:r w:rsidRPr="003A22A6">
        <w:rPr>
          <w:i/>
          <w:iCs/>
        </w:rPr>
        <w:t>Journal of Banking &amp; finance</w:t>
      </w:r>
      <w:r w:rsidRPr="003A22A6">
        <w:t>, </w:t>
      </w:r>
      <w:r w:rsidRPr="003A22A6">
        <w:rPr>
          <w:i/>
          <w:iCs/>
        </w:rPr>
        <w:t>30</w:t>
      </w:r>
      <w:r w:rsidRPr="003A22A6">
        <w:t>(11), 2931-2943.</w:t>
      </w:r>
    </w:p>
    <w:p w14:paraId="3126FEAA" w14:textId="77777777" w:rsidR="00A060F2" w:rsidRDefault="00A060F2" w:rsidP="00A060F2">
      <w:pPr>
        <w:pStyle w:val="Bibliography"/>
        <w:spacing w:line="240" w:lineRule="auto"/>
        <w:rPr>
          <w:rFonts w:cs="Times New Roman"/>
          <w:szCs w:val="24"/>
          <w:shd w:val="clear" w:color="auto" w:fill="FFFFFF"/>
        </w:rPr>
      </w:pPr>
      <w:r w:rsidRPr="00731E3F">
        <w:rPr>
          <w:rFonts w:cs="Times New Roman"/>
          <w:szCs w:val="24"/>
          <w:shd w:val="clear" w:color="auto" w:fill="FFFFFF"/>
        </w:rPr>
        <w:t>Bruhn, M., Karlan, D., &amp; Schoar, A. (2018). The impact of consulting services on small and medium enterprises: Evidence from a randomized trial in Mexico. </w:t>
      </w:r>
      <w:r w:rsidRPr="00731E3F">
        <w:rPr>
          <w:rFonts w:cs="Times New Roman"/>
          <w:i/>
          <w:iCs/>
          <w:szCs w:val="24"/>
          <w:shd w:val="clear" w:color="auto" w:fill="FFFFFF"/>
        </w:rPr>
        <w:t>Journal of Political Economy</w:t>
      </w:r>
      <w:r w:rsidRPr="00731E3F">
        <w:rPr>
          <w:rFonts w:cs="Times New Roman"/>
          <w:szCs w:val="24"/>
          <w:shd w:val="clear" w:color="auto" w:fill="FFFFFF"/>
        </w:rPr>
        <w:t>, </w:t>
      </w:r>
      <w:r w:rsidRPr="00731E3F">
        <w:rPr>
          <w:rFonts w:cs="Times New Roman"/>
          <w:i/>
          <w:iCs/>
          <w:szCs w:val="24"/>
          <w:shd w:val="clear" w:color="auto" w:fill="FFFFFF"/>
        </w:rPr>
        <w:t>126</w:t>
      </w:r>
      <w:r w:rsidRPr="00731E3F">
        <w:rPr>
          <w:rFonts w:cs="Times New Roman"/>
          <w:szCs w:val="24"/>
          <w:shd w:val="clear" w:color="auto" w:fill="FFFFFF"/>
        </w:rPr>
        <w:t>(2), 635-687.</w:t>
      </w:r>
    </w:p>
    <w:p w14:paraId="40048990" w14:textId="77777777" w:rsidR="00A060F2" w:rsidRDefault="00A060F2" w:rsidP="00A060F2">
      <w:pPr>
        <w:spacing w:line="240" w:lineRule="auto"/>
        <w:jc w:val="both"/>
      </w:pPr>
      <w:r w:rsidRPr="00186C16">
        <w:t>Chiang, T. C., &amp; Zheng, D. (2010). An empirical analysis of herd behavior in global stock markets. </w:t>
      </w:r>
      <w:r w:rsidRPr="00186C16">
        <w:rPr>
          <w:i/>
          <w:iCs/>
        </w:rPr>
        <w:t>Journal of Banking &amp; Finance</w:t>
      </w:r>
      <w:r w:rsidRPr="00186C16">
        <w:t>, </w:t>
      </w:r>
      <w:r w:rsidRPr="00186C16">
        <w:rPr>
          <w:i/>
          <w:iCs/>
        </w:rPr>
        <w:t>34</w:t>
      </w:r>
      <w:r w:rsidRPr="00186C16">
        <w:t>(8), 1911-1921.</w:t>
      </w:r>
    </w:p>
    <w:p w14:paraId="091E2FEF" w14:textId="77777777" w:rsidR="00A060F2" w:rsidRDefault="00A060F2" w:rsidP="00A060F2">
      <w:pPr>
        <w:spacing w:line="240" w:lineRule="auto"/>
        <w:jc w:val="both"/>
      </w:pPr>
      <w:r w:rsidRPr="00186C16">
        <w:t>Devenow, A., &amp; Welch, I. (1996). Rational herding in financial economics. </w:t>
      </w:r>
      <w:r w:rsidRPr="00186C16">
        <w:rPr>
          <w:i/>
          <w:iCs/>
        </w:rPr>
        <w:t>European economic review</w:t>
      </w:r>
      <w:r w:rsidRPr="00186C16">
        <w:t>, </w:t>
      </w:r>
      <w:r w:rsidRPr="00186C16">
        <w:rPr>
          <w:i/>
          <w:iCs/>
        </w:rPr>
        <w:t>40</w:t>
      </w:r>
      <w:r w:rsidRPr="00186C16">
        <w:t>(3-5), 603-615.</w:t>
      </w:r>
    </w:p>
    <w:p w14:paraId="66219666" w14:textId="77777777" w:rsidR="00A060F2" w:rsidRDefault="00A060F2" w:rsidP="00A060F2">
      <w:pPr>
        <w:spacing w:line="240" w:lineRule="auto"/>
        <w:jc w:val="both"/>
      </w:pPr>
      <w:r w:rsidRPr="003A22A6">
        <w:rPr>
          <w:lang w:val="fr-FR"/>
        </w:rPr>
        <w:t xml:space="preserve">Eniola, A. A., &amp; Entebang, H. (2015). </w:t>
      </w:r>
      <w:r w:rsidRPr="003A22A6">
        <w:t>SME firm performance-financial innovation and challenges. </w:t>
      </w:r>
      <w:r w:rsidRPr="003A22A6">
        <w:rPr>
          <w:i/>
          <w:iCs/>
        </w:rPr>
        <w:t>Procedia-Social and Behavioral Sciences</w:t>
      </w:r>
      <w:r w:rsidRPr="003A22A6">
        <w:t>, </w:t>
      </w:r>
      <w:r w:rsidRPr="003A22A6">
        <w:rPr>
          <w:i/>
          <w:iCs/>
        </w:rPr>
        <w:t>195</w:t>
      </w:r>
      <w:r w:rsidRPr="003A22A6">
        <w:t>, 334-342.</w:t>
      </w:r>
    </w:p>
    <w:p w14:paraId="3193B833" w14:textId="77777777" w:rsidR="00A060F2" w:rsidRPr="00731E3F" w:rsidRDefault="00A060F2" w:rsidP="00A060F2">
      <w:pPr>
        <w:pStyle w:val="Bibliography"/>
        <w:spacing w:line="240" w:lineRule="auto"/>
        <w:rPr>
          <w:rFonts w:cs="Times New Roman"/>
          <w:szCs w:val="24"/>
          <w:shd w:val="clear" w:color="auto" w:fill="FFFFFF"/>
        </w:rPr>
      </w:pPr>
      <w:r w:rsidRPr="00731E3F">
        <w:rPr>
          <w:rFonts w:cs="Times New Roman"/>
          <w:szCs w:val="24"/>
          <w:shd w:val="clear" w:color="auto" w:fill="FFFFFF"/>
        </w:rPr>
        <w:t>Fatoki, O. (2014). The financial literacy of micro entrepreneurs in South Africa. </w:t>
      </w:r>
      <w:r w:rsidRPr="00731E3F">
        <w:rPr>
          <w:rFonts w:cs="Times New Roman"/>
          <w:i/>
          <w:iCs/>
          <w:szCs w:val="24"/>
          <w:shd w:val="clear" w:color="auto" w:fill="FFFFFF"/>
        </w:rPr>
        <w:t>Journal of social sciences</w:t>
      </w:r>
      <w:r w:rsidRPr="00731E3F">
        <w:rPr>
          <w:rFonts w:cs="Times New Roman"/>
          <w:szCs w:val="24"/>
          <w:shd w:val="clear" w:color="auto" w:fill="FFFFFF"/>
        </w:rPr>
        <w:t>, </w:t>
      </w:r>
      <w:r w:rsidRPr="00731E3F">
        <w:rPr>
          <w:rFonts w:cs="Times New Roman"/>
          <w:i/>
          <w:iCs/>
          <w:szCs w:val="24"/>
          <w:shd w:val="clear" w:color="auto" w:fill="FFFFFF"/>
        </w:rPr>
        <w:t>40</w:t>
      </w:r>
      <w:r w:rsidRPr="00731E3F">
        <w:rPr>
          <w:rFonts w:cs="Times New Roman"/>
          <w:szCs w:val="24"/>
          <w:shd w:val="clear" w:color="auto" w:fill="FFFFFF"/>
        </w:rPr>
        <w:t>(2), 151-158.</w:t>
      </w:r>
    </w:p>
    <w:p w14:paraId="0B0E3AA5" w14:textId="77777777" w:rsidR="00A060F2" w:rsidRPr="00731E3F" w:rsidRDefault="00A060F2" w:rsidP="00A060F2">
      <w:pPr>
        <w:pStyle w:val="Bibliography"/>
        <w:spacing w:line="240" w:lineRule="auto"/>
        <w:rPr>
          <w:rFonts w:cs="Times New Roman"/>
          <w:szCs w:val="24"/>
        </w:rPr>
      </w:pPr>
      <w:bookmarkStart w:id="20" w:name="_Hlk174564504"/>
      <w:r w:rsidRPr="00731E3F">
        <w:rPr>
          <w:rFonts w:cs="Times New Roman"/>
          <w:szCs w:val="24"/>
        </w:rPr>
        <w:lastRenderedPageBreak/>
        <w:t xml:space="preserve">Gentile, M., linciano, N., Lucarelli, C., &amp; Soccorso, P. (2015a). Financial disclosure, risk perception and investment choices: evidence from a consumer testing exercise. </w:t>
      </w:r>
      <w:r w:rsidRPr="00731E3F">
        <w:rPr>
          <w:rFonts w:cs="Times New Roman"/>
          <w:i/>
          <w:iCs/>
          <w:szCs w:val="24"/>
        </w:rPr>
        <w:t>Ssrn electronic journal</w:t>
      </w:r>
      <w:r w:rsidRPr="00731E3F">
        <w:rPr>
          <w:rFonts w:cs="Times New Roman"/>
          <w:szCs w:val="24"/>
        </w:rPr>
        <w:t>. Https://doi.org/10.2139/ssrn.2616277</w:t>
      </w:r>
    </w:p>
    <w:bookmarkEnd w:id="20"/>
    <w:p w14:paraId="3BEC95AC" w14:textId="77777777" w:rsidR="00A060F2" w:rsidRDefault="00A060F2" w:rsidP="00A060F2">
      <w:pPr>
        <w:spacing w:line="240" w:lineRule="auto"/>
        <w:jc w:val="both"/>
      </w:pPr>
      <w:r w:rsidRPr="00186C16">
        <w:t>Gervais, S., &amp; Odean, T. (2001). Learning to be overconfident. </w:t>
      </w:r>
      <w:r w:rsidRPr="00186C16">
        <w:rPr>
          <w:i/>
          <w:iCs/>
        </w:rPr>
        <w:t>The review of financial studies</w:t>
      </w:r>
      <w:r w:rsidRPr="00186C16">
        <w:t>, </w:t>
      </w:r>
      <w:r w:rsidRPr="00186C16">
        <w:rPr>
          <w:i/>
          <w:iCs/>
        </w:rPr>
        <w:t>14</w:t>
      </w:r>
      <w:r w:rsidRPr="00186C16">
        <w:t>(1), 1-27.</w:t>
      </w:r>
    </w:p>
    <w:p w14:paraId="7E36B721"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Hidayati, S. A., Wahyulina, S., &amp; Suryani, e. (2021a). The effect of financial attitude and financial knowledge on company performance with financial decisions as intervening variables: a behavioral finance perspective. </w:t>
      </w:r>
      <w:r w:rsidRPr="00731E3F">
        <w:rPr>
          <w:rFonts w:cs="Times New Roman"/>
          <w:i/>
          <w:iCs/>
          <w:szCs w:val="24"/>
        </w:rPr>
        <w:t>Jmm unram - master of management journal</w:t>
      </w:r>
      <w:r w:rsidRPr="00731E3F">
        <w:rPr>
          <w:rFonts w:cs="Times New Roman"/>
          <w:szCs w:val="24"/>
        </w:rPr>
        <w:t xml:space="preserve">, </w:t>
      </w:r>
      <w:r w:rsidRPr="00731E3F">
        <w:rPr>
          <w:rFonts w:cs="Times New Roman"/>
          <w:i/>
          <w:iCs/>
          <w:szCs w:val="24"/>
        </w:rPr>
        <w:t>10</w:t>
      </w:r>
      <w:r w:rsidRPr="00731E3F">
        <w:rPr>
          <w:rFonts w:cs="Times New Roman"/>
          <w:szCs w:val="24"/>
        </w:rPr>
        <w:t>(1), 1–14. Https://doi.org/10.29303/jmm.v10i1.635</w:t>
      </w:r>
    </w:p>
    <w:p w14:paraId="141C706A" w14:textId="77777777" w:rsidR="00A060F2" w:rsidRPr="00731E3F" w:rsidRDefault="00A060F2" w:rsidP="00A060F2">
      <w:pPr>
        <w:pStyle w:val="Bibliography"/>
        <w:spacing w:line="240" w:lineRule="auto"/>
        <w:rPr>
          <w:rFonts w:cs="Times New Roman"/>
          <w:szCs w:val="24"/>
        </w:rPr>
      </w:pPr>
      <w:r w:rsidRPr="00731E3F">
        <w:rPr>
          <w:rFonts w:cs="Times New Roman"/>
          <w:szCs w:val="24"/>
          <w:shd w:val="clear" w:color="auto" w:fill="FFFFFF"/>
        </w:rPr>
        <w:t>Hilgert, M. A., Hogarth, J. M., &amp; Beverly, S. G. (2003). Household financial management: The connection between knowledge and behavior. </w:t>
      </w:r>
      <w:r w:rsidRPr="00731E3F">
        <w:rPr>
          <w:rFonts w:cs="Times New Roman"/>
          <w:i/>
          <w:iCs/>
          <w:szCs w:val="24"/>
          <w:shd w:val="clear" w:color="auto" w:fill="FFFFFF"/>
        </w:rPr>
        <w:t>Fed. Res. Bull.</w:t>
      </w:r>
      <w:r w:rsidRPr="00731E3F">
        <w:rPr>
          <w:rFonts w:cs="Times New Roman"/>
          <w:szCs w:val="24"/>
          <w:shd w:val="clear" w:color="auto" w:fill="FFFFFF"/>
        </w:rPr>
        <w:t>, </w:t>
      </w:r>
      <w:r w:rsidRPr="00731E3F">
        <w:rPr>
          <w:rFonts w:cs="Times New Roman"/>
          <w:i/>
          <w:iCs/>
          <w:szCs w:val="24"/>
          <w:shd w:val="clear" w:color="auto" w:fill="FFFFFF"/>
        </w:rPr>
        <w:t>89</w:t>
      </w:r>
      <w:r w:rsidRPr="00731E3F">
        <w:rPr>
          <w:rFonts w:cs="Times New Roman"/>
          <w:szCs w:val="24"/>
          <w:shd w:val="clear" w:color="auto" w:fill="FFFFFF"/>
        </w:rPr>
        <w:t>, 309.</w:t>
      </w:r>
      <w:r w:rsidRPr="00731E3F">
        <w:rPr>
          <w:rFonts w:cs="Times New Roman"/>
          <w:szCs w:val="24"/>
        </w:rPr>
        <w:t xml:space="preserve"> </w:t>
      </w:r>
    </w:p>
    <w:p w14:paraId="22115D10" w14:textId="77777777" w:rsidR="00A060F2" w:rsidRDefault="00A060F2" w:rsidP="00A060F2">
      <w:pPr>
        <w:spacing w:line="240" w:lineRule="auto"/>
        <w:rPr>
          <w:rFonts w:cs="Times New Roman"/>
          <w:szCs w:val="24"/>
        </w:rPr>
      </w:pPr>
      <w:r w:rsidRPr="00731E3F">
        <w:rPr>
          <w:rFonts w:cs="Times New Roman"/>
          <w:szCs w:val="24"/>
        </w:rPr>
        <w:t xml:space="preserve">Hossain, M. (2020). </w:t>
      </w:r>
      <w:r w:rsidRPr="00731E3F">
        <w:rPr>
          <w:rFonts w:cs="Times New Roman"/>
          <w:i/>
          <w:iCs/>
          <w:szCs w:val="24"/>
        </w:rPr>
        <w:t>Financial resources, financial literacy and small firm growth: does private organizations</w:t>
      </w:r>
      <w:r w:rsidRPr="00731E3F">
        <w:rPr>
          <w:rFonts w:cs="Times New Roman"/>
          <w:szCs w:val="24"/>
        </w:rPr>
        <w:t xml:space="preserve">. </w:t>
      </w:r>
      <w:r w:rsidRPr="00731E3F">
        <w:rPr>
          <w:rFonts w:cs="Times New Roman"/>
          <w:i/>
          <w:iCs/>
          <w:szCs w:val="24"/>
        </w:rPr>
        <w:t>30</w:t>
      </w:r>
      <w:r w:rsidRPr="00731E3F">
        <w:rPr>
          <w:rFonts w:cs="Times New Roman"/>
          <w:szCs w:val="24"/>
        </w:rPr>
        <w:t>(2)</w:t>
      </w:r>
    </w:p>
    <w:p w14:paraId="0F2BFE64" w14:textId="77777777" w:rsidR="00A060F2" w:rsidRDefault="00A060F2" w:rsidP="00A060F2">
      <w:pPr>
        <w:spacing w:line="240" w:lineRule="auto"/>
        <w:jc w:val="both"/>
      </w:pPr>
      <w:r w:rsidRPr="00421033">
        <w:t>Hsu, Y., &amp; Shiu, C. Y. (2010). The overconfidence of investors in the primary market. </w:t>
      </w:r>
      <w:r w:rsidRPr="00421033">
        <w:rPr>
          <w:i/>
          <w:iCs/>
        </w:rPr>
        <w:t>Pacific-Basin Finance Journal</w:t>
      </w:r>
      <w:r w:rsidRPr="00421033">
        <w:t>, </w:t>
      </w:r>
      <w:r w:rsidRPr="00421033">
        <w:rPr>
          <w:i/>
          <w:iCs/>
        </w:rPr>
        <w:t>18</w:t>
      </w:r>
      <w:r w:rsidRPr="00421033">
        <w:t>(2), 217-239.</w:t>
      </w:r>
    </w:p>
    <w:p w14:paraId="25CAF20F" w14:textId="77777777" w:rsidR="00A060F2" w:rsidRDefault="00A060F2" w:rsidP="00A060F2">
      <w:pPr>
        <w:spacing w:line="240" w:lineRule="auto"/>
        <w:jc w:val="both"/>
      </w:pPr>
      <w:r w:rsidRPr="00186C16">
        <w:t>Huston, S. J. (2010). Measuring financial literacy. </w:t>
      </w:r>
      <w:r w:rsidRPr="00186C16">
        <w:rPr>
          <w:i/>
          <w:iCs/>
        </w:rPr>
        <w:t>Journal of consumer affairs</w:t>
      </w:r>
      <w:r w:rsidRPr="00186C16">
        <w:t>, </w:t>
      </w:r>
      <w:r w:rsidRPr="00186C16">
        <w:rPr>
          <w:i/>
          <w:iCs/>
        </w:rPr>
        <w:t>44</w:t>
      </w:r>
      <w:r w:rsidRPr="00186C16">
        <w:t>(2), 296-316.</w:t>
      </w:r>
    </w:p>
    <w:p w14:paraId="75B4F7F9" w14:textId="77777777" w:rsidR="00A060F2" w:rsidRDefault="00A060F2" w:rsidP="00A060F2">
      <w:pPr>
        <w:spacing w:line="240" w:lineRule="auto"/>
        <w:jc w:val="both"/>
      </w:pPr>
      <w:r w:rsidRPr="00186C16">
        <w:t>Iram, T., Bilal, A. R., &amp; Ahmad, Z. (2023). Investigating the mediating role of financial literacy on the relationship between women entrepreneurs' behavioral biases and investment decision making. </w:t>
      </w:r>
      <w:r w:rsidRPr="00186C16">
        <w:rPr>
          <w:i/>
          <w:iCs/>
        </w:rPr>
        <w:t>Gadjah Mada International Journal of Business</w:t>
      </w:r>
      <w:r w:rsidRPr="00186C16">
        <w:t>, </w:t>
      </w:r>
      <w:r w:rsidRPr="00186C16">
        <w:rPr>
          <w:i/>
          <w:iCs/>
        </w:rPr>
        <w:t>25</w:t>
      </w:r>
      <w:r w:rsidRPr="00186C16">
        <w:t>(1), 93-118.</w:t>
      </w:r>
    </w:p>
    <w:p w14:paraId="3A99F315" w14:textId="77777777" w:rsidR="00A060F2" w:rsidRDefault="00A060F2" w:rsidP="00A060F2">
      <w:pPr>
        <w:spacing w:line="240" w:lineRule="auto"/>
        <w:jc w:val="both"/>
      </w:pPr>
      <w:r w:rsidRPr="003A22A6">
        <w:t>Kahneman, T. (1979). D. kahneman, a. tversky. </w:t>
      </w:r>
      <w:r w:rsidRPr="003A22A6">
        <w:rPr>
          <w:i/>
          <w:iCs/>
        </w:rPr>
        <w:t>Prospect theory: An analysis of decisions under risk</w:t>
      </w:r>
      <w:r w:rsidRPr="003A22A6">
        <w:t>, 263-291.</w:t>
      </w:r>
    </w:p>
    <w:p w14:paraId="3F0F4E90"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Khan, D. (2020). Cognitive driven biases, investment decision making: the moderating role of financial literacy. </w:t>
      </w:r>
      <w:r w:rsidRPr="00731E3F">
        <w:rPr>
          <w:rFonts w:cs="Times New Roman"/>
          <w:i/>
          <w:iCs/>
          <w:szCs w:val="24"/>
        </w:rPr>
        <w:t>Ssrn electronic journal</w:t>
      </w:r>
      <w:r w:rsidRPr="00731E3F">
        <w:rPr>
          <w:rFonts w:cs="Times New Roman"/>
          <w:szCs w:val="24"/>
        </w:rPr>
        <w:t>. Https://doi.org/10.2139/ssrn.3514086</w:t>
      </w:r>
    </w:p>
    <w:p w14:paraId="4945AD4C" w14:textId="77777777" w:rsidR="00A060F2" w:rsidRDefault="00A060F2" w:rsidP="00A060F2">
      <w:pPr>
        <w:spacing w:line="240" w:lineRule="auto"/>
        <w:jc w:val="both"/>
      </w:pPr>
      <w:r w:rsidRPr="00962009">
        <w:rPr>
          <w:lang w:val="fr-FR"/>
        </w:rPr>
        <w:t>Klapper, L. F., Lusardi, A., &amp; Van Oudheusden, P. (2015). </w:t>
      </w:r>
      <w:r w:rsidRPr="009C2981">
        <w:rPr>
          <w:i/>
          <w:iCs/>
        </w:rPr>
        <w:t>Financial literacy around the world: Insights from the Standard &amp; Poor's ratings services global financial literacy survey</w:t>
      </w:r>
      <w:r w:rsidRPr="009C2981">
        <w:t>.</w:t>
      </w:r>
    </w:p>
    <w:p w14:paraId="1116254A" w14:textId="77777777" w:rsidR="00A060F2" w:rsidRPr="00632B75" w:rsidRDefault="00A060F2" w:rsidP="00A060F2">
      <w:pPr>
        <w:pStyle w:val="Bibliography"/>
        <w:spacing w:line="240" w:lineRule="auto"/>
        <w:rPr>
          <w:szCs w:val="24"/>
        </w:rPr>
      </w:pPr>
      <w:r w:rsidRPr="00632B75">
        <w:rPr>
          <w:szCs w:val="24"/>
        </w:rPr>
        <w:t>Lusardi, A., &amp; Mitchell, O. S. (2007). Baby boomer retirement security: The roles of planning, financial literacy, and housing wealth. Journal of Monetary Economics, 54(1), 205–224.</w:t>
      </w:r>
    </w:p>
    <w:p w14:paraId="19A131D8" w14:textId="77777777" w:rsidR="00A060F2" w:rsidRDefault="00A060F2" w:rsidP="00A060F2">
      <w:pPr>
        <w:spacing w:line="240" w:lineRule="auto"/>
        <w:jc w:val="both"/>
      </w:pPr>
      <w:r w:rsidRPr="003A22A6">
        <w:t>Ngek, N. B. (2016). Performance implications of financial capital availability on the financial literacy–performance nexus in South Africa. </w:t>
      </w:r>
      <w:r w:rsidRPr="003A22A6">
        <w:rPr>
          <w:i/>
          <w:iCs/>
        </w:rPr>
        <w:t>Investment management and financial innovations</w:t>
      </w:r>
      <w:r w:rsidRPr="003A22A6">
        <w:t>, (13, Iss. 2 (contin. 2)), 354-362.</w:t>
      </w:r>
    </w:p>
    <w:p w14:paraId="5801FA84" w14:textId="77777777" w:rsidR="00A060F2" w:rsidRPr="00731E3F" w:rsidRDefault="00A060F2" w:rsidP="00A060F2">
      <w:pPr>
        <w:pStyle w:val="Bibliography"/>
        <w:spacing w:line="240" w:lineRule="auto"/>
        <w:rPr>
          <w:rFonts w:cs="Times New Roman"/>
          <w:szCs w:val="24"/>
        </w:rPr>
      </w:pPr>
      <w:r w:rsidRPr="00962009">
        <w:rPr>
          <w:rFonts w:cs="Times New Roman"/>
          <w:szCs w:val="24"/>
          <w:lang w:val="fr-FR"/>
        </w:rPr>
        <w:t xml:space="preserve">Nur aini, n. S., &amp; Lutfi, l. (2019). </w:t>
      </w:r>
      <w:r w:rsidRPr="00731E3F">
        <w:rPr>
          <w:rFonts w:cs="Times New Roman"/>
          <w:szCs w:val="24"/>
        </w:rPr>
        <w:t xml:space="preserve">The influence of risk perception, risk tolerance, overconfidence, and loss aversion towards investment decision making. </w:t>
      </w:r>
      <w:r w:rsidRPr="00731E3F">
        <w:rPr>
          <w:rFonts w:cs="Times New Roman"/>
          <w:i/>
          <w:iCs/>
          <w:szCs w:val="24"/>
        </w:rPr>
        <w:t xml:space="preserve">Journal of </w:t>
      </w:r>
      <w:r w:rsidRPr="00731E3F">
        <w:rPr>
          <w:rFonts w:cs="Times New Roman"/>
          <w:i/>
          <w:iCs/>
          <w:szCs w:val="24"/>
        </w:rPr>
        <w:lastRenderedPageBreak/>
        <w:t>economics, business &amp; accountancy ventura</w:t>
      </w:r>
      <w:r w:rsidRPr="00731E3F">
        <w:rPr>
          <w:rFonts w:cs="Times New Roman"/>
          <w:szCs w:val="24"/>
        </w:rPr>
        <w:t xml:space="preserve">, </w:t>
      </w:r>
      <w:r w:rsidRPr="00731E3F">
        <w:rPr>
          <w:rFonts w:cs="Times New Roman"/>
          <w:i/>
          <w:iCs/>
          <w:szCs w:val="24"/>
        </w:rPr>
        <w:t>21</w:t>
      </w:r>
      <w:r w:rsidRPr="00731E3F">
        <w:rPr>
          <w:rFonts w:cs="Times New Roman"/>
          <w:szCs w:val="24"/>
        </w:rPr>
        <w:t>(3), 401. Https://doi.org/10.14414/jebav.v21i3.1663</w:t>
      </w:r>
    </w:p>
    <w:p w14:paraId="5EF48BFE" w14:textId="77777777" w:rsidR="00A060F2" w:rsidRPr="00731E3F" w:rsidRDefault="00A060F2" w:rsidP="00A060F2">
      <w:pPr>
        <w:pStyle w:val="Bibliography"/>
        <w:spacing w:line="240" w:lineRule="auto"/>
        <w:rPr>
          <w:rFonts w:cs="Times New Roman"/>
          <w:szCs w:val="24"/>
        </w:rPr>
      </w:pPr>
      <w:r w:rsidRPr="00731E3F">
        <w:rPr>
          <w:rFonts w:cs="Times New Roman"/>
          <w:szCs w:val="24"/>
        </w:rPr>
        <w:t>OECD/INFE</w:t>
      </w:r>
      <w:r w:rsidRPr="00731E3F">
        <w:rPr>
          <w:rFonts w:cs="Times New Roman"/>
          <w:i/>
          <w:iCs/>
          <w:szCs w:val="24"/>
        </w:rPr>
        <w:t xml:space="preserve"> toolkit for measuring financial literacy and financial inclusion 2022</w:t>
      </w:r>
      <w:r w:rsidRPr="00731E3F">
        <w:rPr>
          <w:rFonts w:cs="Times New Roman"/>
          <w:szCs w:val="24"/>
        </w:rPr>
        <w:t>. (2022). 54.</w:t>
      </w:r>
    </w:p>
    <w:p w14:paraId="66AB7AA5"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Oktariswan, d. (2024). </w:t>
      </w:r>
      <w:r w:rsidRPr="00731E3F">
        <w:rPr>
          <w:rFonts w:cs="Times New Roman"/>
          <w:i/>
          <w:iCs/>
          <w:szCs w:val="24"/>
        </w:rPr>
        <w:t>Financial literacy and firm performance: mediation of behavioral financial bias</w:t>
      </w:r>
      <w:r w:rsidRPr="00731E3F">
        <w:rPr>
          <w:rFonts w:cs="Times New Roman"/>
          <w:szCs w:val="24"/>
        </w:rPr>
        <w:t>.</w:t>
      </w:r>
    </w:p>
    <w:p w14:paraId="5B8CF0F2" w14:textId="77777777" w:rsidR="00A060F2" w:rsidRDefault="00A060F2" w:rsidP="00A060F2">
      <w:pPr>
        <w:spacing w:line="240" w:lineRule="auto"/>
        <w:jc w:val="both"/>
      </w:pPr>
      <w:r w:rsidRPr="00186C16">
        <w:t>Rasool, N., &amp; Ullah, S. (2020). Financial literacy and behavioural biases of individual investors: empirical evidence of Pakistan stock exchange. </w:t>
      </w:r>
      <w:r w:rsidRPr="00186C16">
        <w:rPr>
          <w:i/>
          <w:iCs/>
        </w:rPr>
        <w:t>Journal of Economics, Finance and Administrative Science</w:t>
      </w:r>
      <w:r w:rsidRPr="00186C16">
        <w:t>, </w:t>
      </w:r>
      <w:r w:rsidRPr="00186C16">
        <w:rPr>
          <w:i/>
          <w:iCs/>
        </w:rPr>
        <w:t>25</w:t>
      </w:r>
      <w:r w:rsidRPr="00186C16">
        <w:t>(50), 261-278.</w:t>
      </w:r>
    </w:p>
    <w:p w14:paraId="4904480F" w14:textId="77777777" w:rsidR="00A060F2" w:rsidRDefault="00A060F2" w:rsidP="00A060F2">
      <w:pPr>
        <w:spacing w:line="240" w:lineRule="auto"/>
        <w:jc w:val="both"/>
      </w:pPr>
      <w:r w:rsidRPr="003A22A6">
        <w:t>Shane, S. (2003). A general theory of entrepreneurship: The individual-opportunity nexus. In </w:t>
      </w:r>
      <w:r w:rsidRPr="003A22A6">
        <w:rPr>
          <w:i/>
          <w:iCs/>
        </w:rPr>
        <w:t>A General theory of entrepreneurship</w:t>
      </w:r>
      <w:r w:rsidRPr="003A22A6">
        <w:t>. Edward Elgar Publishing.</w:t>
      </w:r>
    </w:p>
    <w:p w14:paraId="444D409D" w14:textId="77777777" w:rsidR="00A060F2" w:rsidRPr="00A27B99" w:rsidRDefault="00A060F2" w:rsidP="00A060F2">
      <w:pPr>
        <w:spacing w:line="240" w:lineRule="auto"/>
      </w:pPr>
      <w:r w:rsidRPr="0000700F">
        <w:t>Simon, M., Houghton, S. M., &amp; Aquino, K. (2000). Cognitive biases, risk perception, and venture formation: How individuals decide to start companies. </w:t>
      </w:r>
      <w:r w:rsidRPr="0000700F">
        <w:rPr>
          <w:i/>
          <w:iCs/>
        </w:rPr>
        <w:t>Journal of business venturing</w:t>
      </w:r>
      <w:r w:rsidRPr="0000700F">
        <w:t>, </w:t>
      </w:r>
      <w:r w:rsidRPr="0000700F">
        <w:rPr>
          <w:i/>
          <w:iCs/>
        </w:rPr>
        <w:t>15</w:t>
      </w:r>
      <w:r w:rsidRPr="0000700F">
        <w:t>(2), 113-134.</w:t>
      </w:r>
    </w:p>
    <w:p w14:paraId="62B4A6B7" w14:textId="77777777" w:rsidR="00A060F2" w:rsidRDefault="00A060F2" w:rsidP="00A060F2">
      <w:pPr>
        <w:spacing w:line="240" w:lineRule="auto"/>
        <w:jc w:val="both"/>
      </w:pPr>
      <w:r w:rsidRPr="00BD5A38">
        <w:t>Slovic, P. (2000). What does it mean to know a cumulative risk? Adolescents' perceptions of short‐term and long‐term consequences of smoking. </w:t>
      </w:r>
      <w:r w:rsidRPr="00BD5A38">
        <w:rPr>
          <w:i/>
          <w:iCs/>
        </w:rPr>
        <w:t>Journal of behavioral decision making</w:t>
      </w:r>
      <w:r w:rsidRPr="00BD5A38">
        <w:t>, </w:t>
      </w:r>
      <w:r w:rsidRPr="00BD5A38">
        <w:rPr>
          <w:i/>
          <w:iCs/>
        </w:rPr>
        <w:t>13</w:t>
      </w:r>
      <w:r w:rsidRPr="00BD5A38">
        <w:t>(2), 259-266.</w:t>
      </w:r>
    </w:p>
    <w:p w14:paraId="476CB8F6" w14:textId="77777777" w:rsidR="00A060F2" w:rsidRDefault="00A060F2" w:rsidP="00A060F2">
      <w:pPr>
        <w:spacing w:line="240" w:lineRule="auto"/>
        <w:jc w:val="both"/>
      </w:pPr>
      <w:r w:rsidRPr="003A22A6">
        <w:t>Tversky, A., &amp; Kahneman, D. (1974). Judgment under Uncertainty: Heuristics and Biases: Biases in judgments reveal some heuristics of thinking under uncertainty. </w:t>
      </w:r>
      <w:r w:rsidRPr="003A22A6">
        <w:rPr>
          <w:i/>
          <w:iCs/>
        </w:rPr>
        <w:t>science</w:t>
      </w:r>
      <w:r w:rsidRPr="003A22A6">
        <w:t>, </w:t>
      </w:r>
      <w:r w:rsidRPr="003A22A6">
        <w:rPr>
          <w:i/>
          <w:iCs/>
        </w:rPr>
        <w:t>185</w:t>
      </w:r>
      <w:r w:rsidRPr="003A22A6">
        <w:t>(4157), 1124-1131.</w:t>
      </w:r>
    </w:p>
    <w:p w14:paraId="31008039" w14:textId="77777777" w:rsidR="00A060F2" w:rsidRDefault="00A060F2" w:rsidP="00A060F2">
      <w:pPr>
        <w:spacing w:line="240" w:lineRule="auto"/>
        <w:jc w:val="both"/>
      </w:pPr>
      <w:r w:rsidRPr="00186C16">
        <w:t>Van Rooij, M., Lusardi, A., &amp; Alessie, R. (2011). Financial literacy and stock market participation. </w:t>
      </w:r>
      <w:r w:rsidRPr="00186C16">
        <w:rPr>
          <w:i/>
          <w:iCs/>
        </w:rPr>
        <w:t>Journal of Financial economics</w:t>
      </w:r>
      <w:r w:rsidRPr="00186C16">
        <w:t>, </w:t>
      </w:r>
      <w:r w:rsidRPr="00186C16">
        <w:rPr>
          <w:i/>
          <w:iCs/>
        </w:rPr>
        <w:t>101</w:t>
      </w:r>
      <w:r w:rsidRPr="00186C16">
        <w:t>(2), 449-472.</w:t>
      </w:r>
    </w:p>
    <w:p w14:paraId="7B43CFCA" w14:textId="77777777" w:rsidR="00A060F2" w:rsidRPr="00731E3F" w:rsidRDefault="00A060F2" w:rsidP="00A060F2">
      <w:pPr>
        <w:pStyle w:val="Bibliography"/>
        <w:spacing w:line="240" w:lineRule="auto"/>
        <w:rPr>
          <w:rFonts w:cs="Times New Roman"/>
          <w:szCs w:val="24"/>
          <w:shd w:val="clear" w:color="auto" w:fill="FFFFFF"/>
        </w:rPr>
      </w:pPr>
      <w:bookmarkStart w:id="21" w:name="_Hlk225514253"/>
      <w:r w:rsidRPr="00731E3F">
        <w:rPr>
          <w:rFonts w:cs="Times New Roman"/>
          <w:szCs w:val="24"/>
          <w:shd w:val="clear" w:color="auto" w:fill="FFFFFF"/>
        </w:rPr>
        <w:t>World Bank Group. (2016). </w:t>
      </w:r>
      <w:r w:rsidRPr="00731E3F">
        <w:rPr>
          <w:rFonts w:cs="Times New Roman"/>
          <w:i/>
          <w:iCs/>
          <w:szCs w:val="24"/>
          <w:shd w:val="clear" w:color="auto" w:fill="FFFFFF"/>
        </w:rPr>
        <w:t>World development report 2016: Digital dividends</w:t>
      </w:r>
      <w:r w:rsidRPr="00731E3F">
        <w:rPr>
          <w:rFonts w:cs="Times New Roman"/>
          <w:szCs w:val="24"/>
          <w:shd w:val="clear" w:color="auto" w:fill="FFFFFF"/>
        </w:rPr>
        <w:t>. World Bank Publications.</w:t>
      </w:r>
    </w:p>
    <w:bookmarkEnd w:id="21"/>
    <w:p w14:paraId="7387645A"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Yanti, F. (2024). The influence of financial behavior, overconfidence, and risk perception on investment decisions: the role of financial literacy mediation (an empirical study of millennial individual investors in jakarta). </w:t>
      </w:r>
      <w:r w:rsidRPr="00731E3F">
        <w:rPr>
          <w:rFonts w:cs="Times New Roman"/>
          <w:i/>
          <w:iCs/>
          <w:szCs w:val="24"/>
        </w:rPr>
        <w:t>International journal of social service and research</w:t>
      </w:r>
      <w:r w:rsidRPr="00731E3F">
        <w:rPr>
          <w:rFonts w:cs="Times New Roman"/>
          <w:szCs w:val="24"/>
        </w:rPr>
        <w:t xml:space="preserve">, </w:t>
      </w:r>
      <w:r w:rsidRPr="00731E3F">
        <w:rPr>
          <w:rFonts w:cs="Times New Roman"/>
          <w:i/>
          <w:iCs/>
          <w:szCs w:val="24"/>
        </w:rPr>
        <w:t>4</w:t>
      </w:r>
      <w:r w:rsidRPr="00731E3F">
        <w:rPr>
          <w:rFonts w:cs="Times New Roman"/>
          <w:szCs w:val="24"/>
        </w:rPr>
        <w:t>(6). Https://doi.org/10.46799/ijssr.v4i6.801</w:t>
      </w:r>
    </w:p>
    <w:p w14:paraId="2C21C729" w14:textId="77777777" w:rsidR="00A060F2" w:rsidRPr="00731E3F" w:rsidRDefault="00A060F2" w:rsidP="00A060F2">
      <w:pPr>
        <w:pStyle w:val="Bibliography"/>
        <w:spacing w:line="240" w:lineRule="auto"/>
        <w:rPr>
          <w:rFonts w:cs="Times New Roman"/>
          <w:szCs w:val="24"/>
        </w:rPr>
      </w:pPr>
      <w:r w:rsidRPr="00731E3F">
        <w:rPr>
          <w:rFonts w:cs="Times New Roman"/>
          <w:szCs w:val="24"/>
        </w:rPr>
        <w:t xml:space="preserve">Yu, G., Han, K.-S., &amp; Chung, K.-H. (2021). Managerial overconfidence and firm value. </w:t>
      </w:r>
      <w:r w:rsidRPr="00731E3F">
        <w:rPr>
          <w:rFonts w:cs="Times New Roman"/>
          <w:i/>
          <w:iCs/>
          <w:szCs w:val="24"/>
        </w:rPr>
        <w:t>The institute of management and economy research</w:t>
      </w:r>
      <w:r w:rsidRPr="00731E3F">
        <w:rPr>
          <w:rFonts w:cs="Times New Roman"/>
          <w:szCs w:val="24"/>
        </w:rPr>
        <w:t xml:space="preserve">, </w:t>
      </w:r>
      <w:r w:rsidRPr="00731E3F">
        <w:rPr>
          <w:rFonts w:cs="Times New Roman"/>
          <w:i/>
          <w:iCs/>
          <w:szCs w:val="24"/>
        </w:rPr>
        <w:t>12</w:t>
      </w:r>
      <w:r w:rsidRPr="00731E3F">
        <w:rPr>
          <w:rFonts w:cs="Times New Roman"/>
          <w:szCs w:val="24"/>
        </w:rPr>
        <w:t>(3), 71–85. Https://doi.org/10.32599/apjb.12.3.202109.71</w:t>
      </w:r>
    </w:p>
    <w:p w14:paraId="70BBF787" w14:textId="77777777" w:rsidR="00A060F2" w:rsidRDefault="00A060F2" w:rsidP="005C7A5B">
      <w:pPr>
        <w:spacing w:line="360" w:lineRule="auto"/>
        <w:jc w:val="both"/>
      </w:pPr>
    </w:p>
    <w:p w14:paraId="6060D4D2" w14:textId="77777777" w:rsidR="005C7A5B" w:rsidRDefault="005C7A5B" w:rsidP="005145AD">
      <w:pPr>
        <w:spacing w:line="360" w:lineRule="auto"/>
        <w:jc w:val="both"/>
      </w:pPr>
    </w:p>
    <w:p w14:paraId="30BD9204" w14:textId="77777777" w:rsidR="0015660C" w:rsidRDefault="0015660C" w:rsidP="00955CDE">
      <w:pPr>
        <w:spacing w:line="360" w:lineRule="auto"/>
        <w:jc w:val="both"/>
      </w:pPr>
    </w:p>
    <w:sectPr w:rsidR="001566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0000027"/>
    <w:multiLevelType w:val="hybridMultilevel"/>
    <w:tmpl w:val="0F5C8D74"/>
    <w:lvl w:ilvl="0" w:tplc="693C859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95501"/>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60C"/>
    <w:rsid w:val="00006E3F"/>
    <w:rsid w:val="00052F32"/>
    <w:rsid w:val="0007600C"/>
    <w:rsid w:val="000A5948"/>
    <w:rsid w:val="000B6D8B"/>
    <w:rsid w:val="0015660C"/>
    <w:rsid w:val="001B2B98"/>
    <w:rsid w:val="001D61D3"/>
    <w:rsid w:val="002869CA"/>
    <w:rsid w:val="0029423A"/>
    <w:rsid w:val="002D0A80"/>
    <w:rsid w:val="003B7ECE"/>
    <w:rsid w:val="004F1A07"/>
    <w:rsid w:val="0051368D"/>
    <w:rsid w:val="005145AD"/>
    <w:rsid w:val="005150CD"/>
    <w:rsid w:val="005C7A5B"/>
    <w:rsid w:val="005F59FC"/>
    <w:rsid w:val="005F5C6E"/>
    <w:rsid w:val="0061157E"/>
    <w:rsid w:val="00616203"/>
    <w:rsid w:val="006B5C86"/>
    <w:rsid w:val="006D2F9B"/>
    <w:rsid w:val="006F3513"/>
    <w:rsid w:val="006F5020"/>
    <w:rsid w:val="0070451B"/>
    <w:rsid w:val="00720D44"/>
    <w:rsid w:val="00750D67"/>
    <w:rsid w:val="00755185"/>
    <w:rsid w:val="007E37EA"/>
    <w:rsid w:val="007F64A9"/>
    <w:rsid w:val="007F6E89"/>
    <w:rsid w:val="00807F99"/>
    <w:rsid w:val="00886F0A"/>
    <w:rsid w:val="008A4D90"/>
    <w:rsid w:val="008E3DC2"/>
    <w:rsid w:val="008F70F0"/>
    <w:rsid w:val="00905382"/>
    <w:rsid w:val="00955CDE"/>
    <w:rsid w:val="0097462A"/>
    <w:rsid w:val="009812F2"/>
    <w:rsid w:val="00993599"/>
    <w:rsid w:val="00994C7C"/>
    <w:rsid w:val="00A02CF0"/>
    <w:rsid w:val="00A060F2"/>
    <w:rsid w:val="00A11BFC"/>
    <w:rsid w:val="00A45D1A"/>
    <w:rsid w:val="00A7467E"/>
    <w:rsid w:val="00A772AC"/>
    <w:rsid w:val="00B15087"/>
    <w:rsid w:val="00B307E2"/>
    <w:rsid w:val="00B3700D"/>
    <w:rsid w:val="00B852A5"/>
    <w:rsid w:val="00B9127B"/>
    <w:rsid w:val="00CA3E24"/>
    <w:rsid w:val="00D15627"/>
    <w:rsid w:val="00D21E19"/>
    <w:rsid w:val="00D310E9"/>
    <w:rsid w:val="00D319EA"/>
    <w:rsid w:val="00D36FC6"/>
    <w:rsid w:val="00D96811"/>
    <w:rsid w:val="00DB01B2"/>
    <w:rsid w:val="00E65FB5"/>
    <w:rsid w:val="00E91BC9"/>
    <w:rsid w:val="00F5357C"/>
    <w:rsid w:val="00F65026"/>
    <w:rsid w:val="00F9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4D526"/>
  <w15:docId w15:val="{C2EBAE39-E836-4F89-865B-54F17718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ListParagraphChar">
    <w:name w:val="List Paragraph Char"/>
    <w:basedOn w:val="DefaultParagraphFont"/>
    <w:link w:val="ListParagraph"/>
    <w:uiPriority w:val="34"/>
    <w:rsid w:val="00750D67"/>
    <w:rPr>
      <w:rFonts w:ascii="Times New Roman" w:eastAsia="Times New Roman" w:hAnsi="Times New Roman"/>
      <w:sz w:val="24"/>
    </w:rPr>
  </w:style>
  <w:style w:type="paragraph" w:customStyle="1" w:styleId="fig">
    <w:name w:val="fig"/>
    <w:basedOn w:val="Normal"/>
    <w:qFormat/>
    <w:rsid w:val="00750D67"/>
    <w:pPr>
      <w:keepNext/>
      <w:spacing w:before="120" w:after="160" w:line="240" w:lineRule="auto"/>
      <w:ind w:left="1560" w:hanging="1560"/>
      <w:jc w:val="both"/>
    </w:pPr>
    <w:rPr>
      <w:rFonts w:eastAsia="Calibri" w:cs="Times New Roman"/>
      <w:b/>
      <w:color w:val="7030A0"/>
      <w:szCs w:val="28"/>
    </w:rPr>
  </w:style>
  <w:style w:type="paragraph" w:customStyle="1" w:styleId="table">
    <w:name w:val="table"/>
    <w:basedOn w:val="Normal"/>
    <w:qFormat/>
    <w:rsid w:val="00955CDE"/>
    <w:pPr>
      <w:spacing w:after="160" w:line="240" w:lineRule="auto"/>
      <w:jc w:val="both"/>
    </w:pPr>
    <w:rPr>
      <w:rFonts w:eastAsia="Calibri" w:cs="Times New Roman"/>
      <w:b/>
      <w:bCs/>
      <w:color w:val="C0504D"/>
      <w:szCs w:val="28"/>
    </w:rPr>
  </w:style>
  <w:style w:type="paragraph" w:styleId="Bibliography">
    <w:name w:val="Bibliography"/>
    <w:basedOn w:val="Normal"/>
    <w:next w:val="Normal"/>
    <w:uiPriority w:val="37"/>
    <w:semiHidden/>
    <w:unhideWhenUsed/>
    <w:rsid w:val="00A060F2"/>
  </w:style>
  <w:style w:type="character" w:styleId="Hyperlink">
    <w:name w:val="Hyperlink"/>
    <w:basedOn w:val="DefaultParagraphFont"/>
    <w:uiPriority w:val="99"/>
    <w:unhideWhenUsed/>
    <w:rsid w:val="00A060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7745/ijbmr.2013/vol12n31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10881</Words>
  <Characters>62022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INTER-TEC</cp:lastModifiedBy>
  <cp:revision>58</cp:revision>
  <dcterms:created xsi:type="dcterms:W3CDTF">2013-12-23T23:15:00Z</dcterms:created>
  <dcterms:modified xsi:type="dcterms:W3CDTF">2026-04-07T19:43:00Z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50a8e9e81692452499c4aa40146d0bc2</vt:lpwstr>
  </property>
  <property fmtid="{D5CDD505-2E9C-101B-9397-08002B2CF9AE}" pid="3" name="GrammarlyDocumentId">
    <vt:lpwstr>1e6e1485-a455-408d-96e7-ae99ca7722f1</vt:lpwstr>
  </property>
</Properties>
</file>