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Narrative Craft, Linguistic Choices, and Post-War Recovery: A Stylistic Analysis of Elma Shaw’s </w:t>
      </w:r>
      <w:r w:rsidDel="00000000" w:rsidR="00000000" w:rsidRPr="00000000">
        <w:rPr>
          <w:rFonts w:ascii="Times New Roman" w:cs="Times New Roman" w:eastAsia="Times New Roman" w:hAnsi="Times New Roman"/>
          <w:b w:val="1"/>
          <w:i w:val="1"/>
          <w:sz w:val="34"/>
          <w:szCs w:val="34"/>
          <w:rtl w:val="0"/>
        </w:rPr>
        <w:t xml:space="preserve">Redemption Road </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Fonts w:ascii="Times New Roman" w:cs="Times New Roman" w:eastAsia="Times New Roman" w:hAnsi="Times New Roman"/>
          <w:b w:val="1"/>
          <w:sz w:val="24"/>
          <w:szCs w:val="24"/>
          <w:rtl w:val="0"/>
        </w:rPr>
        <w:t xml:space="preserve">     by</w:t>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t xml:space="preserve">   Philip Adeoluwa Soyemi</w:t>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 xml:space="preserve">          (University of Lagos, Nigeria)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rtl w:val="0"/>
        </w:rPr>
        <w:t xml:space="preserve">Elma Shaw’s Redemption Road (2008) is a post-conflict Liberian novel that weaves individualized trauma and public institution-building through a stylistic reading. It is accessible and formally strategic, using invariable focalizations, flashback-driven time manipulations, and embodied dialogues. Enacted in the spatial setting of the Liberian capital, Monrovia, during the reign of Charles Taylor, the narrative depicts the protagonist’s attempt to reconcile competing imperatives—survival, accountability, repair, recovery, and healing—in a socio-political atmosphere dominated by continuous impunity and instability. Over the years, it has become a prominent text in West African post-war struggles fiction and contemporary canons. The study relies on stylistic frameworks associated with Geoffrey Leech and Mick Short, Michael Toolan, and M.A.K. Halliday (with Christian M.I.M. Matthiessen).  Using close reading approach and quantitative indexes computed from the text, the analysis shows how narrative voice, syntax, imagery, and dialogue generate a patterned alternation between acceleration (fragmentary war scenes) and deliberation (legal / ethical dialogue), ultimately positioning “truth” and “forgiveness” as stylistically mapped rather than sentimentally asserted. Shaw’s stylistic rendering functions as an ethics of representation: it refuses simplistic catharsis by making reconciliation contingent on truth-telling, embodied testimony, and institutional critique, thereby aligning the novel with post-conflict debates about accountability and repair.</w:t>
      </w:r>
    </w:p>
    <w:p w:rsidR="00000000" w:rsidDel="00000000" w:rsidP="00000000" w:rsidRDefault="00000000" w:rsidRPr="00000000" w14:paraId="00000008">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Stylistics, trauma fiction, post-conflict literature, Liberian English, narrative focalization, transitional justice.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numPr>
          <w:ilvl w:val="0"/>
          <w:numId w:val="1"/>
        </w:numPr>
        <w:ind w:left="28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INTRODUCTION</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rtl w:val="0"/>
        </w:rPr>
        <w:t xml:space="preserve">Redemption Road</w:t>
      </w:r>
      <w:r w:rsidDel="00000000" w:rsidR="00000000" w:rsidRPr="00000000">
        <w:rPr>
          <w:rFonts w:ascii="Times New Roman" w:cs="Times New Roman" w:eastAsia="Times New Roman" w:hAnsi="Times New Roman"/>
          <w:rtl w:val="0"/>
        </w:rPr>
        <w:t xml:space="preserve"> is written as a story of recovery and atonement set in Liberia during the Taylor administration. Currently, the novel now circulates not only as a literary intervention into national memory but also as an examination text on the West African Examinations Council recommended list (WAEC, 2023). This lends credence to the recognition of its pedagogical value for regional discussions bordering on conflict, trauma, and reconciliation. From the onset, the significance of the novel’s title is well-pronounced and symbolic. The title itself is a compressed historiographic label. In the front matter, the book explains that the label “Redemption Road” was the name given to a coastal path in the capital after the April 1980 coup and subsequent executions—events historically linked to the rise of Samuel K. Doe and the People's Redemption Council. While the novel is fiction, it explicitly alludes to historical details to supply “reality and authenticity,” and it anchors its symbolic geography to the 1980 rupture that preceded later civil-war violence (Encyclopedia Britannica, </w:t>
      </w:r>
      <w:r w:rsidDel="00000000" w:rsidR="00000000" w:rsidRPr="00000000">
        <w:rPr>
          <w:rFonts w:ascii="Times New Roman" w:cs="Times New Roman" w:eastAsia="Times New Roman" w:hAnsi="Times New Roman"/>
          <w:i w:val="1"/>
          <w:rtl w:val="0"/>
        </w:rPr>
        <w:t xml:space="preserve">Samuel K. Doe</w:t>
      </w:r>
      <w:r w:rsidDel="00000000" w:rsidR="00000000" w:rsidRPr="00000000">
        <w:rPr>
          <w:rFonts w:ascii="Times New Roman" w:cs="Times New Roman" w:eastAsia="Times New Roman" w:hAnsi="Times New Roman"/>
          <w:rtl w:val="0"/>
        </w:rPr>
        <w:t xml:space="preserve">).The argument proceeds from a basic stylistic assumption that a novel’s ethics and politics are not merely “themes,” but are enacted through patterned selections at the levels of  lexis, clause, discourse presentation, and narrative temporality, to summarize Leech &amp; Short’s stance in their book, </w:t>
      </w:r>
      <w:r w:rsidDel="00000000" w:rsidR="00000000" w:rsidRPr="00000000">
        <w:rPr>
          <w:rFonts w:ascii="Times New Roman" w:cs="Times New Roman" w:eastAsia="Times New Roman" w:hAnsi="Times New Roman"/>
          <w:i w:val="1"/>
          <w:rtl w:val="0"/>
        </w:rPr>
        <w:t xml:space="preserve">Style in fiction: A linguistics introduction to English fictional prose </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Objectives of the Study</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To critically examine how Shaw’s style—as language pattern and narrative design—mediates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novel’s central ethical conflict between justice and healing.</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To evaluate how the narrative voice, point of view, diction, syntax, imagery, dialogue, and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pacing organize readers’ access to traumatic knowledge.</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To demonstrate how genre conventions (post-conflict novel, legal pursuit thriller , romance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subplot), intertextual reach (biblical and political slogans , paratextual definitions), and  </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socio-historical contexts shape the novel’s linguistic choices.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numPr>
          <w:ilvl w:val="0"/>
          <w:numId w:val="1"/>
        </w:numPr>
        <w:ind w:left="288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LITERATURE REVIEW</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Stylistic reading of prose fiction has long treated “literary effect” as a function of patterned linguistic choice(s). According to Leech and Short (2007), stylistic approach—widely used in pedagogical and research contexts—affords readers a structured inventory for examining lexical categories (e.g., semantic fields, evaluative terms), grammatical categories (e.g., sentence complexity, transitivity patterns), and discourse presentation (such as speech / thought representation along clines from direct to free indirect forms). Quite akin to that, Toolan’s critical-linguistic narratology complements this by emphasizing time manipulation, focalization, and the linguistics of suspense—useful in particular for post-conflict narratives that interleave present action with retrospective trauma (Toolan, 2001).</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More crucially, Hallidayan Systemic Functional Linguistics (SFL) adds an overarchingly pertinent lens for a novel concerned with agency, responsibility, and institutional power. SFL foregrounds how grammatical choices interpret experience (transitivity), negotiate interpersonal stance (mood and modality), and organize meaning beyond the clause or sentence level. For post-conflict fiction, these nuances are concretely evinced. The language of who-did-what-to-whom is ethically foundational in contexts where impunity, denial, and contested memory are common. Similarly, Appraisal theory (a strand within SFL) offers tools for tracking affect, judgment, appreciation, and dialogic positioning—resources that can be used to analyze how a narrator invites sympathy, condemns actions, or calibrates certainty (Halliday &amp; Matthiessen, 2014).</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From another viewpoint, the novel’s representation of traumatic memory aligns with a cluster of critical frameworks often grouped as “trauma studies” and “trauma fiction.” Trauma fiction scholarship stresses formal features such as temporal disruption, repetition, fragmentation, and intertextual “haunting” as narrative strategies for representing experiences that resist straightforward recounting. Anne Whitehead’s work, </w:t>
      </w:r>
      <w:r w:rsidDel="00000000" w:rsidR="00000000" w:rsidRPr="00000000">
        <w:rPr>
          <w:rFonts w:ascii="Times New Roman" w:cs="Times New Roman" w:eastAsia="Times New Roman" w:hAnsi="Times New Roman"/>
          <w:i w:val="1"/>
          <w:rtl w:val="0"/>
        </w:rPr>
        <w:t xml:space="preserve">Trauma fiction</w:t>
      </w:r>
      <w:r w:rsidDel="00000000" w:rsidR="00000000" w:rsidRPr="00000000">
        <w:rPr>
          <w:rFonts w:ascii="Times New Roman" w:cs="Times New Roman" w:eastAsia="Times New Roman" w:hAnsi="Times New Roman"/>
          <w:rtl w:val="0"/>
        </w:rPr>
        <w:t xml:space="preserve">, is particularly relevant because it treats trauma not just as content but as a shaping pressure on narrative form. In parallel, Cathy Caruth’s account of trauma as a challenge to “straightforward experience and reference,” and distinction between “acting out” and “working through,” provide conceptual evidence for interpreting how the novel alternates between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compulsive return (flashbacks, intrusive sensory details) and forward-facing ethical deliberation as depicted in counseling, legal action, and communal repair activities (Caruth, 2016).</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Additionally, socio-historical contextualization matters for stylistics because many “local” lexical items (terms of address, discourse markers) and institutional registers (NGO language; court language; political slogans) are culturally relevant. Studies on English in West Africa posit that West African Englishes vary in lexicon and morphosyntax and that Liberian settler English has distinct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features compared with other regional varieties (Kachru, 2006). Practical glossaries of Liberian usage identify discourse items such as sentence-final “o” and culturally salient lexemes such as “lappa,” (typically meaning a wrapper) which appear in the novel’s dialogic texture.</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Within criticism specifically addressing </w:t>
      </w:r>
      <w:r w:rsidDel="00000000" w:rsidR="00000000" w:rsidRPr="00000000">
        <w:rPr>
          <w:rFonts w:ascii="Times New Roman" w:cs="Times New Roman" w:eastAsia="Times New Roman" w:hAnsi="Times New Roman"/>
          <w:i w:val="1"/>
          <w:rtl w:val="0"/>
        </w:rPr>
        <w:t xml:space="preserve">Redemption Road</w:t>
      </w:r>
      <w:r w:rsidDel="00000000" w:rsidR="00000000" w:rsidRPr="00000000">
        <w:rPr>
          <w:rFonts w:ascii="Times New Roman" w:cs="Times New Roman" w:eastAsia="Times New Roman" w:hAnsi="Times New Roman"/>
          <w:rtl w:val="0"/>
        </w:rPr>
        <w:t xml:space="preserve">, peer-reviewed scholarship is limited but significant. Sevcik’s analysis reads the protagonist as being simultaneously a victim and a perpetrator, arguing that the novel imagines “bodily redemption” and shifts attention from purely systemic justice toward embodied agency and healing practices (Sevcik, 2020). This argument is thematically profound, but its implications for style—how bodily experience becomes a site of narrative technique—call for further elaborations.</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METHODOLOGY</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This study utilizes a tripodal method thusly: (1) textual close reading of key scenes and discourse modes; (2) stylistic categorization using Leech &amp; Short’s descriptive frameworks and Toolan’s narrative-linguistic categories; and (3) quantitative indexes to support, not replace, qualitative interpretation.</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3.1 Close-Reading Sampling.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Cardo" w:cs="Cardo" w:eastAsia="Cardo" w:hAnsi="Cardo"/>
          <w:rtl w:val="0"/>
        </w:rPr>
        <w:t xml:space="preserve">       </w:t>
      </w:r>
      <w:r w:rsidDel="00000000" w:rsidR="00000000" w:rsidRPr="00000000">
        <w:rPr>
          <w:rFonts w:ascii="Times New Roman" w:cs="Times New Roman" w:eastAsia="Times New Roman" w:hAnsi="Times New Roman"/>
          <w:rtl w:val="0"/>
        </w:rPr>
        <w:t xml:space="preserve">Because stylistic effects are often concentrated in transitions (present → flashback; narration → dialogue; institutional register → vernacular intimacy), this paper selects passages representing the following:</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opening memorial scene and war analepsis;</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institutional/activist discourse (courthouse, NGO, slogans);</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confrontational dialogue centered on justice claims;</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reflective passages linking bodily sensation to moral memory.</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 Stylistic frameworks.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Leech &amp; Short (2007)’s categories guide the description of narrative viewpoint, speech and thought presentation, lexical fields, sentence typology and rhythm, and figurative language. Toolan’s narrative-linguistics categories map the analysis of time manipulation and focalization shifts (Toolan, 2001). Hallidayan SFL supports analysis of agency and responsibility (transitivity patterns) and stance (mood/modality), while appraisal concepts informed evaluation scaling (affect/judgment). (see Halliday &amp; Matthiessen, 2014)</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3.3 Quantitative Measurement and Interpretation.</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Using Tesseract OCR (an open-source engine backed by Google), this study extracted OCR text from the PDF version of the text, cleaned headers and hyphenation artifacts, split the novel into Part One vs. Part Two, and computed the variable in the following order: word counts; token frequencies for motifs (peace/justice/truth/forgive, etc.) ; dialogue proxy measures (double-quote density); and a moving-average type-token ratio (MATTR) for lexical variety. This aligns with practical guidelines in corpus stylistics and corpus linguistics methodology while remaining intentionally “lightweight” and cautious to avoid overclaiming from noisy OCR ( Mclntyre &amp; Walker, 2019).</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003" w:hRule="atLeast"/>
          <w:tblHeader w:val="0"/>
        </w:trPr>
        <w:tc>
          <w:tcP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Text Acquisition: 2008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Digitized Scan</w:t>
            </w:r>
          </w:p>
        </w:tc>
      </w:tr>
    </w:tbl>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2"/>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063" w:hRule="atLeast"/>
          <w:tblHeader w:val="0"/>
        </w:trPr>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Clean OCR Text: Remove   </w:t>
            </w:r>
          </w:p>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Headers, Fix Hyphenation</w:t>
            </w:r>
          </w:p>
        </w:tc>
      </w:tr>
    </w:tbl>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3"/>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125" w:hRule="atLeast"/>
          <w:tblHeader w:val="0"/>
        </w:trPr>
        <w:tc>
          <w:tcP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Segment Text: Part One  </w:t>
            </w:r>
          </w:p>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vs Part Two; Chapter Blocks </w:t>
            </w:r>
          </w:p>
        </w:tc>
      </w:tr>
    </w:tbl>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4"/>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325" w:hRule="atLeast"/>
          <w:tblHeader w:val="0"/>
        </w:trPr>
        <w:tc>
          <w:tcP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Close Reading: Select  </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Representative Scenes +   </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Transitions</w:t>
            </w:r>
          </w:p>
        </w:tc>
      </w:tr>
    </w:tbl>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5"/>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280" w:hRule="atLeast"/>
          <w:tblHeader w:val="0"/>
        </w:trPr>
        <w:tc>
          <w:tcP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Annotate Discourse    </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Presentation: Speech/Thought    </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Modes</w:t>
            </w:r>
          </w:p>
        </w:tc>
      </w:tr>
    </w:tbl>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6"/>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325" w:hRule="atLeast"/>
          <w:tblHeader w:val="0"/>
        </w:trPr>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Stylistic Coding: Lexis, Syntax,    </w:t>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Imagery, Figurative  </w:t>
            </w:r>
          </w:p>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Patterns</w:t>
            </w:r>
          </w:p>
        </w:tc>
      </w:tr>
    </w:tbl>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7"/>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325" w:hRule="atLeast"/>
          <w:tblHeader w:val="0"/>
        </w:trPr>
        <w:tc>
          <w:tcP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Quantitative Descriptors / Indexes:  </w:t>
            </w:r>
          </w:p>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Motif Frequencies, Dialogue   </w:t>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Density, MATTR</w:t>
            </w:r>
          </w:p>
        </w:tc>
      </w:tr>
    </w:tbl>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w:t>
      </w:r>
      <w:r w:rsidDel="00000000" w:rsidR="00000000" w:rsidRPr="00000000">
        <w:rPr>
          <w:rtl w:val="0"/>
        </w:rPr>
      </w:r>
    </w:p>
    <w:tbl>
      <w:tblPr>
        <w:tblStyle w:val="Table8"/>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340" w:hRule="atLeast"/>
          <w:tblHeader w:val="0"/>
        </w:trPr>
        <w:tc>
          <w:tcP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Synthesis: Relate Stylistic    </w:t>
            </w:r>
          </w:p>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Patterns to Themes +  </w:t>
            </w:r>
          </w:p>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Post-Conflict Ethics</w:t>
            </w:r>
          </w:p>
        </w:tc>
      </w:tr>
    </w:tbl>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                                                            ↓                     </w:t>
      </w:r>
      <w:r w:rsidDel="00000000" w:rsidR="00000000" w:rsidRPr="00000000">
        <w:rPr>
          <w:rtl w:val="0"/>
        </w:rPr>
      </w:r>
    </w:p>
    <w:tbl>
      <w:tblPr>
        <w:tblStyle w:val="Table9"/>
        <w:tblW w:w="3645.0" w:type="dxa"/>
        <w:jc w:val="left"/>
        <w:tblInd w:w="2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tblGridChange w:id="0">
          <w:tblGrid>
            <w:gridCol w:w="3645"/>
          </w:tblGrid>
        </w:tblGridChange>
      </w:tblGrid>
      <w:tr>
        <w:trPr>
          <w:cantSplit w:val="0"/>
          <w:trHeight w:val="1063" w:hRule="atLeast"/>
          <w:tblHeader w:val="0"/>
        </w:trPr>
        <w:tc>
          <w:tcP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Write-up: </w:t>
            </w:r>
          </w:p>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Results &amp; Discussion</w:t>
            </w:r>
          </w:p>
        </w:tc>
      </w:tr>
    </w:tbl>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 Limitations and Reliability Controls.</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OCR often introduces spelling noise (e.g., occasional character-name variation) and can obscure typographical cues (italics, spacing) that are essential for free indirect discourse. To mitigate this, the paper (a) aligned key stylistic claims with multiple passages rather than single tokens, (b) accessed quantitative measurement as directional signals (or relative trends) rather than precise statistics, and (c) prioritized interpretive claims that can be grounded in clearly legible narrative segments.</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w:t>
        <w:tab/>
        <w:tab/>
        <w:t xml:space="preserve">RESULTS</w:t>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Narrative voice, point of view, and techniques.</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point of view used in presenting the story is essentially omniscient, as the narrator is a distant non-character voice. However, there are some modifications to the traditional omniscient narrative perspective since the participants are allowed to enter into dialogue with one another. This modification does not only engender a dramatic presentation but also allows the reader to objectively assess characters based on what they say by themselves and the narratorial revelation. The narrator provides much information about events and sometimes about characters in the story, including their thoughts and plans. This is evident from early alternations in the focal centre. The opening chapters expose readers to the protagonist’s grief and intrusive memory, then deviate to an institutional actor navigating a courthouse and political slogans. This narrative strategy produces what can be termed civic multi-perspectivity : postwar Liberia is neither rendered solely as interior trauma nor solely as institutional failure but as their mutual entanglement. This approach aligns with Toolan’s emphasis on focalization and time articulation as central to narrative meaning (Toolan, 2001).</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quantitative statistic supports this illustration. Chapter-level name density suggests that 20 of 34 chapters are protagonist dominant, while a substantial minority foreground an institutional/political figure (7 chapters) or other relational nodes (family/friends). As a proxy for focal emphasis, it indicates systematic distribution of narrative attention rather than a single-stream consciousness text.</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rtl w:val="0"/>
        </w:rPr>
        <w:t xml:space="preserve">  Table 1: Chapter-Level of Name Density</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Dominant focal-character proxy (chapter-level) </w:t>
        <w:tab/>
        <w:tab/>
        <w:tab/>
        <w:t xml:space="preserve">Chapters (n=34)</w:t>
      </w:r>
    </w:p>
    <w:p w:rsidR="00000000" w:rsidDel="00000000" w:rsidP="00000000" w:rsidRDefault="00000000" w:rsidRPr="00000000" w14:paraId="0000005C">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Protagonist (“Bendu”)</w:t>
        <w:tab/>
        <w:tab/>
        <w:tab/>
        <w:tab/>
        <w:tab/>
        <w:tab/>
        <w:t xml:space="preserve">                 20</w:t>
      </w: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Varney (institutional actor)</w:t>
        <w:tab/>
        <w:tab/>
        <w:tab/>
        <w:tab/>
        <w:tab/>
        <w:t xml:space="preserve">             </w:t>
        <w:tab/>
        <w:t xml:space="preserve">        7</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Calvin</w:t>
        <w:tab/>
        <w:tab/>
        <w:tab/>
        <w:tab/>
        <w:tab/>
        <w:tab/>
        <w:tab/>
        <w:tab/>
        <w:t xml:space="preserve">                    3</w:t>
      </w:r>
    </w:p>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Agnes</w:t>
        <w:tab/>
        <w:tab/>
        <w:tab/>
        <w:tab/>
        <w:tab/>
        <w:tab/>
        <w:tab/>
        <w:tab/>
        <w:t xml:space="preserve">                    2</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Siatta</w:t>
        <w:tab/>
        <w:tab/>
        <w:tab/>
        <w:tab/>
        <w:tab/>
        <w:tab/>
        <w:tab/>
        <w:tab/>
        <w:t xml:space="preserve">                    1</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Mixed/ensemble</w:t>
        <w:tab/>
        <w:tab/>
        <w:tab/>
        <w:tab/>
        <w:tab/>
        <w:tab/>
        <w:t xml:space="preserve">                                1</w:t>
      </w: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distribution is stylistically consequential: third-person narration becomes a technology for juxtaposing moral vocabularies. The protagonist’s internal discourse repeatedly returns to unassimilated wartime experience, while institutional focal chapters involve slogans, courthouse movements, and political registers that sound “public” and rational even when ethically compromised.</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Typically, the text makes use of dreams to reveal parts of the story, more importantly, events from the past. Virtually all that the protagonist experiences at the war front, particularly at Duluma Camp, are narrated through the dream and hallucinatory techniques. These are characterized by very frightening images and sounds that not only call attention to the evils of the war but also to its tendency to damage the psyche of survivors of war. In the dreams are acts of killings and other kinds of violence. Simply put, the use of dreams in the story is to explore the phenomenon of trauma that those who experience the horrors of war (in)directly suffer from. The three instances of dreams deployed in the novel, which are associated with the protagonist, explain the trauma she privately struggles with despite her public efforts to help others overcome their own traumas. Here, it is noteworthy that dreams function as flashbacks.</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While the primary narrative style used to present the story is the omniscient narrative voice, the novelist also incorporates epistolary form into the novel. Two of the characters in the novel write letters in the course of the narrative. Though the letters are designed for therapeutic functions only and not meant for the consumption of the addressee, they nevertheless constitute part of the longer narrative. It is through these letters that we learn of some gaps about the lives of the writers of the letters and their enjoyments or interactions with other people in the story or even outside the story. Tennah’s letter, for example, hints the readers of how her mother contributed to her trauma by easily releasing her into the hands of her abductors. Through Bendu’s letter, we also get to know many things such as Siatta’s divorce, Bendu's reunion with Baby Girl (May), Calvin’s The Benjamin Lewis Jr Memorial Scholarship programme, etc.</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Diction and lexical fields.</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Shaw’s diction is characterized by a deliberate accessibility that does not preclude high-affect intensity. The story is as well narrated using the past tense all through except where the characters communicate using dialogue. There is no use of high-sounding expressions or figurative language requiring some metaphorical interpretation, and its language is simple and clear. The opening sequence coordinates plain, concrete nouns (wheelbarrow, casket, road) with sensory lexis (heat, smell) and institutional nouns (e.g., temple of justice; NGO infrastructure). In the urban description where the protagonist returns to work, “raw sewage” and “rotting bodies” are juxtaposed across temporal layers, using olfactory diction to yoke present-day inconveniences to the abject memory of mass death (Shaw, 2008, p. 15). This illustrates a core stylistic procedure: ordinary lexicon becomes a trigger field for traumatic recollection, a technique consistent with trauma fiction’s concern with involuntary return and the everyday as haunted (Whitehead, 2004). Across the novel, key lexical fields cluster around:</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war and flight (run, checkpoint, grenade, fighters);</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law and judgment (justice, charges, court, judge);</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healing institutions (counseling, NGOs, and programs);</w:t>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religious/ethical vocabulary (God, forgiveness, redemption). </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These fields are not merely thematic. They are register-switching resources that allow the narrative to pivot between genres (such as thrillers, sociological novels, historical fiction etc.).</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 Syntax and Rhythm.</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Cardo" w:cs="Cardo" w:eastAsia="Cardo" w:hAnsi="Cardo"/>
          <w:rtl w:val="0"/>
        </w:rPr>
        <w:t xml:space="preserve">       </w:t>
      </w:r>
      <w:r w:rsidDel="00000000" w:rsidR="00000000" w:rsidRPr="00000000">
        <w:rPr>
          <w:rFonts w:ascii="Times New Roman" w:cs="Times New Roman" w:eastAsia="Times New Roman" w:hAnsi="Times New Roman"/>
          <w:rtl w:val="0"/>
        </w:rPr>
        <w:t xml:space="preserve">One of the most striking syntactic imprints is the alternation between (i) extended, hypotactic sentences used for explanation and civic reflection and (ii) compressed fragments used for shock, panic, and sensory overload. In the wartime flashback sequence, the narration breaks into fragmentary beats—“Dizzy. Slow motion. Confusion”—before returning to full clauses (Shaw, 2008, p. 6). This fragmentation functions as a mirror of disorientation and confusion. Rather than describing confusion, the syntax performs it through parataxis, distorted syntax, sentence fragments, and ellipsis-like pacing. This effect echoes trauma fiction descriptions of stylistic fragmentation as an attempt to represent experience that outgrows conventional narrative sequencing. (Whitehead, 2004) On the obverse, in an institutional focal chapter, the protagonist’s counterpart reflects in longer argumentative sentences on the absence of justice and the political co-optation of peace talks, culminating in the aphoristic “No justice, no peace” embedded in dialogue later in the novel (Shaw, 2008, p. 101). The syntactic movement (extended reflection → slogan) mirrors political speech formation, which means a complex social diagnosis is being condensed into a chant-like moral cliché, a register move that the novel both uses and interrogates. This is consistent with Toolan’s interest in how suspense and narrative impetus can be shaped by shifts in discourse mode and rhetorical compression (Toolan, 2008). A quantitative index foregrounds this stylistic duality. The estimated mean sentence length is slightly higher in Part Two than Part One (11.70 vs. 11.01 words per sentence by a crude punctuation-based estimate), suggesting a modest shift toward deliberative exposition later in the novel.</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Imagery.</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Shaw’s imagistic description is frequently sensorial and environmental, emphasizing Liberia’s coastal urban texture while keeping war’s residue present. Urban flora and rainfall are rendered with visual detail—trees providing “carpets of flowers”—but this pastoral note is undergirded by recollected images of “bullet-riddled buildings” and corpses in decay (Shaw, 2008, p. 16). The recurring strategy is contrastive, and beauty is made visible, but it is made visible against a remembered field of ruin. This contrast is not decorative; it is a post-conflict perceptual ethic, refusing both despair-only narration and naïve restoration. The effect is also sociohistorical, as the city’s infrastructural damage and later partial recovery projects Liberia’s broader trajectory of breakdown and reconstruction (Encyclopedia Britannica, </w:t>
      </w:r>
      <w:r w:rsidDel="00000000" w:rsidR="00000000" w:rsidRPr="00000000">
        <w:rPr>
          <w:rFonts w:ascii="Times New Roman" w:cs="Times New Roman" w:eastAsia="Times New Roman" w:hAnsi="Times New Roman"/>
          <w:i w:val="1"/>
          <w:rtl w:val="0"/>
        </w:rPr>
        <w:t xml:space="preserve">Liberia–Decades of strife; civil war and after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Nonetheless, the imagistic description of some sights and scenes can be very revolting. One of such paradigms is the scene where one of the treacherous members of Commander Cobra's rebel group is beheaded. Also, in the depiction of collective protest and mourning, the narrative uses similes and metaphors. Women’s quiet crying is described as spreading “like wildfire” (Shaw, 2008, p. 16). The wildfire simile serves two functions. First, it transforms “quiet” weeping into a communal reality—an affective public sphere. Second, it suggests that grief is not a private emotion but a mobilizable force, thereby anticipating the historical relevance of women’s participation in Liberia’s peace movement.</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Symbolism and Allusion.</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few of the characters in the novel are positioned symbolically. Calvin, Cobra and Bendu are symbolic of certain values in the novel. Calvin represents the older order of Americo-Liberians, otherwise referred to as Congo people. Socioeconomically and politically speaking, Americo-Liberians are hierarchically privileged above indigenous ethnic Liberians, who decided </w:t>
      </w:r>
      <w:r w:rsidDel="00000000" w:rsidR="00000000" w:rsidRPr="00000000">
        <w:rPr>
          <w:rFonts w:ascii="Times New Roman" w:cs="Times New Roman" w:eastAsia="Times New Roman" w:hAnsi="Times New Roman"/>
          <w:sz w:val="24"/>
          <w:szCs w:val="24"/>
          <w:rtl w:val="0"/>
        </w:rPr>
        <w:t xml:space="preserve">to seek political correction to </w:t>
      </w:r>
      <w:r w:rsidDel="00000000" w:rsidR="00000000" w:rsidRPr="00000000">
        <w:rPr>
          <w:rFonts w:ascii="Times New Roman" w:cs="Times New Roman" w:eastAsia="Times New Roman" w:hAnsi="Times New Roman"/>
          <w:rtl w:val="0"/>
        </w:rPr>
        <w:t xml:space="preserve">this by forcefully taking power from Americos in 1980 under the leadership of Samuel Doe. Calvin still treats indigenous Liberians with disdain and upholds the belief that they deserve the tragedy the war brought on them. Likewise, Bendu, who is also an Americo-Liberian, symbolizes a future whereby people from these two groups can come together to work for the advancement of the country. As for Cobra, he symbolizes all evils and atrocities associated with war. He perpetrates all manners of evil in the name of “War makes us all crazy” (Shaw, 2008, pp. 54 &amp;100).</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Interestingly, symbolism is used precisely to convert loss into spatial metaphors. A key instance compares romantic bereavement to a violent extraction and oceanic disposal: the protagonist frames grief as if “all life… [were] ripped out” and cast “into the depths of the Atlantic,” coupled with an allusive juxtaposition of the textual Jonah (i.e., Bendu’s first lover) and the biblical Jonah (Shaw, 2008, p. 18). Symbolically, the Atlantic figure has a multilayered interpretation. On one level, it is geographically apt for a Monrovia-centered narrative; on another level, it binds personal loss to a wider transatlantic history of slavery, forced movement and dispossession implied—but not polemically grounded—through the region’s historical trajectories.</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title motif itself is reinforced through paratext. The front matter provides a dictionary definition of redemption and an epigraphic poem that associates 1980 “redemption” with blood, weeping, greed, rigged elections, and aid; then frames 1990 as another “redemption” followed by collective grief (Shaw, 2008). This paratextual staging makes “redemption” a contested ground of several meanings rather than a simple moral endpoint, preparing the reader to treat later redemptive claims with skepticism. Additionally, other objects that function as symbolic condensations include the following:</w:t>
      </w:r>
    </w:p>
    <w:p w:rsidR="00000000" w:rsidDel="00000000" w:rsidP="00000000" w:rsidRDefault="00000000" w:rsidRPr="00000000" w14:paraId="00000081">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wheelbarrow becomes a burden-symbol linking caregiving, flight, and moral duty;</w:t>
      </w:r>
    </w:p>
    <w:p w:rsidR="00000000" w:rsidDel="00000000" w:rsidP="00000000" w:rsidRDefault="00000000" w:rsidRPr="00000000" w14:paraId="00000082">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courthouse becomes a stage for the conflict between justice, injustice, equity and procedural legitimacy;</w:t>
      </w:r>
    </w:p>
    <w:p w:rsidR="00000000" w:rsidDel="00000000" w:rsidP="00000000" w:rsidRDefault="00000000" w:rsidRPr="00000000" w14:paraId="00000083">
      <w:pPr>
        <w:numPr>
          <w:ilvl w:val="0"/>
          <w:numId w:val="4"/>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slogans become metonymies of political eras, detachable from genuine justice.</w:t>
      </w:r>
    </w:p>
    <w:p w:rsidR="00000000" w:rsidDel="00000000" w:rsidP="00000000" w:rsidRDefault="00000000" w:rsidRPr="00000000" w14:paraId="00000084">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4.6 Dialogue and Pragmatics.</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Dialogue is one of the novel’s principal elements of characterization. It is also a resource with which the author encodes social identity and power relations through Liberian English features and pragmatics. Examples include:</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sentence-final “o” as an emphatic pragmatic marker (“Help me o…”) (Shaw, 2008, p. 6);</w:t>
      </w:r>
    </w:p>
    <w:p w:rsidR="00000000" w:rsidDel="00000000" w:rsidP="00000000" w:rsidRDefault="00000000" w:rsidRPr="00000000" w14:paraId="00000089">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tag question “not so?” in casual interaction (Shaw, 2008, p. 17), which marks conversational alignment and local speech rhythm;</w:t>
      </w:r>
    </w:p>
    <w:p w:rsidR="00000000" w:rsidDel="00000000" w:rsidP="00000000" w:rsidRDefault="00000000" w:rsidRPr="00000000" w14:paraId="0000008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culturally situated expressions such as “suck teeth” as an embodied sign of disapproval are deployed narratively as a gesture that triggers a violent power response (Shaw, 2008, p. 8–9). </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gesture “to suck teeth” (also called “kiss teeth” in other contexts) has West African origins and functions as a semiotic signal of irritation/disrespect—an embodied discourse act that can be socially meaningful. In Shaw’s novel, the gesture is a micro-conflict that reveals the fragility of authority and the volatility of militarized masculinity. It also shows how dialogue is not only printed speech; it includes paralinguistic action reported by the narrator, which Leech &amp; Short treat as part of discourse presentation ecology (Leech &amp; Short, 2007).  Other localized terms used in the text include “lappa,” meaning wrapper; “poppay,” or sometimes spelled “poppeh” (which based on the context of Liberian English) typically refers to a person’s father, a male elder, or an affectionate term for a child/young boy, similar to calling someone “boy” or “buddy”. In the text, it is used to mean the latter.</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Crucially, code-switching is also functional in the book. An armed commander initially addresses the protagonist in “the dialect that most people in the region spoke,” then shifts to English; this switch hints at the protagonist’s education and the commander’s performative authority. The narrative explicitly notes how voice quality and dialect mark class identity (“Americo-Liberian”)—an identity axis historically linked to Liberia’s political stratification. (Encyclopedia Britannica, </w:t>
      </w:r>
      <w:r w:rsidDel="00000000" w:rsidR="00000000" w:rsidRPr="00000000">
        <w:rPr>
          <w:rFonts w:ascii="Times New Roman" w:cs="Times New Roman" w:eastAsia="Times New Roman" w:hAnsi="Times New Roman"/>
          <w:i w:val="1"/>
          <w:rtl w:val="0"/>
        </w:rPr>
        <w:t xml:space="preserve">Liberia–Decades of strife; civil war and after</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4.6 Characterization and focal ethics.</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Characterization in </w:t>
      </w:r>
      <w:r w:rsidDel="00000000" w:rsidR="00000000" w:rsidRPr="00000000">
        <w:rPr>
          <w:rFonts w:ascii="Times New Roman" w:cs="Times New Roman" w:eastAsia="Times New Roman" w:hAnsi="Times New Roman"/>
          <w:i w:val="1"/>
          <w:rtl w:val="0"/>
        </w:rPr>
        <w:t xml:space="preserve">Redemption Road</w:t>
      </w:r>
      <w:r w:rsidDel="00000000" w:rsidR="00000000" w:rsidRPr="00000000">
        <w:rPr>
          <w:rFonts w:ascii="Times New Roman" w:cs="Times New Roman" w:eastAsia="Times New Roman" w:hAnsi="Times New Roman"/>
          <w:rtl w:val="0"/>
        </w:rPr>
        <w:t xml:space="preserve"> is strongly intertwined with the focal technique. The narrator often pairs external observation with internal questioning, producing a layered moral psychology. The protagonist is repeatedly positioned as someone for whom forgetting is impossible and whose memory is both debilitated and morally pressured (Shaw, 2008, p. 11). This framing aligns with Caruth’s trauma model (of unassimilated experience returning later) and “acting out” vs “working through” dynamic (Caruth, 2016). Crucially, the novel’s characterization is ethically binary. Sevcik’s scholarly interpretation of the protagonist as both victim and perpetrator provides an important lens for how stylistic choices (corporeal imagery, shame-silences, evasions, and confessional dialogue) stage moral complexity without flattening it into equivalence (Sevcik, 2020). This complexity is not merely thematic, it is stylistic in the sense that the narrator’s access to consciousness is partial and strategically restricted, producing suspense around “secrets” and around the costs of truth-telling.</w:t>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4.7 Pacing, Suspense, and Temporal Organization.</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novel’s pacing depends on two key characteristics. These are alternating present-time institutional scenes with war-time flashbacks and varying levels of scenic details. War sequences often shift quickly through perceptual details, while institutional scenes linger in dialogue and deliberation. The opening chapter exemplifies this. A memorial service slides into analepsis triggered by auditory recall (“Then she heard the voice…”), collapsing temporal distance and creating a trauma-like time structure. (Shaw, 2008, p. 5–7). This is consistent with Toolan’s account of time manipulations and how they guide reader inference and suspense (Toolan,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2001). Quantitatively, the dialogue-proxy measure (double-quote marks per 1,000 words) shows a slightly higher frequency in Part One than Part Two (mean ~61.8 vs ~54.4). This suggests that early chapters may rely more on confrontational or socially embedded dialogue, while later chapters yield somewhat more narrative exposition / reflection—an interpretively plausible construct as Part Two emphasizes truth processes and aftermath (Mclntyre &amp; Walker, 2019). </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 Thematic Motifs and Quantitative Evidence.</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To connect stylistic patterning to thematic evolution, this paper measures motif-token frequencies by part. The results show a strong directional shift that also resonates with the part titles: Part One, “Time Heals Nothing,” is lexically heavier in “war” and symbolic burdens (e.g., wheelbarrow), while Part Two, “Truth Lights the Way,” increases in “truth,” “forgive,” and public health lexicon.</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72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2: Motif Token Frequency of Part One and Part Two</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Motif Token</w:t>
        <w:tab/>
        <w:tab/>
        <w:tab/>
        <w:t xml:space="preserve">  Part One</w:t>
        <w:tab/>
        <w:tab/>
        <w:tab/>
        <w:tab/>
        <w:t xml:space="preserve">    Part Two</w:t>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ab/>
        <w:tab/>
        <w:tab/>
        <w:t xml:space="preserve"> (Count; Per 10k)</w:t>
        <w:tab/>
        <w:tab/>
        <w:tab/>
        <w:t xml:space="preserve">   (Count; Per 10k)</w:t>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Peace</w:t>
        <w:tab/>
        <w:tab/>
        <w:t xml:space="preserve">                           20; 6.39</w:t>
        <w:tab/>
        <w:tab/>
        <w:tab/>
        <w:tab/>
        <w:t xml:space="preserve">   24; 10.07</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Justice</w:t>
        <w:tab/>
        <w:tab/>
        <w:tab/>
        <w:tab/>
        <w:t xml:space="preserve">   17; 5.43</w:t>
        <w:tab/>
        <w:tab/>
        <w:tab/>
        <w:tab/>
        <w:t xml:space="preserve">    9; 3.78</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Truth</w:t>
        <w:tab/>
        <w:tab/>
        <w:tab/>
        <w:tab/>
        <w:t xml:space="preserve">    3; 0.96</w:t>
        <w:tab/>
        <w:tab/>
        <w:tab/>
        <w:tab/>
        <w:t xml:space="preserve">    9; 3.78</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Forgive</w:t>
        <w:tab/>
        <w:tab/>
        <w:tab/>
        <w:t xml:space="preserve">    2; 0.64</w:t>
        <w:tab/>
        <w:tab/>
        <w:tab/>
        <w:tab/>
        <w:t xml:space="preserve">   12; 5.04</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Reconciliation</w:t>
        <w:tab/>
        <w:tab/>
        <w:t xml:space="preserve">    5; 1.60</w:t>
        <w:tab/>
        <w:tab/>
        <w:tab/>
        <w:tab/>
        <w:t xml:space="preserve">    5; 2.10</w:t>
        <w:tab/>
        <w:tab/>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War</w:t>
        <w:tab/>
        <w:tab/>
        <w:tab/>
        <w:tab/>
        <w:t xml:space="preserve">   54; 17.25</w:t>
        <w:tab/>
        <w:tab/>
        <w:tab/>
        <w:tab/>
        <w:t xml:space="preserve">   33; 13.85</w:t>
        <w:tab/>
        <w:t xml:space="preserve">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Wheelbarrow</w:t>
        <w:tab/>
        <w:tab/>
        <w:tab/>
        <w:t xml:space="preserve">   14; 4.47</w:t>
        <w:tab/>
        <w:tab/>
        <w:tab/>
        <w:tab/>
        <w:t xml:space="preserve">    0; 0.00</w:t>
        <w:tab/>
        <w:tab/>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Tears</w:t>
        <w:tab/>
        <w:tab/>
        <w:tab/>
        <w:tab/>
        <w:t xml:space="preserve">    4; 1.28</w:t>
        <w:tab/>
        <w:tab/>
        <w:tab/>
        <w:tab/>
        <w:t xml:space="preserve">   11; 4.62</w:t>
        <w:tab/>
        <w:tab/>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HIV</w:t>
        <w:tab/>
        <w:tab/>
        <w:tab/>
        <w:tab/>
        <w:t xml:space="preserve">    2; 0.64</w:t>
        <w:tab/>
        <w:tab/>
        <w:tab/>
        <w:tab/>
        <w:t xml:space="preserve">   15; 6.30</w:t>
        <w:tab/>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AIDS</w:t>
        <w:tab/>
        <w:tab/>
        <w:tab/>
        <w:tab/>
        <w:t xml:space="preserve">    1; 0.32</w:t>
        <w:tab/>
        <w:tab/>
        <w:tab/>
        <w:tab/>
        <w:t xml:space="preserve">    8; 3.36</w:t>
        <w:tab/>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These lexical shifts as portrayed in the table above foreground a stylistic claim that the novel’s second half leans toward discourse modes of testimony, forgiveness negotiation, peace and social health aftermath, while the first half carries the heaviest burden of kinetic flight, terror, and immediate violence. Thematically, the novel is not a linear “justice wins” narrative; it is a narrative in which truth and repair become increasingly salient as the plot moves from pursuit to reckoning. Scholarly discussion of Liberia’s TRC and transitional justice options similarly stresses the complexity of sequencing truth, justice, and reconciliation—a complexity that Shaw formalizes at the level of narrative design. (</w:t>
      </w:r>
      <w:r w:rsidDel="00000000" w:rsidR="00000000" w:rsidRPr="00000000">
        <w:rPr>
          <w:rFonts w:ascii="Times New Roman" w:cs="Times New Roman" w:eastAsia="Times New Roman" w:hAnsi="Times New Roman"/>
          <w:i w:val="1"/>
          <w:rtl w:val="0"/>
        </w:rPr>
        <w:t xml:space="preserve">Truth and Reconciliation Commission of Liberia</w:t>
      </w:r>
      <w:r w:rsidDel="00000000" w:rsidR="00000000" w:rsidRPr="00000000">
        <w:rPr>
          <w:rFonts w:ascii="Times New Roman" w:cs="Times New Roman" w:eastAsia="Times New Roman" w:hAnsi="Times New Roman"/>
          <w:rtl w:val="0"/>
        </w:rPr>
        <w:t xml:space="preserve">, 2009)</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 Register, Genre conventions, and Intertextuality.</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Register-switching is one of the novel’s hallmark techniques. The same narrative field accommodates:</w:t>
      </w:r>
    </w:p>
    <w:p w:rsidR="00000000" w:rsidDel="00000000" w:rsidP="00000000" w:rsidRDefault="00000000" w:rsidRPr="00000000" w14:paraId="000000B7">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legal-political register (Temple of Justice; court actors; charges),</w:t>
      </w:r>
    </w:p>
    <w:p w:rsidR="00000000" w:rsidDel="00000000" w:rsidP="00000000" w:rsidRDefault="00000000" w:rsidRPr="00000000" w14:paraId="000000B8">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NGO/development register (programs, counseling sessions, grant/proposal-like talks),</w:t>
      </w:r>
    </w:p>
    <w:p w:rsidR="00000000" w:rsidDel="00000000" w:rsidP="00000000" w:rsidRDefault="00000000" w:rsidRPr="00000000" w14:paraId="000000B9">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vernacular domestic register (family talk; proverbs; conversational tags), and</w:t>
      </w:r>
    </w:p>
    <w:p w:rsidR="00000000" w:rsidDel="00000000" w:rsidP="00000000" w:rsidRDefault="00000000" w:rsidRPr="00000000" w14:paraId="000000BA">
      <w:pPr>
        <w:numPr>
          <w:ilvl w:val="0"/>
          <w:numId w:val="3"/>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religious register (biblical references; providential talk; moral judgment).</w:t>
      </w:r>
    </w:p>
    <w:p w:rsidR="00000000" w:rsidDel="00000000" w:rsidP="00000000" w:rsidRDefault="00000000" w:rsidRPr="00000000" w14:paraId="000000B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“bump-sticker” slogan associated with Doe-era politics—framed as “the rallying cry… in the days following the 1980 coup”—is a prime intertextual register marker (Shaw, 2008, p.12). It imports historical rhetoric into the present narrative, depicting how political language persists as residue. This aligns with historical accounts of  Doe’s coup and PRC formation, including encyclopedic histories of Liberia’s “decades of strife” (Encyclopedia Britannica, </w:t>
      </w:r>
      <w:r w:rsidDel="00000000" w:rsidR="00000000" w:rsidRPr="00000000">
        <w:rPr>
          <w:rFonts w:ascii="Times New Roman" w:cs="Times New Roman" w:eastAsia="Times New Roman" w:hAnsi="Times New Roman"/>
          <w:i w:val="1"/>
          <w:rtl w:val="0"/>
        </w:rPr>
        <w:t xml:space="preserve">Samuel K. Doe</w:t>
      </w:r>
      <w:r w:rsidDel="00000000" w:rsidR="00000000" w:rsidRPr="00000000">
        <w:rPr>
          <w:rFonts w:ascii="Times New Roman" w:cs="Times New Roman" w:eastAsia="Times New Roman" w:hAnsi="Times New Roman"/>
          <w:rtl w:val="0"/>
        </w:rPr>
        <w:t xml:space="preserve">). Intertextuality also works through the Bible and through paratextual definitional framing. These intertexts do not merely decorate; they provide interpretive schemata for a reader navigating competing moral claims (forgiveness vs. justice; redemption as salvation vs. redemption as debt-clearing).</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ind w:left="144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ind w:left="14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w:t>
        <w:tab/>
        <w:tab/>
        <w:t xml:space="preserve">DISCUSSION</w:t>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 results converge on a central proposition: </w:t>
      </w:r>
      <w:r w:rsidDel="00000000" w:rsidR="00000000" w:rsidRPr="00000000">
        <w:rPr>
          <w:rFonts w:ascii="Times New Roman" w:cs="Times New Roman" w:eastAsia="Times New Roman" w:hAnsi="Times New Roman"/>
          <w:i w:val="1"/>
          <w:rtl w:val="0"/>
        </w:rPr>
        <w:t xml:space="preserve">Redemption Road</w:t>
      </w:r>
      <w:r w:rsidDel="00000000" w:rsidR="00000000" w:rsidRPr="00000000">
        <w:rPr>
          <w:rFonts w:ascii="Times New Roman" w:cs="Times New Roman" w:eastAsia="Times New Roman" w:hAnsi="Times New Roman"/>
          <w:rtl w:val="0"/>
        </w:rPr>
        <w:t xml:space="preserve"> is stylistically constructed as a negotiation space in which private trauma, public discourse, and ethical reasoning meet under conditions of social instability. Shaw’s narrative voice does not remain neutral; it calibrates distance and intimacy through focal shifts and discourse presentation. In a sense, therefore, it produces what might be called an “ethics of access.” The reader is granted enough interiority to understand compulsion, shame, and grief. From Leech &amp; Short’s perspective, the novel is especially effective in its management of discourse presentation: direct speech and thought-like fragments appear in pressure moments, while narrative report carries longer spans of explanation and contextualization. The power of the fragment— “Dizzy. Slow motion. Confusion.”—is not simply stylistic flair. It matches what trauma fiction critics describe as the formal difficulty of narrating overwhelming experience, a “structure” of trauma that is reproduced in narrative pacing and syntax (Whitehead, 2004).</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Hallidayan Systemic Functional Linguistics and Appraisal Theory help clarify how the novel distributes responsibility and judgement. Transitivity patterns in violent scenes often foreground material processes (running, pushing, striking) and bodily states (hunger, exhaustion), making the body a grammar of survival. In institutional scenes, the grammar shifts toward mental and verbal processes (thinking, promising, arguing), consistent with a discourse of deliberation and political strategy. Appraisal resources—more importantly negative judgment and fear-laden emotion—are frequently conveyed indirectly through reported perception and metaphor rather than overt authorial condemnation, allowing readers to experience moral horror as inference and empathy rather than instruction. (Halliday &amp; Matthiessen, 2014)</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Sevcik’s “bodily redemption” reading can be seen at play stylistically here. Bodily imagery and corporeal syntax are not simply themes, they are formal carriers of tension (Sevcik, 2020). The protagonist’s body is where history is stored (pain, illness, grief, rape, and assault), and the narrative’s strongest figurative moves (“Atlantic depth”, “wildfire weeping”) treat the body and environment as mutually expressive systems. At the same time, the novel is historically anchored. Its paratextual explanation of “Redemption Road” ties the story’s symbolic geography to the 1980 coup’s violence and to PRC-era political rhetoric, which encyclopedic histories of Liberia identify as turning points in the nation’s later descent into civil war (Encyclopedia Britannica, </w:t>
      </w:r>
      <w:r w:rsidDel="00000000" w:rsidR="00000000" w:rsidRPr="00000000">
        <w:rPr>
          <w:rFonts w:ascii="Times New Roman" w:cs="Times New Roman" w:eastAsia="Times New Roman" w:hAnsi="Times New Roman"/>
          <w:i w:val="1"/>
          <w:rtl w:val="0"/>
        </w:rPr>
        <w:t xml:space="preserve">Samuel K. Doe</w:t>
      </w:r>
      <w:r w:rsidDel="00000000" w:rsidR="00000000" w:rsidRPr="00000000">
        <w:rPr>
          <w:rFonts w:ascii="Times New Roman" w:cs="Times New Roman" w:eastAsia="Times New Roman" w:hAnsi="Times New Roman"/>
          <w:rtl w:val="0"/>
        </w:rPr>
        <w:t xml:space="preserve">). This historical anchoring matters because the novel is not only about individual healing; it is about the difficulty of building “peace” when institutions of justice are perceived as corrupt or captured—an issue echoed in real-world debates over the implementation of the Truth and Reconciliation Commission’s recommendations and the establishment of war crimes accountability apparatuses. </w:t>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Finally, the novel’s vernacular dialogue and pragmatics are stylistically indispensable. The use of “o,” tag questions, and paralinguistic gestures does more than localize. It dramatizes classist and ethnicized perceptions (who “sounds” Americo-Liberian; who can switch into another dialect), showing the linguistic texture of social stratification that historical accounts note as part of Liberia’s long-standing domestic tensions.</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ind w:left="144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VI.</w:t>
        <w:tab/>
        <w:tab/>
        <w:t xml:space="preserve">CONCLUSION</w:t>
      </w: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This stylistic study has shown that Shaw’s </w:t>
      </w:r>
      <w:r w:rsidDel="00000000" w:rsidR="00000000" w:rsidRPr="00000000">
        <w:rPr>
          <w:rFonts w:ascii="Times New Roman" w:cs="Times New Roman" w:eastAsia="Times New Roman" w:hAnsi="Times New Roman"/>
          <w:i w:val="1"/>
          <w:rtl w:val="0"/>
        </w:rPr>
        <w:t xml:space="preserve">Redemption Road</w:t>
      </w:r>
      <w:r w:rsidDel="00000000" w:rsidR="00000000" w:rsidRPr="00000000">
        <w:rPr>
          <w:rFonts w:ascii="Times New Roman" w:cs="Times New Roman" w:eastAsia="Times New Roman" w:hAnsi="Times New Roman"/>
          <w:rtl w:val="0"/>
        </w:rPr>
        <w:t xml:space="preserve"> is best understood not only as a narrative about postwar choices but also as a linguistic architecture for staging the unfinished contest between justice, peace, truth, and forgiveness. The novel’s third-person variable focalization, flashback-driven temporal structure, and alternation of fragmentary trauma syntax with deliberative institutional discourse collectively produce an ethics of representation consistent with major stylistics and trauma-fiction frameworks. Quantitative descriptors—used cautiously—support a meaningful interpretation: Part One emphasizes war lexicon and concrete burdens (the wheelbarrow), while Part Two amplifies truth/forgiveness and public-health aftermath vocabulary (HIV/AIDS), aligning with the sub-sectional title shift from “Time Heals Nothing” to “Truth Lights the Way.” This shift is not a simple redemption-by-forgetting plot; it is a movement toward truth-telling as an enabling condition for any sustainable peace, a position congruent with transitional-justice debates in Liberia following the TRC’s recommendations and subsequent accountability struggles (International Center for Transitional Justice, 2010). </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 sum, Shaw’s craft resides in her ability to make language perform moral tension. These stylistic choices justify the novel’s increasing curricular prominence and its scholarly relevance as a model of how post-conflict fiction can hold together empathy, critique, sociopolitical demand for justice, and stylistic aesthetics.</w:t>
      </w:r>
    </w:p>
    <w:p w:rsidR="00000000" w:rsidDel="00000000" w:rsidP="00000000" w:rsidRDefault="00000000" w:rsidRPr="00000000" w14:paraId="000000C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ind w:left="28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Caruth, C. (2016). </w:t>
      </w:r>
      <w:r w:rsidDel="00000000" w:rsidR="00000000" w:rsidRPr="00000000">
        <w:rPr>
          <w:rFonts w:ascii="Times New Roman" w:cs="Times New Roman" w:eastAsia="Times New Roman" w:hAnsi="Times New Roman"/>
          <w:i w:val="1"/>
          <w:sz w:val="24"/>
          <w:szCs w:val="24"/>
          <w:rtl w:val="0"/>
        </w:rPr>
        <w:t xml:space="preserve">Unclaimed experience: Trauma, narrative, and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(20th anniv. ed.). Johns Hopkins University Press.</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Encyclopedia Britannica. (n.d.). </w:t>
      </w:r>
      <w:r w:rsidDel="00000000" w:rsidR="00000000" w:rsidRPr="00000000">
        <w:rPr>
          <w:rFonts w:ascii="Times New Roman" w:cs="Times New Roman" w:eastAsia="Times New Roman" w:hAnsi="Times New Roman"/>
          <w:i w:val="1"/>
          <w:sz w:val="24"/>
          <w:szCs w:val="24"/>
          <w:rtl w:val="0"/>
        </w:rPr>
        <w:t xml:space="preserve">Liberia—Decades of strife; civil war and  </w:t>
      </w:r>
      <w:r w:rsidDel="00000000" w:rsidR="00000000" w:rsidRPr="00000000">
        <w:rPr>
          <w:rtl w:val="0"/>
        </w:rPr>
      </w:r>
    </w:p>
    <w:p w:rsidR="00000000" w:rsidDel="00000000" w:rsidP="00000000" w:rsidRDefault="00000000" w:rsidRPr="00000000" w14:paraId="000000D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after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Encyclopedia Britannica. (n.d.). </w:t>
      </w:r>
      <w:r w:rsidDel="00000000" w:rsidR="00000000" w:rsidRPr="00000000">
        <w:rPr>
          <w:rFonts w:ascii="Times New Roman" w:cs="Times New Roman" w:eastAsia="Times New Roman" w:hAnsi="Times New Roman"/>
          <w:i w:val="1"/>
          <w:sz w:val="24"/>
          <w:szCs w:val="24"/>
          <w:rtl w:val="0"/>
        </w:rPr>
        <w:t xml:space="preserve">Samuel K. Doe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w:t>
        <w:tab/>
        <w:t xml:space="preserve">Halliday, M. A. K., &amp; Matthiessen, C. M. I. M. (2014). </w:t>
      </w:r>
      <w:r w:rsidDel="00000000" w:rsidR="00000000" w:rsidRPr="00000000">
        <w:rPr>
          <w:rFonts w:ascii="Times New Roman" w:cs="Times New Roman" w:eastAsia="Times New Roman" w:hAnsi="Times New Roman"/>
          <w:i w:val="1"/>
          <w:sz w:val="24"/>
          <w:szCs w:val="24"/>
          <w:rtl w:val="0"/>
        </w:rPr>
        <w:t xml:space="preserve">Halliday’s introduction to  </w:t>
      </w:r>
    </w:p>
    <w:p w:rsidR="00000000" w:rsidDel="00000000" w:rsidP="00000000" w:rsidRDefault="00000000" w:rsidRPr="00000000" w14:paraId="000000E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functional grammar</w:t>
      </w:r>
      <w:r w:rsidDel="00000000" w:rsidR="00000000" w:rsidRPr="00000000">
        <w:rPr>
          <w:rFonts w:ascii="Times New Roman" w:cs="Times New Roman" w:eastAsia="Times New Roman" w:hAnsi="Times New Roman"/>
          <w:sz w:val="24"/>
          <w:szCs w:val="24"/>
          <w:rtl w:val="0"/>
        </w:rPr>
        <w:t xml:space="preserve"> (4th ed.). Routledge.</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International Center for Transitional Justice. (2010). </w:t>
      </w:r>
      <w:r w:rsidDel="00000000" w:rsidR="00000000" w:rsidRPr="00000000">
        <w:rPr>
          <w:rFonts w:ascii="Times New Roman" w:cs="Times New Roman" w:eastAsia="Times New Roman" w:hAnsi="Times New Roman"/>
          <w:i w:val="1"/>
          <w:sz w:val="24"/>
          <w:szCs w:val="24"/>
          <w:rtl w:val="0"/>
        </w:rPr>
        <w:t xml:space="preserve">Beyond the Truth and </w:t>
      </w:r>
      <w:r w:rsidDel="00000000" w:rsidR="00000000" w:rsidRPr="00000000">
        <w:rPr>
          <w:rtl w:val="0"/>
        </w:rPr>
      </w:r>
    </w:p>
    <w:p w:rsidR="00000000" w:rsidDel="00000000" w:rsidP="00000000" w:rsidRDefault="00000000" w:rsidRPr="00000000" w14:paraId="000000E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Reconciliation Commission: Transitional justice options in Liberia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Kachru, Braj. (2006). </w:t>
      </w:r>
      <w:r w:rsidDel="00000000" w:rsidR="00000000" w:rsidRPr="00000000">
        <w:rPr>
          <w:rFonts w:ascii="Times New Roman" w:cs="Times New Roman" w:eastAsia="Times New Roman" w:hAnsi="Times New Roman"/>
          <w:i w:val="1"/>
          <w:sz w:val="24"/>
          <w:szCs w:val="24"/>
          <w:rtl w:val="0"/>
        </w:rPr>
        <w:t xml:space="preserve">The Handbook of World Englishes</w:t>
      </w:r>
      <w:r w:rsidDel="00000000" w:rsidR="00000000" w:rsidRPr="00000000">
        <w:rPr>
          <w:rFonts w:ascii="Times New Roman" w:cs="Times New Roman" w:eastAsia="Times New Roman" w:hAnsi="Times New Roman"/>
          <w:sz w:val="24"/>
          <w:szCs w:val="24"/>
          <w:rtl w:val="0"/>
        </w:rPr>
        <w:t xml:space="preserve">. Blackwell Publisher.</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Leech, G., &amp; Short, M. (2007). </w:t>
      </w:r>
      <w:r w:rsidDel="00000000" w:rsidR="00000000" w:rsidRPr="00000000">
        <w:rPr>
          <w:rFonts w:ascii="Times New Roman" w:cs="Times New Roman" w:eastAsia="Times New Roman" w:hAnsi="Times New Roman"/>
          <w:i w:val="1"/>
          <w:sz w:val="24"/>
          <w:szCs w:val="24"/>
          <w:rtl w:val="0"/>
        </w:rPr>
        <w:t xml:space="preserve">Style in fiction: A linguistic introduction to  </w:t>
      </w:r>
      <w:r w:rsidDel="00000000" w:rsidR="00000000" w:rsidRPr="00000000">
        <w:rPr>
          <w:rtl w:val="0"/>
        </w:rPr>
      </w:r>
    </w:p>
    <w:p w:rsidR="00000000" w:rsidDel="00000000" w:rsidP="00000000" w:rsidRDefault="00000000" w:rsidRPr="00000000" w14:paraId="000000E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English fictional prose</w:t>
      </w:r>
      <w:r w:rsidDel="00000000" w:rsidR="00000000" w:rsidRPr="00000000">
        <w:rPr>
          <w:rFonts w:ascii="Times New Roman" w:cs="Times New Roman" w:eastAsia="Times New Roman" w:hAnsi="Times New Roman"/>
          <w:sz w:val="24"/>
          <w:szCs w:val="24"/>
          <w:rtl w:val="0"/>
        </w:rPr>
        <w:t xml:space="preserve"> (2nd ed.). Routledge.</w:t>
      </w:r>
    </w:p>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tab/>
        <w:t xml:space="preserve">McIntyre, D., &amp; Walker, B. (2019). </w:t>
      </w:r>
      <w:r w:rsidDel="00000000" w:rsidR="00000000" w:rsidRPr="00000000">
        <w:rPr>
          <w:rFonts w:ascii="Times New Roman" w:cs="Times New Roman" w:eastAsia="Times New Roman" w:hAnsi="Times New Roman"/>
          <w:i w:val="1"/>
          <w:sz w:val="24"/>
          <w:szCs w:val="24"/>
          <w:rtl w:val="0"/>
        </w:rPr>
        <w:t xml:space="preserve">Corpus stylistics: Theory and practice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Edinburgh University Press.</w:t>
      </w:r>
    </w:p>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Sevcik, S. (2020). “Peace in the home is peace in the nation”: Redemption </w:t>
      </w:r>
    </w:p>
    <w:p w:rsidR="00000000" w:rsidDel="00000000" w:rsidP="00000000" w:rsidRDefault="00000000" w:rsidRPr="00000000" w14:paraId="000000E9">
      <w:pPr>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after the Liberian civil wars. </w:t>
      </w:r>
      <w:r w:rsidDel="00000000" w:rsidR="00000000" w:rsidRPr="00000000">
        <w:rPr>
          <w:rFonts w:ascii="Times New Roman" w:cs="Times New Roman" w:eastAsia="Times New Roman" w:hAnsi="Times New Roman"/>
          <w:i w:val="1"/>
          <w:sz w:val="24"/>
          <w:szCs w:val="24"/>
          <w:rtl w:val="0"/>
        </w:rPr>
        <w:t xml:space="preserve">Journal of the African Literature  </w:t>
      </w:r>
    </w:p>
    <w:p w:rsidR="00000000" w:rsidDel="00000000" w:rsidP="00000000" w:rsidRDefault="00000000" w:rsidRPr="00000000" w14:paraId="000000E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Association, 15</w:t>
      </w:r>
      <w:r w:rsidDel="00000000" w:rsidR="00000000" w:rsidRPr="00000000">
        <w:rPr>
          <w:rFonts w:ascii="Times New Roman" w:cs="Times New Roman" w:eastAsia="Times New Roman" w:hAnsi="Times New Roman"/>
          <w:sz w:val="24"/>
          <w:szCs w:val="24"/>
          <w:rtl w:val="0"/>
        </w:rPr>
        <w:t xml:space="preserve">(2), 272–288. doi:10.1080/21674736.2020.1839305</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Shaw, E. (2008). </w:t>
      </w:r>
      <w:r w:rsidDel="00000000" w:rsidR="00000000" w:rsidRPr="00000000">
        <w:rPr>
          <w:rFonts w:ascii="Times New Roman" w:cs="Times New Roman" w:eastAsia="Times New Roman" w:hAnsi="Times New Roman"/>
          <w:i w:val="1"/>
          <w:sz w:val="24"/>
          <w:szCs w:val="24"/>
          <w:rtl w:val="0"/>
        </w:rPr>
        <w:t xml:space="preserve">Redemption Road: The quest for peace and justice in  </w:t>
      </w:r>
      <w:r w:rsidDel="00000000" w:rsidR="00000000" w:rsidRPr="00000000">
        <w:rPr>
          <w:rtl w:val="0"/>
        </w:rPr>
      </w:r>
    </w:p>
    <w:p w:rsidR="00000000" w:rsidDel="00000000" w:rsidP="00000000" w:rsidRDefault="00000000" w:rsidRPr="00000000" w14:paraId="000000EC">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Liberia</w:t>
      </w:r>
      <w:r w:rsidDel="00000000" w:rsidR="00000000" w:rsidRPr="00000000">
        <w:rPr>
          <w:rFonts w:ascii="Times New Roman" w:cs="Times New Roman" w:eastAsia="Times New Roman" w:hAnsi="Times New Roman"/>
          <w:sz w:val="24"/>
          <w:szCs w:val="24"/>
          <w:rtl w:val="0"/>
        </w:rPr>
        <w:t xml:space="preserve">. Cotton Tree Press.</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Toolan, M. (2001). </w:t>
      </w:r>
      <w:r w:rsidDel="00000000" w:rsidR="00000000" w:rsidRPr="00000000">
        <w:rPr>
          <w:rFonts w:ascii="Times New Roman" w:cs="Times New Roman" w:eastAsia="Times New Roman" w:hAnsi="Times New Roman"/>
          <w:i w:val="1"/>
          <w:sz w:val="24"/>
          <w:szCs w:val="24"/>
          <w:rtl w:val="0"/>
        </w:rPr>
        <w:t xml:space="preserve">Narrative: A critical linguistic introduction</w:t>
      </w:r>
      <w:r w:rsidDel="00000000" w:rsidR="00000000" w:rsidRPr="00000000">
        <w:rPr>
          <w:rFonts w:ascii="Times New Roman" w:cs="Times New Roman" w:eastAsia="Times New Roman" w:hAnsi="Times New Roman"/>
          <w:sz w:val="24"/>
          <w:szCs w:val="24"/>
          <w:rtl w:val="0"/>
        </w:rPr>
        <w:t xml:space="preserve"> (2nd ed.).  </w:t>
      </w:r>
    </w:p>
    <w:p w:rsidR="00000000" w:rsidDel="00000000" w:rsidP="00000000" w:rsidRDefault="00000000" w:rsidRPr="00000000" w14:paraId="000000E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Routledge.</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Truth and Reconciliation Commission of Liberia. (2009). </w:t>
      </w:r>
      <w:r w:rsidDel="00000000" w:rsidR="00000000" w:rsidRPr="00000000">
        <w:rPr>
          <w:rFonts w:ascii="Times New Roman" w:cs="Times New Roman" w:eastAsia="Times New Roman" w:hAnsi="Times New Roman"/>
          <w:i w:val="1"/>
          <w:sz w:val="24"/>
          <w:szCs w:val="24"/>
          <w:rtl w:val="0"/>
        </w:rPr>
        <w:t xml:space="preserve">Final report</w:t>
      </w:r>
      <w:r w:rsidDel="00000000" w:rsidR="00000000" w:rsidRPr="00000000">
        <w:rPr>
          <w:rFonts w:ascii="Times New Roman" w:cs="Times New Roman" w:eastAsia="Times New Roman" w:hAnsi="Times New Roman"/>
          <w:sz w:val="24"/>
          <w:szCs w:val="24"/>
          <w:rtl w:val="0"/>
        </w:rPr>
        <w:t xml:space="preserve"> (Vols. </w:t>
      </w:r>
    </w:p>
    <w:p w:rsidR="00000000" w:rsidDel="00000000" w:rsidP="00000000" w:rsidRDefault="00000000" w:rsidRPr="00000000" w14:paraId="000000F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Whitehead, A. (2004). </w:t>
      </w:r>
      <w:r w:rsidDel="00000000" w:rsidR="00000000" w:rsidRPr="00000000">
        <w:rPr>
          <w:rFonts w:ascii="Times New Roman" w:cs="Times New Roman" w:eastAsia="Times New Roman" w:hAnsi="Times New Roman"/>
          <w:i w:val="1"/>
          <w:sz w:val="24"/>
          <w:szCs w:val="24"/>
          <w:rtl w:val="0"/>
        </w:rPr>
        <w:t xml:space="preserve">Trauma fiction</w:t>
      </w:r>
      <w:r w:rsidDel="00000000" w:rsidR="00000000" w:rsidRPr="00000000">
        <w:rPr>
          <w:rFonts w:ascii="Times New Roman" w:cs="Times New Roman" w:eastAsia="Times New Roman" w:hAnsi="Times New Roman"/>
          <w:sz w:val="24"/>
          <w:szCs w:val="24"/>
          <w:rtl w:val="0"/>
        </w:rPr>
        <w:t xml:space="preserve">. Edinburgh University Press.</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West African Examinations Council. (2023). </w:t>
      </w:r>
      <w:r w:rsidDel="00000000" w:rsidR="00000000" w:rsidRPr="00000000">
        <w:rPr>
          <w:rFonts w:ascii="Times New Roman" w:cs="Times New Roman" w:eastAsia="Times New Roman" w:hAnsi="Times New Roman"/>
          <w:i w:val="1"/>
          <w:sz w:val="24"/>
          <w:szCs w:val="24"/>
          <w:rtl w:val="0"/>
        </w:rPr>
        <w:t xml:space="preserve">Harmonized list of </w:t>
      </w:r>
      <w:r w:rsidDel="00000000" w:rsidR="00000000" w:rsidRPr="00000000">
        <w:rPr>
          <w:rtl w:val="0"/>
        </w:rPr>
      </w:r>
    </w:p>
    <w:p w:rsidR="00000000" w:rsidDel="00000000" w:rsidP="00000000" w:rsidRDefault="00000000" w:rsidRPr="00000000" w14:paraId="000000F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Literature-in-English texts for WASSCE 2026–2030</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