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03CE2" w14:textId="65F45011" w:rsidR="00A425ED" w:rsidRDefault="006309B0" w:rsidP="00CE67BB">
      <w:pPr>
        <w:spacing w:before="240" w:after="240" w:line="240" w:lineRule="auto"/>
        <w:ind w:left="1440" w:right="1440"/>
        <w:jc w:val="center"/>
        <w:rPr>
          <w:rFonts w:ascii="Times New Roman" w:hAnsi="Times New Roman" w:cs="Times New Roman"/>
          <w:b/>
          <w:bCs/>
          <w:sz w:val="36"/>
          <w:szCs w:val="36"/>
        </w:rPr>
      </w:pPr>
      <w:r>
        <w:rPr>
          <w:rFonts w:ascii="Times New Roman" w:hAnsi="Times New Roman" w:cs="Times New Roman"/>
          <w:b/>
          <w:bCs/>
          <w:sz w:val="36"/>
          <w:szCs w:val="36"/>
        </w:rPr>
        <w:t xml:space="preserve">Criminalization, Stigma, and Barriers to Justice: </w:t>
      </w:r>
      <w:r w:rsidR="00667FD2">
        <w:rPr>
          <w:rFonts w:ascii="Times New Roman" w:hAnsi="Times New Roman" w:cs="Times New Roman"/>
          <w:b/>
          <w:bCs/>
          <w:sz w:val="36"/>
          <w:szCs w:val="36"/>
        </w:rPr>
        <w:t>A Mixed-Methods Implementation Study</w:t>
      </w:r>
      <w:r>
        <w:rPr>
          <w:rFonts w:ascii="Times New Roman" w:hAnsi="Times New Roman" w:cs="Times New Roman"/>
          <w:b/>
          <w:bCs/>
          <w:sz w:val="36"/>
          <w:szCs w:val="36"/>
        </w:rPr>
        <w:t xml:space="preserve"> of Rights-Based HIV Responses for Rural LGBTQ </w:t>
      </w:r>
      <w:r w:rsidR="00430F9E">
        <w:rPr>
          <w:rFonts w:ascii="Times New Roman" w:hAnsi="Times New Roman" w:cs="Times New Roman"/>
          <w:b/>
          <w:bCs/>
          <w:sz w:val="36"/>
          <w:szCs w:val="36"/>
        </w:rPr>
        <w:t>Population</w:t>
      </w:r>
      <w:r>
        <w:rPr>
          <w:rFonts w:ascii="Times New Roman" w:hAnsi="Times New Roman" w:cs="Times New Roman"/>
          <w:b/>
          <w:bCs/>
          <w:sz w:val="36"/>
          <w:szCs w:val="36"/>
        </w:rPr>
        <w:t xml:space="preserve"> in </w:t>
      </w:r>
      <w:proofErr w:type="spellStart"/>
      <w:r>
        <w:rPr>
          <w:rFonts w:ascii="Times New Roman" w:hAnsi="Times New Roman" w:cs="Times New Roman"/>
          <w:b/>
          <w:bCs/>
          <w:sz w:val="36"/>
          <w:szCs w:val="36"/>
        </w:rPr>
        <w:t>Yakurr</w:t>
      </w:r>
      <w:proofErr w:type="spellEnd"/>
      <w:r>
        <w:rPr>
          <w:rFonts w:ascii="Times New Roman" w:hAnsi="Times New Roman" w:cs="Times New Roman"/>
          <w:b/>
          <w:bCs/>
          <w:sz w:val="36"/>
          <w:szCs w:val="36"/>
        </w:rPr>
        <w:t>.</w:t>
      </w:r>
    </w:p>
    <w:p w14:paraId="75EA8D3E" w14:textId="12D395FA" w:rsidR="00B670F2" w:rsidRDefault="00B670F2" w:rsidP="008C7D6F">
      <w:pPr>
        <w:spacing w:before="240" w:after="240" w:line="240" w:lineRule="auto"/>
        <w:ind w:left="1440" w:right="1440"/>
        <w:jc w:val="right"/>
        <w:rPr>
          <w:rFonts w:ascii="Times New Roman" w:hAnsi="Times New Roman" w:cs="Times New Roman"/>
          <w:b/>
          <w:bCs/>
        </w:rPr>
      </w:pPr>
      <w:r w:rsidRPr="001C0E96">
        <w:rPr>
          <w:rFonts w:ascii="Times New Roman" w:hAnsi="Times New Roman" w:cs="Times New Roman"/>
          <w:b/>
          <w:bCs/>
        </w:rPr>
        <w:t>Aondoakaa Lubem</w:t>
      </w:r>
      <w:r w:rsidR="00BC35DA" w:rsidRPr="00BC35DA">
        <w:rPr>
          <w:rFonts w:ascii="Times New Roman" w:hAnsi="Times New Roman" w:cs="Times New Roman"/>
          <w:b/>
          <w:bCs/>
          <w:vertAlign w:val="superscript"/>
        </w:rPr>
        <w:t>1</w:t>
      </w:r>
      <w:r w:rsidRPr="001C0E96">
        <w:rPr>
          <w:rFonts w:ascii="Times New Roman" w:hAnsi="Times New Roman" w:cs="Times New Roman"/>
          <w:b/>
          <w:bCs/>
        </w:rPr>
        <w:t xml:space="preserve">, </w:t>
      </w:r>
      <w:proofErr w:type="spellStart"/>
      <w:r w:rsidR="00CA63C1">
        <w:rPr>
          <w:rFonts w:ascii="Times New Roman" w:hAnsi="Times New Roman" w:cs="Times New Roman"/>
          <w:b/>
          <w:bCs/>
        </w:rPr>
        <w:t>Yojorsam</w:t>
      </w:r>
      <w:proofErr w:type="spellEnd"/>
      <w:r w:rsidR="00CA63C1">
        <w:rPr>
          <w:rFonts w:ascii="Times New Roman" w:hAnsi="Times New Roman" w:cs="Times New Roman"/>
          <w:b/>
          <w:bCs/>
        </w:rPr>
        <w:t xml:space="preserve"> Stephen Okoi</w:t>
      </w:r>
      <w:r w:rsidR="00C322C4" w:rsidRPr="00C322C4">
        <w:rPr>
          <w:rFonts w:ascii="Times New Roman" w:hAnsi="Times New Roman" w:cs="Times New Roman"/>
          <w:b/>
          <w:bCs/>
          <w:vertAlign w:val="superscript"/>
        </w:rPr>
        <w:t>2</w:t>
      </w:r>
      <w:r w:rsidR="00CA63C1">
        <w:rPr>
          <w:rFonts w:ascii="Times New Roman" w:hAnsi="Times New Roman" w:cs="Times New Roman"/>
          <w:b/>
          <w:bCs/>
        </w:rPr>
        <w:t xml:space="preserve">, </w:t>
      </w:r>
      <w:proofErr w:type="spellStart"/>
      <w:r w:rsidR="00BC35DA">
        <w:rPr>
          <w:rFonts w:ascii="Times New Roman" w:hAnsi="Times New Roman" w:cs="Times New Roman"/>
          <w:b/>
          <w:bCs/>
        </w:rPr>
        <w:t>Omini</w:t>
      </w:r>
      <w:proofErr w:type="spellEnd"/>
      <w:r w:rsidR="00BC35DA">
        <w:rPr>
          <w:rFonts w:ascii="Times New Roman" w:hAnsi="Times New Roman" w:cs="Times New Roman"/>
          <w:b/>
          <w:bCs/>
        </w:rPr>
        <w:t xml:space="preserve"> Peter Omini</w:t>
      </w:r>
      <w:r w:rsidR="00C322C4">
        <w:rPr>
          <w:rFonts w:ascii="Times New Roman" w:hAnsi="Times New Roman" w:cs="Times New Roman"/>
          <w:b/>
          <w:bCs/>
          <w:vertAlign w:val="superscript"/>
        </w:rPr>
        <w:t>3</w:t>
      </w:r>
      <w:r w:rsidR="00BC35DA">
        <w:rPr>
          <w:rFonts w:ascii="Times New Roman" w:hAnsi="Times New Roman" w:cs="Times New Roman"/>
          <w:b/>
          <w:bCs/>
        </w:rPr>
        <w:t xml:space="preserve">, </w:t>
      </w:r>
      <w:r w:rsidRPr="001C0E96">
        <w:rPr>
          <w:rFonts w:ascii="Times New Roman" w:hAnsi="Times New Roman" w:cs="Times New Roman"/>
          <w:b/>
          <w:bCs/>
        </w:rPr>
        <w:t xml:space="preserve">Ebenezer </w:t>
      </w:r>
      <w:proofErr w:type="spellStart"/>
      <w:r w:rsidRPr="001C0E96">
        <w:rPr>
          <w:rFonts w:ascii="Times New Roman" w:hAnsi="Times New Roman" w:cs="Times New Roman"/>
          <w:b/>
          <w:bCs/>
        </w:rPr>
        <w:t>Esidene</w:t>
      </w:r>
      <w:proofErr w:type="spellEnd"/>
      <w:r w:rsidRPr="001C0E96">
        <w:rPr>
          <w:rFonts w:ascii="Times New Roman" w:hAnsi="Times New Roman" w:cs="Times New Roman"/>
          <w:b/>
          <w:bCs/>
        </w:rPr>
        <w:t xml:space="preserve"> Eneji</w:t>
      </w:r>
      <w:r w:rsidR="00BC35DA" w:rsidRPr="00BC35DA">
        <w:rPr>
          <w:rFonts w:ascii="Times New Roman" w:hAnsi="Times New Roman" w:cs="Times New Roman"/>
          <w:b/>
          <w:bCs/>
          <w:vertAlign w:val="superscript"/>
        </w:rPr>
        <w:t>1</w:t>
      </w:r>
      <w:r w:rsidR="00A43152">
        <w:rPr>
          <w:rFonts w:ascii="Times New Roman" w:hAnsi="Times New Roman" w:cs="Times New Roman"/>
          <w:b/>
          <w:bCs/>
        </w:rPr>
        <w:t xml:space="preserve">, </w:t>
      </w:r>
    </w:p>
    <w:p w14:paraId="4390FCA8" w14:textId="30BC3095" w:rsidR="001C0E96" w:rsidRDefault="001C0E96" w:rsidP="008C7D6F">
      <w:pPr>
        <w:pStyle w:val="ListParagraph"/>
        <w:numPr>
          <w:ilvl w:val="0"/>
          <w:numId w:val="28"/>
        </w:numPr>
        <w:spacing w:before="240" w:after="240" w:line="240" w:lineRule="auto"/>
        <w:ind w:right="1440"/>
        <w:jc w:val="right"/>
        <w:rPr>
          <w:rFonts w:ascii="Times New Roman" w:hAnsi="Times New Roman" w:cs="Times New Roman"/>
          <w:b/>
          <w:bCs/>
        </w:rPr>
      </w:pPr>
      <w:r w:rsidRPr="00BC35DA">
        <w:rPr>
          <w:rFonts w:ascii="Times New Roman" w:hAnsi="Times New Roman" w:cs="Times New Roman"/>
          <w:b/>
          <w:bCs/>
        </w:rPr>
        <w:t>Department of Programs, Initiative for Health and Equality, Calabar, Cross River State, Nigeria</w:t>
      </w:r>
    </w:p>
    <w:p w14:paraId="4CC472A2" w14:textId="5E720843" w:rsidR="00C322C4" w:rsidRDefault="00C322C4" w:rsidP="008C7D6F">
      <w:pPr>
        <w:pStyle w:val="ListParagraph"/>
        <w:numPr>
          <w:ilvl w:val="0"/>
          <w:numId w:val="28"/>
        </w:numPr>
        <w:spacing w:before="240" w:after="240" w:line="240" w:lineRule="auto"/>
        <w:ind w:right="1440"/>
        <w:jc w:val="right"/>
        <w:rPr>
          <w:rFonts w:ascii="Times New Roman" w:hAnsi="Times New Roman" w:cs="Times New Roman"/>
          <w:b/>
          <w:bCs/>
        </w:rPr>
      </w:pPr>
      <w:r>
        <w:rPr>
          <w:rFonts w:ascii="Times New Roman" w:hAnsi="Times New Roman" w:cs="Times New Roman"/>
          <w:b/>
          <w:bCs/>
        </w:rPr>
        <w:t xml:space="preserve">Department of Public Health University of Calabar, Cross River State, Nigeria </w:t>
      </w:r>
    </w:p>
    <w:p w14:paraId="2E4159A9" w14:textId="19E6C496" w:rsidR="00BC35DA" w:rsidRPr="00BC35DA" w:rsidRDefault="00BC35DA" w:rsidP="008C7D6F">
      <w:pPr>
        <w:pStyle w:val="ListParagraph"/>
        <w:numPr>
          <w:ilvl w:val="0"/>
          <w:numId w:val="28"/>
        </w:numPr>
        <w:spacing w:before="240" w:after="240" w:line="240" w:lineRule="auto"/>
        <w:ind w:right="1440"/>
        <w:jc w:val="right"/>
        <w:rPr>
          <w:rFonts w:ascii="Times New Roman" w:hAnsi="Times New Roman" w:cs="Times New Roman"/>
          <w:b/>
          <w:bCs/>
        </w:rPr>
      </w:pPr>
      <w:r>
        <w:rPr>
          <w:rFonts w:ascii="Times New Roman" w:hAnsi="Times New Roman" w:cs="Times New Roman"/>
          <w:b/>
          <w:bCs/>
        </w:rPr>
        <w:t>College of Community Health, University of Calabar Teaching Hospital Calabar</w:t>
      </w:r>
      <w:r w:rsidR="00C322C4">
        <w:rPr>
          <w:rFonts w:ascii="Times New Roman" w:hAnsi="Times New Roman" w:cs="Times New Roman"/>
          <w:b/>
          <w:bCs/>
        </w:rPr>
        <w:t>, Cross River Nigeria</w:t>
      </w:r>
    </w:p>
    <w:p w14:paraId="7619068E" w14:textId="761D047F" w:rsidR="001C0E96" w:rsidRDefault="00593CCC" w:rsidP="008C7D6F">
      <w:pPr>
        <w:spacing w:before="240" w:after="240" w:line="240" w:lineRule="auto"/>
        <w:ind w:left="1440" w:right="1440"/>
        <w:jc w:val="right"/>
        <w:rPr>
          <w:rFonts w:ascii="Times New Roman" w:hAnsi="Times New Roman" w:cs="Times New Roman"/>
          <w:b/>
          <w:bCs/>
        </w:rPr>
      </w:pPr>
      <w:r>
        <w:rPr>
          <w:rFonts w:ascii="Times New Roman" w:hAnsi="Times New Roman" w:cs="Times New Roman"/>
          <w:b/>
          <w:bCs/>
        </w:rPr>
        <w:t>Corresponding author</w:t>
      </w:r>
      <w:r w:rsidR="008C7D6F">
        <w:rPr>
          <w:rFonts w:ascii="Times New Roman" w:hAnsi="Times New Roman" w:cs="Times New Roman"/>
          <w:b/>
          <w:bCs/>
        </w:rPr>
        <w:t>: Aondoakaa Lubem</w:t>
      </w:r>
    </w:p>
    <w:p w14:paraId="2EDB375A" w14:textId="423493DB" w:rsidR="001C0E96" w:rsidRPr="00596AE5" w:rsidRDefault="001C0E96" w:rsidP="001C0E96">
      <w:pPr>
        <w:spacing w:before="240" w:after="240" w:line="240" w:lineRule="auto"/>
        <w:ind w:left="1440" w:right="1440"/>
        <w:rPr>
          <w:rFonts w:ascii="Times New Roman" w:hAnsi="Times New Roman" w:cs="Times New Roman"/>
          <w:b/>
          <w:bCs/>
          <w:sz w:val="28"/>
          <w:szCs w:val="28"/>
        </w:rPr>
      </w:pPr>
      <w:r w:rsidRPr="00596AE5">
        <w:rPr>
          <w:rFonts w:ascii="Times New Roman" w:hAnsi="Times New Roman" w:cs="Times New Roman"/>
          <w:b/>
          <w:bCs/>
          <w:sz w:val="28"/>
          <w:szCs w:val="28"/>
        </w:rPr>
        <w:t xml:space="preserve">ABSTRACT </w:t>
      </w:r>
    </w:p>
    <w:p w14:paraId="44B5C57E" w14:textId="486AF097" w:rsidR="00BF6D22" w:rsidRPr="00D11E3F" w:rsidRDefault="00737416" w:rsidP="0063042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LGBTQ populations in rural </w:t>
      </w:r>
      <w:r w:rsidR="000107EF">
        <w:rPr>
          <w:rFonts w:ascii="Times New Roman" w:hAnsi="Times New Roman" w:cs="Times New Roman"/>
        </w:rPr>
        <w:t xml:space="preserve">Cross River State, </w:t>
      </w:r>
      <w:r>
        <w:rPr>
          <w:rFonts w:ascii="Times New Roman" w:hAnsi="Times New Roman" w:cs="Times New Roman"/>
        </w:rPr>
        <w:t xml:space="preserve">Nigeria face intersecting barriers to HIV prevention, gender-based violence (GBV) response, and access to justice, driven by criminalization, stigma, and limited availability of inclusive services. This study evaluated a community-led, multi-level intervention implemented in </w:t>
      </w:r>
      <w:proofErr w:type="spellStart"/>
      <w:r>
        <w:rPr>
          <w:rFonts w:ascii="Times New Roman" w:hAnsi="Times New Roman" w:cs="Times New Roman"/>
        </w:rPr>
        <w:t>Yakurr</w:t>
      </w:r>
      <w:proofErr w:type="spellEnd"/>
      <w:r>
        <w:rPr>
          <w:rFonts w:ascii="Times New Roman" w:hAnsi="Times New Roman" w:cs="Times New Roman"/>
        </w:rPr>
        <w:t xml:space="preserve"> Local Government Area, in Cross River State, Nigeria. A convergent mixed-methods implementation study was conducted between August 2023 and December 2024 among LGBTQ individuals in selected rural communities (Ugep, </w:t>
      </w:r>
      <w:proofErr w:type="spellStart"/>
      <w:r>
        <w:rPr>
          <w:rFonts w:ascii="Times New Roman" w:hAnsi="Times New Roman" w:cs="Times New Roman"/>
        </w:rPr>
        <w:t>Mkpani</w:t>
      </w:r>
      <w:proofErr w:type="spellEnd"/>
      <w:r>
        <w:rPr>
          <w:rFonts w:ascii="Times New Roman" w:hAnsi="Times New Roman" w:cs="Times New Roman"/>
        </w:rPr>
        <w:t xml:space="preserve">, </w:t>
      </w:r>
      <w:proofErr w:type="spellStart"/>
      <w:r>
        <w:rPr>
          <w:rFonts w:ascii="Times New Roman" w:hAnsi="Times New Roman" w:cs="Times New Roman"/>
        </w:rPr>
        <w:t>Ekori</w:t>
      </w:r>
      <w:proofErr w:type="spellEnd"/>
      <w:r>
        <w:rPr>
          <w:rFonts w:ascii="Times New Roman" w:hAnsi="Times New Roman" w:cs="Times New Roman"/>
        </w:rPr>
        <w:t xml:space="preserve">, and </w:t>
      </w:r>
      <w:proofErr w:type="spellStart"/>
      <w:r>
        <w:rPr>
          <w:rFonts w:ascii="Times New Roman" w:hAnsi="Times New Roman" w:cs="Times New Roman"/>
        </w:rPr>
        <w:t>Idomi</w:t>
      </w:r>
      <w:proofErr w:type="spellEnd"/>
      <w:r>
        <w:rPr>
          <w:rFonts w:ascii="Times New Roman" w:hAnsi="Times New Roman" w:cs="Times New Roman"/>
        </w:rPr>
        <w:t xml:space="preserve">). </w:t>
      </w:r>
      <w:r w:rsidR="00A37B88" w:rsidRPr="00227EE9">
        <w:rPr>
          <w:rFonts w:ascii="Times New Roman" w:hAnsi="Times New Roman" w:cs="Times New Roman"/>
        </w:rPr>
        <w:t xml:space="preserve">A total of 457 LGBTQ participants were engaged in community dialogues, from which a purposively selected subset of 221 individuals receiving antiretroviral therapy (ART) participated in in-depth interviews. </w:t>
      </w:r>
      <w:r w:rsidRPr="00227EE9">
        <w:rPr>
          <w:rFonts w:ascii="Times New Roman" w:hAnsi="Times New Roman" w:cs="Times New Roman"/>
        </w:rPr>
        <w:t>The intervention comprised p</w:t>
      </w:r>
      <w:r>
        <w:rPr>
          <w:rFonts w:ascii="Times New Roman" w:hAnsi="Times New Roman" w:cs="Times New Roman"/>
        </w:rPr>
        <w:t>eer-led advocacy, community dialogues, GBV response services, safety and security training, and healthcare worker engagement, implemented using Human Rights-Based Approach (HRBA). Quantitative data were analyzed using descriptive and pre-post comparisons, while qualitative data were an</w:t>
      </w:r>
      <w:r w:rsidR="00511F14">
        <w:rPr>
          <w:rFonts w:ascii="Times New Roman" w:hAnsi="Times New Roman" w:cs="Times New Roman"/>
        </w:rPr>
        <w:t xml:space="preserve">alyzed thematically. Findings were triangulated to assess effectiveness and implementation processes. At baseline, 72.4% of participants reported fear of arrest, and 68.9% reported prior exposure to GBV. Following the intervention, knowledge of HIV prevention increased from 54.2% to 81.7%, awareness of legal rights from 35.6% to 73.4%, and awareness of GBV response pathways from 41.3% to 78.9%. A total of 144 GBV survivors accessed integrated support services in addition, 178 </w:t>
      </w:r>
      <w:proofErr w:type="gramStart"/>
      <w:r w:rsidR="003C499A">
        <w:rPr>
          <w:rFonts w:ascii="Times New Roman" w:hAnsi="Times New Roman" w:cs="Times New Roman"/>
        </w:rPr>
        <w:t>individuals</w:t>
      </w:r>
      <w:r w:rsidR="008B6BCF">
        <w:rPr>
          <w:rFonts w:ascii="Times New Roman" w:hAnsi="Times New Roman" w:cs="Times New Roman"/>
        </w:rPr>
        <w:t xml:space="preserve"> </w:t>
      </w:r>
      <w:r w:rsidR="003C499A">
        <w:rPr>
          <w:rFonts w:ascii="Times New Roman" w:hAnsi="Times New Roman" w:cs="Times New Roman"/>
        </w:rPr>
        <w:t>initiated</w:t>
      </w:r>
      <w:proofErr w:type="gramEnd"/>
      <w:r w:rsidR="00511F14">
        <w:rPr>
          <w:rFonts w:ascii="Times New Roman" w:hAnsi="Times New Roman" w:cs="Times New Roman"/>
        </w:rPr>
        <w:t xml:space="preserve"> ART, and 215 accessed viral load testing and counseling. Participants reported increased utilization of community-based GBV reporting mechanisms and improved linkage to LGBTQ-friendly healthcare services. Community-led, rights-based and multi-level interventions </w:t>
      </w:r>
      <w:r w:rsidR="00853D59">
        <w:rPr>
          <w:rFonts w:ascii="Times New Roman" w:hAnsi="Times New Roman" w:cs="Times New Roman"/>
        </w:rPr>
        <w:t xml:space="preserve">were associated with substantial improvements in </w:t>
      </w:r>
      <w:r w:rsidR="00511F14">
        <w:rPr>
          <w:rFonts w:ascii="Times New Roman" w:hAnsi="Times New Roman" w:cs="Times New Roman"/>
        </w:rPr>
        <w:t xml:space="preserve">knowledge, service uptake, and access to justice among LGBTQ populations in criminalized and resource-limited settings. Integrating peer-led systems with community mobilization and institutional engagement provides a scalable model for strengthening HIV and GBV responses in similar contexts. </w:t>
      </w:r>
      <w:r>
        <w:rPr>
          <w:rFonts w:ascii="Times New Roman" w:hAnsi="Times New Roman" w:cs="Times New Roman"/>
        </w:rPr>
        <w:t xml:space="preserve"> </w:t>
      </w:r>
    </w:p>
    <w:p w14:paraId="697F34B5" w14:textId="038574EF" w:rsidR="001057BA" w:rsidRPr="00BC773A" w:rsidRDefault="001057BA" w:rsidP="00FE28C8">
      <w:pPr>
        <w:spacing w:before="240" w:after="240" w:line="240" w:lineRule="auto"/>
        <w:ind w:left="1440" w:right="1440"/>
        <w:jc w:val="both"/>
        <w:rPr>
          <w:rFonts w:ascii="Times New Roman" w:hAnsi="Times New Roman" w:cs="Times New Roman"/>
        </w:rPr>
      </w:pPr>
      <w:r w:rsidRPr="001057BA">
        <w:rPr>
          <w:rFonts w:ascii="Times New Roman" w:hAnsi="Times New Roman" w:cs="Times New Roman"/>
          <w:b/>
          <w:bCs/>
        </w:rPr>
        <w:t>Keywords:</w:t>
      </w:r>
      <w:r>
        <w:rPr>
          <w:rFonts w:ascii="Times New Roman" w:hAnsi="Times New Roman" w:cs="Times New Roman"/>
          <w:b/>
          <w:bCs/>
        </w:rPr>
        <w:t xml:space="preserve"> </w:t>
      </w:r>
      <w:r w:rsidR="00BC773A" w:rsidRPr="00BC773A">
        <w:rPr>
          <w:rFonts w:ascii="Times New Roman" w:hAnsi="Times New Roman" w:cs="Times New Roman"/>
        </w:rPr>
        <w:t>HIV prevention, Gender-Based Violence, LGBTQ Health, Community-led interventions</w:t>
      </w:r>
    </w:p>
    <w:p w14:paraId="3FEB8C79" w14:textId="77777777" w:rsidR="00CE080B" w:rsidRDefault="00CE080B" w:rsidP="00A75591">
      <w:pPr>
        <w:spacing w:before="240" w:after="240" w:line="240" w:lineRule="auto"/>
        <w:ind w:right="1440"/>
        <w:jc w:val="both"/>
        <w:rPr>
          <w:rFonts w:ascii="Times New Roman" w:hAnsi="Times New Roman" w:cs="Times New Roman"/>
          <w:b/>
          <w:bCs/>
        </w:rPr>
      </w:pPr>
    </w:p>
    <w:p w14:paraId="786DCB11" w14:textId="1838099B" w:rsidR="00596AE5" w:rsidRPr="007E56A8" w:rsidRDefault="007E56A8" w:rsidP="00FE28C8">
      <w:pPr>
        <w:spacing w:before="240" w:after="240" w:line="240" w:lineRule="auto"/>
        <w:ind w:left="1440" w:right="1440"/>
        <w:jc w:val="both"/>
        <w:rPr>
          <w:rFonts w:ascii="Times New Roman" w:hAnsi="Times New Roman" w:cs="Times New Roman"/>
          <w:b/>
          <w:bCs/>
        </w:rPr>
      </w:pPr>
      <w:r w:rsidRPr="007E56A8">
        <w:rPr>
          <w:rFonts w:ascii="Times New Roman" w:hAnsi="Times New Roman" w:cs="Times New Roman"/>
          <w:b/>
          <w:bCs/>
        </w:rPr>
        <w:t xml:space="preserve">INTRODUCTION </w:t>
      </w:r>
    </w:p>
    <w:p w14:paraId="6B871D7D" w14:textId="6CFCF6D9" w:rsidR="00732A7B" w:rsidRDefault="00AC6F10" w:rsidP="00F14410">
      <w:pPr>
        <w:spacing w:before="240" w:after="240" w:line="240" w:lineRule="auto"/>
        <w:ind w:left="1440" w:right="1440"/>
        <w:jc w:val="both"/>
        <w:rPr>
          <w:rFonts w:ascii="Times New Roman" w:hAnsi="Times New Roman" w:cs="Times New Roman"/>
        </w:rPr>
      </w:pPr>
      <w:r w:rsidRPr="00AC6F10">
        <w:rPr>
          <w:rFonts w:ascii="Times New Roman" w:hAnsi="Times New Roman" w:cs="Times New Roman"/>
        </w:rPr>
        <w:t xml:space="preserve">Globally, despite significant biomedical </w:t>
      </w:r>
      <w:r>
        <w:rPr>
          <w:rFonts w:ascii="Times New Roman" w:hAnsi="Times New Roman" w:cs="Times New Roman"/>
        </w:rPr>
        <w:t>advances in HIV prevention and treatment, inequities persist among key populations, particularly lesbian, gay, bisexual, transgender, and queer (</w:t>
      </w:r>
      <w:r w:rsidR="003D1822">
        <w:rPr>
          <w:rFonts w:ascii="Times New Roman" w:hAnsi="Times New Roman" w:cs="Times New Roman"/>
        </w:rPr>
        <w:t>LGBTQ</w:t>
      </w:r>
      <w:r>
        <w:rPr>
          <w:rFonts w:ascii="Times New Roman" w:hAnsi="Times New Roman" w:cs="Times New Roman"/>
        </w:rPr>
        <w:t xml:space="preserve">) individuals. Structural barriers including criminalization, stigma, and discrimination continue to undermine equitable access to HIV services and heightened health disparities </w:t>
      </w:r>
      <w:r w:rsidR="003D1669">
        <w:rPr>
          <w:rFonts w:ascii="Times New Roman" w:hAnsi="Times New Roman" w:cs="Times New Roman"/>
        </w:rPr>
        <w:t>[36]</w:t>
      </w:r>
      <w:r>
        <w:rPr>
          <w:rFonts w:ascii="Times New Roman" w:hAnsi="Times New Roman" w:cs="Times New Roman"/>
        </w:rPr>
        <w:t xml:space="preserve">. In sub-Saharan Africa, where HIV burden remains disproportionately high, these barriers are intensified </w:t>
      </w:r>
      <w:r w:rsidR="00732A7B">
        <w:rPr>
          <w:rFonts w:ascii="Times New Roman" w:hAnsi="Times New Roman" w:cs="Times New Roman"/>
        </w:rPr>
        <w:t>by punitive legal environments and entrenched socio-cultural norms that marginalize sexual and gender minorities</w:t>
      </w:r>
      <w:r w:rsidR="001C60F4">
        <w:rPr>
          <w:rFonts w:ascii="Times New Roman" w:hAnsi="Times New Roman" w:cs="Times New Roman"/>
        </w:rPr>
        <w:t xml:space="preserve"> [5,33].</w:t>
      </w:r>
      <w:r w:rsidR="00732A7B">
        <w:rPr>
          <w:rFonts w:ascii="Times New Roman" w:hAnsi="Times New Roman" w:cs="Times New Roman"/>
        </w:rPr>
        <w:t xml:space="preserve"> </w:t>
      </w:r>
    </w:p>
    <w:p w14:paraId="788A9A95" w14:textId="08C0ADE7" w:rsidR="00695EFB" w:rsidRDefault="00695EFB"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Nigeria represents one of the most restrictive environments for </w:t>
      </w:r>
      <w:r w:rsidR="003D1822">
        <w:rPr>
          <w:rFonts w:ascii="Times New Roman" w:hAnsi="Times New Roman" w:cs="Times New Roman"/>
        </w:rPr>
        <w:t>LGBTQ</w:t>
      </w:r>
      <w:r>
        <w:rPr>
          <w:rFonts w:ascii="Times New Roman" w:hAnsi="Times New Roman" w:cs="Times New Roman"/>
        </w:rPr>
        <w:t xml:space="preserve"> populations globally. The enactment of the Same Sex Marriage (Prohibition) Act institutionalized criminal penalties for same-sex relationships and further legitimized widespread stigma, harassment, and violence against </w:t>
      </w:r>
      <w:r w:rsidR="003D1822">
        <w:rPr>
          <w:rFonts w:ascii="Times New Roman" w:hAnsi="Times New Roman" w:cs="Times New Roman"/>
        </w:rPr>
        <w:t>LGBTQ</w:t>
      </w:r>
      <w:r>
        <w:rPr>
          <w:rFonts w:ascii="Times New Roman" w:hAnsi="Times New Roman" w:cs="Times New Roman"/>
        </w:rPr>
        <w:t xml:space="preserve"> </w:t>
      </w:r>
      <w:r w:rsidR="005F2ABF">
        <w:rPr>
          <w:rFonts w:ascii="Times New Roman" w:hAnsi="Times New Roman" w:cs="Times New Roman"/>
        </w:rPr>
        <w:t>[18].</w:t>
      </w:r>
      <w:r>
        <w:rPr>
          <w:rFonts w:ascii="Times New Roman" w:hAnsi="Times New Roman" w:cs="Times New Roman"/>
        </w:rPr>
        <w:t xml:space="preserve"> Empirical evidence indicates that such legal frameworks are strongly associated with reduced access to HIV prevention, testing, and treatment services, as well as increased vulnerability to human rights violations</w:t>
      </w:r>
      <w:r w:rsidR="007220C4">
        <w:rPr>
          <w:rFonts w:ascii="Times New Roman" w:hAnsi="Times New Roman" w:cs="Times New Roman"/>
        </w:rPr>
        <w:t xml:space="preserve"> [29,32]</w:t>
      </w:r>
      <w:r w:rsidR="00DF6BC1">
        <w:rPr>
          <w:rFonts w:ascii="Times New Roman" w:hAnsi="Times New Roman" w:cs="Times New Roman"/>
        </w:rPr>
        <w:t xml:space="preserve">. Criminalization not only drives </w:t>
      </w:r>
      <w:r w:rsidR="003D1822">
        <w:rPr>
          <w:rFonts w:ascii="Times New Roman" w:hAnsi="Times New Roman" w:cs="Times New Roman"/>
        </w:rPr>
        <w:t>LGBTQ</w:t>
      </w:r>
      <w:r w:rsidR="00DF6BC1">
        <w:rPr>
          <w:rFonts w:ascii="Times New Roman" w:hAnsi="Times New Roman" w:cs="Times New Roman"/>
        </w:rPr>
        <w:t xml:space="preserve"> individuals underground but fosters fear of arrest, blackmail, and social exclusion, thereby disrupting engagement across the HIV care continuum</w:t>
      </w:r>
      <w:r w:rsidR="007220C4">
        <w:rPr>
          <w:rFonts w:ascii="Times New Roman" w:hAnsi="Times New Roman" w:cs="Times New Roman"/>
        </w:rPr>
        <w:t xml:space="preserve"> [35].</w:t>
      </w:r>
    </w:p>
    <w:p w14:paraId="101ED654" w14:textId="21B8C259" w:rsidR="00DF6BC1" w:rsidRDefault="00DF6BC1"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Beyond legal constraints, stigma operates at multiple, intersecting levels including individual, interpersonal, and institutional producing cumulative adverse effects on health outcomes. The minority stress theory posits that chronic exposure to stigma, prejudice, and discrimination contributes to heightened psychological distress and risk behaviors among marginalized populations</w:t>
      </w:r>
      <w:r w:rsidR="007220C4">
        <w:rPr>
          <w:rFonts w:ascii="Times New Roman" w:hAnsi="Times New Roman" w:cs="Times New Roman"/>
        </w:rPr>
        <w:t xml:space="preserve"> [26].</w:t>
      </w:r>
      <w:r>
        <w:rPr>
          <w:rFonts w:ascii="Times New Roman" w:hAnsi="Times New Roman" w:cs="Times New Roman"/>
        </w:rPr>
        <w:t xml:space="preserve"> In the </w:t>
      </w:r>
      <w:r w:rsidR="00CE4574">
        <w:rPr>
          <w:rFonts w:ascii="Times New Roman" w:hAnsi="Times New Roman" w:cs="Times New Roman"/>
        </w:rPr>
        <w:t xml:space="preserve">context of HIV, stigma has consistently linked to delayed testing, poor treatment adherence, and reduced viral suppression among </w:t>
      </w:r>
      <w:r w:rsidR="003D1822">
        <w:rPr>
          <w:rFonts w:ascii="Times New Roman" w:hAnsi="Times New Roman" w:cs="Times New Roman"/>
        </w:rPr>
        <w:t>LGBTQ</w:t>
      </w:r>
      <w:r w:rsidR="00CE4574">
        <w:rPr>
          <w:rFonts w:ascii="Times New Roman" w:hAnsi="Times New Roman" w:cs="Times New Roman"/>
        </w:rPr>
        <w:t xml:space="preserve"> individuals </w:t>
      </w:r>
      <w:r w:rsidR="00E15109">
        <w:rPr>
          <w:rFonts w:ascii="Times New Roman" w:hAnsi="Times New Roman" w:cs="Times New Roman"/>
        </w:rPr>
        <w:t>[23]</w:t>
      </w:r>
      <w:r w:rsidR="00CE4574">
        <w:rPr>
          <w:rFonts w:ascii="Times New Roman" w:hAnsi="Times New Roman" w:cs="Times New Roman"/>
        </w:rPr>
        <w:t>. In Nigeria, healthcare settings often reflect broader</w:t>
      </w:r>
      <w:r w:rsidR="00EE4DF4">
        <w:rPr>
          <w:rFonts w:ascii="Times New Roman" w:hAnsi="Times New Roman" w:cs="Times New Roman"/>
        </w:rPr>
        <w:t xml:space="preserve"> societal biases, with documented cases of denial of care, breaches of confidentiality, and discriminatory attitudes among providers</w:t>
      </w:r>
      <w:r w:rsidR="00E15109">
        <w:rPr>
          <w:rFonts w:ascii="Times New Roman" w:hAnsi="Times New Roman" w:cs="Times New Roman"/>
        </w:rPr>
        <w:t xml:space="preserve"> [1].</w:t>
      </w:r>
    </w:p>
    <w:p w14:paraId="624E5E67" w14:textId="4D9D6A78" w:rsidR="00EE4DF4" w:rsidRDefault="00EE4DF4"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these challenges are further compounded in rural and peri-urban settings, where healthcare infrastructure is limited and social visibility is heightened, increasing risks of exposure and victimization. While much of the existing literature focuses on urban </w:t>
      </w:r>
      <w:r w:rsidR="003D1822">
        <w:rPr>
          <w:rFonts w:ascii="Times New Roman" w:hAnsi="Times New Roman" w:cs="Times New Roman"/>
        </w:rPr>
        <w:t>LGBTQ</w:t>
      </w:r>
      <w:r>
        <w:rPr>
          <w:rFonts w:ascii="Times New Roman" w:hAnsi="Times New Roman" w:cs="Times New Roman"/>
        </w:rPr>
        <w:t xml:space="preserve"> populations, there remains a critical gap in understanding the lived realities and service access barriers faced by rural </w:t>
      </w:r>
      <w:r w:rsidR="003D1822">
        <w:rPr>
          <w:rFonts w:ascii="Times New Roman" w:hAnsi="Times New Roman" w:cs="Times New Roman"/>
        </w:rPr>
        <w:t>LGBTQ</w:t>
      </w:r>
      <w:r>
        <w:rPr>
          <w:rFonts w:ascii="Times New Roman" w:hAnsi="Times New Roman" w:cs="Times New Roman"/>
        </w:rPr>
        <w:t xml:space="preserve"> communities in highly criminalized contexts</w:t>
      </w:r>
      <w:r w:rsidR="00D64879">
        <w:rPr>
          <w:rFonts w:ascii="Times New Roman" w:hAnsi="Times New Roman" w:cs="Times New Roman"/>
        </w:rPr>
        <w:t xml:space="preserve"> [33].</w:t>
      </w:r>
      <w:r>
        <w:rPr>
          <w:rFonts w:ascii="Times New Roman" w:hAnsi="Times New Roman" w:cs="Times New Roman"/>
        </w:rPr>
        <w:t xml:space="preserve"> This gap limits the effectiveness of national HIV responses, which often fail to incorporate localized, community-driven strategies that address both structural and social determinants of health.</w:t>
      </w:r>
    </w:p>
    <w:p w14:paraId="64F7DD56" w14:textId="2CC514B5" w:rsidR="00C55003" w:rsidRDefault="00C55003"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In response to these challenges, there is growing recognition of the need for rights-based and community-led approaches to HIV programming. The Human Rights-Based Approach (HRBA)</w:t>
      </w:r>
      <w:r w:rsidR="002825A1">
        <w:rPr>
          <w:rFonts w:ascii="Times New Roman" w:hAnsi="Times New Roman" w:cs="Times New Roman"/>
        </w:rPr>
        <w:t xml:space="preserve"> emphasizes participation, accountability, non-discrimination, and empowerment as core principles for addressing health inequalities </w:t>
      </w:r>
      <w:r w:rsidR="002839DC">
        <w:rPr>
          <w:rFonts w:ascii="Times New Roman" w:hAnsi="Times New Roman" w:cs="Times New Roman"/>
        </w:rPr>
        <w:t>[16]</w:t>
      </w:r>
      <w:r w:rsidR="002825A1">
        <w:rPr>
          <w:rFonts w:ascii="Times New Roman" w:hAnsi="Times New Roman" w:cs="Times New Roman"/>
        </w:rPr>
        <w:t>. Evidence suggests that community-</w:t>
      </w:r>
      <w:r w:rsidR="00BF5D2F">
        <w:rPr>
          <w:rFonts w:ascii="Times New Roman" w:hAnsi="Times New Roman" w:cs="Times New Roman"/>
        </w:rPr>
        <w:t xml:space="preserve">led interventions can significantly improve HIV outcomes by enhancing trust, reducing stigma, and facilitating linkage to care among marginalized populations </w:t>
      </w:r>
      <w:r w:rsidR="002F070B">
        <w:rPr>
          <w:rFonts w:ascii="Times New Roman" w:hAnsi="Times New Roman" w:cs="Times New Roman"/>
        </w:rPr>
        <w:t xml:space="preserve">[36,20]. </w:t>
      </w:r>
      <w:r w:rsidR="00BF5D2F">
        <w:rPr>
          <w:rFonts w:ascii="Times New Roman" w:hAnsi="Times New Roman" w:cs="Times New Roman"/>
        </w:rPr>
        <w:t xml:space="preserve">Such approaches are particularly critical in hostile environments where formal systems may fail to protect or adequately serve </w:t>
      </w:r>
      <w:r w:rsidR="003D1822">
        <w:rPr>
          <w:rFonts w:ascii="Times New Roman" w:hAnsi="Times New Roman" w:cs="Times New Roman"/>
        </w:rPr>
        <w:t>LGBTQ</w:t>
      </w:r>
      <w:r w:rsidR="00BF5D2F">
        <w:rPr>
          <w:rFonts w:ascii="Times New Roman" w:hAnsi="Times New Roman" w:cs="Times New Roman"/>
        </w:rPr>
        <w:t xml:space="preserve"> individuals. </w:t>
      </w:r>
    </w:p>
    <w:p w14:paraId="3E032CDE" w14:textId="717C756B" w:rsidR="00BF5D2F" w:rsidRPr="00E70628" w:rsidRDefault="00BF5D2F"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This study builds on these frameworks by examining a community-driven, HRBA-informed intervention implemented in rural communities in Cross River State, Nigeria. Project aimed to address gender-based violence (GBV), improve access to justice, and strengthen linkage to HIV services among </w:t>
      </w:r>
      <w:r w:rsidR="003D1822">
        <w:rPr>
          <w:rFonts w:ascii="Times New Roman" w:hAnsi="Times New Roman" w:cs="Times New Roman"/>
        </w:rPr>
        <w:t>LGBTQ</w:t>
      </w:r>
      <w:r>
        <w:rPr>
          <w:rFonts w:ascii="Times New Roman" w:hAnsi="Times New Roman" w:cs="Times New Roman"/>
        </w:rPr>
        <w:t xml:space="preserve"> individuals. By integrating peer-led advocacy, community dialogues, and health system engagement, the intervention seeks to reimagine HIV responses in criminalized settings through locally grounded, </w:t>
      </w:r>
      <w:r w:rsidRPr="00E70628">
        <w:rPr>
          <w:rFonts w:ascii="Times New Roman" w:hAnsi="Times New Roman" w:cs="Times New Roman"/>
        </w:rPr>
        <w:t xml:space="preserve">rights-affirming strategies. </w:t>
      </w:r>
    </w:p>
    <w:p w14:paraId="0482E7FC" w14:textId="5F296398" w:rsidR="005648DB" w:rsidRDefault="005648DB" w:rsidP="00F14410">
      <w:pPr>
        <w:spacing w:before="240" w:after="240" w:line="240" w:lineRule="auto"/>
        <w:ind w:left="1440" w:right="1440"/>
        <w:jc w:val="both"/>
        <w:rPr>
          <w:rFonts w:ascii="Times New Roman" w:hAnsi="Times New Roman" w:cs="Times New Roman"/>
        </w:rPr>
      </w:pPr>
      <w:r w:rsidRPr="00E70628">
        <w:rPr>
          <w:rFonts w:ascii="Times New Roman" w:hAnsi="Times New Roman" w:cs="Times New Roman"/>
        </w:rPr>
        <w:t>Conceptually, this study is infor</w:t>
      </w:r>
      <w:r>
        <w:rPr>
          <w:rFonts w:ascii="Times New Roman" w:hAnsi="Times New Roman" w:cs="Times New Roman"/>
        </w:rPr>
        <w:t>med by an integrated framework combining structural</w:t>
      </w:r>
      <w:r w:rsidR="008A7529">
        <w:rPr>
          <w:rFonts w:ascii="Times New Roman" w:hAnsi="Times New Roman" w:cs="Times New Roman"/>
        </w:rPr>
        <w:t xml:space="preserve"> violence theory, minority stress theory, and Human Rights-Based Approach. Structural violence underscores how social, legal, and economic systems produce and reproduce health inequalities </w:t>
      </w:r>
      <w:r w:rsidR="00BF37B3">
        <w:rPr>
          <w:rFonts w:ascii="Times New Roman" w:hAnsi="Times New Roman" w:cs="Times New Roman"/>
        </w:rPr>
        <w:t>[12]</w:t>
      </w:r>
      <w:r w:rsidR="008A7529">
        <w:rPr>
          <w:rFonts w:ascii="Times New Roman" w:hAnsi="Times New Roman" w:cs="Times New Roman"/>
        </w:rPr>
        <w:t xml:space="preserve">, while minority stress theory explains the psychosocial pathways through which stigma impacts health outcomes </w:t>
      </w:r>
      <w:r w:rsidR="002F095E">
        <w:rPr>
          <w:rFonts w:ascii="Times New Roman" w:hAnsi="Times New Roman" w:cs="Times New Roman"/>
        </w:rPr>
        <w:t>[26]</w:t>
      </w:r>
      <w:r w:rsidR="008A7529">
        <w:rPr>
          <w:rFonts w:ascii="Times New Roman" w:hAnsi="Times New Roman" w:cs="Times New Roman"/>
        </w:rPr>
        <w:t xml:space="preserve">. HRBA provides the operational lens for intervention design, emphasizing community ownership and systemic accountability. Together, these frameworks enable a comprehensive analysis of how criminalization and stigma intersect to shape HIV vulnerabilities and how community-led responses can disrupt these dynamics. </w:t>
      </w:r>
    </w:p>
    <w:p w14:paraId="7B8E9306" w14:textId="462863B3" w:rsidR="008A7529" w:rsidRPr="00AC6F10" w:rsidRDefault="00B64E5E" w:rsidP="00C6751C">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By documenting implementation outcomes and lessons learned, this study contributes to the limited but growing body of evidence on rights-based, community-driven HIV interventions in rural, criminalized settings. It offers critical insights for policymakers, donors, and practitioners seeking to design inclusive and effective HIV responses that uphold the dignity and rights of </w:t>
      </w:r>
      <w:r w:rsidR="003D1822">
        <w:rPr>
          <w:rFonts w:ascii="Times New Roman" w:hAnsi="Times New Roman" w:cs="Times New Roman"/>
        </w:rPr>
        <w:t>LGBTQ</w:t>
      </w:r>
      <w:r>
        <w:rPr>
          <w:rFonts w:ascii="Times New Roman" w:hAnsi="Times New Roman" w:cs="Times New Roman"/>
        </w:rPr>
        <w:t xml:space="preserve"> populations in Nigeria and similar context. </w:t>
      </w:r>
      <w:r w:rsidR="00943F8F">
        <w:rPr>
          <w:rFonts w:ascii="Times New Roman" w:hAnsi="Times New Roman" w:cs="Times New Roman"/>
        </w:rPr>
        <w:t xml:space="preserve">The conceptual framework guiding this study is presented in Figure 1, illustrating the interaction between individual, community, and institutional components of the intervention. </w:t>
      </w:r>
    </w:p>
    <w:p w14:paraId="4753DA36" w14:textId="28CA2972" w:rsidR="00EB0E5A" w:rsidRPr="00B60D13" w:rsidRDefault="002D1C43" w:rsidP="00FE28C8">
      <w:pPr>
        <w:spacing w:before="240" w:after="240" w:line="240" w:lineRule="auto"/>
        <w:ind w:left="1440" w:right="1440"/>
        <w:jc w:val="both"/>
        <w:rPr>
          <w:rFonts w:ascii="Times New Roman" w:hAnsi="Times New Roman" w:cs="Times New Roman"/>
          <w:b/>
          <w:bCs/>
        </w:rPr>
      </w:pPr>
      <w:r w:rsidRPr="00B60D13">
        <w:rPr>
          <w:rFonts w:ascii="Times New Roman" w:hAnsi="Times New Roman" w:cs="Times New Roman"/>
          <w:b/>
          <w:bCs/>
        </w:rPr>
        <w:t>METHODOLOGY</w:t>
      </w:r>
    </w:p>
    <w:p w14:paraId="156D436F" w14:textId="0175E26C" w:rsidR="00ED566F" w:rsidRPr="00ED566F" w:rsidRDefault="00ED566F" w:rsidP="00FE28C8">
      <w:pPr>
        <w:spacing w:before="240" w:after="240" w:line="240" w:lineRule="auto"/>
        <w:ind w:left="1440" w:right="1440"/>
        <w:jc w:val="both"/>
        <w:rPr>
          <w:rFonts w:ascii="Times New Roman" w:hAnsi="Times New Roman" w:cs="Times New Roman"/>
          <w:b/>
          <w:bCs/>
        </w:rPr>
      </w:pPr>
      <w:r w:rsidRPr="00ED566F">
        <w:rPr>
          <w:rFonts w:ascii="Times New Roman" w:hAnsi="Times New Roman" w:cs="Times New Roman"/>
          <w:b/>
          <w:bCs/>
        </w:rPr>
        <w:t>Study Design</w:t>
      </w:r>
    </w:p>
    <w:p w14:paraId="3D97B587" w14:textId="75D2D67B" w:rsidR="00F01480" w:rsidRPr="00227EE9" w:rsidRDefault="005052A2" w:rsidP="005052A2">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This study employed a prospective pre-post convergent mixed-methods implementation research design, integrating quantitative and qualitative approaches to evaluate the effectiveness, acceptability, and real-world applicability of a multi-level intervention </w:t>
      </w:r>
      <w:r w:rsidR="00512CF6" w:rsidRPr="00227EE9">
        <w:rPr>
          <w:rFonts w:ascii="Times New Roman" w:hAnsi="Times New Roman" w:cs="Times New Roman"/>
        </w:rPr>
        <w:t xml:space="preserve">addressing barriers to justice, safety, and HIV services uptake among LGBTQ individuals in four rural communities; Ugep, </w:t>
      </w:r>
      <w:proofErr w:type="spellStart"/>
      <w:r w:rsidR="00512CF6" w:rsidRPr="00227EE9">
        <w:rPr>
          <w:rFonts w:ascii="Times New Roman" w:hAnsi="Times New Roman" w:cs="Times New Roman"/>
        </w:rPr>
        <w:t>Mkpani</w:t>
      </w:r>
      <w:proofErr w:type="spellEnd"/>
      <w:r w:rsidR="00512CF6" w:rsidRPr="00227EE9">
        <w:rPr>
          <w:rFonts w:ascii="Times New Roman" w:hAnsi="Times New Roman" w:cs="Times New Roman"/>
        </w:rPr>
        <w:t xml:space="preserve">, </w:t>
      </w:r>
      <w:proofErr w:type="spellStart"/>
      <w:r w:rsidR="00512CF6" w:rsidRPr="00227EE9">
        <w:rPr>
          <w:rFonts w:ascii="Times New Roman" w:hAnsi="Times New Roman" w:cs="Times New Roman"/>
        </w:rPr>
        <w:t>Ekori</w:t>
      </w:r>
      <w:proofErr w:type="spellEnd"/>
      <w:r w:rsidR="00512CF6" w:rsidRPr="00227EE9">
        <w:rPr>
          <w:rFonts w:ascii="Times New Roman" w:hAnsi="Times New Roman" w:cs="Times New Roman"/>
        </w:rPr>
        <w:t xml:space="preserve">, and </w:t>
      </w:r>
      <w:proofErr w:type="spellStart"/>
      <w:r w:rsidR="00512CF6" w:rsidRPr="00227EE9">
        <w:rPr>
          <w:rFonts w:ascii="Times New Roman" w:hAnsi="Times New Roman" w:cs="Times New Roman"/>
        </w:rPr>
        <w:t>Idomi</w:t>
      </w:r>
      <w:proofErr w:type="spellEnd"/>
      <w:r w:rsidR="00512CF6" w:rsidRPr="00227EE9">
        <w:rPr>
          <w:rFonts w:ascii="Times New Roman" w:hAnsi="Times New Roman" w:cs="Times New Roman"/>
        </w:rPr>
        <w:t xml:space="preserve"> located within </w:t>
      </w:r>
      <w:proofErr w:type="spellStart"/>
      <w:r w:rsidR="00512CF6" w:rsidRPr="00227EE9">
        <w:rPr>
          <w:rFonts w:ascii="Times New Roman" w:hAnsi="Times New Roman" w:cs="Times New Roman"/>
        </w:rPr>
        <w:t>Yakurr</w:t>
      </w:r>
      <w:proofErr w:type="spellEnd"/>
      <w:r w:rsidR="00512CF6" w:rsidRPr="00227EE9">
        <w:rPr>
          <w:rFonts w:ascii="Times New Roman" w:hAnsi="Times New Roman" w:cs="Times New Roman"/>
        </w:rPr>
        <w:t xml:space="preserve"> Local Government Area, in Cross River State, Nigeria. The implementation science approach enabled examination not only of intervention outcomes but also of how and why the intervention functioned with</w:t>
      </w:r>
      <w:r w:rsidR="00A05CA2" w:rsidRPr="00227EE9">
        <w:rPr>
          <w:rFonts w:ascii="Times New Roman" w:hAnsi="Times New Roman" w:cs="Times New Roman"/>
        </w:rPr>
        <w:t xml:space="preserve">in highly criminalized and resource-constrained context, including factors influencing uptake, fidelity, and sustainability. Quantitative and qualitative data were collected concurrently and triangulated to enhance validity and provide a comprehensive understanding of both measurable changes and lived experiences [8]. The intervention was implemented between August 2023 and December 2024, following structured sequence of baseline assessment, iterative implementation, and endline evaluation. The study was guided by a Human Rights-Based Approach (HRBA), emphasizing participation, non-discrimination, accountability, and empowerment </w:t>
      </w:r>
      <w:r w:rsidR="00B1700A" w:rsidRPr="00227EE9">
        <w:rPr>
          <w:rFonts w:ascii="Times New Roman" w:hAnsi="Times New Roman" w:cs="Times New Roman"/>
        </w:rPr>
        <w:t xml:space="preserve">[16]. </w:t>
      </w:r>
      <w:r w:rsidR="00C244B6" w:rsidRPr="00227EE9">
        <w:rPr>
          <w:rFonts w:ascii="Times New Roman" w:hAnsi="Times New Roman" w:cs="Times New Roman"/>
        </w:rPr>
        <w:t xml:space="preserve">The quantitative component followed a pre-post (baseline and endline) assessment framework, while qualitative data were collected concurrently to contextualize observed changes. </w:t>
      </w:r>
    </w:p>
    <w:p w14:paraId="5514FE57" w14:textId="7ADEA45A" w:rsidR="00733323" w:rsidRPr="00227EE9" w:rsidRDefault="0015161D" w:rsidP="00CD617F">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As this was a real-world implementation study conducted in a highly criminalized and resource-constrained setting, inclusion of a control or comparison group was not feasible due to ethical, safety, and operational constraints. Instead, a pre-post </w:t>
      </w:r>
      <w:r w:rsidRPr="00227EE9">
        <w:rPr>
          <w:rFonts w:ascii="Times New Roman" w:hAnsi="Times New Roman" w:cs="Times New Roman"/>
        </w:rPr>
        <w:lastRenderedPageBreak/>
        <w:t xml:space="preserve">design combined with mixed-methods triangulation was used to strengthen causal plausibility. This approach is consistent with implementation research in hard-to-reach and high-risk populations. </w:t>
      </w:r>
    </w:p>
    <w:p w14:paraId="2A7FB5CD" w14:textId="64FCE61E" w:rsidR="00D96957" w:rsidRPr="00227EE9" w:rsidRDefault="00D96957" w:rsidP="00D96957">
      <w:pPr>
        <w:spacing w:before="240" w:after="240" w:line="240" w:lineRule="auto"/>
        <w:ind w:left="720" w:right="1440" w:firstLine="720"/>
        <w:jc w:val="both"/>
        <w:rPr>
          <w:rFonts w:ascii="Times New Roman" w:hAnsi="Times New Roman" w:cs="Times New Roman"/>
          <w:b/>
          <w:bCs/>
        </w:rPr>
      </w:pPr>
      <w:r w:rsidRPr="00227EE9">
        <w:rPr>
          <w:rFonts w:ascii="Times New Roman" w:hAnsi="Times New Roman" w:cs="Times New Roman"/>
          <w:b/>
          <w:bCs/>
        </w:rPr>
        <w:t xml:space="preserve">Study Setting </w:t>
      </w:r>
    </w:p>
    <w:p w14:paraId="34D93EFC" w14:textId="4CCAFF4C" w:rsidR="00B1700A" w:rsidRPr="00227EE9" w:rsidRDefault="00B1700A" w:rsidP="00B1700A">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study was conducted in four rural and peri-urban communities; Ugep, </w:t>
      </w:r>
      <w:proofErr w:type="spellStart"/>
      <w:r w:rsidRPr="00227EE9">
        <w:rPr>
          <w:rFonts w:ascii="Times New Roman" w:hAnsi="Times New Roman" w:cs="Times New Roman"/>
        </w:rPr>
        <w:t>Mkpani</w:t>
      </w:r>
      <w:proofErr w:type="spellEnd"/>
      <w:r w:rsidRPr="00227EE9">
        <w:rPr>
          <w:rFonts w:ascii="Times New Roman" w:hAnsi="Times New Roman" w:cs="Times New Roman"/>
        </w:rPr>
        <w:t xml:space="preserve">, </w:t>
      </w:r>
      <w:proofErr w:type="spellStart"/>
      <w:r w:rsidRPr="00227EE9">
        <w:rPr>
          <w:rFonts w:ascii="Times New Roman" w:hAnsi="Times New Roman" w:cs="Times New Roman"/>
        </w:rPr>
        <w:t>Ekori</w:t>
      </w:r>
      <w:proofErr w:type="spellEnd"/>
      <w:r w:rsidRPr="00227EE9">
        <w:rPr>
          <w:rFonts w:ascii="Times New Roman" w:hAnsi="Times New Roman" w:cs="Times New Roman"/>
        </w:rPr>
        <w:t xml:space="preserve">, and </w:t>
      </w:r>
      <w:proofErr w:type="spellStart"/>
      <w:r w:rsidRPr="00227EE9">
        <w:rPr>
          <w:rFonts w:ascii="Times New Roman" w:hAnsi="Times New Roman" w:cs="Times New Roman"/>
        </w:rPr>
        <w:t>Idomi</w:t>
      </w:r>
      <w:proofErr w:type="spellEnd"/>
      <w:r w:rsidRPr="00227EE9">
        <w:rPr>
          <w:rFonts w:ascii="Times New Roman" w:hAnsi="Times New Roman" w:cs="Times New Roman"/>
        </w:rPr>
        <w:t xml:space="preserve"> located within </w:t>
      </w:r>
      <w:proofErr w:type="spellStart"/>
      <w:r w:rsidRPr="00227EE9">
        <w:rPr>
          <w:rFonts w:ascii="Times New Roman" w:hAnsi="Times New Roman" w:cs="Times New Roman"/>
        </w:rPr>
        <w:t>Yakurr</w:t>
      </w:r>
      <w:proofErr w:type="spellEnd"/>
      <w:r w:rsidRPr="00227EE9">
        <w:rPr>
          <w:rFonts w:ascii="Times New Roman" w:hAnsi="Times New Roman" w:cs="Times New Roman"/>
        </w:rPr>
        <w:t xml:space="preserve"> Local Government Area, in Cross River State, Nigeria. These communities are characterized by limited healthcare infrastructure, high levels of stigma, and restricted access to LGBTQ inclusive services, compounded by the broader criminalization of same-sex relationships in Nigeria. Sites were purposively selected based on: </w:t>
      </w:r>
    </w:p>
    <w:p w14:paraId="78B8F543" w14:textId="732706CE"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Documented cases of stigma, discrimination, and gender-based violence (GBV)</w:t>
      </w:r>
    </w:p>
    <w:p w14:paraId="30A2C4F3" w14:textId="393B30AB"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Limited access to HIV prevention and treatment services </w:t>
      </w:r>
    </w:p>
    <w:p w14:paraId="2171A3E0" w14:textId="3D027016"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Presence of existing LGBTQ community networks and peer leaders</w:t>
      </w:r>
    </w:p>
    <w:p w14:paraId="16FFF6A0" w14:textId="3FCE8004" w:rsidR="00B1700A" w:rsidRPr="00227EE9" w:rsidRDefault="00B1700A" w:rsidP="00B1700A">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These contextual characteristics made the setting appropriate for evaluating community-led and rights-based intervention models in high-risk environments. </w:t>
      </w:r>
    </w:p>
    <w:p w14:paraId="4251C37C" w14:textId="5E7EC5AB" w:rsidR="00AA77E9" w:rsidRPr="00227EE9" w:rsidRDefault="00AA77E9" w:rsidP="00AA77E9">
      <w:pPr>
        <w:spacing w:before="240" w:after="240" w:line="240" w:lineRule="auto"/>
        <w:ind w:left="1440" w:right="1440"/>
        <w:jc w:val="both"/>
        <w:rPr>
          <w:rFonts w:ascii="Times New Roman" w:hAnsi="Times New Roman" w:cs="Times New Roman"/>
          <w:b/>
          <w:bCs/>
        </w:rPr>
      </w:pPr>
      <w:r w:rsidRPr="00227EE9">
        <w:rPr>
          <w:rFonts w:ascii="Times New Roman" w:hAnsi="Times New Roman" w:cs="Times New Roman"/>
          <w:b/>
          <w:bCs/>
        </w:rPr>
        <w:t xml:space="preserve">Study Population and Sampling </w:t>
      </w:r>
    </w:p>
    <w:p w14:paraId="09EA4045" w14:textId="2E5F7CA2" w:rsidR="00AA77E9" w:rsidRPr="00227EE9" w:rsidRDefault="008C19C1"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study population comprised LGBTQ individuals, including gay and bisexual men, transgender persons, and other sexual and gender minorities, as well as a subset of individuals currently receiving antiretroviral therapy (ART). A purposive and snowball sampling strategy was employed to recruit participants, appropriate for engaging hidden and criminalized populations while prioritizing safety and </w:t>
      </w:r>
      <w:r w:rsidR="00D2028E" w:rsidRPr="00227EE9">
        <w:rPr>
          <w:rFonts w:ascii="Times New Roman" w:hAnsi="Times New Roman" w:cs="Times New Roman"/>
        </w:rPr>
        <w:t>confidentiality [2]. The following were the inclusion criteria</w:t>
      </w:r>
      <w:r w:rsidR="00917F2B" w:rsidRPr="00227EE9">
        <w:rPr>
          <w:rFonts w:ascii="Times New Roman" w:hAnsi="Times New Roman" w:cs="Times New Roman"/>
        </w:rPr>
        <w:t>:</w:t>
      </w:r>
    </w:p>
    <w:p w14:paraId="77F1D28A" w14:textId="0398A6E5"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Self-identification as </w:t>
      </w:r>
      <w:r w:rsidR="003D1822" w:rsidRPr="00227EE9">
        <w:rPr>
          <w:rFonts w:ascii="Times New Roman" w:hAnsi="Times New Roman" w:cs="Times New Roman"/>
        </w:rPr>
        <w:t>LGBTQ</w:t>
      </w:r>
    </w:p>
    <w:p w14:paraId="604B289E" w14:textId="30EC399E"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Age ≥ 18</w:t>
      </w:r>
      <w:r w:rsidR="00917F2B" w:rsidRPr="00227EE9">
        <w:rPr>
          <w:rFonts w:ascii="Times New Roman" w:hAnsi="Times New Roman" w:cs="Times New Roman"/>
        </w:rPr>
        <w:t xml:space="preserve"> years</w:t>
      </w:r>
    </w:p>
    <w:p w14:paraId="309758C1" w14:textId="0BD50D17"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Residency within the selected communities </w:t>
      </w:r>
    </w:p>
    <w:p w14:paraId="1E261A85" w14:textId="1FC289B9" w:rsidR="00A7706F" w:rsidRDefault="00A7706F"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A total of 457 participants engaged in structured communities’ dialogues and 221 ART recipients participated in in-dept</w:t>
      </w:r>
      <w:r w:rsidR="008F296E" w:rsidRPr="00227EE9">
        <w:rPr>
          <w:rFonts w:ascii="Times New Roman" w:hAnsi="Times New Roman" w:cs="Times New Roman"/>
        </w:rPr>
        <w:t>h</w:t>
      </w:r>
      <w:r w:rsidRPr="00227EE9">
        <w:rPr>
          <w:rFonts w:ascii="Times New Roman" w:hAnsi="Times New Roman" w:cs="Times New Roman"/>
        </w:rPr>
        <w:t xml:space="preserve"> interviews. </w:t>
      </w:r>
      <w:r w:rsidR="00656BB7" w:rsidRPr="00227EE9">
        <w:rPr>
          <w:rFonts w:ascii="Times New Roman" w:hAnsi="Times New Roman" w:cs="Times New Roman"/>
        </w:rPr>
        <w:t>Sample size was determined based on programmatic reach and saturation of qualitative themes, ensuring adequate representation of diverse lived experiences within the study population. While, this approach limits statistical generalizability, it enhances contextual depth, safety, and relevance, consistent with methodological standards for research involving marginalized population.</w:t>
      </w:r>
      <w:r w:rsidR="00E93AD8" w:rsidRPr="00227EE9">
        <w:rPr>
          <w:rFonts w:ascii="Times New Roman" w:hAnsi="Times New Roman" w:cs="Times New Roman"/>
        </w:rPr>
        <w:t xml:space="preserve"> The 221 ART participants were drawn as a subset of the broader sample of 457 participants to provide treatment-methods design. </w:t>
      </w:r>
    </w:p>
    <w:p w14:paraId="7CDAF9C1" w14:textId="4D3278ED" w:rsidR="00D209A7" w:rsidRPr="00227EE9" w:rsidRDefault="00D209A7" w:rsidP="00AA77E9">
      <w:pPr>
        <w:spacing w:before="240" w:after="240" w:line="240" w:lineRule="auto"/>
        <w:ind w:left="1440" w:right="1440"/>
        <w:jc w:val="both"/>
        <w:rPr>
          <w:rFonts w:ascii="Times New Roman" w:hAnsi="Times New Roman" w:cs="Times New Roman"/>
        </w:rPr>
      </w:pPr>
      <w:r w:rsidRPr="00D10E1F">
        <w:rPr>
          <w:rFonts w:ascii="Times New Roman" w:hAnsi="Times New Roman" w:cs="Times New Roman"/>
          <w:highlight w:val="yellow"/>
        </w:rPr>
        <w:t>While the absence of a control group and inferential statistical testing limits causal attribution, the study adopts a robust implementation science approach, combining pre-post assessment with mixed-</w:t>
      </w:r>
      <w:r w:rsidR="00CA41E9" w:rsidRPr="00D10E1F">
        <w:rPr>
          <w:rFonts w:ascii="Times New Roman" w:hAnsi="Times New Roman" w:cs="Times New Roman"/>
          <w:highlight w:val="yellow"/>
        </w:rPr>
        <w:t>methods triangulation</w:t>
      </w:r>
      <w:r w:rsidRPr="00D10E1F">
        <w:rPr>
          <w:rFonts w:ascii="Times New Roman" w:hAnsi="Times New Roman" w:cs="Times New Roman"/>
          <w:highlight w:val="yellow"/>
        </w:rPr>
        <w:t xml:space="preserve"> to enhance causal plausibility in complex, real-world settings where experimental designs are not feasible.</w:t>
      </w:r>
      <w:r>
        <w:rPr>
          <w:rFonts w:ascii="Times New Roman" w:hAnsi="Times New Roman" w:cs="Times New Roman"/>
        </w:rPr>
        <w:t xml:space="preserve"> </w:t>
      </w:r>
    </w:p>
    <w:p w14:paraId="17B07704" w14:textId="2782CFF3" w:rsidR="005F7465" w:rsidRPr="00227EE9" w:rsidRDefault="005F7465" w:rsidP="00AA77E9">
      <w:pPr>
        <w:spacing w:before="240" w:after="240" w:line="240" w:lineRule="auto"/>
        <w:ind w:left="1440" w:right="1440"/>
        <w:jc w:val="both"/>
        <w:rPr>
          <w:rFonts w:ascii="Times New Roman" w:hAnsi="Times New Roman" w:cs="Times New Roman"/>
          <w:b/>
          <w:bCs/>
        </w:rPr>
      </w:pPr>
      <w:r w:rsidRPr="00227EE9">
        <w:rPr>
          <w:rFonts w:ascii="Times New Roman" w:hAnsi="Times New Roman" w:cs="Times New Roman"/>
          <w:b/>
          <w:bCs/>
        </w:rPr>
        <w:t xml:space="preserve">Intervention Description </w:t>
      </w:r>
    </w:p>
    <w:p w14:paraId="39206726" w14:textId="7749C88F" w:rsidR="009C5600" w:rsidRDefault="00656BB7"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intervention comprised a multi-component, community-driven package of rights-affirming strategies, designed to address structural, social, and institutional barriers to HIV service access and justice. Grounded in HRBA and informed by </w:t>
      </w:r>
      <w:r w:rsidRPr="00227EE9">
        <w:rPr>
          <w:rFonts w:ascii="Times New Roman" w:hAnsi="Times New Roman" w:cs="Times New Roman"/>
        </w:rPr>
        <w:lastRenderedPageBreak/>
        <w:t>implementation science principles, the intervention targeted determinants across individual, community, and institutional level. All components were implemented using a standardized yet adaptable framework, ensuring consistency across sites while allowing for contextual responsiveness. Intervention fidelity was maintained through structured training of peer facilitators, use of standardized</w:t>
      </w:r>
      <w:r>
        <w:rPr>
          <w:rFonts w:ascii="Times New Roman" w:hAnsi="Times New Roman" w:cs="Times New Roman"/>
        </w:rPr>
        <w:t xml:space="preserve"> toolkits, and continuous monitoring through </w:t>
      </w:r>
      <w:r w:rsidR="00A55FB6">
        <w:rPr>
          <w:rFonts w:ascii="Times New Roman" w:hAnsi="Times New Roman" w:cs="Times New Roman"/>
        </w:rPr>
        <w:t xml:space="preserve">the project’s Monitoring and Evaluation (M&amp;E) system.  </w:t>
      </w:r>
      <w:r>
        <w:rPr>
          <w:rFonts w:ascii="Times New Roman" w:hAnsi="Times New Roman" w:cs="Times New Roman"/>
        </w:rPr>
        <w:t xml:space="preserve"> </w:t>
      </w:r>
    </w:p>
    <w:p w14:paraId="1A3E8BD4" w14:textId="77777777" w:rsidR="00733323" w:rsidRDefault="00733323" w:rsidP="00AA77E9">
      <w:pPr>
        <w:spacing w:before="240" w:after="240" w:line="240" w:lineRule="auto"/>
        <w:ind w:left="1440" w:right="1440"/>
        <w:jc w:val="both"/>
        <w:rPr>
          <w:rFonts w:ascii="Times New Roman" w:hAnsi="Times New Roman" w:cs="Times New Roman"/>
          <w:b/>
          <w:bCs/>
        </w:rPr>
      </w:pPr>
    </w:p>
    <w:p w14:paraId="1543BB3C" w14:textId="77777777" w:rsidR="00733323" w:rsidRDefault="00733323" w:rsidP="00AA77E9">
      <w:pPr>
        <w:spacing w:before="240" w:after="240" w:line="240" w:lineRule="auto"/>
        <w:ind w:left="1440" w:right="1440"/>
        <w:jc w:val="both"/>
        <w:rPr>
          <w:rFonts w:ascii="Times New Roman" w:hAnsi="Times New Roman" w:cs="Times New Roman"/>
          <w:b/>
          <w:bCs/>
        </w:rPr>
      </w:pPr>
    </w:p>
    <w:p w14:paraId="559F2B2E" w14:textId="02962BEB" w:rsidR="005F7465" w:rsidRDefault="009C5600" w:rsidP="00AA77E9">
      <w:pPr>
        <w:spacing w:before="240" w:after="240" w:line="240" w:lineRule="auto"/>
        <w:ind w:left="1440" w:right="1440"/>
        <w:jc w:val="both"/>
        <w:rPr>
          <w:rFonts w:ascii="Times New Roman" w:hAnsi="Times New Roman" w:cs="Times New Roman"/>
        </w:rPr>
      </w:pPr>
      <w:r w:rsidRPr="009C5600">
        <w:rPr>
          <w:rFonts w:ascii="Times New Roman" w:hAnsi="Times New Roman" w:cs="Times New Roman"/>
          <w:b/>
          <w:bCs/>
        </w:rPr>
        <w:t>Table</w:t>
      </w:r>
      <w:r w:rsidR="002D6668">
        <w:rPr>
          <w:rFonts w:ascii="Times New Roman" w:hAnsi="Times New Roman" w:cs="Times New Roman"/>
          <w:b/>
          <w:bCs/>
        </w:rPr>
        <w:t xml:space="preserve"> </w:t>
      </w:r>
      <w:r w:rsidRPr="009C5600">
        <w:rPr>
          <w:rFonts w:ascii="Times New Roman" w:hAnsi="Times New Roman" w:cs="Times New Roman"/>
          <w:b/>
          <w:bCs/>
        </w:rPr>
        <w:t>1.</w:t>
      </w:r>
      <w:r>
        <w:rPr>
          <w:rFonts w:ascii="Times New Roman" w:hAnsi="Times New Roman" w:cs="Times New Roman"/>
        </w:rPr>
        <w:t xml:space="preserve"> </w:t>
      </w:r>
      <w:r w:rsidR="00982D7B">
        <w:rPr>
          <w:rFonts w:ascii="Times New Roman" w:hAnsi="Times New Roman" w:cs="Times New Roman"/>
        </w:rPr>
        <w:t>Description of Multi-level Intervention Components and Expected Outcomes</w:t>
      </w:r>
      <w:r>
        <w:rPr>
          <w:rFonts w:ascii="Times New Roman" w:hAnsi="Times New Roman" w:cs="Times New Roman"/>
        </w:rPr>
        <w:t xml:space="preserve"> </w:t>
      </w:r>
      <w:r w:rsidR="008E3A06">
        <w:rPr>
          <w:rFonts w:ascii="Times New Roman" w:hAnsi="Times New Roman" w:cs="Times New Roman"/>
        </w:rPr>
        <w:t xml:space="preserve"> </w:t>
      </w:r>
      <w:r w:rsidR="005F7465">
        <w:rPr>
          <w:rFonts w:ascii="Times New Roman" w:hAnsi="Times New Roman" w:cs="Times New Roman"/>
        </w:rPr>
        <w:t xml:space="preserve"> </w:t>
      </w:r>
    </w:p>
    <w:tbl>
      <w:tblPr>
        <w:tblStyle w:val="TableGrid"/>
        <w:tblW w:w="0" w:type="auto"/>
        <w:tblInd w:w="646" w:type="dxa"/>
        <w:tblLook w:val="04A0" w:firstRow="1" w:lastRow="0" w:firstColumn="1" w:lastColumn="0" w:noHBand="0" w:noVBand="1"/>
      </w:tblPr>
      <w:tblGrid>
        <w:gridCol w:w="3129"/>
        <w:gridCol w:w="3960"/>
        <w:gridCol w:w="2951"/>
      </w:tblGrid>
      <w:tr w:rsidR="001D5806" w:rsidRPr="00A51767" w14:paraId="79D2A3AB" w14:textId="77777777" w:rsidTr="001D5806">
        <w:tc>
          <w:tcPr>
            <w:tcW w:w="3129" w:type="dxa"/>
          </w:tcPr>
          <w:p w14:paraId="6519B1B9" w14:textId="663F5214"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 xml:space="preserve">Component </w:t>
            </w:r>
          </w:p>
        </w:tc>
        <w:tc>
          <w:tcPr>
            <w:tcW w:w="3960" w:type="dxa"/>
          </w:tcPr>
          <w:p w14:paraId="25C3F6D4" w14:textId="4DB14C21"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 xml:space="preserve">Description </w:t>
            </w:r>
          </w:p>
        </w:tc>
        <w:tc>
          <w:tcPr>
            <w:tcW w:w="2951" w:type="dxa"/>
          </w:tcPr>
          <w:p w14:paraId="3E8D397A" w14:textId="7DE44D53"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Expected outcome</w:t>
            </w:r>
          </w:p>
        </w:tc>
      </w:tr>
      <w:tr w:rsidR="001D5806" w:rsidRPr="00A51767" w14:paraId="2618447F" w14:textId="77777777" w:rsidTr="001D5806">
        <w:tc>
          <w:tcPr>
            <w:tcW w:w="3129" w:type="dxa"/>
          </w:tcPr>
          <w:p w14:paraId="20DDD860" w14:textId="1B99E3E3"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Community dialogues</w:t>
            </w:r>
          </w:p>
        </w:tc>
        <w:tc>
          <w:tcPr>
            <w:tcW w:w="3960" w:type="dxa"/>
          </w:tcPr>
          <w:p w14:paraId="79C29B16" w14:textId="4F89A8CB" w:rsidR="001D5806" w:rsidRPr="00A51767" w:rsidRDefault="001D5806" w:rsidP="001D5806">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Structured participatory forums facilitated by trained peer human rights defenders using a standardized toolkit; implemented across four communities with approximately 20-30 participants per session in iterative cycles throughout the intervention period </w:t>
            </w:r>
          </w:p>
        </w:tc>
        <w:tc>
          <w:tcPr>
            <w:tcW w:w="2951" w:type="dxa"/>
          </w:tcPr>
          <w:p w14:paraId="730B95D3" w14:textId="537D14CE" w:rsidR="001D5806" w:rsidRPr="00A51767" w:rsidRDefault="001D5806" w:rsidP="001D5806">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Increased awareness, community ownership, and identification of barriers to HIV services and justice </w:t>
            </w:r>
          </w:p>
        </w:tc>
      </w:tr>
      <w:tr w:rsidR="001D5806" w:rsidRPr="00A51767" w14:paraId="3E8A733F" w14:textId="77777777" w:rsidTr="001D5806">
        <w:tc>
          <w:tcPr>
            <w:tcW w:w="3129" w:type="dxa"/>
          </w:tcPr>
          <w:p w14:paraId="0C08892B" w14:textId="3FFC49BF"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Peer-led advocacy &amp; education</w:t>
            </w:r>
          </w:p>
        </w:tc>
        <w:tc>
          <w:tcPr>
            <w:tcW w:w="3960" w:type="dxa"/>
          </w:tcPr>
          <w:p w14:paraId="3E82DF9B" w14:textId="35F2AE83" w:rsidR="001D5806" w:rsidRPr="00A51767" w:rsidRDefault="007B74F8" w:rsidP="007B74F8">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Targeted sessions delivered by trained peer educators on HIV prevention, legal rights, GBV response, and safety planning; conducted repeatedly within communities to reinforce knowledge and engagement </w:t>
            </w:r>
          </w:p>
        </w:tc>
        <w:tc>
          <w:tcPr>
            <w:tcW w:w="2951" w:type="dxa"/>
          </w:tcPr>
          <w:p w14:paraId="267E79B4" w14:textId="7B3D2922" w:rsidR="001D5806" w:rsidRPr="00A51767" w:rsidRDefault="007B74F8" w:rsidP="007B74F8">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Improved knowledge, safer behaviors, and increased uptake of HIV services </w:t>
            </w:r>
          </w:p>
        </w:tc>
      </w:tr>
      <w:tr w:rsidR="001D5806" w:rsidRPr="00A51767" w14:paraId="679F7EE7" w14:textId="77777777" w:rsidTr="001D5806">
        <w:tc>
          <w:tcPr>
            <w:tcW w:w="3129" w:type="dxa"/>
          </w:tcPr>
          <w:p w14:paraId="60741F10" w14:textId="7D2D3183"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Stakeholder engagement </w:t>
            </w:r>
          </w:p>
        </w:tc>
        <w:tc>
          <w:tcPr>
            <w:tcW w:w="3960" w:type="dxa"/>
          </w:tcPr>
          <w:p w14:paraId="61D88738" w14:textId="7E738493" w:rsidR="001D5806" w:rsidRPr="00A51767" w:rsidRDefault="007B74F8"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Periodic accountability forums and dialogues involving healthcare providers, law enforcement, and community leaders to address institutional stigma and discrimination </w:t>
            </w:r>
          </w:p>
        </w:tc>
        <w:tc>
          <w:tcPr>
            <w:tcW w:w="2951" w:type="dxa"/>
          </w:tcPr>
          <w:p w14:paraId="324E5D3B" w14:textId="60840642"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Improved responsiveness of institutions and reduced structural barriers</w:t>
            </w:r>
          </w:p>
        </w:tc>
      </w:tr>
      <w:tr w:rsidR="001D5806" w:rsidRPr="00A51767" w14:paraId="5ADFD461" w14:textId="77777777" w:rsidTr="001D5806">
        <w:tc>
          <w:tcPr>
            <w:tcW w:w="3129" w:type="dxa"/>
          </w:tcPr>
          <w:p w14:paraId="6CD443F9" w14:textId="766C5708"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Safety &amp; Security training </w:t>
            </w:r>
          </w:p>
        </w:tc>
        <w:tc>
          <w:tcPr>
            <w:tcW w:w="3960" w:type="dxa"/>
          </w:tcPr>
          <w:p w14:paraId="2640A26B" w14:textId="03CE25F4"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Group-based capacity-building sessions on risk mitigation, digital safety, and crisis response delivered to community members and peer leaders across implementation </w:t>
            </w:r>
          </w:p>
        </w:tc>
        <w:tc>
          <w:tcPr>
            <w:tcW w:w="2951" w:type="dxa"/>
          </w:tcPr>
          <w:p w14:paraId="3C200599" w14:textId="7184A84E"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Enhanced safety, resilience, and risk management capacity </w:t>
            </w:r>
          </w:p>
        </w:tc>
      </w:tr>
      <w:tr w:rsidR="001D5806" w:rsidRPr="00A51767" w14:paraId="30EE9529" w14:textId="77777777" w:rsidTr="001D5806">
        <w:tc>
          <w:tcPr>
            <w:tcW w:w="3129" w:type="dxa"/>
          </w:tcPr>
          <w:p w14:paraId="57E36FD8" w14:textId="6A720BEF"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Post-GBV Response Services </w:t>
            </w:r>
          </w:p>
        </w:tc>
        <w:tc>
          <w:tcPr>
            <w:tcW w:w="3960" w:type="dxa"/>
          </w:tcPr>
          <w:p w14:paraId="4B468CCE" w14:textId="11C2AE13"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Continuous provision of safe referral pathways and case management linking survivors to psychosocial, legal, and HIV care services throughout the project period</w:t>
            </w:r>
          </w:p>
        </w:tc>
        <w:tc>
          <w:tcPr>
            <w:tcW w:w="2951" w:type="dxa"/>
          </w:tcPr>
          <w:p w14:paraId="3376F046" w14:textId="589AA15B"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Improved access to justice, care, and recover</w:t>
            </w:r>
            <w:r w:rsidR="005F7963">
              <w:rPr>
                <w:rFonts w:ascii="Times New Roman" w:hAnsi="Times New Roman" w:cs="Times New Roman"/>
                <w:sz w:val="18"/>
                <w:szCs w:val="18"/>
              </w:rPr>
              <w:t>y</w:t>
            </w:r>
            <w:r>
              <w:rPr>
                <w:rFonts w:ascii="Times New Roman" w:hAnsi="Times New Roman" w:cs="Times New Roman"/>
                <w:sz w:val="18"/>
                <w:szCs w:val="18"/>
              </w:rPr>
              <w:t xml:space="preserve"> support for GBV survivors</w:t>
            </w:r>
          </w:p>
        </w:tc>
      </w:tr>
    </w:tbl>
    <w:p w14:paraId="1A9E2442" w14:textId="77777777" w:rsidR="00A51767" w:rsidRDefault="00A51767" w:rsidP="00AA77E9">
      <w:pPr>
        <w:spacing w:before="240" w:after="240" w:line="240" w:lineRule="auto"/>
        <w:ind w:left="1440" w:right="1440"/>
        <w:jc w:val="both"/>
        <w:rPr>
          <w:rFonts w:ascii="Times New Roman" w:hAnsi="Times New Roman" w:cs="Times New Roman"/>
        </w:rPr>
      </w:pPr>
    </w:p>
    <w:p w14:paraId="1A205DA8" w14:textId="470296D2" w:rsidR="007D4E0A" w:rsidRDefault="007D4E0A"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these levels were mutually reinforcing, increased individual demand for services, driven by peer-led interventions, was supported by community-level reductions in stigma and enabled by improved institutional responsiveness. Conversely institutional engagement helped legitimize community advocacy efforts, while strengthened community networks facilitated sustained individual participation in HIV and justice services. </w:t>
      </w:r>
    </w:p>
    <w:p w14:paraId="2350E5D3" w14:textId="12DE2091" w:rsidR="007D4E0A" w:rsidRPr="007D4E0A" w:rsidRDefault="007D4E0A"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This integrated, multi-level </w:t>
      </w:r>
      <w:r w:rsidR="00B82FED">
        <w:rPr>
          <w:rFonts w:ascii="Times New Roman" w:hAnsi="Times New Roman" w:cs="Times New Roman"/>
        </w:rPr>
        <w:t>implementation model</w:t>
      </w:r>
      <w:r>
        <w:rPr>
          <w:rFonts w:ascii="Times New Roman" w:hAnsi="Times New Roman" w:cs="Times New Roman"/>
        </w:rPr>
        <w:t xml:space="preserve"> aligns with evidence demonstrating that community-led H</w:t>
      </w:r>
      <w:r w:rsidR="00E511BC">
        <w:rPr>
          <w:rFonts w:ascii="Times New Roman" w:hAnsi="Times New Roman" w:cs="Times New Roman"/>
        </w:rPr>
        <w:t>IV</w:t>
      </w:r>
      <w:r>
        <w:rPr>
          <w:rFonts w:ascii="Times New Roman" w:hAnsi="Times New Roman" w:cs="Times New Roman"/>
        </w:rPr>
        <w:t xml:space="preserve"> interventions are most effective when they simultaneously address structural, social, and individual determinants of health </w:t>
      </w:r>
      <w:r w:rsidR="002B452B">
        <w:rPr>
          <w:rFonts w:ascii="Times New Roman" w:hAnsi="Times New Roman" w:cs="Times New Roman"/>
        </w:rPr>
        <w:t>[20]</w:t>
      </w:r>
      <w:r>
        <w:rPr>
          <w:rFonts w:ascii="Times New Roman" w:hAnsi="Times New Roman" w:cs="Times New Roman"/>
        </w:rPr>
        <w:t>. By linking rights-affirm</w:t>
      </w:r>
      <w:r w:rsidR="00B82FED">
        <w:rPr>
          <w:rFonts w:ascii="Times New Roman" w:hAnsi="Times New Roman" w:cs="Times New Roman"/>
        </w:rPr>
        <w:t xml:space="preserve">ing strategies across levels, the intervention created a coherent pathway for reducing vulnerability, improving service uptake and advancing access to justice among </w:t>
      </w:r>
      <w:r w:rsidR="003D1822">
        <w:rPr>
          <w:rFonts w:ascii="Times New Roman" w:hAnsi="Times New Roman" w:cs="Times New Roman"/>
        </w:rPr>
        <w:t>LGBTQ</w:t>
      </w:r>
      <w:r w:rsidR="00B82FED">
        <w:rPr>
          <w:rFonts w:ascii="Times New Roman" w:hAnsi="Times New Roman" w:cs="Times New Roman"/>
        </w:rPr>
        <w:t xml:space="preserve"> populations in a hostile legal environment. </w:t>
      </w:r>
    </w:p>
    <w:p w14:paraId="0A63595A" w14:textId="6EA67017" w:rsidR="00A51767" w:rsidRPr="00F43C80" w:rsidRDefault="00F43C80" w:rsidP="00AA77E9">
      <w:pPr>
        <w:spacing w:before="240" w:after="240" w:line="240" w:lineRule="auto"/>
        <w:ind w:left="1440" w:right="1440"/>
        <w:jc w:val="both"/>
        <w:rPr>
          <w:rFonts w:ascii="Times New Roman" w:hAnsi="Times New Roman" w:cs="Times New Roman"/>
          <w:b/>
          <w:bCs/>
        </w:rPr>
      </w:pPr>
      <w:r w:rsidRPr="00F43C80">
        <w:rPr>
          <w:rFonts w:ascii="Times New Roman" w:hAnsi="Times New Roman" w:cs="Times New Roman"/>
          <w:b/>
          <w:bCs/>
        </w:rPr>
        <w:t>Implementation Approach</w:t>
      </w:r>
    </w:p>
    <w:p w14:paraId="6BBB30B5" w14:textId="052E7BE8" w:rsidR="00A55FB6" w:rsidRDefault="00A55FB6"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intervention was delivered through a community-embedded, multi-level implementation model, with trained peer facilitators and human rights defenders serving as primary implementers. Their positionality within the communities enhanced trust, cultural relevance, and sustained engagement in a criminalized and high-stigma environment. </w:t>
      </w:r>
      <w:r w:rsidR="00474459">
        <w:rPr>
          <w:rFonts w:ascii="Times New Roman" w:hAnsi="Times New Roman" w:cs="Times New Roman"/>
        </w:rPr>
        <w:t xml:space="preserve">Implementation was iterative and adaptive, guided by continuous feedback from the M&amp;E system. Adjustments </w:t>
      </w:r>
      <w:r w:rsidR="008A2CB9">
        <w:rPr>
          <w:rFonts w:ascii="Times New Roman" w:hAnsi="Times New Roman" w:cs="Times New Roman"/>
        </w:rPr>
        <w:t>were made in response to emerging challenges, participant feedback, and contextual risks, consistent with implementation science best practices. Intervention components were delivered across three interconnected levels:</w:t>
      </w:r>
    </w:p>
    <w:p w14:paraId="311D1298" w14:textId="527766E2" w:rsidR="008A2CB9" w:rsidRPr="00A174C8" w:rsidRDefault="008A2CB9"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 xml:space="preserve">Individual level: peer-led advocacy, safety and security training, and GBV response services to improve knowledge, self-efficacy, and service navigation capacity. </w:t>
      </w:r>
    </w:p>
    <w:p w14:paraId="6BC4F02F" w14:textId="45CB1774" w:rsidR="008A2CB9" w:rsidRPr="00A174C8" w:rsidRDefault="008A2CB9"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Community level: structured dialogues and peer engagement sessions to facilitate</w:t>
      </w:r>
      <w:r w:rsidR="00A174C8" w:rsidRPr="00A174C8">
        <w:rPr>
          <w:rFonts w:ascii="Times New Roman" w:hAnsi="Times New Roman" w:cs="Times New Roman"/>
        </w:rPr>
        <w:t xml:space="preserve"> collective problem identification, reduce stigma, and strengthen social support networks</w:t>
      </w:r>
    </w:p>
    <w:p w14:paraId="565D387E" w14:textId="1CBFA027" w:rsidR="00A174C8" w:rsidRPr="00A174C8" w:rsidRDefault="00A174C8"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Institutional level: stakeholder engagement and accountability forums with healthcare providers, law enforcement, and community leaders to address systemic barriers and improve service responsiveness</w:t>
      </w:r>
    </w:p>
    <w:p w14:paraId="1ED63692" w14:textId="28567F2D" w:rsidR="00A174C8" w:rsidRDefault="00A174C8"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These levels were implemented concurrently</w:t>
      </w:r>
      <w:r w:rsidR="004038C7">
        <w:rPr>
          <w:rFonts w:ascii="Times New Roman" w:hAnsi="Times New Roman" w:cs="Times New Roman"/>
        </w:rPr>
        <w:t xml:space="preserve"> and may have interacted to influence observed outcomes</w:t>
      </w:r>
      <w:r>
        <w:rPr>
          <w:rFonts w:ascii="Times New Roman" w:hAnsi="Times New Roman" w:cs="Times New Roman"/>
        </w:rPr>
        <w:t xml:space="preserve">, creating synergistic effects, where increased demand for services was supported by improved community acceptance and institutional readiness. </w:t>
      </w:r>
    </w:p>
    <w:p w14:paraId="79B24443" w14:textId="555A50B1" w:rsidR="006C1BCB" w:rsidRPr="006C1BCB" w:rsidRDefault="006C1BCB" w:rsidP="00AA77E9">
      <w:pPr>
        <w:spacing w:before="240" w:after="240" w:line="240" w:lineRule="auto"/>
        <w:ind w:left="1440" w:right="1440"/>
        <w:jc w:val="both"/>
        <w:rPr>
          <w:rFonts w:ascii="Times New Roman" w:hAnsi="Times New Roman" w:cs="Times New Roman"/>
          <w:b/>
          <w:bCs/>
        </w:rPr>
      </w:pPr>
      <w:r w:rsidRPr="006C1BCB">
        <w:rPr>
          <w:rFonts w:ascii="Times New Roman" w:hAnsi="Times New Roman" w:cs="Times New Roman"/>
          <w:b/>
          <w:bCs/>
        </w:rPr>
        <w:t>Data Collection Methods</w:t>
      </w:r>
    </w:p>
    <w:p w14:paraId="7A7A3441" w14:textId="32245121" w:rsidR="00CD7349" w:rsidRPr="007928A7" w:rsidRDefault="006C1BCB" w:rsidP="00B80D68">
      <w:pPr>
        <w:spacing w:before="240" w:after="240" w:line="240" w:lineRule="auto"/>
        <w:ind w:left="1440" w:right="1440"/>
        <w:jc w:val="both"/>
        <w:rPr>
          <w:rFonts w:ascii="Times New Roman" w:hAnsi="Times New Roman" w:cs="Times New Roman"/>
        </w:rPr>
      </w:pPr>
      <w:r>
        <w:rPr>
          <w:rFonts w:ascii="Times New Roman" w:hAnsi="Times New Roman" w:cs="Times New Roman"/>
        </w:rPr>
        <w:t>Quantitative and qualitative data were collected concurrently throughout the study period</w:t>
      </w:r>
      <w:r w:rsidR="00CD7349">
        <w:rPr>
          <w:rFonts w:ascii="Times New Roman" w:hAnsi="Times New Roman" w:cs="Times New Roman"/>
        </w:rPr>
        <w:t>.</w:t>
      </w:r>
      <w:r w:rsidR="00B80D68">
        <w:rPr>
          <w:rFonts w:ascii="Times New Roman" w:hAnsi="Times New Roman" w:cs="Times New Roman"/>
        </w:rPr>
        <w:t xml:space="preserve"> </w:t>
      </w:r>
      <w:r w:rsidR="00CD7349">
        <w:rPr>
          <w:rFonts w:ascii="Times New Roman" w:hAnsi="Times New Roman" w:cs="Times New Roman"/>
        </w:rPr>
        <w:t xml:space="preserve">Quantitative data were obtained through a structured pre- and post- intervention assessments administered during community dialogue sessions. </w:t>
      </w:r>
      <w:r w:rsidR="009717A0">
        <w:rPr>
          <w:rFonts w:ascii="Times New Roman" w:hAnsi="Times New Roman" w:cs="Times New Roman"/>
        </w:rPr>
        <w:t xml:space="preserve">Pre-and post-intervention assessments were conducted among participants attending community dialogue </w:t>
      </w:r>
      <w:r w:rsidR="004038C7">
        <w:rPr>
          <w:rFonts w:ascii="Times New Roman" w:hAnsi="Times New Roman" w:cs="Times New Roman"/>
        </w:rPr>
        <w:t>sessions;</w:t>
      </w:r>
      <w:r w:rsidR="009717A0">
        <w:rPr>
          <w:rFonts w:ascii="Times New Roman" w:hAnsi="Times New Roman" w:cs="Times New Roman"/>
        </w:rPr>
        <w:t xml:space="preserve"> </w:t>
      </w:r>
      <w:r w:rsidR="004038C7">
        <w:rPr>
          <w:rFonts w:ascii="Times New Roman" w:hAnsi="Times New Roman" w:cs="Times New Roman"/>
        </w:rPr>
        <w:t>however,</w:t>
      </w:r>
      <w:r w:rsidR="009717A0">
        <w:rPr>
          <w:rFonts w:ascii="Times New Roman" w:hAnsi="Times New Roman" w:cs="Times New Roman"/>
        </w:rPr>
        <w:t xml:space="preserve"> responses were analyzed at the aggregate level, and individual-level matching was not performed. </w:t>
      </w:r>
      <w:r w:rsidR="00CD7349">
        <w:rPr>
          <w:rFonts w:ascii="Times New Roman" w:hAnsi="Times New Roman" w:cs="Times New Roman"/>
        </w:rPr>
        <w:t xml:space="preserve">These tools measured changes in HIV knowledge, legal awareness, GBV response knowledge, and service uptake indicators. Qualitative data were collected through in-depth interviews with ART recipients using semi-structured interview guides exploring </w:t>
      </w:r>
      <w:r w:rsidR="00CD7349">
        <w:rPr>
          <w:rFonts w:ascii="Times New Roman" w:hAnsi="Times New Roman" w:cs="Times New Roman"/>
        </w:rPr>
        <w:lastRenderedPageBreak/>
        <w:t>experiences of stigma, access to services, safety, and perceptions of the intervention.</w:t>
      </w:r>
      <w:r w:rsidR="00B80D68">
        <w:rPr>
          <w:rFonts w:ascii="Times New Roman" w:hAnsi="Times New Roman" w:cs="Times New Roman"/>
        </w:rPr>
        <w:t xml:space="preserve"> </w:t>
      </w:r>
      <w:r w:rsidR="00CD7349">
        <w:rPr>
          <w:rFonts w:ascii="Times New Roman" w:hAnsi="Times New Roman" w:cs="Times New Roman"/>
        </w:rPr>
        <w:t>Data collection was conducted by trained peer researchers to enhance trust and reduce reportin</w:t>
      </w:r>
      <w:r w:rsidR="00CD7349" w:rsidRPr="007928A7">
        <w:rPr>
          <w:rFonts w:ascii="Times New Roman" w:hAnsi="Times New Roman" w:cs="Times New Roman"/>
        </w:rPr>
        <w:t>g bias.</w:t>
      </w:r>
      <w:r w:rsidR="000B7E80" w:rsidRPr="007928A7">
        <w:rPr>
          <w:rFonts w:ascii="Times New Roman" w:hAnsi="Times New Roman" w:cs="Times New Roman"/>
        </w:rPr>
        <w:t xml:space="preserve"> </w:t>
      </w:r>
      <w:r w:rsidR="00B80D68" w:rsidRPr="007928A7">
        <w:rPr>
          <w:rFonts w:ascii="Times New Roman" w:hAnsi="Times New Roman" w:cs="Times New Roman"/>
        </w:rPr>
        <w:t xml:space="preserve">Primary outcomes included changes in HIV prevention knowledge, legal rights awareness, and awareness of GBV response pathways. Secondary outcomes included uptake of HIV services (ART initiation and viral load testing), utilization of GBV response services, and perceived safety and resilience. Implementation outcomes such as acceptability, reach, and feasibility were also assessed. </w:t>
      </w:r>
      <w:r w:rsidR="000B7E80" w:rsidRPr="007928A7">
        <w:rPr>
          <w:rFonts w:ascii="Times New Roman" w:hAnsi="Times New Roman" w:cs="Times New Roman"/>
        </w:rPr>
        <w:t xml:space="preserve">Data collection tools were developed based on programmatic indicators and informed by existing literature on HIV prevention, GBV, and human rights in similar contexts. The tools were reviewed by project staff and pilot-tested within the community to ensure clarity, cultural relevance, and appropriateness before full implementation. </w:t>
      </w:r>
    </w:p>
    <w:p w14:paraId="5EE9A418" w14:textId="20B5A369" w:rsidR="00CD7349" w:rsidRPr="007928A7" w:rsidRDefault="00CD7349" w:rsidP="00AA77E9">
      <w:pPr>
        <w:spacing w:before="240" w:after="240" w:line="240" w:lineRule="auto"/>
        <w:ind w:left="1440" w:right="1440"/>
        <w:jc w:val="both"/>
        <w:rPr>
          <w:rFonts w:ascii="Times New Roman" w:hAnsi="Times New Roman" w:cs="Times New Roman"/>
          <w:b/>
          <w:bCs/>
        </w:rPr>
      </w:pPr>
      <w:r w:rsidRPr="007928A7">
        <w:rPr>
          <w:rFonts w:ascii="Times New Roman" w:hAnsi="Times New Roman" w:cs="Times New Roman"/>
          <w:b/>
          <w:bCs/>
        </w:rPr>
        <w:t>Data Analysis</w:t>
      </w:r>
    </w:p>
    <w:p w14:paraId="6D3F1642" w14:textId="2C03D18F" w:rsidR="00750160" w:rsidRPr="007928A7" w:rsidRDefault="0063710C" w:rsidP="00AA77E9">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Quantitative data were analyzed using descriptive statistical approaches to summarize participant characteristics and key indicators. Frequencies and proportions were calculated to describe baseline conditions and post-intervention outcomes. Changes between assessed using percentage point differences to estimate the magnitude and direction of change across key variables, in</w:t>
      </w:r>
      <w:r w:rsidR="00921FF9" w:rsidRPr="007928A7">
        <w:rPr>
          <w:rFonts w:ascii="Times New Roman" w:hAnsi="Times New Roman" w:cs="Times New Roman"/>
        </w:rPr>
        <w:t xml:space="preserve">cluding HIV knowledge, legal awareness, and awareness GBV response pathways. Given the non-randomized and programmatic nature of the study, no formal inferential statistic tests were conducted, and findings are interpreted as indicative of trends and association rather than </w:t>
      </w:r>
      <w:r w:rsidR="00780388" w:rsidRPr="007928A7">
        <w:rPr>
          <w:rFonts w:ascii="Times New Roman" w:hAnsi="Times New Roman" w:cs="Times New Roman"/>
        </w:rPr>
        <w:t xml:space="preserve">notable change </w:t>
      </w:r>
      <w:r w:rsidR="00921FF9" w:rsidRPr="007928A7">
        <w:rPr>
          <w:rFonts w:ascii="Times New Roman" w:hAnsi="Times New Roman" w:cs="Times New Roman"/>
        </w:rPr>
        <w:t>effects or causal relationships.</w:t>
      </w:r>
    </w:p>
    <w:p w14:paraId="23EA5BEE" w14:textId="394E84B6" w:rsidR="00E34549" w:rsidRDefault="00E34549" w:rsidP="001E096F">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Qualitative data were analyzed using thematic analysis, following an iterative process of familiarization, codding, and theme development. Coding was conducted by trained members of the research team, with regular discussions to ensure consistency and resolve discrepancies.</w:t>
      </w:r>
      <w:r w:rsidR="001E096F" w:rsidRPr="007928A7">
        <w:rPr>
          <w:rFonts w:ascii="Times New Roman" w:hAnsi="Times New Roman" w:cs="Times New Roman"/>
        </w:rPr>
        <w:t xml:space="preserve"> </w:t>
      </w:r>
      <w:r w:rsidRPr="007928A7">
        <w:rPr>
          <w:rFonts w:ascii="Times New Roman" w:hAnsi="Times New Roman" w:cs="Times New Roman"/>
        </w:rPr>
        <w:t xml:space="preserve">Quantitative and qualitative findings were integrated at the interpretation stage using triangulation, allowing convergence of numerical trends with participant experiences to strengthen the credibility and contextual understanding of the findings. </w:t>
      </w:r>
    </w:p>
    <w:p w14:paraId="5DE601C8" w14:textId="56FF70B6" w:rsidR="00CC0F20" w:rsidRDefault="00CC0F20" w:rsidP="001E096F">
      <w:pPr>
        <w:spacing w:before="240" w:after="240" w:line="240" w:lineRule="auto"/>
        <w:ind w:left="1440" w:right="1440"/>
        <w:jc w:val="both"/>
        <w:rPr>
          <w:rFonts w:ascii="Times New Roman" w:hAnsi="Times New Roman" w:cs="Times New Roman"/>
        </w:rPr>
      </w:pPr>
      <w:r w:rsidRPr="00CC0F20">
        <w:rPr>
          <w:rFonts w:ascii="Times New Roman" w:hAnsi="Times New Roman" w:cs="Times New Roman"/>
          <w:highlight w:val="yellow"/>
        </w:rPr>
        <w:t>Although inferential statistical tests were not conducted, the use of consistent pre-post measurement across key indicators and convergence with qualitative findings strengthens confidence in the observed trends.</w:t>
      </w:r>
      <w:r>
        <w:rPr>
          <w:rFonts w:ascii="Times New Roman" w:hAnsi="Times New Roman" w:cs="Times New Roman"/>
        </w:rPr>
        <w:t xml:space="preserve"> </w:t>
      </w:r>
    </w:p>
    <w:p w14:paraId="60D1A4DB" w14:textId="77777777" w:rsidR="00CC0F20" w:rsidRPr="007928A7" w:rsidRDefault="00CC0F20" w:rsidP="001E096F">
      <w:pPr>
        <w:spacing w:before="240" w:after="240" w:line="240" w:lineRule="auto"/>
        <w:ind w:left="1440" w:right="1440"/>
        <w:jc w:val="both"/>
        <w:rPr>
          <w:rFonts w:ascii="Times New Roman" w:hAnsi="Times New Roman" w:cs="Times New Roman"/>
        </w:rPr>
      </w:pPr>
    </w:p>
    <w:p w14:paraId="115CBAB7" w14:textId="69447D46" w:rsidR="00750160" w:rsidRPr="007928A7" w:rsidRDefault="00750160" w:rsidP="00AA77E9">
      <w:pPr>
        <w:spacing w:before="240" w:after="240" w:line="240" w:lineRule="auto"/>
        <w:ind w:left="1440" w:right="1440"/>
        <w:jc w:val="both"/>
        <w:rPr>
          <w:rFonts w:ascii="Times New Roman" w:hAnsi="Times New Roman" w:cs="Times New Roman"/>
          <w:b/>
          <w:bCs/>
        </w:rPr>
      </w:pPr>
      <w:r w:rsidRPr="007928A7">
        <w:rPr>
          <w:rFonts w:ascii="Times New Roman" w:hAnsi="Times New Roman" w:cs="Times New Roman"/>
          <w:b/>
          <w:bCs/>
        </w:rPr>
        <w:t>Ethical Considerations</w:t>
      </w:r>
    </w:p>
    <w:p w14:paraId="335B00A0" w14:textId="6E26EDD0" w:rsidR="00A55FB6" w:rsidRPr="007928A7" w:rsidRDefault="0027192A" w:rsidP="00444F1A">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 xml:space="preserve">This study was conducted as a community-based implementation research and programmatic evaluation in a highly sensitive and criminalized context. </w:t>
      </w:r>
      <w:r w:rsidR="00DD2371" w:rsidRPr="007928A7">
        <w:rPr>
          <w:rFonts w:ascii="Times New Roman" w:hAnsi="Times New Roman" w:cs="Times New Roman"/>
        </w:rPr>
        <w:t xml:space="preserve">Due to the criminalized and high-risk context in which the study was conducted, seeking formal institutional ethical approval was assessed as potentially increasing risks to participants and researchers. A community-led ethical review approach was therefore adopted, incorporating risk assessment, confidentiality safeguards, and voluntary informed consent procedures. This approach aligns with ethical guidance for research involving criminalized and hard-to-reach populations. </w:t>
      </w:r>
    </w:p>
    <w:p w14:paraId="2ABDF735" w14:textId="5F7A6DC2" w:rsidR="005F057E" w:rsidRDefault="0027192A" w:rsidP="006A5AEA">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All procedures adhere to internationally recognized ethical principles for human subject research, including voluntary participation, informed consent, confidentiality, and risk mitigation. No personality identification was collected, and all data were anonymized at the point of collection.</w:t>
      </w:r>
      <w:r w:rsidR="00543E07" w:rsidRPr="007928A7">
        <w:rPr>
          <w:rFonts w:ascii="Times New Roman" w:hAnsi="Times New Roman" w:cs="Times New Roman"/>
        </w:rPr>
        <w:t xml:space="preserve"> This approach aligns with </w:t>
      </w:r>
      <w:r w:rsidR="00543E07" w:rsidRPr="007928A7">
        <w:rPr>
          <w:rFonts w:ascii="Times New Roman" w:hAnsi="Times New Roman" w:cs="Times New Roman"/>
        </w:rPr>
        <w:lastRenderedPageBreak/>
        <w:t>ethical best practices for conducting research in settings where formal institutional review may pose additional risks to vulnerable populations.</w:t>
      </w:r>
    </w:p>
    <w:p w14:paraId="70070005" w14:textId="77777777" w:rsidR="00A55FB6" w:rsidRDefault="00A55FB6" w:rsidP="00AA77E9">
      <w:pPr>
        <w:spacing w:before="240" w:after="240" w:line="240" w:lineRule="auto"/>
        <w:ind w:left="1440" w:right="1440"/>
        <w:jc w:val="both"/>
        <w:rPr>
          <w:rFonts w:ascii="Times New Roman" w:hAnsi="Times New Roman" w:cs="Times New Roman"/>
        </w:rPr>
      </w:pPr>
    </w:p>
    <w:p w14:paraId="287B0668" w14:textId="4533D1DE" w:rsidR="00657DFA" w:rsidRDefault="0085388E" w:rsidP="00AA77E9">
      <w:pPr>
        <w:spacing w:before="240" w:after="240" w:line="240" w:lineRule="auto"/>
        <w:ind w:left="1440" w:right="1440"/>
        <w:jc w:val="both"/>
        <w:rPr>
          <w:rFonts w:ascii="Times New Roman" w:hAnsi="Times New Roman" w:cs="Times New Roman"/>
        </w:rPr>
      </w:pPr>
      <w:r>
        <w:rPr>
          <w:noProof/>
        </w:rPr>
        <mc:AlternateContent>
          <mc:Choice Requires="wps">
            <w:drawing>
              <wp:anchor distT="0" distB="0" distL="114300" distR="114300" simplePos="0" relativeHeight="251661312" behindDoc="1" locked="0" layoutInCell="1" allowOverlap="1" wp14:anchorId="653C7794" wp14:editId="6458FB77">
                <wp:simplePos x="0" y="0"/>
                <wp:positionH relativeFrom="column">
                  <wp:posOffset>911860</wp:posOffset>
                </wp:positionH>
                <wp:positionV relativeFrom="paragraph">
                  <wp:posOffset>4013200</wp:posOffset>
                </wp:positionV>
                <wp:extent cx="5003165" cy="635"/>
                <wp:effectExtent l="0" t="0" r="0" b="0"/>
                <wp:wrapNone/>
                <wp:docPr id="2146825436" name="Text Box 1"/>
                <wp:cNvGraphicFramePr/>
                <a:graphic xmlns:a="http://schemas.openxmlformats.org/drawingml/2006/main">
                  <a:graphicData uri="http://schemas.microsoft.com/office/word/2010/wordprocessingShape">
                    <wps:wsp>
                      <wps:cNvSpPr txBox="1"/>
                      <wps:spPr>
                        <a:xfrm>
                          <a:off x="0" y="0"/>
                          <a:ext cx="5003165" cy="635"/>
                        </a:xfrm>
                        <a:prstGeom prst="rect">
                          <a:avLst/>
                        </a:prstGeom>
                        <a:solidFill>
                          <a:prstClr val="white"/>
                        </a:solidFill>
                        <a:ln>
                          <a:noFill/>
                        </a:ln>
                      </wps:spPr>
                      <wps:txbx>
                        <w:txbxContent>
                          <w:p w14:paraId="273221A9" w14:textId="626E2FE5" w:rsidR="0085388E" w:rsidRPr="0085388E" w:rsidRDefault="0085388E" w:rsidP="0085388E">
                            <w:pPr>
                              <w:rPr>
                                <w:rFonts w:ascii="Times New Roman" w:hAnsi="Times New Roman" w:cs="Times New Roman"/>
                                <w:noProof/>
                              </w:rPr>
                            </w:pPr>
                            <w:r w:rsidRPr="0085388E">
                              <w:rPr>
                                <w:rFonts w:ascii="Times New Roman" w:hAnsi="Times New Roman" w:cs="Times New Roman"/>
                              </w:rPr>
                              <w:t>F</w:t>
                            </w:r>
                            <w:r w:rsidRPr="0085388E">
                              <w:rPr>
                                <w:rFonts w:ascii="Times New Roman" w:hAnsi="Times New Roman" w:cs="Times New Roman"/>
                                <w:b/>
                                <w:bCs/>
                              </w:rPr>
                              <w:t xml:space="preserve">igure </w:t>
                            </w:r>
                            <w:r w:rsidRPr="0085388E">
                              <w:rPr>
                                <w:rFonts w:ascii="Times New Roman" w:hAnsi="Times New Roman" w:cs="Times New Roman"/>
                                <w:b/>
                                <w:bCs/>
                              </w:rPr>
                              <w:fldChar w:fldCharType="begin"/>
                            </w:r>
                            <w:r w:rsidRPr="0085388E">
                              <w:rPr>
                                <w:rFonts w:ascii="Times New Roman" w:hAnsi="Times New Roman" w:cs="Times New Roman"/>
                                <w:b/>
                                <w:bCs/>
                              </w:rPr>
                              <w:instrText xml:space="preserve"> SEQ Figure \* ARABIC </w:instrText>
                            </w:r>
                            <w:r w:rsidRPr="0085388E">
                              <w:rPr>
                                <w:rFonts w:ascii="Times New Roman" w:hAnsi="Times New Roman" w:cs="Times New Roman"/>
                                <w:b/>
                                <w:bCs/>
                              </w:rPr>
                              <w:fldChar w:fldCharType="separate"/>
                            </w:r>
                            <w:r w:rsidR="00244F1C">
                              <w:rPr>
                                <w:rFonts w:ascii="Times New Roman" w:hAnsi="Times New Roman" w:cs="Times New Roman"/>
                                <w:b/>
                                <w:bCs/>
                                <w:noProof/>
                              </w:rPr>
                              <w:t>1</w:t>
                            </w:r>
                            <w:r w:rsidRPr="0085388E">
                              <w:rPr>
                                <w:rFonts w:ascii="Times New Roman" w:hAnsi="Times New Roman" w:cs="Times New Roman"/>
                                <w:b/>
                                <w:bCs/>
                              </w:rPr>
                              <w:fldChar w:fldCharType="end"/>
                            </w:r>
                            <w:r w:rsidRPr="0085388E">
                              <w:rPr>
                                <w:rFonts w:ascii="Times New Roman" w:hAnsi="Times New Roman" w:cs="Times New Roman"/>
                              </w:rPr>
                              <w:t xml:space="preserve"> Conceptual Framework of </w:t>
                            </w:r>
                            <w:r w:rsidR="00D70F5A">
                              <w:rPr>
                                <w:rFonts w:ascii="Times New Roman" w:hAnsi="Times New Roman" w:cs="Times New Roman"/>
                              </w:rPr>
                              <w:t xml:space="preserve">the </w:t>
                            </w:r>
                            <w:r w:rsidRPr="0085388E">
                              <w:rPr>
                                <w:rFonts w:ascii="Times New Roman" w:hAnsi="Times New Roman" w:cs="Times New Roman"/>
                              </w:rPr>
                              <w:t>Multi-level</w:t>
                            </w:r>
                            <w:r w:rsidR="00D70F5A">
                              <w:rPr>
                                <w:rFonts w:ascii="Times New Roman" w:hAnsi="Times New Roman" w:cs="Times New Roman"/>
                              </w:rPr>
                              <w:t xml:space="preserve">, Rights-Based Intervention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3C7794" id="_x0000_t202" coordsize="21600,21600" o:spt="202" path="m,l,21600r21600,l21600,xe">
                <v:stroke joinstyle="miter"/>
                <v:path gradientshapeok="t" o:connecttype="rect"/>
              </v:shapetype>
              <v:shape id="Text Box 1" o:spid="_x0000_s1026" type="#_x0000_t202" style="position:absolute;left:0;text-align:left;margin-left:71.8pt;margin-top:316pt;width:393.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" stroked="f">
                <v:textbox style="mso-fit-shape-to-text:t" inset="0,0,0,0">
                  <w:txbxContent>
                    <w:p w14:paraId="273221A9" w14:textId="626E2FE5" w:rsidR="0085388E" w:rsidRPr="0085388E" w:rsidRDefault="0085388E" w:rsidP="0085388E">
                      <w:pPr>
                        <w:rPr>
                          <w:rFonts w:ascii="Times New Roman" w:hAnsi="Times New Roman" w:cs="Times New Roman"/>
                          <w:noProof/>
                        </w:rPr>
                      </w:pPr>
                      <w:r w:rsidRPr="0085388E">
                        <w:rPr>
                          <w:rFonts w:ascii="Times New Roman" w:hAnsi="Times New Roman" w:cs="Times New Roman"/>
                        </w:rPr>
                        <w:t>F</w:t>
                      </w:r>
                      <w:r w:rsidRPr="0085388E">
                        <w:rPr>
                          <w:rFonts w:ascii="Times New Roman" w:hAnsi="Times New Roman" w:cs="Times New Roman"/>
                          <w:b/>
                          <w:bCs/>
                        </w:rPr>
                        <w:t xml:space="preserve">igure </w:t>
                      </w:r>
                      <w:r w:rsidRPr="0085388E">
                        <w:rPr>
                          <w:rFonts w:ascii="Times New Roman" w:hAnsi="Times New Roman" w:cs="Times New Roman"/>
                          <w:b/>
                          <w:bCs/>
                        </w:rPr>
                        <w:fldChar w:fldCharType="begin"/>
                      </w:r>
                      <w:r w:rsidRPr="0085388E">
                        <w:rPr>
                          <w:rFonts w:ascii="Times New Roman" w:hAnsi="Times New Roman" w:cs="Times New Roman"/>
                          <w:b/>
                          <w:bCs/>
                        </w:rPr>
                        <w:instrText xml:space="preserve"> SEQ Figure \* ARABIC </w:instrText>
                      </w:r>
                      <w:r w:rsidRPr="0085388E">
                        <w:rPr>
                          <w:rFonts w:ascii="Times New Roman" w:hAnsi="Times New Roman" w:cs="Times New Roman"/>
                          <w:b/>
                          <w:bCs/>
                        </w:rPr>
                        <w:fldChar w:fldCharType="separate"/>
                      </w:r>
                      <w:r w:rsidR="00244F1C">
                        <w:rPr>
                          <w:rFonts w:ascii="Times New Roman" w:hAnsi="Times New Roman" w:cs="Times New Roman"/>
                          <w:b/>
                          <w:bCs/>
                          <w:noProof/>
                        </w:rPr>
                        <w:t>1</w:t>
                      </w:r>
                      <w:r w:rsidRPr="0085388E">
                        <w:rPr>
                          <w:rFonts w:ascii="Times New Roman" w:hAnsi="Times New Roman" w:cs="Times New Roman"/>
                          <w:b/>
                          <w:bCs/>
                        </w:rPr>
                        <w:fldChar w:fldCharType="end"/>
                      </w:r>
                      <w:r w:rsidRPr="0085388E">
                        <w:rPr>
                          <w:rFonts w:ascii="Times New Roman" w:hAnsi="Times New Roman" w:cs="Times New Roman"/>
                        </w:rPr>
                        <w:t xml:space="preserve"> Conceptual Framework of </w:t>
                      </w:r>
                      <w:r w:rsidR="00D70F5A">
                        <w:rPr>
                          <w:rFonts w:ascii="Times New Roman" w:hAnsi="Times New Roman" w:cs="Times New Roman"/>
                        </w:rPr>
                        <w:t xml:space="preserve">the </w:t>
                      </w:r>
                      <w:r w:rsidRPr="0085388E">
                        <w:rPr>
                          <w:rFonts w:ascii="Times New Roman" w:hAnsi="Times New Roman" w:cs="Times New Roman"/>
                        </w:rPr>
                        <w:t>Multi-level</w:t>
                      </w:r>
                      <w:r w:rsidR="00D70F5A">
                        <w:rPr>
                          <w:rFonts w:ascii="Times New Roman" w:hAnsi="Times New Roman" w:cs="Times New Roman"/>
                        </w:rPr>
                        <w:t xml:space="preserve">, Rights-Based Intervention Model </w:t>
                      </w:r>
                    </w:p>
                  </w:txbxContent>
                </v:textbox>
              </v:shape>
            </w:pict>
          </mc:Fallback>
        </mc:AlternateContent>
      </w:r>
      <w:r>
        <w:rPr>
          <w:noProof/>
        </w:rPr>
        <w:drawing>
          <wp:anchor distT="0" distB="0" distL="114300" distR="114300" simplePos="0" relativeHeight="251659264" behindDoc="1" locked="0" layoutInCell="1" allowOverlap="1" wp14:anchorId="0511476E" wp14:editId="77F2BB4C">
            <wp:simplePos x="0" y="0"/>
            <wp:positionH relativeFrom="margin">
              <wp:posOffset>912362</wp:posOffset>
            </wp:positionH>
            <wp:positionV relativeFrom="paragraph">
              <wp:posOffset>26272</wp:posOffset>
            </wp:positionV>
            <wp:extent cx="5003165" cy="3930555"/>
            <wp:effectExtent l="0" t="0" r="698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0536" cy="3944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785EA" w14:textId="3D5F8A8D" w:rsidR="00657DFA" w:rsidRDefault="00657DFA" w:rsidP="00AA77E9">
      <w:pPr>
        <w:spacing w:before="240" w:after="240" w:line="240" w:lineRule="auto"/>
        <w:ind w:left="1440" w:right="1440"/>
        <w:jc w:val="both"/>
        <w:rPr>
          <w:rFonts w:ascii="Times New Roman" w:hAnsi="Times New Roman" w:cs="Times New Roman"/>
        </w:rPr>
      </w:pPr>
    </w:p>
    <w:p w14:paraId="4DF420B8" w14:textId="16E09F9A" w:rsidR="00657DFA" w:rsidRDefault="00657DFA" w:rsidP="00AA77E9">
      <w:pPr>
        <w:spacing w:before="240" w:after="240" w:line="240" w:lineRule="auto"/>
        <w:ind w:left="1440" w:right="1440"/>
        <w:jc w:val="both"/>
        <w:rPr>
          <w:rFonts w:ascii="Times New Roman" w:hAnsi="Times New Roman" w:cs="Times New Roman"/>
        </w:rPr>
      </w:pPr>
    </w:p>
    <w:p w14:paraId="493F8657" w14:textId="372945E0" w:rsidR="00657DFA" w:rsidRDefault="00657DFA" w:rsidP="00AA77E9">
      <w:pPr>
        <w:spacing w:before="240" w:after="240" w:line="240" w:lineRule="auto"/>
        <w:ind w:left="1440" w:right="1440"/>
        <w:jc w:val="both"/>
        <w:rPr>
          <w:rFonts w:ascii="Times New Roman" w:hAnsi="Times New Roman" w:cs="Times New Roman"/>
        </w:rPr>
      </w:pPr>
    </w:p>
    <w:p w14:paraId="2F616470" w14:textId="77777777" w:rsidR="00657DFA" w:rsidRDefault="00657DFA" w:rsidP="00AA77E9">
      <w:pPr>
        <w:spacing w:before="240" w:after="240" w:line="240" w:lineRule="auto"/>
        <w:ind w:left="1440" w:right="1440"/>
        <w:jc w:val="both"/>
        <w:rPr>
          <w:rFonts w:ascii="Times New Roman" w:hAnsi="Times New Roman" w:cs="Times New Roman"/>
        </w:rPr>
      </w:pPr>
    </w:p>
    <w:p w14:paraId="112E0B5D" w14:textId="77777777" w:rsidR="00657DFA" w:rsidRDefault="00657DFA" w:rsidP="00AA77E9">
      <w:pPr>
        <w:spacing w:before="240" w:after="240" w:line="240" w:lineRule="auto"/>
        <w:ind w:left="1440" w:right="1440"/>
        <w:jc w:val="both"/>
        <w:rPr>
          <w:rFonts w:ascii="Times New Roman" w:hAnsi="Times New Roman" w:cs="Times New Roman"/>
        </w:rPr>
      </w:pPr>
    </w:p>
    <w:p w14:paraId="1B40F33A" w14:textId="77777777" w:rsidR="00657DFA" w:rsidRDefault="00657DFA" w:rsidP="00AA77E9">
      <w:pPr>
        <w:spacing w:before="240" w:after="240" w:line="240" w:lineRule="auto"/>
        <w:ind w:left="1440" w:right="1440"/>
        <w:jc w:val="both"/>
        <w:rPr>
          <w:rFonts w:ascii="Times New Roman" w:hAnsi="Times New Roman" w:cs="Times New Roman"/>
        </w:rPr>
      </w:pPr>
    </w:p>
    <w:p w14:paraId="45AC0574" w14:textId="645E4A98" w:rsidR="00657DFA" w:rsidRDefault="004B755A" w:rsidP="004B755A">
      <w:pPr>
        <w:tabs>
          <w:tab w:val="left" w:pos="7736"/>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6057AEDD" w14:textId="4E671A07" w:rsidR="00657DFA" w:rsidRDefault="004B755A" w:rsidP="004B755A">
      <w:pPr>
        <w:tabs>
          <w:tab w:val="left" w:pos="8372"/>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01B9BE17" w14:textId="77777777" w:rsidR="00657DFA" w:rsidRDefault="00657DFA" w:rsidP="00AA77E9">
      <w:pPr>
        <w:spacing w:before="240" w:after="240" w:line="240" w:lineRule="auto"/>
        <w:ind w:left="1440" w:right="1440"/>
        <w:jc w:val="both"/>
        <w:rPr>
          <w:rFonts w:ascii="Times New Roman" w:hAnsi="Times New Roman" w:cs="Times New Roman"/>
        </w:rPr>
      </w:pPr>
    </w:p>
    <w:p w14:paraId="15C6837C" w14:textId="77777777" w:rsidR="00657DFA" w:rsidRDefault="00657DFA" w:rsidP="00AA77E9">
      <w:pPr>
        <w:spacing w:before="240" w:after="240" w:line="240" w:lineRule="auto"/>
        <w:ind w:left="1440" w:right="1440"/>
        <w:jc w:val="both"/>
        <w:rPr>
          <w:rFonts w:ascii="Times New Roman" w:hAnsi="Times New Roman" w:cs="Times New Roman"/>
        </w:rPr>
      </w:pPr>
    </w:p>
    <w:p w14:paraId="7FC77D94" w14:textId="77777777" w:rsidR="00657DFA" w:rsidRDefault="00657DFA" w:rsidP="00AA77E9">
      <w:pPr>
        <w:spacing w:before="240" w:after="240" w:line="240" w:lineRule="auto"/>
        <w:ind w:left="1440" w:right="1440"/>
        <w:jc w:val="both"/>
        <w:rPr>
          <w:rFonts w:ascii="Times New Roman" w:hAnsi="Times New Roman" w:cs="Times New Roman"/>
        </w:rPr>
      </w:pPr>
    </w:p>
    <w:p w14:paraId="4B44C257" w14:textId="77777777" w:rsidR="00CF635E" w:rsidRDefault="00CF635E" w:rsidP="001E19DB">
      <w:pPr>
        <w:spacing w:before="240" w:after="240" w:line="240" w:lineRule="auto"/>
        <w:ind w:right="1440"/>
        <w:jc w:val="both"/>
        <w:rPr>
          <w:rFonts w:ascii="Times New Roman" w:hAnsi="Times New Roman" w:cs="Times New Roman"/>
        </w:rPr>
      </w:pPr>
    </w:p>
    <w:p w14:paraId="18E17F3D" w14:textId="77777777" w:rsidR="00712707" w:rsidRDefault="00712707" w:rsidP="00DF32DE">
      <w:pPr>
        <w:spacing w:before="240" w:after="240" w:line="240" w:lineRule="auto"/>
        <w:ind w:right="1440"/>
        <w:jc w:val="both"/>
        <w:rPr>
          <w:rFonts w:ascii="Times New Roman" w:hAnsi="Times New Roman" w:cs="Times New Roman"/>
          <w:b/>
          <w:bCs/>
        </w:rPr>
      </w:pPr>
    </w:p>
    <w:p w14:paraId="6B16B084" w14:textId="58AB72CB" w:rsidR="005E52B6" w:rsidRDefault="00092ECF" w:rsidP="00FE28C8">
      <w:pPr>
        <w:spacing w:before="240" w:after="240" w:line="240" w:lineRule="auto"/>
        <w:ind w:left="1440" w:right="1440"/>
        <w:jc w:val="both"/>
        <w:rPr>
          <w:rFonts w:ascii="Times New Roman" w:hAnsi="Times New Roman" w:cs="Times New Roman"/>
          <w:b/>
          <w:bCs/>
        </w:rPr>
      </w:pPr>
      <w:r w:rsidRPr="00092ECF">
        <w:rPr>
          <w:rFonts w:ascii="Times New Roman" w:hAnsi="Times New Roman" w:cs="Times New Roman"/>
          <w:b/>
          <w:bCs/>
        </w:rPr>
        <w:t>RESULT</w:t>
      </w:r>
      <w:r w:rsidR="005E52B6" w:rsidRPr="00092ECF">
        <w:rPr>
          <w:rFonts w:ascii="Times New Roman" w:hAnsi="Times New Roman" w:cs="Times New Roman"/>
          <w:b/>
          <w:bCs/>
        </w:rPr>
        <w:t xml:space="preserve"> </w:t>
      </w:r>
    </w:p>
    <w:p w14:paraId="5D87827C" w14:textId="1B4F44D7" w:rsidR="00F43C80" w:rsidRPr="003F34A8" w:rsidRDefault="003F34A8" w:rsidP="00CF635E">
      <w:pPr>
        <w:spacing w:before="240" w:after="240" w:line="240" w:lineRule="auto"/>
        <w:ind w:left="1440" w:right="1440"/>
        <w:jc w:val="both"/>
        <w:rPr>
          <w:rFonts w:ascii="Times New Roman" w:hAnsi="Times New Roman" w:cs="Times New Roman"/>
          <w:b/>
          <w:bCs/>
        </w:rPr>
      </w:pPr>
      <w:r w:rsidRPr="003F34A8">
        <w:rPr>
          <w:rFonts w:ascii="Times New Roman" w:hAnsi="Times New Roman" w:cs="Times New Roman"/>
          <w:b/>
          <w:bCs/>
        </w:rPr>
        <w:t>Participant Characteristics</w:t>
      </w:r>
    </w:p>
    <w:p w14:paraId="5A02EF10" w14:textId="6917A954" w:rsidR="003F34A8" w:rsidRDefault="00D20F26" w:rsidP="00D20F26">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characteristics are summarized in </w:t>
      </w:r>
      <w:r w:rsidRPr="00C952BE">
        <w:rPr>
          <w:rFonts w:ascii="Times New Roman" w:hAnsi="Times New Roman" w:cs="Times New Roman"/>
        </w:rPr>
        <w:t>Table 2.</w:t>
      </w:r>
      <w:r>
        <w:rPr>
          <w:rFonts w:ascii="Times New Roman" w:hAnsi="Times New Roman" w:cs="Times New Roman"/>
        </w:rPr>
        <w:t xml:space="preserve"> The sample comprised predominantly gay and bisexual men, followed by transgender persons and LBQ women. Most participants were aged 25-34 years and over half were unemployed, reflecting </w:t>
      </w:r>
      <w:r w:rsidR="0063710C">
        <w:rPr>
          <w:rFonts w:ascii="Times New Roman" w:hAnsi="Times New Roman" w:cs="Times New Roman"/>
        </w:rPr>
        <w:t>notable</w:t>
      </w:r>
      <w:r>
        <w:rPr>
          <w:rFonts w:ascii="Times New Roman" w:hAnsi="Times New Roman" w:cs="Times New Roman"/>
        </w:rPr>
        <w:t xml:space="preserve"> socio-economic vulnerability within the study population. These participants</w:t>
      </w:r>
      <w:r w:rsidR="00301359">
        <w:rPr>
          <w:rFonts w:ascii="Times New Roman" w:hAnsi="Times New Roman" w:cs="Times New Roman"/>
        </w:rPr>
        <w:t xml:space="preserve"> were drawn from rural communities within </w:t>
      </w:r>
      <w:proofErr w:type="spellStart"/>
      <w:r w:rsidR="00301359">
        <w:rPr>
          <w:rFonts w:ascii="Times New Roman" w:hAnsi="Times New Roman" w:cs="Times New Roman"/>
        </w:rPr>
        <w:t>Yakurr</w:t>
      </w:r>
      <w:proofErr w:type="spellEnd"/>
      <w:r w:rsidR="00301359">
        <w:rPr>
          <w:rFonts w:ascii="Times New Roman" w:hAnsi="Times New Roman" w:cs="Times New Roman"/>
        </w:rPr>
        <w:t xml:space="preserve"> Local Government Area, in Cross River State, Nigeria. A total of 457 LGBTQ individuals participated in structured community dialogues, while 221 individuals receiving antiretroviral therapy (ART) were engaged through in-depth interviews. This combined sample reflects both community-level engagement and treatment-experienced perspectives, consistent with the study’s convergent mixed-methods implementation design. </w:t>
      </w:r>
      <w:r w:rsidR="005531AB">
        <w:rPr>
          <w:rFonts w:ascii="Times New Roman" w:hAnsi="Times New Roman" w:cs="Times New Roman"/>
        </w:rPr>
        <w:t xml:space="preserve">A total of 457 participants were included in the study sample, of whom 221 participated in in-depth interviews. In addition, 757 individuals were reached through broader programmatic activities; </w:t>
      </w:r>
      <w:proofErr w:type="gramStart"/>
      <w:r w:rsidR="005531AB">
        <w:rPr>
          <w:rFonts w:ascii="Times New Roman" w:hAnsi="Times New Roman" w:cs="Times New Roman"/>
        </w:rPr>
        <w:t>however</w:t>
      </w:r>
      <w:proofErr w:type="gramEnd"/>
      <w:r w:rsidR="005531AB">
        <w:rPr>
          <w:rFonts w:ascii="Times New Roman" w:hAnsi="Times New Roman" w:cs="Times New Roman"/>
        </w:rPr>
        <w:t xml:space="preserve"> these individuals were not part of the analytical sample. </w:t>
      </w:r>
    </w:p>
    <w:p w14:paraId="64B51592" w14:textId="5F4E7C52" w:rsidR="00CB1575" w:rsidRPr="00CB1575" w:rsidRDefault="003F34A8" w:rsidP="003004E4">
      <w:pPr>
        <w:spacing w:before="240" w:after="240" w:line="240" w:lineRule="auto"/>
        <w:ind w:left="1440" w:right="1440"/>
        <w:jc w:val="both"/>
        <w:rPr>
          <w:rFonts w:ascii="Times New Roman" w:hAnsi="Times New Roman" w:cs="Times New Roman"/>
        </w:rPr>
      </w:pPr>
      <w:r w:rsidRPr="003F34A8">
        <w:rPr>
          <w:rFonts w:ascii="Times New Roman" w:hAnsi="Times New Roman" w:cs="Times New Roman"/>
          <w:b/>
          <w:bCs/>
        </w:rPr>
        <w:t>Table 2.</w:t>
      </w:r>
      <w:r>
        <w:rPr>
          <w:rFonts w:ascii="Times New Roman" w:hAnsi="Times New Roman" w:cs="Times New Roman"/>
        </w:rPr>
        <w:t xml:space="preserve"> Socio-demographic Characteristics of </w:t>
      </w:r>
      <w:r w:rsidR="003251DD">
        <w:rPr>
          <w:rFonts w:ascii="Times New Roman" w:hAnsi="Times New Roman" w:cs="Times New Roman"/>
        </w:rPr>
        <w:t xml:space="preserve">Study </w:t>
      </w:r>
      <w:r>
        <w:rPr>
          <w:rFonts w:ascii="Times New Roman" w:hAnsi="Times New Roman" w:cs="Times New Roman"/>
        </w:rPr>
        <w:t>Participants (N</w:t>
      </w:r>
      <w:r w:rsidR="00800F05">
        <w:rPr>
          <w:rFonts w:ascii="Times New Roman" w:hAnsi="Times New Roman" w:cs="Times New Roman"/>
        </w:rPr>
        <w:t xml:space="preserve"> </w:t>
      </w:r>
      <w:r>
        <w:rPr>
          <w:rFonts w:ascii="Times New Roman" w:hAnsi="Times New Roman" w:cs="Times New Roman"/>
        </w:rPr>
        <w:t>=</w:t>
      </w:r>
      <w:r w:rsidR="00800F05">
        <w:rPr>
          <w:rFonts w:ascii="Times New Roman" w:hAnsi="Times New Roman" w:cs="Times New Roman"/>
        </w:rPr>
        <w:t xml:space="preserve"> </w:t>
      </w:r>
      <w:r>
        <w:rPr>
          <w:rFonts w:ascii="Times New Roman" w:hAnsi="Times New Roman" w:cs="Times New Roman"/>
        </w:rPr>
        <w:t>457)</w:t>
      </w:r>
      <w:r w:rsidR="00CB1575">
        <w:rPr>
          <w:rFonts w:ascii="Times New Roman" w:hAnsi="Times New Roman" w:cs="Times New Roman"/>
        </w:rPr>
        <w:t>.</w:t>
      </w:r>
    </w:p>
    <w:tbl>
      <w:tblPr>
        <w:tblStyle w:val="TableGrid"/>
        <w:tblW w:w="0" w:type="auto"/>
        <w:tblInd w:w="1440" w:type="dxa"/>
        <w:tblLook w:val="04A0" w:firstRow="1" w:lastRow="0" w:firstColumn="1" w:lastColumn="0" w:noHBand="0" w:noVBand="1"/>
      </w:tblPr>
      <w:tblGrid>
        <w:gridCol w:w="3555"/>
        <w:gridCol w:w="2681"/>
        <w:gridCol w:w="3010"/>
      </w:tblGrid>
      <w:tr w:rsidR="009B06F2" w14:paraId="6698D731" w14:textId="77777777" w:rsidTr="00F618DF">
        <w:tc>
          <w:tcPr>
            <w:tcW w:w="3555" w:type="dxa"/>
          </w:tcPr>
          <w:p w14:paraId="4C7EEB3A" w14:textId="77777777"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lastRenderedPageBreak/>
              <w:t>Characteristics</w:t>
            </w:r>
          </w:p>
          <w:p w14:paraId="6724A022" w14:textId="2F45C447"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 xml:space="preserve">Sexual/Gender Identity </w:t>
            </w:r>
          </w:p>
        </w:tc>
        <w:tc>
          <w:tcPr>
            <w:tcW w:w="2681" w:type="dxa"/>
          </w:tcPr>
          <w:p w14:paraId="03203124" w14:textId="08FD63A6"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Frequency (n)</w:t>
            </w:r>
          </w:p>
        </w:tc>
        <w:tc>
          <w:tcPr>
            <w:tcW w:w="3010" w:type="dxa"/>
          </w:tcPr>
          <w:p w14:paraId="0509DE11" w14:textId="79A59E39"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Percentage (%)</w:t>
            </w:r>
          </w:p>
        </w:tc>
      </w:tr>
      <w:tr w:rsidR="009B06F2" w14:paraId="136BDB57" w14:textId="77777777" w:rsidTr="00F618DF">
        <w:tc>
          <w:tcPr>
            <w:tcW w:w="3555" w:type="dxa"/>
          </w:tcPr>
          <w:p w14:paraId="1084594C" w14:textId="367C4069"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Gay/Bisexual men</w:t>
            </w:r>
          </w:p>
        </w:tc>
        <w:tc>
          <w:tcPr>
            <w:tcW w:w="2681" w:type="dxa"/>
          </w:tcPr>
          <w:p w14:paraId="40626F62" w14:textId="521CFF04"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268</w:t>
            </w:r>
          </w:p>
        </w:tc>
        <w:tc>
          <w:tcPr>
            <w:tcW w:w="3010" w:type="dxa"/>
          </w:tcPr>
          <w:p w14:paraId="1B57D3FA" w14:textId="13785B70"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58.6</w:t>
            </w:r>
          </w:p>
        </w:tc>
      </w:tr>
      <w:tr w:rsidR="009B06F2" w14:paraId="44407D31" w14:textId="77777777" w:rsidTr="00F618DF">
        <w:tc>
          <w:tcPr>
            <w:tcW w:w="3555" w:type="dxa"/>
          </w:tcPr>
          <w:p w14:paraId="2BCA50F4" w14:textId="44105F1E"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 xml:space="preserve">Transgender </w:t>
            </w:r>
          </w:p>
        </w:tc>
        <w:tc>
          <w:tcPr>
            <w:tcW w:w="2681" w:type="dxa"/>
          </w:tcPr>
          <w:p w14:paraId="0B906AE6" w14:textId="3F61D082"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121</w:t>
            </w:r>
          </w:p>
        </w:tc>
        <w:tc>
          <w:tcPr>
            <w:tcW w:w="3010" w:type="dxa"/>
          </w:tcPr>
          <w:p w14:paraId="3E61AD41" w14:textId="6010484E"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26.5</w:t>
            </w:r>
          </w:p>
        </w:tc>
      </w:tr>
      <w:tr w:rsidR="009B06F2" w14:paraId="5580AE00" w14:textId="77777777" w:rsidTr="00F618DF">
        <w:tc>
          <w:tcPr>
            <w:tcW w:w="3555" w:type="dxa"/>
          </w:tcPr>
          <w:p w14:paraId="790F8DD3" w14:textId="7F6762CF"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L</w:t>
            </w:r>
            <w:r w:rsidR="000D4041">
              <w:rPr>
                <w:rFonts w:ascii="Times New Roman" w:hAnsi="Times New Roman" w:cs="Times New Roman"/>
              </w:rPr>
              <w:t>BQ women</w:t>
            </w:r>
          </w:p>
        </w:tc>
        <w:tc>
          <w:tcPr>
            <w:tcW w:w="2681" w:type="dxa"/>
          </w:tcPr>
          <w:p w14:paraId="64C0CD5D" w14:textId="42CBCA1D"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68</w:t>
            </w:r>
          </w:p>
        </w:tc>
        <w:tc>
          <w:tcPr>
            <w:tcW w:w="3010" w:type="dxa"/>
          </w:tcPr>
          <w:p w14:paraId="53935069" w14:textId="20A86A5D"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14.9</w:t>
            </w:r>
          </w:p>
        </w:tc>
      </w:tr>
      <w:tr w:rsidR="000D4041" w14:paraId="53DE39EA" w14:textId="77777777" w:rsidTr="00C249E4">
        <w:tc>
          <w:tcPr>
            <w:tcW w:w="9246" w:type="dxa"/>
            <w:gridSpan w:val="3"/>
          </w:tcPr>
          <w:p w14:paraId="02F6DF39" w14:textId="243C686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Age Group (years)</w:t>
            </w:r>
          </w:p>
        </w:tc>
      </w:tr>
      <w:tr w:rsidR="009B06F2" w14:paraId="65E0D0B5" w14:textId="77777777" w:rsidTr="00F618DF">
        <w:tc>
          <w:tcPr>
            <w:tcW w:w="3555" w:type="dxa"/>
          </w:tcPr>
          <w:p w14:paraId="0F60A64C" w14:textId="33C8E24F"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18-24</w:t>
            </w:r>
          </w:p>
        </w:tc>
        <w:tc>
          <w:tcPr>
            <w:tcW w:w="2681" w:type="dxa"/>
          </w:tcPr>
          <w:p w14:paraId="09D86563" w14:textId="5086B35A"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139</w:t>
            </w:r>
          </w:p>
        </w:tc>
        <w:tc>
          <w:tcPr>
            <w:tcW w:w="3010" w:type="dxa"/>
          </w:tcPr>
          <w:p w14:paraId="4DB64E25" w14:textId="1F98582A"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30.4</w:t>
            </w:r>
          </w:p>
        </w:tc>
      </w:tr>
      <w:tr w:rsidR="000D4041" w14:paraId="30DBD774" w14:textId="77777777" w:rsidTr="00F618DF">
        <w:tc>
          <w:tcPr>
            <w:tcW w:w="3555" w:type="dxa"/>
          </w:tcPr>
          <w:p w14:paraId="30F60F0E" w14:textId="19C8ABC0"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25-34</w:t>
            </w:r>
          </w:p>
        </w:tc>
        <w:tc>
          <w:tcPr>
            <w:tcW w:w="2681" w:type="dxa"/>
          </w:tcPr>
          <w:p w14:paraId="6AAC5EBB" w14:textId="459D2603"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211</w:t>
            </w:r>
          </w:p>
        </w:tc>
        <w:tc>
          <w:tcPr>
            <w:tcW w:w="3010" w:type="dxa"/>
          </w:tcPr>
          <w:p w14:paraId="71BB132F" w14:textId="43A4480A"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46.2</w:t>
            </w:r>
          </w:p>
        </w:tc>
      </w:tr>
      <w:tr w:rsidR="000D4041" w14:paraId="0DB36FC5" w14:textId="77777777" w:rsidTr="00F618DF">
        <w:tc>
          <w:tcPr>
            <w:tcW w:w="3555" w:type="dxa"/>
          </w:tcPr>
          <w:p w14:paraId="0EE96BB0" w14:textId="27A38DD6"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≥35</w:t>
            </w:r>
          </w:p>
        </w:tc>
        <w:tc>
          <w:tcPr>
            <w:tcW w:w="2681" w:type="dxa"/>
          </w:tcPr>
          <w:p w14:paraId="2BD4E90C" w14:textId="62FE745C"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107</w:t>
            </w:r>
          </w:p>
        </w:tc>
        <w:tc>
          <w:tcPr>
            <w:tcW w:w="3010" w:type="dxa"/>
          </w:tcPr>
          <w:p w14:paraId="21FD4E59" w14:textId="1E3F98AE"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23.4</w:t>
            </w:r>
          </w:p>
        </w:tc>
      </w:tr>
      <w:tr w:rsidR="000D4041" w14:paraId="7D2406F0" w14:textId="77777777" w:rsidTr="00A2011A">
        <w:tc>
          <w:tcPr>
            <w:tcW w:w="9246" w:type="dxa"/>
            <w:gridSpan w:val="3"/>
          </w:tcPr>
          <w:p w14:paraId="7EFE4EDA" w14:textId="60AB23E8"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Employment Status</w:t>
            </w:r>
          </w:p>
        </w:tc>
      </w:tr>
      <w:tr w:rsidR="000D4041" w14:paraId="08C64ECC" w14:textId="77777777" w:rsidTr="00F618DF">
        <w:tc>
          <w:tcPr>
            <w:tcW w:w="3555" w:type="dxa"/>
          </w:tcPr>
          <w:p w14:paraId="33789CAE" w14:textId="51819337"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Unemployed </w:t>
            </w:r>
          </w:p>
        </w:tc>
        <w:tc>
          <w:tcPr>
            <w:tcW w:w="2681" w:type="dxa"/>
          </w:tcPr>
          <w:p w14:paraId="351F8CEA" w14:textId="5A2BAA8F"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243</w:t>
            </w:r>
          </w:p>
        </w:tc>
        <w:tc>
          <w:tcPr>
            <w:tcW w:w="3010" w:type="dxa"/>
          </w:tcPr>
          <w:p w14:paraId="166DAE59" w14:textId="414E8F2F"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53.2</w:t>
            </w:r>
          </w:p>
        </w:tc>
      </w:tr>
      <w:tr w:rsidR="000D4041" w14:paraId="4B1BFE30" w14:textId="77777777" w:rsidTr="00F618DF">
        <w:tc>
          <w:tcPr>
            <w:tcW w:w="3555" w:type="dxa"/>
          </w:tcPr>
          <w:p w14:paraId="35AEED79" w14:textId="3B362389"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Informal employment </w:t>
            </w:r>
          </w:p>
        </w:tc>
        <w:tc>
          <w:tcPr>
            <w:tcW w:w="2681" w:type="dxa"/>
          </w:tcPr>
          <w:p w14:paraId="12D91ADE" w14:textId="1186885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164</w:t>
            </w:r>
          </w:p>
        </w:tc>
        <w:tc>
          <w:tcPr>
            <w:tcW w:w="3010" w:type="dxa"/>
          </w:tcPr>
          <w:p w14:paraId="2DE87D4F" w14:textId="74D469D4"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35.9</w:t>
            </w:r>
          </w:p>
        </w:tc>
      </w:tr>
      <w:tr w:rsidR="000D4041" w14:paraId="084867F6" w14:textId="77777777" w:rsidTr="00F618DF">
        <w:tc>
          <w:tcPr>
            <w:tcW w:w="3555" w:type="dxa"/>
          </w:tcPr>
          <w:p w14:paraId="5EBC7247" w14:textId="3EDEC5F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Formal employment </w:t>
            </w:r>
          </w:p>
        </w:tc>
        <w:tc>
          <w:tcPr>
            <w:tcW w:w="2681" w:type="dxa"/>
          </w:tcPr>
          <w:p w14:paraId="7E79053A" w14:textId="6AE98F25"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50</w:t>
            </w:r>
          </w:p>
        </w:tc>
        <w:tc>
          <w:tcPr>
            <w:tcW w:w="3010" w:type="dxa"/>
          </w:tcPr>
          <w:p w14:paraId="03CA7072" w14:textId="23A74DF1"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10.9</w:t>
            </w:r>
          </w:p>
        </w:tc>
      </w:tr>
    </w:tbl>
    <w:p w14:paraId="754581ED" w14:textId="77777777" w:rsidR="000D4041" w:rsidRDefault="000D4041" w:rsidP="00155664">
      <w:pPr>
        <w:spacing w:before="240" w:after="240" w:line="240" w:lineRule="auto"/>
        <w:ind w:right="1440"/>
        <w:jc w:val="both"/>
        <w:rPr>
          <w:rFonts w:ascii="Times New Roman" w:hAnsi="Times New Roman" w:cs="Times New Roman"/>
        </w:rPr>
      </w:pPr>
    </w:p>
    <w:p w14:paraId="4E5F83EA" w14:textId="573CFB79" w:rsidR="000D4041" w:rsidRPr="000D4041" w:rsidRDefault="000D4041" w:rsidP="00CF635E">
      <w:pPr>
        <w:spacing w:before="240" w:after="240" w:line="240" w:lineRule="auto"/>
        <w:ind w:left="1440" w:right="1440"/>
        <w:jc w:val="both"/>
        <w:rPr>
          <w:rFonts w:ascii="Times New Roman" w:hAnsi="Times New Roman" w:cs="Times New Roman"/>
          <w:b/>
          <w:bCs/>
        </w:rPr>
      </w:pPr>
      <w:r w:rsidRPr="000D4041">
        <w:rPr>
          <w:rFonts w:ascii="Times New Roman" w:hAnsi="Times New Roman" w:cs="Times New Roman"/>
          <w:b/>
          <w:bCs/>
        </w:rPr>
        <w:t>Barriers to Justice, Healthcare, and Safety</w:t>
      </w:r>
    </w:p>
    <w:p w14:paraId="25DBCD29" w14:textId="77777777" w:rsidR="002B300C" w:rsidRDefault="00FA05A5" w:rsidP="00CF635E">
      <w:pPr>
        <w:spacing w:before="240" w:after="240" w:line="240" w:lineRule="auto"/>
        <w:ind w:left="1440" w:right="1440"/>
        <w:jc w:val="both"/>
        <w:rPr>
          <w:rFonts w:ascii="Times New Roman" w:hAnsi="Times New Roman" w:cs="Times New Roman"/>
        </w:rPr>
      </w:pPr>
      <w:r w:rsidRPr="00FA05A5">
        <w:rPr>
          <w:rFonts w:ascii="Times New Roman" w:hAnsi="Times New Roman" w:cs="Times New Roman"/>
          <w:b/>
          <w:bCs/>
        </w:rPr>
        <w:t>Baseline Structural and Social Barriers:</w:t>
      </w:r>
      <w:r>
        <w:rPr>
          <w:rFonts w:ascii="Times New Roman" w:hAnsi="Times New Roman" w:cs="Times New Roman"/>
        </w:rPr>
        <w:t xml:space="preserve"> </w:t>
      </w:r>
    </w:p>
    <w:p w14:paraId="60F86813" w14:textId="12828F11" w:rsidR="005F057E" w:rsidRDefault="002B300C" w:rsidP="00687AB0">
      <w:pPr>
        <w:spacing w:before="240" w:after="240" w:line="240" w:lineRule="auto"/>
        <w:ind w:left="1440" w:right="1440"/>
        <w:jc w:val="both"/>
        <w:rPr>
          <w:rFonts w:ascii="Times New Roman" w:hAnsi="Times New Roman" w:cs="Times New Roman"/>
        </w:rPr>
      </w:pPr>
      <w:r>
        <w:rPr>
          <w:rFonts w:ascii="Times New Roman" w:hAnsi="Times New Roman" w:cs="Times New Roman"/>
        </w:rPr>
        <w:t>As illustrated in Figure 2, participants reported high levels of structural and social barriers at baseline, including fear of arrest, stigma, in healthcare, and prior exposure to gender-based violence.</w:t>
      </w:r>
      <w:r w:rsidR="00562447">
        <w:rPr>
          <w:rFonts w:ascii="Times New Roman" w:hAnsi="Times New Roman" w:cs="Times New Roman"/>
        </w:rPr>
        <w:t xml:space="preserve"> </w:t>
      </w:r>
      <w:r w:rsidR="00CB1575">
        <w:rPr>
          <w:rFonts w:ascii="Times New Roman" w:hAnsi="Times New Roman" w:cs="Times New Roman"/>
        </w:rPr>
        <w:t xml:space="preserve">At baseline, across both quantitative and qualitative data, participants reported pervasive stigma, criminalization-related </w:t>
      </w:r>
      <w:r w:rsidR="00CB1575" w:rsidRPr="000950A8">
        <w:rPr>
          <w:rFonts w:ascii="Times New Roman" w:hAnsi="Times New Roman" w:cs="Times New Roman"/>
        </w:rPr>
        <w:t xml:space="preserve">fears, and systemic exclusion. These findings represent pre-intervention conditions within </w:t>
      </w:r>
      <w:r w:rsidR="00A978B4" w:rsidRPr="000950A8">
        <w:rPr>
          <w:rFonts w:ascii="Times New Roman" w:hAnsi="Times New Roman" w:cs="Times New Roman"/>
        </w:rPr>
        <w:t xml:space="preserve">the study </w:t>
      </w:r>
      <w:r w:rsidR="00CB1575" w:rsidRPr="000950A8">
        <w:rPr>
          <w:rFonts w:ascii="Times New Roman" w:hAnsi="Times New Roman" w:cs="Times New Roman"/>
        </w:rPr>
        <w:t xml:space="preserve">communities of </w:t>
      </w:r>
      <w:proofErr w:type="spellStart"/>
      <w:r w:rsidR="00CB1575" w:rsidRPr="000950A8">
        <w:rPr>
          <w:rFonts w:ascii="Times New Roman" w:hAnsi="Times New Roman" w:cs="Times New Roman"/>
        </w:rPr>
        <w:t>Yakurr</w:t>
      </w:r>
      <w:proofErr w:type="spellEnd"/>
      <w:r w:rsidR="00CB1575" w:rsidRPr="000950A8">
        <w:rPr>
          <w:rFonts w:ascii="Times New Roman" w:hAnsi="Times New Roman" w:cs="Times New Roman"/>
        </w:rPr>
        <w:t xml:space="preserve"> Local Government Area and </w:t>
      </w:r>
      <w:r w:rsidR="00A978B4" w:rsidRPr="000950A8">
        <w:rPr>
          <w:rFonts w:ascii="Times New Roman" w:hAnsi="Times New Roman" w:cs="Times New Roman"/>
        </w:rPr>
        <w:t>serves as</w:t>
      </w:r>
      <w:r w:rsidR="00CB1575" w:rsidRPr="000950A8">
        <w:rPr>
          <w:rFonts w:ascii="Times New Roman" w:hAnsi="Times New Roman" w:cs="Times New Roman"/>
        </w:rPr>
        <w:t xml:space="preserve"> a reference point for </w:t>
      </w:r>
      <w:r w:rsidR="00F352D1" w:rsidRPr="000950A8">
        <w:rPr>
          <w:rFonts w:ascii="Times New Roman" w:hAnsi="Times New Roman" w:cs="Times New Roman"/>
        </w:rPr>
        <w:t>describing changes observed</w:t>
      </w:r>
      <w:r w:rsidR="00CB1575" w:rsidRPr="000950A8">
        <w:rPr>
          <w:rFonts w:ascii="Times New Roman" w:hAnsi="Times New Roman" w:cs="Times New Roman"/>
        </w:rPr>
        <w:t xml:space="preserve"> following</w:t>
      </w:r>
      <w:r w:rsidR="00CB1575">
        <w:rPr>
          <w:rFonts w:ascii="Times New Roman" w:hAnsi="Times New Roman" w:cs="Times New Roman"/>
        </w:rPr>
        <w:t xml:space="preserve"> implementation of the multi-level intervention. </w:t>
      </w:r>
    </w:p>
    <w:p w14:paraId="585E49BB" w14:textId="6FF5FB29" w:rsidR="0033705A" w:rsidRDefault="0033705A" w:rsidP="0033705A">
      <w:pPr>
        <w:spacing w:before="240" w:after="240" w:line="240" w:lineRule="auto"/>
        <w:ind w:right="1440"/>
        <w:jc w:val="both"/>
        <w:rPr>
          <w:rFonts w:ascii="Times New Roman" w:hAnsi="Times New Roman" w:cs="Times New Roman"/>
        </w:rPr>
      </w:pPr>
      <w:r>
        <w:rPr>
          <w:noProof/>
        </w:rPr>
        <w:lastRenderedPageBreak/>
        <w:drawing>
          <wp:anchor distT="0" distB="0" distL="114300" distR="114300" simplePos="0" relativeHeight="251666432" behindDoc="1" locked="0" layoutInCell="1" allowOverlap="1" wp14:anchorId="1A3F780C" wp14:editId="231FBFF5">
            <wp:simplePos x="0" y="0"/>
            <wp:positionH relativeFrom="column">
              <wp:posOffset>973455</wp:posOffset>
            </wp:positionH>
            <wp:positionV relativeFrom="paragraph">
              <wp:posOffset>116367</wp:posOffset>
            </wp:positionV>
            <wp:extent cx="4448175" cy="2852420"/>
            <wp:effectExtent l="0" t="0" r="9525" b="5080"/>
            <wp:wrapNone/>
            <wp:docPr id="1309195392" name="Chart 1">
              <a:extLst xmlns:a="http://schemas.openxmlformats.org/drawingml/2006/main">
                <a:ext uri="{FF2B5EF4-FFF2-40B4-BE49-F238E27FC236}">
                  <a16:creationId xmlns:a16="http://schemas.microsoft.com/office/drawing/2014/main" id="{0B0E80D0-FBFC-D0CA-4643-B1B6825F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48FED00E" w14:textId="627A7359" w:rsidR="0033705A" w:rsidRDefault="00AA262A" w:rsidP="00AA262A">
      <w:pPr>
        <w:tabs>
          <w:tab w:val="left" w:pos="4833"/>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77E7061B" w14:textId="1DF8175D" w:rsidR="0033705A" w:rsidRDefault="00E9182C" w:rsidP="004F7F8E">
      <w:pPr>
        <w:tabs>
          <w:tab w:val="left" w:pos="2860"/>
        </w:tabs>
        <w:spacing w:before="240" w:after="240" w:line="240" w:lineRule="auto"/>
        <w:ind w:right="1440"/>
        <w:jc w:val="both"/>
        <w:rPr>
          <w:noProof/>
        </w:rPr>
      </w:pPr>
      <w:r>
        <w:rPr>
          <w:noProof/>
        </w:rPr>
        <mc:AlternateContent>
          <mc:Choice Requires="wps">
            <w:drawing>
              <wp:anchor distT="0" distB="0" distL="114300" distR="114300" simplePos="0" relativeHeight="251672576" behindDoc="0" locked="0" layoutInCell="1" allowOverlap="1" wp14:anchorId="417CD6E2" wp14:editId="65E5EFD0">
                <wp:simplePos x="0" y="0"/>
                <wp:positionH relativeFrom="column">
                  <wp:posOffset>2270125</wp:posOffset>
                </wp:positionH>
                <wp:positionV relativeFrom="paragraph">
                  <wp:posOffset>247650</wp:posOffset>
                </wp:positionV>
                <wp:extent cx="508000" cy="349250"/>
                <wp:effectExtent l="0" t="0" r="0" b="0"/>
                <wp:wrapNone/>
                <wp:docPr id="67917814" name="Text Box 5"/>
                <wp:cNvGraphicFramePr/>
                <a:graphic xmlns:a="http://schemas.openxmlformats.org/drawingml/2006/main">
                  <a:graphicData uri="http://schemas.microsoft.com/office/word/2010/wordprocessingShape">
                    <wps:wsp>
                      <wps:cNvSpPr txBox="1"/>
                      <wps:spPr>
                        <a:xfrm>
                          <a:off x="0" y="0"/>
                          <a:ext cx="508000" cy="349250"/>
                        </a:xfrm>
                        <a:prstGeom prst="rect">
                          <a:avLst/>
                        </a:prstGeom>
                        <a:noFill/>
                        <a:ln w="6350">
                          <a:noFill/>
                        </a:ln>
                      </wps:spPr>
                      <wps:txbx>
                        <w:txbxContent>
                          <w:p w14:paraId="5D355FA4" w14:textId="7C4E0667" w:rsidR="004F7F8E" w:rsidRPr="00E9182C" w:rsidRDefault="004F7F8E" w:rsidP="004F7F8E">
                            <w:pPr>
                              <w:rPr>
                                <w:b/>
                                <w:bCs/>
                                <w:sz w:val="18"/>
                                <w:szCs w:val="18"/>
                              </w:rPr>
                            </w:pPr>
                            <w:r w:rsidRPr="00E9182C">
                              <w:rPr>
                                <w:b/>
                                <w:bCs/>
                                <w:sz w:val="18"/>
                                <w:szCs w:val="18"/>
                              </w:rPr>
                              <w:t>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D6E2" id="Text Box 5" o:spid="_x0000_s1027" type="#_x0000_t202" style="position:absolute;left:0;text-align:left;margin-left:178.75pt;margin-top:19.5pt;width:40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" filled="f" stroked="f" strokeweight=".5pt">
                <v:textbox>
                  <w:txbxContent>
                    <w:p w14:paraId="5D355FA4" w14:textId="7C4E0667" w:rsidR="004F7F8E" w:rsidRPr="00E9182C" w:rsidRDefault="004F7F8E" w:rsidP="004F7F8E">
                      <w:pPr>
                        <w:rPr>
                          <w:b/>
                          <w:bCs/>
                          <w:sz w:val="18"/>
                          <w:szCs w:val="18"/>
                        </w:rPr>
                      </w:pPr>
                      <w:r w:rsidRPr="00E9182C">
                        <w:rPr>
                          <w:b/>
                          <w:bCs/>
                          <w:sz w:val="18"/>
                          <w:szCs w:val="18"/>
                        </w:rPr>
                        <w:t>68.9%</w:t>
                      </w:r>
                    </w:p>
                  </w:txbxContent>
                </v:textbox>
              </v:shape>
            </w:pict>
          </mc:Fallback>
        </mc:AlternateContent>
      </w:r>
      <w:r w:rsidR="004F7F8E">
        <w:rPr>
          <w:noProof/>
        </w:rPr>
        <mc:AlternateContent>
          <mc:Choice Requires="wps">
            <w:drawing>
              <wp:anchor distT="0" distB="0" distL="114300" distR="114300" simplePos="0" relativeHeight="251670528" behindDoc="0" locked="0" layoutInCell="1" allowOverlap="1" wp14:anchorId="7077D039" wp14:editId="6BB28554">
                <wp:simplePos x="0" y="0"/>
                <wp:positionH relativeFrom="column">
                  <wp:posOffset>1476375</wp:posOffset>
                </wp:positionH>
                <wp:positionV relativeFrom="paragraph">
                  <wp:posOffset>196850</wp:posOffset>
                </wp:positionV>
                <wp:extent cx="508000" cy="342900"/>
                <wp:effectExtent l="0" t="0" r="0" b="0"/>
                <wp:wrapNone/>
                <wp:docPr id="1600711431" name="Text Box 5"/>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w="6350">
                          <a:noFill/>
                        </a:ln>
                      </wps:spPr>
                      <wps:txbx>
                        <w:txbxContent>
                          <w:p w14:paraId="17F02515" w14:textId="60E6C627" w:rsidR="004F7F8E" w:rsidRPr="00E9182C" w:rsidRDefault="004F7F8E">
                            <w:pPr>
                              <w:rPr>
                                <w:b/>
                                <w:bCs/>
                                <w:sz w:val="18"/>
                                <w:szCs w:val="18"/>
                              </w:rPr>
                            </w:pPr>
                            <w:r w:rsidRPr="00E9182C">
                              <w:rPr>
                                <w:b/>
                                <w:bCs/>
                                <w:sz w:val="18"/>
                                <w:szCs w:val="18"/>
                              </w:rPr>
                              <w:t>72.4%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D039" id="_x0000_s1028" type="#_x0000_t202" style="position:absolute;left:0;text-align:left;margin-left:116.25pt;margin-top:15.5pt;width:4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" filled="f" stroked="f" strokeweight=".5pt">
                <v:textbox>
                  <w:txbxContent>
                    <w:p w14:paraId="17F02515" w14:textId="60E6C627" w:rsidR="004F7F8E" w:rsidRPr="00E9182C" w:rsidRDefault="004F7F8E">
                      <w:pPr>
                        <w:rPr>
                          <w:b/>
                          <w:bCs/>
                          <w:sz w:val="18"/>
                          <w:szCs w:val="18"/>
                        </w:rPr>
                      </w:pPr>
                      <w:r w:rsidRPr="00E9182C">
                        <w:rPr>
                          <w:b/>
                          <w:bCs/>
                          <w:sz w:val="18"/>
                          <w:szCs w:val="18"/>
                        </w:rPr>
                        <w:t>72.4%</w:t>
                      </w:r>
                    </w:p>
                  </w:txbxContent>
                </v:textbox>
              </v:shape>
            </w:pict>
          </mc:Fallback>
        </mc:AlternateContent>
      </w:r>
      <w:r w:rsidR="004F7F8E">
        <w:rPr>
          <w:noProof/>
        </w:rPr>
        <w:tab/>
      </w:r>
    </w:p>
    <w:p w14:paraId="2457282B" w14:textId="60C9DE91" w:rsidR="0033705A" w:rsidRDefault="00E9182C" w:rsidP="004F7F8E">
      <w:pPr>
        <w:tabs>
          <w:tab w:val="left" w:pos="2860"/>
        </w:tabs>
        <w:spacing w:before="240" w:after="240" w:line="240" w:lineRule="auto"/>
        <w:ind w:right="1440"/>
        <w:jc w:val="both"/>
        <w:rPr>
          <w:noProof/>
        </w:rPr>
      </w:pPr>
      <w:r>
        <w:rPr>
          <w:noProof/>
        </w:rPr>
        <mc:AlternateContent>
          <mc:Choice Requires="wps">
            <w:drawing>
              <wp:anchor distT="0" distB="0" distL="114300" distR="114300" simplePos="0" relativeHeight="251678720" behindDoc="0" locked="0" layoutInCell="1" allowOverlap="1" wp14:anchorId="084ACCD1" wp14:editId="39880278">
                <wp:simplePos x="0" y="0"/>
                <wp:positionH relativeFrom="column">
                  <wp:posOffset>4645025</wp:posOffset>
                </wp:positionH>
                <wp:positionV relativeFrom="paragraph">
                  <wp:posOffset>125095</wp:posOffset>
                </wp:positionV>
                <wp:extent cx="501650" cy="381000"/>
                <wp:effectExtent l="0" t="0" r="0" b="0"/>
                <wp:wrapNone/>
                <wp:docPr id="2084377904" name="Text Box 5"/>
                <wp:cNvGraphicFramePr/>
                <a:graphic xmlns:a="http://schemas.openxmlformats.org/drawingml/2006/main">
                  <a:graphicData uri="http://schemas.microsoft.com/office/word/2010/wordprocessingShape">
                    <wps:wsp>
                      <wps:cNvSpPr txBox="1"/>
                      <wps:spPr>
                        <a:xfrm>
                          <a:off x="0" y="0"/>
                          <a:ext cx="501650" cy="381000"/>
                        </a:xfrm>
                        <a:prstGeom prst="rect">
                          <a:avLst/>
                        </a:prstGeom>
                        <a:noFill/>
                        <a:ln w="6350">
                          <a:noFill/>
                        </a:ln>
                      </wps:spPr>
                      <wps:txbx>
                        <w:txbxContent>
                          <w:p w14:paraId="5517E4E6" w14:textId="03615113" w:rsidR="004F7F8E" w:rsidRPr="00E9182C" w:rsidRDefault="004F7F8E" w:rsidP="004F7F8E">
                            <w:pPr>
                              <w:rPr>
                                <w:b/>
                                <w:bCs/>
                                <w:sz w:val="18"/>
                                <w:szCs w:val="18"/>
                              </w:rPr>
                            </w:pPr>
                            <w:r w:rsidRPr="00E9182C">
                              <w:rPr>
                                <w:b/>
                                <w:bCs/>
                                <w:sz w:val="18"/>
                                <w:szCs w:val="18"/>
                              </w:rPr>
                              <w:t>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CCD1" id="_x0000_s1029" type="#_x0000_t202" style="position:absolute;left:0;text-align:left;margin-left:365.75pt;margin-top:9.85pt;width:3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s2GQIAADI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" filled="f" stroked="f" strokeweight=".5pt">
                <v:textbox>
                  <w:txbxContent>
                    <w:p w14:paraId="5517E4E6" w14:textId="03615113" w:rsidR="004F7F8E" w:rsidRPr="00E9182C" w:rsidRDefault="004F7F8E" w:rsidP="004F7F8E">
                      <w:pPr>
                        <w:rPr>
                          <w:b/>
                          <w:bCs/>
                          <w:sz w:val="18"/>
                          <w:szCs w:val="18"/>
                        </w:rPr>
                      </w:pPr>
                      <w:r w:rsidRPr="00E9182C">
                        <w:rPr>
                          <w:b/>
                          <w:bCs/>
                          <w:sz w:val="18"/>
                          <w:szCs w:val="18"/>
                        </w:rPr>
                        <w:t>57.6%</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9A5C40C" wp14:editId="2331C4B7">
                <wp:simplePos x="0" y="0"/>
                <wp:positionH relativeFrom="column">
                  <wp:posOffset>3857625</wp:posOffset>
                </wp:positionH>
                <wp:positionV relativeFrom="paragraph">
                  <wp:posOffset>17145</wp:posOffset>
                </wp:positionV>
                <wp:extent cx="501650" cy="387350"/>
                <wp:effectExtent l="0" t="0" r="0" b="0"/>
                <wp:wrapNone/>
                <wp:docPr id="55641434" name="Text Box 5"/>
                <wp:cNvGraphicFramePr/>
                <a:graphic xmlns:a="http://schemas.openxmlformats.org/drawingml/2006/main">
                  <a:graphicData uri="http://schemas.microsoft.com/office/word/2010/wordprocessingShape">
                    <wps:wsp>
                      <wps:cNvSpPr txBox="1"/>
                      <wps:spPr>
                        <a:xfrm>
                          <a:off x="0" y="0"/>
                          <a:ext cx="501650" cy="387350"/>
                        </a:xfrm>
                        <a:prstGeom prst="rect">
                          <a:avLst/>
                        </a:prstGeom>
                        <a:noFill/>
                        <a:ln w="6350">
                          <a:noFill/>
                        </a:ln>
                      </wps:spPr>
                      <wps:txbx>
                        <w:txbxContent>
                          <w:p w14:paraId="78964C05" w14:textId="611138C7" w:rsidR="004F7F8E" w:rsidRPr="00E9182C" w:rsidRDefault="004F7F8E" w:rsidP="004F7F8E">
                            <w:pPr>
                              <w:rPr>
                                <w:b/>
                                <w:bCs/>
                                <w:sz w:val="18"/>
                                <w:szCs w:val="18"/>
                              </w:rPr>
                            </w:pPr>
                            <w:r w:rsidRPr="00E9182C">
                              <w:rPr>
                                <w:b/>
                                <w:bCs/>
                                <w:sz w:val="18"/>
                                <w:szCs w:val="18"/>
                              </w:rPr>
                              <w:t>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C40C" id="_x0000_s1030" type="#_x0000_t202" style="position:absolute;left:0;text-align:left;margin-left:303.75pt;margin-top:1.35pt;width:39.5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ZmGAIAADI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" filled="f" stroked="f" strokeweight=".5pt">
                <v:textbox>
                  <w:txbxContent>
                    <w:p w14:paraId="78964C05" w14:textId="611138C7" w:rsidR="004F7F8E" w:rsidRPr="00E9182C" w:rsidRDefault="004F7F8E" w:rsidP="004F7F8E">
                      <w:pPr>
                        <w:rPr>
                          <w:b/>
                          <w:bCs/>
                          <w:sz w:val="18"/>
                          <w:szCs w:val="18"/>
                        </w:rPr>
                      </w:pPr>
                      <w:r w:rsidRPr="00E9182C">
                        <w:rPr>
                          <w:b/>
                          <w:bCs/>
                          <w:sz w:val="18"/>
                          <w:szCs w:val="18"/>
                        </w:rPr>
                        <w:t>64.8%</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54706A5" wp14:editId="047A71BE">
                <wp:simplePos x="0" y="0"/>
                <wp:positionH relativeFrom="column">
                  <wp:posOffset>3063875</wp:posOffset>
                </wp:positionH>
                <wp:positionV relativeFrom="paragraph">
                  <wp:posOffset>61595</wp:posOffset>
                </wp:positionV>
                <wp:extent cx="488950" cy="374650"/>
                <wp:effectExtent l="0" t="0" r="0" b="6350"/>
                <wp:wrapNone/>
                <wp:docPr id="1185976263" name="Text Box 5"/>
                <wp:cNvGraphicFramePr/>
                <a:graphic xmlns:a="http://schemas.openxmlformats.org/drawingml/2006/main">
                  <a:graphicData uri="http://schemas.microsoft.com/office/word/2010/wordprocessingShape">
                    <wps:wsp>
                      <wps:cNvSpPr txBox="1"/>
                      <wps:spPr>
                        <a:xfrm>
                          <a:off x="0" y="0"/>
                          <a:ext cx="488950" cy="374650"/>
                        </a:xfrm>
                        <a:prstGeom prst="rect">
                          <a:avLst/>
                        </a:prstGeom>
                        <a:noFill/>
                        <a:ln w="6350">
                          <a:noFill/>
                        </a:ln>
                      </wps:spPr>
                      <wps:txbx>
                        <w:txbxContent>
                          <w:p w14:paraId="58589993" w14:textId="53B241E2" w:rsidR="004F7F8E" w:rsidRPr="00E9182C" w:rsidRDefault="004F7F8E" w:rsidP="004F7F8E">
                            <w:pPr>
                              <w:rPr>
                                <w:b/>
                                <w:bCs/>
                                <w:sz w:val="18"/>
                                <w:szCs w:val="18"/>
                              </w:rPr>
                            </w:pPr>
                            <w:r w:rsidRPr="00E9182C">
                              <w:rPr>
                                <w:b/>
                                <w:bCs/>
                                <w:sz w:val="18"/>
                                <w:szCs w:val="18"/>
                              </w:rPr>
                              <w:t>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06A5" id="_x0000_s1031" type="#_x0000_t202" style="position:absolute;left:0;text-align:left;margin-left:241.25pt;margin-top:4.85pt;width:38.5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" filled="f" stroked="f" strokeweight=".5pt">
                <v:textbox>
                  <w:txbxContent>
                    <w:p w14:paraId="58589993" w14:textId="53B241E2" w:rsidR="004F7F8E" w:rsidRPr="00E9182C" w:rsidRDefault="004F7F8E" w:rsidP="004F7F8E">
                      <w:pPr>
                        <w:rPr>
                          <w:b/>
                          <w:bCs/>
                          <w:sz w:val="18"/>
                          <w:szCs w:val="18"/>
                        </w:rPr>
                      </w:pPr>
                      <w:r w:rsidRPr="00E9182C">
                        <w:rPr>
                          <w:b/>
                          <w:bCs/>
                          <w:sz w:val="18"/>
                          <w:szCs w:val="18"/>
                        </w:rPr>
                        <w:t>61.3%</w:t>
                      </w:r>
                    </w:p>
                  </w:txbxContent>
                </v:textbox>
              </v:shape>
            </w:pict>
          </mc:Fallback>
        </mc:AlternateContent>
      </w:r>
      <w:r w:rsidR="004F7F8E">
        <w:rPr>
          <w:noProof/>
        </w:rPr>
        <w:tab/>
      </w:r>
    </w:p>
    <w:p w14:paraId="04BB0441" w14:textId="24282ABB" w:rsidR="0033705A" w:rsidRDefault="0033705A" w:rsidP="00EE72B1">
      <w:pPr>
        <w:spacing w:before="240" w:after="240" w:line="240" w:lineRule="auto"/>
        <w:ind w:right="1440"/>
        <w:jc w:val="both"/>
        <w:rPr>
          <w:noProof/>
        </w:rPr>
      </w:pPr>
    </w:p>
    <w:p w14:paraId="0AD5FFE5" w14:textId="77777777" w:rsidR="0033705A" w:rsidRDefault="0033705A" w:rsidP="00EE72B1">
      <w:pPr>
        <w:spacing w:before="240" w:after="240" w:line="240" w:lineRule="auto"/>
        <w:ind w:right="1440"/>
        <w:jc w:val="both"/>
        <w:rPr>
          <w:noProof/>
        </w:rPr>
      </w:pPr>
    </w:p>
    <w:p w14:paraId="362C5C05" w14:textId="77777777" w:rsidR="0033705A" w:rsidRDefault="0033705A" w:rsidP="00EE72B1">
      <w:pPr>
        <w:spacing w:before="240" w:after="240" w:line="240" w:lineRule="auto"/>
        <w:ind w:right="1440"/>
        <w:jc w:val="both"/>
        <w:rPr>
          <w:noProof/>
        </w:rPr>
      </w:pPr>
    </w:p>
    <w:p w14:paraId="5CC6FB28" w14:textId="77777777" w:rsidR="0033705A" w:rsidRDefault="0033705A" w:rsidP="00EE72B1">
      <w:pPr>
        <w:spacing w:before="240" w:after="240" w:line="240" w:lineRule="auto"/>
        <w:ind w:right="1440"/>
        <w:jc w:val="both"/>
        <w:rPr>
          <w:noProof/>
        </w:rPr>
      </w:pPr>
    </w:p>
    <w:p w14:paraId="420653C1" w14:textId="77777777" w:rsidR="0033705A" w:rsidRDefault="0033705A" w:rsidP="00EE72B1">
      <w:pPr>
        <w:spacing w:before="240" w:after="240" w:line="240" w:lineRule="auto"/>
        <w:ind w:right="1440"/>
        <w:jc w:val="both"/>
        <w:rPr>
          <w:noProof/>
        </w:rPr>
      </w:pPr>
    </w:p>
    <w:p w14:paraId="624E1045" w14:textId="5AA81ED8" w:rsidR="000D4041" w:rsidRPr="00145E85" w:rsidRDefault="0033705A" w:rsidP="0033705A">
      <w:pPr>
        <w:spacing w:before="240" w:after="240" w:line="240" w:lineRule="auto"/>
        <w:ind w:right="1440"/>
        <w:jc w:val="both"/>
        <w:rPr>
          <w:noProof/>
        </w:rPr>
      </w:pPr>
      <w:r>
        <w:rPr>
          <w:noProof/>
        </w:rPr>
        <mc:AlternateContent>
          <mc:Choice Requires="wps">
            <w:drawing>
              <wp:anchor distT="0" distB="0" distL="114300" distR="114300" simplePos="0" relativeHeight="251664384" behindDoc="0" locked="0" layoutInCell="1" allowOverlap="1" wp14:anchorId="435AD613" wp14:editId="4C2CF07C">
                <wp:simplePos x="0" y="0"/>
                <wp:positionH relativeFrom="column">
                  <wp:posOffset>1042488</wp:posOffset>
                </wp:positionH>
                <wp:positionV relativeFrom="paragraph">
                  <wp:posOffset>11182</wp:posOffset>
                </wp:positionV>
                <wp:extent cx="4448175" cy="635"/>
                <wp:effectExtent l="0" t="0" r="0" b="0"/>
                <wp:wrapSquare wrapText="bothSides"/>
                <wp:docPr id="1604246384" name="Text Box 1"/>
                <wp:cNvGraphicFramePr/>
                <a:graphic xmlns:a="http://schemas.openxmlformats.org/drawingml/2006/main">
                  <a:graphicData uri="http://schemas.microsoft.com/office/word/2010/wordprocessingShape">
                    <wps:wsp>
                      <wps:cNvSpPr txBox="1"/>
                      <wps:spPr>
                        <a:xfrm>
                          <a:off x="0" y="0"/>
                          <a:ext cx="4448175" cy="635"/>
                        </a:xfrm>
                        <a:prstGeom prst="rect">
                          <a:avLst/>
                        </a:prstGeom>
                        <a:solidFill>
                          <a:prstClr val="white"/>
                        </a:solidFill>
                        <a:ln>
                          <a:noFill/>
                        </a:ln>
                      </wps:spPr>
                      <wps:txbx>
                        <w:txbxContent>
                          <w:p w14:paraId="2C502412" w14:textId="6B3C75D9" w:rsidR="00EE72B1" w:rsidRPr="00EE72B1" w:rsidRDefault="00EE72B1" w:rsidP="00EE72B1">
                            <w:pPr>
                              <w:rPr>
                                <w:rFonts w:ascii="Times New Roman" w:hAnsi="Times New Roman" w:cs="Times New Roman"/>
                                <w:noProof/>
                              </w:rPr>
                            </w:pPr>
                            <w:r w:rsidRPr="00EE72B1">
                              <w:rPr>
                                <w:rFonts w:ascii="Times New Roman" w:hAnsi="Times New Roman" w:cs="Times New Roman"/>
                                <w:b/>
                                <w:bCs/>
                              </w:rPr>
                              <w:t xml:space="preserve">Figure </w:t>
                            </w:r>
                            <w:r w:rsidRPr="00EE72B1">
                              <w:rPr>
                                <w:rFonts w:ascii="Times New Roman" w:hAnsi="Times New Roman" w:cs="Times New Roman"/>
                                <w:b/>
                                <w:bCs/>
                              </w:rPr>
                              <w:fldChar w:fldCharType="begin"/>
                            </w:r>
                            <w:r w:rsidRPr="00EE72B1">
                              <w:rPr>
                                <w:rFonts w:ascii="Times New Roman" w:hAnsi="Times New Roman" w:cs="Times New Roman"/>
                                <w:b/>
                                <w:bCs/>
                              </w:rPr>
                              <w:instrText xml:space="preserve"> SEQ Figure \* ARABIC </w:instrText>
                            </w:r>
                            <w:r w:rsidRPr="00EE72B1">
                              <w:rPr>
                                <w:rFonts w:ascii="Times New Roman" w:hAnsi="Times New Roman" w:cs="Times New Roman"/>
                                <w:b/>
                                <w:bCs/>
                              </w:rPr>
                              <w:fldChar w:fldCharType="separate"/>
                            </w:r>
                            <w:r w:rsidR="00244F1C">
                              <w:rPr>
                                <w:rFonts w:ascii="Times New Roman" w:hAnsi="Times New Roman" w:cs="Times New Roman"/>
                                <w:b/>
                                <w:bCs/>
                                <w:noProof/>
                              </w:rPr>
                              <w:t>2</w:t>
                            </w:r>
                            <w:r w:rsidRPr="00EE72B1">
                              <w:rPr>
                                <w:rFonts w:ascii="Times New Roman" w:hAnsi="Times New Roman" w:cs="Times New Roman"/>
                                <w:b/>
                                <w:bCs/>
                              </w:rPr>
                              <w:fldChar w:fldCharType="end"/>
                            </w:r>
                            <w:r w:rsidRPr="00EE72B1">
                              <w:rPr>
                                <w:rFonts w:ascii="Times New Roman" w:hAnsi="Times New Roman" w:cs="Times New Roman"/>
                                <w:b/>
                                <w:bCs/>
                              </w:rPr>
                              <w:t>.</w:t>
                            </w:r>
                            <w:r w:rsidRPr="00EE72B1">
                              <w:rPr>
                                <w:rFonts w:ascii="Times New Roman" w:hAnsi="Times New Roman" w:cs="Times New Roman"/>
                              </w:rPr>
                              <w:t xml:space="preserve"> </w:t>
                            </w:r>
                            <w:r w:rsidR="00EA6023">
                              <w:rPr>
                                <w:rFonts w:ascii="Times New Roman" w:hAnsi="Times New Roman" w:cs="Times New Roman"/>
                              </w:rPr>
                              <w:t xml:space="preserve">Prevalence of </w:t>
                            </w:r>
                            <w:r w:rsidRPr="00EE72B1">
                              <w:rPr>
                                <w:rFonts w:ascii="Times New Roman" w:hAnsi="Times New Roman" w:cs="Times New Roman"/>
                              </w:rPr>
                              <w:t xml:space="preserve">Reported Barriers to </w:t>
                            </w:r>
                            <w:r w:rsidR="00EA6023">
                              <w:rPr>
                                <w:rFonts w:ascii="Times New Roman" w:hAnsi="Times New Roman" w:cs="Times New Roman"/>
                              </w:rPr>
                              <w:t xml:space="preserve">Healthcare and Justice </w:t>
                            </w:r>
                            <w:r w:rsidRPr="00EE72B1">
                              <w:rPr>
                                <w:rFonts w:ascii="Times New Roman" w:hAnsi="Times New Roman" w:cs="Times New Roman"/>
                              </w:rPr>
                              <w:t xml:space="preserve">Services </w:t>
                            </w:r>
                            <w:r w:rsidR="00EA6023">
                              <w:rPr>
                                <w:rFonts w:ascii="Times New Roman" w:hAnsi="Times New Roman" w:cs="Times New Roman"/>
                              </w:rPr>
                              <w:t xml:space="preserve">at </w:t>
                            </w:r>
                            <w:r w:rsidRPr="00EE72B1">
                              <w:rPr>
                                <w:rFonts w:ascii="Times New Roman" w:hAnsi="Times New Roman" w:cs="Times New Roman"/>
                              </w:rPr>
                              <w:t>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35AD613" id="_x0000_s1032" type="#_x0000_t202" style="position:absolute;left:0;text-align:left;margin-left:82.1pt;margin-top:.9pt;width:350.25pt;height:.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0XGwIAAD8EAAAOAAAAZHJzL2Uyb0RvYy54bWysU01v2zAMvQ/YfxB0X5x0aV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" stroked="f">
                <v:textbox style="mso-fit-shape-to-text:t" inset="0,0,0,0">
                  <w:txbxContent>
                    <w:p w14:paraId="2C502412" w14:textId="6B3C75D9" w:rsidR="00EE72B1" w:rsidRPr="00EE72B1" w:rsidRDefault="00EE72B1" w:rsidP="00EE72B1">
                      <w:pPr>
                        <w:rPr>
                          <w:rFonts w:ascii="Times New Roman" w:hAnsi="Times New Roman" w:cs="Times New Roman"/>
                          <w:noProof/>
                        </w:rPr>
                      </w:pPr>
                      <w:r w:rsidRPr="00EE72B1">
                        <w:rPr>
                          <w:rFonts w:ascii="Times New Roman" w:hAnsi="Times New Roman" w:cs="Times New Roman"/>
                          <w:b/>
                          <w:bCs/>
                        </w:rPr>
                        <w:t xml:space="preserve">Figure </w:t>
                      </w:r>
                      <w:r w:rsidRPr="00EE72B1">
                        <w:rPr>
                          <w:rFonts w:ascii="Times New Roman" w:hAnsi="Times New Roman" w:cs="Times New Roman"/>
                          <w:b/>
                          <w:bCs/>
                        </w:rPr>
                        <w:fldChar w:fldCharType="begin"/>
                      </w:r>
                      <w:r w:rsidRPr="00EE72B1">
                        <w:rPr>
                          <w:rFonts w:ascii="Times New Roman" w:hAnsi="Times New Roman" w:cs="Times New Roman"/>
                          <w:b/>
                          <w:bCs/>
                        </w:rPr>
                        <w:instrText xml:space="preserve"> SEQ Figure \* ARABIC </w:instrText>
                      </w:r>
                      <w:r w:rsidRPr="00EE72B1">
                        <w:rPr>
                          <w:rFonts w:ascii="Times New Roman" w:hAnsi="Times New Roman" w:cs="Times New Roman"/>
                          <w:b/>
                          <w:bCs/>
                        </w:rPr>
                        <w:fldChar w:fldCharType="separate"/>
                      </w:r>
                      <w:r w:rsidR="00244F1C">
                        <w:rPr>
                          <w:rFonts w:ascii="Times New Roman" w:hAnsi="Times New Roman" w:cs="Times New Roman"/>
                          <w:b/>
                          <w:bCs/>
                          <w:noProof/>
                        </w:rPr>
                        <w:t>2</w:t>
                      </w:r>
                      <w:r w:rsidRPr="00EE72B1">
                        <w:rPr>
                          <w:rFonts w:ascii="Times New Roman" w:hAnsi="Times New Roman" w:cs="Times New Roman"/>
                          <w:b/>
                          <w:bCs/>
                        </w:rPr>
                        <w:fldChar w:fldCharType="end"/>
                      </w:r>
                      <w:r w:rsidRPr="00EE72B1">
                        <w:rPr>
                          <w:rFonts w:ascii="Times New Roman" w:hAnsi="Times New Roman" w:cs="Times New Roman"/>
                          <w:b/>
                          <w:bCs/>
                        </w:rPr>
                        <w:t>.</w:t>
                      </w:r>
                      <w:r w:rsidRPr="00EE72B1">
                        <w:rPr>
                          <w:rFonts w:ascii="Times New Roman" w:hAnsi="Times New Roman" w:cs="Times New Roman"/>
                        </w:rPr>
                        <w:t xml:space="preserve"> </w:t>
                      </w:r>
                      <w:r w:rsidR="00EA6023">
                        <w:rPr>
                          <w:rFonts w:ascii="Times New Roman" w:hAnsi="Times New Roman" w:cs="Times New Roman"/>
                        </w:rPr>
                        <w:t xml:space="preserve">Prevalence of </w:t>
                      </w:r>
                      <w:r w:rsidRPr="00EE72B1">
                        <w:rPr>
                          <w:rFonts w:ascii="Times New Roman" w:hAnsi="Times New Roman" w:cs="Times New Roman"/>
                        </w:rPr>
                        <w:t xml:space="preserve">Reported Barriers to </w:t>
                      </w:r>
                      <w:r w:rsidR="00EA6023">
                        <w:rPr>
                          <w:rFonts w:ascii="Times New Roman" w:hAnsi="Times New Roman" w:cs="Times New Roman"/>
                        </w:rPr>
                        <w:t xml:space="preserve">Healthcare and Justice </w:t>
                      </w:r>
                      <w:r w:rsidRPr="00EE72B1">
                        <w:rPr>
                          <w:rFonts w:ascii="Times New Roman" w:hAnsi="Times New Roman" w:cs="Times New Roman"/>
                        </w:rPr>
                        <w:t xml:space="preserve">Services </w:t>
                      </w:r>
                      <w:r w:rsidR="00EA6023">
                        <w:rPr>
                          <w:rFonts w:ascii="Times New Roman" w:hAnsi="Times New Roman" w:cs="Times New Roman"/>
                        </w:rPr>
                        <w:t xml:space="preserve">at </w:t>
                      </w:r>
                      <w:r w:rsidRPr="00EE72B1">
                        <w:rPr>
                          <w:rFonts w:ascii="Times New Roman" w:hAnsi="Times New Roman" w:cs="Times New Roman"/>
                        </w:rPr>
                        <w:t>Baseline</w:t>
                      </w:r>
                    </w:p>
                  </w:txbxContent>
                </v:textbox>
                <w10:wrap type="square"/>
              </v:shape>
            </w:pict>
          </mc:Fallback>
        </mc:AlternateContent>
      </w:r>
    </w:p>
    <w:p w14:paraId="086AFE89" w14:textId="3723F729" w:rsidR="003F34A8" w:rsidRPr="00800F05" w:rsidRDefault="00800F05" w:rsidP="00CF635E">
      <w:pPr>
        <w:spacing w:before="240" w:after="240" w:line="240" w:lineRule="auto"/>
        <w:ind w:left="1440" w:right="1440"/>
        <w:jc w:val="both"/>
        <w:rPr>
          <w:rFonts w:ascii="Times New Roman" w:hAnsi="Times New Roman" w:cs="Times New Roman"/>
          <w:b/>
          <w:bCs/>
        </w:rPr>
      </w:pPr>
      <w:r w:rsidRPr="00800F05">
        <w:rPr>
          <w:rFonts w:ascii="Times New Roman" w:hAnsi="Times New Roman" w:cs="Times New Roman"/>
          <w:b/>
          <w:bCs/>
        </w:rPr>
        <w:t>Qualitative Findings</w:t>
      </w:r>
    </w:p>
    <w:p w14:paraId="033AFF7D" w14:textId="4761CBE4" w:rsidR="003F34A8" w:rsidRDefault="00A87B4B" w:rsidP="00CF635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describe a cyclical relationship between criminalization, stigma, and service avoidance. </w:t>
      </w:r>
    </w:p>
    <w:p w14:paraId="771331BF" w14:textId="4402A3DA" w:rsidR="00A87B4B" w:rsidRPr="00412615" w:rsidRDefault="00A87B4B" w:rsidP="00412615">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“…if you go the police, you become the </w:t>
      </w:r>
      <w:r w:rsidR="00BE5A00" w:rsidRPr="00412615">
        <w:rPr>
          <w:rFonts w:ascii="Times New Roman" w:hAnsi="Times New Roman" w:cs="Times New Roman"/>
          <w:i/>
          <w:iCs/>
        </w:rPr>
        <w:t>suspect...</w:t>
      </w:r>
      <w:r w:rsidRPr="00412615">
        <w:rPr>
          <w:rFonts w:ascii="Times New Roman" w:hAnsi="Times New Roman" w:cs="Times New Roman"/>
          <w:i/>
          <w:iCs/>
        </w:rPr>
        <w:t>”</w:t>
      </w:r>
    </w:p>
    <w:p w14:paraId="141BF56A" w14:textId="7ECE7F5D" w:rsidR="00A87B4B" w:rsidRPr="00412615" w:rsidRDefault="00A87B4B" w:rsidP="00412615">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“…hospitals treat me like I don</w:t>
      </w:r>
      <w:r w:rsidR="00BE5A00" w:rsidRPr="00412615">
        <w:rPr>
          <w:rFonts w:ascii="Times New Roman" w:hAnsi="Times New Roman" w:cs="Times New Roman"/>
          <w:i/>
          <w:iCs/>
        </w:rPr>
        <w:t>’t deserve care…”</w:t>
      </w:r>
    </w:p>
    <w:p w14:paraId="43287A65" w14:textId="2B0D8C10" w:rsidR="00E63077" w:rsidRPr="009C11DB" w:rsidRDefault="00883439" w:rsidP="0033705A">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“…A healthcare provider in her words to me, you no know say gay go land you 14 years in </w:t>
      </w:r>
      <w:r w:rsidR="00D92383" w:rsidRPr="00412615">
        <w:rPr>
          <w:rFonts w:ascii="Times New Roman" w:hAnsi="Times New Roman" w:cs="Times New Roman"/>
          <w:i/>
          <w:iCs/>
        </w:rPr>
        <w:t>prison...</w:t>
      </w:r>
      <w:r w:rsidR="001D7CA5">
        <w:rPr>
          <w:rFonts w:ascii="Times New Roman" w:hAnsi="Times New Roman" w:cs="Times New Roman"/>
        </w:rPr>
        <w:t xml:space="preserve"> translated for clarity to mean </w:t>
      </w:r>
      <w:r w:rsidR="005912BD">
        <w:rPr>
          <w:rFonts w:ascii="Times New Roman" w:hAnsi="Times New Roman" w:cs="Times New Roman"/>
        </w:rPr>
        <w:t xml:space="preserve">that </w:t>
      </w:r>
      <w:r w:rsidR="005912BD" w:rsidRPr="009C11DB">
        <w:rPr>
          <w:rFonts w:ascii="Times New Roman" w:hAnsi="Times New Roman" w:cs="Times New Roman"/>
          <w:i/>
          <w:iCs/>
        </w:rPr>
        <w:t>“</w:t>
      </w:r>
      <w:r w:rsidR="001D7CA5" w:rsidRPr="009C11DB">
        <w:rPr>
          <w:rFonts w:ascii="Times New Roman" w:hAnsi="Times New Roman" w:cs="Times New Roman"/>
          <w:i/>
          <w:iCs/>
        </w:rPr>
        <w:t>…a healthcare provider told me that being gay could lead to imprisonment...”</w:t>
      </w:r>
    </w:p>
    <w:p w14:paraId="26D4CACF" w14:textId="32314158" w:rsidR="00883439" w:rsidRPr="00883439" w:rsidRDefault="00883439" w:rsidP="00CF635E">
      <w:pPr>
        <w:spacing w:before="240" w:after="240" w:line="240" w:lineRule="auto"/>
        <w:ind w:left="1440" w:right="1440"/>
        <w:jc w:val="both"/>
        <w:rPr>
          <w:rFonts w:ascii="Times New Roman" w:hAnsi="Times New Roman" w:cs="Times New Roman"/>
          <w:b/>
          <w:bCs/>
        </w:rPr>
      </w:pPr>
      <w:r w:rsidRPr="00883439">
        <w:rPr>
          <w:rFonts w:ascii="Times New Roman" w:hAnsi="Times New Roman" w:cs="Times New Roman"/>
          <w:b/>
          <w:bCs/>
        </w:rPr>
        <w:t>Interpretation:</w:t>
      </w:r>
    </w:p>
    <w:p w14:paraId="3061E328" w14:textId="03F3691D" w:rsidR="001E3569" w:rsidRPr="000950A8" w:rsidRDefault="00883439" w:rsidP="00C953A3">
      <w:pPr>
        <w:spacing w:before="240" w:after="240" w:line="240" w:lineRule="auto"/>
        <w:ind w:left="1440" w:right="1440"/>
        <w:jc w:val="both"/>
        <w:rPr>
          <w:rFonts w:ascii="Times New Roman" w:hAnsi="Times New Roman" w:cs="Times New Roman"/>
        </w:rPr>
      </w:pPr>
      <w:r w:rsidRPr="000950A8">
        <w:rPr>
          <w:rFonts w:ascii="Times New Roman" w:hAnsi="Times New Roman" w:cs="Times New Roman"/>
        </w:rPr>
        <w:t xml:space="preserve">Criminalization under the Same Sex Marriage (Prohibition) Act </w:t>
      </w:r>
      <w:r w:rsidR="001F198D" w:rsidRPr="000950A8">
        <w:rPr>
          <w:rFonts w:ascii="Times New Roman" w:hAnsi="Times New Roman" w:cs="Times New Roman"/>
        </w:rPr>
        <w:t xml:space="preserve">was reported by participants as limiting engagement with HIV prevention and treatment services </w:t>
      </w:r>
    </w:p>
    <w:p w14:paraId="01782A54" w14:textId="38FB002E" w:rsidR="007814E2" w:rsidRPr="000950A8" w:rsidRDefault="007814E2" w:rsidP="00CF635E">
      <w:pPr>
        <w:spacing w:before="240" w:after="240" w:line="240" w:lineRule="auto"/>
        <w:ind w:left="1440" w:right="1440"/>
        <w:jc w:val="both"/>
        <w:rPr>
          <w:rFonts w:ascii="Times New Roman" w:hAnsi="Times New Roman" w:cs="Times New Roman"/>
          <w:b/>
          <w:bCs/>
        </w:rPr>
      </w:pPr>
      <w:r w:rsidRPr="000950A8">
        <w:rPr>
          <w:rFonts w:ascii="Times New Roman" w:hAnsi="Times New Roman" w:cs="Times New Roman"/>
          <w:b/>
          <w:bCs/>
        </w:rPr>
        <w:t>Intervention</w:t>
      </w:r>
      <w:r w:rsidR="00F066A3" w:rsidRPr="000950A8">
        <w:rPr>
          <w:rFonts w:ascii="Times New Roman" w:hAnsi="Times New Roman" w:cs="Times New Roman"/>
          <w:b/>
          <w:bCs/>
        </w:rPr>
        <w:t xml:space="preserve"> Coverage</w:t>
      </w:r>
      <w:r w:rsidRPr="000950A8">
        <w:rPr>
          <w:rFonts w:ascii="Times New Roman" w:hAnsi="Times New Roman" w:cs="Times New Roman"/>
          <w:b/>
          <w:bCs/>
        </w:rPr>
        <w:t xml:space="preserve"> and Implementation Outputs </w:t>
      </w:r>
    </w:p>
    <w:p w14:paraId="64DDD33A" w14:textId="0AA72756" w:rsidR="007814E2" w:rsidRDefault="00F066A3" w:rsidP="00BF3ADA">
      <w:pPr>
        <w:spacing w:before="240" w:after="240" w:line="240" w:lineRule="auto"/>
        <w:ind w:left="1440" w:right="1440"/>
        <w:jc w:val="both"/>
        <w:rPr>
          <w:rFonts w:ascii="Times New Roman" w:hAnsi="Times New Roman" w:cs="Times New Roman"/>
        </w:rPr>
      </w:pPr>
      <w:r w:rsidRPr="000950A8">
        <w:rPr>
          <w:rFonts w:ascii="Times New Roman" w:hAnsi="Times New Roman" w:cs="Times New Roman"/>
        </w:rPr>
        <w:t xml:space="preserve">Intervention coverage and implementation outputs </w:t>
      </w:r>
      <w:r w:rsidR="00E82EBE" w:rsidRPr="000950A8">
        <w:rPr>
          <w:rFonts w:ascii="Times New Roman" w:hAnsi="Times New Roman" w:cs="Times New Roman"/>
        </w:rPr>
        <w:t xml:space="preserve">are summarized in Table 3, demonstrating substantial reach across all components of the multi-level interventions. </w:t>
      </w:r>
      <w:r w:rsidR="001E3569" w:rsidRPr="000950A8">
        <w:rPr>
          <w:rFonts w:ascii="Times New Roman" w:hAnsi="Times New Roman" w:cs="Times New Roman"/>
        </w:rPr>
        <w:t xml:space="preserve">Key implementation outcomes included high participant engagement, broad coverage of peer-led activities, and sustained interaction with institutional stakeholders. </w:t>
      </w:r>
      <w:r w:rsidR="00740E0F" w:rsidRPr="000950A8">
        <w:rPr>
          <w:rFonts w:ascii="Times New Roman" w:hAnsi="Times New Roman" w:cs="Times New Roman"/>
        </w:rPr>
        <w:t>These outputs suggest the feasibility and acceptability of the intervention within the study context and indicate potential for scalability.</w:t>
      </w:r>
      <w:r w:rsidR="00740E0F">
        <w:rPr>
          <w:rFonts w:ascii="Times New Roman" w:hAnsi="Times New Roman" w:cs="Times New Roman"/>
        </w:rPr>
        <w:t xml:space="preserve"> </w:t>
      </w:r>
    </w:p>
    <w:p w14:paraId="580FDD65" w14:textId="79830262" w:rsidR="007814E2" w:rsidRDefault="007814E2" w:rsidP="00CF635E">
      <w:pPr>
        <w:spacing w:before="240" w:after="240" w:line="240" w:lineRule="auto"/>
        <w:ind w:left="1440" w:right="1440"/>
        <w:jc w:val="both"/>
        <w:rPr>
          <w:rFonts w:ascii="Times New Roman" w:hAnsi="Times New Roman" w:cs="Times New Roman"/>
        </w:rPr>
      </w:pPr>
      <w:r w:rsidRPr="007814E2">
        <w:rPr>
          <w:rFonts w:ascii="Times New Roman" w:hAnsi="Times New Roman" w:cs="Times New Roman"/>
          <w:b/>
          <w:bCs/>
        </w:rPr>
        <w:t xml:space="preserve">Table </w:t>
      </w:r>
      <w:r w:rsidR="00392C9C">
        <w:rPr>
          <w:rFonts w:ascii="Times New Roman" w:hAnsi="Times New Roman" w:cs="Times New Roman"/>
          <w:b/>
          <w:bCs/>
        </w:rPr>
        <w:t>3</w:t>
      </w:r>
      <w:r w:rsidRPr="007814E2">
        <w:rPr>
          <w:rFonts w:ascii="Times New Roman" w:hAnsi="Times New Roman" w:cs="Times New Roman"/>
          <w:b/>
          <w:bCs/>
        </w:rPr>
        <w:t>.</w:t>
      </w:r>
      <w:r>
        <w:rPr>
          <w:rFonts w:ascii="Times New Roman" w:hAnsi="Times New Roman" w:cs="Times New Roman"/>
        </w:rPr>
        <w:t xml:space="preserve"> </w:t>
      </w:r>
      <w:r w:rsidR="00CE014C">
        <w:rPr>
          <w:rFonts w:ascii="Times New Roman" w:hAnsi="Times New Roman" w:cs="Times New Roman"/>
        </w:rPr>
        <w:t>I</w:t>
      </w:r>
      <w:r>
        <w:rPr>
          <w:rFonts w:ascii="Times New Roman" w:hAnsi="Times New Roman" w:cs="Times New Roman"/>
        </w:rPr>
        <w:t xml:space="preserve">ntervention </w:t>
      </w:r>
      <w:r w:rsidR="00CE014C">
        <w:rPr>
          <w:rFonts w:ascii="Times New Roman" w:hAnsi="Times New Roman" w:cs="Times New Roman"/>
        </w:rPr>
        <w:t>C</w:t>
      </w:r>
      <w:r>
        <w:rPr>
          <w:rFonts w:ascii="Times New Roman" w:hAnsi="Times New Roman" w:cs="Times New Roman"/>
        </w:rPr>
        <w:t xml:space="preserve">overage and </w:t>
      </w:r>
      <w:r w:rsidR="00CE014C">
        <w:rPr>
          <w:rFonts w:ascii="Times New Roman" w:hAnsi="Times New Roman" w:cs="Times New Roman"/>
        </w:rPr>
        <w:t xml:space="preserve">Implementation </w:t>
      </w:r>
      <w:r>
        <w:rPr>
          <w:rFonts w:ascii="Times New Roman" w:hAnsi="Times New Roman" w:cs="Times New Roman"/>
        </w:rPr>
        <w:t>Output</w:t>
      </w:r>
      <w:r w:rsidR="004F1EDB">
        <w:rPr>
          <w:rFonts w:ascii="Times New Roman" w:hAnsi="Times New Roman" w:cs="Times New Roman"/>
        </w:rPr>
        <w:t>s</w:t>
      </w:r>
      <w:r>
        <w:rPr>
          <w:rFonts w:ascii="Times New Roman" w:hAnsi="Times New Roman" w:cs="Times New Roman"/>
        </w:rPr>
        <w:t xml:space="preserve"> </w:t>
      </w:r>
    </w:p>
    <w:tbl>
      <w:tblPr>
        <w:tblStyle w:val="TableGrid"/>
        <w:tblW w:w="0" w:type="auto"/>
        <w:tblInd w:w="1440" w:type="dxa"/>
        <w:tblLook w:val="04A0" w:firstRow="1" w:lastRow="0" w:firstColumn="1" w:lastColumn="0" w:noHBand="0" w:noVBand="1"/>
      </w:tblPr>
      <w:tblGrid>
        <w:gridCol w:w="4642"/>
        <w:gridCol w:w="3093"/>
      </w:tblGrid>
      <w:tr w:rsidR="007814E2" w14:paraId="55735866" w14:textId="77777777" w:rsidTr="00BF3ADA">
        <w:tc>
          <w:tcPr>
            <w:tcW w:w="4642" w:type="dxa"/>
          </w:tcPr>
          <w:p w14:paraId="4E90C0BA" w14:textId="21EF5822" w:rsidR="007814E2" w:rsidRDefault="00CA13BD" w:rsidP="00CF635E">
            <w:pPr>
              <w:spacing w:before="240" w:after="240"/>
              <w:ind w:right="1440"/>
              <w:jc w:val="both"/>
              <w:rPr>
                <w:rFonts w:ascii="Times New Roman" w:hAnsi="Times New Roman" w:cs="Times New Roman"/>
              </w:rPr>
            </w:pPr>
            <w:r>
              <w:rPr>
                <w:rFonts w:ascii="Times New Roman" w:hAnsi="Times New Roman" w:cs="Times New Roman"/>
              </w:rPr>
              <w:t xml:space="preserve">Intervention </w:t>
            </w:r>
            <w:r w:rsidR="007814E2">
              <w:rPr>
                <w:rFonts w:ascii="Times New Roman" w:hAnsi="Times New Roman" w:cs="Times New Roman"/>
              </w:rPr>
              <w:t xml:space="preserve">Component </w:t>
            </w:r>
          </w:p>
        </w:tc>
        <w:tc>
          <w:tcPr>
            <w:tcW w:w="3093" w:type="dxa"/>
          </w:tcPr>
          <w:p w14:paraId="223E91FD" w14:textId="3E4008BB"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Output Achieved </w:t>
            </w:r>
          </w:p>
        </w:tc>
      </w:tr>
      <w:tr w:rsidR="007814E2" w14:paraId="6FE29D73" w14:textId="77777777" w:rsidTr="00BF3ADA">
        <w:tc>
          <w:tcPr>
            <w:tcW w:w="4642" w:type="dxa"/>
          </w:tcPr>
          <w:p w14:paraId="45131174" w14:textId="63719B4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Community dialogue sessions </w:t>
            </w:r>
          </w:p>
        </w:tc>
        <w:tc>
          <w:tcPr>
            <w:tcW w:w="3093" w:type="dxa"/>
          </w:tcPr>
          <w:p w14:paraId="07916529" w14:textId="5A2B1DF6"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787 participants </w:t>
            </w:r>
          </w:p>
        </w:tc>
      </w:tr>
      <w:tr w:rsidR="007814E2" w14:paraId="2222D88A" w14:textId="77777777" w:rsidTr="00BF3ADA">
        <w:tc>
          <w:tcPr>
            <w:tcW w:w="4642" w:type="dxa"/>
          </w:tcPr>
          <w:p w14:paraId="63BF3086" w14:textId="5823D10B"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lastRenderedPageBreak/>
              <w:t>Peer-led advocacy</w:t>
            </w:r>
          </w:p>
        </w:tc>
        <w:tc>
          <w:tcPr>
            <w:tcW w:w="3093" w:type="dxa"/>
          </w:tcPr>
          <w:p w14:paraId="38B56650" w14:textId="4EC105D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21 initiatives; 1008 individuals reached </w:t>
            </w:r>
          </w:p>
        </w:tc>
      </w:tr>
      <w:tr w:rsidR="007814E2" w14:paraId="21E57AA8" w14:textId="77777777" w:rsidTr="00BF3ADA">
        <w:tc>
          <w:tcPr>
            <w:tcW w:w="4642" w:type="dxa"/>
          </w:tcPr>
          <w:p w14:paraId="2DD9F8EE" w14:textId="64AAA45D"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GBV response initiatives </w:t>
            </w:r>
          </w:p>
        </w:tc>
        <w:tc>
          <w:tcPr>
            <w:tcW w:w="3093" w:type="dxa"/>
          </w:tcPr>
          <w:p w14:paraId="1E2F914A" w14:textId="721DFEA4"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3 major initiatives </w:t>
            </w:r>
          </w:p>
        </w:tc>
      </w:tr>
      <w:tr w:rsidR="007814E2" w14:paraId="06DA3966" w14:textId="77777777" w:rsidTr="00BF3ADA">
        <w:tc>
          <w:tcPr>
            <w:tcW w:w="4642" w:type="dxa"/>
          </w:tcPr>
          <w:p w14:paraId="7B9F5066" w14:textId="3AC7BD09"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Survivors supported </w:t>
            </w:r>
          </w:p>
        </w:tc>
        <w:tc>
          <w:tcPr>
            <w:tcW w:w="3093" w:type="dxa"/>
          </w:tcPr>
          <w:p w14:paraId="29DC634D" w14:textId="6702831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144 survivors </w:t>
            </w:r>
          </w:p>
        </w:tc>
      </w:tr>
      <w:tr w:rsidR="007814E2" w14:paraId="69DFC74D" w14:textId="77777777" w:rsidTr="00BF3ADA">
        <w:tc>
          <w:tcPr>
            <w:tcW w:w="4642" w:type="dxa"/>
          </w:tcPr>
          <w:p w14:paraId="7CD8A8E9" w14:textId="48D5CB3E" w:rsidR="007814E2" w:rsidRDefault="007814E2" w:rsidP="00750658">
            <w:pPr>
              <w:spacing w:before="240" w:after="240"/>
              <w:ind w:right="1440"/>
              <w:rPr>
                <w:rFonts w:ascii="Times New Roman" w:hAnsi="Times New Roman" w:cs="Times New Roman"/>
              </w:rPr>
            </w:pPr>
            <w:r>
              <w:rPr>
                <w:rFonts w:ascii="Times New Roman" w:hAnsi="Times New Roman" w:cs="Times New Roman"/>
              </w:rPr>
              <w:t xml:space="preserve">Healthcare worker engagements </w:t>
            </w:r>
          </w:p>
        </w:tc>
        <w:tc>
          <w:tcPr>
            <w:tcW w:w="3093" w:type="dxa"/>
          </w:tcPr>
          <w:p w14:paraId="1ED4EEF4" w14:textId="0C01B431"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61 initiatives</w:t>
            </w:r>
          </w:p>
        </w:tc>
      </w:tr>
    </w:tbl>
    <w:p w14:paraId="71B65844" w14:textId="77777777" w:rsidR="003D1CDF" w:rsidRDefault="003D1CDF" w:rsidP="00FE3BB2">
      <w:pPr>
        <w:spacing w:before="240" w:after="240" w:line="240" w:lineRule="auto"/>
        <w:ind w:right="1440"/>
        <w:jc w:val="both"/>
        <w:rPr>
          <w:rFonts w:ascii="Times New Roman" w:hAnsi="Times New Roman" w:cs="Times New Roman"/>
        </w:rPr>
      </w:pPr>
    </w:p>
    <w:p w14:paraId="668278BE" w14:textId="13170853" w:rsidR="007814E2" w:rsidRPr="00307324" w:rsidRDefault="007814E2" w:rsidP="00CF635E">
      <w:pPr>
        <w:spacing w:before="240" w:after="240" w:line="240" w:lineRule="auto"/>
        <w:ind w:left="1440" w:right="1440"/>
        <w:jc w:val="both"/>
        <w:rPr>
          <w:rFonts w:ascii="Times New Roman" w:hAnsi="Times New Roman" w:cs="Times New Roman"/>
          <w:b/>
          <w:bCs/>
        </w:rPr>
      </w:pPr>
      <w:r w:rsidRPr="00307324">
        <w:rPr>
          <w:rFonts w:ascii="Times New Roman" w:hAnsi="Times New Roman" w:cs="Times New Roman"/>
          <w:b/>
          <w:bCs/>
        </w:rPr>
        <w:t>Changes in Knowledge, Safe</w:t>
      </w:r>
      <w:r w:rsidR="00307324" w:rsidRPr="00307324">
        <w:rPr>
          <w:rFonts w:ascii="Times New Roman" w:hAnsi="Times New Roman" w:cs="Times New Roman"/>
          <w:b/>
          <w:bCs/>
        </w:rPr>
        <w:t>ty, and Community Engagement (Individual &amp; Community Level)</w:t>
      </w:r>
    </w:p>
    <w:p w14:paraId="67F0B4CE" w14:textId="06515CFB" w:rsidR="007814E2" w:rsidRDefault="00045565" w:rsidP="00CF635E">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Improved Knowledge and Awareness</w:t>
      </w:r>
    </w:p>
    <w:p w14:paraId="1F4B4EDF" w14:textId="14593B85" w:rsidR="005C372D" w:rsidRPr="005C372D" w:rsidRDefault="00C953A3" w:rsidP="00CF635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As shown in Figure </w:t>
      </w:r>
      <w:r w:rsidR="00A560C0">
        <w:rPr>
          <w:rFonts w:ascii="Times New Roman" w:hAnsi="Times New Roman" w:cs="Times New Roman"/>
        </w:rPr>
        <w:t xml:space="preserve">3, </w:t>
      </w:r>
      <w:r w:rsidR="00F032DF">
        <w:rPr>
          <w:rFonts w:ascii="Times New Roman" w:hAnsi="Times New Roman" w:cs="Times New Roman"/>
        </w:rPr>
        <w:t>notable increases</w:t>
      </w:r>
      <w:r>
        <w:rPr>
          <w:rFonts w:ascii="Times New Roman" w:hAnsi="Times New Roman" w:cs="Times New Roman"/>
        </w:rPr>
        <w:t xml:space="preserve"> were observed across all knowledge domains, including HIV prevention, legal rights, and GBV response pathways.</w:t>
      </w:r>
      <w:r w:rsidR="00FC1EA6">
        <w:rPr>
          <w:rFonts w:ascii="Times New Roman" w:hAnsi="Times New Roman" w:cs="Times New Roman"/>
        </w:rPr>
        <w:t xml:space="preserve"> </w:t>
      </w:r>
      <w:r w:rsidR="005C372D">
        <w:rPr>
          <w:rFonts w:ascii="Times New Roman" w:hAnsi="Times New Roman" w:cs="Times New Roman"/>
        </w:rPr>
        <w:t xml:space="preserve">These findings were further supported by qualitative data, indicating enhanced understanding and practical application of knowledge among participants. The convergence of quantitative and qualitative findings </w:t>
      </w:r>
      <w:r w:rsidR="00F032DF">
        <w:rPr>
          <w:rFonts w:ascii="Times New Roman" w:hAnsi="Times New Roman" w:cs="Times New Roman"/>
        </w:rPr>
        <w:t xml:space="preserve">supports the consistency of observed changes. </w:t>
      </w:r>
    </w:p>
    <w:p w14:paraId="26095584" w14:textId="77D73FF7" w:rsidR="00C33EAA" w:rsidRDefault="00B63E84" w:rsidP="00CF635E">
      <w:pPr>
        <w:spacing w:before="240" w:after="240" w:line="240" w:lineRule="auto"/>
        <w:ind w:left="1440" w:right="1440"/>
        <w:jc w:val="both"/>
        <w:rPr>
          <w:rFonts w:ascii="Times New Roman" w:hAnsi="Times New Roman" w:cs="Times New Roman"/>
          <w:b/>
          <w:bCs/>
        </w:rPr>
      </w:pPr>
      <w:r>
        <w:rPr>
          <w:noProof/>
        </w:rPr>
        <w:drawing>
          <wp:anchor distT="0" distB="0" distL="114300" distR="114300" simplePos="0" relativeHeight="251667456" behindDoc="1" locked="0" layoutInCell="1" allowOverlap="1" wp14:anchorId="343DA312" wp14:editId="0A44C584">
            <wp:simplePos x="0" y="0"/>
            <wp:positionH relativeFrom="column">
              <wp:posOffset>909955</wp:posOffset>
            </wp:positionH>
            <wp:positionV relativeFrom="paragraph">
              <wp:posOffset>318770</wp:posOffset>
            </wp:positionV>
            <wp:extent cx="4572000" cy="2968625"/>
            <wp:effectExtent l="0" t="0" r="0" b="3175"/>
            <wp:wrapTight wrapText="bothSides">
              <wp:wrapPolygon edited="0">
                <wp:start x="0" y="0"/>
                <wp:lineTo x="0" y="21484"/>
                <wp:lineTo x="21510" y="21484"/>
                <wp:lineTo x="21510" y="0"/>
                <wp:lineTo x="0" y="0"/>
              </wp:wrapPolygon>
            </wp:wrapTight>
            <wp:docPr id="137567404" name="Chart 1">
              <a:extLst xmlns:a="http://schemas.openxmlformats.org/drawingml/2006/main">
                <a:ext uri="{FF2B5EF4-FFF2-40B4-BE49-F238E27FC236}">
                  <a16:creationId xmlns:a16="http://schemas.microsoft.com/office/drawing/2014/main" id="{CEADE73B-6611-3DA0-51A2-AA85F2BAA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89367D7" w14:textId="021EEF84" w:rsidR="00C33EAA" w:rsidRDefault="00C33EAA" w:rsidP="00CF635E">
      <w:pPr>
        <w:spacing w:before="240" w:after="240" w:line="240" w:lineRule="auto"/>
        <w:ind w:left="1440" w:right="1440"/>
        <w:jc w:val="both"/>
        <w:rPr>
          <w:rFonts w:ascii="Times New Roman" w:hAnsi="Times New Roman" w:cs="Times New Roman"/>
          <w:b/>
          <w:bCs/>
        </w:rPr>
      </w:pPr>
    </w:p>
    <w:p w14:paraId="067D97F8" w14:textId="77777777" w:rsidR="00C33EAA" w:rsidRDefault="00C33EAA" w:rsidP="00CF635E">
      <w:pPr>
        <w:spacing w:before="240" w:after="240" w:line="240" w:lineRule="auto"/>
        <w:ind w:left="1440" w:right="1440"/>
        <w:jc w:val="both"/>
        <w:rPr>
          <w:rFonts w:ascii="Times New Roman" w:hAnsi="Times New Roman" w:cs="Times New Roman"/>
          <w:b/>
          <w:bCs/>
        </w:rPr>
      </w:pPr>
    </w:p>
    <w:p w14:paraId="5B27C19A" w14:textId="77777777" w:rsidR="00C33EAA" w:rsidRDefault="00C33EAA" w:rsidP="00CF635E">
      <w:pPr>
        <w:spacing w:before="240" w:after="240" w:line="240" w:lineRule="auto"/>
        <w:ind w:left="1440" w:right="1440"/>
        <w:jc w:val="both"/>
        <w:rPr>
          <w:rFonts w:ascii="Times New Roman" w:hAnsi="Times New Roman" w:cs="Times New Roman"/>
          <w:b/>
          <w:bCs/>
        </w:rPr>
      </w:pPr>
    </w:p>
    <w:p w14:paraId="371C7290" w14:textId="77777777" w:rsidR="00C33EAA" w:rsidRDefault="00C33EAA" w:rsidP="00CF635E">
      <w:pPr>
        <w:spacing w:before="240" w:after="240" w:line="240" w:lineRule="auto"/>
        <w:ind w:left="1440" w:right="1440"/>
        <w:jc w:val="both"/>
        <w:rPr>
          <w:rFonts w:ascii="Times New Roman" w:hAnsi="Times New Roman" w:cs="Times New Roman"/>
          <w:b/>
          <w:bCs/>
        </w:rPr>
      </w:pPr>
    </w:p>
    <w:p w14:paraId="65B8C9BA" w14:textId="77777777" w:rsidR="00C33EAA" w:rsidRDefault="00C33EAA" w:rsidP="00CF635E">
      <w:pPr>
        <w:spacing w:before="240" w:after="240" w:line="240" w:lineRule="auto"/>
        <w:ind w:left="1440" w:right="1440"/>
        <w:jc w:val="both"/>
        <w:rPr>
          <w:rFonts w:ascii="Times New Roman" w:hAnsi="Times New Roman" w:cs="Times New Roman"/>
          <w:b/>
          <w:bCs/>
        </w:rPr>
      </w:pPr>
    </w:p>
    <w:p w14:paraId="48F4CFFE" w14:textId="77777777" w:rsidR="00C33EAA" w:rsidRDefault="00C33EAA" w:rsidP="00CF635E">
      <w:pPr>
        <w:spacing w:before="240" w:after="240" w:line="240" w:lineRule="auto"/>
        <w:ind w:left="1440" w:right="1440"/>
        <w:jc w:val="both"/>
        <w:rPr>
          <w:rFonts w:ascii="Times New Roman" w:hAnsi="Times New Roman" w:cs="Times New Roman"/>
          <w:b/>
          <w:bCs/>
        </w:rPr>
      </w:pPr>
    </w:p>
    <w:p w14:paraId="02AEA3B1" w14:textId="77777777" w:rsidR="00C33EAA" w:rsidRDefault="00C33EAA" w:rsidP="00CF635E">
      <w:pPr>
        <w:spacing w:before="240" w:after="240" w:line="240" w:lineRule="auto"/>
        <w:ind w:left="1440" w:right="1440"/>
        <w:jc w:val="both"/>
        <w:rPr>
          <w:rFonts w:ascii="Times New Roman" w:hAnsi="Times New Roman" w:cs="Times New Roman"/>
          <w:b/>
          <w:bCs/>
        </w:rPr>
      </w:pPr>
    </w:p>
    <w:p w14:paraId="71EACD3D" w14:textId="77777777" w:rsidR="00C33EAA" w:rsidRDefault="00C33EAA" w:rsidP="00CF635E">
      <w:pPr>
        <w:spacing w:before="240" w:after="240" w:line="240" w:lineRule="auto"/>
        <w:ind w:left="1440" w:right="1440"/>
        <w:jc w:val="both"/>
        <w:rPr>
          <w:rFonts w:ascii="Times New Roman" w:hAnsi="Times New Roman" w:cs="Times New Roman"/>
          <w:b/>
          <w:bCs/>
        </w:rPr>
      </w:pPr>
    </w:p>
    <w:p w14:paraId="09781627" w14:textId="77777777" w:rsidR="00B63E84" w:rsidRDefault="00B63E84" w:rsidP="00CF635E">
      <w:pPr>
        <w:spacing w:before="240" w:after="240" w:line="240" w:lineRule="auto"/>
        <w:ind w:left="1440" w:right="1440"/>
        <w:jc w:val="both"/>
        <w:rPr>
          <w:rFonts w:ascii="Times New Roman" w:hAnsi="Times New Roman" w:cs="Times New Roman"/>
          <w:b/>
          <w:bCs/>
        </w:rPr>
      </w:pPr>
    </w:p>
    <w:p w14:paraId="151F0110" w14:textId="46C011A8" w:rsidR="00C429F2" w:rsidRDefault="00B63E84" w:rsidP="00A55896">
      <w:pPr>
        <w:spacing w:before="240" w:after="240" w:line="240" w:lineRule="auto"/>
        <w:ind w:right="1440"/>
        <w:jc w:val="both"/>
        <w:rPr>
          <w:rFonts w:ascii="Times New Roman" w:hAnsi="Times New Roman" w:cs="Times New Roman"/>
          <w:b/>
          <w:bCs/>
        </w:rPr>
      </w:pPr>
      <w:r>
        <w:rPr>
          <w:noProof/>
        </w:rPr>
        <mc:AlternateContent>
          <mc:Choice Requires="wps">
            <w:drawing>
              <wp:anchor distT="0" distB="0" distL="114300" distR="114300" simplePos="0" relativeHeight="251669504" behindDoc="1" locked="0" layoutInCell="1" allowOverlap="1" wp14:anchorId="31C79474" wp14:editId="3DC72ACE">
                <wp:simplePos x="0" y="0"/>
                <wp:positionH relativeFrom="column">
                  <wp:posOffset>909955</wp:posOffset>
                </wp:positionH>
                <wp:positionV relativeFrom="paragraph">
                  <wp:posOffset>151575</wp:posOffset>
                </wp:positionV>
                <wp:extent cx="4210050" cy="635"/>
                <wp:effectExtent l="0" t="0" r="0" b="2540"/>
                <wp:wrapNone/>
                <wp:docPr id="1151299969" name="Text Box 1"/>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wps:spPr>
                      <wps:txbx>
                        <w:txbxContent>
                          <w:p w14:paraId="5D170C79" w14:textId="44366244" w:rsidR="00C33EAA" w:rsidRPr="0091267B" w:rsidRDefault="00C33EAA" w:rsidP="00C33EAA">
                            <w:pPr>
                              <w:pStyle w:val="Caption"/>
                              <w:rPr>
                                <w:rFonts w:ascii="Times New Roman" w:hAnsi="Times New Roman" w:cs="Times New Roman"/>
                                <w:i w:val="0"/>
                                <w:iCs w:val="0"/>
                                <w:noProof/>
                                <w:sz w:val="24"/>
                                <w:szCs w:val="24"/>
                              </w:rPr>
                            </w:pPr>
                            <w:r w:rsidRPr="0091267B">
                              <w:rPr>
                                <w:rFonts w:ascii="Times New Roman" w:hAnsi="Times New Roman" w:cs="Times New Roman"/>
                                <w:b/>
                                <w:bCs/>
                                <w:i w:val="0"/>
                                <w:iCs w:val="0"/>
                                <w:sz w:val="24"/>
                                <w:szCs w:val="24"/>
                              </w:rPr>
                              <w:t xml:space="preserve">Figure </w:t>
                            </w:r>
                            <w:r w:rsidRPr="0091267B">
                              <w:rPr>
                                <w:rFonts w:ascii="Times New Roman" w:hAnsi="Times New Roman" w:cs="Times New Roman"/>
                                <w:b/>
                                <w:bCs/>
                                <w:i w:val="0"/>
                                <w:iCs w:val="0"/>
                                <w:sz w:val="24"/>
                                <w:szCs w:val="24"/>
                              </w:rPr>
                              <w:fldChar w:fldCharType="begin"/>
                            </w:r>
                            <w:r w:rsidRPr="0091267B">
                              <w:rPr>
                                <w:rFonts w:ascii="Times New Roman" w:hAnsi="Times New Roman" w:cs="Times New Roman"/>
                                <w:b/>
                                <w:bCs/>
                                <w:i w:val="0"/>
                                <w:iCs w:val="0"/>
                                <w:sz w:val="24"/>
                                <w:szCs w:val="24"/>
                              </w:rPr>
                              <w:instrText xml:space="preserve"> SEQ Figure \* ARABIC </w:instrText>
                            </w:r>
                            <w:r w:rsidRPr="0091267B">
                              <w:rPr>
                                <w:rFonts w:ascii="Times New Roman" w:hAnsi="Times New Roman" w:cs="Times New Roman"/>
                                <w:b/>
                                <w:bCs/>
                                <w:i w:val="0"/>
                                <w:iCs w:val="0"/>
                                <w:sz w:val="24"/>
                                <w:szCs w:val="24"/>
                              </w:rPr>
                              <w:fldChar w:fldCharType="separate"/>
                            </w:r>
                            <w:r w:rsidR="00244F1C">
                              <w:rPr>
                                <w:rFonts w:ascii="Times New Roman" w:hAnsi="Times New Roman" w:cs="Times New Roman"/>
                                <w:b/>
                                <w:bCs/>
                                <w:i w:val="0"/>
                                <w:iCs w:val="0"/>
                                <w:noProof/>
                                <w:sz w:val="24"/>
                                <w:szCs w:val="24"/>
                              </w:rPr>
                              <w:t>3</w:t>
                            </w:r>
                            <w:r w:rsidRPr="0091267B">
                              <w:rPr>
                                <w:rFonts w:ascii="Times New Roman" w:hAnsi="Times New Roman" w:cs="Times New Roman"/>
                                <w:b/>
                                <w:bCs/>
                                <w:i w:val="0"/>
                                <w:iCs w:val="0"/>
                                <w:sz w:val="24"/>
                                <w:szCs w:val="24"/>
                              </w:rPr>
                              <w:fldChar w:fldCharType="end"/>
                            </w:r>
                            <w:r w:rsidRPr="0091267B">
                              <w:rPr>
                                <w:rFonts w:ascii="Times New Roman" w:hAnsi="Times New Roman" w:cs="Times New Roman"/>
                                <w:i w:val="0"/>
                                <w:iCs w:val="0"/>
                                <w:sz w:val="24"/>
                                <w:szCs w:val="24"/>
                              </w:rPr>
                              <w:t>. Cha</w:t>
                            </w:r>
                            <w:r w:rsidR="00B32ED8" w:rsidRPr="0091267B">
                              <w:rPr>
                                <w:rFonts w:ascii="Times New Roman" w:hAnsi="Times New Roman" w:cs="Times New Roman"/>
                                <w:i w:val="0"/>
                                <w:iCs w:val="0"/>
                                <w:sz w:val="24"/>
                                <w:szCs w:val="24"/>
                              </w:rPr>
                              <w:t>nges in Knowledge of HIV Prevention, Legal Rights, and GBV Response Pathways (Pre- and Post-Intervention, N = 457)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C79474" id="_x0000_s1033" type="#_x0000_t202" style="position:absolute;left:0;text-align:left;margin-left:71.65pt;margin-top:11.95pt;width:331.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" stroked="f">
                <v:textbox style="mso-fit-shape-to-text:t" inset="0,0,0,0">
                  <w:txbxContent>
                    <w:p w14:paraId="5D170C79" w14:textId="44366244" w:rsidR="00C33EAA" w:rsidRPr="0091267B" w:rsidRDefault="00C33EAA" w:rsidP="00C33EAA">
                      <w:pPr>
                        <w:pStyle w:val="Caption"/>
                        <w:rPr>
                          <w:rFonts w:ascii="Times New Roman" w:hAnsi="Times New Roman" w:cs="Times New Roman"/>
                          <w:i w:val="0"/>
                          <w:iCs w:val="0"/>
                          <w:noProof/>
                          <w:sz w:val="24"/>
                          <w:szCs w:val="24"/>
                        </w:rPr>
                      </w:pPr>
                      <w:r w:rsidRPr="0091267B">
                        <w:rPr>
                          <w:rFonts w:ascii="Times New Roman" w:hAnsi="Times New Roman" w:cs="Times New Roman"/>
                          <w:b/>
                          <w:bCs/>
                          <w:i w:val="0"/>
                          <w:iCs w:val="0"/>
                          <w:sz w:val="24"/>
                          <w:szCs w:val="24"/>
                        </w:rPr>
                        <w:t xml:space="preserve">Figure </w:t>
                      </w:r>
                      <w:r w:rsidRPr="0091267B">
                        <w:rPr>
                          <w:rFonts w:ascii="Times New Roman" w:hAnsi="Times New Roman" w:cs="Times New Roman"/>
                          <w:b/>
                          <w:bCs/>
                          <w:i w:val="0"/>
                          <w:iCs w:val="0"/>
                          <w:sz w:val="24"/>
                          <w:szCs w:val="24"/>
                        </w:rPr>
                        <w:fldChar w:fldCharType="begin"/>
                      </w:r>
                      <w:r w:rsidRPr="0091267B">
                        <w:rPr>
                          <w:rFonts w:ascii="Times New Roman" w:hAnsi="Times New Roman" w:cs="Times New Roman"/>
                          <w:b/>
                          <w:bCs/>
                          <w:i w:val="0"/>
                          <w:iCs w:val="0"/>
                          <w:sz w:val="24"/>
                          <w:szCs w:val="24"/>
                        </w:rPr>
                        <w:instrText xml:space="preserve"> SEQ Figure \* ARABIC </w:instrText>
                      </w:r>
                      <w:r w:rsidRPr="0091267B">
                        <w:rPr>
                          <w:rFonts w:ascii="Times New Roman" w:hAnsi="Times New Roman" w:cs="Times New Roman"/>
                          <w:b/>
                          <w:bCs/>
                          <w:i w:val="0"/>
                          <w:iCs w:val="0"/>
                          <w:sz w:val="24"/>
                          <w:szCs w:val="24"/>
                        </w:rPr>
                        <w:fldChar w:fldCharType="separate"/>
                      </w:r>
                      <w:r w:rsidR="00244F1C">
                        <w:rPr>
                          <w:rFonts w:ascii="Times New Roman" w:hAnsi="Times New Roman" w:cs="Times New Roman"/>
                          <w:b/>
                          <w:bCs/>
                          <w:i w:val="0"/>
                          <w:iCs w:val="0"/>
                          <w:noProof/>
                          <w:sz w:val="24"/>
                          <w:szCs w:val="24"/>
                        </w:rPr>
                        <w:t>3</w:t>
                      </w:r>
                      <w:r w:rsidRPr="0091267B">
                        <w:rPr>
                          <w:rFonts w:ascii="Times New Roman" w:hAnsi="Times New Roman" w:cs="Times New Roman"/>
                          <w:b/>
                          <w:bCs/>
                          <w:i w:val="0"/>
                          <w:iCs w:val="0"/>
                          <w:sz w:val="24"/>
                          <w:szCs w:val="24"/>
                        </w:rPr>
                        <w:fldChar w:fldCharType="end"/>
                      </w:r>
                      <w:r w:rsidRPr="0091267B">
                        <w:rPr>
                          <w:rFonts w:ascii="Times New Roman" w:hAnsi="Times New Roman" w:cs="Times New Roman"/>
                          <w:i w:val="0"/>
                          <w:iCs w:val="0"/>
                          <w:sz w:val="24"/>
                          <w:szCs w:val="24"/>
                        </w:rPr>
                        <w:t>. Cha</w:t>
                      </w:r>
                      <w:r w:rsidR="00B32ED8" w:rsidRPr="0091267B">
                        <w:rPr>
                          <w:rFonts w:ascii="Times New Roman" w:hAnsi="Times New Roman" w:cs="Times New Roman"/>
                          <w:i w:val="0"/>
                          <w:iCs w:val="0"/>
                          <w:sz w:val="24"/>
                          <w:szCs w:val="24"/>
                        </w:rPr>
                        <w:t>nges in Knowledge of HIV Prevention, Legal Rights, and GBV Response Pathways (Pre- and Post-Intervention, N = 457)</w:t>
                      </w:r>
                    </w:p>
                  </w:txbxContent>
                </v:textbox>
              </v:shape>
            </w:pict>
          </mc:Fallback>
        </mc:AlternateContent>
      </w:r>
    </w:p>
    <w:p w14:paraId="23E3D334" w14:textId="77777777" w:rsidR="00A55896" w:rsidRDefault="00A55896" w:rsidP="00A55896">
      <w:pPr>
        <w:spacing w:before="240" w:after="240" w:line="240" w:lineRule="auto"/>
        <w:ind w:right="1440"/>
        <w:jc w:val="both"/>
        <w:rPr>
          <w:rFonts w:ascii="Times New Roman" w:hAnsi="Times New Roman" w:cs="Times New Roman"/>
          <w:b/>
          <w:bCs/>
        </w:rPr>
      </w:pPr>
    </w:p>
    <w:p w14:paraId="6796D783" w14:textId="39D75685" w:rsidR="007814E2" w:rsidRPr="00B7034C" w:rsidRDefault="00B7034C" w:rsidP="00CF635E">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Enhanced Safety and Resilience</w:t>
      </w:r>
    </w:p>
    <w:p w14:paraId="354E6F27" w14:textId="517C807C" w:rsidR="0049434D" w:rsidRPr="00264BD9" w:rsidRDefault="005C372D" w:rsidP="00264BD9">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Participants reported improvements in perceived safety, risk mitigation capacity, and crisis response, reflecting </w:t>
      </w:r>
      <w:r w:rsidR="00F032DF">
        <w:rPr>
          <w:rFonts w:ascii="Times New Roman" w:hAnsi="Times New Roman" w:cs="Times New Roman"/>
        </w:rPr>
        <w:t>reported improvements in perceived safety and coping capacity among participants</w:t>
      </w:r>
      <w:r>
        <w:rPr>
          <w:rFonts w:ascii="Times New Roman" w:hAnsi="Times New Roman" w:cs="Times New Roman"/>
        </w:rPr>
        <w:t xml:space="preserve">. These changes indicate high acceptability and effectiveness of safety and security components within the broader implementation framework. </w:t>
      </w:r>
    </w:p>
    <w:p w14:paraId="66D0E38A" w14:textId="31917BFD" w:rsidR="007814E2" w:rsidRDefault="00B7034C" w:rsidP="00B7034C">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 xml:space="preserve">Qualitative Insights </w:t>
      </w:r>
    </w:p>
    <w:p w14:paraId="7CA8F5D0" w14:textId="0945F5D4" w:rsidR="00B7034C" w:rsidRPr="00412615" w:rsidRDefault="00375D7B" w:rsidP="00412615">
      <w:pPr>
        <w:pStyle w:val="ListParagraph"/>
        <w:numPr>
          <w:ilvl w:val="0"/>
          <w:numId w:val="16"/>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w:t>
      </w:r>
      <w:r w:rsidR="00B7034C" w:rsidRPr="00412615">
        <w:rPr>
          <w:rFonts w:ascii="Times New Roman" w:hAnsi="Times New Roman" w:cs="Times New Roman"/>
          <w:i/>
          <w:iCs/>
        </w:rPr>
        <w:t xml:space="preserve">now we know who to call </w:t>
      </w:r>
      <w:r w:rsidRPr="00412615">
        <w:rPr>
          <w:rFonts w:ascii="Times New Roman" w:hAnsi="Times New Roman" w:cs="Times New Roman"/>
          <w:i/>
          <w:iCs/>
        </w:rPr>
        <w:t>in case</w:t>
      </w:r>
      <w:r w:rsidR="00B7034C" w:rsidRPr="00412615">
        <w:rPr>
          <w:rFonts w:ascii="Times New Roman" w:hAnsi="Times New Roman" w:cs="Times New Roman"/>
          <w:i/>
          <w:iCs/>
        </w:rPr>
        <w:t xml:space="preserve"> of crisis…”</w:t>
      </w:r>
    </w:p>
    <w:p w14:paraId="11BFB02E" w14:textId="0060141C" w:rsidR="00B7034C" w:rsidRPr="00412615" w:rsidRDefault="00B7034C" w:rsidP="00412615">
      <w:pPr>
        <w:pStyle w:val="ListParagraph"/>
        <w:numPr>
          <w:ilvl w:val="0"/>
          <w:numId w:val="16"/>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“…now we know </w:t>
      </w:r>
      <w:r w:rsidR="00375D7B" w:rsidRPr="00412615">
        <w:rPr>
          <w:rFonts w:ascii="Times New Roman" w:hAnsi="Times New Roman" w:cs="Times New Roman"/>
          <w:i/>
          <w:iCs/>
        </w:rPr>
        <w:t>where to go when something happens…”</w:t>
      </w:r>
    </w:p>
    <w:p w14:paraId="7C7432AD" w14:textId="77777777" w:rsidR="00264BD9" w:rsidRDefault="00FD3CA2" w:rsidP="00CF635E">
      <w:pPr>
        <w:spacing w:before="240" w:after="240" w:line="240" w:lineRule="auto"/>
        <w:ind w:left="1440" w:right="1440"/>
        <w:jc w:val="both"/>
        <w:rPr>
          <w:rFonts w:ascii="Times New Roman" w:hAnsi="Times New Roman" w:cs="Times New Roman"/>
          <w:b/>
          <w:bCs/>
        </w:rPr>
      </w:pPr>
      <w:r w:rsidRPr="00FD3CA2">
        <w:rPr>
          <w:rFonts w:ascii="Times New Roman" w:hAnsi="Times New Roman" w:cs="Times New Roman"/>
          <w:b/>
          <w:bCs/>
        </w:rPr>
        <w:t>Access to Justice and GBV Response Outcome</w:t>
      </w:r>
    </w:p>
    <w:p w14:paraId="47071F22" w14:textId="5E0BADE8" w:rsidR="003500CC" w:rsidRPr="00F60126" w:rsidRDefault="00264BD9" w:rsidP="00F60126">
      <w:pPr>
        <w:spacing w:before="240" w:after="240" w:line="240" w:lineRule="auto"/>
        <w:ind w:left="1440" w:right="1440"/>
        <w:jc w:val="both"/>
        <w:rPr>
          <w:rFonts w:ascii="Times New Roman" w:hAnsi="Times New Roman" w:cs="Times New Roman"/>
          <w:b/>
          <w:bCs/>
        </w:rPr>
      </w:pPr>
      <w:r>
        <w:rPr>
          <w:rFonts w:ascii="Times New Roman" w:hAnsi="Times New Roman" w:cs="Times New Roman"/>
        </w:rPr>
        <w:t xml:space="preserve">A total of 144 GBV survivors accessed integrated support services, including legal psychosocial, and healthcare referrals, through community-led response pathways established during the intervention. Increased reporting through these channels reflects improved awareness, trust, and accessibility of GBV services within the intervention communities. </w:t>
      </w:r>
      <w:r w:rsidR="00FD3CA2" w:rsidRPr="00FD3CA2">
        <w:rPr>
          <w:rFonts w:ascii="Times New Roman" w:hAnsi="Times New Roman" w:cs="Times New Roman"/>
          <w:b/>
          <w:bCs/>
        </w:rPr>
        <w:t xml:space="preserve"> </w:t>
      </w:r>
    </w:p>
    <w:p w14:paraId="0CBFEF44" w14:textId="72CF5F46" w:rsidR="003500CC" w:rsidRPr="003500CC" w:rsidRDefault="003500CC" w:rsidP="00CF635E">
      <w:pPr>
        <w:spacing w:before="240" w:after="240" w:line="240" w:lineRule="auto"/>
        <w:ind w:left="1440" w:right="1440"/>
        <w:jc w:val="both"/>
        <w:rPr>
          <w:rFonts w:ascii="Times New Roman" w:hAnsi="Times New Roman" w:cs="Times New Roman"/>
          <w:b/>
          <w:bCs/>
        </w:rPr>
      </w:pPr>
      <w:r w:rsidRPr="003500CC">
        <w:rPr>
          <w:rFonts w:ascii="Times New Roman" w:hAnsi="Times New Roman" w:cs="Times New Roman"/>
          <w:b/>
          <w:bCs/>
        </w:rPr>
        <w:t xml:space="preserve">Key Outcome </w:t>
      </w:r>
    </w:p>
    <w:p w14:paraId="78C077F0" w14:textId="4F53206C" w:rsidR="00CC19A8" w:rsidRPr="00125842" w:rsidRDefault="003500CC" w:rsidP="00125842">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Survivors prioritized confidential, community-based justice pathways, </w:t>
      </w:r>
      <w:r w:rsidR="004C3372">
        <w:rPr>
          <w:rFonts w:ascii="Times New Roman" w:hAnsi="Times New Roman" w:cs="Times New Roman"/>
        </w:rPr>
        <w:t xml:space="preserve">suggesting perceived limitations of formal systems among participants. </w:t>
      </w:r>
    </w:p>
    <w:p w14:paraId="331CC594" w14:textId="0A5BA473" w:rsidR="007814E2" w:rsidRPr="00A73423" w:rsidRDefault="00A73423" w:rsidP="00CF635E">
      <w:pPr>
        <w:spacing w:before="240" w:after="240" w:line="240" w:lineRule="auto"/>
        <w:ind w:left="1440" w:right="1440"/>
        <w:jc w:val="both"/>
        <w:rPr>
          <w:rFonts w:ascii="Times New Roman" w:hAnsi="Times New Roman" w:cs="Times New Roman"/>
          <w:b/>
          <w:bCs/>
        </w:rPr>
      </w:pPr>
      <w:r w:rsidRPr="00A73423">
        <w:rPr>
          <w:rFonts w:ascii="Times New Roman" w:hAnsi="Times New Roman" w:cs="Times New Roman"/>
          <w:b/>
          <w:bCs/>
        </w:rPr>
        <w:t>HIV Service Uptake Outcomes (Institutional Linkages)</w:t>
      </w:r>
    </w:p>
    <w:p w14:paraId="7C21A952" w14:textId="19A7C60E" w:rsidR="00AD4DE5" w:rsidRPr="0056570E" w:rsidRDefault="009D1D2B" w:rsidP="0056570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HIV service uptake outcomes are presented in Table 4, showing increases in ART initiation and viral load testing following the </w:t>
      </w:r>
      <w:r w:rsidR="004C3372">
        <w:rPr>
          <w:rFonts w:ascii="Times New Roman" w:hAnsi="Times New Roman" w:cs="Times New Roman"/>
        </w:rPr>
        <w:t>intervention. Increases</w:t>
      </w:r>
      <w:r w:rsidR="00125842">
        <w:rPr>
          <w:rFonts w:ascii="Times New Roman" w:hAnsi="Times New Roman" w:cs="Times New Roman"/>
        </w:rPr>
        <w:t xml:space="preserve"> in HIV service uptake </w:t>
      </w:r>
      <w:r w:rsidR="004C3372">
        <w:rPr>
          <w:rFonts w:ascii="Times New Roman" w:hAnsi="Times New Roman" w:cs="Times New Roman"/>
        </w:rPr>
        <w:t>was</w:t>
      </w:r>
      <w:r w:rsidR="00125842">
        <w:rPr>
          <w:rFonts w:ascii="Times New Roman" w:hAnsi="Times New Roman" w:cs="Times New Roman"/>
        </w:rPr>
        <w:t xml:space="preserve"> observed</w:t>
      </w:r>
      <w:r w:rsidR="004C3372">
        <w:rPr>
          <w:rFonts w:ascii="Times New Roman" w:hAnsi="Times New Roman" w:cs="Times New Roman"/>
        </w:rPr>
        <w:t xml:space="preserve"> following the intervention period</w:t>
      </w:r>
      <w:r>
        <w:rPr>
          <w:rFonts w:ascii="Times New Roman" w:hAnsi="Times New Roman" w:cs="Times New Roman"/>
        </w:rPr>
        <w:t xml:space="preserve">, </w:t>
      </w:r>
      <w:r w:rsidR="004C3372">
        <w:rPr>
          <w:rFonts w:ascii="Times New Roman" w:hAnsi="Times New Roman" w:cs="Times New Roman"/>
        </w:rPr>
        <w:t>these patterns are consistent with potential contributions from individual-level, community-level and institutional-level changes observed during the intervention.</w:t>
      </w:r>
      <w:r w:rsidR="00125842">
        <w:rPr>
          <w:rFonts w:ascii="Times New Roman" w:hAnsi="Times New Roman" w:cs="Times New Roman"/>
        </w:rPr>
        <w:t xml:space="preserve"> These outcomes </w:t>
      </w:r>
      <w:r w:rsidR="00042A67">
        <w:rPr>
          <w:rFonts w:ascii="Times New Roman" w:hAnsi="Times New Roman" w:cs="Times New Roman"/>
        </w:rPr>
        <w:t xml:space="preserve">suggests that the multi-level intervention model may have contributed to improved service uptake within the study context. </w:t>
      </w:r>
    </w:p>
    <w:p w14:paraId="1202199B" w14:textId="608EB2AB" w:rsidR="00A73423" w:rsidRDefault="00A73423" w:rsidP="00CF635E">
      <w:pPr>
        <w:spacing w:before="240" w:after="240" w:line="240" w:lineRule="auto"/>
        <w:ind w:left="1440" w:right="1440"/>
        <w:jc w:val="both"/>
        <w:rPr>
          <w:rFonts w:ascii="Times New Roman" w:hAnsi="Times New Roman" w:cs="Times New Roman"/>
        </w:rPr>
      </w:pPr>
      <w:r w:rsidRPr="005D39D1">
        <w:rPr>
          <w:rFonts w:ascii="Times New Roman" w:hAnsi="Times New Roman" w:cs="Times New Roman"/>
          <w:b/>
          <w:bCs/>
        </w:rPr>
        <w:t xml:space="preserve">Table </w:t>
      </w:r>
      <w:r w:rsidR="00DB056B">
        <w:rPr>
          <w:rFonts w:ascii="Times New Roman" w:hAnsi="Times New Roman" w:cs="Times New Roman"/>
          <w:b/>
          <w:bCs/>
        </w:rPr>
        <w:t>4</w:t>
      </w:r>
      <w:r w:rsidRPr="005D39D1">
        <w:rPr>
          <w:rFonts w:ascii="Times New Roman" w:hAnsi="Times New Roman" w:cs="Times New Roman"/>
          <w:b/>
          <w:bCs/>
        </w:rPr>
        <w:t>.</w:t>
      </w:r>
      <w:r>
        <w:rPr>
          <w:rFonts w:ascii="Times New Roman" w:hAnsi="Times New Roman" w:cs="Times New Roman"/>
        </w:rPr>
        <w:t xml:space="preserve"> HIV Services Uptake Outcome </w:t>
      </w:r>
      <w:r w:rsidR="003E6759">
        <w:rPr>
          <w:rFonts w:ascii="Times New Roman" w:hAnsi="Times New Roman" w:cs="Times New Roman"/>
        </w:rPr>
        <w:t xml:space="preserve">Following Intervention </w:t>
      </w:r>
    </w:p>
    <w:tbl>
      <w:tblPr>
        <w:tblStyle w:val="TableGrid"/>
        <w:tblW w:w="0" w:type="auto"/>
        <w:tblInd w:w="1440" w:type="dxa"/>
        <w:tblLook w:val="04A0" w:firstRow="1" w:lastRow="0" w:firstColumn="1" w:lastColumn="0" w:noHBand="0" w:noVBand="1"/>
      </w:tblPr>
      <w:tblGrid>
        <w:gridCol w:w="4639"/>
        <w:gridCol w:w="4086"/>
      </w:tblGrid>
      <w:tr w:rsidR="00A73423" w14:paraId="21A82AAD" w14:textId="77777777" w:rsidTr="00893FC1">
        <w:tc>
          <w:tcPr>
            <w:tcW w:w="4639" w:type="dxa"/>
          </w:tcPr>
          <w:p w14:paraId="555E6EC7" w14:textId="2ED789AF"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Indicator </w:t>
            </w:r>
          </w:p>
        </w:tc>
        <w:tc>
          <w:tcPr>
            <w:tcW w:w="4086" w:type="dxa"/>
          </w:tcPr>
          <w:p w14:paraId="22CCB0D2" w14:textId="57C9AC92" w:rsidR="00A73423" w:rsidRDefault="002D68E6" w:rsidP="00CF635E">
            <w:pPr>
              <w:spacing w:before="240" w:after="240"/>
              <w:ind w:right="1440"/>
              <w:jc w:val="both"/>
              <w:rPr>
                <w:rFonts w:ascii="Times New Roman" w:hAnsi="Times New Roman" w:cs="Times New Roman"/>
              </w:rPr>
            </w:pPr>
            <w:r>
              <w:rPr>
                <w:rFonts w:ascii="Times New Roman" w:hAnsi="Times New Roman" w:cs="Times New Roman"/>
              </w:rPr>
              <w:t xml:space="preserve">Value </w:t>
            </w:r>
          </w:p>
        </w:tc>
      </w:tr>
      <w:tr w:rsidR="00A73423" w14:paraId="77053EC7" w14:textId="77777777" w:rsidTr="00893FC1">
        <w:tc>
          <w:tcPr>
            <w:tcW w:w="4639" w:type="dxa"/>
          </w:tcPr>
          <w:p w14:paraId="4B7A0624" w14:textId="7FA2EE1A"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ART initiation </w:t>
            </w:r>
          </w:p>
        </w:tc>
        <w:tc>
          <w:tcPr>
            <w:tcW w:w="4086" w:type="dxa"/>
          </w:tcPr>
          <w:p w14:paraId="234A5E02" w14:textId="672AB9D0"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178</w:t>
            </w:r>
          </w:p>
        </w:tc>
      </w:tr>
      <w:tr w:rsidR="00A73423" w14:paraId="55C81CDD" w14:textId="77777777" w:rsidTr="00893FC1">
        <w:tc>
          <w:tcPr>
            <w:tcW w:w="4639" w:type="dxa"/>
          </w:tcPr>
          <w:p w14:paraId="1F464025" w14:textId="625882B6"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Viral load testing and counseling </w:t>
            </w:r>
          </w:p>
        </w:tc>
        <w:tc>
          <w:tcPr>
            <w:tcW w:w="4086" w:type="dxa"/>
          </w:tcPr>
          <w:p w14:paraId="65179BFD" w14:textId="7E196FD5"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215</w:t>
            </w:r>
          </w:p>
        </w:tc>
      </w:tr>
      <w:tr w:rsidR="00A73423" w14:paraId="0339E4BA" w14:textId="77777777" w:rsidTr="00893FC1">
        <w:tc>
          <w:tcPr>
            <w:tcW w:w="4639" w:type="dxa"/>
          </w:tcPr>
          <w:p w14:paraId="3238C426" w14:textId="77777777"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Referrals to LGBTQ friendly facilities </w:t>
            </w:r>
          </w:p>
          <w:p w14:paraId="79082FF6" w14:textId="02D54A04" w:rsidR="009D1D2B" w:rsidRDefault="009D1D2B" w:rsidP="00CF635E">
            <w:pPr>
              <w:spacing w:before="240" w:after="240"/>
              <w:ind w:right="1440"/>
              <w:jc w:val="both"/>
              <w:rPr>
                <w:rFonts w:ascii="Times New Roman" w:hAnsi="Times New Roman" w:cs="Times New Roman"/>
              </w:rPr>
            </w:pPr>
          </w:p>
        </w:tc>
        <w:tc>
          <w:tcPr>
            <w:tcW w:w="4086" w:type="dxa"/>
          </w:tcPr>
          <w:p w14:paraId="4A24DCDD" w14:textId="53067951" w:rsidR="00A73423" w:rsidRDefault="004D4FD6" w:rsidP="004D4FD6">
            <w:pPr>
              <w:spacing w:before="240" w:after="240"/>
              <w:ind w:right="1440"/>
              <w:rPr>
                <w:rFonts w:ascii="Times New Roman" w:hAnsi="Times New Roman" w:cs="Times New Roman"/>
              </w:rPr>
            </w:pPr>
            <w:r>
              <w:rPr>
                <w:rFonts w:ascii="Times New Roman" w:hAnsi="Times New Roman" w:cs="Times New Roman"/>
              </w:rPr>
              <w:t>Referrals to LGBTQ-friendly facilities increased across all 10 participating service points</w:t>
            </w:r>
          </w:p>
        </w:tc>
      </w:tr>
    </w:tbl>
    <w:p w14:paraId="4050151A" w14:textId="1727AC28" w:rsidR="00E23087" w:rsidRPr="00412615" w:rsidRDefault="00E23087" w:rsidP="00E23087">
      <w:pPr>
        <w:spacing w:before="240" w:after="240" w:line="240" w:lineRule="auto"/>
        <w:ind w:left="1800" w:right="1440"/>
        <w:jc w:val="both"/>
        <w:rPr>
          <w:rFonts w:ascii="Times New Roman" w:hAnsi="Times New Roman" w:cs="Times New Roman"/>
          <w:b/>
          <w:bCs/>
        </w:rPr>
      </w:pPr>
      <w:r w:rsidRPr="00412615">
        <w:rPr>
          <w:rFonts w:ascii="Times New Roman" w:hAnsi="Times New Roman" w:cs="Times New Roman"/>
          <w:b/>
          <w:bCs/>
        </w:rPr>
        <w:t xml:space="preserve">Qualitative Evidence: </w:t>
      </w:r>
    </w:p>
    <w:p w14:paraId="7CF52B65" w14:textId="3024068C" w:rsidR="00E23087" w:rsidRPr="00412615" w:rsidRDefault="00E23087" w:rsidP="00412615">
      <w:pPr>
        <w:pStyle w:val="ListParagraph"/>
        <w:numPr>
          <w:ilvl w:val="0"/>
          <w:numId w:val="17"/>
        </w:numPr>
        <w:spacing w:before="240" w:after="240" w:line="240" w:lineRule="auto"/>
        <w:ind w:right="1440"/>
        <w:jc w:val="both"/>
        <w:rPr>
          <w:rFonts w:ascii="Times New Roman" w:hAnsi="Times New Roman" w:cs="Times New Roman"/>
        </w:rPr>
      </w:pPr>
      <w:r w:rsidRPr="00412615">
        <w:rPr>
          <w:rFonts w:ascii="Times New Roman" w:hAnsi="Times New Roman" w:cs="Times New Roman"/>
        </w:rPr>
        <w:lastRenderedPageBreak/>
        <w:t>“…before, we were rather afraid to attend to them. Now we understand confidentiality and rights...,”</w:t>
      </w:r>
    </w:p>
    <w:p w14:paraId="33FB24E5" w14:textId="4B5225CD" w:rsidR="0093119B" w:rsidRPr="005F14BD" w:rsidRDefault="00E23087" w:rsidP="005F14BD">
      <w:pPr>
        <w:pStyle w:val="ListParagraph"/>
        <w:numPr>
          <w:ilvl w:val="0"/>
          <w:numId w:val="17"/>
        </w:numPr>
        <w:spacing w:before="240" w:after="240" w:line="240" w:lineRule="auto"/>
        <w:ind w:right="1440"/>
        <w:jc w:val="both"/>
        <w:rPr>
          <w:rFonts w:ascii="Times New Roman" w:hAnsi="Times New Roman" w:cs="Times New Roman"/>
        </w:rPr>
      </w:pPr>
      <w:r w:rsidRPr="00412615">
        <w:rPr>
          <w:rFonts w:ascii="Times New Roman" w:hAnsi="Times New Roman" w:cs="Times New Roman"/>
        </w:rPr>
        <w:t>“…before, we let our cultural belief g</w:t>
      </w:r>
      <w:r w:rsidR="008F296E">
        <w:rPr>
          <w:rFonts w:ascii="Times New Roman" w:hAnsi="Times New Roman" w:cs="Times New Roman"/>
        </w:rPr>
        <w:t>ot</w:t>
      </w:r>
      <w:r w:rsidRPr="00412615">
        <w:rPr>
          <w:rFonts w:ascii="Times New Roman" w:hAnsi="Times New Roman" w:cs="Times New Roman"/>
        </w:rPr>
        <w:t xml:space="preserve"> the better part of our judgement. Now we understand every human has rights to dignity and health…”</w:t>
      </w:r>
    </w:p>
    <w:p w14:paraId="0A1F5959" w14:textId="60D5A70A" w:rsidR="00C17371" w:rsidRDefault="00C17371" w:rsidP="000F7089">
      <w:pPr>
        <w:spacing w:before="240" w:after="240" w:line="240" w:lineRule="auto"/>
        <w:ind w:left="720" w:right="1440" w:firstLine="720"/>
        <w:jc w:val="both"/>
        <w:rPr>
          <w:rFonts w:ascii="Times New Roman" w:hAnsi="Times New Roman" w:cs="Times New Roman"/>
          <w:b/>
          <w:bCs/>
        </w:rPr>
      </w:pPr>
      <w:r w:rsidRPr="000F7089">
        <w:rPr>
          <w:rFonts w:ascii="Times New Roman" w:hAnsi="Times New Roman" w:cs="Times New Roman"/>
          <w:b/>
          <w:bCs/>
        </w:rPr>
        <w:t>DISCUSSION</w:t>
      </w:r>
    </w:p>
    <w:p w14:paraId="094FB2A1" w14:textId="03F2F9A2" w:rsidR="00027B39" w:rsidRDefault="00027B39" w:rsidP="007D2FEF">
      <w:pPr>
        <w:spacing w:before="240" w:after="240" w:line="240" w:lineRule="auto"/>
        <w:ind w:left="1440" w:right="1440"/>
        <w:jc w:val="both"/>
        <w:rPr>
          <w:rFonts w:ascii="Times New Roman" w:hAnsi="Times New Roman" w:cs="Times New Roman"/>
        </w:rPr>
      </w:pPr>
      <w:r>
        <w:rPr>
          <w:rFonts w:ascii="Times New Roman" w:hAnsi="Times New Roman" w:cs="Times New Roman"/>
        </w:rPr>
        <w:t>This study provides implementation-level evidence that a community-led, rights-based, multi-level intervention can address structural barriers and improve access to HIV services and justice among LGBTQ populations in rural, criminalized settings. By integrating peer-led engagement, community mobilization, and institutional dialogue, the intervention demonstrated consistent improvements across knowledge, safety, and service uptake indicators.</w:t>
      </w:r>
      <w:r w:rsidR="004F37D6">
        <w:rPr>
          <w:rFonts w:ascii="Times New Roman" w:hAnsi="Times New Roman" w:cs="Times New Roman"/>
        </w:rPr>
        <w:t xml:space="preserve"> </w:t>
      </w:r>
      <w:r w:rsidR="004F37D6" w:rsidRPr="000141E9">
        <w:rPr>
          <w:rFonts w:ascii="Times New Roman" w:hAnsi="Times New Roman" w:cs="Times New Roman"/>
          <w:highlight w:val="yellow"/>
        </w:rPr>
        <w:t>The consistency of findings across qualitative and quantitative data sources strengthens internal validity and supports causal plausibility, despite the non-experimental design</w:t>
      </w:r>
      <w:r w:rsidR="004F37D6">
        <w:rPr>
          <w:rFonts w:ascii="Times New Roman" w:hAnsi="Times New Roman" w:cs="Times New Roman"/>
        </w:rPr>
        <w:t>.</w:t>
      </w:r>
      <w:r>
        <w:rPr>
          <w:rFonts w:ascii="Times New Roman" w:hAnsi="Times New Roman" w:cs="Times New Roman"/>
        </w:rPr>
        <w:t xml:space="preserve"> </w:t>
      </w:r>
    </w:p>
    <w:p w14:paraId="725C10AA" w14:textId="3B49ADCA" w:rsidR="007D2FEF" w:rsidRPr="007D2FEF" w:rsidRDefault="007D2FEF" w:rsidP="007D2FEF">
      <w:pPr>
        <w:spacing w:before="240" w:after="240" w:line="240" w:lineRule="auto"/>
        <w:ind w:left="1440" w:right="1440"/>
        <w:jc w:val="both"/>
        <w:rPr>
          <w:rFonts w:ascii="Times New Roman" w:hAnsi="Times New Roman" w:cs="Times New Roman"/>
        </w:rPr>
      </w:pPr>
      <w:r>
        <w:rPr>
          <w:rFonts w:ascii="Times New Roman" w:hAnsi="Times New Roman" w:cs="Times New Roman"/>
        </w:rPr>
        <w:t>Importantly, the findings extend beyond outcome evaluation to provide implementation-relevant insights, highlighting how peer-led systems, community mobilization, and institutional engagement can be integrated to function effectively within a hostile legal and social environment. The convergence of quantitative and qualitative data strengthens the validity of these findings and supports the use of mixed-methods implementation research in evaluating complex interventions among marginalized populations</w:t>
      </w:r>
      <w:r w:rsidR="00C55DCC">
        <w:rPr>
          <w:rFonts w:ascii="Times New Roman" w:hAnsi="Times New Roman" w:cs="Times New Roman"/>
        </w:rPr>
        <w:t xml:space="preserve"> [8,12]</w:t>
      </w:r>
      <w:r>
        <w:rPr>
          <w:rFonts w:ascii="Times New Roman" w:hAnsi="Times New Roman" w:cs="Times New Roman"/>
        </w:rPr>
        <w:t xml:space="preserve">.  </w:t>
      </w:r>
    </w:p>
    <w:p w14:paraId="70BBA553" w14:textId="69C2500B" w:rsidR="00362BFF" w:rsidRPr="00362BFF" w:rsidRDefault="00696F35" w:rsidP="00362BFF">
      <w:pPr>
        <w:spacing w:before="240" w:after="240" w:line="240" w:lineRule="auto"/>
        <w:ind w:left="720" w:right="1440" w:firstLine="720"/>
        <w:jc w:val="both"/>
        <w:rPr>
          <w:rFonts w:ascii="Times New Roman" w:hAnsi="Times New Roman" w:cs="Times New Roman"/>
          <w:b/>
          <w:bCs/>
        </w:rPr>
      </w:pPr>
      <w:r>
        <w:rPr>
          <w:rFonts w:ascii="Times New Roman" w:hAnsi="Times New Roman" w:cs="Times New Roman"/>
          <w:b/>
          <w:bCs/>
        </w:rPr>
        <w:t xml:space="preserve">Participant Characteristics </w:t>
      </w:r>
    </w:p>
    <w:p w14:paraId="26E610B3" w14:textId="460F667C" w:rsidR="00A73F74" w:rsidRDefault="00283619"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As shown in </w:t>
      </w:r>
      <w:r w:rsidRPr="00C952BE">
        <w:rPr>
          <w:rFonts w:ascii="Times New Roman" w:hAnsi="Times New Roman" w:cs="Times New Roman"/>
        </w:rPr>
        <w:t>Table 2</w:t>
      </w:r>
      <w:r>
        <w:rPr>
          <w:rFonts w:ascii="Times New Roman" w:hAnsi="Times New Roman" w:cs="Times New Roman"/>
        </w:rPr>
        <w:t xml:space="preserve">, the demographic profile reflects a population situated at the intersection of legal marginalization, economic vulnerability, and health inequalities. </w:t>
      </w:r>
      <w:r w:rsidR="00A73F74">
        <w:rPr>
          <w:rFonts w:ascii="Times New Roman" w:hAnsi="Times New Roman" w:cs="Times New Roman"/>
        </w:rPr>
        <w:t>The predominance of young adults (18-34) years and individuals in informal or unstable employment underscores the structural determinants shaping HIV risk and access to services in this setting, consistent with broader evidence linking socio-economic vulnerability to HIV risk among key population [3,5]. From an implementation perspective, the high engagement of younger participants suggests that peer-led and community-embedded models are particularly effective in reaching youth populations, especially where formal systems are perceived as exclusionary or unsafe [12].</w:t>
      </w:r>
    </w:p>
    <w:p w14:paraId="341279A8" w14:textId="762BD536" w:rsidR="00672832" w:rsidRDefault="0067283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overrepresentation of gay and bisexual men (58%) reflects both epidemiological realities and sampling dynamics. Men who have sex with men (MSM) continue to bear a disproportionate burden of HIV in Nigeria, with prevalence estimates significantly higher than in the general population </w:t>
      </w:r>
      <w:r w:rsidR="000B03BB">
        <w:rPr>
          <w:rFonts w:ascii="Times New Roman" w:hAnsi="Times New Roman" w:cs="Times New Roman"/>
        </w:rPr>
        <w:t>[14]</w:t>
      </w:r>
      <w:r>
        <w:rPr>
          <w:rFonts w:ascii="Times New Roman" w:hAnsi="Times New Roman" w:cs="Times New Roman"/>
        </w:rPr>
        <w:t>. At the same time, the reliance on purposive and snowball sampling appropriate for hidden populations may have facilitated stronger recruitment within more visible or networked subgroups, particularly cisgender MSM, compared to more marginalized groups such as transgender persons. Nonetheless, the inclusion of transgender women (26.5%) represents a critical strength of the study, give</w:t>
      </w:r>
      <w:r w:rsidR="008F296E">
        <w:rPr>
          <w:rFonts w:ascii="Times New Roman" w:hAnsi="Times New Roman" w:cs="Times New Roman"/>
        </w:rPr>
        <w:t>n</w:t>
      </w:r>
      <w:r>
        <w:rPr>
          <w:rFonts w:ascii="Times New Roman" w:hAnsi="Times New Roman" w:cs="Times New Roman"/>
        </w:rPr>
        <w:t xml:space="preserve"> their documented exclusion from both research and service delivery in many African settings </w:t>
      </w:r>
      <w:r w:rsidR="000B03BB">
        <w:rPr>
          <w:rFonts w:ascii="Times New Roman" w:hAnsi="Times New Roman" w:cs="Times New Roman"/>
        </w:rPr>
        <w:t>[29]</w:t>
      </w:r>
      <w:r>
        <w:rPr>
          <w:rFonts w:ascii="Times New Roman" w:hAnsi="Times New Roman" w:cs="Times New Roman"/>
        </w:rPr>
        <w:t xml:space="preserve">. Their representation enhances the inclusivity </w:t>
      </w:r>
      <w:r w:rsidR="00EB13B0">
        <w:rPr>
          <w:rFonts w:ascii="Times New Roman" w:hAnsi="Times New Roman" w:cs="Times New Roman"/>
        </w:rPr>
        <w:t xml:space="preserve">and relevance of the findings, particularly in relation to intersectional stigma and barriers to care. </w:t>
      </w:r>
    </w:p>
    <w:p w14:paraId="57E0F71A" w14:textId="75A2026A" w:rsidR="00EB13B0" w:rsidRDefault="00EB13B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high proportion of participants experiencing unemployment or informal employment (over 89%) highlights the structural vulnerabilities that shape both HIV risk and access to justice. Economic marginalization has been consistently linked to increased exposure to violence, engagement in survival sex, and reduced </w:t>
      </w:r>
      <w:r>
        <w:rPr>
          <w:rFonts w:ascii="Times New Roman" w:hAnsi="Times New Roman" w:cs="Times New Roman"/>
        </w:rPr>
        <w:lastRenderedPageBreak/>
        <w:t xml:space="preserve">ability to access healthcare services </w:t>
      </w:r>
      <w:r w:rsidR="000B03BB">
        <w:rPr>
          <w:rFonts w:ascii="Times New Roman" w:hAnsi="Times New Roman" w:cs="Times New Roman"/>
        </w:rPr>
        <w:t>[4,28]</w:t>
      </w:r>
      <w:r>
        <w:rPr>
          <w:rFonts w:ascii="Times New Roman" w:hAnsi="Times New Roman" w:cs="Times New Roman"/>
        </w:rPr>
        <w:t xml:space="preserve">. In criminalized environments like Nigeria, where the Same Sex Marriage Prohibition Act restricts not only relationships but also association and advocacy, economic exclusion is further compounded by legal precarity, limiting livelihood opportunities and reinforcing cycles of vulnerability. The findings therefore show the necessity of integrating economic empowerment and structural interventions within HIV and human rights programming. </w:t>
      </w:r>
    </w:p>
    <w:p w14:paraId="1C8B4080" w14:textId="5C9072B3" w:rsidR="00EB13B0" w:rsidRDefault="00EB13B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dual sample structure combining community-level participants with ART-experience individuals strengthens the analytical depth of the study. While the broader sample captures population-level barriers and social dynamics, the ART cohort provides insight into health system navigation and treatment continuity, enabling a more nuanced understanding of the HIV care continuum in hostile settings. This approach </w:t>
      </w:r>
      <w:r w:rsidR="000A3D10">
        <w:rPr>
          <w:rFonts w:ascii="Times New Roman" w:hAnsi="Times New Roman" w:cs="Times New Roman"/>
        </w:rPr>
        <w:t xml:space="preserve">is consistent with recommendations for mixed-methods HIV research, which emphasize the value of integrating experiential and service-level perspectives to inform intervention design </w:t>
      </w:r>
      <w:r w:rsidR="000B03BB">
        <w:rPr>
          <w:rFonts w:ascii="Times New Roman" w:hAnsi="Times New Roman" w:cs="Times New Roman"/>
        </w:rPr>
        <w:t>[8]</w:t>
      </w:r>
      <w:r w:rsidR="000A3D10">
        <w:rPr>
          <w:rFonts w:ascii="Times New Roman" w:hAnsi="Times New Roman" w:cs="Times New Roman"/>
        </w:rPr>
        <w:t xml:space="preserve">. From the methodological standpoint, the use of purposive and snowball sampling was both appropriate and necessary given the hidden and criminalized nature of the population. However, as noted in similar studies, such approaches may introduce selection bias, potentially overrepresenting individuals already connected to community networks or services </w:t>
      </w:r>
      <w:r w:rsidR="000B03BB">
        <w:rPr>
          <w:rFonts w:ascii="Times New Roman" w:hAnsi="Times New Roman" w:cs="Times New Roman"/>
        </w:rPr>
        <w:t>[2]</w:t>
      </w:r>
      <w:r w:rsidR="000A3D10">
        <w:rPr>
          <w:rFonts w:ascii="Times New Roman" w:hAnsi="Times New Roman" w:cs="Times New Roman"/>
        </w:rPr>
        <w:t xml:space="preserve">. This limitation should be interpreted in light of the study’s objectives, which prioritize depth of engagement and safety over statistical generalizability, a trade-off widely used in research involving marginalized populations </w:t>
      </w:r>
      <w:r w:rsidR="000B03BB">
        <w:rPr>
          <w:rFonts w:ascii="Times New Roman" w:hAnsi="Times New Roman" w:cs="Times New Roman"/>
        </w:rPr>
        <w:t>[33]</w:t>
      </w:r>
      <w:r w:rsidR="000A3D10">
        <w:rPr>
          <w:rFonts w:ascii="Times New Roman" w:hAnsi="Times New Roman" w:cs="Times New Roman"/>
        </w:rPr>
        <w:t>.</w:t>
      </w:r>
    </w:p>
    <w:p w14:paraId="22C254CF" w14:textId="240EDDC5" w:rsidR="008F296E" w:rsidRDefault="000A3D10" w:rsidP="00E642B5">
      <w:pPr>
        <w:spacing w:before="240" w:after="240" w:line="240" w:lineRule="auto"/>
        <w:ind w:left="1440" w:right="1440"/>
        <w:jc w:val="both"/>
        <w:rPr>
          <w:rFonts w:ascii="Times New Roman" w:hAnsi="Times New Roman" w:cs="Times New Roman"/>
        </w:rPr>
      </w:pPr>
      <w:r w:rsidRPr="00E2789E">
        <w:rPr>
          <w:rFonts w:ascii="Times New Roman" w:hAnsi="Times New Roman" w:cs="Times New Roman"/>
        </w:rPr>
        <w:t xml:space="preserve">Overall, the participant profile reflects a population situated at the intersection of legal marginalization, economic vulnerability, and health inequities, reinforcing the relevance of the study’s Human Rights-Based Approach (HRBA). The demographic distribution not only contextualizes subsequent findings on barriers and service uptake but also substantiates the need for multi-level, community-driven </w:t>
      </w:r>
      <w:r w:rsidR="00335095" w:rsidRPr="00E2789E">
        <w:rPr>
          <w:rFonts w:ascii="Times New Roman" w:hAnsi="Times New Roman" w:cs="Times New Roman"/>
        </w:rPr>
        <w:t>interventions that</w:t>
      </w:r>
      <w:r w:rsidRPr="00E2789E">
        <w:rPr>
          <w:rFonts w:ascii="Times New Roman" w:hAnsi="Times New Roman" w:cs="Times New Roman"/>
        </w:rPr>
        <w:t xml:space="preserve"> address the structural </w:t>
      </w:r>
      <w:r w:rsidR="00993940" w:rsidRPr="00E2789E">
        <w:rPr>
          <w:rFonts w:ascii="Times New Roman" w:hAnsi="Times New Roman" w:cs="Times New Roman"/>
        </w:rPr>
        <w:t>determinants of HIV risk and access to justice.</w:t>
      </w:r>
      <w:r w:rsidR="00993940">
        <w:rPr>
          <w:rFonts w:ascii="Times New Roman" w:hAnsi="Times New Roman" w:cs="Times New Roman"/>
        </w:rPr>
        <w:t xml:space="preserve"> </w:t>
      </w:r>
      <w:r w:rsidR="00F16093" w:rsidRPr="00D04EF7">
        <w:rPr>
          <w:rFonts w:ascii="Times New Roman" w:hAnsi="Times New Roman" w:cs="Times New Roman"/>
          <w:highlight w:val="yellow"/>
        </w:rPr>
        <w:t>While findings may not be statistically generalizable, they are analytically transferable to similar criminalized and rural contexts, particularly in sub-Saharan Africa where structural barriers to LGBTQ health are comparable.</w:t>
      </w:r>
      <w:r w:rsidR="00F16093">
        <w:rPr>
          <w:rFonts w:ascii="Times New Roman" w:hAnsi="Times New Roman" w:cs="Times New Roman"/>
        </w:rPr>
        <w:t xml:space="preserve"> </w:t>
      </w:r>
    </w:p>
    <w:p w14:paraId="2178F426" w14:textId="77777777" w:rsidR="00F16093" w:rsidRPr="00E642B5" w:rsidRDefault="00F16093" w:rsidP="00E642B5">
      <w:pPr>
        <w:spacing w:before="240" w:after="240" w:line="240" w:lineRule="auto"/>
        <w:ind w:left="1440" w:right="1440"/>
        <w:jc w:val="both"/>
        <w:rPr>
          <w:rFonts w:ascii="Times New Roman" w:hAnsi="Times New Roman" w:cs="Times New Roman"/>
        </w:rPr>
      </w:pPr>
    </w:p>
    <w:p w14:paraId="7E800AF8" w14:textId="2D79F207" w:rsidR="000A3D10" w:rsidRPr="00AA262A" w:rsidRDefault="00AA262A" w:rsidP="00696F35">
      <w:pPr>
        <w:spacing w:before="240" w:after="240" w:line="240" w:lineRule="auto"/>
        <w:ind w:left="1440" w:right="1440"/>
        <w:jc w:val="both"/>
        <w:rPr>
          <w:rFonts w:ascii="Times New Roman" w:hAnsi="Times New Roman" w:cs="Times New Roman"/>
          <w:b/>
          <w:bCs/>
        </w:rPr>
      </w:pPr>
      <w:r w:rsidRPr="00AA262A">
        <w:rPr>
          <w:rFonts w:ascii="Times New Roman" w:hAnsi="Times New Roman" w:cs="Times New Roman"/>
          <w:b/>
          <w:bCs/>
        </w:rPr>
        <w:t>Barriers to Justice, Healthcare, and Safety</w:t>
      </w:r>
    </w:p>
    <w:p w14:paraId="067BC63C" w14:textId="3E775490" w:rsidR="00AA262A" w:rsidRPr="00AA262A" w:rsidRDefault="00AA262A" w:rsidP="00696F35">
      <w:pPr>
        <w:spacing w:before="240" w:after="240" w:line="240" w:lineRule="auto"/>
        <w:ind w:left="1440" w:right="1440"/>
        <w:jc w:val="both"/>
        <w:rPr>
          <w:rFonts w:ascii="Times New Roman" w:hAnsi="Times New Roman" w:cs="Times New Roman"/>
          <w:b/>
          <w:bCs/>
        </w:rPr>
      </w:pPr>
      <w:r w:rsidRPr="00AA262A">
        <w:rPr>
          <w:rFonts w:ascii="Times New Roman" w:hAnsi="Times New Roman" w:cs="Times New Roman"/>
          <w:b/>
          <w:bCs/>
        </w:rPr>
        <w:t>Baseline Structural and Social Barriers</w:t>
      </w:r>
    </w:p>
    <w:p w14:paraId="63111AFF" w14:textId="1FE4273C" w:rsidR="00EB13B0" w:rsidRDefault="00BD206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baseline findings </w:t>
      </w:r>
      <w:r w:rsidR="00F066A3">
        <w:rPr>
          <w:rFonts w:ascii="Times New Roman" w:hAnsi="Times New Roman" w:cs="Times New Roman"/>
        </w:rPr>
        <w:t xml:space="preserve">illustrated in Figure 2 </w:t>
      </w:r>
      <w:r>
        <w:rPr>
          <w:rFonts w:ascii="Times New Roman" w:hAnsi="Times New Roman" w:cs="Times New Roman"/>
        </w:rPr>
        <w:t>reveal a structurally constrained environment in which criminalization, stigma, and institutional exclusion interact to limit access to both healthcare and justice. The high prevalence of fear of arrest and healthcare-related stigma illustrates how legal frameworks and social norms function as upstream determinants of health, shaping downstream behaviors such as service avoidance and underreporting of violence [4,5]. These findings are consistent with existing literature demonstrating that criminalization significantly undermines HIV prevention and care outcomes among key populations [9,14].</w:t>
      </w:r>
    </w:p>
    <w:p w14:paraId="5F0EBB9A" w14:textId="28C82D14" w:rsidR="00AA262A" w:rsidRDefault="00AA262A"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prominence of criminalization-related fear as the leading barrier suggests the profound impact of punitive legal frameworks on health-seeking behavior. In Nigeria, the Same Sex Marriage Prohibition Act not only criminalizes same-sex relationships but as </w:t>
      </w:r>
      <w:r w:rsidR="00FA60F9">
        <w:rPr>
          <w:rFonts w:ascii="Times New Roman" w:hAnsi="Times New Roman" w:cs="Times New Roman"/>
        </w:rPr>
        <w:t xml:space="preserve">restrict association and advocacy, thereby institutionalizing stigma and legitimizing discrimination. Empirical studies across sub-Saharan </w:t>
      </w:r>
      <w:r w:rsidR="00FA60F9">
        <w:rPr>
          <w:rFonts w:ascii="Times New Roman" w:hAnsi="Times New Roman" w:cs="Times New Roman"/>
        </w:rPr>
        <w:lastRenderedPageBreak/>
        <w:t xml:space="preserve">Africa have shown that such legal environments are strongly associated with reduced HIV testing, delayed treatment initiation, and increased concealment of sexual identity </w:t>
      </w:r>
      <w:r w:rsidR="00150A86">
        <w:rPr>
          <w:rFonts w:ascii="Times New Roman" w:hAnsi="Times New Roman" w:cs="Times New Roman"/>
        </w:rPr>
        <w:t>[24,33]</w:t>
      </w:r>
      <w:r w:rsidR="00FA60F9">
        <w:rPr>
          <w:rFonts w:ascii="Times New Roman" w:hAnsi="Times New Roman" w:cs="Times New Roman"/>
        </w:rPr>
        <w:t xml:space="preserve">. The present findings extend this evidence by demonstrating how criminalization produces a spillover effect across systems, shaping both healthcare avoidance and reluctance to engage with formal justice mechanisms. </w:t>
      </w:r>
    </w:p>
    <w:p w14:paraId="167B6068" w14:textId="674D63D7" w:rsidR="00F776F2" w:rsidRDefault="00FA60F9"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data highlight a bidirectional relationship between criminalization and institutional distrust. Participants’ narratives particularly the perception that seeking justice could result in self-incrimination reflect what has been conceptualized as “anticipatory stigma” wherein individuals preemptively avoid institutions due to expected discrimination or harm </w:t>
      </w:r>
      <w:r w:rsidR="00150A86">
        <w:rPr>
          <w:rFonts w:ascii="Times New Roman" w:hAnsi="Times New Roman" w:cs="Times New Roman"/>
        </w:rPr>
        <w:t>[11]</w:t>
      </w:r>
      <w:r>
        <w:rPr>
          <w:rFonts w:ascii="Times New Roman" w:hAnsi="Times New Roman" w:cs="Times New Roman"/>
        </w:rPr>
        <w:t xml:space="preserve">. This phenomenon is well-documented in HIV research and is associated with poorer health outcomes, including lower rates of services utilization and adherence to treatment </w:t>
      </w:r>
      <w:r w:rsidR="00150A86">
        <w:rPr>
          <w:rFonts w:ascii="Times New Roman" w:hAnsi="Times New Roman" w:cs="Times New Roman"/>
        </w:rPr>
        <w:t>[34].</w:t>
      </w:r>
      <w:r>
        <w:rPr>
          <w:rFonts w:ascii="Times New Roman" w:hAnsi="Times New Roman" w:cs="Times New Roman"/>
        </w:rPr>
        <w:t xml:space="preserve"> In this study, anticipatory stigma appears to operate not only within healthcare settings but also within legal systems, effective</w:t>
      </w:r>
      <w:r w:rsidR="00AB713F">
        <w:rPr>
          <w:rFonts w:ascii="Times New Roman" w:hAnsi="Times New Roman" w:cs="Times New Roman"/>
        </w:rPr>
        <w:t>ly</w:t>
      </w:r>
      <w:r>
        <w:rPr>
          <w:rFonts w:ascii="Times New Roman" w:hAnsi="Times New Roman" w:cs="Times New Roman"/>
        </w:rPr>
        <w:t xml:space="preserve"> closing off formal pathways to justice.</w:t>
      </w:r>
    </w:p>
    <w:p w14:paraId="39E48F68" w14:textId="5B197409" w:rsidR="00F776F2" w:rsidRDefault="00F776F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high prevalence of healthcare stigma (68.9%) further reinforces the role of institutional environments as barriers rather than enablers of care. Discriminatory attitudes among healthcare providers have been shown to significantly deter LGBTQ individuals from accessing HIV services, particularly in context where providers lack training in non-discriminatory care or operate within stigmatizing policy environments </w:t>
      </w:r>
      <w:r w:rsidR="00150A86">
        <w:rPr>
          <w:rFonts w:ascii="Times New Roman" w:hAnsi="Times New Roman" w:cs="Times New Roman"/>
        </w:rPr>
        <w:t>[13,22]</w:t>
      </w:r>
      <w:r>
        <w:rPr>
          <w:rFonts w:ascii="Times New Roman" w:hAnsi="Times New Roman" w:cs="Times New Roman"/>
        </w:rPr>
        <w:t xml:space="preserve">. In line with these findings, participants in this study reported experiences of mistreatment and exclusion in healthcare settings, contributing to service avoidance (57.6%). This aligns with evidence from multi-country analyses indicating that stigma within healthcare systems is a critical driver of unmet HIV prevention and treatment needs among key populations </w:t>
      </w:r>
      <w:r w:rsidR="00150A86">
        <w:rPr>
          <w:rFonts w:ascii="Times New Roman" w:hAnsi="Times New Roman" w:cs="Times New Roman"/>
        </w:rPr>
        <w:t>[3</w:t>
      </w:r>
      <w:r w:rsidR="00C53EE2">
        <w:rPr>
          <w:rFonts w:ascii="Times New Roman" w:hAnsi="Times New Roman" w:cs="Times New Roman"/>
        </w:rPr>
        <w:t>6</w:t>
      </w:r>
      <w:r w:rsidR="00150A86">
        <w:rPr>
          <w:rFonts w:ascii="Times New Roman" w:hAnsi="Times New Roman" w:cs="Times New Roman"/>
        </w:rPr>
        <w:t>]</w:t>
      </w:r>
      <w:r>
        <w:rPr>
          <w:rFonts w:ascii="Times New Roman" w:hAnsi="Times New Roman" w:cs="Times New Roman"/>
        </w:rPr>
        <w:t>.</w:t>
      </w:r>
    </w:p>
    <w:p w14:paraId="66E31354" w14:textId="364EE049" w:rsidR="00FA60F9" w:rsidRDefault="00F776F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intersection of gender-based violence (GBV) and structural barriers is also notable, with over 61% of participants reporting experiences of violence. Violence against LGBTQ individuals is both a consequence and a mechanism of structural stigma, reinforcing social exclusion and increasing vulnerability to HIV </w:t>
      </w:r>
      <w:r w:rsidR="00C53EE2">
        <w:rPr>
          <w:rFonts w:ascii="Times New Roman" w:hAnsi="Times New Roman" w:cs="Times New Roman"/>
        </w:rPr>
        <w:t>[30,10]</w:t>
      </w:r>
      <w:r>
        <w:rPr>
          <w:rFonts w:ascii="Times New Roman" w:hAnsi="Times New Roman" w:cs="Times New Roman"/>
        </w:rPr>
        <w:t>. In criminalized settings, survivors of GBV often face compounded barriers to justice, including police harassment, victim</w:t>
      </w:r>
      <w:r w:rsidR="00285643">
        <w:rPr>
          <w:rFonts w:ascii="Times New Roman" w:hAnsi="Times New Roman" w:cs="Times New Roman"/>
        </w:rPr>
        <w:t xml:space="preserve">-blaming, and lack of legal recognition, which further discourages reporting and access to support services </w:t>
      </w:r>
      <w:r w:rsidR="000E061F">
        <w:rPr>
          <w:rFonts w:ascii="Times New Roman" w:hAnsi="Times New Roman" w:cs="Times New Roman"/>
        </w:rPr>
        <w:t>[23]</w:t>
      </w:r>
      <w:r w:rsidR="00285643">
        <w:rPr>
          <w:rFonts w:ascii="Times New Roman" w:hAnsi="Times New Roman" w:cs="Times New Roman"/>
        </w:rPr>
        <w:t>. The findings suggest that GBV is not an isolated phenomenon but rather embedded within a broader system of marginalization that limits both safety and health outcomes.</w:t>
      </w:r>
    </w:p>
    <w:p w14:paraId="3C574482" w14:textId="31DDE816" w:rsidR="00285643" w:rsidRDefault="00285643"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lack of legal knowledge (64.8%) adds another critical dimension, highlighting gaps in empowerment and access to rights-based information. Legal literacy is a key component of effective HIV responses, particularly within Human Rights-Based Approaches (HRBA), as it enables individuals to recognize violations, seek redress, and navigate complex institutional systems </w:t>
      </w:r>
      <w:r w:rsidR="000E061F">
        <w:rPr>
          <w:rFonts w:ascii="Times New Roman" w:hAnsi="Times New Roman" w:cs="Times New Roman"/>
        </w:rPr>
        <w:t>[16]</w:t>
      </w:r>
      <w:r>
        <w:rPr>
          <w:rFonts w:ascii="Times New Roman" w:hAnsi="Times New Roman" w:cs="Times New Roman"/>
        </w:rPr>
        <w:t xml:space="preserve">. The observed deficit in legal awareness suggests that structural barriers are compounded by informational inequities, further entrenching vulnerability. </w:t>
      </w:r>
    </w:p>
    <w:p w14:paraId="609CD51A" w14:textId="5134F472" w:rsidR="0063367F" w:rsidRDefault="00285643"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Taken together, these findings strongly support the modified social ecological model, which conceptualizes HIV risk as a product of interacting individuals, community, and structural factors </w:t>
      </w:r>
      <w:r w:rsidR="000E061F">
        <w:rPr>
          <w:rFonts w:ascii="Times New Roman" w:hAnsi="Times New Roman" w:cs="Times New Roman"/>
        </w:rPr>
        <w:t>[4]</w:t>
      </w:r>
      <w:r>
        <w:rPr>
          <w:rFonts w:ascii="Times New Roman" w:hAnsi="Times New Roman" w:cs="Times New Roman"/>
        </w:rPr>
        <w:t xml:space="preserve">. In this study, structural factors particularly criminalization and institutional stigma emerge as dominant drivers that shape downstream behaviors, including service avoidance and underreporting of violence. This reinforces the argument that biomedical interventions alone are </w:t>
      </w:r>
      <w:r>
        <w:rPr>
          <w:rFonts w:ascii="Times New Roman" w:hAnsi="Times New Roman" w:cs="Times New Roman"/>
        </w:rPr>
        <w:lastRenderedPageBreak/>
        <w:t>insufficient in such contexts</w:t>
      </w:r>
      <w:r w:rsidR="0063367F">
        <w:rPr>
          <w:rFonts w:ascii="Times New Roman" w:hAnsi="Times New Roman" w:cs="Times New Roman"/>
        </w:rPr>
        <w:t>;</w:t>
      </w:r>
      <w:r>
        <w:rPr>
          <w:rFonts w:ascii="Times New Roman" w:hAnsi="Times New Roman" w:cs="Times New Roman"/>
        </w:rPr>
        <w:t xml:space="preserve"> rather, effective HIV responses must address the legal and social environments that constrain access to care.</w:t>
      </w:r>
    </w:p>
    <w:p w14:paraId="2D8D37D0" w14:textId="36A12F35" w:rsidR="00285643" w:rsidRDefault="0063367F"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 policy and programmatic perspective, the results suggest the necessity of rights-based, multi-level interventions that simultaneously target: </w:t>
      </w:r>
    </w:p>
    <w:p w14:paraId="084CA1BD" w14:textId="52C8A206"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Legal barriers (through advocacy and reform efforts)</w:t>
      </w:r>
    </w:p>
    <w:p w14:paraId="1C046659" w14:textId="2B8F3505"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Institutional practices (through provider training and accountability mechanisms)</w:t>
      </w:r>
    </w:p>
    <w:p w14:paraId="1F60B81C" w14:textId="2FF1C36E"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Community-level stigma (through dialogue and social norm change)</w:t>
      </w:r>
    </w:p>
    <w:p w14:paraId="4E07FE87" w14:textId="68E318CB"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Individual empowerment (through legal literacy and peer support)</w:t>
      </w:r>
    </w:p>
    <w:p w14:paraId="02B261A0" w14:textId="0AA5F78C" w:rsidR="00696F35" w:rsidRDefault="00700725"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convergence of quantitative and qualitative data in this study strengthens the validity of these findings, illustrating not only the prevalence of barriers but also the lived realities underpinning them. This triangulation is particularly valuable in research involving marginalized populations, where quantitative indicators alone may fail to capture the complexity of structural violence and its impact on health </w:t>
      </w:r>
      <w:r w:rsidR="000E061F">
        <w:rPr>
          <w:rFonts w:ascii="Times New Roman" w:hAnsi="Times New Roman" w:cs="Times New Roman"/>
        </w:rPr>
        <w:t>[8].</w:t>
      </w:r>
    </w:p>
    <w:p w14:paraId="65E55DDF" w14:textId="6B68AE9B" w:rsidR="00EA5C90" w:rsidRPr="00696F35" w:rsidRDefault="00EA5C90" w:rsidP="00696F35">
      <w:pPr>
        <w:spacing w:before="240" w:after="240" w:line="240" w:lineRule="auto"/>
        <w:ind w:left="1440" w:right="1440"/>
        <w:jc w:val="both"/>
        <w:rPr>
          <w:rFonts w:ascii="Times New Roman" w:hAnsi="Times New Roman" w:cs="Times New Roman"/>
          <w:b/>
          <w:bCs/>
        </w:rPr>
      </w:pPr>
      <w:r w:rsidRPr="007F13D6">
        <w:rPr>
          <w:rFonts w:ascii="Times New Roman" w:hAnsi="Times New Roman" w:cs="Times New Roman"/>
        </w:rPr>
        <w:t xml:space="preserve">The baseline findings reveal a systematically hostile environment in which criminalization, stigma, and violence interact to limit access to both healthcare and justice. Addressing these barriers requires a fundamental shift from individual-level interventions to structural and rights-based approaches, aligning with the global calls to decriminalize same-sex relationships and integrate human rights into HIV programming </w:t>
      </w:r>
      <w:r w:rsidR="00B848BC">
        <w:rPr>
          <w:rFonts w:ascii="Times New Roman" w:hAnsi="Times New Roman" w:cs="Times New Roman"/>
        </w:rPr>
        <w:t>[5,36]</w:t>
      </w:r>
      <w:r w:rsidRPr="007F13D6">
        <w:rPr>
          <w:rFonts w:ascii="Times New Roman" w:hAnsi="Times New Roman" w:cs="Times New Roman"/>
        </w:rPr>
        <w:t>.</w:t>
      </w:r>
    </w:p>
    <w:p w14:paraId="7F7C4074" w14:textId="059FD3DD" w:rsidR="000F7089" w:rsidRDefault="00BB23BB" w:rsidP="00747613">
      <w:pPr>
        <w:spacing w:before="240" w:after="240" w:line="240" w:lineRule="auto"/>
        <w:ind w:left="1440" w:right="1440"/>
        <w:jc w:val="both"/>
        <w:rPr>
          <w:rFonts w:ascii="Times New Roman" w:hAnsi="Times New Roman" w:cs="Times New Roman"/>
          <w:b/>
          <w:bCs/>
        </w:rPr>
      </w:pPr>
      <w:r>
        <w:rPr>
          <w:rFonts w:ascii="Times New Roman" w:hAnsi="Times New Roman" w:cs="Times New Roman"/>
          <w:b/>
          <w:bCs/>
        </w:rPr>
        <w:t xml:space="preserve">Intervention </w:t>
      </w:r>
      <w:r w:rsidR="00486990">
        <w:rPr>
          <w:rFonts w:ascii="Times New Roman" w:hAnsi="Times New Roman" w:cs="Times New Roman"/>
          <w:b/>
          <w:bCs/>
        </w:rPr>
        <w:t>Coverage</w:t>
      </w:r>
      <w:r>
        <w:rPr>
          <w:rFonts w:ascii="Times New Roman" w:hAnsi="Times New Roman" w:cs="Times New Roman"/>
          <w:b/>
          <w:bCs/>
        </w:rPr>
        <w:t xml:space="preserve"> and Implementation Outputs</w:t>
      </w:r>
    </w:p>
    <w:p w14:paraId="30620A65" w14:textId="4258365B" w:rsidR="00C614D7" w:rsidRPr="00FD40AF" w:rsidRDefault="00486990" w:rsidP="00FD40A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scale of implementation, as detailed in Table 3, highlights the feasibility and acceptability of community-led approaches in high-risk and resource-constrained settings. </w:t>
      </w:r>
      <w:r w:rsidR="00E96A71">
        <w:rPr>
          <w:rFonts w:ascii="Times New Roman" w:hAnsi="Times New Roman" w:cs="Times New Roman"/>
        </w:rPr>
        <w:t>High levels of participation in community dialogues and peer-led activities indicate acceptability and feasibility, while sustained engagement with institutional actors reflects the intervention’s ability to operate across multiple levels of influence. These findings support existing evidence that community-led delivery models can effectively engage marginalized populations when interventions are grounded in trust, cultural relevance, and local ownership</w:t>
      </w:r>
      <w:r w:rsidR="00857156">
        <w:rPr>
          <w:rFonts w:ascii="Times New Roman" w:hAnsi="Times New Roman" w:cs="Times New Roman"/>
        </w:rPr>
        <w:t xml:space="preserve"> [10,12]</w:t>
      </w:r>
      <w:r w:rsidR="00E96A71">
        <w:rPr>
          <w:rFonts w:ascii="Times New Roman" w:hAnsi="Times New Roman" w:cs="Times New Roman"/>
        </w:rPr>
        <w:t xml:space="preserve">. </w:t>
      </w:r>
    </w:p>
    <w:p w14:paraId="3B05C68B" w14:textId="2C3BBEAE" w:rsidR="00082BC7" w:rsidRDefault="00082BC7"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Community dialogues have been widely recognized as critical platforms for fostering collective awareness, challenging social norms, and enabling shared identification of barriers to care </w:t>
      </w:r>
      <w:r w:rsidR="00B848BC">
        <w:rPr>
          <w:rFonts w:ascii="Times New Roman" w:hAnsi="Times New Roman" w:cs="Times New Roman"/>
        </w:rPr>
        <w:t>[8]</w:t>
      </w:r>
      <w:r>
        <w:rPr>
          <w:rFonts w:ascii="Times New Roman" w:hAnsi="Times New Roman" w:cs="Times New Roman"/>
        </w:rPr>
        <w:t xml:space="preserve">. In this study, the scale of participation suggests that such forums were not only accessible but also perceived as safe and relevant by participants, despite prevailing risks associated with visibility. This aligns with evidence that community mobilization strategies, when led by trusted insiders, can effectively overcome barriers related to stigma and fear, particularly among key populations </w:t>
      </w:r>
      <w:r w:rsidR="00B848BC">
        <w:rPr>
          <w:rFonts w:ascii="Times New Roman" w:hAnsi="Times New Roman" w:cs="Times New Roman"/>
        </w:rPr>
        <w:t>[20]</w:t>
      </w:r>
      <w:r>
        <w:rPr>
          <w:rFonts w:ascii="Times New Roman" w:hAnsi="Times New Roman" w:cs="Times New Roman"/>
        </w:rPr>
        <w:t xml:space="preserve">. </w:t>
      </w:r>
    </w:p>
    <w:p w14:paraId="7410162D" w14:textId="05403E56" w:rsidR="00F43A1F" w:rsidRDefault="00082BC7"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reach of peer-led advocacy initiatives (1,008 individuals) further highlights the central role of peer networks as conduits for information, trust-building, and service linkage. Peer-driven interventions have consistently been shown to improve HIV-related outcomes by leveraging shared lived </w:t>
      </w:r>
      <w:r w:rsidR="00F43A1F">
        <w:rPr>
          <w:rFonts w:ascii="Times New Roman" w:hAnsi="Times New Roman" w:cs="Times New Roman"/>
        </w:rPr>
        <w:t xml:space="preserve">experiences and social proximity </w:t>
      </w:r>
      <w:r w:rsidR="00B848BC">
        <w:rPr>
          <w:rFonts w:ascii="Times New Roman" w:hAnsi="Times New Roman" w:cs="Times New Roman"/>
        </w:rPr>
        <w:t>[25]</w:t>
      </w:r>
      <w:r w:rsidR="00F43A1F">
        <w:rPr>
          <w:rFonts w:ascii="Times New Roman" w:hAnsi="Times New Roman" w:cs="Times New Roman"/>
        </w:rPr>
        <w:t xml:space="preserve">. In contexts where formal institutions are perceived as hostile or exclusionary, peer educators function as critical intermediaries, facilitating both knowledge dissemination and navigation of services. The scale achieved in this </w:t>
      </w:r>
      <w:r w:rsidR="00F43A1F">
        <w:rPr>
          <w:rFonts w:ascii="Times New Roman" w:hAnsi="Times New Roman" w:cs="Times New Roman"/>
        </w:rPr>
        <w:lastRenderedPageBreak/>
        <w:t xml:space="preserve">study suggests a high level of network penetration, which is essential for generating community-wide shifts in knowledge and behavior. </w:t>
      </w:r>
    </w:p>
    <w:p w14:paraId="0C5851E4" w14:textId="69940E04" w:rsidR="000F7089" w:rsidRDefault="00F43A1F"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implementation extended beyond community-level engagement to include institutional actors, with 61 stakeholder engagement initiatives targeting healthcare providers and other duty bearers. This multi-level approach is consistent with the Human Rights-Based Approach (HRBA) underpinning the intervention, which emphasizes accountability and systemic change alongside individual empowerment </w:t>
      </w:r>
      <w:r w:rsidR="00B848BC">
        <w:rPr>
          <w:rFonts w:ascii="Times New Roman" w:hAnsi="Times New Roman" w:cs="Times New Roman"/>
        </w:rPr>
        <w:t>[16]</w:t>
      </w:r>
      <w:r>
        <w:rPr>
          <w:rFonts w:ascii="Times New Roman" w:hAnsi="Times New Roman" w:cs="Times New Roman"/>
        </w:rPr>
        <w:t xml:space="preserve">. Engagement with institutions is particularly critical in settings where structural stigma is embedded within service delivery systems. Evidence from global HIV responses indicates that provider sensitization and institutional dialogue are key to reducing discriminatory practices and improving service accessibility for key populations </w:t>
      </w:r>
      <w:r w:rsidR="00B848BC">
        <w:rPr>
          <w:rFonts w:ascii="Times New Roman" w:hAnsi="Times New Roman" w:cs="Times New Roman"/>
        </w:rPr>
        <w:t>[27]</w:t>
      </w:r>
      <w:r>
        <w:rPr>
          <w:rFonts w:ascii="Times New Roman" w:hAnsi="Times New Roman" w:cs="Times New Roman"/>
        </w:rPr>
        <w:t xml:space="preserve">. </w:t>
      </w:r>
    </w:p>
    <w:p w14:paraId="0DF9A713" w14:textId="2BBEF0F2" w:rsidR="00F43A1F" w:rsidRDefault="00F43A1F"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provision of GBV response services to 144 survivors represents a significant output particularly given the documented barriers to reporting and accessing support in criminalized contexts. The ability to reach and support survivors suggests the establishment of functional, trusted referral pathways, which are often absent in hostile legal environments. This finding is consistent with research demonstrating </w:t>
      </w:r>
      <w:r w:rsidR="00BD2E5D">
        <w:rPr>
          <w:rFonts w:ascii="Times New Roman" w:hAnsi="Times New Roman" w:cs="Times New Roman"/>
        </w:rPr>
        <w:t xml:space="preserve">that community-led case management and safe referral systems can enhance access to care and improve outcomes for survivors of violence, especially when formal systems are inaccessible or unsafe </w:t>
      </w:r>
      <w:r w:rsidR="00B848BC">
        <w:rPr>
          <w:rFonts w:ascii="Times New Roman" w:hAnsi="Times New Roman" w:cs="Times New Roman"/>
        </w:rPr>
        <w:t>[38]</w:t>
      </w:r>
      <w:r w:rsidR="00BD2E5D">
        <w:rPr>
          <w:rFonts w:ascii="Times New Roman" w:hAnsi="Times New Roman" w:cs="Times New Roman"/>
        </w:rPr>
        <w:t xml:space="preserve">. Moreover, integrating GBV response within HIV programming reflects best practice in addressing the </w:t>
      </w:r>
      <w:proofErr w:type="spellStart"/>
      <w:r w:rsidR="00BD2E5D">
        <w:rPr>
          <w:rFonts w:ascii="Times New Roman" w:hAnsi="Times New Roman" w:cs="Times New Roman"/>
        </w:rPr>
        <w:t>syndemic</w:t>
      </w:r>
      <w:proofErr w:type="spellEnd"/>
      <w:r w:rsidR="00BD2E5D">
        <w:rPr>
          <w:rFonts w:ascii="Times New Roman" w:hAnsi="Times New Roman" w:cs="Times New Roman"/>
        </w:rPr>
        <w:t xml:space="preserve"> relationship between violence an HIV vulnerability. </w:t>
      </w:r>
    </w:p>
    <w:p w14:paraId="0BAD213E" w14:textId="00D0BC22" w:rsidR="00BD2E5D" w:rsidRDefault="00BD2E5D"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 key strength of the intervention lies in its simultaneous operation across multiple levels, enabling synergistic effects. While peer-led activities increased individual knowledge and demand for services, community dialogues contributed to normative shifts and collectively engagement, and stakeholder interactions targeted institutional barriers. This integrated approach aligns with the modified social ecological model, which emphasizes that sustainable health outcomes require coordinate action across individual, interpersonal, community, and structural levels </w:t>
      </w:r>
      <w:r w:rsidR="00B848BC">
        <w:rPr>
          <w:rFonts w:ascii="Times New Roman" w:hAnsi="Times New Roman" w:cs="Times New Roman"/>
        </w:rPr>
        <w:t>[4]</w:t>
      </w:r>
      <w:r>
        <w:rPr>
          <w:rFonts w:ascii="Times New Roman" w:hAnsi="Times New Roman" w:cs="Times New Roman"/>
        </w:rPr>
        <w:t>. The breadth of outputs observed in this study provides empirical support for this model, demonstrating that interventions addressing multiple determinants concurrently can achieve wider and more meaningful reach.</w:t>
      </w:r>
    </w:p>
    <w:p w14:paraId="4B454F6D" w14:textId="56ECEE5D" w:rsidR="00BD2E5D" w:rsidRPr="001D2326" w:rsidRDefault="00BD2E5D"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implementation science perspective, the results also reflect adaptive and context-sensitive </w:t>
      </w:r>
      <w:r w:rsidR="009C1E9E">
        <w:rPr>
          <w:rFonts w:ascii="Times New Roman" w:hAnsi="Times New Roman" w:cs="Times New Roman"/>
        </w:rPr>
        <w:t>delivery</w:t>
      </w:r>
      <w:r>
        <w:rPr>
          <w:rFonts w:ascii="Times New Roman" w:hAnsi="Times New Roman" w:cs="Times New Roman"/>
        </w:rPr>
        <w:t xml:space="preserve">, facilitated by the use of trained peer facilitators embedded within the communities. Such approaches have been shown to enhance intervention fidelity while allowing for necessary contextual modifications, particularly in dynamic and high-risk environments </w:t>
      </w:r>
      <w:r w:rsidR="00B848BC">
        <w:rPr>
          <w:rFonts w:ascii="Times New Roman" w:hAnsi="Times New Roman" w:cs="Times New Roman"/>
        </w:rPr>
        <w:t>[9]</w:t>
      </w:r>
      <w:r>
        <w:rPr>
          <w:rFonts w:ascii="Times New Roman" w:hAnsi="Times New Roman" w:cs="Times New Roman"/>
        </w:rPr>
        <w:t xml:space="preserve">. The iterative nature </w:t>
      </w:r>
      <w:r w:rsidR="009C1E9E">
        <w:rPr>
          <w:rFonts w:ascii="Times New Roman" w:hAnsi="Times New Roman" w:cs="Times New Roman"/>
        </w:rPr>
        <w:t xml:space="preserve">of implementation, supported by the ongoing monitoring and evaluation, likely contributed to sustained engagement and responsiveness to participants needs. However, while the scale of outputs is notable, it is important to consider the quality and intensity of engagement, which are critical determinants to impact. High participation numbers do not automatically translate into behavioral or structural change; rather the effectiveness of these activities depends on their depth, consistency, and ability to influence underlying determinants of vulnerability. In this regard, the integration of quantitative insights within the broader study provides important contextual validation, indicating that participations not only engaged with the intervention but also perceived it as meaningful and transformative. </w:t>
      </w:r>
    </w:p>
    <w:p w14:paraId="4440609F" w14:textId="79F7E0A2" w:rsidR="000F7089" w:rsidRDefault="009C1E9E" w:rsidP="00747613">
      <w:pPr>
        <w:spacing w:before="240" w:after="240" w:line="240" w:lineRule="auto"/>
        <w:ind w:left="1440" w:right="1440"/>
        <w:jc w:val="both"/>
        <w:rPr>
          <w:rFonts w:ascii="Times New Roman" w:hAnsi="Times New Roman" w:cs="Times New Roman"/>
        </w:rPr>
      </w:pPr>
      <w:r w:rsidRPr="009C1E9E">
        <w:rPr>
          <w:rFonts w:ascii="Times New Roman" w:hAnsi="Times New Roman" w:cs="Times New Roman"/>
        </w:rPr>
        <w:lastRenderedPageBreak/>
        <w:t xml:space="preserve">Additionally, the reliance on community-based networks for recruitment and implementation may have facilitated high reach but could also introduce selection bias, potentially excluding individuals who are more isolated or disconnected from existing networks. This limitation is common in interventions targeting hidden populations and should be interpreted within the broader context of ensuring participation safety and feasibility </w:t>
      </w:r>
      <w:r w:rsidR="00B848BC">
        <w:rPr>
          <w:rFonts w:ascii="Times New Roman" w:hAnsi="Times New Roman" w:cs="Times New Roman"/>
        </w:rPr>
        <w:t>[2]</w:t>
      </w:r>
      <w:r w:rsidRPr="009C1E9E">
        <w:rPr>
          <w:rFonts w:ascii="Times New Roman" w:hAnsi="Times New Roman" w:cs="Times New Roman"/>
        </w:rPr>
        <w:t>.</w:t>
      </w:r>
    </w:p>
    <w:p w14:paraId="2B71B5DB" w14:textId="5D9A0757" w:rsidR="009C1E9E" w:rsidRDefault="009C1E9E" w:rsidP="00747613">
      <w:pPr>
        <w:spacing w:before="240" w:after="240" w:line="240" w:lineRule="auto"/>
        <w:ind w:left="1440" w:right="1440"/>
        <w:jc w:val="both"/>
        <w:rPr>
          <w:rFonts w:ascii="Times New Roman" w:hAnsi="Times New Roman" w:cs="Times New Roman"/>
        </w:rPr>
      </w:pPr>
      <w:r w:rsidRPr="007F13D6">
        <w:rPr>
          <w:rFonts w:ascii="Times New Roman" w:hAnsi="Times New Roman" w:cs="Times New Roman"/>
        </w:rPr>
        <w:t>Overall, the intervention outputs demonstrate that community-driven, rights-based strategies can achieve substantial reach even in highly constrained environments</w:t>
      </w:r>
      <w:r w:rsidR="00D6053F" w:rsidRPr="007F13D6">
        <w:rPr>
          <w:rFonts w:ascii="Times New Roman" w:hAnsi="Times New Roman" w:cs="Times New Roman"/>
        </w:rPr>
        <w:t>. The combination of peer-led engagement, community mobilization, and institutional dialogue represents a comprehensive and scalable model for</w:t>
      </w:r>
      <w:r w:rsidR="00D6053F" w:rsidRPr="009B4792">
        <w:rPr>
          <w:rFonts w:ascii="Times New Roman" w:hAnsi="Times New Roman" w:cs="Times New Roman"/>
          <w:highlight w:val="yellow"/>
        </w:rPr>
        <w:t xml:space="preserve"> </w:t>
      </w:r>
      <w:r w:rsidR="00D6053F" w:rsidRPr="007F13D6">
        <w:rPr>
          <w:rFonts w:ascii="Times New Roman" w:hAnsi="Times New Roman" w:cs="Times New Roman"/>
        </w:rPr>
        <w:t>addressing the multiple dimensional barriers faced by LGBTQ populations. These findings reinforce global evidence that effective HIV response must extend beyond service delivery to include social and structural transformation, particularly in settings where legal and institutional contexts perpetuate vulnerability</w:t>
      </w:r>
      <w:r w:rsidR="00B848BC">
        <w:rPr>
          <w:rFonts w:ascii="Times New Roman" w:hAnsi="Times New Roman" w:cs="Times New Roman"/>
        </w:rPr>
        <w:t xml:space="preserve"> [20,36]</w:t>
      </w:r>
      <w:r w:rsidR="00D6053F" w:rsidRPr="007F13D6">
        <w:rPr>
          <w:rFonts w:ascii="Times New Roman" w:hAnsi="Times New Roman" w:cs="Times New Roman"/>
        </w:rPr>
        <w:t>.</w:t>
      </w:r>
    </w:p>
    <w:p w14:paraId="6C2494F5" w14:textId="698F5FDC" w:rsidR="00F25C20" w:rsidRPr="00D75B2E" w:rsidRDefault="00F25C20" w:rsidP="00747613">
      <w:pPr>
        <w:spacing w:before="240" w:after="240" w:line="240" w:lineRule="auto"/>
        <w:ind w:left="1440" w:right="1440"/>
        <w:jc w:val="both"/>
        <w:rPr>
          <w:rFonts w:ascii="Times New Roman" w:hAnsi="Times New Roman" w:cs="Times New Roman"/>
          <w:b/>
          <w:bCs/>
        </w:rPr>
      </w:pPr>
      <w:r w:rsidRPr="00D75B2E">
        <w:rPr>
          <w:rFonts w:ascii="Times New Roman" w:hAnsi="Times New Roman" w:cs="Times New Roman"/>
          <w:b/>
          <w:bCs/>
        </w:rPr>
        <w:t>Changes in Knowledge, Safety, and Community Engagement (</w:t>
      </w:r>
      <w:r w:rsidR="00D75B2E" w:rsidRPr="00D75B2E">
        <w:rPr>
          <w:rFonts w:ascii="Times New Roman" w:hAnsi="Times New Roman" w:cs="Times New Roman"/>
          <w:b/>
          <w:bCs/>
        </w:rPr>
        <w:t>Individual and Community Levels</w:t>
      </w:r>
      <w:r w:rsidRPr="00D75B2E">
        <w:rPr>
          <w:rFonts w:ascii="Times New Roman" w:hAnsi="Times New Roman" w:cs="Times New Roman"/>
          <w:b/>
          <w:bCs/>
        </w:rPr>
        <w:t>)</w:t>
      </w:r>
    </w:p>
    <w:p w14:paraId="6824197C" w14:textId="26B93729" w:rsidR="00D75B2E" w:rsidRPr="00D75B2E" w:rsidRDefault="00D75B2E" w:rsidP="00747613">
      <w:pPr>
        <w:spacing w:before="240" w:after="240" w:line="240" w:lineRule="auto"/>
        <w:ind w:left="1440" w:right="1440"/>
        <w:jc w:val="both"/>
        <w:rPr>
          <w:rFonts w:ascii="Times New Roman" w:hAnsi="Times New Roman" w:cs="Times New Roman"/>
          <w:b/>
          <w:bCs/>
        </w:rPr>
      </w:pPr>
      <w:r w:rsidRPr="00D75B2E">
        <w:rPr>
          <w:rFonts w:ascii="Times New Roman" w:hAnsi="Times New Roman" w:cs="Times New Roman"/>
          <w:b/>
          <w:bCs/>
        </w:rPr>
        <w:t>Improved Knowledge and Awareness</w:t>
      </w:r>
    </w:p>
    <w:p w14:paraId="6C132949" w14:textId="7C3A5490" w:rsidR="00D75B2E" w:rsidRDefault="00D97C9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The magnitude of change observed across knowledge indicators in Figure 3 suggests that peer-led and rights-based approaches are effective in addressing informational inequalities in marginalized populations</w:t>
      </w:r>
      <w:r w:rsidR="00084EDB">
        <w:rPr>
          <w:rFonts w:ascii="Times New Roman" w:hAnsi="Times New Roman" w:cs="Times New Roman"/>
        </w:rPr>
        <w:t xml:space="preserve">. Importantly, these gains reflect not only increased awareness but also enhanced cognitive and behavioral readiness to engage with services, suggesting that knowledge functioned as a key mechanism linking intervention exposure to improved outcomes. </w:t>
      </w:r>
      <w:r w:rsidR="00F37323">
        <w:rPr>
          <w:rFonts w:ascii="Times New Roman" w:hAnsi="Times New Roman" w:cs="Times New Roman"/>
        </w:rPr>
        <w:t xml:space="preserve">This aligns with existing studies showing that improved knowledge is a critical driver of health-seeking behavior and service utilization among marginalized populations [7,11]. This alignment between quantitative improvements and qualitative reports of increased confidence further supports the robustness of these findings. </w:t>
      </w:r>
    </w:p>
    <w:p w14:paraId="63EE85B9" w14:textId="4584A930" w:rsidR="00D75B2E" w:rsidRDefault="00D75B2E"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improvements in HIV prevention knowledge are consistent with evidence indicating that community-based and peer-driven education models are among the most effective strategies for reaching key populations particularly where stigma limits engagements with formal health systems </w:t>
      </w:r>
      <w:r w:rsidR="00B848BC">
        <w:rPr>
          <w:rFonts w:ascii="Times New Roman" w:hAnsi="Times New Roman" w:cs="Times New Roman"/>
        </w:rPr>
        <w:t>[25,20]</w:t>
      </w:r>
      <w:r>
        <w:rPr>
          <w:rFonts w:ascii="Times New Roman" w:hAnsi="Times New Roman" w:cs="Times New Roman"/>
        </w:rPr>
        <w:t xml:space="preserve">. Peer educators, by virtue of shared identify and lived experience, are uniquely positioned to deliver contextually relevant information, address misconceptions, and foster trust; factors that are critical for knowledge uptake in marginalized communities. </w:t>
      </w:r>
      <w:r w:rsidR="009036B3">
        <w:rPr>
          <w:rFonts w:ascii="Times New Roman" w:hAnsi="Times New Roman" w:cs="Times New Roman"/>
        </w:rPr>
        <w:t>The magnitude of change observed in this study suggests not only successful information dissemination but also high levels of participants engagement and receptivity, which are essential precursors to behavior change.</w:t>
      </w:r>
    </w:p>
    <w:p w14:paraId="493A385D" w14:textId="3A756C8F" w:rsidR="009036B3" w:rsidRDefault="009036B3"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Equally significant is the near doubling of legal rights awareness, from 35.6% to 73.4%. This finding highlights the central role of legal literacy as a component of HIV programming, particularly within a Human Rights-Based Approach (HRBA). In contexts where legal frameworks criminalize same-sex relationships and restrict civic space, lack of awareness of rights and protection heightened vulnerabilities to abuse and limits access to justice </w:t>
      </w:r>
      <w:r w:rsidR="00B848BC">
        <w:rPr>
          <w:rFonts w:ascii="Times New Roman" w:hAnsi="Times New Roman" w:cs="Times New Roman"/>
        </w:rPr>
        <w:t>[16]</w:t>
      </w:r>
      <w:r>
        <w:rPr>
          <w:rFonts w:ascii="Times New Roman" w:hAnsi="Times New Roman" w:cs="Times New Roman"/>
        </w:rPr>
        <w:t xml:space="preserve">. The increase in legal awareness observed here suggests that participants were better equipped to recognize rights violations, navigate institutional systems, and make informed decisions regarding help-seeking. This aligns with global evidence that integrating rights education into health interventions can strengthen agency and improve access to services among marginalized populations </w:t>
      </w:r>
      <w:r w:rsidR="00B848BC">
        <w:rPr>
          <w:rFonts w:ascii="Times New Roman" w:hAnsi="Times New Roman" w:cs="Times New Roman"/>
        </w:rPr>
        <w:t>[27]</w:t>
      </w:r>
      <w:r>
        <w:rPr>
          <w:rFonts w:ascii="Times New Roman" w:hAnsi="Times New Roman" w:cs="Times New Roman"/>
        </w:rPr>
        <w:t>.</w:t>
      </w:r>
    </w:p>
    <w:p w14:paraId="2DFF6D06" w14:textId="20B4FF02" w:rsidR="009036B3" w:rsidRDefault="009036B3"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The substantial gains in awareness of GBV response pathways (41.3% to 78.9%) are particularly noteworthy given the high baseline prevalence of violence reported in the study population. Improved knowledge of where and how to seek support is a critical </w:t>
      </w:r>
      <w:r w:rsidR="005B467F">
        <w:rPr>
          <w:rFonts w:ascii="Times New Roman" w:hAnsi="Times New Roman" w:cs="Times New Roman"/>
        </w:rPr>
        <w:t xml:space="preserve">determinant of timely reporting, access to care, and recovery outcomes for survivors of violence </w:t>
      </w:r>
      <w:r w:rsidR="00B848BC">
        <w:rPr>
          <w:rFonts w:ascii="Times New Roman" w:hAnsi="Times New Roman" w:cs="Times New Roman"/>
        </w:rPr>
        <w:t>[10]</w:t>
      </w:r>
      <w:r w:rsidR="005B467F">
        <w:rPr>
          <w:rFonts w:ascii="Times New Roman" w:hAnsi="Times New Roman" w:cs="Times New Roman"/>
        </w:rPr>
        <w:t>. In criminalized settings, where formal reporting mechanisms may be unsafe or inaccessible, awareness of alternative, community-based pathways are especially important. The findings suggest that the intervention successfully bridged critical information gaps, enabling participants to identify violence, understand available support options, and engage with safer referral systems.</w:t>
      </w:r>
    </w:p>
    <w:p w14:paraId="03A14D24" w14:textId="29ABD55E" w:rsidR="005B467F" w:rsidRDefault="005B467F"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Beyond individual knowledge gains, these results reflect broader shifts in community-level engagement and collective efficacy. Increased awareness of HIV prevention, legal rights, and GBV response pathways contributes to the formation of informed peer networks, which can facilitate information sharing, mutual support, and collective action. This is consistent with social network and community mobilization theories, which posit that knowledge diffusion within interconnected groups can amplify intervention effects and contribute to sustained behavior change </w:t>
      </w:r>
      <w:r w:rsidR="00B848BC">
        <w:rPr>
          <w:rFonts w:ascii="Times New Roman" w:hAnsi="Times New Roman" w:cs="Times New Roman"/>
        </w:rPr>
        <w:t>[7]</w:t>
      </w:r>
      <w:r>
        <w:rPr>
          <w:rFonts w:ascii="Times New Roman" w:hAnsi="Times New Roman" w:cs="Times New Roman"/>
        </w:rPr>
        <w:t xml:space="preserve">. In this study, the combination of structured dialogues and peer-led sessions likely enhanced not only individual understanding but also community cohesion and shared responsibility for health and safety. </w:t>
      </w:r>
    </w:p>
    <w:p w14:paraId="7BDF3895" w14:textId="43265572" w:rsidR="005B467F" w:rsidRDefault="005B467F"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integration of safety and security training within the intervention framework appears to have reinforced these knowledge gains by translating information into practical skills. </w:t>
      </w:r>
      <w:r w:rsidR="00BF6862">
        <w:rPr>
          <w:rFonts w:ascii="Times New Roman" w:hAnsi="Times New Roman" w:cs="Times New Roman"/>
        </w:rPr>
        <w:t>Participants’</w:t>
      </w:r>
      <w:r>
        <w:rPr>
          <w:rFonts w:ascii="Times New Roman" w:hAnsi="Times New Roman" w:cs="Times New Roman"/>
        </w:rPr>
        <w:t xml:space="preserve"> reported </w:t>
      </w:r>
      <w:r w:rsidR="00BF6862">
        <w:rPr>
          <w:rFonts w:ascii="Times New Roman" w:hAnsi="Times New Roman" w:cs="Times New Roman"/>
        </w:rPr>
        <w:t>improvements</w:t>
      </w:r>
      <w:r>
        <w:rPr>
          <w:rFonts w:ascii="Times New Roman" w:hAnsi="Times New Roman" w:cs="Times New Roman"/>
        </w:rPr>
        <w:t xml:space="preserve"> in their ability to identify GBV and seek support suggest that the intervention </w:t>
      </w:r>
      <w:r w:rsidR="00BF6862">
        <w:rPr>
          <w:rFonts w:ascii="Times New Roman" w:hAnsi="Times New Roman" w:cs="Times New Roman"/>
        </w:rPr>
        <w:t xml:space="preserve">moved beyond awareness to capacity building enabling individuals to apply knowledge in real life contexts. This distinction is critical, as knowledge alone is often insufficient to drive change in high-risk environments; rather, individuals must also possess the confidence and skills to act on that knowledge </w:t>
      </w:r>
      <w:r w:rsidR="00B848BC">
        <w:rPr>
          <w:rFonts w:ascii="Times New Roman" w:hAnsi="Times New Roman" w:cs="Times New Roman"/>
        </w:rPr>
        <w:t>[34].</w:t>
      </w:r>
    </w:p>
    <w:p w14:paraId="66E15071" w14:textId="54B23429" w:rsidR="00BF6862" w:rsidRDefault="00BF6862"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From an implementation perspective, the use of pre- and post-</w:t>
      </w:r>
      <w:r w:rsidR="00B848BC">
        <w:rPr>
          <w:rFonts w:ascii="Times New Roman" w:hAnsi="Times New Roman" w:cs="Times New Roman"/>
        </w:rPr>
        <w:t>assessments</w:t>
      </w:r>
      <w:r>
        <w:rPr>
          <w:rFonts w:ascii="Times New Roman" w:hAnsi="Times New Roman" w:cs="Times New Roman"/>
        </w:rPr>
        <w:t xml:space="preserve"> measures strengthens the validity of these findings, providing quantitative evidence of change attributable to the intervention. However, it is important to acknowledge potential limitations, including social desirability bias and the absence of a control group, which may affect the interpretation of observed changes. Despite these limitations the consistency of improvements across multiple indicators, combined with qualitative reports to enhanced capacity and confidence, supports the robustness of the findings. </w:t>
      </w:r>
    </w:p>
    <w:p w14:paraId="24A0E065" w14:textId="798484A5" w:rsidR="00BF6862" w:rsidRDefault="00BF6862"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These results also have important implications for the broader HIV response. Knowledge of HIV prevention, legal rights, and GBV response pathways are interdependent domains, each reinforcing the others. For example, increased legal awareness may reduce fear of accessing services, while improved understanding of GBV response pathways can enhance safety and stability, thereby interconnectedness reflects the multi-level nature of vulnerability and resilience, and highlights the value of integrated intervention that address health, rights, and safety simultaneously</w:t>
      </w:r>
      <w:r w:rsidR="009B4792">
        <w:rPr>
          <w:rFonts w:ascii="Times New Roman" w:hAnsi="Times New Roman" w:cs="Times New Roman"/>
        </w:rPr>
        <w:t xml:space="preserve">. </w:t>
      </w:r>
    </w:p>
    <w:p w14:paraId="49D1F06F" w14:textId="305A0451" w:rsidR="009B4792" w:rsidRDefault="009B4792" w:rsidP="00747613">
      <w:pPr>
        <w:spacing w:before="240" w:after="240" w:line="240" w:lineRule="auto"/>
        <w:ind w:left="1440" w:right="1440"/>
        <w:jc w:val="both"/>
        <w:rPr>
          <w:rFonts w:ascii="Times New Roman" w:hAnsi="Times New Roman" w:cs="Times New Roman"/>
        </w:rPr>
      </w:pPr>
      <w:r w:rsidRPr="007F13D6">
        <w:rPr>
          <w:rFonts w:ascii="Times New Roman" w:hAnsi="Times New Roman" w:cs="Times New Roman"/>
        </w:rPr>
        <w:t>The</w:t>
      </w:r>
      <w:r w:rsidR="004C3372">
        <w:rPr>
          <w:rFonts w:ascii="Times New Roman" w:hAnsi="Times New Roman" w:cs="Times New Roman"/>
        </w:rPr>
        <w:t xml:space="preserve"> </w:t>
      </w:r>
      <w:r w:rsidR="00780388">
        <w:rPr>
          <w:rFonts w:ascii="Times New Roman" w:hAnsi="Times New Roman" w:cs="Times New Roman"/>
        </w:rPr>
        <w:t>substantial improvement</w:t>
      </w:r>
      <w:r w:rsidRPr="007F13D6">
        <w:rPr>
          <w:rFonts w:ascii="Times New Roman" w:hAnsi="Times New Roman" w:cs="Times New Roman"/>
        </w:rPr>
        <w:t xml:space="preserve">s in knowledge and awareness observed in this study demonstrate that community-driven, peer-led and rights-based interventions can effectively build individual and collective capacity in highly constrained environments. By enhancing understanding of HIV prevention, legal rights, and GBV response, the intervention not only addressed immediate informational gaps </w:t>
      </w:r>
      <w:r w:rsidRPr="007F13D6">
        <w:rPr>
          <w:rFonts w:ascii="Times New Roman" w:hAnsi="Times New Roman" w:cs="Times New Roman"/>
        </w:rPr>
        <w:lastRenderedPageBreak/>
        <w:t>but contributed to longer-term empowerment and resilience, laying the foundation for improved health and justice outcomes.</w:t>
      </w:r>
    </w:p>
    <w:p w14:paraId="5EDBAE2F" w14:textId="5D2B3383" w:rsidR="009B4792" w:rsidRPr="00297048" w:rsidRDefault="0035497E" w:rsidP="00747613">
      <w:pPr>
        <w:spacing w:before="240" w:after="240" w:line="240" w:lineRule="auto"/>
        <w:ind w:left="1440" w:right="1440"/>
        <w:jc w:val="both"/>
        <w:rPr>
          <w:rFonts w:ascii="Times New Roman" w:hAnsi="Times New Roman" w:cs="Times New Roman"/>
          <w:b/>
          <w:bCs/>
        </w:rPr>
      </w:pPr>
      <w:r w:rsidRPr="00297048">
        <w:rPr>
          <w:rFonts w:ascii="Times New Roman" w:hAnsi="Times New Roman" w:cs="Times New Roman"/>
          <w:b/>
          <w:bCs/>
        </w:rPr>
        <w:t>Enhanced Safety and Resilience</w:t>
      </w:r>
    </w:p>
    <w:p w14:paraId="658C5048" w14:textId="7AA1A301" w:rsidR="0035497E" w:rsidRDefault="00125D69"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Improvements in safety, risk mitigation capacity, and crisis response reflect a shift from individual vulnerability </w:t>
      </w:r>
      <w:r w:rsidR="00820E36">
        <w:rPr>
          <w:rFonts w:ascii="Times New Roman" w:hAnsi="Times New Roman" w:cs="Times New Roman"/>
        </w:rPr>
        <w:t xml:space="preserve">to collective resilience, facilitated by the development of informal peer support networks. These findings align with the theories of social capital and community empowerment, which emphasize the role of trust networks and shared resources in mitigating the effects of structural </w:t>
      </w:r>
      <w:r w:rsidR="00820E36" w:rsidRPr="0018570F">
        <w:rPr>
          <w:rFonts w:ascii="Times New Roman" w:hAnsi="Times New Roman" w:cs="Times New Roman"/>
        </w:rPr>
        <w:t>violence</w:t>
      </w:r>
      <w:r w:rsidR="0018570F" w:rsidRPr="0018570F">
        <w:rPr>
          <w:rFonts w:ascii="Times New Roman" w:hAnsi="Times New Roman" w:cs="Times New Roman"/>
        </w:rPr>
        <w:t xml:space="preserve"> and improving health outcomes [13,15]</w:t>
      </w:r>
      <w:r w:rsidR="00820E36" w:rsidRPr="0018570F">
        <w:rPr>
          <w:rFonts w:ascii="Times New Roman" w:hAnsi="Times New Roman" w:cs="Times New Roman"/>
        </w:rPr>
        <w:t xml:space="preserve">. From an implementation </w:t>
      </w:r>
      <w:r w:rsidR="00820E36">
        <w:rPr>
          <w:rFonts w:ascii="Times New Roman" w:hAnsi="Times New Roman" w:cs="Times New Roman"/>
        </w:rPr>
        <w:t xml:space="preserve">perspective, the integration of safety and security training within peer-led interventions appears to have translated knowledge into actionable skills, a critical step in high-risk environments. </w:t>
      </w:r>
    </w:p>
    <w:p w14:paraId="63FE0B06" w14:textId="03E59966" w:rsidR="0035497E" w:rsidRDefault="0035497E"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increase in confidence in risk mitigation and safety planning suggests that participants were not only exposed to information but were also able to internalize and operationalize safety strategies within their daily lives. This distinction is particularly important in criminalized and high-stigma settings, where individuals must continuously navigate complex and potentially dangerous environments. Existing literature emphasizes that self-efficacy in safety planning is a key determinant of health-protective behaviors, including the ability to avoid violence, access services discreetly, and maintain continuity in HIV care </w:t>
      </w:r>
      <w:r w:rsidR="006622E7">
        <w:rPr>
          <w:rFonts w:ascii="Times New Roman" w:hAnsi="Times New Roman" w:cs="Times New Roman"/>
        </w:rPr>
        <w:t>[3,21]</w:t>
      </w:r>
      <w:r w:rsidR="00C55E71">
        <w:rPr>
          <w:rFonts w:ascii="Times New Roman" w:hAnsi="Times New Roman" w:cs="Times New Roman"/>
        </w:rPr>
        <w:t>. In this study, the integration of safety and security training within peer-led interventions likely contributed to strengthening this self-efficacy, enabling participants to anticipate risks and respond proactively.</w:t>
      </w:r>
    </w:p>
    <w:p w14:paraId="0E01193E" w14:textId="0CCC6C0D" w:rsidR="00C55E71" w:rsidRDefault="00C55E7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emergency of informal peer support networks further reflects a shift toward collective resilience, wherein community members mobilize shared resources and knowledge to respond to crises. Such networks are particularly vital in contexts where formal systems such as law enforcement and healthcare are perceived as unsafe or inaccessible. Research across diverse settings has demonstrated that community-based support structures can significantly mitigate the effects of structural violence, providing emotional support, facilitating access to services, and enhancing overall well-being </w:t>
      </w:r>
      <w:r w:rsidR="006622E7">
        <w:rPr>
          <w:rFonts w:ascii="Times New Roman" w:hAnsi="Times New Roman" w:cs="Times New Roman"/>
        </w:rPr>
        <w:t>[7,20]</w:t>
      </w:r>
      <w:r>
        <w:rPr>
          <w:rFonts w:ascii="Times New Roman" w:hAnsi="Times New Roman" w:cs="Times New Roman"/>
        </w:rPr>
        <w:t xml:space="preserve">. In the present study, these networks appear to have functioned as alternative safely infrastructures, enabling rapid response to incidents of violence or health emergencies. </w:t>
      </w:r>
    </w:p>
    <w:p w14:paraId="7F15C22C" w14:textId="61C7BAF8" w:rsidR="00C55E71" w:rsidRDefault="00C55E7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qualitative insights provide important contextual depth to these findings, illustrating how participants translated intervention inputs into practical outcomes: </w:t>
      </w:r>
    </w:p>
    <w:p w14:paraId="58556766" w14:textId="2FD537F0" w:rsidR="00C55E71" w:rsidRPr="00394F6F" w:rsidRDefault="009D74E6" w:rsidP="00747613">
      <w:pPr>
        <w:spacing w:before="240" w:after="240" w:line="240" w:lineRule="auto"/>
        <w:ind w:left="1440" w:right="1440"/>
        <w:jc w:val="both"/>
        <w:rPr>
          <w:rFonts w:ascii="Times New Roman" w:hAnsi="Times New Roman" w:cs="Times New Roman"/>
          <w:i/>
          <w:iCs/>
        </w:rPr>
      </w:pPr>
      <w:r w:rsidRPr="00394F6F">
        <w:rPr>
          <w:rFonts w:ascii="Times New Roman" w:hAnsi="Times New Roman" w:cs="Times New Roman"/>
          <w:i/>
          <w:iCs/>
        </w:rPr>
        <w:t>“…now we know who to call in case of crisis…”</w:t>
      </w:r>
    </w:p>
    <w:p w14:paraId="3A1E0DDF" w14:textId="452AB195" w:rsidR="009D74E6" w:rsidRPr="00394F6F" w:rsidRDefault="009D74E6" w:rsidP="00747613">
      <w:pPr>
        <w:spacing w:before="240" w:after="240" w:line="240" w:lineRule="auto"/>
        <w:ind w:left="1440" w:right="1440"/>
        <w:jc w:val="both"/>
        <w:rPr>
          <w:rFonts w:ascii="Times New Roman" w:hAnsi="Times New Roman" w:cs="Times New Roman"/>
          <w:i/>
          <w:iCs/>
        </w:rPr>
      </w:pPr>
      <w:r w:rsidRPr="00394F6F">
        <w:rPr>
          <w:rFonts w:ascii="Times New Roman" w:hAnsi="Times New Roman" w:cs="Times New Roman"/>
          <w:i/>
          <w:iCs/>
        </w:rPr>
        <w:t>“…now we know where to go when something happens…”</w:t>
      </w:r>
    </w:p>
    <w:p w14:paraId="138B68A0" w14:textId="3249643F" w:rsidR="009D74E6" w:rsidRDefault="009D74E6"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These narratives highlight two critical </w:t>
      </w:r>
      <w:r w:rsidR="007B00AB">
        <w:rPr>
          <w:rFonts w:ascii="Times New Roman" w:hAnsi="Times New Roman" w:cs="Times New Roman"/>
        </w:rPr>
        <w:t>dimensions</w:t>
      </w:r>
      <w:r>
        <w:rPr>
          <w:rFonts w:ascii="Times New Roman" w:hAnsi="Times New Roman" w:cs="Times New Roman"/>
        </w:rPr>
        <w:t xml:space="preserve"> of resilience</w:t>
      </w:r>
      <w:r w:rsidR="007B00AB">
        <w:rPr>
          <w:rFonts w:ascii="Times New Roman" w:hAnsi="Times New Roman" w:cs="Times New Roman"/>
        </w:rPr>
        <w:t xml:space="preserve">; social connectivity (“who to call”) and spatial awareness of safe resources (“where to go”). Together, these elements form the foundation of effective crisis response systems, particularly in marginalized communities. The ability to identify trusted contacts and safe spaces is essential for reducing response time during emergencies and minimizing exposure to harm. From a theoretical perspective, this aligns with concepts of social capital, where networks of trust and reciprocity enhance individuals’ capacity to cope with adversity </w:t>
      </w:r>
      <w:r w:rsidR="006622E7">
        <w:rPr>
          <w:rFonts w:ascii="Times New Roman" w:hAnsi="Times New Roman" w:cs="Times New Roman"/>
        </w:rPr>
        <w:t>[31,19]</w:t>
      </w:r>
    </w:p>
    <w:p w14:paraId="50A79B6B" w14:textId="1B64AA59" w:rsidR="007B00AB" w:rsidRDefault="007B00AB"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The development of these informal systems also reflects a process of community empowerment, a core principle of the Human Rights-Based Approach underpinning the intervention. Empowerment in this context involves not only increased knowledge but also the capacity to act collectively and influence one’s environment, even in the absence of supportive formal structures </w:t>
      </w:r>
      <w:r w:rsidR="006622E7">
        <w:rPr>
          <w:rFonts w:ascii="Times New Roman" w:hAnsi="Times New Roman" w:cs="Times New Roman"/>
        </w:rPr>
        <w:t>[37]</w:t>
      </w:r>
      <w:r>
        <w:rPr>
          <w:rFonts w:ascii="Times New Roman" w:hAnsi="Times New Roman" w:cs="Times New Roman"/>
        </w:rPr>
        <w:t>. The findings suggest that participants moved beyond passive recipients of information to become active agents in their own safety and well-being, as well as contributors to the safety of others within their network.</w:t>
      </w:r>
    </w:p>
    <w:p w14:paraId="343A7E7C" w14:textId="2401BEA2" w:rsidR="00297048" w:rsidRDefault="007B00AB"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improvements in safety and resilience are also closely linked to the broader </w:t>
      </w:r>
      <w:proofErr w:type="spellStart"/>
      <w:r>
        <w:rPr>
          <w:rFonts w:ascii="Times New Roman" w:hAnsi="Times New Roman" w:cs="Times New Roman"/>
        </w:rPr>
        <w:t>syndemic</w:t>
      </w:r>
      <w:proofErr w:type="spellEnd"/>
      <w:r>
        <w:rPr>
          <w:rFonts w:ascii="Times New Roman" w:hAnsi="Times New Roman" w:cs="Times New Roman"/>
        </w:rPr>
        <w:t xml:space="preserve"> context of HIV and violence. Exposure to violence has been consistently </w:t>
      </w:r>
      <w:r w:rsidR="00297048">
        <w:rPr>
          <w:rFonts w:ascii="Times New Roman" w:hAnsi="Times New Roman" w:cs="Times New Roman"/>
        </w:rPr>
        <w:t xml:space="preserve">associated with increased HIV risk, reduced service uptake, and poorer treatment outcomes among LGBTQ populations </w:t>
      </w:r>
      <w:r w:rsidR="00CD1B52">
        <w:rPr>
          <w:rFonts w:ascii="Times New Roman" w:hAnsi="Times New Roman" w:cs="Times New Roman"/>
        </w:rPr>
        <w:t>[30,10]</w:t>
      </w:r>
      <w:r w:rsidR="00297048">
        <w:rPr>
          <w:rFonts w:ascii="Times New Roman" w:hAnsi="Times New Roman" w:cs="Times New Roman"/>
        </w:rPr>
        <w:t xml:space="preserve">. By enhancing participants ability to prevent and respond to violence, the intervention may indirectly contribute to improved HIV-related outcomes, including sustained engagement in care. This highlights the importance of integrating violence prevention and response strategies within HIV programming, particularly in settings characterized by high levels of structural and interpersonal violence. </w:t>
      </w:r>
    </w:p>
    <w:p w14:paraId="535F3472" w14:textId="221F90A1" w:rsidR="00297048" w:rsidRDefault="00297048"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an implementation standpoint, the success of these outcomes can be attributed to the community-embedded and iterative nature of the intervention. Peer facilitators, as trusted insiders, were well positioned to foster open dialogue, model safety behaviors, and facilitate the information of support networks. Moreover, the repeated and reinforcing nature of intervention activities likely contributed to sustained engagement and gradual norm change, both of which are essential for building resilience in marginalized communities </w:t>
      </w:r>
      <w:r w:rsidR="00CD1B52">
        <w:rPr>
          <w:rFonts w:ascii="Times New Roman" w:hAnsi="Times New Roman" w:cs="Times New Roman"/>
        </w:rPr>
        <w:t>[9].</w:t>
      </w:r>
    </w:p>
    <w:p w14:paraId="1FA871BB" w14:textId="77777777" w:rsidR="00504033" w:rsidRDefault="00297048"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However, it is important to recognize that informal support systems, while effective may have limitations, particularly in terms of scalability, sustainability, and capacity address severe or complex cases. Without parallel strengthening of formal systems, including healthcare and legal institutions, these networks may be overburdened or unable to provide comprehensive support. </w:t>
      </w:r>
      <w:r w:rsidR="0031688C">
        <w:rPr>
          <w:rFonts w:ascii="Times New Roman" w:hAnsi="Times New Roman" w:cs="Times New Roman"/>
        </w:rPr>
        <w:t>This highlights the need for continued investment in multi-level interventions that bridge community-based resilience with institutional accountability.</w:t>
      </w:r>
    </w:p>
    <w:p w14:paraId="5C488F16" w14:textId="77777777" w:rsidR="006D10AE" w:rsidRDefault="006D10AE" w:rsidP="00504033">
      <w:pPr>
        <w:spacing w:before="240" w:after="240" w:line="240" w:lineRule="auto"/>
        <w:ind w:left="1440" w:right="1440"/>
        <w:jc w:val="both"/>
        <w:rPr>
          <w:rFonts w:ascii="Times New Roman" w:hAnsi="Times New Roman" w:cs="Times New Roman"/>
          <w:b/>
          <w:bCs/>
        </w:rPr>
      </w:pPr>
    </w:p>
    <w:p w14:paraId="0F71F9C4" w14:textId="77777777" w:rsidR="006D10AE" w:rsidRDefault="006D10AE" w:rsidP="00504033">
      <w:pPr>
        <w:spacing w:before="240" w:after="240" w:line="240" w:lineRule="auto"/>
        <w:ind w:left="1440" w:right="1440"/>
        <w:jc w:val="both"/>
        <w:rPr>
          <w:rFonts w:ascii="Times New Roman" w:hAnsi="Times New Roman" w:cs="Times New Roman"/>
          <w:b/>
          <w:bCs/>
        </w:rPr>
      </w:pPr>
    </w:p>
    <w:p w14:paraId="24ABB4F1" w14:textId="66A628A4" w:rsidR="00504033" w:rsidRPr="002272D0" w:rsidRDefault="00504033" w:rsidP="00504033">
      <w:pPr>
        <w:spacing w:before="240" w:after="240" w:line="240" w:lineRule="auto"/>
        <w:ind w:left="1440" w:right="1440"/>
        <w:jc w:val="both"/>
        <w:rPr>
          <w:rFonts w:ascii="Times New Roman" w:hAnsi="Times New Roman" w:cs="Times New Roman"/>
          <w:b/>
          <w:bCs/>
        </w:rPr>
      </w:pPr>
      <w:r w:rsidRPr="002272D0">
        <w:rPr>
          <w:rFonts w:ascii="Times New Roman" w:hAnsi="Times New Roman" w:cs="Times New Roman"/>
          <w:b/>
          <w:bCs/>
        </w:rPr>
        <w:t>Access to Justice and GBV Response Outcomes</w:t>
      </w:r>
    </w:p>
    <w:p w14:paraId="7749CC2E" w14:textId="5BBDAA4D" w:rsidR="00297048" w:rsidRDefault="00576752" w:rsidP="005632C4">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increased utilization of community-led GBV reporting and response pathways highlights a functional reconfiguration of access to justice in a criminalized setting. Rather than relying on formal law enforcement systems, which are often perceived as unsafe, participants engaged with alternative, community-based mechanisms that prioritize confidentiality, trust, and accessibility. </w:t>
      </w:r>
      <w:r w:rsidR="005632C4">
        <w:rPr>
          <w:rFonts w:ascii="Times New Roman" w:hAnsi="Times New Roman" w:cs="Times New Roman"/>
        </w:rPr>
        <w:t>This finding</w:t>
      </w:r>
      <w:r w:rsidR="00B635F5">
        <w:rPr>
          <w:rFonts w:ascii="Times New Roman" w:hAnsi="Times New Roman" w:cs="Times New Roman"/>
        </w:rPr>
        <w:t xml:space="preserve"> is consistent with research demonstrating that survivors of violence often avoid formal reporting systems due to fear of stigma, discrimination, or legal repercussions [6,14].</w:t>
      </w:r>
      <w:r w:rsidR="005632C4">
        <w:rPr>
          <w:rFonts w:ascii="Times New Roman" w:hAnsi="Times New Roman" w:cs="Times New Roman"/>
        </w:rPr>
        <w:t xml:space="preserve"> </w:t>
      </w:r>
    </w:p>
    <w:p w14:paraId="1668019A" w14:textId="574AECBE" w:rsidR="00504033" w:rsidRDefault="00504033"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provision of integrated support services combing legal, psychosocial, and healthcare referrals is a critical outcome, aligning with global best practices that emphasize holistic survivor-centered responses to GBV. evidence indicates that fragmented service delivery models often fail to meet the complex an intersecting need of survivors, particularly among marginalized populations </w:t>
      </w:r>
      <w:r w:rsidR="00CD1B52">
        <w:rPr>
          <w:rFonts w:ascii="Times New Roman" w:hAnsi="Times New Roman" w:cs="Times New Roman"/>
        </w:rPr>
        <w:t>[10]</w:t>
      </w:r>
      <w:r>
        <w:rPr>
          <w:rFonts w:ascii="Times New Roman" w:hAnsi="Times New Roman" w:cs="Times New Roman"/>
        </w:rPr>
        <w:t xml:space="preserve">. In contrast, </w:t>
      </w:r>
      <w:r>
        <w:rPr>
          <w:rFonts w:ascii="Times New Roman" w:hAnsi="Times New Roman" w:cs="Times New Roman"/>
        </w:rPr>
        <w:lastRenderedPageBreak/>
        <w:t>integrated approaches improve continuity of care, reduce attrition across service pathways, and enhance recovery outcomes. The ability of the intervention to deliver such coordinated support suggests the successful establishment of multi-sectoral referral systems, linking community-based actors with service providers despite structural constraints.</w:t>
      </w:r>
    </w:p>
    <w:p w14:paraId="1C7D70A3" w14:textId="27D4F483" w:rsidR="00504033" w:rsidRDefault="00504033"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A central and particularly significant finding is the increased reporting of GB</w:t>
      </w:r>
      <w:r w:rsidR="00026F04">
        <w:rPr>
          <w:rFonts w:ascii="Times New Roman" w:hAnsi="Times New Roman" w:cs="Times New Roman"/>
        </w:rPr>
        <w:t>V</w:t>
      </w:r>
      <w:r>
        <w:rPr>
          <w:rFonts w:ascii="Times New Roman" w:hAnsi="Times New Roman" w:cs="Times New Roman"/>
        </w:rPr>
        <w:t xml:space="preserve"> through community-led channels, rather than formal law</w:t>
      </w:r>
      <w:r w:rsidR="00065654">
        <w:rPr>
          <w:rFonts w:ascii="Times New Roman" w:hAnsi="Times New Roman" w:cs="Times New Roman"/>
        </w:rPr>
        <w:t xml:space="preserve"> enforcement. This pattern reflects a strategic adaptation to structurally unsafe environments, where engagement with state institutions may expose survivors to further harm, including arrest, harassment, or secondary victimization. In such contexts, formal justice systems are often perceived not as protective, but as extensions of structural stigma, a phenomenon widely documented in settings where same-sex relations are criminalized </w:t>
      </w:r>
      <w:r w:rsidR="00CD1B52">
        <w:rPr>
          <w:rFonts w:ascii="Times New Roman" w:hAnsi="Times New Roman" w:cs="Times New Roman"/>
        </w:rPr>
        <w:t>[24,23]</w:t>
      </w:r>
      <w:r w:rsidR="00065654">
        <w:rPr>
          <w:rFonts w:ascii="Times New Roman" w:hAnsi="Times New Roman" w:cs="Times New Roman"/>
        </w:rPr>
        <w:t xml:space="preserve">. The preference for community-based pathways therefore represents a rational and protective response to systemic exclusion. </w:t>
      </w:r>
    </w:p>
    <w:p w14:paraId="1359E45F" w14:textId="55EE5B61" w:rsidR="00065654" w:rsidRDefault="00065654"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this shift should not be interpreted as a rejection of justice per se, but rather as a redefinition of justice in context. Survivor’s prioritization of confidentiality, safety, and immediacy of response indicates the limitations of formal systems in meeting these needs. Community-led mechanisms, by contrast, appear to offer greater accessibility, cultural competence, and trust, enabling survivors to seek support without fear of criminalization or exposure. This aligns with emerging evidence that alternative justice models, including community-based and restorative approaches can be more effective in addressing violence within marginalized populations when formal systems are inaccessible or harmful </w:t>
      </w:r>
      <w:r w:rsidR="00CD1B52">
        <w:rPr>
          <w:rFonts w:ascii="Times New Roman" w:hAnsi="Times New Roman" w:cs="Times New Roman"/>
        </w:rPr>
        <w:t>[20].</w:t>
      </w:r>
    </w:p>
    <w:p w14:paraId="01986B54" w14:textId="3C291528" w:rsidR="00BD6FF0" w:rsidRDefault="00BD6FF0"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findings also reveal an important link between earlier intervention </w:t>
      </w:r>
      <w:r w:rsidR="004F5BFC">
        <w:rPr>
          <w:rFonts w:ascii="Times New Roman" w:hAnsi="Times New Roman" w:cs="Times New Roman"/>
        </w:rPr>
        <w:t>components and GBV response outcomes. Improvements in legal awareness and knowledge of GBV response pathways likely contributed to increased reporting and service uptake, suggesting a causal pathway from knowledge acquisition to help-seeking behavior. At the same time, the development of peer support networks and safety planning capacities provided the social infrastructure necessary to facilitate reporting and referral. Together, these elements created an enabling environment in which survivors could recognize violence, identify safe options, and act on the individual, community, and structural interventions.</w:t>
      </w:r>
    </w:p>
    <w:p w14:paraId="79082035" w14:textId="0A1941C1" w:rsidR="004F5BFC" w:rsidRDefault="004F5BFC"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reliance on community-led systems also highlights the role of social capital and collective efficacy in mediating access to justice. In the absence of trusted formal institutions, peer networks functioned as gateways to care, offering not only referrals but also emotional support and accompaniment.  This is consistent with literature demonstrating that community cohesion and trust networks are critical determinants of service utilization and resilience among marginalized groups </w:t>
      </w:r>
      <w:r w:rsidR="00CD1B52">
        <w:rPr>
          <w:rFonts w:ascii="Times New Roman" w:hAnsi="Times New Roman" w:cs="Times New Roman"/>
        </w:rPr>
        <w:t>[7]</w:t>
      </w:r>
      <w:r>
        <w:rPr>
          <w:rFonts w:ascii="Times New Roman" w:hAnsi="Times New Roman" w:cs="Times New Roman"/>
        </w:rPr>
        <w:t xml:space="preserve">. In this study, these networks appear to have reduced barriers related to fear, stigma, and isolation, thereby increasing the likelihood of timely intervention survivors. </w:t>
      </w:r>
    </w:p>
    <w:p w14:paraId="13B389BB" w14:textId="1D47736E" w:rsidR="004F5BFC" w:rsidRDefault="004F5BFC"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However, the findings simultaneously expose persistent structural gaps, particularly </w:t>
      </w:r>
      <w:r w:rsidR="009435CE">
        <w:rPr>
          <w:rFonts w:ascii="Times New Roman" w:hAnsi="Times New Roman" w:cs="Times New Roman"/>
        </w:rPr>
        <w:t xml:space="preserve">the limited role of formal law enforcement in GBV response for LGBTQ individuals. While community-based systems provided effective interim solutions, their reliance underscores the failure of state institutions towards equitable protection and justice. This has important implications for sustainability and scalability, as community mechanisms may lack the authority, resources, or legal mandate to address more severe cases or ensure accountability for </w:t>
      </w:r>
      <w:r w:rsidR="009435CE">
        <w:rPr>
          <w:rFonts w:ascii="Times New Roman" w:hAnsi="Times New Roman" w:cs="Times New Roman"/>
        </w:rPr>
        <w:lastRenderedPageBreak/>
        <w:t xml:space="preserve">perpetrators. As such, these results reinforce global calls for structural reforms, including decriminalization, legal protections for sexual and gender minorities, and the integration of non-discriminatory practices within justice systems </w:t>
      </w:r>
      <w:r w:rsidR="00CD1B52">
        <w:rPr>
          <w:rFonts w:ascii="Times New Roman" w:hAnsi="Times New Roman" w:cs="Times New Roman"/>
        </w:rPr>
        <w:t>[5].</w:t>
      </w:r>
    </w:p>
    <w:p w14:paraId="0A731605" w14:textId="696A9E82" w:rsidR="004C031C" w:rsidRDefault="004C031C" w:rsidP="004C031C">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 programmatic perspective, the findings support the effectiveness of hybrid models of justice and care, which combine community-led approaches with strategic engagement of formals systems. While community pathways can provide immediate and contextually appropriate support, long-term impact requires institutional transformation to ensure that survivors can safely access formal justice mechanisms when needed. This shows the importance of maintaining a multi-level design of the intervention, where community empowerment is complemented by ongoing advocacy and stakeholder engagements. </w:t>
      </w:r>
    </w:p>
    <w:p w14:paraId="231566D4" w14:textId="4A91799E" w:rsidR="004C031C" w:rsidRPr="0045709F" w:rsidRDefault="0045709F" w:rsidP="004C031C">
      <w:pPr>
        <w:spacing w:before="240" w:after="240" w:line="240" w:lineRule="auto"/>
        <w:ind w:left="1440" w:right="1440"/>
        <w:jc w:val="both"/>
        <w:rPr>
          <w:rFonts w:ascii="Times New Roman" w:hAnsi="Times New Roman" w:cs="Times New Roman"/>
          <w:b/>
          <w:bCs/>
        </w:rPr>
      </w:pPr>
      <w:r w:rsidRPr="0045709F">
        <w:rPr>
          <w:rFonts w:ascii="Times New Roman" w:hAnsi="Times New Roman" w:cs="Times New Roman"/>
          <w:b/>
          <w:bCs/>
        </w:rPr>
        <w:t xml:space="preserve">HIV Service Uptake Outcomes and Institutional Linkages </w:t>
      </w:r>
    </w:p>
    <w:p w14:paraId="0548B7FC" w14:textId="6E2E7208" w:rsidR="0045709F" w:rsidRDefault="009D1D2B"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improvements in service uptake presented in Table 4 reflect the successful alignment of increased demand with enhanced institutional responsiveness. </w:t>
      </w:r>
      <w:r w:rsidR="00417B7A">
        <w:rPr>
          <w:rFonts w:ascii="Times New Roman" w:hAnsi="Times New Roman" w:cs="Times New Roman"/>
        </w:rPr>
        <w:t>These gains reflect a synergistic effect, where individual-level knowledge, community-level support, and institutional-level responsiveness interact to facilitate service uptake. This finding reinforces the importance of addressing both demand- and supply-side barriers simultaneously, particularly in settings where stigma and discrimination have historically limited access to care</w:t>
      </w:r>
      <w:r w:rsidR="006D7868">
        <w:rPr>
          <w:rFonts w:ascii="Times New Roman" w:hAnsi="Times New Roman" w:cs="Times New Roman"/>
        </w:rPr>
        <w:t xml:space="preserve"> [10,11]</w:t>
      </w:r>
      <w:r w:rsidR="00417B7A">
        <w:rPr>
          <w:rFonts w:ascii="Times New Roman" w:hAnsi="Times New Roman" w:cs="Times New Roman"/>
        </w:rPr>
        <w:t xml:space="preserve">. </w:t>
      </w:r>
    </w:p>
    <w:p w14:paraId="3C06E149" w14:textId="16A73944" w:rsidR="0045709F" w:rsidRDefault="0045709F"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increase in uptake cannot be attributed to a single intervention component but rather reflects a convergence of effects across individual, community, and institutional domains. This pattern aligns with the social ecological model of HIV risk and service access, which posits that sustained improvements in health outcomes require coordinated changes across multiple levels of influence </w:t>
      </w:r>
      <w:r w:rsidR="00BF25A6">
        <w:rPr>
          <w:rFonts w:ascii="Times New Roman" w:hAnsi="Times New Roman" w:cs="Times New Roman"/>
        </w:rPr>
        <w:t>[4]</w:t>
      </w:r>
      <w:r>
        <w:rPr>
          <w:rFonts w:ascii="Times New Roman" w:hAnsi="Times New Roman" w:cs="Times New Roman"/>
        </w:rPr>
        <w:t xml:space="preserve">. In this study, earlier gains in knowledge and legal awareness appear to have generated increased individual demand for services, while improvements in community-level safety and support systems reduced psychosocial barriers to care-seeking. These shifts were, in turn, reinforced by enhanced institutional responsiveness, enabling demand to translate into actual service uptake. </w:t>
      </w:r>
    </w:p>
    <w:p w14:paraId="7D7989AF" w14:textId="0D03EB78" w:rsidR="00085E83" w:rsidRDefault="0045709F"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w:t>
      </w:r>
      <w:r w:rsidR="00085E83">
        <w:rPr>
          <w:rFonts w:ascii="Times New Roman" w:hAnsi="Times New Roman" w:cs="Times New Roman"/>
        </w:rPr>
        <w:t xml:space="preserve">role of peer-led interventions in generating demand is well-established in the literature, particularly among key populations facing stigma and exclusion. By improving knowledge of HIV prevention and treatment, as well as awareness of available services, peer education increases both perceived need and self-efficacy for accessing care </w:t>
      </w:r>
      <w:r w:rsidR="00BF25A6">
        <w:rPr>
          <w:rFonts w:ascii="Times New Roman" w:hAnsi="Times New Roman" w:cs="Times New Roman"/>
        </w:rPr>
        <w:t>[25]</w:t>
      </w:r>
      <w:r w:rsidR="00085E83">
        <w:rPr>
          <w:rFonts w:ascii="Times New Roman" w:hAnsi="Times New Roman" w:cs="Times New Roman"/>
        </w:rPr>
        <w:t>. However, demand alone is insufficient in contexts where services are inaccessible or discriminatory. The findings of this study demonstrate that demand-side interventions must be matched by supply-side readiness, a condition that was achieved through targeted engagement with healthcare providers and institutions.</w:t>
      </w:r>
    </w:p>
    <w:p w14:paraId="329A3D21" w14:textId="69BCF24D" w:rsidR="00085E83" w:rsidRDefault="00085E83"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institutional-level changes including reduced discrimination, increased provider willingness to deliver care, and strengthened referral pathways represents a critical enabling factor for service uptake. Stigma within healthcare settings has been consistently identified as a major barrier to HIV testing, treatment initiation, and retention in care among LGBTQ populations </w:t>
      </w:r>
      <w:r w:rsidR="00BF25A6">
        <w:rPr>
          <w:rFonts w:ascii="Times New Roman" w:hAnsi="Times New Roman" w:cs="Times New Roman"/>
        </w:rPr>
        <w:t>[27]</w:t>
      </w:r>
      <w:r>
        <w:rPr>
          <w:rFonts w:ascii="Times New Roman" w:hAnsi="Times New Roman" w:cs="Times New Roman"/>
        </w:rPr>
        <w:t>. The qualitative evidence from providers in this study illustrates a shift in attitudes and practices, moving from fear and bias towards greater recognition of professional responsibility and human rights:</w:t>
      </w:r>
    </w:p>
    <w:p w14:paraId="52709DBF" w14:textId="76549F63" w:rsidR="00085E83" w:rsidRPr="00417B7A" w:rsidRDefault="006158B0" w:rsidP="00085E83">
      <w:pPr>
        <w:spacing w:before="240" w:after="240" w:line="240" w:lineRule="auto"/>
        <w:ind w:left="1440" w:right="1440"/>
        <w:jc w:val="both"/>
        <w:rPr>
          <w:rFonts w:ascii="Times New Roman" w:hAnsi="Times New Roman" w:cs="Times New Roman"/>
          <w:i/>
          <w:iCs/>
        </w:rPr>
      </w:pPr>
      <w:r w:rsidRPr="00417B7A">
        <w:rPr>
          <w:rFonts w:ascii="Times New Roman" w:hAnsi="Times New Roman" w:cs="Times New Roman"/>
          <w:i/>
          <w:iCs/>
        </w:rPr>
        <w:lastRenderedPageBreak/>
        <w:t>“…before, we were rather afraid to attend to them. Now we understand confidentiality and rights…”</w:t>
      </w:r>
    </w:p>
    <w:p w14:paraId="148F08FF" w14:textId="50DBBAA3" w:rsidR="006158B0" w:rsidRPr="00417B7A" w:rsidRDefault="006158B0" w:rsidP="00085E83">
      <w:pPr>
        <w:spacing w:before="240" w:after="240" w:line="240" w:lineRule="auto"/>
        <w:ind w:left="1440" w:right="1440"/>
        <w:jc w:val="both"/>
        <w:rPr>
          <w:rFonts w:ascii="Times New Roman" w:hAnsi="Times New Roman" w:cs="Times New Roman"/>
          <w:i/>
          <w:iCs/>
        </w:rPr>
      </w:pPr>
      <w:r w:rsidRPr="00417B7A">
        <w:rPr>
          <w:rFonts w:ascii="Times New Roman" w:hAnsi="Times New Roman" w:cs="Times New Roman"/>
          <w:i/>
          <w:iCs/>
        </w:rPr>
        <w:t>“…before, we let our cultural belief get the better part of our judgement. Now we understand every human has rights to dignity and health…”</w:t>
      </w:r>
    </w:p>
    <w:p w14:paraId="7DC0BFD0" w14:textId="4D36D457" w:rsidR="006158B0"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These narratives reflect processes of normative and cognitive transformation, likely facilitated by sustained stakeholder engagement and accountability dialogues. Such changes are critical for improving the quality and inclusivity of care, which in turn influences both initial uptake and long-term retention in HIV services </w:t>
      </w:r>
      <w:r w:rsidR="00BF25A6">
        <w:rPr>
          <w:rFonts w:ascii="Times New Roman" w:hAnsi="Times New Roman" w:cs="Times New Roman"/>
        </w:rPr>
        <w:t>[22]</w:t>
      </w:r>
      <w:r>
        <w:rPr>
          <w:rFonts w:ascii="Times New Roman" w:hAnsi="Times New Roman" w:cs="Times New Roman"/>
        </w:rPr>
        <w:t>. The emphasis on confidentiality and non-</w:t>
      </w:r>
      <w:r w:rsidR="00B13AB9">
        <w:rPr>
          <w:rFonts w:ascii="Times New Roman" w:hAnsi="Times New Roman" w:cs="Times New Roman"/>
        </w:rPr>
        <w:t>discrimination</w:t>
      </w:r>
      <w:r>
        <w:rPr>
          <w:rFonts w:ascii="Times New Roman" w:hAnsi="Times New Roman" w:cs="Times New Roman"/>
        </w:rPr>
        <w:t xml:space="preserve"> is particularly important in criminalized settings, where breaches of trust can have severe legal and social consequences for clients.</w:t>
      </w:r>
    </w:p>
    <w:p w14:paraId="1C9EBDC5" w14:textId="5EFA95EE" w:rsidR="009E3BC2"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strengthening of referral pathways between community networks and LGBTQ friendly facilities further illustrates the importance of linkages mechanisms in bridging community and institutional systems. Effective referral systems reduce fragmentation, streamline access to care, and ensure continuity across the HIV care cascade from testing to treatment and viral suppression </w:t>
      </w:r>
      <w:r w:rsidR="00BF25A6">
        <w:rPr>
          <w:rFonts w:ascii="Times New Roman" w:hAnsi="Times New Roman" w:cs="Times New Roman"/>
        </w:rPr>
        <w:t>[15]</w:t>
      </w:r>
      <w:r>
        <w:rPr>
          <w:rFonts w:ascii="Times New Roman" w:hAnsi="Times New Roman" w:cs="Times New Roman"/>
        </w:rPr>
        <w:t xml:space="preserve">. In this study, the expansion of referrals across all sites suggests the establishment of functional service delivery networks, capable of supporting increased demand generated at the community level. </w:t>
      </w:r>
    </w:p>
    <w:p w14:paraId="7E70DBC7" w14:textId="6166B8F6" w:rsidR="009E3BC2"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increase in viral load testing (n = 215) is particularly noteworthy, as it indicates not only entry into care but also engagement with ongoing treatment monitoring, a key component of achieving viral suppression and reducing onward transmission. This aligns with global HIV targets, including the UNAIDS 95-95-95 framework, which emphasizes the importance of sustained engagement across the treatment continuum </w:t>
      </w:r>
      <w:r w:rsidR="00BF25A6">
        <w:rPr>
          <w:rFonts w:ascii="Times New Roman" w:hAnsi="Times New Roman" w:cs="Times New Roman"/>
        </w:rPr>
        <w:t>[36]</w:t>
      </w:r>
      <w:r w:rsidR="00B13AB9">
        <w:rPr>
          <w:rFonts w:ascii="Times New Roman" w:hAnsi="Times New Roman" w:cs="Times New Roman"/>
        </w:rPr>
        <w:t xml:space="preserve">. The ability of the intervention to facilitate both ART initiation and follow-up monitoring suggests progress toward improved retention and quality of care, rather than merely one-time service utilization. </w:t>
      </w:r>
    </w:p>
    <w:p w14:paraId="1EB08E71" w14:textId="42F5DE29" w:rsidR="00B13AB9" w:rsidRDefault="00B13AB9"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From an integrated perspective, these findings provide strong evidence of multi-level synergy, where changes at one level reinforce and amplify outcomes at others. Specifically:</w:t>
      </w:r>
    </w:p>
    <w:p w14:paraId="7DA6071A" w14:textId="0AC593A6"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 xml:space="preserve">Individual-level gains (knowledge, self-efficacy) increased readiness to seek care </w:t>
      </w:r>
    </w:p>
    <w:p w14:paraId="0E94D670" w14:textId="4D4183F0"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Community-level changes (reduced stigma, peer support) lowered social and psychological barriers</w:t>
      </w:r>
    </w:p>
    <w:p w14:paraId="7EC87CC5" w14:textId="63E51625"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Institutional-level improvements (provider attitudes, referral systems) enabled safe and equitable access to services</w:t>
      </w:r>
    </w:p>
    <w:p w14:paraId="61DED095" w14:textId="18F5AF03" w:rsidR="00B13AB9" w:rsidRDefault="00B13AB9" w:rsidP="00B13AB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interdependence is central to the effectiveness of the intervention and reflects a system-level transformation, rather than isolated improvements. Such integrated approaches are increasingly recognized as essential for addressing the complex and intersecting determinants of HIV vulnerability among key populations </w:t>
      </w:r>
      <w:r w:rsidR="00BF25A6">
        <w:rPr>
          <w:rFonts w:ascii="Times New Roman" w:hAnsi="Times New Roman" w:cs="Times New Roman"/>
        </w:rPr>
        <w:t>[5]</w:t>
      </w:r>
      <w:r>
        <w:rPr>
          <w:rFonts w:ascii="Times New Roman" w:hAnsi="Times New Roman" w:cs="Times New Roman"/>
        </w:rPr>
        <w:t xml:space="preserve">. A key strength of these findings lies in its demonstration of causal plausibility within a real-world, non-experimental setting. While the absence of a control group limits definitive attribution, the coherence between </w:t>
      </w:r>
      <w:r w:rsidR="006C0D97">
        <w:rPr>
          <w:rFonts w:ascii="Times New Roman" w:hAnsi="Times New Roman" w:cs="Times New Roman"/>
        </w:rPr>
        <w:t xml:space="preserve">intervention components, intermediate outcomes (knowledge, safety institutional change), and final outcomes (service uptake) provides a compelling narrative of impact, supported by both quantitative and qualitative evidence. This alignment across data sources enhances the credibility and transferability of the findings. </w:t>
      </w:r>
    </w:p>
    <w:p w14:paraId="08CAE458" w14:textId="07547C2F" w:rsidR="00490560" w:rsidRPr="00A678A1" w:rsidRDefault="006C0D97" w:rsidP="00A678A1">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Nevertheless, it is important to acknowledge that increased uptake does not automatically equate to sustained retention or viral suppression, which require ongoing support and system-level stability. Future research should therefore examine longitudinal outcomes, including adherence and long-term health impacts. Additionally, while improvements were observed in selected facilities, broader health system transformation remains necessary to ensure equitable </w:t>
      </w:r>
      <w:r w:rsidR="00BF25A6">
        <w:rPr>
          <w:rFonts w:ascii="Times New Roman" w:hAnsi="Times New Roman" w:cs="Times New Roman"/>
        </w:rPr>
        <w:t>access</w:t>
      </w:r>
      <w:r>
        <w:rPr>
          <w:rFonts w:ascii="Times New Roman" w:hAnsi="Times New Roman" w:cs="Times New Roman"/>
        </w:rPr>
        <w:t xml:space="preserve"> at scale. </w:t>
      </w:r>
    </w:p>
    <w:p w14:paraId="40604FBA" w14:textId="54C79C7A" w:rsidR="0047664A" w:rsidRPr="00ED6997" w:rsidRDefault="0047664A"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Study Limitations</w:t>
      </w:r>
    </w:p>
    <w:p w14:paraId="38EF6B61" w14:textId="10BC27A9" w:rsidR="008550DD" w:rsidRPr="0049473D" w:rsidRDefault="003A24C3" w:rsidP="008B04D7">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 xml:space="preserve">This study should be interpreted in light of several limitations, which reflect the ethical operational, and contextual realities of conducting research among criminalized and hard-to-reach populations. In such settings, methodological trade-offs are often necessary to ensure participant safety, confidentiality, and feasibility. </w:t>
      </w:r>
    </w:p>
    <w:p w14:paraId="56DCBB52" w14:textId="77777777" w:rsidR="0049473D" w:rsidRPr="0049473D" w:rsidRDefault="003A24C3" w:rsidP="0049473D">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 xml:space="preserve">First, the study employed purposive and snowball sampling strategies, which, while </w:t>
      </w:r>
      <w:r w:rsidR="0049473D" w:rsidRPr="0049473D">
        <w:rPr>
          <w:rFonts w:ascii="Times New Roman" w:hAnsi="Times New Roman" w:cs="Times New Roman"/>
          <w:highlight w:val="yellow"/>
        </w:rPr>
        <w:t>appropriate</w:t>
      </w:r>
      <w:r w:rsidRPr="0049473D">
        <w:rPr>
          <w:rFonts w:ascii="Times New Roman" w:hAnsi="Times New Roman" w:cs="Times New Roman"/>
          <w:highlight w:val="yellow"/>
        </w:rPr>
        <w:t xml:space="preserve"> for engaging hidden and marginalized populations, may introduce selection bias by overrepresenting individuals already connected to community </w:t>
      </w:r>
      <w:r w:rsidR="0049473D" w:rsidRPr="0049473D">
        <w:rPr>
          <w:rFonts w:ascii="Times New Roman" w:hAnsi="Times New Roman" w:cs="Times New Roman"/>
          <w:highlight w:val="yellow"/>
        </w:rPr>
        <w:t xml:space="preserve">networks or services. as a result, the findings may not fully capture the experiences of more isolated or less visible LGBTQ individuals within the study setting. </w:t>
      </w:r>
    </w:p>
    <w:p w14:paraId="31780DDF" w14:textId="77777777" w:rsidR="0049473D" w:rsidRPr="0049473D" w:rsidRDefault="0049473D" w:rsidP="0049473D">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Second, the reliance on self-reported data for sensitive topics such as stigma, gender-based violence (GBV), and healthcare utilization introduces the potential for recall and social desirability bias. Although measures were implemented to mitigate these risks, including the use of trained peer researchers, anonymized data collection, and the creation of safe and confidential environments; some degree of reporting bias cannot be excluded.</w:t>
      </w:r>
    </w:p>
    <w:p w14:paraId="65440365" w14:textId="77777777" w:rsidR="0049473D" w:rsidRPr="0049473D" w:rsidRDefault="0049473D" w:rsidP="0049473D">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Third, the absence of a control or comparison group, combined with the use of descriptive pre–post analysis without inferential statistical testing, limits the ability to establish causal relationships between the intervention and observed outcomes. However, as an implementation research study conducted in a highly constrained environment, the primary objective was to assess feasibility, acceptability, and real-world applicability rather than to determine causal effects under controlled conditions. The use of mixed-methods triangulation provides additional contextual depth and supports the plausibility of observed associations.</w:t>
      </w:r>
    </w:p>
    <w:p w14:paraId="0634FB93" w14:textId="77777777" w:rsidR="0049473D" w:rsidRPr="0049473D" w:rsidRDefault="0049473D" w:rsidP="0049473D">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Fourth, the study did not assess long-term outcomes along the HIV care continuum, such as retention in care, treatment adherence, or sustained viral suppression. Consequently, while improvements in service uptake were observed, the durability and long-term impact of these outcomes remain uncertain.</w:t>
      </w:r>
    </w:p>
    <w:p w14:paraId="186671E7" w14:textId="77777777" w:rsidR="0049473D" w:rsidRPr="0049473D" w:rsidRDefault="0049473D" w:rsidP="0049473D">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Fifth, the study did not control for potential confounding factors, including exposure to concurrent interventions, community-level influences, or external information sources such as media campaigns, which may have contributed to observed changes. Therefore, findings should be interpreted as indicative of trends and associations rather than definitive intervention effects.</w:t>
      </w:r>
    </w:p>
    <w:p w14:paraId="22EA15EE" w14:textId="77777777" w:rsidR="0049473D" w:rsidRPr="0049473D" w:rsidRDefault="0049473D" w:rsidP="0049473D">
      <w:pPr>
        <w:spacing w:before="240" w:after="240" w:line="240" w:lineRule="auto"/>
        <w:ind w:left="1440" w:right="1440"/>
        <w:jc w:val="both"/>
        <w:rPr>
          <w:rFonts w:ascii="Times New Roman" w:hAnsi="Times New Roman" w:cs="Times New Roman"/>
          <w:highlight w:val="yellow"/>
        </w:rPr>
      </w:pPr>
      <w:r w:rsidRPr="0049473D">
        <w:rPr>
          <w:rFonts w:ascii="Times New Roman" w:hAnsi="Times New Roman" w:cs="Times New Roman"/>
          <w:highlight w:val="yellow"/>
        </w:rPr>
        <w:t>Finally, the intervention relied substantially on community-based structures and peer-led systems, which, while effective in enhancing trust, reach, and acceptability, may face challenges related to sustainability, scalability, and resource dependency in the absence of sustained institutional support and enabling policy environments.</w:t>
      </w:r>
    </w:p>
    <w:p w14:paraId="60051901" w14:textId="29D8E6DF" w:rsidR="0049473D" w:rsidRDefault="0049473D" w:rsidP="0032622A">
      <w:pPr>
        <w:spacing w:before="240" w:after="240" w:line="240" w:lineRule="auto"/>
        <w:ind w:left="1440" w:right="1440"/>
        <w:jc w:val="both"/>
        <w:rPr>
          <w:rFonts w:ascii="Times New Roman" w:hAnsi="Times New Roman" w:cs="Times New Roman"/>
        </w:rPr>
      </w:pPr>
      <w:r w:rsidRPr="0049473D">
        <w:rPr>
          <w:rFonts w:ascii="Times New Roman" w:hAnsi="Times New Roman" w:cs="Times New Roman"/>
          <w:highlight w:val="yellow"/>
        </w:rPr>
        <w:lastRenderedPageBreak/>
        <w:t>Despite these limitations, the study is strengthened by its mixed-methods design, large sample size, real-world implementation context, and the use of data triangulation to enhance credibility. The findings provide valuable implementation-level insights into the feasibility and potential effectiveness of community-led, rights-based interventions in addressing HIV-related and structural vulnerabilities among LGBTQ populations in criminalized and resource-limited settings.</w:t>
      </w:r>
    </w:p>
    <w:p w14:paraId="289506CE" w14:textId="05BA8821" w:rsidR="001F5406" w:rsidRPr="00ED6997" w:rsidRDefault="001F5406"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 xml:space="preserve">Implications for Policy, Practice, and Future Research </w:t>
      </w:r>
    </w:p>
    <w:p w14:paraId="37EC7A48" w14:textId="7EF1DC46" w:rsidR="001F5406" w:rsidRDefault="001F5406"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 xml:space="preserve">Policy and </w:t>
      </w:r>
      <w:r w:rsidR="00ED6997" w:rsidRPr="00ED6997">
        <w:rPr>
          <w:rFonts w:ascii="Times New Roman" w:hAnsi="Times New Roman" w:cs="Times New Roman"/>
          <w:b/>
          <w:bCs/>
        </w:rPr>
        <w:t>Programmatic</w:t>
      </w:r>
      <w:r w:rsidRPr="00ED6997">
        <w:rPr>
          <w:rFonts w:ascii="Times New Roman" w:hAnsi="Times New Roman" w:cs="Times New Roman"/>
          <w:b/>
          <w:bCs/>
        </w:rPr>
        <w:t xml:space="preserve"> </w:t>
      </w:r>
      <w:r w:rsidR="00ED6997" w:rsidRPr="00ED6997">
        <w:rPr>
          <w:rFonts w:ascii="Times New Roman" w:hAnsi="Times New Roman" w:cs="Times New Roman"/>
          <w:b/>
          <w:bCs/>
        </w:rPr>
        <w:t>Implications</w:t>
      </w:r>
    </w:p>
    <w:p w14:paraId="4DAA27BD" w14:textId="3E0C38B6"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The findings highlight the necessity of integrating Human Rights-Based Approaches (HRBA) into HIV programming for LGBTQ populations, particularly in criminalized contexts. Policies that criminalize same-sex relationships continue to undermine public health efforts by reinforcing stigma, limiting access to services, and eroding trust in institutions. There is an urgent need for:</w:t>
      </w:r>
    </w:p>
    <w:p w14:paraId="72F85C0B" w14:textId="1B8A848A" w:rsidR="00ED6997" w:rsidRPr="00ED6997" w:rsidRDefault="00ED6997" w:rsidP="00ED6997">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Legal and policy reforms to decriminalize same-sex relationships and protect the rights of sexual and gender minorities </w:t>
      </w:r>
    </w:p>
    <w:p w14:paraId="4A5BADC8" w14:textId="6278B3F1" w:rsidR="00ED6997" w:rsidRPr="00ED6997" w:rsidRDefault="00ED6997" w:rsidP="00ED6997">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Institutional accountability mechanisms to address discrimination within healthcare and justice systems</w:t>
      </w:r>
    </w:p>
    <w:p w14:paraId="003B17E2" w14:textId="580F8999" w:rsidR="00D72EF6" w:rsidRPr="001B3616" w:rsidRDefault="00ED6997" w:rsidP="001B3616">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Sustained investment in community-led interventions, which have demonstrated effectiveness in reaching and supporting marginalized populations</w:t>
      </w:r>
    </w:p>
    <w:p w14:paraId="14AE8FC2" w14:textId="502D985D" w:rsidR="00ED6997" w:rsidRPr="00ED6997" w:rsidRDefault="00ED6997"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Practice Implications</w:t>
      </w:r>
    </w:p>
    <w:p w14:paraId="12802531" w14:textId="28BA9692"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study provides strong evidence for the effectiveness of multi-level, community-driven interventions that simultaneously address: </w:t>
      </w:r>
    </w:p>
    <w:p w14:paraId="3F6D1209" w14:textId="523894CC"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Individual-level determinants (knowledge, self-efficacy)</w:t>
      </w:r>
    </w:p>
    <w:p w14:paraId="2F8B80C8" w14:textId="70DDD299"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Community-level dynamics (stigma, social support)</w:t>
      </w:r>
    </w:p>
    <w:p w14:paraId="67049D6C" w14:textId="0ACB46BD" w:rsidR="00EE2472" w:rsidRPr="00EE2472" w:rsidRDefault="00ED6997" w:rsidP="00EE2472">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Institutional barriers (provider attitudes, service accessibility)</w:t>
      </w:r>
    </w:p>
    <w:p w14:paraId="3E54ED4C" w14:textId="7497419E"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Programs should prioritize:</w:t>
      </w:r>
    </w:p>
    <w:p w14:paraId="50F06126" w14:textId="72987F92"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Peer-led models as central components of HIV and GBV interventions</w:t>
      </w:r>
    </w:p>
    <w:p w14:paraId="75BD63A6" w14:textId="194835CE"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Integrated service delivery, linking HIV care with GBV response and psychosocial support </w:t>
      </w:r>
    </w:p>
    <w:p w14:paraId="11AB4F4C" w14:textId="70CE54DD" w:rsid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Strengthening referral systems between community networks and inclusive healthcare facilities. </w:t>
      </w:r>
    </w:p>
    <w:p w14:paraId="55985AB9" w14:textId="3BFD0EB5" w:rsidR="00EE2472" w:rsidRDefault="00EE2472" w:rsidP="00ED6997">
      <w:pPr>
        <w:pStyle w:val="ListParagraph"/>
        <w:numPr>
          <w:ilvl w:val="0"/>
          <w:numId w:val="22"/>
        </w:numPr>
        <w:spacing w:before="240" w:after="240" w:line="240" w:lineRule="auto"/>
        <w:ind w:right="1440"/>
        <w:jc w:val="both"/>
        <w:rPr>
          <w:rFonts w:ascii="Times New Roman" w:hAnsi="Times New Roman" w:cs="Times New Roman"/>
        </w:rPr>
      </w:pPr>
      <w:r>
        <w:rPr>
          <w:rFonts w:ascii="Times New Roman" w:hAnsi="Times New Roman" w:cs="Times New Roman"/>
        </w:rPr>
        <w:t xml:space="preserve">Sustainability </w:t>
      </w:r>
      <w:r w:rsidR="008D7559">
        <w:rPr>
          <w:rFonts w:ascii="Times New Roman" w:hAnsi="Times New Roman" w:cs="Times New Roman"/>
        </w:rPr>
        <w:t>which</w:t>
      </w:r>
      <w:r>
        <w:rPr>
          <w:rFonts w:ascii="Times New Roman" w:hAnsi="Times New Roman" w:cs="Times New Roman"/>
        </w:rPr>
        <w:t xml:space="preserve"> </w:t>
      </w:r>
      <w:r w:rsidR="00E51B50">
        <w:rPr>
          <w:rFonts w:ascii="Times New Roman" w:hAnsi="Times New Roman" w:cs="Times New Roman"/>
        </w:rPr>
        <w:t>depends</w:t>
      </w:r>
      <w:r>
        <w:rPr>
          <w:rFonts w:ascii="Times New Roman" w:hAnsi="Times New Roman" w:cs="Times New Roman"/>
        </w:rPr>
        <w:t xml:space="preserve"> on institutional integration, policy support, and continued investment in community systems, highlighting the need for alignment between grassroots interventions and formal health systems.</w:t>
      </w:r>
    </w:p>
    <w:p w14:paraId="5B21CA7F" w14:textId="77777777" w:rsidR="00EE2472" w:rsidRPr="00ED6997" w:rsidRDefault="00EE2472" w:rsidP="00EE2472">
      <w:pPr>
        <w:pStyle w:val="ListParagraph"/>
        <w:spacing w:before="240" w:after="240" w:line="240" w:lineRule="auto"/>
        <w:ind w:left="2160" w:right="1440"/>
        <w:jc w:val="both"/>
        <w:rPr>
          <w:rFonts w:ascii="Times New Roman" w:hAnsi="Times New Roman" w:cs="Times New Roman"/>
        </w:rPr>
      </w:pPr>
    </w:p>
    <w:p w14:paraId="6BA70DD1" w14:textId="56E0F0B1" w:rsidR="001F1016" w:rsidRPr="007A7200" w:rsidRDefault="007A7200" w:rsidP="0047664A">
      <w:pPr>
        <w:spacing w:before="240" w:after="240" w:line="240" w:lineRule="auto"/>
        <w:ind w:left="1440" w:right="1440"/>
        <w:jc w:val="both"/>
        <w:rPr>
          <w:rFonts w:ascii="Times New Roman" w:hAnsi="Times New Roman" w:cs="Times New Roman"/>
          <w:b/>
          <w:bCs/>
        </w:rPr>
      </w:pPr>
      <w:r w:rsidRPr="007A7200">
        <w:rPr>
          <w:rFonts w:ascii="Times New Roman" w:hAnsi="Times New Roman" w:cs="Times New Roman"/>
          <w:b/>
          <w:bCs/>
        </w:rPr>
        <w:t>Future Research</w:t>
      </w:r>
    </w:p>
    <w:p w14:paraId="6A6109AC" w14:textId="3149F089" w:rsidR="007A7200" w:rsidRDefault="007A7200"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Future studies should build on these findings by:</w:t>
      </w:r>
    </w:p>
    <w:p w14:paraId="4041C061" w14:textId="79D6E69C"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 xml:space="preserve">Employing longitudinal designs to assess sustained outcomes, including retention in care and viral suppression </w:t>
      </w:r>
    </w:p>
    <w:p w14:paraId="4895800D" w14:textId="3C6E134A"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Incorporate comparative or quasi-experimental approaches to strengthen causal inference</w:t>
      </w:r>
    </w:p>
    <w:p w14:paraId="64AF3D36" w14:textId="0EB6083B"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lastRenderedPageBreak/>
        <w:t xml:space="preserve">Exploring the scalability and cost-effectiveness of multi-level, rights-based interventions </w:t>
      </w:r>
    </w:p>
    <w:p w14:paraId="6A048649" w14:textId="50A47270" w:rsidR="00EA4A4A" w:rsidRDefault="007A7200" w:rsidP="00A147E6">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Examining the experiences of underrepresented subgroups, including more isolated LGBTQ individuals and those outside established community networks.</w:t>
      </w:r>
    </w:p>
    <w:p w14:paraId="7ECF73E6" w14:textId="5BF63221" w:rsidR="00EE2472" w:rsidRPr="00A147E6" w:rsidRDefault="00EE2472" w:rsidP="00A147E6">
      <w:pPr>
        <w:pStyle w:val="ListParagraph"/>
        <w:numPr>
          <w:ilvl w:val="0"/>
          <w:numId w:val="23"/>
        </w:numPr>
        <w:spacing w:before="240" w:after="240" w:line="240" w:lineRule="auto"/>
        <w:ind w:right="1440"/>
        <w:jc w:val="both"/>
        <w:rPr>
          <w:rFonts w:ascii="Times New Roman" w:hAnsi="Times New Roman" w:cs="Times New Roman"/>
        </w:rPr>
      </w:pPr>
      <w:r>
        <w:rPr>
          <w:rFonts w:ascii="Times New Roman" w:hAnsi="Times New Roman" w:cs="Times New Roman"/>
        </w:rPr>
        <w:t xml:space="preserve">Incorporate quasi-experimental or controlled designs, longitudinal follow-up, and integration of clinical outcomes measures such as retention in care and viral suppression to strengthen causal inference and assess long-term impact. </w:t>
      </w:r>
    </w:p>
    <w:p w14:paraId="2132E32D" w14:textId="38916817" w:rsidR="00CF02B1" w:rsidRPr="00CF02B1" w:rsidRDefault="00CF02B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From a broader perspective, these findings contribute to the growing body of evidence supporting rights-based and community-led HIV responses in criminalized settings. The study demonstrates that even with restrictive legal environments, it is possible to design and implement interventions that improve health outcomes, enhance access to justice, and strengthen community resilience. However, sustained impact will require parallel structural reforms, including decriminalization, institutional accountability, and continued investment in community-led systems</w:t>
      </w:r>
      <w:r w:rsidR="00B61CE6">
        <w:rPr>
          <w:rFonts w:ascii="Times New Roman" w:hAnsi="Times New Roman" w:cs="Times New Roman"/>
        </w:rPr>
        <w:t xml:space="preserve"> [4,9]</w:t>
      </w:r>
      <w:r>
        <w:rPr>
          <w:rFonts w:ascii="Times New Roman" w:hAnsi="Times New Roman" w:cs="Times New Roman"/>
        </w:rPr>
        <w:t xml:space="preserve">. </w:t>
      </w:r>
    </w:p>
    <w:p w14:paraId="5027BF30" w14:textId="72938A70" w:rsidR="00022037" w:rsidRDefault="0054249C" w:rsidP="00747613">
      <w:pPr>
        <w:spacing w:before="240" w:after="240" w:line="240" w:lineRule="auto"/>
        <w:ind w:left="1440" w:right="1440"/>
        <w:jc w:val="both"/>
        <w:rPr>
          <w:rFonts w:ascii="Times New Roman" w:hAnsi="Times New Roman" w:cs="Times New Roman"/>
          <w:b/>
          <w:bCs/>
        </w:rPr>
      </w:pPr>
      <w:r w:rsidRPr="001E3A83">
        <w:rPr>
          <w:rFonts w:ascii="Times New Roman" w:hAnsi="Times New Roman" w:cs="Times New Roman"/>
          <w:b/>
          <w:bCs/>
        </w:rPr>
        <w:t xml:space="preserve">CONCLUSION </w:t>
      </w:r>
    </w:p>
    <w:p w14:paraId="0BAE96A5" w14:textId="77777777" w:rsidR="00EA4A4A" w:rsidRDefault="00A35693" w:rsidP="00747613">
      <w:pPr>
        <w:spacing w:before="240" w:after="240" w:line="240" w:lineRule="auto"/>
        <w:ind w:left="1440" w:right="1440"/>
        <w:jc w:val="both"/>
        <w:rPr>
          <w:rFonts w:ascii="Times New Roman" w:hAnsi="Times New Roman" w:cs="Times New Roman"/>
        </w:rPr>
      </w:pPr>
      <w:r w:rsidRPr="00A35693">
        <w:rPr>
          <w:rFonts w:ascii="Times New Roman" w:hAnsi="Times New Roman" w:cs="Times New Roman"/>
        </w:rPr>
        <w:t xml:space="preserve">This study demonstrates that community-driven, rights-based, and multi-level interventions can effectively address structural barriers and improve access to HIV services and justice among LGBTQ populations in hostile </w:t>
      </w:r>
      <w:r>
        <w:rPr>
          <w:rFonts w:ascii="Times New Roman" w:hAnsi="Times New Roman" w:cs="Times New Roman"/>
        </w:rPr>
        <w:t>legal environments. By aligning individual empowerment, community mobilization, and institutional engagement, the intervention created a coherent pathway from increased awareness and safety to tangible health outcomes, including ART initiation and viral load monitoring.</w:t>
      </w:r>
    </w:p>
    <w:p w14:paraId="7646BB8E" w14:textId="6BE45B07" w:rsidR="00D91CAA" w:rsidRPr="00D511D7" w:rsidRDefault="00D91CAA" w:rsidP="00747613">
      <w:pPr>
        <w:spacing w:before="240" w:after="240" w:line="240" w:lineRule="auto"/>
        <w:ind w:left="1440" w:right="1440"/>
        <w:jc w:val="both"/>
        <w:rPr>
          <w:rFonts w:ascii="Times New Roman" w:hAnsi="Times New Roman" w:cs="Times New Roman"/>
        </w:rPr>
      </w:pPr>
      <w:r w:rsidRPr="00D511D7">
        <w:rPr>
          <w:rFonts w:ascii="Times New Roman" w:hAnsi="Times New Roman" w:cs="Times New Roman"/>
        </w:rPr>
        <w:t xml:space="preserve">The findings highlight that structural determinants particularly criminalization, stigma, and institutional discrimination remain central barriers to HIV services access, and that addressing these requires more than biomedical solutions. Instead, integrated approaches that embed human rights, community leadership, and system-level change are essential for achieving meaningful and sustained impact. </w:t>
      </w:r>
    </w:p>
    <w:p w14:paraId="374CC2B9" w14:textId="3AC97187" w:rsidR="00D91CAA" w:rsidRDefault="00D91CAA"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Importantly, the study illustrates that even within highly constrained settings, it is possible to reconfigure systems of care and support through locally grounded, participatory strategies. However, the sustainability and scalability of such efforts depend on broader structural reforms and continued investment in community-led responses.</w:t>
      </w:r>
    </w:p>
    <w:p w14:paraId="452C01FC" w14:textId="72D046FA" w:rsidR="00A35693" w:rsidRPr="00A35693" w:rsidRDefault="00DD2371" w:rsidP="00D511D7">
      <w:pPr>
        <w:spacing w:before="240" w:after="240" w:line="240" w:lineRule="auto"/>
        <w:ind w:left="1440" w:right="1440"/>
        <w:jc w:val="both"/>
        <w:rPr>
          <w:rFonts w:ascii="Times New Roman" w:hAnsi="Times New Roman" w:cs="Times New Roman"/>
        </w:rPr>
      </w:pPr>
      <w:r>
        <w:rPr>
          <w:rFonts w:ascii="Times New Roman" w:hAnsi="Times New Roman" w:cs="Times New Roman"/>
        </w:rPr>
        <w:t>Finding from this study suggest that community-led, rights-based approaches may contribute to improved access to HIV and GBV services in similar context. However, further research using more rigorous designs is need to assess effectiveness and scalability.</w:t>
      </w:r>
    </w:p>
    <w:p w14:paraId="497133C1" w14:textId="685332FE" w:rsidR="00A62B4C" w:rsidRDefault="00A62B4C" w:rsidP="00A62B4C">
      <w:pPr>
        <w:spacing w:before="240" w:after="240" w:line="240" w:lineRule="auto"/>
        <w:ind w:left="1440" w:right="1440"/>
        <w:jc w:val="both"/>
        <w:rPr>
          <w:rFonts w:ascii="Times New Roman" w:hAnsi="Times New Roman" w:cs="Times New Roman"/>
        </w:rPr>
      </w:pPr>
      <w:r>
        <w:rPr>
          <w:rFonts w:ascii="Times New Roman" w:hAnsi="Times New Roman" w:cs="Times New Roman"/>
          <w:b/>
        </w:rPr>
        <w:t>Declaration</w:t>
      </w:r>
    </w:p>
    <w:p w14:paraId="29CC6311" w14:textId="77777777" w:rsidR="00A62B4C" w:rsidRDefault="00A62B4C" w:rsidP="00A62B4C">
      <w:pPr>
        <w:spacing w:before="240" w:after="240" w:line="240" w:lineRule="auto"/>
        <w:ind w:left="1440" w:right="1440"/>
        <w:jc w:val="both"/>
        <w:rPr>
          <w:rFonts w:ascii="Times New Roman" w:hAnsi="Times New Roman" w:cs="Times New Roman"/>
        </w:rPr>
      </w:pPr>
      <w:r>
        <w:rPr>
          <w:rFonts w:ascii="Times New Roman" w:eastAsiaTheme="minorEastAsia" w:hAnsi="Times New Roman" w:cs="Times New Roman"/>
          <w:b/>
          <w:bCs/>
        </w:rPr>
        <w:t>Conflicts</w:t>
      </w:r>
      <w:r>
        <w:rPr>
          <w:rFonts w:ascii="Times New Roman" w:hAnsi="Times New Roman" w:cs="Times New Roman"/>
          <w:b/>
          <w:bCs/>
        </w:rPr>
        <w:t xml:space="preserve"> of Competing Interest</w:t>
      </w:r>
      <w:r>
        <w:rPr>
          <w:rFonts w:ascii="Times New Roman" w:hAnsi="Times New Roman" w:cs="Times New Roman"/>
        </w:rPr>
        <w:t xml:space="preserve"> All </w:t>
      </w:r>
      <w:r>
        <w:rPr>
          <w:rFonts w:ascii="Times New Roman" w:eastAsia="Calibri" w:hAnsi="Times New Roman" w:cs="Times New Roman"/>
        </w:rPr>
        <w:t xml:space="preserve">the </w:t>
      </w:r>
      <w:r>
        <w:rPr>
          <w:rFonts w:ascii="Times New Roman" w:hAnsi="Times New Roman" w:cs="Times New Roman"/>
        </w:rPr>
        <w:t xml:space="preserve">authors declare zero financial or interpersonal </w:t>
      </w:r>
      <w:r>
        <w:rPr>
          <w:rFonts w:ascii="Times New Roman" w:eastAsiaTheme="minorEastAsia" w:hAnsi="Times New Roman" w:cs="Times New Roman"/>
        </w:rPr>
        <w:t>conflicts</w:t>
      </w:r>
      <w:r>
        <w:rPr>
          <w:rFonts w:ascii="Times New Roman" w:hAnsi="Times New Roman" w:cs="Times New Roman"/>
        </w:rPr>
        <w:t xml:space="preserve"> of interest that could have influenced the research or </w:t>
      </w:r>
      <w:r>
        <w:rPr>
          <w:rFonts w:ascii="Times New Roman" w:eastAsiaTheme="minorEastAsia" w:hAnsi="Times New Roman" w:cs="Times New Roman"/>
        </w:rPr>
        <w:t xml:space="preserve">the </w:t>
      </w:r>
      <w:r>
        <w:rPr>
          <w:rFonts w:ascii="Times New Roman" w:hAnsi="Times New Roman" w:cs="Times New Roman"/>
        </w:rPr>
        <w:t>results reported in this research paper.</w:t>
      </w:r>
    </w:p>
    <w:p w14:paraId="18530768" w14:textId="24D1042C" w:rsidR="00A62B4C" w:rsidRDefault="00A62B4C" w:rsidP="00A62B4C">
      <w:pPr>
        <w:spacing w:before="240" w:after="240" w:line="240" w:lineRule="auto"/>
        <w:ind w:left="1440" w:right="1440"/>
        <w:jc w:val="both"/>
        <w:rPr>
          <w:rFonts w:ascii="Times New Roman" w:hAnsi="Times New Roman" w:cs="Times New Roman"/>
        </w:rPr>
      </w:pPr>
      <w:r>
        <w:rPr>
          <w:rFonts w:ascii="Times New Roman" w:hAnsi="Times New Roman" w:cs="Times New Roman"/>
          <w:b/>
          <w:bCs/>
        </w:rPr>
        <w:t>Availability of data</w:t>
      </w:r>
      <w:r>
        <w:rPr>
          <w:rFonts w:ascii="Times New Roman" w:hAnsi="Times New Roman" w:cs="Times New Roman"/>
        </w:rPr>
        <w:t xml:space="preserve"> </w:t>
      </w:r>
      <w:r>
        <w:rPr>
          <w:rFonts w:ascii="Times New Roman" w:hAnsi="Times New Roman" w:cs="Times New Roman"/>
          <w:bCs/>
        </w:rPr>
        <w:t>All information regarding this study is presented in this document</w:t>
      </w:r>
      <w:r w:rsidR="00955B22">
        <w:rPr>
          <w:rFonts w:ascii="Times New Roman" w:hAnsi="Times New Roman" w:cs="Times New Roman"/>
          <w:bCs/>
        </w:rPr>
        <w:t>.</w:t>
      </w:r>
    </w:p>
    <w:p w14:paraId="2EC6F20B" w14:textId="05BCCF21" w:rsidR="00A62B4C" w:rsidRDefault="00A62B4C" w:rsidP="00A62B4C">
      <w:pPr>
        <w:spacing w:before="240" w:after="240" w:line="240" w:lineRule="auto"/>
        <w:ind w:left="1440" w:right="1440"/>
        <w:jc w:val="both"/>
        <w:rPr>
          <w:rFonts w:ascii="Times New Roman" w:hAnsi="Times New Roman" w:cs="Times New Roman"/>
        </w:rPr>
      </w:pPr>
      <w:r w:rsidRPr="00C043AA">
        <w:rPr>
          <w:rFonts w:ascii="Times New Roman" w:hAnsi="Times New Roman" w:cs="Times New Roman"/>
          <w:b/>
        </w:rPr>
        <w:lastRenderedPageBreak/>
        <w:t>Ethical approval</w:t>
      </w:r>
      <w:r w:rsidRPr="00C043AA">
        <w:rPr>
          <w:rFonts w:ascii="Times New Roman" w:hAnsi="Times New Roman" w:cs="Times New Roman"/>
        </w:rPr>
        <w:t xml:space="preserve"> </w:t>
      </w:r>
      <w:r w:rsidR="00C043AA">
        <w:rPr>
          <w:rFonts w:ascii="Times New Roman" w:hAnsi="Times New Roman" w:cs="Times New Roman"/>
        </w:rPr>
        <w:t xml:space="preserve">Due to the sensitive nature of the study population and the restrictive socio-legal environment in which the research was conducted, obtaining formal institutional ethical approval posed potential risks to both participants and the implementing organization. As a result, the study was conducted as a community-based programmatic assessment rather than a formal clinical or experimental study. All procedures strictly adhered to internationally recognized ethical principles for research involving human participants, including voluntary participation, informed consent, confidentiality, and the protection of participants from harm. No personal identifiable information was collected, and all data were anonymized at the point of collection. Data collection was conducted in safe and secure environments, and participation did not expose individuals to additional legal or social risks. These safeguards were implemented to ensure that the rights, safety, and dignity of participants were fully protected throughout the study. </w:t>
      </w:r>
    </w:p>
    <w:p w14:paraId="1F78E404" w14:textId="282B0F78" w:rsidR="002E08D7" w:rsidRPr="006335E7" w:rsidRDefault="00A62B4C" w:rsidP="006335E7">
      <w:pPr>
        <w:spacing w:before="240" w:after="240" w:line="240" w:lineRule="auto"/>
        <w:ind w:left="1440" w:right="1440"/>
        <w:jc w:val="both"/>
        <w:rPr>
          <w:rFonts w:ascii="Times New Roman" w:hAnsi="Times New Roman" w:cs="Times New Roman"/>
        </w:rPr>
      </w:pPr>
      <w:r>
        <w:rPr>
          <w:rFonts w:ascii="Times New Roman" w:hAnsi="Times New Roman" w:cs="Times New Roman"/>
          <w:b/>
          <w:bCs/>
        </w:rPr>
        <w:t>Funding</w:t>
      </w:r>
      <w:r>
        <w:rPr>
          <w:rFonts w:ascii="Times New Roman" w:hAnsi="Times New Roman" w:cs="Times New Roman"/>
        </w:rPr>
        <w:t xml:space="preserve"> </w:t>
      </w:r>
      <w:r w:rsidR="002A0A56">
        <w:rPr>
          <w:rFonts w:ascii="Times New Roman" w:hAnsi="Times New Roman" w:cs="Times New Roman"/>
        </w:rPr>
        <w:t xml:space="preserve">COC Nederland </w:t>
      </w:r>
    </w:p>
    <w:p w14:paraId="108C87ED" w14:textId="77777777" w:rsidR="002E08D7" w:rsidRDefault="00925EAC" w:rsidP="002E08D7">
      <w:pPr>
        <w:spacing w:before="240" w:after="240" w:line="240" w:lineRule="auto"/>
        <w:ind w:left="1440" w:right="1440"/>
        <w:jc w:val="both"/>
        <w:rPr>
          <w:rFonts w:ascii="Times New Roman" w:hAnsi="Times New Roman" w:cs="Times New Roman"/>
          <w:b/>
          <w:bCs/>
        </w:rPr>
      </w:pPr>
      <w:r w:rsidRPr="001E3A83">
        <w:rPr>
          <w:rFonts w:ascii="Times New Roman" w:hAnsi="Times New Roman" w:cs="Times New Roman"/>
          <w:b/>
          <w:bCs/>
        </w:rPr>
        <w:t>REFERENCE</w:t>
      </w:r>
      <w:r w:rsidR="00AC2E72">
        <w:rPr>
          <w:rFonts w:ascii="Times New Roman" w:hAnsi="Times New Roman" w:cs="Times New Roman"/>
          <w:b/>
          <w:bCs/>
        </w:rPr>
        <w:t>S</w:t>
      </w:r>
      <w:r w:rsidR="002E08D7">
        <w:rPr>
          <w:rFonts w:ascii="Times New Roman" w:hAnsi="Times New Roman" w:cs="Times New Roman"/>
          <w:b/>
          <w:bCs/>
        </w:rPr>
        <w:t xml:space="preserve"> </w:t>
      </w:r>
    </w:p>
    <w:p w14:paraId="2433A3F1" w14:textId="437AD806"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 xml:space="preserve">Adebajo, S., </w:t>
      </w:r>
      <w:proofErr w:type="spellStart"/>
      <w:r w:rsidRPr="002E08D7">
        <w:rPr>
          <w:rFonts w:ascii="Times New Roman" w:hAnsi="Times New Roman" w:cs="Times New Roman"/>
        </w:rPr>
        <w:t>Eluwa</w:t>
      </w:r>
      <w:proofErr w:type="spellEnd"/>
      <w:r w:rsidRPr="002E08D7">
        <w:rPr>
          <w:rFonts w:ascii="Times New Roman" w:hAnsi="Times New Roman" w:cs="Times New Roman"/>
        </w:rPr>
        <w:t>, G., Njab, J., et al. (2018). Evaluating the effectiveness of HIV prevention interventions among men who have sex with men in Nigeria. AIDS Care, 30(S3), 1–8. </w:t>
      </w:r>
      <w:hyperlink r:id="rId10" w:tgtFrame="_blank" w:history="1">
        <w:r w:rsidRPr="002E08D7">
          <w:rPr>
            <w:rStyle w:val="Hyperlink"/>
            <w:rFonts w:ascii="Times New Roman" w:hAnsi="Times New Roman" w:cs="Times New Roman"/>
          </w:rPr>
          <w:t>https://doi.org/10.1080/09540121.2018.1492691</w:t>
        </w:r>
      </w:hyperlink>
    </w:p>
    <w:p w14:paraId="5962148E" w14:textId="24786B9E"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Atkinson, R., &amp; Flint, J. (2001). Accessing hidden and hard-to-reach populations: Snowball research strategies. Social Research Update, 33, 1–4.</w:t>
      </w:r>
    </w:p>
    <w:p w14:paraId="3DC24ECB" w14:textId="1012A7F3"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Bandura, A. (2004). Health promotion by social cognitive means. Health Education &amp; Behavior, 31(2), 143–164. </w:t>
      </w:r>
      <w:hyperlink r:id="rId11" w:tgtFrame="_blank" w:history="1">
        <w:r w:rsidRPr="002E08D7">
          <w:rPr>
            <w:rStyle w:val="Hyperlink"/>
            <w:rFonts w:ascii="Times New Roman" w:hAnsi="Times New Roman" w:cs="Times New Roman"/>
          </w:rPr>
          <w:t>https://doi.org/10.1177/1090198104263660</w:t>
        </w:r>
      </w:hyperlink>
    </w:p>
    <w:p w14:paraId="4D7B063E" w14:textId="2D440583"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Baral, S., Beyrer, C., Muessig, K., Poteat, T., Wirtz, A., Decker, M., Sherman, S., &amp; Kerrigan, D. (2013). Burden of HIV among female sex workers in low-income and middle-income countries: A systematic review and meta-analysis. The Lancet Infectious Diseases, 12(7), 538–549. </w:t>
      </w:r>
      <w:hyperlink r:id="rId12" w:tgtFrame="_blank" w:history="1">
        <w:r w:rsidRPr="002E08D7">
          <w:rPr>
            <w:rStyle w:val="Hyperlink"/>
            <w:rFonts w:ascii="Times New Roman" w:hAnsi="Times New Roman" w:cs="Times New Roman"/>
          </w:rPr>
          <w:t>https://doi.org/10.1016/S1473-3099(12)70066-X</w:t>
        </w:r>
      </w:hyperlink>
    </w:p>
    <w:p w14:paraId="6D2DA0D3" w14:textId="002E77C0"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Beyrer, C., Baral, S. D., Collins, C., et al. (2016). The global response to HIV in men who have sex with men. The Lancet, 388(10040), 198–206. </w:t>
      </w:r>
      <w:hyperlink r:id="rId13" w:tgtFrame="_blank" w:history="1">
        <w:r w:rsidRPr="002E08D7">
          <w:rPr>
            <w:rStyle w:val="Hyperlink"/>
            <w:rFonts w:ascii="Times New Roman" w:hAnsi="Times New Roman" w:cs="Times New Roman"/>
          </w:rPr>
          <w:t>https://doi.org/10.1016/S0140-6736(16)30781-4</w:t>
        </w:r>
      </w:hyperlink>
    </w:p>
    <w:p w14:paraId="7186403E" w14:textId="09DE2DBB"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Beyrer, C., Sullivan, P., Sanchez, J., et al. (2012). The increase in global HIV epidemics in MSM. The Lancet, 380(9839), 367–377. </w:t>
      </w:r>
      <w:hyperlink r:id="rId14" w:tgtFrame="_blank" w:history="1">
        <w:r w:rsidRPr="002E08D7">
          <w:rPr>
            <w:rStyle w:val="Hyperlink"/>
            <w:rFonts w:ascii="Times New Roman" w:hAnsi="Times New Roman" w:cs="Times New Roman"/>
          </w:rPr>
          <w:t>https://doi.org/10.1016/S0140-6736(12)60821-6</w:t>
        </w:r>
      </w:hyperlink>
    </w:p>
    <w:p w14:paraId="47B7432F"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 xml:space="preserve">Campbell, C., &amp; Cornish, F. (2010). Towards a “fourth generation” of approaches to HIV/AIDS management: Creating contexts for effective community </w:t>
      </w:r>
      <w:proofErr w:type="spellStart"/>
      <w:r w:rsidRPr="002E08D7">
        <w:rPr>
          <w:rFonts w:ascii="Times New Roman" w:hAnsi="Times New Roman" w:cs="Times New Roman"/>
        </w:rPr>
        <w:t>mobilisation</w:t>
      </w:r>
      <w:proofErr w:type="spellEnd"/>
      <w:r w:rsidRPr="002E08D7">
        <w:rPr>
          <w:rFonts w:ascii="Times New Roman" w:hAnsi="Times New Roman" w:cs="Times New Roman"/>
        </w:rPr>
        <w:t>. AIDS Care, 22(S2), 1569–1579. </w:t>
      </w:r>
      <w:hyperlink r:id="rId15" w:tgtFrame="_blank" w:history="1">
        <w:r w:rsidRPr="002E08D7">
          <w:rPr>
            <w:rStyle w:val="Hyperlink"/>
            <w:rFonts w:ascii="Times New Roman" w:hAnsi="Times New Roman" w:cs="Times New Roman"/>
          </w:rPr>
          <w:t>https://doi.org/10.1080/09540121.2010.525812</w:t>
        </w:r>
      </w:hyperlink>
    </w:p>
    <w:p w14:paraId="6139A78D"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Creswell, J. W., &amp; Plano Clark, V. L. (2018). Designing and conducting mixed methods research (3rd ed.). SAGE Publications.</w:t>
      </w:r>
    </w:p>
    <w:p w14:paraId="5B57E4EE"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Damschroder, L. J., Aron, D. C., Keith, R. E., et al. (2009). Fostering implementation of health services research findings into practice: A consolidated framework. Implementation Science, 4, 50. </w:t>
      </w:r>
      <w:hyperlink r:id="rId16" w:tgtFrame="_blank" w:history="1">
        <w:r w:rsidRPr="002E08D7">
          <w:rPr>
            <w:rStyle w:val="Hyperlink"/>
            <w:rFonts w:ascii="Times New Roman" w:hAnsi="Times New Roman" w:cs="Times New Roman"/>
          </w:rPr>
          <w:t>https://doi.org/10.1186/1748-5908-4-50</w:t>
        </w:r>
      </w:hyperlink>
    </w:p>
    <w:p w14:paraId="3F621B9E"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Decker, M. R., Crago, A. L., Chu, S. K. H., et al. (2015). Human rights violations against sex workers: Burden and effect on HIV. The Lancet, 385(9963), 186–199. </w:t>
      </w:r>
      <w:hyperlink r:id="rId17" w:tgtFrame="_blank" w:history="1">
        <w:r w:rsidRPr="002E08D7">
          <w:rPr>
            <w:rStyle w:val="Hyperlink"/>
            <w:rFonts w:ascii="Times New Roman" w:hAnsi="Times New Roman" w:cs="Times New Roman"/>
          </w:rPr>
          <w:t>https://doi.org/10.1016/S0140-6736(14)60800-X</w:t>
        </w:r>
      </w:hyperlink>
    </w:p>
    <w:p w14:paraId="2E0AFAF3"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Earnshaw, V. A., &amp; Chaudoir, S. R. (2009). From conceptualizing to measuring HIV stigma: A review of HIV stigma mechanism measures. AIDS and Behavior, 13(6), 1160–1177. </w:t>
      </w:r>
      <w:hyperlink r:id="rId18" w:tgtFrame="_blank" w:history="1">
        <w:r w:rsidRPr="002E08D7">
          <w:rPr>
            <w:rStyle w:val="Hyperlink"/>
            <w:rFonts w:ascii="Times New Roman" w:hAnsi="Times New Roman" w:cs="Times New Roman"/>
          </w:rPr>
          <w:t>https://doi.org/10.1007/s10461-009-9593-3</w:t>
        </w:r>
      </w:hyperlink>
    </w:p>
    <w:p w14:paraId="558FE975"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lastRenderedPageBreak/>
        <w:t>Farmer, P. (2004). An anthropology of structural violence. Current Anthropology, 45(3), 305–325. </w:t>
      </w:r>
      <w:hyperlink r:id="rId19" w:tgtFrame="_blank" w:history="1">
        <w:r w:rsidRPr="002E08D7">
          <w:rPr>
            <w:rStyle w:val="Hyperlink"/>
            <w:rFonts w:ascii="Times New Roman" w:hAnsi="Times New Roman" w:cs="Times New Roman"/>
          </w:rPr>
          <w:t>https://doi.org/10.1086/382250</w:t>
        </w:r>
      </w:hyperlink>
    </w:p>
    <w:p w14:paraId="4D003FDD"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 xml:space="preserve">Fay, H., Baral, S. D., </w:t>
      </w:r>
      <w:proofErr w:type="spellStart"/>
      <w:r w:rsidRPr="002E08D7">
        <w:rPr>
          <w:rFonts w:ascii="Times New Roman" w:hAnsi="Times New Roman" w:cs="Times New Roman"/>
        </w:rPr>
        <w:t>Trapence</w:t>
      </w:r>
      <w:proofErr w:type="spellEnd"/>
      <w:r w:rsidRPr="002E08D7">
        <w:rPr>
          <w:rFonts w:ascii="Times New Roman" w:hAnsi="Times New Roman" w:cs="Times New Roman"/>
        </w:rPr>
        <w:t>, G., et al. (2011). Stigma, health care access, and HIV knowledge among men who have sex with men in Malawi. Journal of the International AIDS Society, 14, 12. </w:t>
      </w:r>
      <w:hyperlink r:id="rId20" w:tgtFrame="_blank" w:history="1">
        <w:r w:rsidRPr="002E08D7">
          <w:rPr>
            <w:rStyle w:val="Hyperlink"/>
            <w:rFonts w:ascii="Times New Roman" w:hAnsi="Times New Roman" w:cs="Times New Roman"/>
          </w:rPr>
          <w:t>https://doi.org/10.1186/1758-2652-14-12</w:t>
        </w:r>
      </w:hyperlink>
    </w:p>
    <w:p w14:paraId="0D2EFB9A"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Federal Ministry of Health Nigeria. (2021). National HIV/AIDS strategic framework. Abuja: Federal Ministry of Health.</w:t>
      </w:r>
    </w:p>
    <w:p w14:paraId="28441E6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 xml:space="preserve">Govindasamy, D., </w:t>
      </w:r>
      <w:proofErr w:type="spellStart"/>
      <w:r w:rsidRPr="002E08D7">
        <w:rPr>
          <w:rFonts w:ascii="Times New Roman" w:hAnsi="Times New Roman" w:cs="Times New Roman"/>
        </w:rPr>
        <w:t>Meghij</w:t>
      </w:r>
      <w:proofErr w:type="spellEnd"/>
      <w:r w:rsidRPr="002E08D7">
        <w:rPr>
          <w:rFonts w:ascii="Times New Roman" w:hAnsi="Times New Roman" w:cs="Times New Roman"/>
        </w:rPr>
        <w:t xml:space="preserve">, J., </w:t>
      </w:r>
      <w:proofErr w:type="spellStart"/>
      <w:r w:rsidRPr="002E08D7">
        <w:rPr>
          <w:rFonts w:ascii="Times New Roman" w:hAnsi="Times New Roman" w:cs="Times New Roman"/>
        </w:rPr>
        <w:t>Negussi</w:t>
      </w:r>
      <w:proofErr w:type="spellEnd"/>
      <w:r w:rsidRPr="002E08D7">
        <w:rPr>
          <w:rFonts w:ascii="Times New Roman" w:hAnsi="Times New Roman" w:cs="Times New Roman"/>
        </w:rPr>
        <w:t>, E. K., et al. (2014). Interventions to improve linkage to HIV care. Journal of the International AIDS Society, 17, 19032. </w:t>
      </w:r>
      <w:hyperlink r:id="rId21" w:tgtFrame="_blank" w:history="1">
        <w:r w:rsidRPr="002E08D7">
          <w:rPr>
            <w:rStyle w:val="Hyperlink"/>
            <w:rFonts w:ascii="Times New Roman" w:hAnsi="Times New Roman" w:cs="Times New Roman"/>
          </w:rPr>
          <w:t>https://doi.org/10.7448/IAS.17.1.19032</w:t>
        </w:r>
      </w:hyperlink>
    </w:p>
    <w:p w14:paraId="18E14413"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Gruskin, S., Mills, E. J., &amp; Tarantola, D. (2007). History, principles, and practice of health and human rights. The Lancet, 370(9585), 449–455. </w:t>
      </w:r>
      <w:hyperlink r:id="rId22" w:tgtFrame="_blank" w:history="1">
        <w:r w:rsidRPr="001115C7">
          <w:rPr>
            <w:rStyle w:val="Hyperlink"/>
            <w:rFonts w:ascii="Times New Roman" w:hAnsi="Times New Roman" w:cs="Times New Roman"/>
          </w:rPr>
          <w:t>https://doi.org/10.1016/S0140-6736(07)61200-8</w:t>
        </w:r>
      </w:hyperlink>
    </w:p>
    <w:p w14:paraId="1126E5AF"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 xml:space="preserve">Hladik, W., Barker, J., </w:t>
      </w:r>
      <w:proofErr w:type="spellStart"/>
      <w:r w:rsidRPr="001115C7">
        <w:rPr>
          <w:rFonts w:ascii="Times New Roman" w:hAnsi="Times New Roman" w:cs="Times New Roman"/>
        </w:rPr>
        <w:t>Ssenkusu</w:t>
      </w:r>
      <w:proofErr w:type="spellEnd"/>
      <w:r w:rsidRPr="001115C7">
        <w:rPr>
          <w:rFonts w:ascii="Times New Roman" w:hAnsi="Times New Roman" w:cs="Times New Roman"/>
        </w:rPr>
        <w:t>, J. M., et al. (2017). HIV infection among MSM in sub-Saharan Africa. AIDS, 31(S3), S233–S240. </w:t>
      </w:r>
      <w:hyperlink r:id="rId23" w:tgtFrame="_blank" w:history="1">
        <w:r w:rsidRPr="001115C7">
          <w:rPr>
            <w:rStyle w:val="Hyperlink"/>
            <w:rFonts w:ascii="Times New Roman" w:hAnsi="Times New Roman" w:cs="Times New Roman"/>
          </w:rPr>
          <w:t>https://doi.org/10.1097/QAD.0000000000001511</w:t>
        </w:r>
      </w:hyperlink>
    </w:p>
    <w:p w14:paraId="18BAFE0D"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Human Rights Watch. (2016). “Tell me where I can be safe”: The impact of Nigeria’s Same Sex Marriage (Prohibition) Act. </w:t>
      </w:r>
      <w:hyperlink r:id="rId24" w:tgtFrame="_blank" w:history="1">
        <w:r w:rsidRPr="001115C7">
          <w:rPr>
            <w:rStyle w:val="Hyperlink"/>
            <w:rFonts w:ascii="Times New Roman" w:hAnsi="Times New Roman" w:cs="Times New Roman"/>
          </w:rPr>
          <w:t>https://www.hrw.org/report/2016/10/20/tell-me-where-i-can-be-safe/impact-nigerias-same-sex-marriage-prohibition-act</w:t>
        </w:r>
      </w:hyperlink>
    </w:p>
    <w:p w14:paraId="174947B5"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Kawachi, I., &amp; Berkman, L. F. (2001). Social ties and mental health. Journal of Urban Health, 78(3), 458–467. </w:t>
      </w:r>
      <w:hyperlink r:id="rId25" w:tgtFrame="_blank" w:history="1">
        <w:r w:rsidRPr="001115C7">
          <w:rPr>
            <w:rStyle w:val="Hyperlink"/>
            <w:rFonts w:ascii="Times New Roman" w:hAnsi="Times New Roman" w:cs="Times New Roman"/>
          </w:rPr>
          <w:t>https://doi.org/10.1093/jurban/78.3.458</w:t>
        </w:r>
      </w:hyperlink>
    </w:p>
    <w:p w14:paraId="39CD715E"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Kerrigan, D., Kennedy, C. E., Morgan-Thomas, R., et al. (2015). A community empowerment approach to HIV prevention. The Lancet, 385(9964), 172–185. </w:t>
      </w:r>
      <w:hyperlink r:id="rId26" w:tgtFrame="_blank" w:history="1">
        <w:r w:rsidRPr="001115C7">
          <w:rPr>
            <w:rStyle w:val="Hyperlink"/>
            <w:rFonts w:ascii="Times New Roman" w:hAnsi="Times New Roman" w:cs="Times New Roman"/>
          </w:rPr>
          <w:t>https://doi.org/10.1016/S0140-6736(14)60955-9</w:t>
        </w:r>
      </w:hyperlink>
    </w:p>
    <w:p w14:paraId="68CF4E5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proofErr w:type="spellStart"/>
      <w:r w:rsidRPr="001115C7">
        <w:rPr>
          <w:rFonts w:ascii="Times New Roman" w:hAnsi="Times New Roman" w:cs="Times New Roman"/>
        </w:rPr>
        <w:t>Logie</w:t>
      </w:r>
      <w:proofErr w:type="spellEnd"/>
      <w:r w:rsidRPr="001115C7">
        <w:rPr>
          <w:rFonts w:ascii="Times New Roman" w:hAnsi="Times New Roman" w:cs="Times New Roman"/>
        </w:rPr>
        <w:t>, C. H., Lacombe-Duncan, A., Wang, Y., et al. (2018). Pathways from HIV-related stigma to health outcomes. AIDS Patient Care and STDs, 32(5), 193–205. </w:t>
      </w:r>
      <w:hyperlink r:id="rId27" w:tgtFrame="_blank" w:history="1">
        <w:r w:rsidRPr="001115C7">
          <w:rPr>
            <w:rStyle w:val="Hyperlink"/>
            <w:rFonts w:ascii="Times New Roman" w:hAnsi="Times New Roman" w:cs="Times New Roman"/>
          </w:rPr>
          <w:t>https://doi.org/10.1089/apc.2017.0313</w:t>
        </w:r>
      </w:hyperlink>
    </w:p>
    <w:p w14:paraId="490E03C5"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proofErr w:type="spellStart"/>
      <w:r w:rsidRPr="001115C7">
        <w:rPr>
          <w:rFonts w:ascii="Times New Roman" w:hAnsi="Times New Roman" w:cs="Times New Roman"/>
        </w:rPr>
        <w:t>Logie</w:t>
      </w:r>
      <w:proofErr w:type="spellEnd"/>
      <w:r w:rsidRPr="001115C7">
        <w:rPr>
          <w:rFonts w:ascii="Times New Roman" w:hAnsi="Times New Roman" w:cs="Times New Roman"/>
        </w:rPr>
        <w:t>, C. H., Wang, Y., Lacombe-Duncan, A., et al. (2019). HIV-related stigma, racial discrimination, and mental health. Social Science &amp; Medicine, 231, 1–9. </w:t>
      </w:r>
      <w:hyperlink r:id="rId28" w:tgtFrame="_blank" w:history="1">
        <w:r w:rsidRPr="001115C7">
          <w:rPr>
            <w:rStyle w:val="Hyperlink"/>
            <w:rFonts w:ascii="Times New Roman" w:hAnsi="Times New Roman" w:cs="Times New Roman"/>
          </w:rPr>
          <w:t>https://doi.org/10.1016/j.socscimed.2019.04.025</w:t>
        </w:r>
      </w:hyperlink>
    </w:p>
    <w:p w14:paraId="335726C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proofErr w:type="spellStart"/>
      <w:r w:rsidRPr="001115C7">
        <w:rPr>
          <w:rFonts w:ascii="Times New Roman" w:hAnsi="Times New Roman" w:cs="Times New Roman"/>
        </w:rPr>
        <w:t>Logie</w:t>
      </w:r>
      <w:proofErr w:type="spellEnd"/>
      <w:r w:rsidRPr="001115C7">
        <w:rPr>
          <w:rFonts w:ascii="Times New Roman" w:hAnsi="Times New Roman" w:cs="Times New Roman"/>
        </w:rPr>
        <w:t>, C. H., Marcus, N., Wang, Y., et al. (2020). A structural equation model of HIV-related stigma. BMC Public Health, 20, 1–10. </w:t>
      </w:r>
      <w:hyperlink r:id="rId29" w:tgtFrame="_blank" w:history="1">
        <w:r w:rsidRPr="001115C7">
          <w:rPr>
            <w:rStyle w:val="Hyperlink"/>
            <w:rFonts w:ascii="Times New Roman" w:hAnsi="Times New Roman" w:cs="Times New Roman"/>
          </w:rPr>
          <w:t>https://doi.org/10.1186/s12889-020-08673-5</w:t>
        </w:r>
      </w:hyperlink>
    </w:p>
    <w:p w14:paraId="00ADA208"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Lyons, C. E., Schwartz, S. R., Murray, S. M., et al. (2017). The role of stigma in HIV risk among MSM in sub-Saharan Africa. AIDS and Behavior, 21(8), 2254–2263. </w:t>
      </w:r>
      <w:hyperlink r:id="rId30" w:tgtFrame="_blank" w:history="1">
        <w:r w:rsidRPr="001115C7">
          <w:rPr>
            <w:rStyle w:val="Hyperlink"/>
            <w:rFonts w:ascii="Times New Roman" w:hAnsi="Times New Roman" w:cs="Times New Roman"/>
          </w:rPr>
          <w:t>https://doi.org/10.1007/s10461-017-1763-2</w:t>
        </w:r>
      </w:hyperlink>
    </w:p>
    <w:p w14:paraId="5E7F2501"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Medley, A., Kennedy, C., O’Reilly, K., &amp; Sweat, M. (2009). Effectiveness of peer education interventions. AIDS Education and Prevention, 21(3), 181–206. </w:t>
      </w:r>
      <w:hyperlink r:id="rId31" w:tgtFrame="_blank" w:history="1">
        <w:r w:rsidRPr="001115C7">
          <w:rPr>
            <w:rStyle w:val="Hyperlink"/>
            <w:rFonts w:ascii="Times New Roman" w:hAnsi="Times New Roman" w:cs="Times New Roman"/>
          </w:rPr>
          <w:t>https://doi.org/10.1521/aeap.2009.21.3.181</w:t>
        </w:r>
      </w:hyperlink>
    </w:p>
    <w:p w14:paraId="33F36333"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Meyer, I. H. (2003). Prejudice, social stress, and mental health in lesbian, gay, and bisexual populations. Psychological Bulletin, 129(5), 674–697. </w:t>
      </w:r>
      <w:hyperlink r:id="rId32" w:tgtFrame="_blank" w:history="1">
        <w:r w:rsidRPr="001115C7">
          <w:rPr>
            <w:rStyle w:val="Hyperlink"/>
            <w:rFonts w:ascii="Times New Roman" w:hAnsi="Times New Roman" w:cs="Times New Roman"/>
          </w:rPr>
          <w:t>https://doi.org/10.1037/0033-2909.129.5.674</w:t>
        </w:r>
      </w:hyperlink>
    </w:p>
    <w:p w14:paraId="0A6ABBA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proofErr w:type="spellStart"/>
      <w:r w:rsidRPr="001115C7">
        <w:rPr>
          <w:rFonts w:ascii="Times New Roman" w:hAnsi="Times New Roman" w:cs="Times New Roman"/>
        </w:rPr>
        <w:t>Nyblade</w:t>
      </w:r>
      <w:proofErr w:type="spellEnd"/>
      <w:r w:rsidRPr="001115C7">
        <w:rPr>
          <w:rFonts w:ascii="Times New Roman" w:hAnsi="Times New Roman" w:cs="Times New Roman"/>
        </w:rPr>
        <w:t>, L., Stockton, M. A., Giger, K., et al. (2019). Stigma in health facilities. BMC Medicine, 17, 31. </w:t>
      </w:r>
      <w:hyperlink r:id="rId33" w:tgtFrame="_blank" w:history="1">
        <w:r w:rsidRPr="001115C7">
          <w:rPr>
            <w:rStyle w:val="Hyperlink"/>
            <w:rFonts w:ascii="Times New Roman" w:hAnsi="Times New Roman" w:cs="Times New Roman"/>
          </w:rPr>
          <w:t>https://doi.org/10.1186/s12916-019-1271-3</w:t>
        </w:r>
      </w:hyperlink>
    </w:p>
    <w:p w14:paraId="1C0FE9B2"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Oldenburg, C. E., Perez-Brumer, A. G., &amp; Reisner, S. L. (2018). Poverty and HIV risk. Current Opinion in HIV and AIDS, 13(2), 161–165. </w:t>
      </w:r>
      <w:hyperlink r:id="rId34" w:tgtFrame="_blank" w:history="1">
        <w:r w:rsidRPr="001115C7">
          <w:rPr>
            <w:rStyle w:val="Hyperlink"/>
            <w:rFonts w:ascii="Times New Roman" w:hAnsi="Times New Roman" w:cs="Times New Roman"/>
          </w:rPr>
          <w:t>https://doi.org/10.1097/COH.0000000000000434</w:t>
        </w:r>
      </w:hyperlink>
    </w:p>
    <w:p w14:paraId="6A17547C"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Poteat, T., Malik, M., Beyrer, C., &amp; Baral, S. (2017). Epidemiology of HIV among transgender populations. Journal of the International AIDS Society, 20(Suppl 3), 21658. </w:t>
      </w:r>
      <w:hyperlink r:id="rId35" w:tgtFrame="_blank" w:history="1">
        <w:r w:rsidRPr="001115C7">
          <w:rPr>
            <w:rStyle w:val="Hyperlink"/>
            <w:rFonts w:ascii="Times New Roman" w:hAnsi="Times New Roman" w:cs="Times New Roman"/>
          </w:rPr>
          <w:t>https://doi.org/10.7448/IAS.20.4.21658</w:t>
        </w:r>
      </w:hyperlink>
    </w:p>
    <w:p w14:paraId="3B0ABA28"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 xml:space="preserve">Poteat, T., </w:t>
      </w:r>
      <w:proofErr w:type="spellStart"/>
      <w:r w:rsidRPr="001115C7">
        <w:rPr>
          <w:rFonts w:ascii="Times New Roman" w:hAnsi="Times New Roman" w:cs="Times New Roman"/>
        </w:rPr>
        <w:t>Scheim</w:t>
      </w:r>
      <w:proofErr w:type="spellEnd"/>
      <w:r w:rsidRPr="001115C7">
        <w:rPr>
          <w:rFonts w:ascii="Times New Roman" w:hAnsi="Times New Roman" w:cs="Times New Roman"/>
        </w:rPr>
        <w:t xml:space="preserve">, A., Xavier, J., et al. (2016). Global epidemiology of HIV among transgender people. Journal of Acquired Immune Deficiency </w:t>
      </w:r>
      <w:r w:rsidRPr="001115C7">
        <w:rPr>
          <w:rFonts w:ascii="Times New Roman" w:hAnsi="Times New Roman" w:cs="Times New Roman"/>
        </w:rPr>
        <w:lastRenderedPageBreak/>
        <w:t>Syndromes, 72(Suppl 3), S210–S219. </w:t>
      </w:r>
      <w:hyperlink r:id="rId36" w:tgtFrame="_blank" w:history="1">
        <w:r w:rsidRPr="001115C7">
          <w:rPr>
            <w:rStyle w:val="Hyperlink"/>
            <w:rFonts w:ascii="Times New Roman" w:hAnsi="Times New Roman" w:cs="Times New Roman"/>
          </w:rPr>
          <w:t>https://doi.org/10.1097/QAI.0000000000001087</w:t>
        </w:r>
      </w:hyperlink>
    </w:p>
    <w:p w14:paraId="539B3D14"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Putnam, R. D. (2000). Bowling alone: The collapse and revival of American community. Simon &amp; Schuster.</w:t>
      </w:r>
    </w:p>
    <w:p w14:paraId="420C7FBE"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 xml:space="preserve">Schwartz, S., Nowak, R. G., </w:t>
      </w:r>
      <w:proofErr w:type="spellStart"/>
      <w:r w:rsidRPr="001115C7">
        <w:rPr>
          <w:rFonts w:ascii="Times New Roman" w:hAnsi="Times New Roman" w:cs="Times New Roman"/>
        </w:rPr>
        <w:t>Orazulike</w:t>
      </w:r>
      <w:proofErr w:type="spellEnd"/>
      <w:r w:rsidRPr="001115C7">
        <w:rPr>
          <w:rFonts w:ascii="Times New Roman" w:hAnsi="Times New Roman" w:cs="Times New Roman"/>
        </w:rPr>
        <w:t>, I., et al. (2015). The immediate effect of the Same-Sex Marriage Prohibition Act. AIDS and Behavior, 19(12), 2237–2245. </w:t>
      </w:r>
      <w:hyperlink r:id="rId37" w:tgtFrame="_blank" w:history="1">
        <w:r w:rsidRPr="001115C7">
          <w:rPr>
            <w:rStyle w:val="Hyperlink"/>
            <w:rFonts w:ascii="Times New Roman" w:hAnsi="Times New Roman" w:cs="Times New Roman"/>
          </w:rPr>
          <w:t>https://doi.org/10.1007/s10461-015-1008-4</w:t>
        </w:r>
      </w:hyperlink>
    </w:p>
    <w:p w14:paraId="67FB0E2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Stahlman, S., Sanchez, T. H., Sullivan, P. S., et al. (2016). The prevalence of HIV among MSM in sub-Saharan Africa. AIDS and Behavior, 20(Suppl 3), 1–12. </w:t>
      </w:r>
      <w:hyperlink r:id="rId38" w:tgtFrame="_blank" w:history="1">
        <w:r w:rsidRPr="001115C7">
          <w:rPr>
            <w:rStyle w:val="Hyperlink"/>
            <w:rFonts w:ascii="Times New Roman" w:hAnsi="Times New Roman" w:cs="Times New Roman"/>
          </w:rPr>
          <w:t>https://doi.org/10.1007/s10461-016-1394-1</w:t>
        </w:r>
      </w:hyperlink>
    </w:p>
    <w:p w14:paraId="75E1B25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Turan, B., Budhwani, H., Fazeli, P. L., et al. (2017). How does stigma affect people living with HIV? AIDS and Behavior, 21(1), 283–291. </w:t>
      </w:r>
      <w:hyperlink r:id="rId39" w:tgtFrame="_blank" w:history="1">
        <w:r w:rsidRPr="001115C7">
          <w:rPr>
            <w:rStyle w:val="Hyperlink"/>
            <w:rFonts w:ascii="Times New Roman" w:hAnsi="Times New Roman" w:cs="Times New Roman"/>
          </w:rPr>
          <w:t>https://doi.org/10.1007/s10461-016-1451-5</w:t>
        </w:r>
      </w:hyperlink>
    </w:p>
    <w:p w14:paraId="28052E3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 xml:space="preserve">UNAIDS. (2020). Global AIDS update 2020. Geneva: Joint United Nations </w:t>
      </w:r>
      <w:proofErr w:type="spellStart"/>
      <w:r w:rsidRPr="001115C7">
        <w:rPr>
          <w:rFonts w:ascii="Times New Roman" w:hAnsi="Times New Roman" w:cs="Times New Roman"/>
        </w:rPr>
        <w:t>Programme</w:t>
      </w:r>
      <w:proofErr w:type="spellEnd"/>
      <w:r w:rsidRPr="001115C7">
        <w:rPr>
          <w:rFonts w:ascii="Times New Roman" w:hAnsi="Times New Roman" w:cs="Times New Roman"/>
        </w:rPr>
        <w:t xml:space="preserve"> on HIV/AIDS.</w:t>
      </w:r>
    </w:p>
    <w:p w14:paraId="52B7460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 xml:space="preserve">UNAIDS. (2023). Global AIDS update 2023: The path that ends AIDS. Geneva: Joint United Nations </w:t>
      </w:r>
      <w:proofErr w:type="spellStart"/>
      <w:r w:rsidRPr="001115C7">
        <w:rPr>
          <w:rFonts w:ascii="Times New Roman" w:hAnsi="Times New Roman" w:cs="Times New Roman"/>
        </w:rPr>
        <w:t>Programme</w:t>
      </w:r>
      <w:proofErr w:type="spellEnd"/>
      <w:r w:rsidRPr="001115C7">
        <w:rPr>
          <w:rFonts w:ascii="Times New Roman" w:hAnsi="Times New Roman" w:cs="Times New Roman"/>
        </w:rPr>
        <w:t xml:space="preserve"> on HIV/AIDS.</w:t>
      </w:r>
    </w:p>
    <w:p w14:paraId="54ABBD9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Wallerstein, N. (2006). What is the evidence on effectiveness of empowerment? Health Evidence Network Report. WHO.</w:t>
      </w:r>
    </w:p>
    <w:p w14:paraId="7BD5939E" w14:textId="0D5017BF" w:rsidR="002E08D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Wirtz, A. L., Pretorius, C., Beyrer, C., et al. (2015). Epidemic impacts of stigma among MSM. AIDS, 29(S3), S243–S251. </w:t>
      </w:r>
      <w:hyperlink r:id="rId40" w:tgtFrame="_blank" w:history="1">
        <w:r w:rsidRPr="001115C7">
          <w:rPr>
            <w:rStyle w:val="Hyperlink"/>
            <w:rFonts w:ascii="Times New Roman" w:hAnsi="Times New Roman" w:cs="Times New Roman"/>
          </w:rPr>
          <w:t>https://doi.org/10.1097/QAD.0000000000000657</w:t>
        </w:r>
      </w:hyperlink>
    </w:p>
    <w:p w14:paraId="4B8D1D97" w14:textId="77777777" w:rsidR="002E08D7" w:rsidRPr="00345547" w:rsidRDefault="002E08D7" w:rsidP="002E08D7">
      <w:pPr>
        <w:rPr>
          <w:rFonts w:ascii="Times New Roman" w:hAnsi="Times New Roman" w:cs="Times New Roman"/>
        </w:rPr>
      </w:pPr>
    </w:p>
    <w:p w14:paraId="20DAFE20" w14:textId="77777777" w:rsidR="002E08D7" w:rsidRDefault="002E08D7" w:rsidP="00783226">
      <w:pPr>
        <w:spacing w:before="240" w:after="240" w:line="240" w:lineRule="auto"/>
        <w:ind w:left="1440" w:right="1440"/>
        <w:jc w:val="both"/>
        <w:rPr>
          <w:rFonts w:ascii="Times New Roman" w:hAnsi="Times New Roman" w:cs="Times New Roman"/>
          <w:b/>
          <w:bCs/>
        </w:rPr>
      </w:pPr>
    </w:p>
    <w:p w14:paraId="1994BBC4" w14:textId="30E196FD" w:rsidR="00EB0E5A" w:rsidRPr="00EB0E5A" w:rsidRDefault="00EB0E5A" w:rsidP="00156821">
      <w:pPr>
        <w:pBdr>
          <w:top w:val="nil"/>
          <w:left w:val="nil"/>
          <w:bottom w:val="nil"/>
          <w:right w:val="nil"/>
          <w:between w:val="nil"/>
        </w:pBdr>
        <w:spacing w:line="276" w:lineRule="auto"/>
        <w:jc w:val="both"/>
        <w:rPr>
          <w:rFonts w:ascii="Arial" w:eastAsia="Arial" w:hAnsi="Arial" w:cs="Arial"/>
          <w:bCs/>
          <w:color w:val="000000"/>
        </w:rPr>
      </w:pPr>
    </w:p>
    <w:sectPr w:rsidR="00EB0E5A" w:rsidRPr="00EB0E5A" w:rsidSect="00732053">
      <w:pgSz w:w="11906" w:h="16838" w:code="133"/>
      <w:pgMar w:top="1080" w:right="605" w:bottom="763"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C905A" w14:textId="77777777" w:rsidR="00CD53BE" w:rsidRDefault="00CD53BE" w:rsidP="00732053">
      <w:pPr>
        <w:spacing w:after="0" w:line="240" w:lineRule="auto"/>
      </w:pPr>
      <w:r>
        <w:separator/>
      </w:r>
    </w:p>
  </w:endnote>
  <w:endnote w:type="continuationSeparator" w:id="0">
    <w:p w14:paraId="66681140" w14:textId="77777777" w:rsidR="00CD53BE" w:rsidRDefault="00CD53BE" w:rsidP="00732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50FF9" w14:textId="77777777" w:rsidR="00CD53BE" w:rsidRDefault="00CD53BE" w:rsidP="00732053">
      <w:pPr>
        <w:spacing w:after="0" w:line="240" w:lineRule="auto"/>
      </w:pPr>
      <w:r>
        <w:separator/>
      </w:r>
    </w:p>
  </w:footnote>
  <w:footnote w:type="continuationSeparator" w:id="0">
    <w:p w14:paraId="790569E7" w14:textId="77777777" w:rsidR="00CD53BE" w:rsidRDefault="00CD53BE" w:rsidP="00732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79F"/>
    <w:multiLevelType w:val="hybridMultilevel"/>
    <w:tmpl w:val="2102B6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88D3353"/>
    <w:multiLevelType w:val="hybridMultilevel"/>
    <w:tmpl w:val="794604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BA730F"/>
    <w:multiLevelType w:val="hybridMultilevel"/>
    <w:tmpl w:val="9DF40F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8CC3A8D"/>
    <w:multiLevelType w:val="hybridMultilevel"/>
    <w:tmpl w:val="E97A8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99A0902"/>
    <w:multiLevelType w:val="hybridMultilevel"/>
    <w:tmpl w:val="621888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DDC5FC7"/>
    <w:multiLevelType w:val="hybridMultilevel"/>
    <w:tmpl w:val="6464B4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E352EE0"/>
    <w:multiLevelType w:val="hybridMultilevel"/>
    <w:tmpl w:val="A64A1492"/>
    <w:lvl w:ilvl="0" w:tplc="F00462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B1C3018"/>
    <w:multiLevelType w:val="hybridMultilevel"/>
    <w:tmpl w:val="7E8C25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E2E020B"/>
    <w:multiLevelType w:val="hybridMultilevel"/>
    <w:tmpl w:val="0CDEE1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1975C89"/>
    <w:multiLevelType w:val="hybridMultilevel"/>
    <w:tmpl w:val="EFC62526"/>
    <w:lvl w:ilvl="0" w:tplc="04090019">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0" w15:restartNumberingAfterBreak="0">
    <w:nsid w:val="342C3941"/>
    <w:multiLevelType w:val="hybridMultilevel"/>
    <w:tmpl w:val="5D12D1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5CC1513"/>
    <w:multiLevelType w:val="hybridMultilevel"/>
    <w:tmpl w:val="48E4C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63D90"/>
    <w:multiLevelType w:val="hybridMultilevel"/>
    <w:tmpl w:val="A18A9A9C"/>
    <w:lvl w:ilvl="0" w:tplc="477A65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9830989"/>
    <w:multiLevelType w:val="hybridMultilevel"/>
    <w:tmpl w:val="18386EC6"/>
    <w:lvl w:ilvl="0" w:tplc="B9DEE97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D82622A"/>
    <w:multiLevelType w:val="hybridMultilevel"/>
    <w:tmpl w:val="7A14D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DDA1BB0"/>
    <w:multiLevelType w:val="hybridMultilevel"/>
    <w:tmpl w:val="DD9E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3B238A7"/>
    <w:multiLevelType w:val="hybridMultilevel"/>
    <w:tmpl w:val="561262D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801028A"/>
    <w:multiLevelType w:val="multilevel"/>
    <w:tmpl w:val="C4A205E2"/>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87B6BFC"/>
    <w:multiLevelType w:val="hybridMultilevel"/>
    <w:tmpl w:val="F3C804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B996444"/>
    <w:multiLevelType w:val="hybridMultilevel"/>
    <w:tmpl w:val="8E4EC2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EC5A58"/>
    <w:multiLevelType w:val="hybridMultilevel"/>
    <w:tmpl w:val="352C41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900B00"/>
    <w:multiLevelType w:val="hybridMultilevel"/>
    <w:tmpl w:val="78AA71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FF10494"/>
    <w:multiLevelType w:val="hybridMultilevel"/>
    <w:tmpl w:val="7DC2FEB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5BA0F5A"/>
    <w:multiLevelType w:val="hybridMultilevel"/>
    <w:tmpl w:val="4E16F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5931451"/>
    <w:multiLevelType w:val="hybridMultilevel"/>
    <w:tmpl w:val="347620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0385F10"/>
    <w:multiLevelType w:val="hybridMultilevel"/>
    <w:tmpl w:val="818A1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71396"/>
    <w:multiLevelType w:val="hybridMultilevel"/>
    <w:tmpl w:val="E87A384E"/>
    <w:lvl w:ilvl="0" w:tplc="0409000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7B00742F"/>
    <w:multiLevelType w:val="hybridMultilevel"/>
    <w:tmpl w:val="FA3EE1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37836508">
    <w:abstractNumId w:val="17"/>
  </w:num>
  <w:num w:numId="2" w16cid:durableId="885986583">
    <w:abstractNumId w:val="11"/>
  </w:num>
  <w:num w:numId="3" w16cid:durableId="577860602">
    <w:abstractNumId w:val="0"/>
  </w:num>
  <w:num w:numId="4" w16cid:durableId="743407026">
    <w:abstractNumId w:val="25"/>
  </w:num>
  <w:num w:numId="5" w16cid:durableId="347368046">
    <w:abstractNumId w:val="18"/>
  </w:num>
  <w:num w:numId="6" w16cid:durableId="1523519072">
    <w:abstractNumId w:val="10"/>
  </w:num>
  <w:num w:numId="7" w16cid:durableId="458233160">
    <w:abstractNumId w:val="12"/>
  </w:num>
  <w:num w:numId="8" w16cid:durableId="1317689227">
    <w:abstractNumId w:val="14"/>
  </w:num>
  <w:num w:numId="9" w16cid:durableId="514420255">
    <w:abstractNumId w:val="26"/>
  </w:num>
  <w:num w:numId="10" w16cid:durableId="1745108752">
    <w:abstractNumId w:val="7"/>
  </w:num>
  <w:num w:numId="11" w16cid:durableId="758449096">
    <w:abstractNumId w:val="21"/>
  </w:num>
  <w:num w:numId="12" w16cid:durableId="401681901">
    <w:abstractNumId w:val="1"/>
  </w:num>
  <w:num w:numId="13" w16cid:durableId="2140219316">
    <w:abstractNumId w:val="19"/>
  </w:num>
  <w:num w:numId="14" w16cid:durableId="98263978">
    <w:abstractNumId w:val="22"/>
  </w:num>
  <w:num w:numId="15" w16cid:durableId="471211232">
    <w:abstractNumId w:val="24"/>
  </w:num>
  <w:num w:numId="16" w16cid:durableId="698161271">
    <w:abstractNumId w:val="16"/>
  </w:num>
  <w:num w:numId="17" w16cid:durableId="1250387961">
    <w:abstractNumId w:val="9"/>
  </w:num>
  <w:num w:numId="18" w16cid:durableId="302273428">
    <w:abstractNumId w:val="5"/>
  </w:num>
  <w:num w:numId="19" w16cid:durableId="1385373851">
    <w:abstractNumId w:val="3"/>
  </w:num>
  <w:num w:numId="20" w16cid:durableId="501550122">
    <w:abstractNumId w:val="23"/>
  </w:num>
  <w:num w:numId="21" w16cid:durableId="1813255626">
    <w:abstractNumId w:val="4"/>
  </w:num>
  <w:num w:numId="22" w16cid:durableId="490870192">
    <w:abstractNumId w:val="15"/>
  </w:num>
  <w:num w:numId="23" w16cid:durableId="967587127">
    <w:abstractNumId w:val="20"/>
  </w:num>
  <w:num w:numId="24" w16cid:durableId="175265292">
    <w:abstractNumId w:val="13"/>
  </w:num>
  <w:num w:numId="25" w16cid:durableId="623073742">
    <w:abstractNumId w:val="2"/>
  </w:num>
  <w:num w:numId="26" w16cid:durableId="729423870">
    <w:abstractNumId w:val="8"/>
  </w:num>
  <w:num w:numId="27" w16cid:durableId="1793599329">
    <w:abstractNumId w:val="27"/>
  </w:num>
  <w:num w:numId="28" w16cid:durableId="5113360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68"/>
    <w:rsid w:val="00003824"/>
    <w:rsid w:val="000107EF"/>
    <w:rsid w:val="00010C1E"/>
    <w:rsid w:val="000141E9"/>
    <w:rsid w:val="000142B6"/>
    <w:rsid w:val="00015C09"/>
    <w:rsid w:val="00021A85"/>
    <w:rsid w:val="00022037"/>
    <w:rsid w:val="00026F04"/>
    <w:rsid w:val="00027B39"/>
    <w:rsid w:val="00030BCA"/>
    <w:rsid w:val="000312E8"/>
    <w:rsid w:val="00042A67"/>
    <w:rsid w:val="00043C21"/>
    <w:rsid w:val="00045565"/>
    <w:rsid w:val="0004610C"/>
    <w:rsid w:val="00055F55"/>
    <w:rsid w:val="00056445"/>
    <w:rsid w:val="00065654"/>
    <w:rsid w:val="00074C53"/>
    <w:rsid w:val="00082BC7"/>
    <w:rsid w:val="00084EDB"/>
    <w:rsid w:val="00085E83"/>
    <w:rsid w:val="000876BE"/>
    <w:rsid w:val="00092ECF"/>
    <w:rsid w:val="00094B1B"/>
    <w:rsid w:val="000950A8"/>
    <w:rsid w:val="000A0E43"/>
    <w:rsid w:val="000A2BF0"/>
    <w:rsid w:val="000A3D10"/>
    <w:rsid w:val="000A3F0B"/>
    <w:rsid w:val="000A4673"/>
    <w:rsid w:val="000B03BB"/>
    <w:rsid w:val="000B03C0"/>
    <w:rsid w:val="000B7E80"/>
    <w:rsid w:val="000C3BE0"/>
    <w:rsid w:val="000C4883"/>
    <w:rsid w:val="000C794A"/>
    <w:rsid w:val="000D1247"/>
    <w:rsid w:val="000D3254"/>
    <w:rsid w:val="000D39E6"/>
    <w:rsid w:val="000D4041"/>
    <w:rsid w:val="000D40C6"/>
    <w:rsid w:val="000E061F"/>
    <w:rsid w:val="000F2210"/>
    <w:rsid w:val="000F2714"/>
    <w:rsid w:val="000F3064"/>
    <w:rsid w:val="000F439A"/>
    <w:rsid w:val="000F7089"/>
    <w:rsid w:val="000F720C"/>
    <w:rsid w:val="00100F99"/>
    <w:rsid w:val="001057BA"/>
    <w:rsid w:val="001115C7"/>
    <w:rsid w:val="0011567E"/>
    <w:rsid w:val="0012247F"/>
    <w:rsid w:val="00124E10"/>
    <w:rsid w:val="00125842"/>
    <w:rsid w:val="00125D69"/>
    <w:rsid w:val="0013588D"/>
    <w:rsid w:val="0013645D"/>
    <w:rsid w:val="001451DF"/>
    <w:rsid w:val="00145E85"/>
    <w:rsid w:val="0015061A"/>
    <w:rsid w:val="00150A86"/>
    <w:rsid w:val="0015161D"/>
    <w:rsid w:val="001520FC"/>
    <w:rsid w:val="00152C52"/>
    <w:rsid w:val="00155664"/>
    <w:rsid w:val="00155977"/>
    <w:rsid w:val="00156821"/>
    <w:rsid w:val="00163393"/>
    <w:rsid w:val="001642A0"/>
    <w:rsid w:val="00172DAE"/>
    <w:rsid w:val="00181697"/>
    <w:rsid w:val="00182692"/>
    <w:rsid w:val="0018331D"/>
    <w:rsid w:val="0018570F"/>
    <w:rsid w:val="00190620"/>
    <w:rsid w:val="00195B40"/>
    <w:rsid w:val="00197256"/>
    <w:rsid w:val="00197809"/>
    <w:rsid w:val="001A6A10"/>
    <w:rsid w:val="001B0373"/>
    <w:rsid w:val="001B3616"/>
    <w:rsid w:val="001C0E96"/>
    <w:rsid w:val="001C1727"/>
    <w:rsid w:val="001C1C95"/>
    <w:rsid w:val="001C60F4"/>
    <w:rsid w:val="001D2326"/>
    <w:rsid w:val="001D2C54"/>
    <w:rsid w:val="001D5806"/>
    <w:rsid w:val="001D7359"/>
    <w:rsid w:val="001D7CA5"/>
    <w:rsid w:val="001E096F"/>
    <w:rsid w:val="001E19DB"/>
    <w:rsid w:val="001E3569"/>
    <w:rsid w:val="001E3A83"/>
    <w:rsid w:val="001E3ED9"/>
    <w:rsid w:val="001E56DD"/>
    <w:rsid w:val="001F1016"/>
    <w:rsid w:val="001F198D"/>
    <w:rsid w:val="001F385C"/>
    <w:rsid w:val="001F5406"/>
    <w:rsid w:val="00205648"/>
    <w:rsid w:val="00206903"/>
    <w:rsid w:val="0021271F"/>
    <w:rsid w:val="0022375F"/>
    <w:rsid w:val="002272D0"/>
    <w:rsid w:val="00227EE9"/>
    <w:rsid w:val="00234796"/>
    <w:rsid w:val="0023564A"/>
    <w:rsid w:val="00235CA8"/>
    <w:rsid w:val="00240AA6"/>
    <w:rsid w:val="002411FE"/>
    <w:rsid w:val="00241DC8"/>
    <w:rsid w:val="00242BD1"/>
    <w:rsid w:val="00244F1C"/>
    <w:rsid w:val="00247E86"/>
    <w:rsid w:val="00247F90"/>
    <w:rsid w:val="0025129D"/>
    <w:rsid w:val="00252A2D"/>
    <w:rsid w:val="0025700D"/>
    <w:rsid w:val="0026120B"/>
    <w:rsid w:val="002614F7"/>
    <w:rsid w:val="00264BD9"/>
    <w:rsid w:val="0027192A"/>
    <w:rsid w:val="002825A1"/>
    <w:rsid w:val="002832E1"/>
    <w:rsid w:val="00283619"/>
    <w:rsid w:val="002839A1"/>
    <w:rsid w:val="002839DC"/>
    <w:rsid w:val="00285643"/>
    <w:rsid w:val="00286DBA"/>
    <w:rsid w:val="00286EA1"/>
    <w:rsid w:val="002954F0"/>
    <w:rsid w:val="00297048"/>
    <w:rsid w:val="002A0A56"/>
    <w:rsid w:val="002B2DBA"/>
    <w:rsid w:val="002B300C"/>
    <w:rsid w:val="002B3E86"/>
    <w:rsid w:val="002B452B"/>
    <w:rsid w:val="002C0E38"/>
    <w:rsid w:val="002C4F33"/>
    <w:rsid w:val="002C5D41"/>
    <w:rsid w:val="002C78D7"/>
    <w:rsid w:val="002D1C43"/>
    <w:rsid w:val="002D6668"/>
    <w:rsid w:val="002D68E6"/>
    <w:rsid w:val="002E08D7"/>
    <w:rsid w:val="002F070B"/>
    <w:rsid w:val="002F095E"/>
    <w:rsid w:val="003004E4"/>
    <w:rsid w:val="00301359"/>
    <w:rsid w:val="00307324"/>
    <w:rsid w:val="0031139E"/>
    <w:rsid w:val="00311D43"/>
    <w:rsid w:val="0031230E"/>
    <w:rsid w:val="00313017"/>
    <w:rsid w:val="0031688C"/>
    <w:rsid w:val="003251DD"/>
    <w:rsid w:val="0032622A"/>
    <w:rsid w:val="003300FF"/>
    <w:rsid w:val="00330D28"/>
    <w:rsid w:val="0033276A"/>
    <w:rsid w:val="00335095"/>
    <w:rsid w:val="0033705A"/>
    <w:rsid w:val="00340DAF"/>
    <w:rsid w:val="00344308"/>
    <w:rsid w:val="003500CC"/>
    <w:rsid w:val="003539FC"/>
    <w:rsid w:val="0035497E"/>
    <w:rsid w:val="00354F92"/>
    <w:rsid w:val="003615F7"/>
    <w:rsid w:val="00361AD0"/>
    <w:rsid w:val="00362BFF"/>
    <w:rsid w:val="0036457C"/>
    <w:rsid w:val="00373EEA"/>
    <w:rsid w:val="00374260"/>
    <w:rsid w:val="00375D7B"/>
    <w:rsid w:val="0038713D"/>
    <w:rsid w:val="003915D7"/>
    <w:rsid w:val="0039218B"/>
    <w:rsid w:val="00392C9C"/>
    <w:rsid w:val="00393F10"/>
    <w:rsid w:val="00394F6F"/>
    <w:rsid w:val="00397F74"/>
    <w:rsid w:val="003A24C3"/>
    <w:rsid w:val="003A34C0"/>
    <w:rsid w:val="003A6CE7"/>
    <w:rsid w:val="003B0BB8"/>
    <w:rsid w:val="003C0B8C"/>
    <w:rsid w:val="003C2D4A"/>
    <w:rsid w:val="003C499A"/>
    <w:rsid w:val="003C4B71"/>
    <w:rsid w:val="003D1409"/>
    <w:rsid w:val="003D1669"/>
    <w:rsid w:val="003D1822"/>
    <w:rsid w:val="003D1CDF"/>
    <w:rsid w:val="003D4E90"/>
    <w:rsid w:val="003D6D64"/>
    <w:rsid w:val="003D7DBC"/>
    <w:rsid w:val="003E6759"/>
    <w:rsid w:val="003F34A8"/>
    <w:rsid w:val="003F4406"/>
    <w:rsid w:val="003F618D"/>
    <w:rsid w:val="00401126"/>
    <w:rsid w:val="00401359"/>
    <w:rsid w:val="00402328"/>
    <w:rsid w:val="004038C7"/>
    <w:rsid w:val="004039EE"/>
    <w:rsid w:val="00403AAB"/>
    <w:rsid w:val="00412615"/>
    <w:rsid w:val="00417B7A"/>
    <w:rsid w:val="0042541C"/>
    <w:rsid w:val="00430F9E"/>
    <w:rsid w:val="00442843"/>
    <w:rsid w:val="00442D2B"/>
    <w:rsid w:val="00444F1A"/>
    <w:rsid w:val="00446F6C"/>
    <w:rsid w:val="00450E6C"/>
    <w:rsid w:val="0045709F"/>
    <w:rsid w:val="0046015F"/>
    <w:rsid w:val="004666AE"/>
    <w:rsid w:val="00473331"/>
    <w:rsid w:val="00474459"/>
    <w:rsid w:val="0047664A"/>
    <w:rsid w:val="0048307E"/>
    <w:rsid w:val="00486990"/>
    <w:rsid w:val="00490560"/>
    <w:rsid w:val="004913D6"/>
    <w:rsid w:val="0049434D"/>
    <w:rsid w:val="0049473D"/>
    <w:rsid w:val="00495F81"/>
    <w:rsid w:val="004A5D1D"/>
    <w:rsid w:val="004A71BD"/>
    <w:rsid w:val="004B0392"/>
    <w:rsid w:val="004B64BD"/>
    <w:rsid w:val="004B6D89"/>
    <w:rsid w:val="004B755A"/>
    <w:rsid w:val="004C031C"/>
    <w:rsid w:val="004C1BD8"/>
    <w:rsid w:val="004C3372"/>
    <w:rsid w:val="004C448D"/>
    <w:rsid w:val="004D09FE"/>
    <w:rsid w:val="004D1F2F"/>
    <w:rsid w:val="004D4FD6"/>
    <w:rsid w:val="004D5F6F"/>
    <w:rsid w:val="004E0A5C"/>
    <w:rsid w:val="004F1EDB"/>
    <w:rsid w:val="004F37D6"/>
    <w:rsid w:val="004F5BFC"/>
    <w:rsid w:val="004F711C"/>
    <w:rsid w:val="004F7F8E"/>
    <w:rsid w:val="00504033"/>
    <w:rsid w:val="005052A2"/>
    <w:rsid w:val="00511F14"/>
    <w:rsid w:val="00512CF6"/>
    <w:rsid w:val="00520E28"/>
    <w:rsid w:val="00525722"/>
    <w:rsid w:val="00536A9F"/>
    <w:rsid w:val="00540932"/>
    <w:rsid w:val="0054249C"/>
    <w:rsid w:val="00543E07"/>
    <w:rsid w:val="005521F9"/>
    <w:rsid w:val="005531AB"/>
    <w:rsid w:val="00554F2C"/>
    <w:rsid w:val="00561F0A"/>
    <w:rsid w:val="00562447"/>
    <w:rsid w:val="005632C4"/>
    <w:rsid w:val="005648DB"/>
    <w:rsid w:val="0056570E"/>
    <w:rsid w:val="00576752"/>
    <w:rsid w:val="005813DA"/>
    <w:rsid w:val="00581BC3"/>
    <w:rsid w:val="005912BD"/>
    <w:rsid w:val="0059318F"/>
    <w:rsid w:val="00593CCC"/>
    <w:rsid w:val="00596AE5"/>
    <w:rsid w:val="005B1796"/>
    <w:rsid w:val="005B467F"/>
    <w:rsid w:val="005C0F4D"/>
    <w:rsid w:val="005C118E"/>
    <w:rsid w:val="005C30D5"/>
    <w:rsid w:val="005C372D"/>
    <w:rsid w:val="005C6BE9"/>
    <w:rsid w:val="005C7D3B"/>
    <w:rsid w:val="005D39D1"/>
    <w:rsid w:val="005E52B6"/>
    <w:rsid w:val="005E6F50"/>
    <w:rsid w:val="005F057E"/>
    <w:rsid w:val="005F14BD"/>
    <w:rsid w:val="005F2ABF"/>
    <w:rsid w:val="005F3D66"/>
    <w:rsid w:val="005F7465"/>
    <w:rsid w:val="005F7963"/>
    <w:rsid w:val="00604A1E"/>
    <w:rsid w:val="006057A1"/>
    <w:rsid w:val="006111D8"/>
    <w:rsid w:val="00611DE4"/>
    <w:rsid w:val="006158B0"/>
    <w:rsid w:val="0061769F"/>
    <w:rsid w:val="00617FA5"/>
    <w:rsid w:val="0062011F"/>
    <w:rsid w:val="00630420"/>
    <w:rsid w:val="006309B0"/>
    <w:rsid w:val="006335E7"/>
    <w:rsid w:val="0063367F"/>
    <w:rsid w:val="00635DED"/>
    <w:rsid w:val="0063710C"/>
    <w:rsid w:val="00650C12"/>
    <w:rsid w:val="00651BFC"/>
    <w:rsid w:val="00656BB7"/>
    <w:rsid w:val="00657DFA"/>
    <w:rsid w:val="006622E7"/>
    <w:rsid w:val="00667FD2"/>
    <w:rsid w:val="00671DA8"/>
    <w:rsid w:val="00672832"/>
    <w:rsid w:val="006733DB"/>
    <w:rsid w:val="00673791"/>
    <w:rsid w:val="00675896"/>
    <w:rsid w:val="006765BD"/>
    <w:rsid w:val="00683296"/>
    <w:rsid w:val="00684C85"/>
    <w:rsid w:val="00687AB0"/>
    <w:rsid w:val="00695EFB"/>
    <w:rsid w:val="00696F35"/>
    <w:rsid w:val="006A1A29"/>
    <w:rsid w:val="006A5AEA"/>
    <w:rsid w:val="006C0D97"/>
    <w:rsid w:val="006C1BCB"/>
    <w:rsid w:val="006D10AE"/>
    <w:rsid w:val="006D3C5A"/>
    <w:rsid w:val="006D550C"/>
    <w:rsid w:val="006D7868"/>
    <w:rsid w:val="006F3076"/>
    <w:rsid w:val="006F5804"/>
    <w:rsid w:val="0070021C"/>
    <w:rsid w:val="00700725"/>
    <w:rsid w:val="00703F4A"/>
    <w:rsid w:val="0071072B"/>
    <w:rsid w:val="00712707"/>
    <w:rsid w:val="00716A83"/>
    <w:rsid w:val="007220C4"/>
    <w:rsid w:val="00730437"/>
    <w:rsid w:val="00730E9D"/>
    <w:rsid w:val="00732053"/>
    <w:rsid w:val="00732A7B"/>
    <w:rsid w:val="00733323"/>
    <w:rsid w:val="007359F1"/>
    <w:rsid w:val="00737416"/>
    <w:rsid w:val="00737419"/>
    <w:rsid w:val="00740E0F"/>
    <w:rsid w:val="00747613"/>
    <w:rsid w:val="00750160"/>
    <w:rsid w:val="00750658"/>
    <w:rsid w:val="0075169A"/>
    <w:rsid w:val="007528E6"/>
    <w:rsid w:val="00767641"/>
    <w:rsid w:val="00780388"/>
    <w:rsid w:val="007814E2"/>
    <w:rsid w:val="00783226"/>
    <w:rsid w:val="007928A7"/>
    <w:rsid w:val="007962FF"/>
    <w:rsid w:val="00796819"/>
    <w:rsid w:val="007A7200"/>
    <w:rsid w:val="007B00AB"/>
    <w:rsid w:val="007B4DAB"/>
    <w:rsid w:val="007B64AD"/>
    <w:rsid w:val="007B74F8"/>
    <w:rsid w:val="007C2585"/>
    <w:rsid w:val="007D09D8"/>
    <w:rsid w:val="007D2FEF"/>
    <w:rsid w:val="007D3E28"/>
    <w:rsid w:val="007D4E0A"/>
    <w:rsid w:val="007E56A8"/>
    <w:rsid w:val="007E768B"/>
    <w:rsid w:val="007F13D6"/>
    <w:rsid w:val="00800F05"/>
    <w:rsid w:val="00805905"/>
    <w:rsid w:val="008138F5"/>
    <w:rsid w:val="0081492B"/>
    <w:rsid w:val="00820E36"/>
    <w:rsid w:val="008245D7"/>
    <w:rsid w:val="00827A1D"/>
    <w:rsid w:val="008334F4"/>
    <w:rsid w:val="008337F9"/>
    <w:rsid w:val="0084132B"/>
    <w:rsid w:val="00841950"/>
    <w:rsid w:val="00843EAD"/>
    <w:rsid w:val="00850C32"/>
    <w:rsid w:val="0085388E"/>
    <w:rsid w:val="00853D59"/>
    <w:rsid w:val="00853FEB"/>
    <w:rsid w:val="008550DD"/>
    <w:rsid w:val="00857156"/>
    <w:rsid w:val="00863412"/>
    <w:rsid w:val="008645C0"/>
    <w:rsid w:val="00866218"/>
    <w:rsid w:val="008718DD"/>
    <w:rsid w:val="00871F3C"/>
    <w:rsid w:val="00874D32"/>
    <w:rsid w:val="00876A3E"/>
    <w:rsid w:val="00877242"/>
    <w:rsid w:val="0088129A"/>
    <w:rsid w:val="00882C25"/>
    <w:rsid w:val="00883439"/>
    <w:rsid w:val="00891F2C"/>
    <w:rsid w:val="00893FC1"/>
    <w:rsid w:val="00894B82"/>
    <w:rsid w:val="00895F2D"/>
    <w:rsid w:val="008968DB"/>
    <w:rsid w:val="008A2CB9"/>
    <w:rsid w:val="008A592B"/>
    <w:rsid w:val="008A7529"/>
    <w:rsid w:val="008B04D7"/>
    <w:rsid w:val="008B1DA1"/>
    <w:rsid w:val="008B4657"/>
    <w:rsid w:val="008B6959"/>
    <w:rsid w:val="008B6BCF"/>
    <w:rsid w:val="008C0D00"/>
    <w:rsid w:val="008C126D"/>
    <w:rsid w:val="008C15A5"/>
    <w:rsid w:val="008C19C1"/>
    <w:rsid w:val="008C7D6F"/>
    <w:rsid w:val="008D7559"/>
    <w:rsid w:val="008E3498"/>
    <w:rsid w:val="008E3A06"/>
    <w:rsid w:val="008E3E32"/>
    <w:rsid w:val="008E496F"/>
    <w:rsid w:val="008F296E"/>
    <w:rsid w:val="00900749"/>
    <w:rsid w:val="00901CA1"/>
    <w:rsid w:val="009036B3"/>
    <w:rsid w:val="00907579"/>
    <w:rsid w:val="0091267B"/>
    <w:rsid w:val="009126DA"/>
    <w:rsid w:val="00917F2B"/>
    <w:rsid w:val="00921115"/>
    <w:rsid w:val="00921FF9"/>
    <w:rsid w:val="009226FD"/>
    <w:rsid w:val="00925EAC"/>
    <w:rsid w:val="009269DD"/>
    <w:rsid w:val="0093119B"/>
    <w:rsid w:val="00931B2F"/>
    <w:rsid w:val="00936D02"/>
    <w:rsid w:val="00942968"/>
    <w:rsid w:val="009435CE"/>
    <w:rsid w:val="009438D5"/>
    <w:rsid w:val="00943F8F"/>
    <w:rsid w:val="00947709"/>
    <w:rsid w:val="00955B22"/>
    <w:rsid w:val="00961A90"/>
    <w:rsid w:val="00970D86"/>
    <w:rsid w:val="009717A0"/>
    <w:rsid w:val="0097244D"/>
    <w:rsid w:val="00973CE8"/>
    <w:rsid w:val="009745C7"/>
    <w:rsid w:val="009766C7"/>
    <w:rsid w:val="00977D26"/>
    <w:rsid w:val="00982D7B"/>
    <w:rsid w:val="00985A6E"/>
    <w:rsid w:val="00991F7B"/>
    <w:rsid w:val="00993940"/>
    <w:rsid w:val="00997AC9"/>
    <w:rsid w:val="009A2807"/>
    <w:rsid w:val="009A4F53"/>
    <w:rsid w:val="009B06F2"/>
    <w:rsid w:val="009B0DA8"/>
    <w:rsid w:val="009B4792"/>
    <w:rsid w:val="009B523C"/>
    <w:rsid w:val="009B6653"/>
    <w:rsid w:val="009C11DB"/>
    <w:rsid w:val="009C1E9E"/>
    <w:rsid w:val="009C5600"/>
    <w:rsid w:val="009C631B"/>
    <w:rsid w:val="009C79B7"/>
    <w:rsid w:val="009D1478"/>
    <w:rsid w:val="009D1D2B"/>
    <w:rsid w:val="009D2B13"/>
    <w:rsid w:val="009D52D1"/>
    <w:rsid w:val="009D74E6"/>
    <w:rsid w:val="009E3BC2"/>
    <w:rsid w:val="009F7ECC"/>
    <w:rsid w:val="00A05CA2"/>
    <w:rsid w:val="00A147E6"/>
    <w:rsid w:val="00A166AD"/>
    <w:rsid w:val="00A17193"/>
    <w:rsid w:val="00A174C8"/>
    <w:rsid w:val="00A23650"/>
    <w:rsid w:val="00A24CDD"/>
    <w:rsid w:val="00A26BE7"/>
    <w:rsid w:val="00A32867"/>
    <w:rsid w:val="00A34174"/>
    <w:rsid w:val="00A35693"/>
    <w:rsid w:val="00A35DD8"/>
    <w:rsid w:val="00A37B88"/>
    <w:rsid w:val="00A425ED"/>
    <w:rsid w:val="00A43152"/>
    <w:rsid w:val="00A461C6"/>
    <w:rsid w:val="00A51767"/>
    <w:rsid w:val="00A541C1"/>
    <w:rsid w:val="00A55896"/>
    <w:rsid w:val="00A55FB6"/>
    <w:rsid w:val="00A560C0"/>
    <w:rsid w:val="00A56BC3"/>
    <w:rsid w:val="00A61E97"/>
    <w:rsid w:val="00A62B4C"/>
    <w:rsid w:val="00A651B1"/>
    <w:rsid w:val="00A654CE"/>
    <w:rsid w:val="00A678A1"/>
    <w:rsid w:val="00A73423"/>
    <w:rsid w:val="00A73616"/>
    <w:rsid w:val="00A73F74"/>
    <w:rsid w:val="00A75591"/>
    <w:rsid w:val="00A7706F"/>
    <w:rsid w:val="00A8771A"/>
    <w:rsid w:val="00A87B4B"/>
    <w:rsid w:val="00A9262F"/>
    <w:rsid w:val="00A93CD8"/>
    <w:rsid w:val="00A978B4"/>
    <w:rsid w:val="00AA16FA"/>
    <w:rsid w:val="00AA262A"/>
    <w:rsid w:val="00AA2BB7"/>
    <w:rsid w:val="00AA3DD6"/>
    <w:rsid w:val="00AA77E9"/>
    <w:rsid w:val="00AB713F"/>
    <w:rsid w:val="00AC2E72"/>
    <w:rsid w:val="00AC6F10"/>
    <w:rsid w:val="00AC79E3"/>
    <w:rsid w:val="00AD4DE5"/>
    <w:rsid w:val="00AE0886"/>
    <w:rsid w:val="00AE1833"/>
    <w:rsid w:val="00AE418A"/>
    <w:rsid w:val="00AF3ACE"/>
    <w:rsid w:val="00AF44AE"/>
    <w:rsid w:val="00B05661"/>
    <w:rsid w:val="00B13AB9"/>
    <w:rsid w:val="00B1700A"/>
    <w:rsid w:val="00B2273E"/>
    <w:rsid w:val="00B32ED8"/>
    <w:rsid w:val="00B34A42"/>
    <w:rsid w:val="00B35BDA"/>
    <w:rsid w:val="00B40DD8"/>
    <w:rsid w:val="00B45C00"/>
    <w:rsid w:val="00B54065"/>
    <w:rsid w:val="00B60D13"/>
    <w:rsid w:val="00B61CE6"/>
    <w:rsid w:val="00B62423"/>
    <w:rsid w:val="00B635F5"/>
    <w:rsid w:val="00B63E84"/>
    <w:rsid w:val="00B64E5E"/>
    <w:rsid w:val="00B670F2"/>
    <w:rsid w:val="00B7034C"/>
    <w:rsid w:val="00B70777"/>
    <w:rsid w:val="00B74D62"/>
    <w:rsid w:val="00B80D68"/>
    <w:rsid w:val="00B82FED"/>
    <w:rsid w:val="00B848BC"/>
    <w:rsid w:val="00B853C6"/>
    <w:rsid w:val="00B8644E"/>
    <w:rsid w:val="00B91CD2"/>
    <w:rsid w:val="00BA1F2D"/>
    <w:rsid w:val="00BA2D42"/>
    <w:rsid w:val="00BB00DF"/>
    <w:rsid w:val="00BB02B7"/>
    <w:rsid w:val="00BB23BB"/>
    <w:rsid w:val="00BC0ACA"/>
    <w:rsid w:val="00BC35DA"/>
    <w:rsid w:val="00BC3797"/>
    <w:rsid w:val="00BC773A"/>
    <w:rsid w:val="00BC7AE7"/>
    <w:rsid w:val="00BC7DC3"/>
    <w:rsid w:val="00BD2060"/>
    <w:rsid w:val="00BD2E5D"/>
    <w:rsid w:val="00BD6FF0"/>
    <w:rsid w:val="00BE274E"/>
    <w:rsid w:val="00BE36B6"/>
    <w:rsid w:val="00BE5368"/>
    <w:rsid w:val="00BE5A00"/>
    <w:rsid w:val="00BF25A6"/>
    <w:rsid w:val="00BF37B3"/>
    <w:rsid w:val="00BF3ADA"/>
    <w:rsid w:val="00BF5D2F"/>
    <w:rsid w:val="00BF6862"/>
    <w:rsid w:val="00BF6D22"/>
    <w:rsid w:val="00BF766A"/>
    <w:rsid w:val="00C040E8"/>
    <w:rsid w:val="00C043AA"/>
    <w:rsid w:val="00C05C7B"/>
    <w:rsid w:val="00C0728A"/>
    <w:rsid w:val="00C119A3"/>
    <w:rsid w:val="00C12FDE"/>
    <w:rsid w:val="00C17371"/>
    <w:rsid w:val="00C244B6"/>
    <w:rsid w:val="00C303A4"/>
    <w:rsid w:val="00C322C4"/>
    <w:rsid w:val="00C33EAA"/>
    <w:rsid w:val="00C429F2"/>
    <w:rsid w:val="00C43119"/>
    <w:rsid w:val="00C43D10"/>
    <w:rsid w:val="00C44730"/>
    <w:rsid w:val="00C52AB1"/>
    <w:rsid w:val="00C52EDF"/>
    <w:rsid w:val="00C53EE2"/>
    <w:rsid w:val="00C55003"/>
    <w:rsid w:val="00C55DCC"/>
    <w:rsid w:val="00C55E71"/>
    <w:rsid w:val="00C614D7"/>
    <w:rsid w:val="00C6751C"/>
    <w:rsid w:val="00C67C27"/>
    <w:rsid w:val="00C705C3"/>
    <w:rsid w:val="00C719ED"/>
    <w:rsid w:val="00C75860"/>
    <w:rsid w:val="00C75FB4"/>
    <w:rsid w:val="00C774A4"/>
    <w:rsid w:val="00C864BD"/>
    <w:rsid w:val="00C909C0"/>
    <w:rsid w:val="00C952BE"/>
    <w:rsid w:val="00C953A3"/>
    <w:rsid w:val="00CA13BD"/>
    <w:rsid w:val="00CA41E9"/>
    <w:rsid w:val="00CA63C1"/>
    <w:rsid w:val="00CB1575"/>
    <w:rsid w:val="00CB1D27"/>
    <w:rsid w:val="00CB2DB0"/>
    <w:rsid w:val="00CB3072"/>
    <w:rsid w:val="00CC0F20"/>
    <w:rsid w:val="00CC10C6"/>
    <w:rsid w:val="00CC198A"/>
    <w:rsid w:val="00CC19A8"/>
    <w:rsid w:val="00CC578B"/>
    <w:rsid w:val="00CC6A9F"/>
    <w:rsid w:val="00CC7DB8"/>
    <w:rsid w:val="00CD1B52"/>
    <w:rsid w:val="00CD53BE"/>
    <w:rsid w:val="00CD5555"/>
    <w:rsid w:val="00CD617F"/>
    <w:rsid w:val="00CD7349"/>
    <w:rsid w:val="00CE014C"/>
    <w:rsid w:val="00CE0234"/>
    <w:rsid w:val="00CE0360"/>
    <w:rsid w:val="00CE080B"/>
    <w:rsid w:val="00CE2D23"/>
    <w:rsid w:val="00CE4574"/>
    <w:rsid w:val="00CE67BB"/>
    <w:rsid w:val="00CF02B1"/>
    <w:rsid w:val="00CF02FF"/>
    <w:rsid w:val="00CF56F0"/>
    <w:rsid w:val="00CF635E"/>
    <w:rsid w:val="00CF6842"/>
    <w:rsid w:val="00D04EF7"/>
    <w:rsid w:val="00D10B5C"/>
    <w:rsid w:val="00D10E1F"/>
    <w:rsid w:val="00D11E3F"/>
    <w:rsid w:val="00D12EEE"/>
    <w:rsid w:val="00D1590D"/>
    <w:rsid w:val="00D17F77"/>
    <w:rsid w:val="00D2028E"/>
    <w:rsid w:val="00D209A7"/>
    <w:rsid w:val="00D20F26"/>
    <w:rsid w:val="00D25F3A"/>
    <w:rsid w:val="00D277F5"/>
    <w:rsid w:val="00D3046F"/>
    <w:rsid w:val="00D40319"/>
    <w:rsid w:val="00D40B9D"/>
    <w:rsid w:val="00D41A0A"/>
    <w:rsid w:val="00D45980"/>
    <w:rsid w:val="00D45CAC"/>
    <w:rsid w:val="00D511D7"/>
    <w:rsid w:val="00D6053F"/>
    <w:rsid w:val="00D61856"/>
    <w:rsid w:val="00D64879"/>
    <w:rsid w:val="00D66193"/>
    <w:rsid w:val="00D70541"/>
    <w:rsid w:val="00D70F5A"/>
    <w:rsid w:val="00D72EF6"/>
    <w:rsid w:val="00D75B2E"/>
    <w:rsid w:val="00D8079A"/>
    <w:rsid w:val="00D8332C"/>
    <w:rsid w:val="00D90381"/>
    <w:rsid w:val="00D91CAA"/>
    <w:rsid w:val="00D92383"/>
    <w:rsid w:val="00D95B91"/>
    <w:rsid w:val="00D96957"/>
    <w:rsid w:val="00D97C91"/>
    <w:rsid w:val="00DA5C01"/>
    <w:rsid w:val="00DB056B"/>
    <w:rsid w:val="00DB24C7"/>
    <w:rsid w:val="00DB4BE6"/>
    <w:rsid w:val="00DB7DA1"/>
    <w:rsid w:val="00DC3D3B"/>
    <w:rsid w:val="00DD0A6C"/>
    <w:rsid w:val="00DD0EE3"/>
    <w:rsid w:val="00DD2371"/>
    <w:rsid w:val="00DD756F"/>
    <w:rsid w:val="00DD7778"/>
    <w:rsid w:val="00DD7B30"/>
    <w:rsid w:val="00DE12F0"/>
    <w:rsid w:val="00DE1F8C"/>
    <w:rsid w:val="00DE717F"/>
    <w:rsid w:val="00DF13F7"/>
    <w:rsid w:val="00DF32DE"/>
    <w:rsid w:val="00DF3A32"/>
    <w:rsid w:val="00DF6BC1"/>
    <w:rsid w:val="00E111FD"/>
    <w:rsid w:val="00E15109"/>
    <w:rsid w:val="00E22EC5"/>
    <w:rsid w:val="00E23087"/>
    <w:rsid w:val="00E2789E"/>
    <w:rsid w:val="00E30180"/>
    <w:rsid w:val="00E34549"/>
    <w:rsid w:val="00E347FD"/>
    <w:rsid w:val="00E36C2B"/>
    <w:rsid w:val="00E464DF"/>
    <w:rsid w:val="00E511BC"/>
    <w:rsid w:val="00E51B50"/>
    <w:rsid w:val="00E52D5D"/>
    <w:rsid w:val="00E54FC6"/>
    <w:rsid w:val="00E622FE"/>
    <w:rsid w:val="00E63077"/>
    <w:rsid w:val="00E642B5"/>
    <w:rsid w:val="00E64CD5"/>
    <w:rsid w:val="00E67BBD"/>
    <w:rsid w:val="00E67CC7"/>
    <w:rsid w:val="00E70628"/>
    <w:rsid w:val="00E72A0E"/>
    <w:rsid w:val="00E80705"/>
    <w:rsid w:val="00E82EBE"/>
    <w:rsid w:val="00E86A47"/>
    <w:rsid w:val="00E903CF"/>
    <w:rsid w:val="00E9182C"/>
    <w:rsid w:val="00E93AD8"/>
    <w:rsid w:val="00E9426B"/>
    <w:rsid w:val="00E96A71"/>
    <w:rsid w:val="00EA4A4A"/>
    <w:rsid w:val="00EA5C90"/>
    <w:rsid w:val="00EA6023"/>
    <w:rsid w:val="00EB0E5A"/>
    <w:rsid w:val="00EB13B0"/>
    <w:rsid w:val="00EB13DF"/>
    <w:rsid w:val="00EB3D9C"/>
    <w:rsid w:val="00EB715E"/>
    <w:rsid w:val="00EC3B8F"/>
    <w:rsid w:val="00EC6728"/>
    <w:rsid w:val="00EC782F"/>
    <w:rsid w:val="00ED566F"/>
    <w:rsid w:val="00ED621A"/>
    <w:rsid w:val="00ED6997"/>
    <w:rsid w:val="00EE2472"/>
    <w:rsid w:val="00EE4DF4"/>
    <w:rsid w:val="00EE6C1A"/>
    <w:rsid w:val="00EE72B1"/>
    <w:rsid w:val="00EF2D0C"/>
    <w:rsid w:val="00EF5361"/>
    <w:rsid w:val="00F01480"/>
    <w:rsid w:val="00F032DF"/>
    <w:rsid w:val="00F0543D"/>
    <w:rsid w:val="00F066A3"/>
    <w:rsid w:val="00F14410"/>
    <w:rsid w:val="00F14619"/>
    <w:rsid w:val="00F15E06"/>
    <w:rsid w:val="00F16093"/>
    <w:rsid w:val="00F22393"/>
    <w:rsid w:val="00F23BB3"/>
    <w:rsid w:val="00F25C20"/>
    <w:rsid w:val="00F264AA"/>
    <w:rsid w:val="00F26FE3"/>
    <w:rsid w:val="00F352D1"/>
    <w:rsid w:val="00F37323"/>
    <w:rsid w:val="00F413F9"/>
    <w:rsid w:val="00F415D5"/>
    <w:rsid w:val="00F41839"/>
    <w:rsid w:val="00F43A1F"/>
    <w:rsid w:val="00F43C80"/>
    <w:rsid w:val="00F536AF"/>
    <w:rsid w:val="00F55D1C"/>
    <w:rsid w:val="00F60126"/>
    <w:rsid w:val="00F618DF"/>
    <w:rsid w:val="00F62F43"/>
    <w:rsid w:val="00F776F2"/>
    <w:rsid w:val="00F8130D"/>
    <w:rsid w:val="00F91B93"/>
    <w:rsid w:val="00FA05A5"/>
    <w:rsid w:val="00FA60F9"/>
    <w:rsid w:val="00FA79FD"/>
    <w:rsid w:val="00FC1EA6"/>
    <w:rsid w:val="00FC2FBE"/>
    <w:rsid w:val="00FC4693"/>
    <w:rsid w:val="00FC5775"/>
    <w:rsid w:val="00FD1D20"/>
    <w:rsid w:val="00FD3CA2"/>
    <w:rsid w:val="00FD40AF"/>
    <w:rsid w:val="00FE28C8"/>
    <w:rsid w:val="00FE3BB2"/>
    <w:rsid w:val="00FE4966"/>
    <w:rsid w:val="00FE7379"/>
    <w:rsid w:val="00FE79C8"/>
    <w:rsid w:val="00FF03C3"/>
    <w:rsid w:val="00FF371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AFAF5"/>
  <w15:chartTrackingRefBased/>
  <w15:docId w15:val="{5C884CCB-54BA-4D7E-B329-F2423FBF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9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9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9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9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9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9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9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9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9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9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968"/>
    <w:rPr>
      <w:rFonts w:eastAsiaTheme="majorEastAsia" w:cstheme="majorBidi"/>
      <w:color w:val="272727" w:themeColor="text1" w:themeTint="D8"/>
    </w:rPr>
  </w:style>
  <w:style w:type="paragraph" w:styleId="Title">
    <w:name w:val="Title"/>
    <w:basedOn w:val="Normal"/>
    <w:next w:val="Normal"/>
    <w:link w:val="TitleChar"/>
    <w:uiPriority w:val="10"/>
    <w:qFormat/>
    <w:rsid w:val="00942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968"/>
    <w:pPr>
      <w:spacing w:before="160"/>
      <w:jc w:val="center"/>
    </w:pPr>
    <w:rPr>
      <w:i/>
      <w:iCs/>
      <w:color w:val="404040" w:themeColor="text1" w:themeTint="BF"/>
    </w:rPr>
  </w:style>
  <w:style w:type="character" w:customStyle="1" w:styleId="QuoteChar">
    <w:name w:val="Quote Char"/>
    <w:basedOn w:val="DefaultParagraphFont"/>
    <w:link w:val="Quote"/>
    <w:uiPriority w:val="29"/>
    <w:rsid w:val="00942968"/>
    <w:rPr>
      <w:i/>
      <w:iCs/>
      <w:color w:val="404040" w:themeColor="text1" w:themeTint="BF"/>
    </w:rPr>
  </w:style>
  <w:style w:type="paragraph" w:styleId="ListParagraph">
    <w:name w:val="List Paragraph"/>
    <w:basedOn w:val="Normal"/>
    <w:uiPriority w:val="34"/>
    <w:qFormat/>
    <w:rsid w:val="00942968"/>
    <w:pPr>
      <w:ind w:left="720"/>
      <w:contextualSpacing/>
    </w:pPr>
  </w:style>
  <w:style w:type="character" w:styleId="IntenseEmphasis">
    <w:name w:val="Intense Emphasis"/>
    <w:basedOn w:val="DefaultParagraphFont"/>
    <w:uiPriority w:val="21"/>
    <w:qFormat/>
    <w:rsid w:val="00942968"/>
    <w:rPr>
      <w:i/>
      <w:iCs/>
      <w:color w:val="2F5496" w:themeColor="accent1" w:themeShade="BF"/>
    </w:rPr>
  </w:style>
  <w:style w:type="paragraph" w:styleId="IntenseQuote">
    <w:name w:val="Intense Quote"/>
    <w:basedOn w:val="Normal"/>
    <w:next w:val="Normal"/>
    <w:link w:val="IntenseQuoteChar"/>
    <w:uiPriority w:val="30"/>
    <w:qFormat/>
    <w:rsid w:val="009429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968"/>
    <w:rPr>
      <w:i/>
      <w:iCs/>
      <w:color w:val="2F5496" w:themeColor="accent1" w:themeShade="BF"/>
    </w:rPr>
  </w:style>
  <w:style w:type="character" w:styleId="IntenseReference">
    <w:name w:val="Intense Reference"/>
    <w:basedOn w:val="DefaultParagraphFont"/>
    <w:uiPriority w:val="32"/>
    <w:qFormat/>
    <w:rsid w:val="00942968"/>
    <w:rPr>
      <w:b/>
      <w:bCs/>
      <w:smallCaps/>
      <w:color w:val="2F5496" w:themeColor="accent1" w:themeShade="BF"/>
      <w:spacing w:val="5"/>
    </w:rPr>
  </w:style>
  <w:style w:type="paragraph" w:styleId="Header">
    <w:name w:val="header"/>
    <w:basedOn w:val="Normal"/>
    <w:link w:val="HeaderChar"/>
    <w:uiPriority w:val="99"/>
    <w:unhideWhenUsed/>
    <w:rsid w:val="00732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053"/>
  </w:style>
  <w:style w:type="paragraph" w:styleId="Footer">
    <w:name w:val="footer"/>
    <w:basedOn w:val="Normal"/>
    <w:link w:val="FooterChar"/>
    <w:uiPriority w:val="99"/>
    <w:unhideWhenUsed/>
    <w:rsid w:val="00732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053"/>
  </w:style>
  <w:style w:type="character" w:styleId="Hyperlink">
    <w:name w:val="Hyperlink"/>
    <w:basedOn w:val="DefaultParagraphFont"/>
    <w:uiPriority w:val="99"/>
    <w:unhideWhenUsed/>
    <w:rsid w:val="00593CCC"/>
    <w:rPr>
      <w:color w:val="0563C1" w:themeColor="hyperlink"/>
      <w:u w:val="single"/>
    </w:rPr>
  </w:style>
  <w:style w:type="character" w:styleId="UnresolvedMention">
    <w:name w:val="Unresolved Mention"/>
    <w:basedOn w:val="DefaultParagraphFont"/>
    <w:uiPriority w:val="99"/>
    <w:semiHidden/>
    <w:unhideWhenUsed/>
    <w:rsid w:val="00593CCC"/>
    <w:rPr>
      <w:color w:val="605E5C"/>
      <w:shd w:val="clear" w:color="auto" w:fill="E1DFDD"/>
    </w:rPr>
  </w:style>
  <w:style w:type="table" w:styleId="TableGrid">
    <w:name w:val="Table Grid"/>
    <w:basedOn w:val="TableNormal"/>
    <w:uiPriority w:val="39"/>
    <w:rsid w:val="00730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C4F3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S0140-6736(16)30781-4" TargetMode="External"/><Relationship Id="rId18" Type="http://schemas.openxmlformats.org/officeDocument/2006/relationships/hyperlink" Target="https://doi.org/10.1007/s10461-009-9593-3" TargetMode="External"/><Relationship Id="rId26" Type="http://schemas.openxmlformats.org/officeDocument/2006/relationships/hyperlink" Target="https://doi.org/10.1016/S0140-6736(14)60955-9" TargetMode="External"/><Relationship Id="rId39" Type="http://schemas.openxmlformats.org/officeDocument/2006/relationships/hyperlink" Target="https://doi.org/10.1007/s10461-016-1451-5" TargetMode="External"/><Relationship Id="rId3" Type="http://schemas.openxmlformats.org/officeDocument/2006/relationships/settings" Target="settings.xml"/><Relationship Id="rId21" Type="http://schemas.openxmlformats.org/officeDocument/2006/relationships/hyperlink" Target="https://doi.org/10.7448/IAS.17.1.19032" TargetMode="External"/><Relationship Id="rId34" Type="http://schemas.openxmlformats.org/officeDocument/2006/relationships/hyperlink" Target="https://doi.org/10.1097/COH.0000000000000434"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16/S1473-3099(12)70066-X" TargetMode="External"/><Relationship Id="rId17" Type="http://schemas.openxmlformats.org/officeDocument/2006/relationships/hyperlink" Target="https://doi.org/10.1016/S0140-6736(14)60800-X" TargetMode="External"/><Relationship Id="rId25" Type="http://schemas.openxmlformats.org/officeDocument/2006/relationships/hyperlink" Target="https://doi.org/10.1093/jurban/78.3.458" TargetMode="External"/><Relationship Id="rId33" Type="http://schemas.openxmlformats.org/officeDocument/2006/relationships/hyperlink" Target="https://doi.org/10.1186/s12916-019-1271-3" TargetMode="External"/><Relationship Id="rId38" Type="http://schemas.openxmlformats.org/officeDocument/2006/relationships/hyperlink" Target="https://doi.org/10.1007/s10461-016-1394-1" TargetMode="External"/><Relationship Id="rId2" Type="http://schemas.openxmlformats.org/officeDocument/2006/relationships/styles" Target="styles.xml"/><Relationship Id="rId16" Type="http://schemas.openxmlformats.org/officeDocument/2006/relationships/hyperlink" Target="https://doi.org/10.1186/1748-5908-4-50" TargetMode="External"/><Relationship Id="rId20" Type="http://schemas.openxmlformats.org/officeDocument/2006/relationships/hyperlink" Target="https://doi.org/10.1186/1758-2652-14-12" TargetMode="External"/><Relationship Id="rId29" Type="http://schemas.openxmlformats.org/officeDocument/2006/relationships/hyperlink" Target="https://doi.org/10.1186/s12889-020-08673-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1090198104263660" TargetMode="External"/><Relationship Id="rId24" Type="http://schemas.openxmlformats.org/officeDocument/2006/relationships/hyperlink" Target="https://www.hrw.org/report/2016/10/20/tell-me-where-i-can-be-safe/impact-nigerias-same-sex-marriage-prohibition-act" TargetMode="External"/><Relationship Id="rId32" Type="http://schemas.openxmlformats.org/officeDocument/2006/relationships/hyperlink" Target="https://doi.org/10.1037/0033-2909.129.5.674" TargetMode="External"/><Relationship Id="rId37" Type="http://schemas.openxmlformats.org/officeDocument/2006/relationships/hyperlink" Target="https://doi.org/10.1007/s10461-015-1008-4" TargetMode="External"/><Relationship Id="rId40" Type="http://schemas.openxmlformats.org/officeDocument/2006/relationships/hyperlink" Target="https://doi.org/10.1097/QAD.0000000000000657" TargetMode="External"/><Relationship Id="rId5" Type="http://schemas.openxmlformats.org/officeDocument/2006/relationships/footnotes" Target="footnotes.xml"/><Relationship Id="rId15" Type="http://schemas.openxmlformats.org/officeDocument/2006/relationships/hyperlink" Target="https://doi.org/10.1080/09540121.2010.525812" TargetMode="External"/><Relationship Id="rId23" Type="http://schemas.openxmlformats.org/officeDocument/2006/relationships/hyperlink" Target="https://doi.org/10.1097/QAD.0000000000001511" TargetMode="External"/><Relationship Id="rId28" Type="http://schemas.openxmlformats.org/officeDocument/2006/relationships/hyperlink" Target="https://doi.org/10.1016/j.socscimed.2019.04.025" TargetMode="External"/><Relationship Id="rId36" Type="http://schemas.openxmlformats.org/officeDocument/2006/relationships/hyperlink" Target="https://doi.org/10.1097/QAI.0000000000001087" TargetMode="External"/><Relationship Id="rId10" Type="http://schemas.openxmlformats.org/officeDocument/2006/relationships/hyperlink" Target="https://doi.org/10.1080/09540121.2018.1492691" TargetMode="External"/><Relationship Id="rId19" Type="http://schemas.openxmlformats.org/officeDocument/2006/relationships/hyperlink" Target="https://doi.org/10.1086/382250" TargetMode="External"/><Relationship Id="rId31" Type="http://schemas.openxmlformats.org/officeDocument/2006/relationships/hyperlink" Target="https://doi.org/10.1521/aeap.2009.21.3.181"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1016/S0140-6736(12)60821-6" TargetMode="External"/><Relationship Id="rId22" Type="http://schemas.openxmlformats.org/officeDocument/2006/relationships/hyperlink" Target="https://doi.org/10.1016/S0140-6736(07)61200-8" TargetMode="External"/><Relationship Id="rId27" Type="http://schemas.openxmlformats.org/officeDocument/2006/relationships/hyperlink" Target="https://doi.org/10.1089/apc.2017.0313" TargetMode="External"/><Relationship Id="rId30" Type="http://schemas.openxmlformats.org/officeDocument/2006/relationships/hyperlink" Target="https://doi.org/10.1007/s10461-017-1763-2" TargetMode="External"/><Relationship Id="rId35" Type="http://schemas.openxmlformats.org/officeDocument/2006/relationships/hyperlink" Target="https://doi.org/10.7448/IAS.20.4.2165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b="1"/>
              <a:t>% Reporting (n = 457)</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 Reporting (n = 457)</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delete val="1"/>
          </c:dLbls>
          <c:cat>
            <c:strRef>
              <c:f>Sheet1!$A$4:$A$8</c:f>
              <c:strCache>
                <c:ptCount val="5"/>
                <c:pt idx="0">
                  <c:v>Fear of arrest/legal consequences </c:v>
                </c:pt>
                <c:pt idx="1">
                  <c:v>Stigma in healthcare settings</c:v>
                </c:pt>
                <c:pt idx="2">
                  <c:v>Previous experience of GBV</c:v>
                </c:pt>
                <c:pt idx="3">
                  <c:v>Lack of knowledge of legal rights</c:v>
                </c:pt>
                <c:pt idx="4">
                  <c:v>Avoidance of HIV services due to stigma  </c:v>
                </c:pt>
              </c:strCache>
            </c:strRef>
          </c:cat>
          <c:val>
            <c:numRef>
              <c:f>Sheet1!$B$4:$B$8</c:f>
              <c:numCache>
                <c:formatCode>0.00%</c:formatCode>
                <c:ptCount val="5"/>
                <c:pt idx="0">
                  <c:v>0.72399999999999998</c:v>
                </c:pt>
                <c:pt idx="1">
                  <c:v>0.68899999999999995</c:v>
                </c:pt>
                <c:pt idx="2">
                  <c:v>0.61299999999999999</c:v>
                </c:pt>
                <c:pt idx="3">
                  <c:v>0.64800000000000002</c:v>
                </c:pt>
                <c:pt idx="4">
                  <c:v>0.57599999999999996</c:v>
                </c:pt>
              </c:numCache>
            </c:numRef>
          </c:val>
          <c:extLst>
            <c:ext xmlns:c16="http://schemas.microsoft.com/office/drawing/2014/chart" uri="{C3380CC4-5D6E-409C-BE32-E72D297353CC}">
              <c16:uniqueId val="{00000000-D867-4C45-9BCF-616A53B18D0E}"/>
            </c:ext>
          </c:extLst>
        </c:ser>
        <c:dLbls>
          <c:dLblPos val="inEnd"/>
          <c:showLegendKey val="0"/>
          <c:showVal val="1"/>
          <c:showCatName val="0"/>
          <c:showSerName val="0"/>
          <c:showPercent val="0"/>
          <c:showBubbleSize val="0"/>
        </c:dLbls>
        <c:gapWidth val="41"/>
        <c:axId val="396964744"/>
        <c:axId val="396963664"/>
      </c:barChart>
      <c:catAx>
        <c:axId val="3969647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1"/>
                  <a:t>Barriers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n-US"/>
          </a:p>
        </c:txPr>
        <c:crossAx val="396963664"/>
        <c:crosses val="autoZero"/>
        <c:auto val="1"/>
        <c:lblAlgn val="ctr"/>
        <c:lblOffset val="100"/>
        <c:noMultiLvlLbl val="0"/>
      </c:catAx>
      <c:valAx>
        <c:axId val="39696366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1"/>
                  <a:t>Percentage of participants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crossAx val="396964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Change in Knowledge Indicators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Sheet1!$B$13</c:f>
              <c:strCache>
                <c:ptCount val="1"/>
                <c:pt idx="0">
                  <c:v>Pre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Sheet1!$A$14:$A$16</c:f>
              <c:strCache>
                <c:ptCount val="3"/>
                <c:pt idx="0">
                  <c:v>Knowledge of HIV prevention methods</c:v>
                </c:pt>
                <c:pt idx="1">
                  <c:v>Awareness of legal rights </c:v>
                </c:pt>
                <c:pt idx="2">
                  <c:v>Awareness of GBV response pathways</c:v>
                </c:pt>
              </c:strCache>
            </c:strRef>
          </c:cat>
          <c:val>
            <c:numRef>
              <c:f>Sheet1!$B$14:$B$16</c:f>
              <c:numCache>
                <c:formatCode>General</c:formatCode>
                <c:ptCount val="3"/>
                <c:pt idx="0">
                  <c:v>54.2</c:v>
                </c:pt>
                <c:pt idx="1">
                  <c:v>35.6</c:v>
                </c:pt>
                <c:pt idx="2">
                  <c:v>41.3</c:v>
                </c:pt>
              </c:numCache>
            </c:numRef>
          </c:val>
          <c:extLst>
            <c:ext xmlns:c16="http://schemas.microsoft.com/office/drawing/2014/chart" uri="{C3380CC4-5D6E-409C-BE32-E72D297353CC}">
              <c16:uniqueId val="{00000000-0852-4B13-821F-D7ACD0B77982}"/>
            </c:ext>
          </c:extLst>
        </c:ser>
        <c:ser>
          <c:idx val="1"/>
          <c:order val="1"/>
          <c:tx>
            <c:strRef>
              <c:f>Sheet1!$C$13</c:f>
              <c:strCache>
                <c:ptCount val="1"/>
                <c:pt idx="0">
                  <c:v>Post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Sheet1!$A$14:$A$16</c:f>
              <c:strCache>
                <c:ptCount val="3"/>
                <c:pt idx="0">
                  <c:v>Knowledge of HIV prevention methods</c:v>
                </c:pt>
                <c:pt idx="1">
                  <c:v>Awareness of legal rights </c:v>
                </c:pt>
                <c:pt idx="2">
                  <c:v>Awareness of GBV response pathways</c:v>
                </c:pt>
              </c:strCache>
            </c:strRef>
          </c:cat>
          <c:val>
            <c:numRef>
              <c:f>Sheet1!$C$14:$C$16</c:f>
              <c:numCache>
                <c:formatCode>General</c:formatCode>
                <c:ptCount val="3"/>
                <c:pt idx="0">
                  <c:v>81.7</c:v>
                </c:pt>
                <c:pt idx="1">
                  <c:v>73.400000000000006</c:v>
                </c:pt>
                <c:pt idx="2">
                  <c:v>78.900000000000006</c:v>
                </c:pt>
              </c:numCache>
            </c:numRef>
          </c:val>
          <c:extLst>
            <c:ext xmlns:c16="http://schemas.microsoft.com/office/drawing/2014/chart" uri="{C3380CC4-5D6E-409C-BE32-E72D297353CC}">
              <c16:uniqueId val="{00000001-0852-4B13-821F-D7ACD0B77982}"/>
            </c:ext>
          </c:extLst>
        </c:ser>
        <c:dLbls>
          <c:dLblPos val="outEnd"/>
          <c:showLegendKey val="0"/>
          <c:showVal val="1"/>
          <c:showCatName val="0"/>
          <c:showSerName val="0"/>
          <c:showPercent val="0"/>
          <c:showBubbleSize val="0"/>
        </c:dLbls>
        <c:gapWidth val="219"/>
        <c:overlap val="-27"/>
        <c:axId val="126289640"/>
        <c:axId val="126293600"/>
      </c:barChart>
      <c:catAx>
        <c:axId val="126289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Knowledge</a:t>
                </a:r>
                <a:r>
                  <a:rPr lang="en-US" sz="1200" b="1" baseline="0"/>
                  <a:t> Indicator </a:t>
                </a:r>
                <a:endParaRPr lang="en-US" sz="12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93600"/>
        <c:crosses val="autoZero"/>
        <c:auto val="1"/>
        <c:lblAlgn val="ctr"/>
        <c:lblOffset val="100"/>
        <c:noMultiLvlLbl val="0"/>
      </c:catAx>
      <c:valAx>
        <c:axId val="12629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Percentaage</a:t>
                </a:r>
                <a:r>
                  <a:rPr lang="en-US" sz="1200" b="1" baseline="0"/>
                  <a:t> (%)</a:t>
                </a:r>
                <a:endParaRPr lang="en-US"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8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13170</Words>
  <Characters>75069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Aondoakaa Lubem</dc:creator>
  <cp:keywords/>
  <dc:description/>
  <cp:lastModifiedBy>Aondoakaa Lubem</cp:lastModifiedBy>
  <cp:revision>2</cp:revision>
  <cp:lastPrinted>2026-04-15T09:02:00Z</cp:lastPrinted>
  <dcterms:created xsi:type="dcterms:W3CDTF">2026-04-15T14:33:00Z</dcterms:created>
  <dcterms:modified xsi:type="dcterms:W3CDTF">2026-04-15T14:33:00Z</dcterms:modified>
</cp:coreProperties>
</file>