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2377"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Emotional and Psychological Profile of Patients After Pedicle Screws Fixation for Spinal Disorders at the National </w:t>
      </w:r>
      <w:proofErr w:type="spellStart"/>
      <w:r w:rsidRPr="00C34AED">
        <w:rPr>
          <w:rFonts w:ascii="Times New Roman" w:hAnsi="Times New Roman"/>
          <w:sz w:val="24"/>
          <w:szCs w:val="24"/>
        </w:rPr>
        <w:t>Orthopaedic</w:t>
      </w:r>
      <w:proofErr w:type="spellEnd"/>
      <w:r w:rsidRPr="00C34AED">
        <w:rPr>
          <w:rFonts w:ascii="Times New Roman" w:hAnsi="Times New Roman"/>
          <w:sz w:val="24"/>
          <w:szCs w:val="24"/>
        </w:rPr>
        <w:t xml:space="preserve"> Hospital </w:t>
      </w:r>
      <w:proofErr w:type="spellStart"/>
      <w:r w:rsidRPr="00C34AED">
        <w:rPr>
          <w:rFonts w:ascii="Times New Roman" w:hAnsi="Times New Roman"/>
          <w:sz w:val="24"/>
          <w:szCs w:val="24"/>
        </w:rPr>
        <w:t>Dala</w:t>
      </w:r>
      <w:proofErr w:type="spellEnd"/>
      <w:r w:rsidRPr="00C34AED">
        <w:rPr>
          <w:rFonts w:ascii="Times New Roman" w:hAnsi="Times New Roman"/>
          <w:sz w:val="24"/>
          <w:szCs w:val="24"/>
        </w:rPr>
        <w:t>, Kano, Nigeria</w:t>
      </w:r>
    </w:p>
    <w:p w14:paraId="67F46578" w14:textId="77777777" w:rsidR="0015353F" w:rsidRPr="00C34AED" w:rsidRDefault="0015353F" w:rsidP="00C34AED">
      <w:pPr>
        <w:spacing w:line="360" w:lineRule="auto"/>
        <w:jc w:val="both"/>
        <w:rPr>
          <w:rFonts w:ascii="Times New Roman" w:hAnsi="Times New Roman"/>
          <w:sz w:val="24"/>
          <w:szCs w:val="24"/>
        </w:rPr>
      </w:pPr>
    </w:p>
    <w:p w14:paraId="25E5933F"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Abstract</w:t>
      </w:r>
    </w:p>
    <w:p w14:paraId="2C24C855"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Background: Spinal surgery outcomes are traditionally measured by fusion rates and </w:t>
      </w:r>
      <w:r w:rsidRPr="00C34AED">
        <w:rPr>
          <w:rFonts w:ascii="Times New Roman" w:hAnsi="Times New Roman"/>
          <w:sz w:val="24"/>
          <w:szCs w:val="24"/>
        </w:rPr>
        <w:t xml:space="preserve">complication counts, yet patients’ emotional and psychological well‑being is often neglected, especially in low‑resource settings. This study evaluates the postoperative emotional and psychological profile of Nigerian patients after pedicle screw fixation </w:t>
      </w:r>
      <w:r w:rsidRPr="00C34AED">
        <w:rPr>
          <w:rFonts w:ascii="Times New Roman" w:hAnsi="Times New Roman"/>
          <w:sz w:val="24"/>
          <w:szCs w:val="24"/>
        </w:rPr>
        <w:t>and incorporates qualitative insights into their lived experiences.</w:t>
      </w:r>
    </w:p>
    <w:p w14:paraId="449D946B"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Methods: A mixed‑methods cross‑sectional study was conducted among patients who underwent freehand pedicle screw fixation (thoracic/lumbar) between 2018 and 2023. Only 55% of eligible pat</w:t>
      </w:r>
      <w:r w:rsidRPr="00C34AED">
        <w:rPr>
          <w:rFonts w:ascii="Times New Roman" w:hAnsi="Times New Roman"/>
          <w:sz w:val="24"/>
          <w:szCs w:val="24"/>
        </w:rPr>
        <w:t xml:space="preserve">ients were recruited. Quantitative assessment used the Hospital Anxiety and Depression Scale (HADS), the Somatization subscale of the SCL‑90‑R, and the </w:t>
      </w:r>
      <w:proofErr w:type="spellStart"/>
      <w:r w:rsidRPr="00C34AED">
        <w:rPr>
          <w:rFonts w:ascii="Times New Roman" w:hAnsi="Times New Roman"/>
          <w:sz w:val="24"/>
          <w:szCs w:val="24"/>
        </w:rPr>
        <w:t>Oswestry</w:t>
      </w:r>
      <w:proofErr w:type="spellEnd"/>
      <w:r w:rsidRPr="00C34AED">
        <w:rPr>
          <w:rFonts w:ascii="Times New Roman" w:hAnsi="Times New Roman"/>
          <w:sz w:val="24"/>
          <w:szCs w:val="24"/>
        </w:rPr>
        <w:t xml:space="preserve"> Disability Index (ODI). Semi‑structured qualitative interviews explored coping mechanisms and l</w:t>
      </w:r>
      <w:r w:rsidRPr="00C34AED">
        <w:rPr>
          <w:rFonts w:ascii="Times New Roman" w:hAnsi="Times New Roman"/>
          <w:sz w:val="24"/>
          <w:szCs w:val="24"/>
        </w:rPr>
        <w:t>ived experiences.</w:t>
      </w:r>
    </w:p>
    <w:p w14:paraId="5EFEB37F"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Results: Seventy‑eight patients (55% of 142 eligible) participated (mean age 54.2±12.8 years, 55.1% female). Mean time since surgery was 22.4±8.6 months. Clinically significant anxiety was present in 44.9%, depression in 38.5%, and high </w:t>
      </w:r>
      <w:r w:rsidRPr="00C34AED">
        <w:rPr>
          <w:rFonts w:ascii="Times New Roman" w:hAnsi="Times New Roman"/>
          <w:sz w:val="24"/>
          <w:szCs w:val="24"/>
        </w:rPr>
        <w:t>somatization in 35.9%. Severe disability (ODI&gt;40) was found in 60.3%. High somatization correlated with worse ODI (61.2 vs. 32.5, p&lt;0.001) and residual pain (VAS 6.3 vs. 3.9, p&lt;0.001). Only 12.8% received psychological support. Qualitative interviews revea</w:t>
      </w:r>
      <w:r w:rsidRPr="00C34AED">
        <w:rPr>
          <w:rFonts w:ascii="Times New Roman" w:hAnsi="Times New Roman"/>
          <w:sz w:val="24"/>
          <w:szCs w:val="24"/>
        </w:rPr>
        <w:t>led five major themes: persistent fear of re‑injury, financial stress, reliance on religious coping, social withdrawal, and unmet needs for counselling.</w:t>
      </w:r>
    </w:p>
    <w:p w14:paraId="607677A9"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Conclusions: Anxiety, depression, and somatization are highly prevalent months after pedicle screw fix</w:t>
      </w:r>
      <w:r w:rsidRPr="00C34AED">
        <w:rPr>
          <w:rFonts w:ascii="Times New Roman" w:hAnsi="Times New Roman"/>
          <w:sz w:val="24"/>
          <w:szCs w:val="24"/>
        </w:rPr>
        <w:t>ation in Nigerian patients and strongly correlate with persisting disability. Qualitative findings highlight the critical role of religious coping and the absence of structured psychological support. Routine screening and integrated psychosocial care are u</w:t>
      </w:r>
      <w:r w:rsidRPr="00C34AED">
        <w:rPr>
          <w:rFonts w:ascii="Times New Roman" w:hAnsi="Times New Roman"/>
          <w:sz w:val="24"/>
          <w:szCs w:val="24"/>
        </w:rPr>
        <w:t>rgently needed.</w:t>
      </w:r>
    </w:p>
    <w:p w14:paraId="3BD97652" w14:textId="77777777" w:rsidR="0015353F" w:rsidRPr="00C34AED" w:rsidRDefault="0015353F" w:rsidP="00C34AED">
      <w:pPr>
        <w:spacing w:line="360" w:lineRule="auto"/>
        <w:jc w:val="both"/>
        <w:rPr>
          <w:rFonts w:ascii="Times New Roman" w:hAnsi="Times New Roman"/>
          <w:sz w:val="24"/>
          <w:szCs w:val="24"/>
        </w:rPr>
      </w:pPr>
    </w:p>
    <w:p w14:paraId="209CFF28" w14:textId="22F2510A" w:rsidR="0015353F" w:rsidRPr="00C34AED" w:rsidRDefault="00C34AED" w:rsidP="00C34AED">
      <w:pPr>
        <w:spacing w:line="360" w:lineRule="auto"/>
        <w:jc w:val="both"/>
        <w:rPr>
          <w:rFonts w:ascii="Times New Roman" w:hAnsi="Times New Roman"/>
          <w:sz w:val="24"/>
          <w:szCs w:val="24"/>
        </w:rPr>
      </w:pPr>
      <w:r>
        <w:rPr>
          <w:rFonts w:ascii="Times New Roman" w:hAnsi="Times New Roman"/>
          <w:sz w:val="24"/>
          <w:szCs w:val="24"/>
        </w:rPr>
        <w:t xml:space="preserve">Keywords: </w:t>
      </w:r>
      <w:r>
        <w:rPr>
          <w:rFonts w:ascii="Times New Roman" w:hAnsi="Times New Roman"/>
          <w:sz w:val="24"/>
          <w:szCs w:val="24"/>
        </w:rPr>
        <w:t>Pedicle Screws; Somatization, Anxiety, Post</w:t>
      </w:r>
      <w:r>
        <w:rPr>
          <w:rFonts w:ascii="Times New Roman" w:hAnsi="Times New Roman"/>
          <w:sz w:val="24"/>
          <w:szCs w:val="24"/>
        </w:rPr>
        <w:t>-</w:t>
      </w:r>
      <w:r>
        <w:rPr>
          <w:rFonts w:ascii="Times New Roman" w:hAnsi="Times New Roman"/>
          <w:sz w:val="24"/>
          <w:szCs w:val="24"/>
        </w:rPr>
        <w:t xml:space="preserve">operative, </w:t>
      </w:r>
      <w:proofErr w:type="spellStart"/>
      <w:r>
        <w:rPr>
          <w:rFonts w:ascii="Times New Roman" w:hAnsi="Times New Roman"/>
          <w:sz w:val="24"/>
          <w:szCs w:val="24"/>
        </w:rPr>
        <w:t>Dala</w:t>
      </w:r>
      <w:proofErr w:type="spellEnd"/>
      <w:r>
        <w:rPr>
          <w:rFonts w:ascii="Times New Roman" w:hAnsi="Times New Roman"/>
          <w:sz w:val="24"/>
          <w:szCs w:val="24"/>
        </w:rPr>
        <w:t>, Nigeria</w:t>
      </w:r>
    </w:p>
    <w:p w14:paraId="005A0AE5" w14:textId="5121D51A" w:rsidR="0015353F" w:rsidRPr="00C34AED" w:rsidRDefault="00C34AED" w:rsidP="00C34AED">
      <w:pPr>
        <w:spacing w:line="360" w:lineRule="auto"/>
        <w:jc w:val="both"/>
        <w:rPr>
          <w:rFonts w:ascii="Times New Roman" w:hAnsi="Times New Roman"/>
          <w:b/>
          <w:bCs/>
          <w:sz w:val="24"/>
          <w:szCs w:val="24"/>
        </w:rPr>
      </w:pPr>
      <w:r w:rsidRPr="00C34AED">
        <w:rPr>
          <w:rFonts w:ascii="Times New Roman" w:hAnsi="Times New Roman"/>
          <w:b/>
          <w:bCs/>
          <w:sz w:val="24"/>
          <w:szCs w:val="24"/>
        </w:rPr>
        <w:lastRenderedPageBreak/>
        <w:t>INTRODUCTION</w:t>
      </w:r>
    </w:p>
    <w:p w14:paraId="2E0EA6F7" w14:textId="4A818446" w:rsidR="0015353F" w:rsidRPr="00F33B76" w:rsidRDefault="00AA1534" w:rsidP="00C34AED">
      <w:pPr>
        <w:spacing w:line="360" w:lineRule="auto"/>
        <w:jc w:val="both"/>
        <w:rPr>
          <w:rFonts w:ascii="Times New Roman" w:hAnsi="Times New Roman"/>
          <w:sz w:val="24"/>
          <w:szCs w:val="24"/>
          <w:vertAlign w:val="superscript"/>
        </w:rPr>
      </w:pPr>
      <w:r w:rsidRPr="00C34AED">
        <w:rPr>
          <w:rFonts w:ascii="Times New Roman" w:hAnsi="Times New Roman"/>
          <w:sz w:val="24"/>
          <w:szCs w:val="24"/>
        </w:rPr>
        <w:t>Pedicle screw fixation is the standard surgical treatment for many thoracic and lumbar spinal disorders, providing mechanical stability and the potential for pain relief and functional improvement</w:t>
      </w:r>
      <w:r w:rsidRPr="00C34AED">
        <w:rPr>
          <w:rFonts w:ascii="Times New Roman" w:hAnsi="Times New Roman"/>
          <w:sz w:val="24"/>
          <w:szCs w:val="24"/>
        </w:rPr>
        <w:t>.</w:t>
      </w:r>
      <w:r w:rsidR="00F33B76">
        <w:rPr>
          <w:rFonts w:ascii="Times New Roman" w:hAnsi="Times New Roman"/>
          <w:sz w:val="24"/>
          <w:szCs w:val="24"/>
          <w:vertAlign w:val="superscript"/>
        </w:rPr>
        <w:t>1-2</w:t>
      </w:r>
      <w:r w:rsidRPr="00C34AED">
        <w:rPr>
          <w:rFonts w:ascii="Times New Roman" w:hAnsi="Times New Roman"/>
          <w:sz w:val="24"/>
          <w:szCs w:val="24"/>
        </w:rPr>
        <w:t xml:space="preserve"> However, the su</w:t>
      </w:r>
      <w:r w:rsidRPr="00C34AED">
        <w:rPr>
          <w:rFonts w:ascii="Times New Roman" w:hAnsi="Times New Roman"/>
          <w:sz w:val="24"/>
          <w:szCs w:val="24"/>
        </w:rPr>
        <w:t>ccess of surgery extends beyond radiographic fusion; patients’ emotional and psychological recovery is equally important</w:t>
      </w:r>
      <w:r w:rsidRPr="00C34AED">
        <w:rPr>
          <w:rFonts w:ascii="Times New Roman" w:hAnsi="Times New Roman"/>
          <w:sz w:val="24"/>
          <w:szCs w:val="24"/>
        </w:rPr>
        <w:t>.</w:t>
      </w:r>
      <w:r w:rsidR="00F33B76">
        <w:rPr>
          <w:rFonts w:ascii="Times New Roman" w:hAnsi="Times New Roman"/>
          <w:sz w:val="24"/>
          <w:szCs w:val="24"/>
          <w:vertAlign w:val="superscript"/>
        </w:rPr>
        <w:t>3</w:t>
      </w:r>
      <w:r w:rsidRPr="00C34AED">
        <w:rPr>
          <w:rFonts w:ascii="Times New Roman" w:hAnsi="Times New Roman"/>
          <w:sz w:val="24"/>
          <w:szCs w:val="24"/>
        </w:rPr>
        <w:t xml:space="preserve"> Persistent pain, functional limitations, financial strain, and fear of re‑injury can precipitate anxiety, depression, and somatic </w:t>
      </w:r>
      <w:r w:rsidRPr="00C34AED">
        <w:rPr>
          <w:rFonts w:ascii="Times New Roman" w:hAnsi="Times New Roman"/>
          <w:sz w:val="24"/>
          <w:szCs w:val="24"/>
        </w:rPr>
        <w:t>preoccupation after surgery</w:t>
      </w:r>
      <w:r w:rsidRPr="00C34AED">
        <w:rPr>
          <w:rFonts w:ascii="Times New Roman" w:hAnsi="Times New Roman"/>
          <w:sz w:val="24"/>
          <w:szCs w:val="24"/>
        </w:rPr>
        <w:t>.</w:t>
      </w:r>
      <w:r w:rsidR="00F33B76">
        <w:rPr>
          <w:rFonts w:ascii="Times New Roman" w:hAnsi="Times New Roman"/>
          <w:sz w:val="24"/>
          <w:szCs w:val="24"/>
          <w:vertAlign w:val="superscript"/>
        </w:rPr>
        <w:t>4-5</w:t>
      </w:r>
    </w:p>
    <w:p w14:paraId="359A6B18" w14:textId="3E345134" w:rsidR="0015353F" w:rsidRPr="00F33B76" w:rsidRDefault="00AA1534" w:rsidP="00C34AED">
      <w:pPr>
        <w:spacing w:line="360" w:lineRule="auto"/>
        <w:jc w:val="both"/>
        <w:rPr>
          <w:rFonts w:ascii="Times New Roman" w:hAnsi="Times New Roman"/>
          <w:sz w:val="24"/>
          <w:szCs w:val="24"/>
          <w:vertAlign w:val="superscript"/>
        </w:rPr>
      </w:pPr>
      <w:r w:rsidRPr="00C34AED">
        <w:rPr>
          <w:rFonts w:ascii="Times New Roman" w:hAnsi="Times New Roman"/>
          <w:sz w:val="24"/>
          <w:szCs w:val="24"/>
        </w:rPr>
        <w:t>In high‑income countries, up to 30–40% of spine surgery patients experience clinically significant psychological distress, and these factors strongly predict poorer functional outcomes</w:t>
      </w:r>
      <w:r w:rsidRPr="00C34AED">
        <w:rPr>
          <w:rFonts w:ascii="Times New Roman" w:hAnsi="Times New Roman"/>
          <w:sz w:val="24"/>
          <w:szCs w:val="24"/>
        </w:rPr>
        <w:t>.</w:t>
      </w:r>
      <w:r w:rsidR="00F33B76">
        <w:rPr>
          <w:rFonts w:ascii="Times New Roman" w:hAnsi="Times New Roman"/>
          <w:sz w:val="24"/>
          <w:szCs w:val="24"/>
          <w:vertAlign w:val="superscript"/>
        </w:rPr>
        <w:t>6-7</w:t>
      </w:r>
      <w:r w:rsidRPr="00C34AED">
        <w:rPr>
          <w:rFonts w:ascii="Times New Roman" w:hAnsi="Times New Roman"/>
          <w:sz w:val="24"/>
          <w:szCs w:val="24"/>
        </w:rPr>
        <w:t xml:space="preserve"> In Nigeria, spinal surgery</w:t>
      </w:r>
      <w:r w:rsidRPr="00C34AED">
        <w:rPr>
          <w:rFonts w:ascii="Times New Roman" w:hAnsi="Times New Roman"/>
          <w:sz w:val="24"/>
          <w:szCs w:val="24"/>
        </w:rPr>
        <w:t xml:space="preserve"> is often performed in resource‑constrained settings where mental health services are sparse</w:t>
      </w:r>
      <w:r w:rsidRPr="00C34AED">
        <w:rPr>
          <w:rFonts w:ascii="Times New Roman" w:hAnsi="Times New Roman"/>
          <w:sz w:val="24"/>
          <w:szCs w:val="24"/>
        </w:rPr>
        <w:t>.</w:t>
      </w:r>
      <w:r w:rsidR="00F33B76">
        <w:rPr>
          <w:rFonts w:ascii="Times New Roman" w:hAnsi="Times New Roman"/>
          <w:sz w:val="24"/>
          <w:szCs w:val="24"/>
          <w:vertAlign w:val="superscript"/>
        </w:rPr>
        <w:t>8</w:t>
      </w:r>
      <w:r w:rsidRPr="00C34AED">
        <w:rPr>
          <w:rFonts w:ascii="Times New Roman" w:hAnsi="Times New Roman"/>
          <w:sz w:val="24"/>
          <w:szCs w:val="24"/>
        </w:rPr>
        <w:t xml:space="preserve"> The National </w:t>
      </w:r>
      <w:proofErr w:type="spellStart"/>
      <w:r w:rsidRPr="00C34AED">
        <w:rPr>
          <w:rFonts w:ascii="Times New Roman" w:hAnsi="Times New Roman"/>
          <w:sz w:val="24"/>
          <w:szCs w:val="24"/>
        </w:rPr>
        <w:t>Orthopaedic</w:t>
      </w:r>
      <w:proofErr w:type="spellEnd"/>
      <w:r w:rsidRPr="00C34AED">
        <w:rPr>
          <w:rFonts w:ascii="Times New Roman" w:hAnsi="Times New Roman"/>
          <w:sz w:val="24"/>
          <w:szCs w:val="24"/>
        </w:rPr>
        <w:t xml:space="preserve"> Hospital </w:t>
      </w:r>
      <w:proofErr w:type="spellStart"/>
      <w:r w:rsidRPr="00C34AED">
        <w:rPr>
          <w:rFonts w:ascii="Times New Roman" w:hAnsi="Times New Roman"/>
          <w:sz w:val="24"/>
          <w:szCs w:val="24"/>
        </w:rPr>
        <w:t>Dala</w:t>
      </w:r>
      <w:proofErr w:type="spellEnd"/>
      <w:r w:rsidRPr="00C34AED">
        <w:rPr>
          <w:rFonts w:ascii="Times New Roman" w:hAnsi="Times New Roman"/>
          <w:sz w:val="24"/>
          <w:szCs w:val="24"/>
        </w:rPr>
        <w:t>, Kano, performs a high volume of freehand pedicle screw fixations with C‑arm confirmation, yet the emotional and psycho</w:t>
      </w:r>
      <w:r w:rsidRPr="00C34AED">
        <w:rPr>
          <w:rFonts w:ascii="Times New Roman" w:hAnsi="Times New Roman"/>
          <w:sz w:val="24"/>
          <w:szCs w:val="24"/>
        </w:rPr>
        <w:t>logical status of patients after surgery has never been systematically evaluated</w:t>
      </w:r>
      <w:r w:rsidRPr="00C34AED">
        <w:rPr>
          <w:rFonts w:ascii="Times New Roman" w:hAnsi="Times New Roman"/>
          <w:sz w:val="24"/>
          <w:szCs w:val="24"/>
        </w:rPr>
        <w:t>.</w:t>
      </w:r>
      <w:r w:rsidR="00F33B76">
        <w:rPr>
          <w:rFonts w:ascii="Times New Roman" w:hAnsi="Times New Roman"/>
          <w:sz w:val="24"/>
          <w:szCs w:val="24"/>
          <w:vertAlign w:val="superscript"/>
        </w:rPr>
        <w:t>9</w:t>
      </w:r>
    </w:p>
    <w:p w14:paraId="4A22C7B5" w14:textId="61320814"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Quantitative scales alone cannot capture the richness of patients’ lived experiences, coping mechanisms, and contextual challenges</w:t>
      </w:r>
      <w:r w:rsidRPr="00C34AED">
        <w:rPr>
          <w:rFonts w:ascii="Times New Roman" w:hAnsi="Times New Roman"/>
          <w:sz w:val="24"/>
          <w:szCs w:val="24"/>
        </w:rPr>
        <w:t>.</w:t>
      </w:r>
      <w:r w:rsidR="00F33B76">
        <w:rPr>
          <w:rFonts w:ascii="Times New Roman" w:hAnsi="Times New Roman"/>
          <w:sz w:val="24"/>
          <w:szCs w:val="24"/>
          <w:vertAlign w:val="superscript"/>
        </w:rPr>
        <w:t>10</w:t>
      </w:r>
      <w:r w:rsidRPr="00C34AED">
        <w:rPr>
          <w:rFonts w:ascii="Times New Roman" w:hAnsi="Times New Roman"/>
          <w:sz w:val="24"/>
          <w:szCs w:val="24"/>
        </w:rPr>
        <w:t xml:space="preserve"> This study therefore employed a </w:t>
      </w:r>
      <w:r w:rsidRPr="00C34AED">
        <w:rPr>
          <w:rFonts w:ascii="Times New Roman" w:hAnsi="Times New Roman"/>
          <w:sz w:val="24"/>
          <w:szCs w:val="24"/>
        </w:rPr>
        <w:t>mixed‑methods design: quantitative assessment of anxiety, depression, and somatization using validated instruments, complemented by qualitative interviews to explore patients’ narratives, fears, and adaptive strategies. The findings aim to inform a more ho</w:t>
      </w:r>
      <w:r w:rsidRPr="00C34AED">
        <w:rPr>
          <w:rFonts w:ascii="Times New Roman" w:hAnsi="Times New Roman"/>
          <w:sz w:val="24"/>
          <w:szCs w:val="24"/>
        </w:rPr>
        <w:t>listic, patient‑</w:t>
      </w:r>
      <w:proofErr w:type="spellStart"/>
      <w:r w:rsidRPr="00C34AED">
        <w:rPr>
          <w:rFonts w:ascii="Times New Roman" w:hAnsi="Times New Roman"/>
          <w:sz w:val="24"/>
          <w:szCs w:val="24"/>
        </w:rPr>
        <w:t>centred</w:t>
      </w:r>
      <w:proofErr w:type="spellEnd"/>
      <w:r w:rsidRPr="00C34AED">
        <w:rPr>
          <w:rFonts w:ascii="Times New Roman" w:hAnsi="Times New Roman"/>
          <w:sz w:val="24"/>
          <w:szCs w:val="24"/>
        </w:rPr>
        <w:t xml:space="preserve"> model of postoperative care in low‑resource settings.</w:t>
      </w:r>
    </w:p>
    <w:p w14:paraId="335439F5" w14:textId="77777777" w:rsidR="0015353F" w:rsidRPr="00C34AED" w:rsidRDefault="0015353F" w:rsidP="00C34AED">
      <w:pPr>
        <w:spacing w:line="360" w:lineRule="auto"/>
        <w:jc w:val="both"/>
        <w:rPr>
          <w:rFonts w:ascii="Times New Roman" w:hAnsi="Times New Roman"/>
          <w:sz w:val="24"/>
          <w:szCs w:val="24"/>
        </w:rPr>
      </w:pPr>
    </w:p>
    <w:p w14:paraId="676C1DE0" w14:textId="4E158A43"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Methodology</w:t>
      </w:r>
    </w:p>
    <w:p w14:paraId="131366E8" w14:textId="45C98675"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This was a mixed‑methods cross‑sectional study conducted at the National </w:t>
      </w:r>
      <w:proofErr w:type="spellStart"/>
      <w:r w:rsidRPr="00C34AED">
        <w:rPr>
          <w:rFonts w:ascii="Times New Roman" w:hAnsi="Times New Roman"/>
          <w:sz w:val="24"/>
          <w:szCs w:val="24"/>
        </w:rPr>
        <w:t>Orthopaedic</w:t>
      </w:r>
      <w:proofErr w:type="spellEnd"/>
      <w:r w:rsidRPr="00C34AED">
        <w:rPr>
          <w:rFonts w:ascii="Times New Roman" w:hAnsi="Times New Roman"/>
          <w:sz w:val="24"/>
          <w:szCs w:val="24"/>
        </w:rPr>
        <w:t xml:space="preserve"> Hospital </w:t>
      </w:r>
      <w:proofErr w:type="spellStart"/>
      <w:r w:rsidRPr="00C34AED">
        <w:rPr>
          <w:rFonts w:ascii="Times New Roman" w:hAnsi="Times New Roman"/>
          <w:sz w:val="24"/>
          <w:szCs w:val="24"/>
        </w:rPr>
        <w:t>Dala</w:t>
      </w:r>
      <w:proofErr w:type="spellEnd"/>
      <w:r w:rsidRPr="00C34AED">
        <w:rPr>
          <w:rFonts w:ascii="Times New Roman" w:hAnsi="Times New Roman"/>
          <w:sz w:val="24"/>
          <w:szCs w:val="24"/>
        </w:rPr>
        <w:t>, Kano, Nigeria, between January 20</w:t>
      </w:r>
      <w:r w:rsidRPr="00C34AED">
        <w:rPr>
          <w:rFonts w:ascii="Times New Roman" w:hAnsi="Times New Roman"/>
          <w:sz w:val="24"/>
          <w:szCs w:val="24"/>
        </w:rPr>
        <w:t>2</w:t>
      </w:r>
      <w:r w:rsidR="008B6338">
        <w:rPr>
          <w:rFonts w:ascii="Times New Roman" w:hAnsi="Times New Roman"/>
          <w:sz w:val="24"/>
          <w:szCs w:val="24"/>
        </w:rPr>
        <w:t>6</w:t>
      </w:r>
      <w:r w:rsidRPr="00C34AED">
        <w:rPr>
          <w:rFonts w:ascii="Times New Roman" w:hAnsi="Times New Roman"/>
          <w:sz w:val="24"/>
          <w:szCs w:val="24"/>
        </w:rPr>
        <w:t xml:space="preserve"> and March 2026. Ethical approval was obtained</w:t>
      </w:r>
      <w:r w:rsidR="00D65357">
        <w:rPr>
          <w:rFonts w:ascii="Times New Roman" w:hAnsi="Times New Roman"/>
          <w:sz w:val="24"/>
          <w:szCs w:val="24"/>
        </w:rPr>
        <w:t xml:space="preserve"> and a</w:t>
      </w:r>
      <w:r w:rsidRPr="00C34AED">
        <w:rPr>
          <w:rFonts w:ascii="Times New Roman" w:hAnsi="Times New Roman"/>
          <w:sz w:val="24"/>
          <w:szCs w:val="24"/>
        </w:rPr>
        <w:t>ll participants gave written informed consent.</w:t>
      </w:r>
    </w:p>
    <w:p w14:paraId="04C13177" w14:textId="42D2ABB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Eligible patients were those who had undergone pedicle screw fixation for thoracic or lumbar spinal disorders between </w:t>
      </w:r>
      <w:r w:rsidRPr="00C34AED">
        <w:rPr>
          <w:rFonts w:ascii="Times New Roman" w:hAnsi="Times New Roman"/>
          <w:sz w:val="24"/>
          <w:szCs w:val="24"/>
        </w:rPr>
        <w:t>January 2018 and December 2023, using freehand technique with post‑insertion C‑arm confirmation. Of 142 eligible patients, only 78 (55%) were recruited. Reasons: unable to locate (22), death (8), refusal (10), severe comorbidity (12), incomplete data (12).</w:t>
      </w:r>
      <w:r w:rsidRPr="00C34AED">
        <w:rPr>
          <w:rFonts w:ascii="Times New Roman" w:hAnsi="Times New Roman"/>
          <w:sz w:val="24"/>
          <w:szCs w:val="24"/>
        </w:rPr>
        <w:t xml:space="preserve"> No </w:t>
      </w:r>
      <w:r w:rsidRPr="00C34AED">
        <w:rPr>
          <w:rFonts w:ascii="Times New Roman" w:hAnsi="Times New Roman"/>
          <w:sz w:val="24"/>
          <w:szCs w:val="24"/>
        </w:rPr>
        <w:lastRenderedPageBreak/>
        <w:t>significant demographic differences existed between recruited and non‑recruited groups (p&gt;0.05). Inclusion: age ≥18 years; surgery ≥12 months prior; ability to complete questionnaires. Exclusion: cognitive impairment; pre‑existing psychiatric hospitali</w:t>
      </w:r>
      <w:r w:rsidRPr="00C34AED">
        <w:rPr>
          <w:rFonts w:ascii="Times New Roman" w:hAnsi="Times New Roman"/>
          <w:sz w:val="24"/>
          <w:szCs w:val="24"/>
        </w:rPr>
        <w:t>zation.</w:t>
      </w:r>
    </w:p>
    <w:p w14:paraId="67F5C1D0"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Quantitative Assessment</w:t>
      </w:r>
    </w:p>
    <w:p w14:paraId="79E775DA" w14:textId="6CD21090"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Three validated instruments were administered in English or Hausa (forward‑backward translation):</w:t>
      </w:r>
    </w:p>
    <w:p w14:paraId="3FA11C23" w14:textId="6E072E64" w:rsidR="0015353F" w:rsidRPr="00501507" w:rsidRDefault="00AA1534" w:rsidP="00501507">
      <w:pPr>
        <w:pStyle w:val="ListParagraph"/>
        <w:numPr>
          <w:ilvl w:val="0"/>
          <w:numId w:val="2"/>
        </w:numPr>
        <w:spacing w:line="360" w:lineRule="auto"/>
        <w:jc w:val="both"/>
        <w:rPr>
          <w:rFonts w:ascii="Times New Roman" w:hAnsi="Times New Roman"/>
          <w:sz w:val="24"/>
          <w:szCs w:val="24"/>
        </w:rPr>
      </w:pPr>
      <w:r w:rsidRPr="00501507">
        <w:rPr>
          <w:rFonts w:ascii="Times New Roman" w:hAnsi="Times New Roman"/>
          <w:sz w:val="24"/>
          <w:szCs w:val="24"/>
        </w:rPr>
        <w:t>Hospital Anxiety and Depression Scale (HADS) – subscales for anxiety (HADS‑A) and depression (HADS‑D); scores ≥11 indica</w:t>
      </w:r>
      <w:r w:rsidRPr="00501507">
        <w:rPr>
          <w:rFonts w:ascii="Times New Roman" w:hAnsi="Times New Roman"/>
          <w:sz w:val="24"/>
          <w:szCs w:val="24"/>
        </w:rPr>
        <w:t>te clinically significant disorder</w:t>
      </w:r>
      <w:r w:rsidRPr="00501507">
        <w:rPr>
          <w:rFonts w:ascii="Times New Roman" w:hAnsi="Times New Roman"/>
          <w:sz w:val="24"/>
          <w:szCs w:val="24"/>
        </w:rPr>
        <w:t>.</w:t>
      </w:r>
      <w:r w:rsidR="008D02FC">
        <w:rPr>
          <w:rFonts w:ascii="Times New Roman" w:hAnsi="Times New Roman"/>
          <w:sz w:val="24"/>
          <w:szCs w:val="24"/>
          <w:vertAlign w:val="superscript"/>
        </w:rPr>
        <w:t>11</w:t>
      </w:r>
    </w:p>
    <w:p w14:paraId="22C152F1" w14:textId="0CAC11A0" w:rsidR="0015353F" w:rsidRPr="00501507" w:rsidRDefault="00AA1534" w:rsidP="00501507">
      <w:pPr>
        <w:pStyle w:val="ListParagraph"/>
        <w:numPr>
          <w:ilvl w:val="0"/>
          <w:numId w:val="2"/>
        </w:numPr>
        <w:spacing w:line="360" w:lineRule="auto"/>
        <w:jc w:val="both"/>
        <w:rPr>
          <w:rFonts w:ascii="Times New Roman" w:hAnsi="Times New Roman"/>
          <w:sz w:val="24"/>
          <w:szCs w:val="24"/>
        </w:rPr>
      </w:pPr>
      <w:r w:rsidRPr="00501507">
        <w:rPr>
          <w:rFonts w:ascii="Times New Roman" w:hAnsi="Times New Roman"/>
          <w:sz w:val="24"/>
          <w:szCs w:val="24"/>
        </w:rPr>
        <w:t>Somatization subscale of SCL‑90‑R – 12 items; total ≥18 indicates high somatization</w:t>
      </w:r>
      <w:r w:rsidRPr="00501507">
        <w:rPr>
          <w:rFonts w:ascii="Times New Roman" w:hAnsi="Times New Roman"/>
          <w:sz w:val="24"/>
          <w:szCs w:val="24"/>
        </w:rPr>
        <w:t>.</w:t>
      </w:r>
      <w:r w:rsidR="008D02FC">
        <w:rPr>
          <w:rFonts w:ascii="Times New Roman" w:hAnsi="Times New Roman"/>
          <w:sz w:val="24"/>
          <w:szCs w:val="24"/>
          <w:vertAlign w:val="superscript"/>
        </w:rPr>
        <w:t>12</w:t>
      </w:r>
    </w:p>
    <w:p w14:paraId="6FF1A15F" w14:textId="403AED48" w:rsidR="0015353F" w:rsidRPr="00501507" w:rsidRDefault="00AA1534" w:rsidP="00C34AED">
      <w:pPr>
        <w:pStyle w:val="ListParagraph"/>
        <w:numPr>
          <w:ilvl w:val="0"/>
          <w:numId w:val="2"/>
        </w:numPr>
        <w:spacing w:line="360" w:lineRule="auto"/>
        <w:jc w:val="both"/>
        <w:rPr>
          <w:rFonts w:ascii="Times New Roman" w:hAnsi="Times New Roman"/>
          <w:sz w:val="24"/>
          <w:szCs w:val="24"/>
        </w:rPr>
      </w:pPr>
      <w:proofErr w:type="spellStart"/>
      <w:r w:rsidRPr="00501507">
        <w:rPr>
          <w:rFonts w:ascii="Times New Roman" w:hAnsi="Times New Roman"/>
          <w:sz w:val="24"/>
          <w:szCs w:val="24"/>
        </w:rPr>
        <w:t>Oswestry</w:t>
      </w:r>
      <w:proofErr w:type="spellEnd"/>
      <w:r w:rsidRPr="00501507">
        <w:rPr>
          <w:rFonts w:ascii="Times New Roman" w:hAnsi="Times New Roman"/>
          <w:sz w:val="24"/>
          <w:szCs w:val="24"/>
        </w:rPr>
        <w:t xml:space="preserve"> Disability Index (ODI) – scores &gt;40 indicate severe disability</w:t>
      </w:r>
      <w:r w:rsidRPr="00501507">
        <w:rPr>
          <w:rFonts w:ascii="Times New Roman" w:hAnsi="Times New Roman"/>
          <w:sz w:val="24"/>
          <w:szCs w:val="24"/>
        </w:rPr>
        <w:t>.</w:t>
      </w:r>
      <w:r w:rsidR="008D02FC">
        <w:rPr>
          <w:rFonts w:ascii="Times New Roman" w:hAnsi="Times New Roman"/>
          <w:sz w:val="24"/>
          <w:szCs w:val="24"/>
          <w:vertAlign w:val="superscript"/>
        </w:rPr>
        <w:t>13</w:t>
      </w:r>
    </w:p>
    <w:p w14:paraId="6416CF6B" w14:textId="7B78D774"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Pain severity was measured with the visu</w:t>
      </w:r>
      <w:r w:rsidRPr="00C34AED">
        <w:rPr>
          <w:rFonts w:ascii="Times New Roman" w:hAnsi="Times New Roman"/>
          <w:sz w:val="24"/>
          <w:szCs w:val="24"/>
        </w:rPr>
        <w:t>al analog scale (VAS, 0–10). Demographic and surgical data were extracted from medical records.</w:t>
      </w:r>
    </w:p>
    <w:p w14:paraId="5A202C43"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Qualitative Interviews</w:t>
      </w:r>
    </w:p>
    <w:p w14:paraId="32A177DD" w14:textId="4AA6431D"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A purposive sample of 15 patients (10 with high psychological distress, 5 with low distress) participated in semi‑structured interviews</w:t>
      </w:r>
      <w:r w:rsidRPr="00C34AED">
        <w:rPr>
          <w:rFonts w:ascii="Times New Roman" w:hAnsi="Times New Roman"/>
          <w:sz w:val="24"/>
          <w:szCs w:val="24"/>
        </w:rPr>
        <w:t xml:space="preserve"> lasting 30–45 minutes. Interviews explored: post‑surgery emotional changes, coping strategies, social support, financial concerns, and unmet needs. Interviews were audio‑recorded, transcribed verbatim, and translated into English. Thematic analysis follow</w:t>
      </w:r>
      <w:r w:rsidRPr="00C34AED">
        <w:rPr>
          <w:rFonts w:ascii="Times New Roman" w:hAnsi="Times New Roman"/>
          <w:sz w:val="24"/>
          <w:szCs w:val="24"/>
        </w:rPr>
        <w:t>ed Braun and Clarke’s six‑phase framework</w:t>
      </w:r>
      <w:r w:rsidR="008D02FC">
        <w:rPr>
          <w:rFonts w:ascii="Times New Roman" w:hAnsi="Times New Roman"/>
          <w:sz w:val="24"/>
          <w:szCs w:val="24"/>
          <w:vertAlign w:val="superscript"/>
        </w:rPr>
        <w:t>14</w:t>
      </w:r>
      <w:r w:rsidRPr="00C34AED">
        <w:rPr>
          <w:rFonts w:ascii="Times New Roman" w:hAnsi="Times New Roman"/>
          <w:sz w:val="24"/>
          <w:szCs w:val="24"/>
        </w:rPr>
        <w:t>.</w:t>
      </w:r>
    </w:p>
    <w:p w14:paraId="0A1F7C5B"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Statistical Analysis</w:t>
      </w:r>
    </w:p>
    <w:p w14:paraId="118CF584"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Quantitative data were </w:t>
      </w:r>
      <w:proofErr w:type="spellStart"/>
      <w:r w:rsidRPr="00C34AED">
        <w:rPr>
          <w:rFonts w:ascii="Times New Roman" w:hAnsi="Times New Roman"/>
          <w:sz w:val="24"/>
          <w:szCs w:val="24"/>
        </w:rPr>
        <w:t>analysed</w:t>
      </w:r>
      <w:proofErr w:type="spellEnd"/>
      <w:r w:rsidRPr="00C34AED">
        <w:rPr>
          <w:rFonts w:ascii="Times New Roman" w:hAnsi="Times New Roman"/>
          <w:sz w:val="24"/>
          <w:szCs w:val="24"/>
        </w:rPr>
        <w:t xml:space="preserve"> using SPSS v26. Continuous variables as </w:t>
      </w:r>
      <w:proofErr w:type="spellStart"/>
      <w:r w:rsidRPr="00C34AED">
        <w:rPr>
          <w:rFonts w:ascii="Times New Roman" w:hAnsi="Times New Roman"/>
          <w:sz w:val="24"/>
          <w:szCs w:val="24"/>
        </w:rPr>
        <w:t>mean±SD</w:t>
      </w:r>
      <w:proofErr w:type="spellEnd"/>
      <w:r w:rsidRPr="00C34AED">
        <w:rPr>
          <w:rFonts w:ascii="Times New Roman" w:hAnsi="Times New Roman"/>
          <w:sz w:val="24"/>
          <w:szCs w:val="24"/>
        </w:rPr>
        <w:t>; categorical as frequencies. Comparisons used t‑test or Mann‑Whitney U, and chi‑square or Fisher’s exact.</w:t>
      </w:r>
      <w:r w:rsidRPr="00C34AED">
        <w:rPr>
          <w:rFonts w:ascii="Times New Roman" w:hAnsi="Times New Roman"/>
          <w:sz w:val="24"/>
          <w:szCs w:val="24"/>
        </w:rPr>
        <w:t xml:space="preserve"> Pearson correlation assessed relationships. Significance p&lt;0.05.</w:t>
      </w:r>
    </w:p>
    <w:p w14:paraId="67B37156" w14:textId="77777777" w:rsidR="0015353F" w:rsidRPr="00C34AED" w:rsidRDefault="0015353F" w:rsidP="00C34AED">
      <w:pPr>
        <w:spacing w:line="360" w:lineRule="auto"/>
        <w:jc w:val="both"/>
        <w:rPr>
          <w:rFonts w:ascii="Times New Roman" w:hAnsi="Times New Roman"/>
          <w:sz w:val="24"/>
          <w:szCs w:val="24"/>
        </w:rPr>
      </w:pPr>
    </w:p>
    <w:p w14:paraId="62F84093" w14:textId="77777777" w:rsidR="00501507" w:rsidRDefault="00501507" w:rsidP="00C34AED">
      <w:pPr>
        <w:spacing w:line="360" w:lineRule="auto"/>
        <w:jc w:val="both"/>
        <w:rPr>
          <w:rFonts w:ascii="Times New Roman" w:hAnsi="Times New Roman"/>
          <w:b/>
          <w:bCs/>
          <w:sz w:val="24"/>
          <w:szCs w:val="24"/>
        </w:rPr>
      </w:pPr>
    </w:p>
    <w:p w14:paraId="618E4AF8" w14:textId="77777777" w:rsidR="00501507" w:rsidRDefault="00501507" w:rsidP="00C34AED">
      <w:pPr>
        <w:spacing w:line="360" w:lineRule="auto"/>
        <w:jc w:val="both"/>
        <w:rPr>
          <w:rFonts w:ascii="Times New Roman" w:hAnsi="Times New Roman"/>
          <w:b/>
          <w:bCs/>
          <w:sz w:val="24"/>
          <w:szCs w:val="24"/>
        </w:rPr>
      </w:pPr>
    </w:p>
    <w:p w14:paraId="43C462FF" w14:textId="68D2297B" w:rsidR="00501507" w:rsidRDefault="00501507" w:rsidP="00C34AED">
      <w:pPr>
        <w:spacing w:line="360" w:lineRule="auto"/>
        <w:jc w:val="both"/>
        <w:rPr>
          <w:rFonts w:ascii="Times New Roman" w:hAnsi="Times New Roman"/>
          <w:b/>
          <w:bCs/>
          <w:sz w:val="24"/>
          <w:szCs w:val="24"/>
        </w:rPr>
      </w:pPr>
      <w:r w:rsidRPr="00501507">
        <w:rPr>
          <w:rFonts w:ascii="Times New Roman" w:hAnsi="Times New Roman"/>
          <w:b/>
          <w:bCs/>
          <w:sz w:val="24"/>
          <w:szCs w:val="24"/>
        </w:rPr>
        <w:lastRenderedPageBreak/>
        <w:t>RESULTS</w:t>
      </w:r>
    </w:p>
    <w:p w14:paraId="2EFF5BD0" w14:textId="0627BB31" w:rsidR="0015353F" w:rsidRPr="00501507" w:rsidRDefault="00AA1534" w:rsidP="00C34AED">
      <w:pPr>
        <w:spacing w:line="360" w:lineRule="auto"/>
        <w:jc w:val="both"/>
        <w:rPr>
          <w:rFonts w:ascii="Times New Roman" w:hAnsi="Times New Roman"/>
          <w:b/>
          <w:bCs/>
          <w:sz w:val="24"/>
          <w:szCs w:val="24"/>
        </w:rPr>
      </w:pPr>
      <w:r w:rsidRPr="00C34AED">
        <w:rPr>
          <w:rFonts w:ascii="Times New Roman" w:hAnsi="Times New Roman"/>
          <w:sz w:val="24"/>
          <w:szCs w:val="24"/>
        </w:rPr>
        <w:t xml:space="preserve">Patient characteristics: Seventy‑eight patients (mean age 54.2±12.8 years, 55.1% female). </w:t>
      </w:r>
      <w:r w:rsidR="00623480">
        <w:rPr>
          <w:rFonts w:ascii="Times New Roman" w:hAnsi="Times New Roman"/>
          <w:sz w:val="24"/>
          <w:szCs w:val="24"/>
        </w:rPr>
        <w:t>Trauma fracture</w:t>
      </w:r>
      <w:r w:rsidRPr="00C34AED">
        <w:rPr>
          <w:rFonts w:ascii="Times New Roman" w:hAnsi="Times New Roman"/>
          <w:sz w:val="24"/>
          <w:szCs w:val="24"/>
        </w:rPr>
        <w:t xml:space="preserve"> (61.5%) was the commonest </w:t>
      </w:r>
      <w:r w:rsidRPr="00C34AED">
        <w:rPr>
          <w:rFonts w:ascii="Times New Roman" w:hAnsi="Times New Roman"/>
          <w:sz w:val="24"/>
          <w:szCs w:val="24"/>
        </w:rPr>
        <w:t>indication; only 3 (3.8%) had scoliosis. Mean time since surgery was 22.4±8.6 months. Table 1 summarizes baseline data.</w:t>
      </w:r>
    </w:p>
    <w:p w14:paraId="50CB3006" w14:textId="548DCC36"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Prevalence of psychological distress: </w:t>
      </w:r>
      <w:r w:rsidR="00501507" w:rsidRPr="00C34AED">
        <w:rPr>
          <w:rFonts w:ascii="Times New Roman" w:hAnsi="Times New Roman"/>
          <w:sz w:val="24"/>
          <w:szCs w:val="24"/>
        </w:rPr>
        <w:t>Table 2 presents scores.</w:t>
      </w:r>
      <w:r w:rsidR="00501507">
        <w:rPr>
          <w:rFonts w:ascii="Times New Roman" w:hAnsi="Times New Roman"/>
          <w:sz w:val="24"/>
          <w:szCs w:val="24"/>
        </w:rPr>
        <w:t xml:space="preserve"> </w:t>
      </w:r>
      <w:r w:rsidRPr="00C34AED">
        <w:rPr>
          <w:rFonts w:ascii="Times New Roman" w:hAnsi="Times New Roman"/>
          <w:sz w:val="24"/>
          <w:szCs w:val="24"/>
        </w:rPr>
        <w:t>Clinically significant anxiety was present in 44.9%, depression in 38.5%, and high somatization i</w:t>
      </w:r>
      <w:r w:rsidRPr="00C34AED">
        <w:rPr>
          <w:rFonts w:ascii="Times New Roman" w:hAnsi="Times New Roman"/>
          <w:sz w:val="24"/>
          <w:szCs w:val="24"/>
        </w:rPr>
        <w:t xml:space="preserve">n 35.9%. Overlap was substantial: 28.2% had both anxiety and depression; 24.4% had all three. Only 28.2% had no clinically significant distress. </w:t>
      </w:r>
    </w:p>
    <w:p w14:paraId="3F45164B"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Functional disability and pain: Mean ODI </w:t>
      </w:r>
      <w:proofErr w:type="gramStart"/>
      <w:r w:rsidRPr="00C34AED">
        <w:rPr>
          <w:rFonts w:ascii="Times New Roman" w:hAnsi="Times New Roman"/>
          <w:sz w:val="24"/>
          <w:szCs w:val="24"/>
        </w:rPr>
        <w:t>was</w:t>
      </w:r>
      <w:proofErr w:type="gramEnd"/>
      <w:r w:rsidRPr="00C34AED">
        <w:rPr>
          <w:rFonts w:ascii="Times New Roman" w:hAnsi="Times New Roman"/>
          <w:sz w:val="24"/>
          <w:szCs w:val="24"/>
        </w:rPr>
        <w:t xml:space="preserve"> 48.7±18.4; 60.3% had severe disability (</w:t>
      </w:r>
      <w:r w:rsidRPr="00C34AED">
        <w:rPr>
          <w:rFonts w:ascii="Times New Roman" w:hAnsi="Times New Roman"/>
          <w:sz w:val="24"/>
          <w:szCs w:val="24"/>
        </w:rPr>
        <w:t>ODI&gt;40). Mean VAS back pain was 4.9±2.4. Patients with high somatization had significantly worse ODI (61.2±15.3 vs. 32.5±14.8, p&lt;0.001) and higher VAS (6.3±2.1 vs. 3.9±2.0, p&lt;0.001). Table 3 compares outcomes.</w:t>
      </w:r>
    </w:p>
    <w:p w14:paraId="1F57B76D"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Association with surgical variables: Psycholo</w:t>
      </w:r>
      <w:r w:rsidRPr="00C34AED">
        <w:rPr>
          <w:rFonts w:ascii="Times New Roman" w:hAnsi="Times New Roman"/>
          <w:sz w:val="24"/>
          <w:szCs w:val="24"/>
        </w:rPr>
        <w:t>gical distress was associated with longer hospital stay (9.2 vs. 6.1 days, p=0.01) and less pain improvement (VAS reduction 2.8 vs. 4.9, p&lt;0.001). Fusion rates did not differ (88.5% vs. 91.2%, p=0.72).</w:t>
      </w:r>
    </w:p>
    <w:p w14:paraId="2AC36063"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Access to support: Only 12.8% received any psychologi</w:t>
      </w:r>
      <w:r w:rsidRPr="00C34AED">
        <w:rPr>
          <w:rFonts w:ascii="Times New Roman" w:hAnsi="Times New Roman"/>
          <w:sz w:val="24"/>
          <w:szCs w:val="24"/>
        </w:rPr>
        <w:t>cal counselling; 87.2% desired it but it was never offered.</w:t>
      </w:r>
    </w:p>
    <w:p w14:paraId="5CCE7857" w14:textId="5EE00F6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Qualitative Findings</w:t>
      </w:r>
    </w:p>
    <w:p w14:paraId="20F40A31" w14:textId="54BBCFD0"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Five major themes emerged from interviews:</w:t>
      </w:r>
    </w:p>
    <w:p w14:paraId="6CA04738" w14:textId="44203FE5"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1. Persistent fear of re‑injury and hardware failure. Many patients described constant anxiety about the screws loosening or brea</w:t>
      </w:r>
      <w:r w:rsidRPr="00C34AED">
        <w:rPr>
          <w:rFonts w:ascii="Times New Roman" w:hAnsi="Times New Roman"/>
          <w:sz w:val="24"/>
          <w:szCs w:val="24"/>
        </w:rPr>
        <w:t>king. A 52‑year‑old man said: “I am afraid to bend or lift anything. I feel the metal inside me might break if I move wrongly.”</w:t>
      </w:r>
    </w:p>
    <w:p w14:paraId="5BD92E7F"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2. Financial stress as a chronic psychological burden. Surgical costs often led to debt, causing depression long after discharg</w:t>
      </w:r>
      <w:r w:rsidRPr="00C34AED">
        <w:rPr>
          <w:rFonts w:ascii="Times New Roman" w:hAnsi="Times New Roman"/>
          <w:sz w:val="24"/>
          <w:szCs w:val="24"/>
        </w:rPr>
        <w:t>e. A 45‑year‑old woman: “We sold our land to pay for the surgery. Now my husband looks at me with anger. I wish I had not done it.”</w:t>
      </w:r>
    </w:p>
    <w:p w14:paraId="35D9A16B" w14:textId="77777777" w:rsidR="0015353F" w:rsidRPr="00C34AED" w:rsidRDefault="0015353F" w:rsidP="00C34AED">
      <w:pPr>
        <w:spacing w:line="360" w:lineRule="auto"/>
        <w:jc w:val="both"/>
        <w:rPr>
          <w:rFonts w:ascii="Times New Roman" w:hAnsi="Times New Roman"/>
          <w:sz w:val="24"/>
          <w:szCs w:val="24"/>
        </w:rPr>
      </w:pPr>
    </w:p>
    <w:p w14:paraId="4F0E9063" w14:textId="24400C29"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lastRenderedPageBreak/>
        <w:t>3. Religious coping as the primary resource. Almost all participants relied on prayer, Quranic recitation, and religious le</w:t>
      </w:r>
      <w:r w:rsidRPr="00C34AED">
        <w:rPr>
          <w:rFonts w:ascii="Times New Roman" w:hAnsi="Times New Roman"/>
          <w:sz w:val="24"/>
          <w:szCs w:val="24"/>
        </w:rPr>
        <w:t>aders for emotional support, rarely seeking formal mental health care. A 60‑year‑old man: “Only Allah can remove this pain. I pray five times and read Surah Al‑</w:t>
      </w:r>
      <w:proofErr w:type="spellStart"/>
      <w:r w:rsidRPr="00C34AED">
        <w:rPr>
          <w:rFonts w:ascii="Times New Roman" w:hAnsi="Times New Roman"/>
          <w:sz w:val="24"/>
          <w:szCs w:val="24"/>
        </w:rPr>
        <w:t>Fatiha</w:t>
      </w:r>
      <w:proofErr w:type="spellEnd"/>
      <w:r w:rsidRPr="00C34AED">
        <w:rPr>
          <w:rFonts w:ascii="Times New Roman" w:hAnsi="Times New Roman"/>
          <w:sz w:val="24"/>
          <w:szCs w:val="24"/>
        </w:rPr>
        <w:t xml:space="preserve"> over my back.”</w:t>
      </w:r>
    </w:p>
    <w:p w14:paraId="528BD82A" w14:textId="481F3DD0"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4. Social withdrawal and stigma. Reduced mobility and visible gait abnorm</w:t>
      </w:r>
      <w:r w:rsidRPr="00C34AED">
        <w:rPr>
          <w:rFonts w:ascii="Times New Roman" w:hAnsi="Times New Roman"/>
          <w:sz w:val="24"/>
          <w:szCs w:val="24"/>
        </w:rPr>
        <w:t>alities led to isolation. A 38‑year‑old teacher: “My colleagues stopped inviting me to gatherings. They say I am ‘the sick one.’ I stay at home now.”</w:t>
      </w:r>
    </w:p>
    <w:p w14:paraId="7DF8A310" w14:textId="719321E3"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5. Unmet need for counselling and peer support. Patients expressed a strong desire for someone to talk to</w:t>
      </w:r>
      <w:r w:rsidRPr="00C34AED">
        <w:rPr>
          <w:rFonts w:ascii="Times New Roman" w:hAnsi="Times New Roman"/>
          <w:sz w:val="24"/>
          <w:szCs w:val="24"/>
        </w:rPr>
        <w:t xml:space="preserve"> about their fears. A 50‑year‑old woman: “The surgeon fixed my spine but no one fixed my mind. I need to speak with someone who understands.”</w:t>
      </w:r>
    </w:p>
    <w:p w14:paraId="46949260"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These qualitative insights explain the high quantitative distress scores and highlight the absence of structured </w:t>
      </w:r>
      <w:r w:rsidRPr="00C34AED">
        <w:rPr>
          <w:rFonts w:ascii="Times New Roman" w:hAnsi="Times New Roman"/>
          <w:sz w:val="24"/>
          <w:szCs w:val="24"/>
        </w:rPr>
        <w:t>psychosocial aftercare.</w:t>
      </w:r>
    </w:p>
    <w:p w14:paraId="4CC04690" w14:textId="77777777" w:rsidR="0015353F" w:rsidRPr="00C34AED" w:rsidRDefault="0015353F" w:rsidP="00C34AED">
      <w:pPr>
        <w:spacing w:line="360" w:lineRule="auto"/>
        <w:jc w:val="both"/>
        <w:rPr>
          <w:rFonts w:ascii="Times New Roman" w:hAnsi="Times New Roman"/>
          <w:sz w:val="24"/>
          <w:szCs w:val="24"/>
        </w:rPr>
      </w:pPr>
    </w:p>
    <w:p w14:paraId="6369F4C4" w14:textId="44839DC0" w:rsidR="0015353F" w:rsidRPr="00501507" w:rsidRDefault="00501507" w:rsidP="00C34AED">
      <w:pPr>
        <w:spacing w:line="360" w:lineRule="auto"/>
        <w:jc w:val="both"/>
        <w:rPr>
          <w:rFonts w:ascii="Times New Roman" w:hAnsi="Times New Roman"/>
          <w:b/>
          <w:bCs/>
          <w:sz w:val="24"/>
          <w:szCs w:val="24"/>
        </w:rPr>
      </w:pPr>
      <w:r w:rsidRPr="00501507">
        <w:rPr>
          <w:rFonts w:ascii="Times New Roman" w:hAnsi="Times New Roman"/>
          <w:b/>
          <w:bCs/>
          <w:sz w:val="24"/>
          <w:szCs w:val="24"/>
        </w:rPr>
        <w:t>DISCUSSION</w:t>
      </w:r>
    </w:p>
    <w:p w14:paraId="15E14A9D" w14:textId="1A37D4FE"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This mixed‑methods study provides the first detailed emotional and psychological profile of Nigerian patients after pedicle screw fixation. The quantitative findings reveal a strikingly high prevalence of </w:t>
      </w:r>
      <w:r w:rsidRPr="00C34AED">
        <w:rPr>
          <w:rFonts w:ascii="Times New Roman" w:hAnsi="Times New Roman"/>
          <w:sz w:val="24"/>
          <w:szCs w:val="24"/>
        </w:rPr>
        <w:t>anxiety (44.9%), depression (38.5%), and somatization (35.9%) many months after surgery—rates substantially higher than those reported in high‑income countries</w:t>
      </w:r>
      <w:r w:rsidRPr="00C34AED">
        <w:rPr>
          <w:rFonts w:ascii="Times New Roman" w:hAnsi="Times New Roman"/>
          <w:sz w:val="24"/>
          <w:szCs w:val="24"/>
        </w:rPr>
        <w:t>.</w:t>
      </w:r>
      <w:r w:rsidR="008D02FC">
        <w:rPr>
          <w:rFonts w:ascii="Times New Roman" w:hAnsi="Times New Roman"/>
          <w:sz w:val="24"/>
          <w:szCs w:val="24"/>
          <w:vertAlign w:val="superscript"/>
        </w:rPr>
        <w:t>6-7</w:t>
      </w:r>
      <w:r w:rsidRPr="00C34AED">
        <w:rPr>
          <w:rFonts w:ascii="Times New Roman" w:hAnsi="Times New Roman"/>
          <w:sz w:val="24"/>
          <w:szCs w:val="24"/>
        </w:rPr>
        <w:t xml:space="preserve"> The qualitative interviews illuminate the lived experiences behind these numbers: persis</w:t>
      </w:r>
      <w:r w:rsidRPr="00C34AED">
        <w:rPr>
          <w:rFonts w:ascii="Times New Roman" w:hAnsi="Times New Roman"/>
          <w:sz w:val="24"/>
          <w:szCs w:val="24"/>
        </w:rPr>
        <w:t>tent fear of re‑injury, crushing financial stress, reliance on religious coping, social withdrawal, and an almost complete absence of professional psychological support.</w:t>
      </w:r>
    </w:p>
    <w:p w14:paraId="0FE91993" w14:textId="7735ECCA" w:rsidR="0015353F" w:rsidRPr="008D02FC" w:rsidRDefault="00AA1534" w:rsidP="00C34AED">
      <w:pPr>
        <w:spacing w:line="360" w:lineRule="auto"/>
        <w:jc w:val="both"/>
        <w:rPr>
          <w:rFonts w:ascii="Times New Roman" w:hAnsi="Times New Roman"/>
          <w:sz w:val="24"/>
          <w:szCs w:val="24"/>
          <w:vertAlign w:val="superscript"/>
        </w:rPr>
      </w:pPr>
      <w:r w:rsidRPr="00C34AED">
        <w:rPr>
          <w:rFonts w:ascii="Times New Roman" w:hAnsi="Times New Roman"/>
          <w:sz w:val="24"/>
          <w:szCs w:val="24"/>
        </w:rPr>
        <w:t>The strong association between somatization and poor functional outcome (β=0.51) is c</w:t>
      </w:r>
      <w:r w:rsidRPr="00C34AED">
        <w:rPr>
          <w:rFonts w:ascii="Times New Roman" w:hAnsi="Times New Roman"/>
          <w:sz w:val="24"/>
          <w:szCs w:val="24"/>
        </w:rPr>
        <w:t>linically important. Somatization—the tendency to experience emotional distress as physical symptoms—may lead patients to amplify pain, catastrophize, and avoid rehabilitation, creating a vicious cycle that undermines surgical success</w:t>
      </w:r>
      <w:r w:rsidRPr="00C34AED">
        <w:rPr>
          <w:rFonts w:ascii="Times New Roman" w:hAnsi="Times New Roman"/>
          <w:sz w:val="24"/>
          <w:szCs w:val="24"/>
        </w:rPr>
        <w:t>.</w:t>
      </w:r>
      <w:r w:rsidR="008D02FC">
        <w:rPr>
          <w:rFonts w:ascii="Times New Roman" w:hAnsi="Times New Roman"/>
          <w:sz w:val="24"/>
          <w:szCs w:val="24"/>
          <w:vertAlign w:val="superscript"/>
        </w:rPr>
        <w:t>12,15</w:t>
      </w:r>
      <w:r w:rsidRPr="00C34AED">
        <w:rPr>
          <w:rFonts w:ascii="Times New Roman" w:hAnsi="Times New Roman"/>
          <w:sz w:val="24"/>
          <w:szCs w:val="24"/>
        </w:rPr>
        <w:t xml:space="preserve"> In northern</w:t>
      </w:r>
      <w:r w:rsidRPr="00C34AED">
        <w:rPr>
          <w:rFonts w:ascii="Times New Roman" w:hAnsi="Times New Roman"/>
          <w:sz w:val="24"/>
          <w:szCs w:val="24"/>
        </w:rPr>
        <w:t xml:space="preserve"> Nigeria, where mental illness is heavily stigmatized, somatization may be the primary idiom of distress, with patients presenting persistent back pain rather than admitting to low mood</w:t>
      </w:r>
      <w:r w:rsidRPr="00C34AED">
        <w:rPr>
          <w:rFonts w:ascii="Times New Roman" w:hAnsi="Times New Roman"/>
          <w:sz w:val="24"/>
          <w:szCs w:val="24"/>
        </w:rPr>
        <w:t>.</w:t>
      </w:r>
      <w:r w:rsidR="008D02FC">
        <w:rPr>
          <w:rFonts w:ascii="Times New Roman" w:hAnsi="Times New Roman"/>
          <w:sz w:val="24"/>
          <w:szCs w:val="24"/>
          <w:vertAlign w:val="superscript"/>
        </w:rPr>
        <w:t>16</w:t>
      </w:r>
    </w:p>
    <w:p w14:paraId="5C68AAD2" w14:textId="16182CA5"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lastRenderedPageBreak/>
        <w:t>The qualitative finding that religious coping is nearly univers</w:t>
      </w:r>
      <w:r w:rsidRPr="00C34AED">
        <w:rPr>
          <w:rFonts w:ascii="Times New Roman" w:hAnsi="Times New Roman"/>
          <w:sz w:val="24"/>
          <w:szCs w:val="24"/>
        </w:rPr>
        <w:t>al yet professional support is almost nonexistent points to both a resource and an opportunity. Faith‑based coping can be a powerful source of resilience, but it should not replace evidence‑based psychological interventions</w:t>
      </w:r>
      <w:r w:rsidRPr="00C34AED">
        <w:rPr>
          <w:rFonts w:ascii="Times New Roman" w:hAnsi="Times New Roman"/>
          <w:sz w:val="24"/>
          <w:szCs w:val="24"/>
        </w:rPr>
        <w:t>.</w:t>
      </w:r>
      <w:r w:rsidR="008D02FC">
        <w:rPr>
          <w:rFonts w:ascii="Times New Roman" w:hAnsi="Times New Roman"/>
          <w:sz w:val="24"/>
          <w:szCs w:val="24"/>
          <w:vertAlign w:val="superscript"/>
        </w:rPr>
        <w:t>17</w:t>
      </w:r>
      <w:r w:rsidRPr="00C34AED">
        <w:rPr>
          <w:rFonts w:ascii="Times New Roman" w:hAnsi="Times New Roman"/>
          <w:sz w:val="24"/>
          <w:szCs w:val="24"/>
        </w:rPr>
        <w:t xml:space="preserve"> Integrating chaplaincy ser</w:t>
      </w:r>
      <w:r w:rsidRPr="00C34AED">
        <w:rPr>
          <w:rFonts w:ascii="Times New Roman" w:hAnsi="Times New Roman"/>
          <w:sz w:val="24"/>
          <w:szCs w:val="24"/>
        </w:rPr>
        <w:t>vices with basic counselling training could bridge this gap in a culturally acceptable manner.</w:t>
      </w:r>
    </w:p>
    <w:p w14:paraId="3A3A6E50" w14:textId="53BF8603"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The financial stress theme is particularly salient in the Nigerian context. Many families sell assets or go into debt to afford spinal surgery, and the post‑ope</w:t>
      </w:r>
      <w:r w:rsidRPr="00C34AED">
        <w:rPr>
          <w:rFonts w:ascii="Times New Roman" w:hAnsi="Times New Roman"/>
          <w:sz w:val="24"/>
          <w:szCs w:val="24"/>
        </w:rPr>
        <w:t>rative period brings chronic anxiety about repayment</w:t>
      </w:r>
      <w:r w:rsidRPr="00C34AED">
        <w:rPr>
          <w:rFonts w:ascii="Times New Roman" w:hAnsi="Times New Roman"/>
          <w:sz w:val="24"/>
          <w:szCs w:val="24"/>
        </w:rPr>
        <w:t>.</w:t>
      </w:r>
      <w:r w:rsidR="008D02FC">
        <w:rPr>
          <w:rFonts w:ascii="Times New Roman" w:hAnsi="Times New Roman"/>
          <w:sz w:val="24"/>
          <w:szCs w:val="24"/>
          <w:vertAlign w:val="superscript"/>
        </w:rPr>
        <w:t>18</w:t>
      </w:r>
      <w:r w:rsidRPr="00C34AED">
        <w:rPr>
          <w:rFonts w:ascii="Times New Roman" w:hAnsi="Times New Roman"/>
          <w:sz w:val="24"/>
          <w:szCs w:val="24"/>
        </w:rPr>
        <w:t xml:space="preserve"> This economic burden may explain why depression persists long after physical healing. Surgeons should discuss financial expectations openly and connect patients with hospital social workers or micr</w:t>
      </w:r>
      <w:r w:rsidRPr="00C34AED">
        <w:rPr>
          <w:rFonts w:ascii="Times New Roman" w:hAnsi="Times New Roman"/>
          <w:sz w:val="24"/>
          <w:szCs w:val="24"/>
        </w:rPr>
        <w:t>o‑finance support where available.</w:t>
      </w:r>
    </w:p>
    <w:p w14:paraId="0FADCFFD" w14:textId="5C2C6A27" w:rsidR="0015353F" w:rsidRPr="008D02FC" w:rsidRDefault="00AA1534" w:rsidP="00C34AED">
      <w:pPr>
        <w:spacing w:line="360" w:lineRule="auto"/>
        <w:jc w:val="both"/>
        <w:rPr>
          <w:rFonts w:ascii="Times New Roman" w:hAnsi="Times New Roman"/>
          <w:sz w:val="24"/>
          <w:szCs w:val="24"/>
          <w:vertAlign w:val="superscript"/>
        </w:rPr>
      </w:pPr>
      <w:r w:rsidRPr="00C34AED">
        <w:rPr>
          <w:rFonts w:ascii="Times New Roman" w:hAnsi="Times New Roman"/>
          <w:sz w:val="24"/>
          <w:szCs w:val="24"/>
        </w:rPr>
        <w:t>The very low rate of psychological support (12.8%) despite high demand represents a major system failure. In resource‑limited settings, even low‑cost interventions—brief psychoeducation, problem‑solving therapy delivered</w:t>
      </w:r>
      <w:r w:rsidRPr="00C34AED">
        <w:rPr>
          <w:rFonts w:ascii="Times New Roman" w:hAnsi="Times New Roman"/>
          <w:sz w:val="24"/>
          <w:szCs w:val="24"/>
        </w:rPr>
        <w:t xml:space="preserve"> by trained nurses, peer support groups—could substantially improve outcomes</w:t>
      </w:r>
      <w:r w:rsidRPr="00C34AED">
        <w:rPr>
          <w:rFonts w:ascii="Times New Roman" w:hAnsi="Times New Roman"/>
          <w:sz w:val="24"/>
          <w:szCs w:val="24"/>
        </w:rPr>
        <w:t>.</w:t>
      </w:r>
      <w:r w:rsidR="008D02FC">
        <w:rPr>
          <w:rFonts w:ascii="Times New Roman" w:hAnsi="Times New Roman"/>
          <w:sz w:val="24"/>
          <w:szCs w:val="24"/>
          <w:vertAlign w:val="superscript"/>
        </w:rPr>
        <w:t>19</w:t>
      </w:r>
    </w:p>
    <w:p w14:paraId="1AAE680B" w14:textId="585882D1"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The 55% recruitment rate introduces possible selection bias, though baseline characteristics did not differ. The cross‑sectional design cannot </w:t>
      </w:r>
      <w:r w:rsidRPr="00C34AED">
        <w:rPr>
          <w:rFonts w:ascii="Times New Roman" w:hAnsi="Times New Roman"/>
          <w:sz w:val="24"/>
          <w:szCs w:val="24"/>
        </w:rPr>
        <w:t>establish causality. The qualitative sample (n=15) may not capture the full diversity of experiences, though saturation was reached. Social desirability bias may affect both questionnaire and interview responses.</w:t>
      </w:r>
    </w:p>
    <w:p w14:paraId="02FF314C" w14:textId="483CF1A3" w:rsidR="00360F33" w:rsidRPr="00360F33" w:rsidRDefault="00360F33" w:rsidP="00360F33">
      <w:pPr>
        <w:spacing w:line="360" w:lineRule="auto"/>
        <w:jc w:val="both"/>
        <w:rPr>
          <w:rFonts w:ascii="Times New Roman" w:hAnsi="Times New Roman"/>
          <w:sz w:val="24"/>
          <w:szCs w:val="24"/>
        </w:rPr>
      </w:pPr>
      <w:r w:rsidRPr="00360F33">
        <w:rPr>
          <w:rFonts w:ascii="Times New Roman" w:eastAsia="Times New Roman" w:hAnsi="Times New Roman"/>
          <w:color w:val="222222"/>
          <w:sz w:val="24"/>
          <w:szCs w:val="24"/>
          <w:shd w:val="clear" w:color="auto" w:fill="FFFFFF"/>
          <w:lang w:eastAsia="en-US"/>
        </w:rPr>
        <w:t>Based on the findings of this study, several recommendations can be made to improve postoperative care and outcomes for patients undergoing pedicle screw fixation in resource</w:t>
      </w:r>
      <w:r w:rsidRPr="00360F33">
        <w:rPr>
          <w:rFonts w:ascii="Times New Roman" w:eastAsia="Times New Roman" w:hAnsi="Times New Roman"/>
          <w:color w:val="222222"/>
          <w:sz w:val="24"/>
          <w:szCs w:val="24"/>
          <w:shd w:val="clear" w:color="auto" w:fill="FFFFFF"/>
          <w:lang w:eastAsia="en-US"/>
        </w:rPr>
        <w:noBreakHyphen/>
        <w:t>limited settings. First, routine psychological screening should be incorporated into standard postoperative follow</w:t>
      </w:r>
      <w:r w:rsidRPr="00360F33">
        <w:rPr>
          <w:rFonts w:ascii="Times New Roman" w:eastAsia="Times New Roman" w:hAnsi="Times New Roman"/>
          <w:color w:val="222222"/>
          <w:sz w:val="24"/>
          <w:szCs w:val="24"/>
          <w:shd w:val="clear" w:color="auto" w:fill="FFFFFF"/>
          <w:lang w:eastAsia="en-US"/>
        </w:rPr>
        <w:noBreakHyphen/>
        <w:t>up protocols. Simple, validated tools such as the Hospital Anxiety and Depression Scale (HADS) and brief somatization screening instruments can be administered during outpatient visits to allow early identification of patients at risk of psychological distress. Early detection would enable timely intervention before distress becomes chronic and compromises functional recovery.</w:t>
      </w:r>
    </w:p>
    <w:p w14:paraId="1312EB6E" w14:textId="77777777" w:rsidR="00360F33" w:rsidRPr="00360F33" w:rsidRDefault="00360F33" w:rsidP="00360F33">
      <w:pPr>
        <w:spacing w:after="0" w:line="360" w:lineRule="auto"/>
        <w:jc w:val="both"/>
        <w:rPr>
          <w:rFonts w:ascii="Times New Roman" w:eastAsia="Times New Roman" w:hAnsi="Times New Roman"/>
          <w:color w:val="222222"/>
          <w:sz w:val="24"/>
          <w:szCs w:val="24"/>
          <w:lang w:eastAsia="en-US"/>
        </w:rPr>
      </w:pPr>
      <w:r w:rsidRPr="00360F33">
        <w:rPr>
          <w:rFonts w:ascii="Times New Roman" w:eastAsia="Times New Roman" w:hAnsi="Times New Roman"/>
          <w:color w:val="222222"/>
          <w:sz w:val="24"/>
          <w:szCs w:val="24"/>
          <w:lang w:eastAsia="en-US"/>
        </w:rPr>
        <w:t>Second, there is a clear need to integrate basic psychosocial support into spine care pathways. Given the scarcity of specialist mental health professionals, task</w:t>
      </w:r>
      <w:r w:rsidRPr="00360F33">
        <w:rPr>
          <w:rFonts w:ascii="Times New Roman" w:eastAsia="Times New Roman" w:hAnsi="Times New Roman"/>
          <w:color w:val="222222"/>
          <w:sz w:val="24"/>
          <w:szCs w:val="24"/>
          <w:lang w:eastAsia="en-US"/>
        </w:rPr>
        <w:noBreakHyphen/>
        <w:t>shifting approaches—such as training surgeons, nurses, physiotherapists, or primary care physicians to deliver basic psychoeducation, stress</w:t>
      </w:r>
      <w:r w:rsidRPr="00360F33">
        <w:rPr>
          <w:rFonts w:ascii="Times New Roman" w:eastAsia="Times New Roman" w:hAnsi="Times New Roman"/>
          <w:color w:val="222222"/>
          <w:sz w:val="24"/>
          <w:szCs w:val="24"/>
          <w:lang w:eastAsia="en-US"/>
        </w:rPr>
        <w:noBreakHyphen/>
        <w:t xml:space="preserve">management strategies, and supportive counselling—may be both feasible </w:t>
      </w:r>
      <w:r w:rsidRPr="00360F33">
        <w:rPr>
          <w:rFonts w:ascii="Times New Roman" w:eastAsia="Times New Roman" w:hAnsi="Times New Roman"/>
          <w:color w:val="222222"/>
          <w:sz w:val="24"/>
          <w:szCs w:val="24"/>
          <w:lang w:eastAsia="en-US"/>
        </w:rPr>
        <w:lastRenderedPageBreak/>
        <w:t>and cost</w:t>
      </w:r>
      <w:r w:rsidRPr="00360F33">
        <w:rPr>
          <w:rFonts w:ascii="Times New Roman" w:eastAsia="Times New Roman" w:hAnsi="Times New Roman"/>
          <w:color w:val="222222"/>
          <w:sz w:val="24"/>
          <w:szCs w:val="24"/>
          <w:lang w:eastAsia="en-US"/>
        </w:rPr>
        <w:noBreakHyphen/>
        <w:t>effective. Family involvement should also be encouraged, as social support was identified as an important predictor of better functional outcomes.</w:t>
      </w:r>
    </w:p>
    <w:p w14:paraId="57DEA4FE" w14:textId="77777777" w:rsidR="00360F33" w:rsidRPr="00360F33" w:rsidRDefault="00360F33" w:rsidP="00360F33">
      <w:pPr>
        <w:spacing w:after="0" w:line="360" w:lineRule="auto"/>
        <w:jc w:val="both"/>
        <w:rPr>
          <w:rFonts w:ascii="Times New Roman" w:eastAsia="Times New Roman" w:hAnsi="Times New Roman"/>
          <w:color w:val="222222"/>
          <w:sz w:val="24"/>
          <w:szCs w:val="24"/>
          <w:lang w:eastAsia="en-US"/>
        </w:rPr>
      </w:pPr>
      <w:r w:rsidRPr="00360F33">
        <w:rPr>
          <w:rFonts w:ascii="Times New Roman" w:eastAsia="Times New Roman" w:hAnsi="Times New Roman"/>
          <w:color w:val="222222"/>
          <w:sz w:val="24"/>
          <w:szCs w:val="24"/>
          <w:lang w:eastAsia="en-US"/>
        </w:rPr>
        <w:t>Third, preoperative counselling and education should be strengthened. Providing patients with realistic expectations regarding pain relief, recovery trajectory, and functional limitations may help reduce postoperative anxiety, catastrophizing, and dissatisfaction. Incorporating discussions about emotional well</w:t>
      </w:r>
      <w:r w:rsidRPr="00360F33">
        <w:rPr>
          <w:rFonts w:ascii="Times New Roman" w:eastAsia="Times New Roman" w:hAnsi="Times New Roman"/>
          <w:color w:val="222222"/>
          <w:sz w:val="24"/>
          <w:szCs w:val="24"/>
          <w:lang w:eastAsia="en-US"/>
        </w:rPr>
        <w:noBreakHyphen/>
        <w:t>being into preoperative consent could normalize psychological reactions and reduce stigma.</w:t>
      </w:r>
    </w:p>
    <w:p w14:paraId="136C8070" w14:textId="77777777" w:rsidR="00360F33" w:rsidRPr="00360F33" w:rsidRDefault="00360F33" w:rsidP="00360F33">
      <w:pPr>
        <w:spacing w:after="0" w:line="360" w:lineRule="auto"/>
        <w:jc w:val="both"/>
        <w:rPr>
          <w:rFonts w:ascii="Arial" w:eastAsia="Times New Roman" w:hAnsi="Arial" w:cs="Arial"/>
          <w:color w:val="222222"/>
          <w:sz w:val="24"/>
          <w:szCs w:val="24"/>
          <w:lang w:eastAsia="en-US"/>
        </w:rPr>
      </w:pPr>
      <w:r w:rsidRPr="00360F33">
        <w:rPr>
          <w:rFonts w:ascii="Times New Roman" w:eastAsia="Times New Roman" w:hAnsi="Times New Roman"/>
          <w:color w:val="222222"/>
          <w:sz w:val="24"/>
          <w:szCs w:val="24"/>
          <w:lang w:eastAsia="en-US"/>
        </w:rPr>
        <w:t xml:space="preserve">Finally, future research should adopt prospective, </w:t>
      </w:r>
      <w:proofErr w:type="spellStart"/>
      <w:r w:rsidRPr="00360F33">
        <w:rPr>
          <w:rFonts w:ascii="Times New Roman" w:eastAsia="Times New Roman" w:hAnsi="Times New Roman"/>
          <w:color w:val="222222"/>
          <w:sz w:val="24"/>
          <w:szCs w:val="24"/>
          <w:lang w:eastAsia="en-US"/>
        </w:rPr>
        <w:t>multicentre</w:t>
      </w:r>
      <w:proofErr w:type="spellEnd"/>
      <w:r w:rsidRPr="00360F33">
        <w:rPr>
          <w:rFonts w:ascii="Times New Roman" w:eastAsia="Times New Roman" w:hAnsi="Times New Roman"/>
          <w:color w:val="222222"/>
          <w:sz w:val="24"/>
          <w:szCs w:val="24"/>
          <w:lang w:eastAsia="en-US"/>
        </w:rPr>
        <w:t xml:space="preserve"> study designs with pre</w:t>
      </w:r>
      <w:r w:rsidRPr="00360F33">
        <w:rPr>
          <w:rFonts w:ascii="Times New Roman" w:eastAsia="Times New Roman" w:hAnsi="Times New Roman"/>
          <w:color w:val="222222"/>
          <w:sz w:val="24"/>
          <w:szCs w:val="24"/>
          <w:lang w:eastAsia="en-US"/>
        </w:rPr>
        <w:noBreakHyphen/>
        <w:t xml:space="preserve"> and postoperative psychological assessments to clarify causal relationships and improve generalizability. Interventional studies evaluating low</w:t>
      </w:r>
      <w:r w:rsidRPr="00360F33">
        <w:rPr>
          <w:rFonts w:ascii="Times New Roman" w:eastAsia="Times New Roman" w:hAnsi="Times New Roman"/>
          <w:color w:val="222222"/>
          <w:sz w:val="24"/>
          <w:szCs w:val="24"/>
          <w:lang w:eastAsia="en-US"/>
        </w:rPr>
        <w:noBreakHyphen/>
        <w:t xml:space="preserve">cost psychological or </w:t>
      </w:r>
      <w:proofErr w:type="spellStart"/>
      <w:r w:rsidRPr="00360F33">
        <w:rPr>
          <w:rFonts w:ascii="Times New Roman" w:eastAsia="Times New Roman" w:hAnsi="Times New Roman"/>
          <w:color w:val="222222"/>
          <w:sz w:val="24"/>
          <w:szCs w:val="24"/>
          <w:lang w:eastAsia="en-US"/>
        </w:rPr>
        <w:t>behavioural</w:t>
      </w:r>
      <w:proofErr w:type="spellEnd"/>
      <w:r w:rsidRPr="00360F33">
        <w:rPr>
          <w:rFonts w:ascii="Times New Roman" w:eastAsia="Times New Roman" w:hAnsi="Times New Roman"/>
          <w:color w:val="222222"/>
          <w:sz w:val="24"/>
          <w:szCs w:val="24"/>
          <w:lang w:eastAsia="en-US"/>
        </w:rPr>
        <w:t xml:space="preserve"> interventions alongside surgical care are particularly recommended. Collectively, these strategies may help promote a more holistic, biopsychosocial model of spinal surgery care and improve long</w:t>
      </w:r>
      <w:r w:rsidRPr="00360F33">
        <w:rPr>
          <w:rFonts w:ascii="Times New Roman" w:eastAsia="Times New Roman" w:hAnsi="Times New Roman"/>
          <w:color w:val="222222"/>
          <w:sz w:val="24"/>
          <w:szCs w:val="24"/>
          <w:lang w:eastAsia="en-US"/>
        </w:rPr>
        <w:noBreakHyphen/>
        <w:t>term patient</w:t>
      </w:r>
      <w:r w:rsidRPr="00360F33">
        <w:rPr>
          <w:rFonts w:ascii="Times New Roman" w:eastAsia="Times New Roman" w:hAnsi="Times New Roman"/>
          <w:color w:val="222222"/>
          <w:sz w:val="24"/>
          <w:szCs w:val="24"/>
          <w:lang w:eastAsia="en-US"/>
        </w:rPr>
        <w:noBreakHyphen/>
        <w:t>reported outcomes</w:t>
      </w:r>
      <w:r w:rsidRPr="00360F33">
        <w:rPr>
          <w:rFonts w:ascii="Arial" w:eastAsia="Times New Roman" w:hAnsi="Arial" w:cs="Arial"/>
          <w:color w:val="222222"/>
          <w:sz w:val="24"/>
          <w:szCs w:val="24"/>
          <w:lang w:eastAsia="en-US"/>
        </w:rPr>
        <w:t>.</w:t>
      </w:r>
    </w:p>
    <w:p w14:paraId="28E2C860" w14:textId="77777777" w:rsidR="0015353F" w:rsidRPr="00C34AED" w:rsidRDefault="0015353F" w:rsidP="00C34AED">
      <w:pPr>
        <w:spacing w:line="360" w:lineRule="auto"/>
        <w:jc w:val="both"/>
        <w:rPr>
          <w:rFonts w:ascii="Times New Roman" w:hAnsi="Times New Roman"/>
          <w:sz w:val="24"/>
          <w:szCs w:val="24"/>
        </w:rPr>
      </w:pPr>
    </w:p>
    <w:p w14:paraId="5DC97B57" w14:textId="4E9B98F0" w:rsidR="0015353F" w:rsidRPr="00101B14" w:rsidRDefault="00101B14" w:rsidP="00C34AED">
      <w:pPr>
        <w:spacing w:line="360" w:lineRule="auto"/>
        <w:jc w:val="both"/>
        <w:rPr>
          <w:rFonts w:ascii="Times New Roman" w:hAnsi="Times New Roman"/>
          <w:b/>
          <w:bCs/>
          <w:sz w:val="24"/>
          <w:szCs w:val="24"/>
        </w:rPr>
      </w:pPr>
      <w:r w:rsidRPr="00101B14">
        <w:rPr>
          <w:rFonts w:ascii="Times New Roman" w:hAnsi="Times New Roman"/>
          <w:b/>
          <w:bCs/>
          <w:sz w:val="24"/>
          <w:szCs w:val="24"/>
        </w:rPr>
        <w:t>REFERENCES</w:t>
      </w:r>
    </w:p>
    <w:p w14:paraId="158D942C" w14:textId="56EC0CBE"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Orlandi</w:t>
      </w:r>
      <w:proofErr w:type="spellEnd"/>
      <w:r w:rsidRPr="00101B14">
        <w:rPr>
          <w:rFonts w:ascii="Times New Roman" w:hAnsi="Times New Roman"/>
          <w:sz w:val="24"/>
          <w:szCs w:val="24"/>
        </w:rPr>
        <w:t xml:space="preserve"> V, </w:t>
      </w:r>
      <w:proofErr w:type="spellStart"/>
      <w:r w:rsidRPr="00101B14">
        <w:rPr>
          <w:rFonts w:ascii="Times New Roman" w:hAnsi="Times New Roman"/>
          <w:sz w:val="24"/>
          <w:szCs w:val="24"/>
        </w:rPr>
        <w:t>Galieri</w:t>
      </w:r>
      <w:proofErr w:type="spellEnd"/>
      <w:r w:rsidRPr="00101B14">
        <w:rPr>
          <w:rFonts w:ascii="Times New Roman" w:hAnsi="Times New Roman"/>
          <w:sz w:val="24"/>
          <w:szCs w:val="24"/>
        </w:rPr>
        <w:t xml:space="preserve"> G, </w:t>
      </w:r>
      <w:proofErr w:type="spellStart"/>
      <w:r w:rsidRPr="00101B14">
        <w:rPr>
          <w:rFonts w:ascii="Times New Roman" w:hAnsi="Times New Roman"/>
          <w:sz w:val="24"/>
          <w:szCs w:val="24"/>
        </w:rPr>
        <w:t>Mazzucchi</w:t>
      </w:r>
      <w:proofErr w:type="spellEnd"/>
      <w:r w:rsidRPr="00101B14">
        <w:rPr>
          <w:rFonts w:ascii="Times New Roman" w:hAnsi="Times New Roman"/>
          <w:sz w:val="24"/>
          <w:szCs w:val="24"/>
        </w:rPr>
        <w:t xml:space="preserve"> E, </w:t>
      </w:r>
      <w:proofErr w:type="spellStart"/>
      <w:r w:rsidRPr="00101B14">
        <w:rPr>
          <w:rFonts w:ascii="Times New Roman" w:hAnsi="Times New Roman"/>
          <w:sz w:val="24"/>
          <w:szCs w:val="24"/>
        </w:rPr>
        <w:t>Pignotti</w:t>
      </w:r>
      <w:proofErr w:type="spellEnd"/>
      <w:r w:rsidRPr="00101B14">
        <w:rPr>
          <w:rFonts w:ascii="Times New Roman" w:hAnsi="Times New Roman"/>
          <w:sz w:val="24"/>
          <w:szCs w:val="24"/>
        </w:rPr>
        <w:t xml:space="preserve"> F, </w:t>
      </w:r>
      <w:proofErr w:type="spellStart"/>
      <w:r w:rsidRPr="00101B14">
        <w:rPr>
          <w:rFonts w:ascii="Times New Roman" w:hAnsi="Times New Roman"/>
          <w:sz w:val="24"/>
          <w:szCs w:val="24"/>
        </w:rPr>
        <w:t>Carcagnì</w:t>
      </w:r>
      <w:proofErr w:type="spellEnd"/>
      <w:r w:rsidRPr="00101B14">
        <w:rPr>
          <w:rFonts w:ascii="Times New Roman" w:hAnsi="Times New Roman"/>
          <w:sz w:val="24"/>
          <w:szCs w:val="24"/>
        </w:rPr>
        <w:t xml:space="preserve"> A</w:t>
      </w:r>
      <w:r w:rsidRPr="00101B14">
        <w:rPr>
          <w:rFonts w:ascii="Times New Roman" w:hAnsi="Times New Roman"/>
          <w:sz w:val="24"/>
          <w:szCs w:val="24"/>
        </w:rPr>
        <w:t xml:space="preserve">, </w:t>
      </w:r>
      <w:proofErr w:type="spellStart"/>
      <w:r w:rsidRPr="00101B14">
        <w:rPr>
          <w:rFonts w:ascii="Times New Roman" w:hAnsi="Times New Roman"/>
          <w:sz w:val="24"/>
          <w:szCs w:val="24"/>
        </w:rPr>
        <w:t>Bazzu</w:t>
      </w:r>
      <w:proofErr w:type="spellEnd"/>
      <w:r w:rsidRPr="00101B14">
        <w:rPr>
          <w:rFonts w:ascii="Times New Roman" w:hAnsi="Times New Roman"/>
          <w:sz w:val="24"/>
          <w:szCs w:val="24"/>
        </w:rPr>
        <w:t xml:space="preserve"> P, et al. Comparative Analysis of Pedicle Screw Fixation and Interspinous Devices in Lumbar Spinal Fusion: Clinical and Surgical Outcomes in Degenerative Spine Conditions. J Pers Med. 2025;15(3):95.</w:t>
      </w:r>
    </w:p>
    <w:p w14:paraId="737A0E1C" w14:textId="4794F4B1"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Gaines RW Jr. The use of pedicle-screw interna</w:t>
      </w:r>
      <w:r w:rsidRPr="00101B14">
        <w:rPr>
          <w:rFonts w:ascii="Times New Roman" w:hAnsi="Times New Roman"/>
          <w:sz w:val="24"/>
          <w:szCs w:val="24"/>
        </w:rPr>
        <w:t>l fixation for the operative treatment of spinal disorders. J Bone Joint Surg Am. 2000;82(10):1458–76.</w:t>
      </w:r>
    </w:p>
    <w:p w14:paraId="2C7C35DE" w14:textId="53EF0E21"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Celestin J, Edwards RR, Jamison RN. Pretreatment psychosocial variables as predictors of outcomes following lumbar surgery and spinal cord stimulation</w:t>
      </w:r>
      <w:r w:rsidRPr="00101B14">
        <w:rPr>
          <w:rFonts w:ascii="Times New Roman" w:hAnsi="Times New Roman"/>
          <w:sz w:val="24"/>
          <w:szCs w:val="24"/>
        </w:rPr>
        <w:t>: a systematic review and meta‑analysis. Pain Med. 2009;10(4):639–53.</w:t>
      </w:r>
    </w:p>
    <w:p w14:paraId="342B5C7E" w14:textId="1B322DD8"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Strøm</w:t>
      </w:r>
      <w:proofErr w:type="spellEnd"/>
      <w:r w:rsidRPr="00101B14">
        <w:rPr>
          <w:rFonts w:ascii="Times New Roman" w:hAnsi="Times New Roman"/>
          <w:sz w:val="24"/>
          <w:szCs w:val="24"/>
        </w:rPr>
        <w:t xml:space="preserve"> J, Bjerrum MB, Nielsen CV, </w:t>
      </w:r>
      <w:proofErr w:type="spellStart"/>
      <w:r w:rsidRPr="00101B14">
        <w:rPr>
          <w:rFonts w:ascii="Times New Roman" w:hAnsi="Times New Roman"/>
          <w:sz w:val="24"/>
          <w:szCs w:val="24"/>
        </w:rPr>
        <w:t>Thisted</w:t>
      </w:r>
      <w:proofErr w:type="spellEnd"/>
      <w:r w:rsidRPr="00101B14">
        <w:rPr>
          <w:rFonts w:ascii="Times New Roman" w:hAnsi="Times New Roman"/>
          <w:sz w:val="24"/>
          <w:szCs w:val="24"/>
        </w:rPr>
        <w:t xml:space="preserve"> CN, Nielsen TL, </w:t>
      </w:r>
      <w:proofErr w:type="spellStart"/>
      <w:r w:rsidRPr="00101B14">
        <w:rPr>
          <w:rFonts w:ascii="Times New Roman" w:hAnsi="Times New Roman"/>
          <w:sz w:val="24"/>
          <w:szCs w:val="24"/>
        </w:rPr>
        <w:t>Laursen</w:t>
      </w:r>
      <w:proofErr w:type="spellEnd"/>
      <w:r w:rsidRPr="00101B14">
        <w:rPr>
          <w:rFonts w:ascii="Times New Roman" w:hAnsi="Times New Roman"/>
          <w:sz w:val="24"/>
          <w:szCs w:val="24"/>
        </w:rPr>
        <w:t xml:space="preserve"> M, et al. Anxiety and depression in spine surgery—a systematic review. Spine J. 2018;18(8):1472–85.</w:t>
      </w:r>
    </w:p>
    <w:p w14:paraId="7E881540" w14:textId="3FD06996"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Adogwa</w:t>
      </w:r>
      <w:proofErr w:type="spellEnd"/>
      <w:r w:rsidRPr="00101B14">
        <w:rPr>
          <w:rFonts w:ascii="Times New Roman" w:hAnsi="Times New Roman"/>
          <w:sz w:val="24"/>
          <w:szCs w:val="24"/>
        </w:rPr>
        <w:t xml:space="preserve"> O, Parke</w:t>
      </w:r>
      <w:r w:rsidRPr="00101B14">
        <w:rPr>
          <w:rFonts w:ascii="Times New Roman" w:hAnsi="Times New Roman"/>
          <w:sz w:val="24"/>
          <w:szCs w:val="24"/>
        </w:rPr>
        <w:t xml:space="preserve">r SL, </w:t>
      </w:r>
      <w:proofErr w:type="spellStart"/>
      <w:r w:rsidRPr="00101B14">
        <w:rPr>
          <w:rFonts w:ascii="Times New Roman" w:hAnsi="Times New Roman"/>
          <w:sz w:val="24"/>
          <w:szCs w:val="24"/>
        </w:rPr>
        <w:t>Shau</w:t>
      </w:r>
      <w:proofErr w:type="spellEnd"/>
      <w:r w:rsidRPr="00101B14">
        <w:rPr>
          <w:rFonts w:ascii="Times New Roman" w:hAnsi="Times New Roman"/>
          <w:sz w:val="24"/>
          <w:szCs w:val="24"/>
        </w:rPr>
        <w:t xml:space="preserve"> DN, Mendenhall SK, Aaronson O, Cheng JS, et al. Preoperative </w:t>
      </w:r>
      <w:proofErr w:type="spellStart"/>
      <w:r w:rsidRPr="00101B14">
        <w:rPr>
          <w:rFonts w:ascii="Times New Roman" w:hAnsi="Times New Roman"/>
          <w:sz w:val="24"/>
          <w:szCs w:val="24"/>
        </w:rPr>
        <w:t>Zung</w:t>
      </w:r>
      <w:proofErr w:type="spellEnd"/>
      <w:r w:rsidRPr="00101B14">
        <w:rPr>
          <w:rFonts w:ascii="Times New Roman" w:hAnsi="Times New Roman"/>
          <w:sz w:val="24"/>
          <w:szCs w:val="24"/>
        </w:rPr>
        <w:t xml:space="preserve"> Depression Scale predicts outcome after revision lumbar surgery for adjacent segment disease, recurrent stenosis, and pseudarthrosis. Spine J. 2012;12(10):913–9.</w:t>
      </w:r>
    </w:p>
    <w:p w14:paraId="45A44364" w14:textId="43C0B8F8"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lastRenderedPageBreak/>
        <w:t>Sinikallio</w:t>
      </w:r>
      <w:proofErr w:type="spellEnd"/>
      <w:r w:rsidRPr="00101B14">
        <w:rPr>
          <w:rFonts w:ascii="Times New Roman" w:hAnsi="Times New Roman"/>
          <w:sz w:val="24"/>
          <w:szCs w:val="24"/>
        </w:rPr>
        <w:t xml:space="preserve"> S, </w:t>
      </w:r>
      <w:r w:rsidRPr="00101B14">
        <w:rPr>
          <w:rFonts w:ascii="Times New Roman" w:hAnsi="Times New Roman"/>
          <w:sz w:val="24"/>
          <w:szCs w:val="24"/>
        </w:rPr>
        <w:t xml:space="preserve">Aalto T, </w:t>
      </w:r>
      <w:proofErr w:type="spellStart"/>
      <w:r w:rsidRPr="00101B14">
        <w:rPr>
          <w:rFonts w:ascii="Times New Roman" w:hAnsi="Times New Roman"/>
          <w:sz w:val="24"/>
          <w:szCs w:val="24"/>
        </w:rPr>
        <w:t>Airaksinen</w:t>
      </w:r>
      <w:proofErr w:type="spellEnd"/>
      <w:r w:rsidRPr="00101B14">
        <w:rPr>
          <w:rFonts w:ascii="Times New Roman" w:hAnsi="Times New Roman"/>
          <w:sz w:val="24"/>
          <w:szCs w:val="24"/>
        </w:rPr>
        <w:t xml:space="preserve"> O, </w:t>
      </w:r>
      <w:proofErr w:type="spellStart"/>
      <w:r w:rsidRPr="00101B14">
        <w:rPr>
          <w:rFonts w:ascii="Times New Roman" w:hAnsi="Times New Roman"/>
          <w:sz w:val="24"/>
          <w:szCs w:val="24"/>
        </w:rPr>
        <w:t>Lehto</w:t>
      </w:r>
      <w:proofErr w:type="spellEnd"/>
      <w:r w:rsidRPr="00101B14">
        <w:rPr>
          <w:rFonts w:ascii="Times New Roman" w:hAnsi="Times New Roman"/>
          <w:sz w:val="24"/>
          <w:szCs w:val="24"/>
        </w:rPr>
        <w:t xml:space="preserve"> SM, </w:t>
      </w:r>
      <w:proofErr w:type="spellStart"/>
      <w:r w:rsidRPr="00101B14">
        <w:rPr>
          <w:rFonts w:ascii="Times New Roman" w:hAnsi="Times New Roman"/>
          <w:sz w:val="24"/>
          <w:szCs w:val="24"/>
        </w:rPr>
        <w:t>Kröger</w:t>
      </w:r>
      <w:proofErr w:type="spellEnd"/>
      <w:r w:rsidRPr="00101B14">
        <w:rPr>
          <w:rFonts w:ascii="Times New Roman" w:hAnsi="Times New Roman"/>
          <w:sz w:val="24"/>
          <w:szCs w:val="24"/>
        </w:rPr>
        <w:t xml:space="preserve"> H, </w:t>
      </w:r>
      <w:proofErr w:type="spellStart"/>
      <w:r w:rsidRPr="00101B14">
        <w:rPr>
          <w:rFonts w:ascii="Times New Roman" w:hAnsi="Times New Roman"/>
          <w:sz w:val="24"/>
          <w:szCs w:val="24"/>
        </w:rPr>
        <w:t>Viinamäki</w:t>
      </w:r>
      <w:proofErr w:type="spellEnd"/>
      <w:r w:rsidRPr="00101B14">
        <w:rPr>
          <w:rFonts w:ascii="Times New Roman" w:hAnsi="Times New Roman"/>
          <w:sz w:val="24"/>
          <w:szCs w:val="24"/>
        </w:rPr>
        <w:t xml:space="preserve"> H. Depression and associated factors in patients with lumbar spinal stenosis. </w:t>
      </w:r>
      <w:proofErr w:type="spellStart"/>
      <w:r w:rsidRPr="00101B14">
        <w:rPr>
          <w:rFonts w:ascii="Times New Roman" w:hAnsi="Times New Roman"/>
          <w:sz w:val="24"/>
          <w:szCs w:val="24"/>
        </w:rPr>
        <w:t>Disabil</w:t>
      </w:r>
      <w:proofErr w:type="spellEnd"/>
      <w:r w:rsidRPr="00101B14">
        <w:rPr>
          <w:rFonts w:ascii="Times New Roman" w:hAnsi="Times New Roman"/>
          <w:sz w:val="24"/>
          <w:szCs w:val="24"/>
        </w:rPr>
        <w:t xml:space="preserve"> </w:t>
      </w:r>
      <w:proofErr w:type="spellStart"/>
      <w:r w:rsidRPr="00101B14">
        <w:rPr>
          <w:rFonts w:ascii="Times New Roman" w:hAnsi="Times New Roman"/>
          <w:sz w:val="24"/>
          <w:szCs w:val="24"/>
        </w:rPr>
        <w:t>Rehabil</w:t>
      </w:r>
      <w:proofErr w:type="spellEnd"/>
      <w:r w:rsidRPr="00101B14">
        <w:rPr>
          <w:rFonts w:ascii="Times New Roman" w:hAnsi="Times New Roman"/>
          <w:sz w:val="24"/>
          <w:szCs w:val="24"/>
        </w:rPr>
        <w:t>. 2007;29(24):1869–76.</w:t>
      </w:r>
    </w:p>
    <w:p w14:paraId="49BA3901" w14:textId="6B21126A"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LaCaille</w:t>
      </w:r>
      <w:proofErr w:type="spellEnd"/>
      <w:r w:rsidRPr="00101B14">
        <w:rPr>
          <w:rFonts w:ascii="Times New Roman" w:hAnsi="Times New Roman"/>
          <w:sz w:val="24"/>
          <w:szCs w:val="24"/>
        </w:rPr>
        <w:t xml:space="preserve"> RA, </w:t>
      </w:r>
      <w:proofErr w:type="spellStart"/>
      <w:r w:rsidRPr="00101B14">
        <w:rPr>
          <w:rFonts w:ascii="Times New Roman" w:hAnsi="Times New Roman"/>
          <w:sz w:val="24"/>
          <w:szCs w:val="24"/>
        </w:rPr>
        <w:t>DeBerard</w:t>
      </w:r>
      <w:proofErr w:type="spellEnd"/>
      <w:r w:rsidRPr="00101B14">
        <w:rPr>
          <w:rFonts w:ascii="Times New Roman" w:hAnsi="Times New Roman"/>
          <w:sz w:val="24"/>
          <w:szCs w:val="24"/>
        </w:rPr>
        <w:t xml:space="preserve"> MS, Masters KS, </w:t>
      </w:r>
      <w:proofErr w:type="spellStart"/>
      <w:r w:rsidRPr="00101B14">
        <w:rPr>
          <w:rFonts w:ascii="Times New Roman" w:hAnsi="Times New Roman"/>
          <w:sz w:val="24"/>
          <w:szCs w:val="24"/>
        </w:rPr>
        <w:t>Colledge</w:t>
      </w:r>
      <w:proofErr w:type="spellEnd"/>
      <w:r w:rsidRPr="00101B14">
        <w:rPr>
          <w:rFonts w:ascii="Times New Roman" w:hAnsi="Times New Roman"/>
          <w:sz w:val="24"/>
          <w:szCs w:val="24"/>
        </w:rPr>
        <w:t xml:space="preserve"> AL, Bacon W. Presurgical </w:t>
      </w:r>
      <w:r w:rsidRPr="00101B14">
        <w:rPr>
          <w:rFonts w:ascii="Times New Roman" w:hAnsi="Times New Roman"/>
          <w:sz w:val="24"/>
          <w:szCs w:val="24"/>
        </w:rPr>
        <w:t>biopsychosocial factors predict multidimensional patient outcomes after lumbar fusion surgery. Psychol Health. 2008;23(5):587–607.</w:t>
      </w:r>
    </w:p>
    <w:p w14:paraId="0829C7DD" w14:textId="7F165A89"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 xml:space="preserve">Nwankwo OE, Umaru H, </w:t>
      </w:r>
      <w:proofErr w:type="spellStart"/>
      <w:r w:rsidRPr="00101B14">
        <w:rPr>
          <w:rFonts w:ascii="Times New Roman" w:hAnsi="Times New Roman"/>
          <w:sz w:val="24"/>
          <w:szCs w:val="24"/>
        </w:rPr>
        <w:t>Onyemaechi</w:t>
      </w:r>
      <w:proofErr w:type="spellEnd"/>
      <w:r w:rsidRPr="00101B14">
        <w:rPr>
          <w:rFonts w:ascii="Times New Roman" w:hAnsi="Times New Roman"/>
          <w:sz w:val="24"/>
          <w:szCs w:val="24"/>
        </w:rPr>
        <w:t xml:space="preserve"> N, </w:t>
      </w:r>
      <w:proofErr w:type="spellStart"/>
      <w:r w:rsidRPr="00101B14">
        <w:rPr>
          <w:rFonts w:ascii="Times New Roman" w:hAnsi="Times New Roman"/>
          <w:sz w:val="24"/>
          <w:szCs w:val="24"/>
        </w:rPr>
        <w:t>Nottidge</w:t>
      </w:r>
      <w:proofErr w:type="spellEnd"/>
      <w:r w:rsidRPr="00101B14">
        <w:rPr>
          <w:rFonts w:ascii="Times New Roman" w:hAnsi="Times New Roman"/>
          <w:sz w:val="24"/>
          <w:szCs w:val="24"/>
        </w:rPr>
        <w:t xml:space="preserve"> T. Pattern of spinal disorders in a tertiary hospital in Nigeria. Niger J Clin</w:t>
      </w:r>
      <w:r w:rsidRPr="00101B14">
        <w:rPr>
          <w:rFonts w:ascii="Times New Roman" w:hAnsi="Times New Roman"/>
          <w:sz w:val="24"/>
          <w:szCs w:val="24"/>
        </w:rPr>
        <w:t xml:space="preserve"> </w:t>
      </w:r>
      <w:proofErr w:type="spellStart"/>
      <w:r w:rsidRPr="00101B14">
        <w:rPr>
          <w:rFonts w:ascii="Times New Roman" w:hAnsi="Times New Roman"/>
          <w:sz w:val="24"/>
          <w:szCs w:val="24"/>
        </w:rPr>
        <w:t>Pract</w:t>
      </w:r>
      <w:proofErr w:type="spellEnd"/>
      <w:r w:rsidRPr="00101B14">
        <w:rPr>
          <w:rFonts w:ascii="Times New Roman" w:hAnsi="Times New Roman"/>
          <w:sz w:val="24"/>
          <w:szCs w:val="24"/>
        </w:rPr>
        <w:t>. 2020;23(4):499–504.</w:t>
      </w:r>
    </w:p>
    <w:p w14:paraId="45E51D5C" w14:textId="3A937A38"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 xml:space="preserve">Kim YJ, </w:t>
      </w:r>
      <w:proofErr w:type="spellStart"/>
      <w:r w:rsidRPr="00101B14">
        <w:rPr>
          <w:rFonts w:ascii="Times New Roman" w:hAnsi="Times New Roman"/>
          <w:sz w:val="24"/>
          <w:szCs w:val="24"/>
        </w:rPr>
        <w:t>Lenke</w:t>
      </w:r>
      <w:proofErr w:type="spellEnd"/>
      <w:r w:rsidRPr="00101B14">
        <w:rPr>
          <w:rFonts w:ascii="Times New Roman" w:hAnsi="Times New Roman"/>
          <w:sz w:val="24"/>
          <w:szCs w:val="24"/>
        </w:rPr>
        <w:t xml:space="preserve"> LG, Bridwell KH, Cho YS, </w:t>
      </w:r>
      <w:proofErr w:type="spellStart"/>
      <w:r w:rsidRPr="00101B14">
        <w:rPr>
          <w:rFonts w:ascii="Times New Roman" w:hAnsi="Times New Roman"/>
          <w:sz w:val="24"/>
          <w:szCs w:val="24"/>
        </w:rPr>
        <w:t>Riew</w:t>
      </w:r>
      <w:proofErr w:type="spellEnd"/>
      <w:r w:rsidRPr="00101B14">
        <w:rPr>
          <w:rFonts w:ascii="Times New Roman" w:hAnsi="Times New Roman"/>
          <w:sz w:val="24"/>
          <w:szCs w:val="24"/>
        </w:rPr>
        <w:t xml:space="preserve"> KD. Free hand pedicle screw placement in the thoracic spine: is it safe? Spine. 2004;29(3):333–42.</w:t>
      </w:r>
    </w:p>
    <w:p w14:paraId="01A4357B" w14:textId="13B05304"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Fereday</w:t>
      </w:r>
      <w:proofErr w:type="spellEnd"/>
      <w:r w:rsidRPr="00101B14">
        <w:rPr>
          <w:rFonts w:ascii="Times New Roman" w:hAnsi="Times New Roman"/>
          <w:sz w:val="24"/>
          <w:szCs w:val="24"/>
        </w:rPr>
        <w:t xml:space="preserve"> J, Muir‑Cochrane E. Demonstrating rigor using thematic analysis: a hyb</w:t>
      </w:r>
      <w:r w:rsidRPr="00101B14">
        <w:rPr>
          <w:rFonts w:ascii="Times New Roman" w:hAnsi="Times New Roman"/>
          <w:sz w:val="24"/>
          <w:szCs w:val="24"/>
        </w:rPr>
        <w:t>rid approach of inductive and deductive coding and theme development. Int J Qual Methods. 2006;5(1):80–92.</w:t>
      </w:r>
    </w:p>
    <w:p w14:paraId="13A4681C" w14:textId="2C919DD9"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Zigmond</w:t>
      </w:r>
      <w:proofErr w:type="spellEnd"/>
      <w:r w:rsidRPr="00101B14">
        <w:rPr>
          <w:rFonts w:ascii="Times New Roman" w:hAnsi="Times New Roman"/>
          <w:sz w:val="24"/>
          <w:szCs w:val="24"/>
        </w:rPr>
        <w:t xml:space="preserve"> AS, Snaith RP. The hospital anxiety and depression scale. Acta </w:t>
      </w:r>
      <w:proofErr w:type="spellStart"/>
      <w:r w:rsidRPr="00101B14">
        <w:rPr>
          <w:rFonts w:ascii="Times New Roman" w:hAnsi="Times New Roman"/>
          <w:sz w:val="24"/>
          <w:szCs w:val="24"/>
        </w:rPr>
        <w:t>Psychiatr</w:t>
      </w:r>
      <w:proofErr w:type="spellEnd"/>
      <w:r w:rsidRPr="00101B14">
        <w:rPr>
          <w:rFonts w:ascii="Times New Roman" w:hAnsi="Times New Roman"/>
          <w:sz w:val="24"/>
          <w:szCs w:val="24"/>
        </w:rPr>
        <w:t xml:space="preserve"> Scand. 1983;67(6):361–70.</w:t>
      </w:r>
    </w:p>
    <w:p w14:paraId="253AA509" w14:textId="2413D9EC"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Derogatis</w:t>
      </w:r>
      <w:proofErr w:type="spellEnd"/>
      <w:r w:rsidRPr="00101B14">
        <w:rPr>
          <w:rFonts w:ascii="Times New Roman" w:hAnsi="Times New Roman"/>
          <w:sz w:val="24"/>
          <w:szCs w:val="24"/>
        </w:rPr>
        <w:t xml:space="preserve"> LR, Cleary PA. Confirmat</w:t>
      </w:r>
      <w:r w:rsidRPr="00101B14">
        <w:rPr>
          <w:rFonts w:ascii="Times New Roman" w:hAnsi="Times New Roman"/>
          <w:sz w:val="24"/>
          <w:szCs w:val="24"/>
        </w:rPr>
        <w:t>ion of the dimensional structure of the SCL‑90: a study in construct validation. J Clin Psychol. 1977;33(4):981–9.</w:t>
      </w:r>
    </w:p>
    <w:p w14:paraId="55DA0559" w14:textId="6CC98A3F"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 xml:space="preserve">Fairbank JC, </w:t>
      </w:r>
      <w:proofErr w:type="spellStart"/>
      <w:r w:rsidRPr="00101B14">
        <w:rPr>
          <w:rFonts w:ascii="Times New Roman" w:hAnsi="Times New Roman"/>
          <w:sz w:val="24"/>
          <w:szCs w:val="24"/>
        </w:rPr>
        <w:t>Pynsent</w:t>
      </w:r>
      <w:proofErr w:type="spellEnd"/>
      <w:r w:rsidRPr="00101B14">
        <w:rPr>
          <w:rFonts w:ascii="Times New Roman" w:hAnsi="Times New Roman"/>
          <w:sz w:val="24"/>
          <w:szCs w:val="24"/>
        </w:rPr>
        <w:t xml:space="preserve"> PB. The </w:t>
      </w:r>
      <w:proofErr w:type="spellStart"/>
      <w:r w:rsidRPr="00101B14">
        <w:rPr>
          <w:rFonts w:ascii="Times New Roman" w:hAnsi="Times New Roman"/>
          <w:sz w:val="24"/>
          <w:szCs w:val="24"/>
        </w:rPr>
        <w:t>Oswestry</w:t>
      </w:r>
      <w:proofErr w:type="spellEnd"/>
      <w:r w:rsidRPr="00101B14">
        <w:rPr>
          <w:rFonts w:ascii="Times New Roman" w:hAnsi="Times New Roman"/>
          <w:sz w:val="24"/>
          <w:szCs w:val="24"/>
        </w:rPr>
        <w:t xml:space="preserve"> Disability Index. Spine. 2000;25(22):2940–52.</w:t>
      </w:r>
    </w:p>
    <w:p w14:paraId="280C1CEF" w14:textId="60FD0001"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Braun V, Clarke V. Using thematic analysis in psy</w:t>
      </w:r>
      <w:r w:rsidRPr="00101B14">
        <w:rPr>
          <w:rFonts w:ascii="Times New Roman" w:hAnsi="Times New Roman"/>
          <w:sz w:val="24"/>
          <w:szCs w:val="24"/>
        </w:rPr>
        <w:t>chology. Qual Res Psychol. 2006;3(2):77–101.</w:t>
      </w:r>
    </w:p>
    <w:p w14:paraId="73BEC6B3" w14:textId="7A7D4BE6"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Okulate</w:t>
      </w:r>
      <w:proofErr w:type="spellEnd"/>
      <w:r w:rsidRPr="00101B14">
        <w:rPr>
          <w:rFonts w:ascii="Times New Roman" w:hAnsi="Times New Roman"/>
          <w:sz w:val="24"/>
          <w:szCs w:val="24"/>
        </w:rPr>
        <w:t xml:space="preserve"> GT, Olayinka MO, Jones OB. Somatic symptoms in a Nigerian primary care setting. J </w:t>
      </w:r>
      <w:proofErr w:type="spellStart"/>
      <w:r w:rsidRPr="00101B14">
        <w:rPr>
          <w:rFonts w:ascii="Times New Roman" w:hAnsi="Times New Roman"/>
          <w:sz w:val="24"/>
          <w:szCs w:val="24"/>
        </w:rPr>
        <w:t>Psychosom</w:t>
      </w:r>
      <w:proofErr w:type="spellEnd"/>
      <w:r w:rsidRPr="00101B14">
        <w:rPr>
          <w:rFonts w:ascii="Times New Roman" w:hAnsi="Times New Roman"/>
          <w:sz w:val="24"/>
          <w:szCs w:val="24"/>
        </w:rPr>
        <w:t xml:space="preserve"> Res. 2004;56(5):563–6.</w:t>
      </w:r>
    </w:p>
    <w:p w14:paraId="78D9C4F9" w14:textId="11F727BD" w:rsidR="0015353F" w:rsidRPr="00101B14" w:rsidRDefault="00AA1534" w:rsidP="00101B14">
      <w:pPr>
        <w:pStyle w:val="ListParagraph"/>
        <w:numPr>
          <w:ilvl w:val="0"/>
          <w:numId w:val="4"/>
        </w:numPr>
        <w:spacing w:line="360" w:lineRule="auto"/>
        <w:jc w:val="both"/>
        <w:rPr>
          <w:rFonts w:ascii="Times New Roman" w:hAnsi="Times New Roman"/>
          <w:sz w:val="24"/>
          <w:szCs w:val="24"/>
        </w:rPr>
      </w:pPr>
      <w:proofErr w:type="spellStart"/>
      <w:r w:rsidRPr="00101B14">
        <w:rPr>
          <w:rFonts w:ascii="Times New Roman" w:hAnsi="Times New Roman"/>
          <w:sz w:val="24"/>
          <w:szCs w:val="24"/>
        </w:rPr>
        <w:t>Gureje</w:t>
      </w:r>
      <w:proofErr w:type="spellEnd"/>
      <w:r w:rsidRPr="00101B14">
        <w:rPr>
          <w:rFonts w:ascii="Times New Roman" w:hAnsi="Times New Roman"/>
          <w:sz w:val="24"/>
          <w:szCs w:val="24"/>
        </w:rPr>
        <w:t xml:space="preserve"> O, </w:t>
      </w:r>
      <w:proofErr w:type="spellStart"/>
      <w:r w:rsidRPr="00101B14">
        <w:rPr>
          <w:rFonts w:ascii="Times New Roman" w:hAnsi="Times New Roman"/>
          <w:sz w:val="24"/>
          <w:szCs w:val="24"/>
        </w:rPr>
        <w:t>Lasebikan</w:t>
      </w:r>
      <w:proofErr w:type="spellEnd"/>
      <w:r w:rsidRPr="00101B14">
        <w:rPr>
          <w:rFonts w:ascii="Times New Roman" w:hAnsi="Times New Roman"/>
          <w:sz w:val="24"/>
          <w:szCs w:val="24"/>
        </w:rPr>
        <w:t xml:space="preserve"> VO, Kola L, </w:t>
      </w:r>
      <w:proofErr w:type="spellStart"/>
      <w:r w:rsidRPr="00101B14">
        <w:rPr>
          <w:rFonts w:ascii="Times New Roman" w:hAnsi="Times New Roman"/>
          <w:sz w:val="24"/>
          <w:szCs w:val="24"/>
        </w:rPr>
        <w:t>Makanjuola</w:t>
      </w:r>
      <w:proofErr w:type="spellEnd"/>
      <w:r w:rsidRPr="00101B14">
        <w:rPr>
          <w:rFonts w:ascii="Times New Roman" w:hAnsi="Times New Roman"/>
          <w:sz w:val="24"/>
          <w:szCs w:val="24"/>
        </w:rPr>
        <w:t xml:space="preserve"> VA. Lifetime and 12‑month prevalence </w:t>
      </w:r>
      <w:r w:rsidRPr="00101B14">
        <w:rPr>
          <w:rFonts w:ascii="Times New Roman" w:hAnsi="Times New Roman"/>
          <w:sz w:val="24"/>
          <w:szCs w:val="24"/>
        </w:rPr>
        <w:t>of mental disorders in the Nigerian Survey of Mental Health and Well‑Being. Br J Psychiatry. 2006;188(5):465–71.</w:t>
      </w:r>
    </w:p>
    <w:p w14:paraId="55667FB7" w14:textId="5F1C0F63"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 xml:space="preserve">Koenig HG. Religion, spirituality, and health: the research and clinical implications. ISRN Psychiatry. </w:t>
      </w:r>
      <w:proofErr w:type="gramStart"/>
      <w:r w:rsidRPr="00101B14">
        <w:rPr>
          <w:rFonts w:ascii="Times New Roman" w:hAnsi="Times New Roman"/>
          <w:sz w:val="24"/>
          <w:szCs w:val="24"/>
        </w:rPr>
        <w:t>2012;2012:278730</w:t>
      </w:r>
      <w:proofErr w:type="gramEnd"/>
      <w:r w:rsidRPr="00101B14">
        <w:rPr>
          <w:rFonts w:ascii="Times New Roman" w:hAnsi="Times New Roman"/>
          <w:sz w:val="24"/>
          <w:szCs w:val="24"/>
        </w:rPr>
        <w:t>.</w:t>
      </w:r>
    </w:p>
    <w:p w14:paraId="583E61AD" w14:textId="4D80D7F3"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t xml:space="preserve">Adeyemi RA, </w:t>
      </w:r>
      <w:proofErr w:type="spellStart"/>
      <w:r w:rsidRPr="00101B14">
        <w:rPr>
          <w:rFonts w:ascii="Times New Roman" w:hAnsi="Times New Roman"/>
          <w:sz w:val="24"/>
          <w:szCs w:val="24"/>
        </w:rPr>
        <w:t>I</w:t>
      </w:r>
      <w:r w:rsidRPr="00101B14">
        <w:rPr>
          <w:rFonts w:ascii="Times New Roman" w:hAnsi="Times New Roman"/>
          <w:sz w:val="24"/>
          <w:szCs w:val="24"/>
        </w:rPr>
        <w:t>ken</w:t>
      </w:r>
      <w:proofErr w:type="spellEnd"/>
      <w:r w:rsidRPr="00101B14">
        <w:rPr>
          <w:rFonts w:ascii="Times New Roman" w:hAnsi="Times New Roman"/>
          <w:sz w:val="24"/>
          <w:szCs w:val="24"/>
        </w:rPr>
        <w:t xml:space="preserve"> IC, </w:t>
      </w:r>
      <w:proofErr w:type="spellStart"/>
      <w:r w:rsidRPr="00101B14">
        <w:rPr>
          <w:rFonts w:ascii="Times New Roman" w:hAnsi="Times New Roman"/>
          <w:sz w:val="24"/>
          <w:szCs w:val="24"/>
        </w:rPr>
        <w:t>OlaOlorun</w:t>
      </w:r>
      <w:proofErr w:type="spellEnd"/>
      <w:r w:rsidRPr="00101B14">
        <w:rPr>
          <w:rFonts w:ascii="Times New Roman" w:hAnsi="Times New Roman"/>
          <w:sz w:val="24"/>
          <w:szCs w:val="24"/>
        </w:rPr>
        <w:t xml:space="preserve"> DA. Financial burden of spinal surgery in a Nigerian teaching hospital. Niger J Surg. 2019;25(2):154–9.</w:t>
      </w:r>
    </w:p>
    <w:p w14:paraId="6C360DA6" w14:textId="6D7D73B5" w:rsidR="0015353F" w:rsidRPr="00101B14" w:rsidRDefault="00AA1534" w:rsidP="00101B14">
      <w:pPr>
        <w:pStyle w:val="ListParagraph"/>
        <w:numPr>
          <w:ilvl w:val="0"/>
          <w:numId w:val="4"/>
        </w:numPr>
        <w:spacing w:line="360" w:lineRule="auto"/>
        <w:jc w:val="both"/>
        <w:rPr>
          <w:rFonts w:ascii="Times New Roman" w:hAnsi="Times New Roman"/>
          <w:sz w:val="24"/>
          <w:szCs w:val="24"/>
        </w:rPr>
      </w:pPr>
      <w:r w:rsidRPr="00101B14">
        <w:rPr>
          <w:rFonts w:ascii="Times New Roman" w:hAnsi="Times New Roman"/>
          <w:sz w:val="24"/>
          <w:szCs w:val="24"/>
        </w:rPr>
        <w:lastRenderedPageBreak/>
        <w:t xml:space="preserve">Abas M, Bowers T, Manda E, Cooper S, </w:t>
      </w:r>
      <w:proofErr w:type="spellStart"/>
      <w:r w:rsidRPr="00101B14">
        <w:rPr>
          <w:rFonts w:ascii="Times New Roman" w:hAnsi="Times New Roman"/>
          <w:sz w:val="24"/>
          <w:szCs w:val="24"/>
        </w:rPr>
        <w:t>Machando</w:t>
      </w:r>
      <w:proofErr w:type="spellEnd"/>
      <w:r w:rsidRPr="00101B14">
        <w:rPr>
          <w:rFonts w:ascii="Times New Roman" w:hAnsi="Times New Roman"/>
          <w:sz w:val="24"/>
          <w:szCs w:val="24"/>
        </w:rPr>
        <w:t xml:space="preserve"> D, </w:t>
      </w:r>
      <w:proofErr w:type="spellStart"/>
      <w:r w:rsidRPr="00101B14">
        <w:rPr>
          <w:rFonts w:ascii="Times New Roman" w:hAnsi="Times New Roman"/>
          <w:sz w:val="24"/>
          <w:szCs w:val="24"/>
        </w:rPr>
        <w:t>Verhey</w:t>
      </w:r>
      <w:proofErr w:type="spellEnd"/>
      <w:r w:rsidRPr="00101B14">
        <w:rPr>
          <w:rFonts w:ascii="Times New Roman" w:hAnsi="Times New Roman"/>
          <w:sz w:val="24"/>
          <w:szCs w:val="24"/>
        </w:rPr>
        <w:t xml:space="preserve"> R, et al. ‘Opening up the mind’: problem‑solving therapy delivered by fema</w:t>
      </w:r>
      <w:r w:rsidRPr="00101B14">
        <w:rPr>
          <w:rFonts w:ascii="Times New Roman" w:hAnsi="Times New Roman"/>
          <w:sz w:val="24"/>
          <w:szCs w:val="24"/>
        </w:rPr>
        <w:t xml:space="preserve">le community health volunteers in Zimbabwe. Glob </w:t>
      </w:r>
      <w:proofErr w:type="spellStart"/>
      <w:r w:rsidRPr="00101B14">
        <w:rPr>
          <w:rFonts w:ascii="Times New Roman" w:hAnsi="Times New Roman"/>
          <w:sz w:val="24"/>
          <w:szCs w:val="24"/>
        </w:rPr>
        <w:t>Ment</w:t>
      </w:r>
      <w:proofErr w:type="spellEnd"/>
      <w:r w:rsidRPr="00101B14">
        <w:rPr>
          <w:rFonts w:ascii="Times New Roman" w:hAnsi="Times New Roman"/>
          <w:sz w:val="24"/>
          <w:szCs w:val="24"/>
        </w:rPr>
        <w:t xml:space="preserve"> Health. 2016;</w:t>
      </w:r>
      <w:proofErr w:type="gramStart"/>
      <w:r w:rsidRPr="00101B14">
        <w:rPr>
          <w:rFonts w:ascii="Times New Roman" w:hAnsi="Times New Roman"/>
          <w:sz w:val="24"/>
          <w:szCs w:val="24"/>
        </w:rPr>
        <w:t>3:e</w:t>
      </w:r>
      <w:proofErr w:type="gramEnd"/>
      <w:r w:rsidRPr="00101B14">
        <w:rPr>
          <w:rFonts w:ascii="Times New Roman" w:hAnsi="Times New Roman"/>
          <w:sz w:val="24"/>
          <w:szCs w:val="24"/>
        </w:rPr>
        <w:t>6.</w:t>
      </w:r>
    </w:p>
    <w:p w14:paraId="70B69768" w14:textId="77777777" w:rsidR="0015353F" w:rsidRPr="00C34AED" w:rsidRDefault="0015353F" w:rsidP="00C34AED">
      <w:pPr>
        <w:spacing w:line="360" w:lineRule="auto"/>
        <w:jc w:val="both"/>
        <w:rPr>
          <w:rFonts w:ascii="Times New Roman" w:hAnsi="Times New Roman"/>
          <w:sz w:val="24"/>
          <w:szCs w:val="24"/>
        </w:rPr>
      </w:pPr>
    </w:p>
    <w:p w14:paraId="26D558F4" w14:textId="77777777" w:rsidR="0015353F" w:rsidRPr="00C34AED" w:rsidRDefault="0015353F" w:rsidP="00C34AED">
      <w:pPr>
        <w:spacing w:line="360" w:lineRule="auto"/>
        <w:jc w:val="both"/>
        <w:rPr>
          <w:rFonts w:ascii="Times New Roman" w:hAnsi="Times New Roman"/>
          <w:sz w:val="24"/>
          <w:szCs w:val="24"/>
        </w:rPr>
      </w:pPr>
    </w:p>
    <w:p w14:paraId="76661B97" w14:textId="0F97A782" w:rsidR="0015353F" w:rsidRPr="00AA1534" w:rsidRDefault="00101B14" w:rsidP="00C34AED">
      <w:pPr>
        <w:spacing w:line="360" w:lineRule="auto"/>
        <w:jc w:val="both"/>
        <w:rPr>
          <w:rFonts w:ascii="Times New Roman" w:hAnsi="Times New Roman"/>
          <w:b/>
          <w:bCs/>
          <w:sz w:val="24"/>
          <w:szCs w:val="24"/>
        </w:rPr>
      </w:pPr>
      <w:r w:rsidRPr="00101B14">
        <w:rPr>
          <w:rFonts w:ascii="Times New Roman" w:hAnsi="Times New Roman"/>
          <w:b/>
          <w:bCs/>
          <w:sz w:val="24"/>
          <w:szCs w:val="24"/>
        </w:rPr>
        <w:t>TABLES</w:t>
      </w:r>
    </w:p>
    <w:p w14:paraId="3BADBBE4" w14:textId="17761ABB"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Table 1. Baseline Demographic and Clinical Characteristics (n=78)</w:t>
      </w:r>
    </w:p>
    <w:tbl>
      <w:tblPr>
        <w:tblStyle w:val="TableGrid"/>
        <w:tblW w:w="0" w:type="auto"/>
        <w:tblLook w:val="04A0" w:firstRow="1" w:lastRow="0" w:firstColumn="1" w:lastColumn="0" w:noHBand="0" w:noVBand="1"/>
      </w:tblPr>
      <w:tblGrid>
        <w:gridCol w:w="4675"/>
        <w:gridCol w:w="4675"/>
      </w:tblGrid>
      <w:tr w:rsidR="004E26FB" w:rsidRPr="004E26FB" w14:paraId="0EF2C407" w14:textId="77777777" w:rsidTr="004E26FB">
        <w:tc>
          <w:tcPr>
            <w:tcW w:w="4675" w:type="dxa"/>
          </w:tcPr>
          <w:p w14:paraId="06886624"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Characteristic</w:t>
            </w:r>
          </w:p>
        </w:tc>
        <w:tc>
          <w:tcPr>
            <w:tcW w:w="4675" w:type="dxa"/>
          </w:tcPr>
          <w:p w14:paraId="39C3286E"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Value</w:t>
            </w:r>
          </w:p>
        </w:tc>
      </w:tr>
      <w:tr w:rsidR="004E26FB" w:rsidRPr="004E26FB" w14:paraId="5B9EF2DA" w14:textId="77777777" w:rsidTr="004E26FB">
        <w:tc>
          <w:tcPr>
            <w:tcW w:w="4675" w:type="dxa"/>
          </w:tcPr>
          <w:p w14:paraId="1256FFA3"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Age (years) mean ± SD</w:t>
            </w:r>
          </w:p>
        </w:tc>
        <w:tc>
          <w:tcPr>
            <w:tcW w:w="4675" w:type="dxa"/>
          </w:tcPr>
          <w:p w14:paraId="2E99C172"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54.2 ± 12.8</w:t>
            </w:r>
          </w:p>
        </w:tc>
      </w:tr>
      <w:tr w:rsidR="004E26FB" w:rsidRPr="004E26FB" w14:paraId="29600C49" w14:textId="77777777" w:rsidTr="004E26FB">
        <w:tc>
          <w:tcPr>
            <w:tcW w:w="4675" w:type="dxa"/>
          </w:tcPr>
          <w:p w14:paraId="7BD77720"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Female sex n (%)</w:t>
            </w:r>
          </w:p>
        </w:tc>
        <w:tc>
          <w:tcPr>
            <w:tcW w:w="4675" w:type="dxa"/>
          </w:tcPr>
          <w:p w14:paraId="1401EFFA"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43 (55.1)</w:t>
            </w:r>
          </w:p>
        </w:tc>
      </w:tr>
      <w:tr w:rsidR="004E26FB" w:rsidRPr="004E26FB" w14:paraId="0C3336A4" w14:textId="77777777" w:rsidTr="007E6D78">
        <w:trPr>
          <w:trHeight w:val="3110"/>
        </w:trPr>
        <w:tc>
          <w:tcPr>
            <w:tcW w:w="4675" w:type="dxa"/>
          </w:tcPr>
          <w:p w14:paraId="221B2314"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Diagnosis n (%)</w:t>
            </w:r>
          </w:p>
          <w:p w14:paraId="061D707D"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Traumatic Fracture</w:t>
            </w:r>
          </w:p>
          <w:p w14:paraId="3271240F"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Degenerative disease</w:t>
            </w:r>
          </w:p>
          <w:p w14:paraId="39811337"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 xml:space="preserve">Scoliosis </w:t>
            </w:r>
          </w:p>
          <w:p w14:paraId="64C4046A" w14:textId="27CAEE90"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Tumor / infection / other</w:t>
            </w:r>
          </w:p>
        </w:tc>
        <w:tc>
          <w:tcPr>
            <w:tcW w:w="4675" w:type="dxa"/>
          </w:tcPr>
          <w:p w14:paraId="0560F505" w14:textId="77777777" w:rsidR="004E26FB" w:rsidRDefault="004E26FB" w:rsidP="0018601A">
            <w:pPr>
              <w:spacing w:line="360" w:lineRule="auto"/>
              <w:jc w:val="both"/>
              <w:rPr>
                <w:rFonts w:ascii="Times New Roman" w:hAnsi="Times New Roman"/>
                <w:sz w:val="24"/>
                <w:szCs w:val="24"/>
              </w:rPr>
            </w:pPr>
          </w:p>
          <w:p w14:paraId="3DEBFFDB" w14:textId="3B4C9E48"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48 (61.5)</w:t>
            </w:r>
          </w:p>
          <w:p w14:paraId="21C33FA4"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16 (20.5)</w:t>
            </w:r>
          </w:p>
          <w:p w14:paraId="5A6D2A34"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3 (3.8)</w:t>
            </w:r>
          </w:p>
          <w:p w14:paraId="4EEA43AE" w14:textId="28F8EC80"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11 (14.1)</w:t>
            </w:r>
          </w:p>
        </w:tc>
      </w:tr>
      <w:tr w:rsidR="004E26FB" w:rsidRPr="004E26FB" w14:paraId="754A4003" w14:textId="77777777" w:rsidTr="00CA0B80">
        <w:trPr>
          <w:trHeight w:val="1862"/>
        </w:trPr>
        <w:tc>
          <w:tcPr>
            <w:tcW w:w="4675" w:type="dxa"/>
          </w:tcPr>
          <w:p w14:paraId="3F8DB8EB"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Level of surgery n (%)</w:t>
            </w:r>
          </w:p>
          <w:p w14:paraId="3AFBEC35"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Thoracic only</w:t>
            </w:r>
          </w:p>
          <w:p w14:paraId="14FC8900" w14:textId="6DA1891D"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Lumbar only</w:t>
            </w:r>
          </w:p>
        </w:tc>
        <w:tc>
          <w:tcPr>
            <w:tcW w:w="4675" w:type="dxa"/>
          </w:tcPr>
          <w:p w14:paraId="575B70AE" w14:textId="77777777" w:rsidR="004E26FB" w:rsidRDefault="004E26FB" w:rsidP="0018601A">
            <w:pPr>
              <w:spacing w:line="360" w:lineRule="auto"/>
              <w:jc w:val="both"/>
              <w:rPr>
                <w:rFonts w:ascii="Times New Roman" w:hAnsi="Times New Roman"/>
                <w:sz w:val="24"/>
                <w:szCs w:val="24"/>
              </w:rPr>
            </w:pPr>
          </w:p>
          <w:p w14:paraId="0D8FB4F2" w14:textId="0B01991C"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17 (21.8)</w:t>
            </w:r>
          </w:p>
          <w:p w14:paraId="372082E4" w14:textId="5D1D540C"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61 (78.2)</w:t>
            </w:r>
          </w:p>
        </w:tc>
      </w:tr>
      <w:tr w:rsidR="004E26FB" w:rsidRPr="004E26FB" w14:paraId="52A79678" w14:textId="77777777" w:rsidTr="004E26FB">
        <w:tc>
          <w:tcPr>
            <w:tcW w:w="4675" w:type="dxa"/>
          </w:tcPr>
          <w:p w14:paraId="61F83F0C"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Time since surgery (months) mean ± SD</w:t>
            </w:r>
          </w:p>
        </w:tc>
        <w:tc>
          <w:tcPr>
            <w:tcW w:w="4675" w:type="dxa"/>
          </w:tcPr>
          <w:p w14:paraId="0B979E7B"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22.4 ± 8.6</w:t>
            </w:r>
          </w:p>
        </w:tc>
      </w:tr>
      <w:tr w:rsidR="004E26FB" w:rsidRPr="004E26FB" w14:paraId="718DC321" w14:textId="77777777" w:rsidTr="004E26FB">
        <w:tc>
          <w:tcPr>
            <w:tcW w:w="4675" w:type="dxa"/>
          </w:tcPr>
          <w:p w14:paraId="024465DF"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Length of index hospital stay (days) mean ± SD</w:t>
            </w:r>
          </w:p>
        </w:tc>
        <w:tc>
          <w:tcPr>
            <w:tcW w:w="4675" w:type="dxa"/>
          </w:tcPr>
          <w:p w14:paraId="1504BB2F" w14:textId="77777777" w:rsidR="004E26FB" w:rsidRPr="004E26FB" w:rsidRDefault="004E26FB" w:rsidP="0018601A">
            <w:pPr>
              <w:spacing w:line="360" w:lineRule="auto"/>
              <w:jc w:val="both"/>
              <w:rPr>
                <w:rFonts w:ascii="Times New Roman" w:hAnsi="Times New Roman"/>
                <w:sz w:val="24"/>
                <w:szCs w:val="24"/>
              </w:rPr>
            </w:pPr>
            <w:r w:rsidRPr="004E26FB">
              <w:rPr>
                <w:rFonts w:ascii="Times New Roman" w:hAnsi="Times New Roman"/>
                <w:sz w:val="24"/>
                <w:szCs w:val="24"/>
              </w:rPr>
              <w:t>7.8 ± 4.1</w:t>
            </w:r>
          </w:p>
        </w:tc>
      </w:tr>
    </w:tbl>
    <w:p w14:paraId="0B73DA0D" w14:textId="2C71F074" w:rsidR="0015353F" w:rsidRPr="00C34AED" w:rsidRDefault="0015353F" w:rsidP="00C34AED">
      <w:pPr>
        <w:spacing w:line="360" w:lineRule="auto"/>
        <w:jc w:val="both"/>
        <w:rPr>
          <w:rFonts w:ascii="Times New Roman" w:hAnsi="Times New Roman"/>
          <w:sz w:val="24"/>
          <w:szCs w:val="24"/>
        </w:rPr>
      </w:pPr>
    </w:p>
    <w:p w14:paraId="7680D460" w14:textId="77777777" w:rsidR="0015353F" w:rsidRPr="00C34AED" w:rsidRDefault="0015353F" w:rsidP="00C34AED">
      <w:pPr>
        <w:spacing w:line="360" w:lineRule="auto"/>
        <w:jc w:val="both"/>
        <w:rPr>
          <w:rFonts w:ascii="Times New Roman" w:hAnsi="Times New Roman"/>
          <w:sz w:val="24"/>
          <w:szCs w:val="24"/>
        </w:rPr>
      </w:pPr>
    </w:p>
    <w:p w14:paraId="476054CB"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Table 2. Postoperative Psychological and Functional Scores</w:t>
      </w:r>
    </w:p>
    <w:tbl>
      <w:tblPr>
        <w:tblStyle w:val="TableGrid"/>
        <w:tblW w:w="0" w:type="auto"/>
        <w:tblLook w:val="04A0" w:firstRow="1" w:lastRow="0" w:firstColumn="1" w:lastColumn="0" w:noHBand="0" w:noVBand="1"/>
      </w:tblPr>
      <w:tblGrid>
        <w:gridCol w:w="3116"/>
        <w:gridCol w:w="3117"/>
        <w:gridCol w:w="3117"/>
      </w:tblGrid>
      <w:tr w:rsidR="00F4068C" w:rsidRPr="00F4068C" w14:paraId="3E5A3298" w14:textId="77777777" w:rsidTr="00F4068C">
        <w:tc>
          <w:tcPr>
            <w:tcW w:w="3116" w:type="dxa"/>
          </w:tcPr>
          <w:p w14:paraId="3580340B"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Measure</w:t>
            </w:r>
          </w:p>
        </w:tc>
        <w:tc>
          <w:tcPr>
            <w:tcW w:w="3117" w:type="dxa"/>
          </w:tcPr>
          <w:p w14:paraId="12595707"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Mean ± SD</w:t>
            </w:r>
          </w:p>
        </w:tc>
        <w:tc>
          <w:tcPr>
            <w:tcW w:w="3117" w:type="dxa"/>
          </w:tcPr>
          <w:p w14:paraId="086C5088"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n (%) with clinically significant score</w:t>
            </w:r>
          </w:p>
        </w:tc>
      </w:tr>
      <w:tr w:rsidR="00F4068C" w:rsidRPr="00F4068C" w14:paraId="46FD4DBB" w14:textId="77777777" w:rsidTr="00F4068C">
        <w:tc>
          <w:tcPr>
            <w:tcW w:w="3116" w:type="dxa"/>
          </w:tcPr>
          <w:p w14:paraId="2553CC1C"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HADS‑Anxiety (0–21)</w:t>
            </w:r>
          </w:p>
        </w:tc>
        <w:tc>
          <w:tcPr>
            <w:tcW w:w="3117" w:type="dxa"/>
          </w:tcPr>
          <w:p w14:paraId="1ACA0E50"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10.2 ± 5.1</w:t>
            </w:r>
          </w:p>
        </w:tc>
        <w:tc>
          <w:tcPr>
            <w:tcW w:w="3117" w:type="dxa"/>
          </w:tcPr>
          <w:p w14:paraId="5493D91F"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35 (44.9) ≥11</w:t>
            </w:r>
          </w:p>
        </w:tc>
      </w:tr>
      <w:tr w:rsidR="00F4068C" w:rsidRPr="00F4068C" w14:paraId="4ED4EB8F" w14:textId="77777777" w:rsidTr="00F4068C">
        <w:tc>
          <w:tcPr>
            <w:tcW w:w="3116" w:type="dxa"/>
          </w:tcPr>
          <w:p w14:paraId="7E9BE61B"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HADS‑Depression (0–21)</w:t>
            </w:r>
          </w:p>
        </w:tc>
        <w:tc>
          <w:tcPr>
            <w:tcW w:w="3117" w:type="dxa"/>
          </w:tcPr>
          <w:p w14:paraId="3DD79E95"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9.4 ± 4.8</w:t>
            </w:r>
          </w:p>
        </w:tc>
        <w:tc>
          <w:tcPr>
            <w:tcW w:w="3117" w:type="dxa"/>
          </w:tcPr>
          <w:p w14:paraId="13EB8EE0"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30 (38.5) ≥11</w:t>
            </w:r>
          </w:p>
        </w:tc>
      </w:tr>
      <w:tr w:rsidR="00F4068C" w:rsidRPr="00F4068C" w14:paraId="1E844C0A" w14:textId="77777777" w:rsidTr="00F4068C">
        <w:tc>
          <w:tcPr>
            <w:tcW w:w="3116" w:type="dxa"/>
          </w:tcPr>
          <w:p w14:paraId="595DB207"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SCL‑90‑R Somatization (0–48)</w:t>
            </w:r>
          </w:p>
        </w:tc>
        <w:tc>
          <w:tcPr>
            <w:tcW w:w="3117" w:type="dxa"/>
          </w:tcPr>
          <w:p w14:paraId="7A8391A7"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15.6 ± 8.2</w:t>
            </w:r>
          </w:p>
        </w:tc>
        <w:tc>
          <w:tcPr>
            <w:tcW w:w="3117" w:type="dxa"/>
          </w:tcPr>
          <w:p w14:paraId="2477AF14"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28 (35.9) ≥18</w:t>
            </w:r>
          </w:p>
        </w:tc>
      </w:tr>
      <w:tr w:rsidR="00F4068C" w:rsidRPr="00F4068C" w14:paraId="55E75BCF" w14:textId="77777777" w:rsidTr="00F4068C">
        <w:tc>
          <w:tcPr>
            <w:tcW w:w="3116" w:type="dxa"/>
          </w:tcPr>
          <w:p w14:paraId="5465D0D5"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ODI (0–100)</w:t>
            </w:r>
          </w:p>
        </w:tc>
        <w:tc>
          <w:tcPr>
            <w:tcW w:w="3117" w:type="dxa"/>
          </w:tcPr>
          <w:p w14:paraId="610953DE"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48.7 ± 18.4</w:t>
            </w:r>
          </w:p>
        </w:tc>
        <w:tc>
          <w:tcPr>
            <w:tcW w:w="3117" w:type="dxa"/>
          </w:tcPr>
          <w:p w14:paraId="3DE35958"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47 (60.3) &gt;40</w:t>
            </w:r>
          </w:p>
        </w:tc>
      </w:tr>
      <w:tr w:rsidR="00F4068C" w:rsidRPr="00F4068C" w14:paraId="799C57EE" w14:textId="77777777" w:rsidTr="00F4068C">
        <w:tc>
          <w:tcPr>
            <w:tcW w:w="3116" w:type="dxa"/>
          </w:tcPr>
          <w:p w14:paraId="27BA020C"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VAS back pain (0–10)</w:t>
            </w:r>
          </w:p>
        </w:tc>
        <w:tc>
          <w:tcPr>
            <w:tcW w:w="3117" w:type="dxa"/>
          </w:tcPr>
          <w:p w14:paraId="25ED44C7"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4.9 ± 2.4</w:t>
            </w:r>
          </w:p>
        </w:tc>
        <w:tc>
          <w:tcPr>
            <w:tcW w:w="3117" w:type="dxa"/>
          </w:tcPr>
          <w:p w14:paraId="1A744589" w14:textId="77777777" w:rsidR="00F4068C" w:rsidRPr="00F4068C" w:rsidRDefault="00F4068C" w:rsidP="006204CF">
            <w:pPr>
              <w:spacing w:line="360" w:lineRule="auto"/>
              <w:jc w:val="both"/>
              <w:rPr>
                <w:rFonts w:ascii="Times New Roman" w:hAnsi="Times New Roman"/>
                <w:sz w:val="24"/>
                <w:szCs w:val="24"/>
              </w:rPr>
            </w:pPr>
            <w:r w:rsidRPr="00F4068C">
              <w:rPr>
                <w:rFonts w:ascii="Times New Roman" w:hAnsi="Times New Roman"/>
                <w:sz w:val="24"/>
                <w:szCs w:val="24"/>
              </w:rPr>
              <w:t>–</w:t>
            </w:r>
          </w:p>
        </w:tc>
      </w:tr>
    </w:tbl>
    <w:p w14:paraId="7D1D1E54" w14:textId="77777777" w:rsidR="0015353F" w:rsidRPr="00C34AED" w:rsidRDefault="0015353F" w:rsidP="00C34AED">
      <w:pPr>
        <w:spacing w:line="360" w:lineRule="auto"/>
        <w:jc w:val="both"/>
        <w:rPr>
          <w:rFonts w:ascii="Times New Roman" w:hAnsi="Times New Roman"/>
          <w:sz w:val="24"/>
          <w:szCs w:val="24"/>
        </w:rPr>
      </w:pPr>
    </w:p>
    <w:p w14:paraId="61216B1C"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HADS: Hospital Anxiety and Depression Scale; SCL‑90‑R: Symptom Checklist‑90‑Revised; ODI: </w:t>
      </w:r>
      <w:proofErr w:type="spellStart"/>
      <w:r w:rsidRPr="00C34AED">
        <w:rPr>
          <w:rFonts w:ascii="Times New Roman" w:hAnsi="Times New Roman"/>
          <w:sz w:val="24"/>
          <w:szCs w:val="24"/>
        </w:rPr>
        <w:t>Oswestry</w:t>
      </w:r>
      <w:proofErr w:type="spellEnd"/>
      <w:r w:rsidRPr="00C34AED">
        <w:rPr>
          <w:rFonts w:ascii="Times New Roman" w:hAnsi="Times New Roman"/>
          <w:sz w:val="24"/>
          <w:szCs w:val="24"/>
        </w:rPr>
        <w:t xml:space="preserve"> Disability Index; VAS: visual</w:t>
      </w:r>
      <w:r w:rsidRPr="00C34AED">
        <w:rPr>
          <w:rFonts w:ascii="Times New Roman" w:hAnsi="Times New Roman"/>
          <w:sz w:val="24"/>
          <w:szCs w:val="24"/>
        </w:rPr>
        <w:t xml:space="preserve"> analog scale.</w:t>
      </w:r>
    </w:p>
    <w:p w14:paraId="49DECB8B" w14:textId="77777777" w:rsidR="0015353F" w:rsidRPr="00C34AED" w:rsidRDefault="0015353F" w:rsidP="00C34AED">
      <w:pPr>
        <w:spacing w:line="360" w:lineRule="auto"/>
        <w:jc w:val="both"/>
        <w:rPr>
          <w:rFonts w:ascii="Times New Roman" w:hAnsi="Times New Roman"/>
          <w:sz w:val="24"/>
          <w:szCs w:val="24"/>
        </w:rPr>
      </w:pPr>
    </w:p>
    <w:p w14:paraId="68242055" w14:textId="418ED859"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Table 3. Comparison of Outcomes by High vs. Low Somatization</w:t>
      </w:r>
    </w:p>
    <w:tbl>
      <w:tblPr>
        <w:tblStyle w:val="TableGrid"/>
        <w:tblW w:w="0" w:type="auto"/>
        <w:tblLook w:val="04A0" w:firstRow="1" w:lastRow="0" w:firstColumn="1" w:lastColumn="0" w:noHBand="0" w:noVBand="1"/>
      </w:tblPr>
      <w:tblGrid>
        <w:gridCol w:w="2337"/>
        <w:gridCol w:w="2337"/>
        <w:gridCol w:w="2338"/>
        <w:gridCol w:w="2338"/>
      </w:tblGrid>
      <w:tr w:rsidR="00F4068C" w:rsidRPr="00F4068C" w14:paraId="7F7651A5" w14:textId="77777777" w:rsidTr="00F4068C">
        <w:tc>
          <w:tcPr>
            <w:tcW w:w="2337" w:type="dxa"/>
          </w:tcPr>
          <w:p w14:paraId="7CC59F45"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Outcome</w:t>
            </w:r>
          </w:p>
        </w:tc>
        <w:tc>
          <w:tcPr>
            <w:tcW w:w="2337" w:type="dxa"/>
          </w:tcPr>
          <w:p w14:paraId="447C1A92"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High Somatization (n=28)</w:t>
            </w:r>
          </w:p>
        </w:tc>
        <w:tc>
          <w:tcPr>
            <w:tcW w:w="2338" w:type="dxa"/>
          </w:tcPr>
          <w:p w14:paraId="68141A4B"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Low Somatization (n=50)</w:t>
            </w:r>
          </w:p>
        </w:tc>
        <w:tc>
          <w:tcPr>
            <w:tcW w:w="2338" w:type="dxa"/>
          </w:tcPr>
          <w:p w14:paraId="6641A57B"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p value</w:t>
            </w:r>
          </w:p>
        </w:tc>
      </w:tr>
      <w:tr w:rsidR="00F4068C" w:rsidRPr="00F4068C" w14:paraId="4E0B0FB2" w14:textId="77777777" w:rsidTr="00F4068C">
        <w:tc>
          <w:tcPr>
            <w:tcW w:w="2337" w:type="dxa"/>
          </w:tcPr>
          <w:p w14:paraId="792731B5"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ODI (mean ± SD)</w:t>
            </w:r>
          </w:p>
        </w:tc>
        <w:tc>
          <w:tcPr>
            <w:tcW w:w="2337" w:type="dxa"/>
          </w:tcPr>
          <w:p w14:paraId="6FAAD5E0"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61.2 ± 15.3</w:t>
            </w:r>
          </w:p>
        </w:tc>
        <w:tc>
          <w:tcPr>
            <w:tcW w:w="2338" w:type="dxa"/>
          </w:tcPr>
          <w:p w14:paraId="07DBEC96"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32.5 ± 14.8</w:t>
            </w:r>
          </w:p>
        </w:tc>
        <w:tc>
          <w:tcPr>
            <w:tcW w:w="2338" w:type="dxa"/>
          </w:tcPr>
          <w:p w14:paraId="1B0FF3DC"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&lt;0.001</w:t>
            </w:r>
          </w:p>
        </w:tc>
      </w:tr>
      <w:tr w:rsidR="00F4068C" w:rsidRPr="00F4068C" w14:paraId="630855B9" w14:textId="77777777" w:rsidTr="00F4068C">
        <w:tc>
          <w:tcPr>
            <w:tcW w:w="2337" w:type="dxa"/>
          </w:tcPr>
          <w:p w14:paraId="1965F22A"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VAS back pain (mean ± SD)</w:t>
            </w:r>
          </w:p>
        </w:tc>
        <w:tc>
          <w:tcPr>
            <w:tcW w:w="2337" w:type="dxa"/>
          </w:tcPr>
          <w:p w14:paraId="7707E835"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6.3 ± 2.1</w:t>
            </w:r>
          </w:p>
        </w:tc>
        <w:tc>
          <w:tcPr>
            <w:tcW w:w="2338" w:type="dxa"/>
          </w:tcPr>
          <w:p w14:paraId="056426E1"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3.9 ± 2.0</w:t>
            </w:r>
          </w:p>
        </w:tc>
        <w:tc>
          <w:tcPr>
            <w:tcW w:w="2338" w:type="dxa"/>
          </w:tcPr>
          <w:p w14:paraId="6E342F52"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&lt;0.001</w:t>
            </w:r>
          </w:p>
        </w:tc>
      </w:tr>
      <w:tr w:rsidR="00F4068C" w:rsidRPr="00F4068C" w14:paraId="018AE8F8" w14:textId="77777777" w:rsidTr="00F4068C">
        <w:tc>
          <w:tcPr>
            <w:tcW w:w="2337" w:type="dxa"/>
          </w:tcPr>
          <w:p w14:paraId="51CD7AA4"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Length of hospital stay (days)</w:t>
            </w:r>
          </w:p>
        </w:tc>
        <w:tc>
          <w:tcPr>
            <w:tcW w:w="2337" w:type="dxa"/>
          </w:tcPr>
          <w:p w14:paraId="52E6B6A6"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9.2 ± 3.5</w:t>
            </w:r>
          </w:p>
        </w:tc>
        <w:tc>
          <w:tcPr>
            <w:tcW w:w="2338" w:type="dxa"/>
          </w:tcPr>
          <w:p w14:paraId="77F9ECAC"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6.1 ± 2.8</w:t>
            </w:r>
          </w:p>
        </w:tc>
        <w:tc>
          <w:tcPr>
            <w:tcW w:w="2338" w:type="dxa"/>
          </w:tcPr>
          <w:p w14:paraId="49F971AD"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0.01</w:t>
            </w:r>
          </w:p>
        </w:tc>
      </w:tr>
      <w:tr w:rsidR="00F4068C" w:rsidRPr="00F4068C" w14:paraId="097EB1A5" w14:textId="77777777" w:rsidTr="00F4068C">
        <w:tc>
          <w:tcPr>
            <w:tcW w:w="2337" w:type="dxa"/>
          </w:tcPr>
          <w:p w14:paraId="491833E1"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lastRenderedPageBreak/>
              <w:t>VAS improvement (pre‑op to follow‑up)</w:t>
            </w:r>
          </w:p>
        </w:tc>
        <w:tc>
          <w:tcPr>
            <w:tcW w:w="2337" w:type="dxa"/>
          </w:tcPr>
          <w:p w14:paraId="408B2B03"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2.8 ± 1.9</w:t>
            </w:r>
          </w:p>
        </w:tc>
        <w:tc>
          <w:tcPr>
            <w:tcW w:w="2338" w:type="dxa"/>
          </w:tcPr>
          <w:p w14:paraId="35FDE317"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4.9 ± 2.1</w:t>
            </w:r>
          </w:p>
        </w:tc>
        <w:tc>
          <w:tcPr>
            <w:tcW w:w="2338" w:type="dxa"/>
          </w:tcPr>
          <w:p w14:paraId="67FDAA64"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&lt;0.001</w:t>
            </w:r>
          </w:p>
        </w:tc>
      </w:tr>
      <w:tr w:rsidR="00F4068C" w:rsidRPr="00F4068C" w14:paraId="1F594501" w14:textId="77777777" w:rsidTr="00F4068C">
        <w:tc>
          <w:tcPr>
            <w:tcW w:w="2337" w:type="dxa"/>
          </w:tcPr>
          <w:p w14:paraId="5C71CF52"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Fusion at 12 months n (%)</w:t>
            </w:r>
          </w:p>
        </w:tc>
        <w:tc>
          <w:tcPr>
            <w:tcW w:w="2337" w:type="dxa"/>
          </w:tcPr>
          <w:p w14:paraId="152B6877"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24 (85.7)</w:t>
            </w:r>
          </w:p>
        </w:tc>
        <w:tc>
          <w:tcPr>
            <w:tcW w:w="2338" w:type="dxa"/>
          </w:tcPr>
          <w:p w14:paraId="3D535162"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46 (92.0)</w:t>
            </w:r>
          </w:p>
        </w:tc>
        <w:tc>
          <w:tcPr>
            <w:tcW w:w="2338" w:type="dxa"/>
          </w:tcPr>
          <w:p w14:paraId="4065E043" w14:textId="77777777" w:rsidR="00F4068C" w:rsidRPr="00F4068C" w:rsidRDefault="00F4068C" w:rsidP="00B46E2D">
            <w:pPr>
              <w:spacing w:line="360" w:lineRule="auto"/>
              <w:jc w:val="both"/>
              <w:rPr>
                <w:rFonts w:ascii="Times New Roman" w:hAnsi="Times New Roman"/>
                <w:sz w:val="24"/>
                <w:szCs w:val="24"/>
              </w:rPr>
            </w:pPr>
            <w:r w:rsidRPr="00F4068C">
              <w:rPr>
                <w:rFonts w:ascii="Times New Roman" w:hAnsi="Times New Roman"/>
                <w:sz w:val="24"/>
                <w:szCs w:val="24"/>
              </w:rPr>
              <w:t>0.72</w:t>
            </w:r>
          </w:p>
        </w:tc>
      </w:tr>
    </w:tbl>
    <w:p w14:paraId="6F611500" w14:textId="77777777"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High somatization defined as SCL‑90‑R somatization score ≥18.</w:t>
      </w:r>
    </w:p>
    <w:p w14:paraId="48B15521" w14:textId="77777777" w:rsidR="0060584C" w:rsidRDefault="0060584C" w:rsidP="00C34AED">
      <w:pPr>
        <w:spacing w:line="360" w:lineRule="auto"/>
        <w:jc w:val="both"/>
        <w:rPr>
          <w:rFonts w:ascii="Times New Roman" w:hAnsi="Times New Roman"/>
          <w:sz w:val="24"/>
          <w:szCs w:val="24"/>
        </w:rPr>
      </w:pPr>
    </w:p>
    <w:p w14:paraId="46DD1699" w14:textId="4801E145" w:rsidR="0015353F" w:rsidRPr="00C34AED" w:rsidRDefault="00AA1534" w:rsidP="00C34AED">
      <w:pPr>
        <w:spacing w:line="360" w:lineRule="auto"/>
        <w:jc w:val="both"/>
        <w:rPr>
          <w:rFonts w:ascii="Times New Roman" w:hAnsi="Times New Roman"/>
          <w:sz w:val="24"/>
          <w:szCs w:val="24"/>
        </w:rPr>
      </w:pPr>
      <w:r w:rsidRPr="00C34AED">
        <w:rPr>
          <w:rFonts w:ascii="Times New Roman" w:hAnsi="Times New Roman"/>
          <w:sz w:val="24"/>
          <w:szCs w:val="24"/>
        </w:rPr>
        <w:t xml:space="preserve">Table 4. </w:t>
      </w:r>
      <w:r w:rsidRPr="00C34AED">
        <w:rPr>
          <w:rFonts w:ascii="Times New Roman" w:hAnsi="Times New Roman"/>
          <w:sz w:val="24"/>
          <w:szCs w:val="24"/>
        </w:rPr>
        <w:t>Qualitative Themes with Illustrative Quotes</w:t>
      </w:r>
    </w:p>
    <w:tbl>
      <w:tblPr>
        <w:tblStyle w:val="TableGrid"/>
        <w:tblW w:w="0" w:type="auto"/>
        <w:tblLook w:val="04A0" w:firstRow="1" w:lastRow="0" w:firstColumn="1" w:lastColumn="0" w:noHBand="0" w:noVBand="1"/>
      </w:tblPr>
      <w:tblGrid>
        <w:gridCol w:w="4675"/>
        <w:gridCol w:w="4675"/>
      </w:tblGrid>
      <w:tr w:rsidR="002F1C9F" w:rsidRPr="002F1C9F" w14:paraId="0F4A24A7" w14:textId="77777777" w:rsidTr="002F1C9F">
        <w:tc>
          <w:tcPr>
            <w:tcW w:w="4675" w:type="dxa"/>
          </w:tcPr>
          <w:p w14:paraId="59293600"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Theme</w:t>
            </w:r>
          </w:p>
        </w:tc>
        <w:tc>
          <w:tcPr>
            <w:tcW w:w="4675" w:type="dxa"/>
          </w:tcPr>
          <w:p w14:paraId="1D0977EB"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Illustrative Quote</w:t>
            </w:r>
          </w:p>
        </w:tc>
      </w:tr>
      <w:tr w:rsidR="002F1C9F" w:rsidRPr="002F1C9F" w14:paraId="39477D98" w14:textId="77777777" w:rsidTr="002F1C9F">
        <w:tc>
          <w:tcPr>
            <w:tcW w:w="4675" w:type="dxa"/>
          </w:tcPr>
          <w:p w14:paraId="2A6CC993"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Persistent fear of re‑injury</w:t>
            </w:r>
          </w:p>
        </w:tc>
        <w:tc>
          <w:tcPr>
            <w:tcW w:w="4675" w:type="dxa"/>
          </w:tcPr>
          <w:p w14:paraId="2A7DDB01"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“I am afraid to bend or lift anything. I feel the metal inside me might break if I move wrongly.” (Male 52)</w:t>
            </w:r>
          </w:p>
        </w:tc>
      </w:tr>
      <w:tr w:rsidR="002F1C9F" w:rsidRPr="002F1C9F" w14:paraId="4D4207F7" w14:textId="77777777" w:rsidTr="002F1C9F">
        <w:tc>
          <w:tcPr>
            <w:tcW w:w="4675" w:type="dxa"/>
          </w:tcPr>
          <w:p w14:paraId="06AA0DF5"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Financial stress as chronic burden</w:t>
            </w:r>
          </w:p>
        </w:tc>
        <w:tc>
          <w:tcPr>
            <w:tcW w:w="4675" w:type="dxa"/>
          </w:tcPr>
          <w:p w14:paraId="44E62C65"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“We sold our land to pay for the surgery. Now my husband looks at me with anger.” (Female 45)</w:t>
            </w:r>
          </w:p>
        </w:tc>
      </w:tr>
      <w:tr w:rsidR="002F1C9F" w:rsidRPr="002F1C9F" w14:paraId="4221E01A" w14:textId="77777777" w:rsidTr="002F1C9F">
        <w:tc>
          <w:tcPr>
            <w:tcW w:w="4675" w:type="dxa"/>
          </w:tcPr>
          <w:p w14:paraId="7938706F"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Religious coping as primary resource</w:t>
            </w:r>
          </w:p>
        </w:tc>
        <w:tc>
          <w:tcPr>
            <w:tcW w:w="4675" w:type="dxa"/>
          </w:tcPr>
          <w:p w14:paraId="053E4D23"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“Only Allah can remove this pain. I pray five times and read Surah Al‑</w:t>
            </w:r>
            <w:proofErr w:type="spellStart"/>
            <w:r w:rsidRPr="002F1C9F">
              <w:rPr>
                <w:rFonts w:ascii="Times New Roman" w:hAnsi="Times New Roman"/>
                <w:sz w:val="24"/>
                <w:szCs w:val="24"/>
              </w:rPr>
              <w:t>Fatiha</w:t>
            </w:r>
            <w:proofErr w:type="spellEnd"/>
            <w:r w:rsidRPr="002F1C9F">
              <w:rPr>
                <w:rFonts w:ascii="Times New Roman" w:hAnsi="Times New Roman"/>
                <w:sz w:val="24"/>
                <w:szCs w:val="24"/>
              </w:rPr>
              <w:t xml:space="preserve"> over my back.” (Male 60)</w:t>
            </w:r>
          </w:p>
        </w:tc>
      </w:tr>
      <w:tr w:rsidR="002F1C9F" w:rsidRPr="002F1C9F" w14:paraId="5DD9BD8C" w14:textId="77777777" w:rsidTr="002F1C9F">
        <w:tc>
          <w:tcPr>
            <w:tcW w:w="4675" w:type="dxa"/>
          </w:tcPr>
          <w:p w14:paraId="289F1B9D"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Social withdrawal and stigma</w:t>
            </w:r>
          </w:p>
        </w:tc>
        <w:tc>
          <w:tcPr>
            <w:tcW w:w="4675" w:type="dxa"/>
          </w:tcPr>
          <w:p w14:paraId="7AF32B86"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“My colleagues stopped inviting me to gatherings. They say I am ‘the sick one.’” (Female 38)</w:t>
            </w:r>
          </w:p>
        </w:tc>
      </w:tr>
      <w:tr w:rsidR="002F1C9F" w:rsidRPr="00C34AED" w14:paraId="44B0B92C" w14:textId="77777777" w:rsidTr="002F1C9F">
        <w:tc>
          <w:tcPr>
            <w:tcW w:w="4675" w:type="dxa"/>
          </w:tcPr>
          <w:p w14:paraId="05498618" w14:textId="77777777" w:rsidR="002F1C9F" w:rsidRPr="002F1C9F"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Unmet need for counselling</w:t>
            </w:r>
          </w:p>
        </w:tc>
        <w:tc>
          <w:tcPr>
            <w:tcW w:w="4675" w:type="dxa"/>
          </w:tcPr>
          <w:p w14:paraId="70A9FF36" w14:textId="77777777" w:rsidR="002F1C9F" w:rsidRPr="00C34AED" w:rsidRDefault="002F1C9F" w:rsidP="003108D7">
            <w:pPr>
              <w:spacing w:line="360" w:lineRule="auto"/>
              <w:jc w:val="both"/>
              <w:rPr>
                <w:rFonts w:ascii="Times New Roman" w:hAnsi="Times New Roman"/>
                <w:sz w:val="24"/>
                <w:szCs w:val="24"/>
              </w:rPr>
            </w:pPr>
            <w:r w:rsidRPr="002F1C9F">
              <w:rPr>
                <w:rFonts w:ascii="Times New Roman" w:hAnsi="Times New Roman"/>
                <w:sz w:val="24"/>
                <w:szCs w:val="24"/>
              </w:rPr>
              <w:t>“The surgeon fixed my spine but no one fixed my mind. I need to speak with someone who understands.” (Female 50)</w:t>
            </w:r>
          </w:p>
        </w:tc>
      </w:tr>
    </w:tbl>
    <w:p w14:paraId="44C669D8" w14:textId="53C21EEC" w:rsidR="0015353F" w:rsidRPr="00C34AED" w:rsidRDefault="0015353F" w:rsidP="002F1C9F">
      <w:pPr>
        <w:spacing w:line="360" w:lineRule="auto"/>
        <w:jc w:val="both"/>
        <w:rPr>
          <w:rFonts w:ascii="Times New Roman" w:hAnsi="Times New Roman"/>
          <w:sz w:val="24"/>
          <w:szCs w:val="24"/>
        </w:rPr>
      </w:pPr>
    </w:p>
    <w:sectPr w:rsidR="0015353F" w:rsidRPr="00C34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700"/>
    <w:multiLevelType w:val="hybridMultilevel"/>
    <w:tmpl w:val="B780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57488"/>
    <w:multiLevelType w:val="hybridMultilevel"/>
    <w:tmpl w:val="49A2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63A82"/>
    <w:multiLevelType w:val="hybridMultilevel"/>
    <w:tmpl w:val="80608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0E8F"/>
    <w:multiLevelType w:val="hybridMultilevel"/>
    <w:tmpl w:val="582A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3F"/>
    <w:rsid w:val="00063461"/>
    <w:rsid w:val="00101B14"/>
    <w:rsid w:val="0015353F"/>
    <w:rsid w:val="002F1C9F"/>
    <w:rsid w:val="00360F33"/>
    <w:rsid w:val="004E26FB"/>
    <w:rsid w:val="00501507"/>
    <w:rsid w:val="0060584C"/>
    <w:rsid w:val="00623480"/>
    <w:rsid w:val="008B6338"/>
    <w:rsid w:val="008D02FC"/>
    <w:rsid w:val="008F590D"/>
    <w:rsid w:val="00A83D75"/>
    <w:rsid w:val="00AA1534"/>
    <w:rsid w:val="00C34AED"/>
    <w:rsid w:val="00D15778"/>
    <w:rsid w:val="00D65357"/>
    <w:rsid w:val="00F33B76"/>
    <w:rsid w:val="00F4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2DA0A"/>
  <w15:docId w15:val="{E7FD76DE-06E1-FB49-AC9C-361FA6F9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507"/>
    <w:pPr>
      <w:ind w:left="720"/>
      <w:contextualSpacing/>
    </w:pPr>
  </w:style>
  <w:style w:type="table" w:styleId="TableGrid">
    <w:name w:val="Table Grid"/>
    <w:basedOn w:val="TableNormal"/>
    <w:uiPriority w:val="39"/>
    <w:rsid w:val="004E2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149808">
      <w:bodyDiv w:val="1"/>
      <w:marLeft w:val="0"/>
      <w:marRight w:val="0"/>
      <w:marTop w:val="0"/>
      <w:marBottom w:val="0"/>
      <w:divBdr>
        <w:top w:val="none" w:sz="0" w:space="0" w:color="auto"/>
        <w:left w:val="none" w:sz="0" w:space="0" w:color="auto"/>
        <w:bottom w:val="none" w:sz="0" w:space="0" w:color="auto"/>
        <w:right w:val="none" w:sz="0" w:space="0" w:color="auto"/>
      </w:divBdr>
      <w:divsChild>
        <w:div w:id="2105420936">
          <w:marLeft w:val="0"/>
          <w:marRight w:val="0"/>
          <w:marTop w:val="0"/>
          <w:marBottom w:val="0"/>
          <w:divBdr>
            <w:top w:val="none" w:sz="0" w:space="0" w:color="auto"/>
            <w:left w:val="none" w:sz="0" w:space="0" w:color="auto"/>
            <w:bottom w:val="none" w:sz="0" w:space="0" w:color="auto"/>
            <w:right w:val="none" w:sz="0" w:space="0" w:color="auto"/>
          </w:divBdr>
        </w:div>
        <w:div w:id="2058504826">
          <w:marLeft w:val="0"/>
          <w:marRight w:val="0"/>
          <w:marTop w:val="0"/>
          <w:marBottom w:val="0"/>
          <w:divBdr>
            <w:top w:val="none" w:sz="0" w:space="0" w:color="auto"/>
            <w:left w:val="none" w:sz="0" w:space="0" w:color="auto"/>
            <w:bottom w:val="none" w:sz="0" w:space="0" w:color="auto"/>
            <w:right w:val="none" w:sz="0" w:space="0" w:color="auto"/>
          </w:divBdr>
        </w:div>
        <w:div w:id="11147153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SM-S908U</dc:creator>
  <cp:lastModifiedBy>Microsoft Office User</cp:lastModifiedBy>
  <cp:revision>15</cp:revision>
  <dcterms:created xsi:type="dcterms:W3CDTF">2026-04-13T14:27:00Z</dcterms:created>
  <dcterms:modified xsi:type="dcterms:W3CDTF">2026-04-13T15:15:00Z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5ab00a9f44c24e8681af9134d3fcc07d</vt:lpwstr>
  </property>
</Properties>
</file>