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9221" w14:textId="30B5CF7F" w:rsidR="00FA059E" w:rsidRPr="007D3D51" w:rsidRDefault="00FA059E" w:rsidP="00FA059E">
      <w:pPr>
        <w:pStyle w:val="BodyText"/>
        <w:jc w:val="both"/>
        <w:rPr>
          <w:rFonts w:ascii="Times New Roman" w:eastAsiaTheme="majorEastAsia" w:hAnsi="Times New Roman" w:cs="Times New Roman"/>
          <w:sz w:val="32"/>
          <w:szCs w:val="32"/>
        </w:rPr>
      </w:pPr>
      <w:bookmarkStart w:id="0" w:name="X4afdc0968d3df591a58f514f2cac91e495e224f"/>
      <w:r w:rsidRPr="007D3D51">
        <w:rPr>
          <w:rFonts w:ascii="Times New Roman" w:eastAsiaTheme="majorEastAsia" w:hAnsi="Times New Roman" w:cs="Times New Roman"/>
          <w:sz w:val="32"/>
          <w:szCs w:val="32"/>
        </w:rPr>
        <w:t>A Scalable Web-Based Automation System for Home Healthcare Management and Service Optimization</w:t>
      </w:r>
    </w:p>
    <w:p w14:paraId="7E6A8126" w14:textId="2DB4AAE8" w:rsidR="007A0446" w:rsidRPr="007D3D51" w:rsidRDefault="007A0446" w:rsidP="007A0446">
      <w:pPr>
        <w:pStyle w:val="BodyText"/>
        <w:jc w:val="both"/>
        <w:rPr>
          <w:rFonts w:ascii="Times New Roman" w:eastAsiaTheme="majorEastAsia" w:hAnsi="Times New Roman" w:cs="Times New Roman"/>
          <w:sz w:val="22"/>
          <w:szCs w:val="22"/>
        </w:rPr>
      </w:pPr>
      <w:r w:rsidRPr="007D3D51">
        <w:rPr>
          <w:rFonts w:ascii="Times New Roman" w:eastAsiaTheme="majorEastAsia" w:hAnsi="Times New Roman" w:cs="Times New Roman"/>
          <w:sz w:val="22"/>
          <w:szCs w:val="22"/>
          <w:vertAlign w:val="superscript"/>
        </w:rPr>
        <w:t>1</w:t>
      </w:r>
      <w:proofErr w:type="gramStart"/>
      <w:r w:rsidR="00934228" w:rsidRPr="007D3D51">
        <w:rPr>
          <w:rFonts w:ascii="Times New Roman" w:eastAsiaTheme="majorEastAsia" w:hAnsi="Times New Roman" w:cs="Times New Roman"/>
          <w:sz w:val="22"/>
          <w:szCs w:val="22"/>
        </w:rPr>
        <w:t>A.</w:t>
      </w:r>
      <w:r w:rsidRPr="007D3D51">
        <w:rPr>
          <w:rFonts w:ascii="Times New Roman" w:eastAsiaTheme="majorEastAsia" w:hAnsi="Times New Roman" w:cs="Times New Roman"/>
          <w:sz w:val="22"/>
          <w:szCs w:val="22"/>
        </w:rPr>
        <w:t>Karunamurthy</w:t>
      </w:r>
      <w:proofErr w:type="gramEnd"/>
      <w:r w:rsidRPr="007D3D51">
        <w:rPr>
          <w:rFonts w:ascii="Times New Roman" w:eastAsiaTheme="majorEastAsia" w:hAnsi="Times New Roman" w:cs="Times New Roman"/>
          <w:sz w:val="22"/>
          <w:szCs w:val="22"/>
        </w:rPr>
        <w:t xml:space="preserve">, Associate Professor, Dept. of CSE, Sri </w:t>
      </w:r>
      <w:proofErr w:type="spellStart"/>
      <w:r w:rsidRPr="007D3D51">
        <w:rPr>
          <w:rFonts w:ascii="Times New Roman" w:eastAsiaTheme="majorEastAsia" w:hAnsi="Times New Roman" w:cs="Times New Roman"/>
          <w:sz w:val="22"/>
          <w:szCs w:val="22"/>
        </w:rPr>
        <w:t>Manakula</w:t>
      </w:r>
      <w:proofErr w:type="spellEnd"/>
      <w:r w:rsidRPr="007D3D51">
        <w:rPr>
          <w:rFonts w:ascii="Times New Roman" w:eastAsiaTheme="majorEastAsia" w:hAnsi="Times New Roman" w:cs="Times New Roman"/>
          <w:sz w:val="22"/>
          <w:szCs w:val="22"/>
        </w:rPr>
        <w:t xml:space="preserve"> </w:t>
      </w:r>
      <w:proofErr w:type="spellStart"/>
      <w:r w:rsidRPr="007D3D51">
        <w:rPr>
          <w:rFonts w:ascii="Times New Roman" w:eastAsiaTheme="majorEastAsia" w:hAnsi="Times New Roman" w:cs="Times New Roman"/>
          <w:sz w:val="22"/>
          <w:szCs w:val="22"/>
        </w:rPr>
        <w:t>Vinayagar</w:t>
      </w:r>
      <w:proofErr w:type="spellEnd"/>
      <w:r w:rsidRPr="007D3D51">
        <w:rPr>
          <w:rFonts w:ascii="Times New Roman" w:eastAsiaTheme="majorEastAsia" w:hAnsi="Times New Roman" w:cs="Times New Roman"/>
          <w:sz w:val="22"/>
          <w:szCs w:val="22"/>
        </w:rPr>
        <w:t xml:space="preserve"> Engineering College, Puducherry -India, </w:t>
      </w:r>
      <w:hyperlink r:id="rId5" w:history="1">
        <w:r w:rsidRPr="007D3D51">
          <w:rPr>
            <w:rStyle w:val="Hyperlink"/>
            <w:rFonts w:ascii="Times New Roman" w:eastAsiaTheme="majorEastAsia" w:hAnsi="Times New Roman" w:cs="Times New Roman"/>
            <w:sz w:val="22"/>
            <w:szCs w:val="22"/>
          </w:rPr>
          <w:t>karunamurthy26@gmail.com</w:t>
        </w:r>
      </w:hyperlink>
    </w:p>
    <w:p w14:paraId="5579E6DA" w14:textId="51592B96" w:rsidR="007A0446" w:rsidRPr="007D3D51" w:rsidRDefault="007A0446" w:rsidP="007A0446">
      <w:pPr>
        <w:pStyle w:val="BodyText"/>
        <w:jc w:val="both"/>
        <w:rPr>
          <w:rFonts w:ascii="Times New Roman" w:eastAsiaTheme="majorEastAsia" w:hAnsi="Times New Roman" w:cs="Times New Roman"/>
          <w:sz w:val="22"/>
          <w:szCs w:val="22"/>
        </w:rPr>
      </w:pPr>
      <w:r w:rsidRPr="007D3D51">
        <w:rPr>
          <w:rFonts w:ascii="Times New Roman" w:eastAsiaTheme="majorEastAsia" w:hAnsi="Times New Roman" w:cs="Times New Roman"/>
          <w:sz w:val="22"/>
          <w:szCs w:val="22"/>
          <w:vertAlign w:val="superscript"/>
        </w:rPr>
        <w:t>2.</w:t>
      </w:r>
      <w:proofErr w:type="gramStart"/>
      <w:r w:rsidR="00934228" w:rsidRPr="007D3D51">
        <w:rPr>
          <w:rFonts w:ascii="Times New Roman" w:eastAsiaTheme="majorEastAsia" w:hAnsi="Times New Roman" w:cs="Times New Roman"/>
          <w:sz w:val="22"/>
          <w:szCs w:val="22"/>
        </w:rPr>
        <w:t>S.Nafisa</w:t>
      </w:r>
      <w:proofErr w:type="gramEnd"/>
      <w:r w:rsidR="00934228" w:rsidRPr="007D3D51">
        <w:rPr>
          <w:rFonts w:ascii="Times New Roman" w:eastAsiaTheme="majorEastAsia" w:hAnsi="Times New Roman" w:cs="Times New Roman"/>
          <w:sz w:val="22"/>
          <w:szCs w:val="22"/>
        </w:rPr>
        <w:t xml:space="preserve">,PG Student , Dept, of MCA , Sri </w:t>
      </w:r>
      <w:proofErr w:type="spellStart"/>
      <w:r w:rsidR="00934228" w:rsidRPr="007D3D51">
        <w:rPr>
          <w:rFonts w:ascii="Times New Roman" w:eastAsiaTheme="majorEastAsia" w:hAnsi="Times New Roman" w:cs="Times New Roman"/>
          <w:sz w:val="22"/>
          <w:szCs w:val="22"/>
        </w:rPr>
        <w:t>Manakula</w:t>
      </w:r>
      <w:proofErr w:type="spellEnd"/>
      <w:r w:rsidR="00934228" w:rsidRPr="007D3D51">
        <w:rPr>
          <w:rFonts w:ascii="Times New Roman" w:eastAsiaTheme="majorEastAsia" w:hAnsi="Times New Roman" w:cs="Times New Roman"/>
          <w:sz w:val="22"/>
          <w:szCs w:val="22"/>
        </w:rPr>
        <w:t xml:space="preserve"> </w:t>
      </w:r>
      <w:proofErr w:type="spellStart"/>
      <w:r w:rsidR="00934228" w:rsidRPr="007D3D51">
        <w:rPr>
          <w:rFonts w:ascii="Times New Roman" w:eastAsiaTheme="majorEastAsia" w:hAnsi="Times New Roman" w:cs="Times New Roman"/>
          <w:sz w:val="22"/>
          <w:szCs w:val="22"/>
        </w:rPr>
        <w:t>Vinayagar</w:t>
      </w:r>
      <w:proofErr w:type="spellEnd"/>
      <w:r w:rsidR="00934228" w:rsidRPr="007D3D51">
        <w:rPr>
          <w:rFonts w:ascii="Times New Roman" w:eastAsiaTheme="majorEastAsia" w:hAnsi="Times New Roman" w:cs="Times New Roman"/>
          <w:sz w:val="22"/>
          <w:szCs w:val="22"/>
        </w:rPr>
        <w:t xml:space="preserve"> Engineering College, Puducherry -India, </w:t>
      </w:r>
      <w:hyperlink r:id="rId6" w:history="1">
        <w:r w:rsidR="00934228" w:rsidRPr="007D3D51">
          <w:rPr>
            <w:rStyle w:val="Hyperlink"/>
            <w:rFonts w:ascii="Times New Roman" w:eastAsiaTheme="majorEastAsia" w:hAnsi="Times New Roman" w:cs="Times New Roman"/>
            <w:sz w:val="22"/>
            <w:szCs w:val="22"/>
          </w:rPr>
          <w:t>nafisa08nafi@gmail.com</w:t>
        </w:r>
      </w:hyperlink>
    </w:p>
    <w:p w14:paraId="7C8962B2" w14:textId="77777777" w:rsidR="00AF4FA5" w:rsidRPr="0018688C" w:rsidRDefault="00000000" w:rsidP="00FA059E">
      <w:pPr>
        <w:pStyle w:val="Heading4"/>
        <w:jc w:val="both"/>
        <w:rPr>
          <w:rFonts w:ascii="Times New Roman" w:hAnsi="Times New Roman" w:cs="Times New Roman"/>
          <w:b/>
          <w:bCs/>
          <w:color w:val="auto"/>
        </w:rPr>
      </w:pPr>
      <w:bookmarkStart w:id="1" w:name="abstract"/>
      <w:r w:rsidRPr="0018688C">
        <w:rPr>
          <w:rFonts w:ascii="Times New Roman" w:hAnsi="Times New Roman" w:cs="Times New Roman"/>
          <w:b/>
          <w:bCs/>
          <w:color w:val="auto"/>
        </w:rPr>
        <w:t>Abstract</w:t>
      </w:r>
    </w:p>
    <w:p w14:paraId="3D9C30B0"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We propose a web-based automation solution for home healthcare management, designed to centralize and optimize patient care coordination, caregiver scheduling, and administrative tasks. The proposed system integrates multiple functional modules, including appointment booking, real-time patient record updates, service tracking, and automated billing, thereby addressing the inefficiencies and fragmentation prevalent in traditional home healthcare systems. The appointment booking process dynamically matches patients with caregivers based on availability and service requirements, while the caregiver scheduling module ensures optimal resource allocation by considering skillsets and workload. Patient records are maintained and updated in a centralized database, enabling seamless information flow and timely interventions. Moreover, the system tracks service statuses in real-time, providing transparency and accountability for both patients and caregivers. Administrative tasks such as billing are automated, reducing manual errors and operational overhead. The web app is built using modern technologies, including React for the front-end and Node.js for the back-end, ensuring scalability and user-friendly interaction. Our solution not only improves operational efficiency but also enhances accessibility and service quality, particularly for elderly and chronically ill patients who rely on consistent and reliable care. The integration of these features into a single platform represents a significant advancement in home healthcare automation, offering a practical and scalable model for future implementations.</w:t>
      </w:r>
    </w:p>
    <w:p w14:paraId="1B61F530" w14:textId="6841B632" w:rsidR="00FA059E" w:rsidRPr="007D3D51" w:rsidRDefault="00FA059E" w:rsidP="007D3D51">
      <w:pPr>
        <w:pStyle w:val="BodyText"/>
        <w:jc w:val="both"/>
        <w:rPr>
          <w:rFonts w:ascii="Times New Roman" w:hAnsi="Times New Roman" w:cs="Times New Roman"/>
        </w:rPr>
      </w:pPr>
      <w:r w:rsidRPr="0018688C">
        <w:rPr>
          <w:rFonts w:ascii="Times New Roman" w:hAnsi="Times New Roman" w:cs="Times New Roman"/>
          <w:b/>
          <w:bCs/>
        </w:rPr>
        <w:t>Keywords:</w:t>
      </w:r>
      <w:r w:rsidRPr="007D3D51">
        <w:rPr>
          <w:rFonts w:ascii="Times New Roman" w:hAnsi="Times New Roman" w:cs="Times New Roman"/>
        </w:rPr>
        <w:t xml:space="preserve"> Home Healthcare, Web-Based Application, Healthcare Automation, Caregiver Scheduling, Patient Management System, Real-Time Monitoring, Automated Billing, Smart Healthcare Systems</w:t>
      </w:r>
    </w:p>
    <w:p w14:paraId="2C04AAAD" w14:textId="77777777" w:rsidR="00AF4FA5" w:rsidRPr="0018688C" w:rsidRDefault="00000000" w:rsidP="00FA059E">
      <w:pPr>
        <w:pStyle w:val="Heading3"/>
        <w:jc w:val="both"/>
        <w:rPr>
          <w:rFonts w:ascii="Times New Roman" w:hAnsi="Times New Roman" w:cs="Times New Roman"/>
          <w:b/>
          <w:bCs/>
          <w:color w:val="auto"/>
        </w:rPr>
      </w:pPr>
      <w:bookmarkStart w:id="2" w:name="introduction"/>
      <w:bookmarkEnd w:id="1"/>
      <w:r w:rsidRPr="0018688C">
        <w:rPr>
          <w:rFonts w:ascii="Times New Roman" w:hAnsi="Times New Roman" w:cs="Times New Roman"/>
          <w:b/>
          <w:bCs/>
          <w:color w:val="auto"/>
        </w:rPr>
        <w:t>1. Introduction</w:t>
      </w:r>
    </w:p>
    <w:p w14:paraId="4A14876A"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Home healthcare services play a critical role in modern medical systems, particularly for aging populations and patients with chronic conditions. However, traditional home healthcare management often suffers from inefficiencies, including fragmented communication, manual scheduling, and scattered patient records. These challenges lead to delays in care delivery, increased administrative burdens, and potential risks to patient safety. Recent advancements in web technologies and healthcare information systems have opened new possibilities for automating and optimizing these processes.</w:t>
      </w:r>
    </w:p>
    <w:p w14:paraId="109BBBD0"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Prior research has explored various aspects of home healthcare management, including patient record systems </w:t>
      </w:r>
      <w:hyperlink r:id="rId7">
        <w:r w:rsidRPr="007D3D51">
          <w:rPr>
            <w:rStyle w:val="Hyperlink"/>
            <w:rFonts w:ascii="Times New Roman" w:hAnsi="Times New Roman" w:cs="Times New Roman"/>
            <w:color w:val="auto"/>
          </w:rPr>
          <w:t>[1]</w:t>
        </w:r>
      </w:hyperlink>
      <w:r w:rsidRPr="007D3D51">
        <w:rPr>
          <w:rFonts w:ascii="Times New Roman" w:hAnsi="Times New Roman" w:cs="Times New Roman"/>
        </w:rPr>
        <w:t xml:space="preserve">, scheduling algorithms </w:t>
      </w:r>
      <w:hyperlink r:id="rId8">
        <w:r w:rsidRPr="007D3D51">
          <w:rPr>
            <w:rStyle w:val="Hyperlink"/>
            <w:rFonts w:ascii="Times New Roman" w:hAnsi="Times New Roman" w:cs="Times New Roman"/>
            <w:color w:val="auto"/>
          </w:rPr>
          <w:t>[2]</w:t>
        </w:r>
      </w:hyperlink>
      <w:r w:rsidRPr="007D3D51">
        <w:rPr>
          <w:rFonts w:ascii="Times New Roman" w:hAnsi="Times New Roman" w:cs="Times New Roman"/>
        </w:rPr>
        <w:t xml:space="preserve">, and telehealth solutions </w:t>
      </w:r>
      <w:hyperlink r:id="rId9">
        <w:r w:rsidRPr="007D3D51">
          <w:rPr>
            <w:rStyle w:val="Hyperlink"/>
            <w:rFonts w:ascii="Times New Roman" w:hAnsi="Times New Roman" w:cs="Times New Roman"/>
            <w:color w:val="auto"/>
          </w:rPr>
          <w:t>[3]</w:t>
        </w:r>
      </w:hyperlink>
      <w:r w:rsidRPr="007D3D51">
        <w:rPr>
          <w:rFonts w:ascii="Times New Roman" w:hAnsi="Times New Roman" w:cs="Times New Roman"/>
        </w:rPr>
        <w:t xml:space="preserve">. While these studies provide valuable insights, they often focus on isolated components rather than an integrated approach. For instance, some works emphasize secure data management </w:t>
      </w:r>
      <w:hyperlink r:id="rId10">
        <w:r w:rsidRPr="007D3D51">
          <w:rPr>
            <w:rStyle w:val="Hyperlink"/>
            <w:rFonts w:ascii="Times New Roman" w:hAnsi="Times New Roman" w:cs="Times New Roman"/>
            <w:color w:val="auto"/>
          </w:rPr>
          <w:t>[4]</w:t>
        </w:r>
      </w:hyperlink>
      <w:r w:rsidRPr="007D3D51">
        <w:rPr>
          <w:rFonts w:ascii="Times New Roman" w:hAnsi="Times New Roman" w:cs="Times New Roman"/>
        </w:rPr>
        <w:t xml:space="preserve">, while others investigate real-time communication frameworks </w:t>
      </w:r>
      <w:hyperlink r:id="rId11">
        <w:r w:rsidRPr="007D3D51">
          <w:rPr>
            <w:rStyle w:val="Hyperlink"/>
            <w:rFonts w:ascii="Times New Roman" w:hAnsi="Times New Roman" w:cs="Times New Roman"/>
            <w:color w:val="auto"/>
          </w:rPr>
          <w:t>[5]</w:t>
        </w:r>
      </w:hyperlink>
      <w:r w:rsidRPr="007D3D51">
        <w:rPr>
          <w:rFonts w:ascii="Times New Roman" w:hAnsi="Times New Roman" w:cs="Times New Roman"/>
        </w:rPr>
        <w:t>. A unified platform that consolidates these functionalities remains an underexplored area.</w:t>
      </w:r>
    </w:p>
    <w:p w14:paraId="4180C6EC"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We propose a web-based automation solution that integrates appointment booking, caregiver scheduling, patient record management, and administrative functions into a single platform. Unlike </w:t>
      </w:r>
      <w:r w:rsidRPr="007D3D51">
        <w:rPr>
          <w:rFonts w:ascii="Times New Roman" w:hAnsi="Times New Roman" w:cs="Times New Roman"/>
        </w:rPr>
        <w:lastRenderedPageBreak/>
        <w:t xml:space="preserve">existing systems, our approach emphasizes real-time coordination, data security, and scalability. The system dynamically matches patients with caregivers based on availability and service requirements, reducing scheduling conflicts. Patient records are maintained in a centralized database with encryption protocols </w:t>
      </w:r>
      <w:hyperlink r:id="rId12">
        <w:r w:rsidRPr="007D3D51">
          <w:rPr>
            <w:rStyle w:val="Hyperlink"/>
            <w:rFonts w:ascii="Times New Roman" w:hAnsi="Times New Roman" w:cs="Times New Roman"/>
            <w:color w:val="auto"/>
          </w:rPr>
          <w:t>[6]</w:t>
        </w:r>
      </w:hyperlink>
      <w:r w:rsidRPr="007D3D51">
        <w:rPr>
          <w:rFonts w:ascii="Times New Roman" w:hAnsi="Times New Roman" w:cs="Times New Roman"/>
        </w:rPr>
        <w:t>, ensuring both accessibility and confidentiality. Additionally, automated billing and service tracking minimize manual errors and improve transparency.</w:t>
      </w:r>
    </w:p>
    <w:p w14:paraId="045C1398"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The key contributions of our work are threefold. First, we introduce a comprehensive architecture that unifies disparate home healthcare functions, eliminating the need for multiple standalone tools. Second, we implement a dynamic scheduling algorithm that optimizes caregiver allocation, improving service efficiency. Third, we incorporate real-time updates and secure data handling, addressing critical concerns in healthcare management. These innovations collectively enhance the reliability and accessibility of home healthcare services.</w:t>
      </w:r>
    </w:p>
    <w:p w14:paraId="5B68691C"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The remainder of this paper is organized as follows: Section 2 reviews related work in home healthcare management systems, highlighting gaps in current approaches. Section 3 details the design and architecture of our proposed platform. Section 4 describes the experimental setup and evaluation methodology. Section 5 presents the results and analysis, while Section 6 discusses implications and future directions. Finally, Section 7 concludes the paper.</w:t>
      </w:r>
    </w:p>
    <w:p w14:paraId="4F954E88" w14:textId="77777777" w:rsidR="00AF4FA5" w:rsidRPr="0018688C" w:rsidRDefault="00000000" w:rsidP="00FA059E">
      <w:pPr>
        <w:pStyle w:val="Heading3"/>
        <w:jc w:val="both"/>
        <w:rPr>
          <w:rFonts w:ascii="Times New Roman" w:hAnsi="Times New Roman" w:cs="Times New Roman"/>
          <w:b/>
          <w:bCs/>
          <w:color w:val="auto"/>
        </w:rPr>
      </w:pPr>
      <w:bookmarkStart w:id="3" w:name="Xf2acbd08931067d738db56bc6272e164b98f07d"/>
      <w:bookmarkEnd w:id="2"/>
      <w:r w:rsidRPr="0018688C">
        <w:rPr>
          <w:rFonts w:ascii="Times New Roman" w:hAnsi="Times New Roman" w:cs="Times New Roman"/>
          <w:b/>
          <w:bCs/>
          <w:color w:val="auto"/>
        </w:rPr>
        <w:t>2. Related Work in Home Healthcare Management Systems</w:t>
      </w:r>
    </w:p>
    <w:p w14:paraId="2DF29ECF"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Recent years have seen significant developments in home healthcare management systems, with various approaches addressing different aspects of care delivery. Existing solutions can be broadly categorized into three areas: telemedicine platforms, scheduling optimization systems, and integrated healthcare management tools.</w:t>
      </w:r>
    </w:p>
    <w:p w14:paraId="4FC33826" w14:textId="77777777" w:rsidR="00AF4FA5" w:rsidRPr="0018688C" w:rsidRDefault="00000000" w:rsidP="00FA059E">
      <w:pPr>
        <w:pStyle w:val="Heading4"/>
        <w:jc w:val="both"/>
        <w:rPr>
          <w:rFonts w:ascii="Times New Roman" w:hAnsi="Times New Roman" w:cs="Times New Roman"/>
          <w:b/>
          <w:bCs/>
          <w:color w:val="auto"/>
        </w:rPr>
      </w:pPr>
      <w:bookmarkStart w:id="4" w:name="Xa8bb0915bacfd799b1c0314a62190291ab2ff91"/>
      <w:r w:rsidRPr="0018688C">
        <w:rPr>
          <w:rFonts w:ascii="Times New Roman" w:hAnsi="Times New Roman" w:cs="Times New Roman"/>
          <w:b/>
          <w:bCs/>
          <w:color w:val="auto"/>
        </w:rPr>
        <w:t>2.1 Telemedicine and Remote Monitoring Platforms</w:t>
      </w:r>
    </w:p>
    <w:p w14:paraId="0F4DF88D"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Several studies have explored web-based telemedicine solutions for home healthcare. The Citizen Health System (CHS) </w:t>
      </w:r>
      <w:hyperlink r:id="rId13">
        <w:r w:rsidRPr="007D3D51">
          <w:rPr>
            <w:rStyle w:val="Hyperlink"/>
            <w:rFonts w:ascii="Times New Roman" w:hAnsi="Times New Roman" w:cs="Times New Roman"/>
            <w:color w:val="auto"/>
          </w:rPr>
          <w:t>[7]</w:t>
        </w:r>
      </w:hyperlink>
      <w:r w:rsidRPr="007D3D51">
        <w:rPr>
          <w:rFonts w:ascii="Times New Roman" w:hAnsi="Times New Roman" w:cs="Times New Roman"/>
        </w:rPr>
        <w:t xml:space="preserve"> employed mobile networks and fuzzy logic for artifact rejection in health monitoring, demonstrating the potential of automated data collection. Similarly, </w:t>
      </w:r>
      <w:hyperlink r:id="rId14">
        <w:r w:rsidRPr="007D3D51">
          <w:rPr>
            <w:rStyle w:val="Hyperlink"/>
            <w:rFonts w:ascii="Times New Roman" w:hAnsi="Times New Roman" w:cs="Times New Roman"/>
            <w:color w:val="auto"/>
          </w:rPr>
          <w:t>[8]</w:t>
        </w:r>
      </w:hyperlink>
      <w:r w:rsidRPr="007D3D51">
        <w:rPr>
          <w:rFonts w:ascii="Times New Roman" w:hAnsi="Times New Roman" w:cs="Times New Roman"/>
        </w:rPr>
        <w:t xml:space="preserve"> developed a web application for remote patient monitoring, though they noted challenges in maintaining real-time data accuracy. These systems primarily focus on patient-provider communication but often lack comprehensive scheduling and administrative functionalities.</w:t>
      </w:r>
    </w:p>
    <w:p w14:paraId="3D44FE88"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IoT-based solutions have also gained traction in home healthcare. </w:t>
      </w:r>
      <w:hyperlink r:id="rId15">
        <w:r w:rsidRPr="007D3D51">
          <w:rPr>
            <w:rStyle w:val="Hyperlink"/>
            <w:rFonts w:ascii="Times New Roman" w:hAnsi="Times New Roman" w:cs="Times New Roman"/>
            <w:color w:val="auto"/>
          </w:rPr>
          <w:t>[9]</w:t>
        </w:r>
      </w:hyperlink>
      <w:r w:rsidRPr="007D3D51">
        <w:rPr>
          <w:rFonts w:ascii="Times New Roman" w:hAnsi="Times New Roman" w:cs="Times New Roman"/>
        </w:rPr>
        <w:t xml:space="preserve"> proposed an IoT framework for healthcare data management and home automation, highlighting improved data transmission speeds. While effective for remote monitoring, such systems typically do not address caregiver coordination or service tracking, which are crucial for holistic home healthcare management.</w:t>
      </w:r>
    </w:p>
    <w:p w14:paraId="1AE581EC" w14:textId="77777777" w:rsidR="00AF4FA5" w:rsidRPr="0018688C" w:rsidRDefault="00000000" w:rsidP="00FA059E">
      <w:pPr>
        <w:pStyle w:val="Heading4"/>
        <w:jc w:val="both"/>
        <w:rPr>
          <w:rFonts w:ascii="Times New Roman" w:hAnsi="Times New Roman" w:cs="Times New Roman"/>
          <w:b/>
          <w:bCs/>
          <w:color w:val="auto"/>
        </w:rPr>
      </w:pPr>
      <w:bookmarkStart w:id="5" w:name="X295495a47765190417f08f502f409b272018059"/>
      <w:bookmarkEnd w:id="4"/>
      <w:r w:rsidRPr="0018688C">
        <w:rPr>
          <w:rFonts w:ascii="Times New Roman" w:hAnsi="Times New Roman" w:cs="Times New Roman"/>
          <w:b/>
          <w:bCs/>
          <w:color w:val="auto"/>
        </w:rPr>
        <w:t>2.2 Scheduling and Resource Allocation Systems</w:t>
      </w:r>
    </w:p>
    <w:p w14:paraId="71B5FE64"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Optimizing caregiver schedules has been another active research area. </w:t>
      </w:r>
      <w:hyperlink r:id="rId16">
        <w:r w:rsidRPr="007D3D51">
          <w:rPr>
            <w:rStyle w:val="Hyperlink"/>
            <w:rFonts w:ascii="Times New Roman" w:hAnsi="Times New Roman" w:cs="Times New Roman"/>
            <w:color w:val="auto"/>
          </w:rPr>
          <w:t>[10]</w:t>
        </w:r>
      </w:hyperlink>
      <w:r w:rsidRPr="007D3D51">
        <w:rPr>
          <w:rFonts w:ascii="Times New Roman" w:hAnsi="Times New Roman" w:cs="Times New Roman"/>
        </w:rPr>
        <w:t xml:space="preserve"> introduced a decision support system (DSS) for resource management, using neural networks to improve allocation efficiency. However, their platform was limited to specific care scenarios and did not integrate with broader healthcare workflows.</w:t>
      </w:r>
    </w:p>
    <w:p w14:paraId="6DED435A"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The CARE-Net system </w:t>
      </w:r>
      <w:hyperlink r:id="rId17">
        <w:r w:rsidRPr="007D3D51">
          <w:rPr>
            <w:rStyle w:val="Hyperlink"/>
            <w:rFonts w:ascii="Times New Roman" w:hAnsi="Times New Roman" w:cs="Times New Roman"/>
            <w:color w:val="auto"/>
          </w:rPr>
          <w:t>[11]</w:t>
        </w:r>
      </w:hyperlink>
      <w:r w:rsidRPr="007D3D51">
        <w:rPr>
          <w:rFonts w:ascii="Times New Roman" w:hAnsi="Times New Roman" w:cs="Times New Roman"/>
        </w:rPr>
        <w:t xml:space="preserve"> focused on enhancing visiting healthcare services through a web application. While it improved coordination among providers, its scheduling capabilities were not dynamically adaptive to real-time changes in patient needs or caregiver availability. These limitations underscore the need for more flexible and responsive scheduling mechanisms.</w:t>
      </w:r>
    </w:p>
    <w:p w14:paraId="423DCBCE" w14:textId="77777777" w:rsidR="00AF4FA5" w:rsidRPr="0018688C" w:rsidRDefault="00000000" w:rsidP="00FA059E">
      <w:pPr>
        <w:pStyle w:val="Heading4"/>
        <w:jc w:val="both"/>
        <w:rPr>
          <w:rFonts w:ascii="Times New Roman" w:hAnsi="Times New Roman" w:cs="Times New Roman"/>
          <w:b/>
          <w:bCs/>
          <w:color w:val="auto"/>
        </w:rPr>
      </w:pPr>
      <w:bookmarkStart w:id="6" w:name="X37279b870154d16dfd2b1448b6497b31b4a38f0"/>
      <w:bookmarkEnd w:id="5"/>
      <w:r w:rsidRPr="0018688C">
        <w:rPr>
          <w:rFonts w:ascii="Times New Roman" w:hAnsi="Times New Roman" w:cs="Times New Roman"/>
          <w:b/>
          <w:bCs/>
          <w:color w:val="auto"/>
        </w:rPr>
        <w:lastRenderedPageBreak/>
        <w:t>2.3 Integrated Healthcare Management Platforms</w:t>
      </w:r>
    </w:p>
    <w:p w14:paraId="57C07E44"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Some recent works have attempted to unify multiple home healthcare functions. </w:t>
      </w:r>
      <w:proofErr w:type="spellStart"/>
      <w:r w:rsidRPr="007D3D51">
        <w:rPr>
          <w:rFonts w:ascii="Times New Roman" w:hAnsi="Times New Roman" w:cs="Times New Roman"/>
        </w:rPr>
        <w:t>IAServ</w:t>
      </w:r>
      <w:proofErr w:type="spellEnd"/>
      <w:r w:rsidRPr="007D3D51">
        <w:rPr>
          <w:rFonts w:ascii="Times New Roman" w:hAnsi="Times New Roman" w:cs="Times New Roman"/>
        </w:rPr>
        <w:t xml:space="preserve"> </w:t>
      </w:r>
      <w:hyperlink r:id="rId18">
        <w:r w:rsidRPr="007D3D51">
          <w:rPr>
            <w:rStyle w:val="Hyperlink"/>
            <w:rFonts w:ascii="Times New Roman" w:hAnsi="Times New Roman" w:cs="Times New Roman"/>
            <w:color w:val="auto"/>
          </w:rPr>
          <w:t>[12]</w:t>
        </w:r>
      </w:hyperlink>
      <w:r w:rsidRPr="007D3D51">
        <w:rPr>
          <w:rFonts w:ascii="Times New Roman" w:hAnsi="Times New Roman" w:cs="Times New Roman"/>
        </w:rPr>
        <w:t xml:space="preserve"> employed cloud computing and web services to create a robust care platform for aging populations. Its ontology-based approach improved service personalization but required significant computational resources, potentially limiting scalability.</w:t>
      </w:r>
    </w:p>
    <w:p w14:paraId="0EB8EE24"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Another notable effort is the in-home health care station (IHHS) </w:t>
      </w:r>
      <w:hyperlink r:id="rId19">
        <w:r w:rsidRPr="007D3D51">
          <w:rPr>
            <w:rStyle w:val="Hyperlink"/>
            <w:rFonts w:ascii="Times New Roman" w:hAnsi="Times New Roman" w:cs="Times New Roman"/>
            <w:color w:val="auto"/>
          </w:rPr>
          <w:t>[13]</w:t>
        </w:r>
      </w:hyperlink>
      <w:r w:rsidRPr="007D3D51">
        <w:rPr>
          <w:rFonts w:ascii="Times New Roman" w:hAnsi="Times New Roman" w:cs="Times New Roman"/>
        </w:rPr>
        <w:t>, which integrated various health monitoring devices into a single terminal. While innovative, this hardware-centric solution did not fully address software-based administrative and scheduling challenges.</w:t>
      </w:r>
    </w:p>
    <w:p w14:paraId="6794A315"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Compared to these existing works, our proposed system offers several key advantages. First, it combines telemedicine, dynamic scheduling, and administrative automation into a single web-based platform, eliminating the fragmentation seen in previous solutions. Second, our real-time scheduling algorithm adapts to changing patient needs and caregiver availability, improving resource utilization. Third, the platform incorporates robust security measures for patient data while maintaining ease of access for authorized users. These features collectively address critical gaps in current home healthcare management systems.</w:t>
      </w:r>
    </w:p>
    <w:p w14:paraId="4C414BD2" w14:textId="77777777" w:rsidR="00AF4FA5" w:rsidRPr="0018688C" w:rsidRDefault="00000000" w:rsidP="00FA059E">
      <w:pPr>
        <w:pStyle w:val="Heading3"/>
        <w:jc w:val="both"/>
        <w:rPr>
          <w:rFonts w:ascii="Times New Roman" w:hAnsi="Times New Roman" w:cs="Times New Roman"/>
          <w:b/>
          <w:bCs/>
          <w:color w:val="auto"/>
        </w:rPr>
      </w:pPr>
      <w:bookmarkStart w:id="7" w:name="Xc44a2e4af32e3510081d14d86b8a76ff280941c"/>
      <w:bookmarkEnd w:id="3"/>
      <w:bookmarkEnd w:id="6"/>
      <w:r w:rsidRPr="0018688C">
        <w:rPr>
          <w:rFonts w:ascii="Times New Roman" w:hAnsi="Times New Roman" w:cs="Times New Roman"/>
          <w:b/>
          <w:bCs/>
          <w:color w:val="auto"/>
        </w:rPr>
        <w:t>3. The Proposed Integrated Home Healthcare Platform: Design and Architecture</w:t>
      </w:r>
    </w:p>
    <w:p w14:paraId="0006A669"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proposed web-based platform establishes a unified framework for home healthcare management by integrating core functionalities through a modular architecture. As shown in Figure 1, the system comprises four primary components: the patient interface, caregiver management module, administrative backend, and real-time synchronization engine. These elements interact through well-defined APIs to ensure seamless data flow while maintaining security protocols.</w:t>
      </w:r>
    </w:p>
    <w:p w14:paraId="5B366A13" w14:textId="73939451" w:rsidR="00FA059E" w:rsidRPr="007D3D51" w:rsidRDefault="00F47A43" w:rsidP="00FA059E">
      <w:pPr>
        <w:pStyle w:val="CaptionedFigure"/>
        <w:jc w:val="both"/>
        <w:rPr>
          <w:rFonts w:ascii="Times New Roman" w:hAnsi="Times New Roman" w:cs="Times New Roman"/>
          <w:noProof/>
        </w:rPr>
      </w:pPr>
      <w:r w:rsidRPr="007D3D51">
        <w:rPr>
          <w:rFonts w:ascii="Times New Roman" w:hAnsi="Times New Roman" w:cs="Times New Roman"/>
          <w:noProof/>
        </w:rPr>
        <mc:AlternateContent>
          <mc:Choice Requires="wps">
            <w:drawing>
              <wp:inline distT="0" distB="0" distL="0" distR="0" wp14:anchorId="2C083427" wp14:editId="2A6B5B20">
                <wp:extent cx="304800" cy="304800"/>
                <wp:effectExtent l="0" t="0" r="0" b="0"/>
                <wp:docPr id="6" name="AutoShape 1" descr=", AI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5CD04" id="AutoShape 1" o:spid="_x0000_s1026" alt=", AI genera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EFE1BF" w14:textId="22BE1938" w:rsidR="00FA059E" w:rsidRPr="007D3D51" w:rsidRDefault="00FA059E" w:rsidP="00FA059E">
      <w:pPr>
        <w:pStyle w:val="CaptionedFigure"/>
        <w:jc w:val="both"/>
        <w:rPr>
          <w:rFonts w:ascii="Times New Roman" w:hAnsi="Times New Roman" w:cs="Times New Roman"/>
          <w:noProof/>
        </w:rPr>
      </w:pPr>
      <w:r w:rsidRPr="007D3D51">
        <w:rPr>
          <w:rFonts w:ascii="Times New Roman" w:hAnsi="Times New Roman" w:cs="Times New Roman"/>
          <w:noProof/>
        </w:rPr>
        <w:drawing>
          <wp:inline distT="0" distB="0" distL="0" distR="0" wp14:anchorId="2B44A091" wp14:editId="1EA66BBD">
            <wp:extent cx="6153150" cy="3076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9538" cy="3079769"/>
                    </a:xfrm>
                    <a:prstGeom prst="rect">
                      <a:avLst/>
                    </a:prstGeom>
                    <a:noFill/>
                  </pic:spPr>
                </pic:pic>
              </a:graphicData>
            </a:graphic>
          </wp:inline>
        </w:drawing>
      </w:r>
    </w:p>
    <w:p w14:paraId="76DE55BB" w14:textId="56CCE846" w:rsidR="00AF4FA5" w:rsidRPr="007D3D51" w:rsidRDefault="00000000" w:rsidP="00FA059E">
      <w:pPr>
        <w:pStyle w:val="ImageCaption"/>
        <w:jc w:val="center"/>
        <w:rPr>
          <w:rFonts w:ascii="Times New Roman" w:hAnsi="Times New Roman" w:cs="Times New Roman"/>
          <w:b/>
          <w:bCs/>
        </w:rPr>
      </w:pPr>
      <w:r w:rsidRPr="007D3D51">
        <w:rPr>
          <w:rFonts w:ascii="Times New Roman" w:hAnsi="Times New Roman" w:cs="Times New Roman"/>
          <w:b/>
          <w:bCs/>
        </w:rPr>
        <w:t xml:space="preserve">Figure 1. </w:t>
      </w:r>
      <w:r w:rsidR="00FA059E" w:rsidRPr="007D3D51">
        <w:rPr>
          <w:rFonts w:ascii="Times New Roman" w:hAnsi="Times New Roman" w:cs="Times New Roman"/>
          <w:b/>
          <w:bCs/>
        </w:rPr>
        <w:t>System architecture of the proposed digital healthcare platform</w:t>
      </w:r>
    </w:p>
    <w:p w14:paraId="4A8BE07C" w14:textId="77777777" w:rsidR="00AF4FA5" w:rsidRPr="0018688C" w:rsidRDefault="00000000" w:rsidP="00FA059E">
      <w:pPr>
        <w:pStyle w:val="Heading4"/>
        <w:jc w:val="both"/>
        <w:rPr>
          <w:rFonts w:ascii="Times New Roman" w:hAnsi="Times New Roman" w:cs="Times New Roman"/>
          <w:b/>
          <w:bCs/>
          <w:color w:val="auto"/>
        </w:rPr>
      </w:pPr>
      <w:bookmarkStart w:id="8" w:name="Xf84c5b7bb43b0a8e5d1c62122469e50b29c71da"/>
      <w:r w:rsidRPr="0018688C">
        <w:rPr>
          <w:rFonts w:ascii="Times New Roman" w:hAnsi="Times New Roman" w:cs="Times New Roman"/>
          <w:b/>
          <w:bCs/>
          <w:color w:val="auto"/>
        </w:rPr>
        <w:lastRenderedPageBreak/>
        <w:t>3.1 Function Design of the Integrated Platform</w:t>
      </w:r>
    </w:p>
    <w:p w14:paraId="732FDEEB"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The platform’s functional architecture is formalized through five core operations that mathematically model the home healthcare workflow. Let </w:t>
      </w:r>
      <m:oMath>
        <m:r>
          <m:rPr>
            <m:scr m:val="script"/>
            <m:sty m:val="p"/>
          </m:rPr>
          <w:rPr>
            <w:rFonts w:ascii="Cambria Math" w:hAnsi="Cambria Math" w:cs="Times New Roman"/>
          </w:rPr>
          <m:t>P</m:t>
        </m:r>
      </m:oMath>
      <w:r w:rsidRPr="007D3D51">
        <w:rPr>
          <w:rFonts w:ascii="Times New Roman" w:hAnsi="Times New Roman" w:cs="Times New Roman"/>
        </w:rPr>
        <w:t xml:space="preserve"> denote the set of patients, each represented as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cr m:val="script"/>
            <m:sty m:val="p"/>
          </m:rPr>
          <w:rPr>
            <w:rFonts w:ascii="Cambria Math" w:hAnsi="Cambria Math" w:cs="Times New Roman"/>
          </w:rPr>
          <m:t>∈P</m:t>
        </m:r>
      </m:oMath>
      <w:r w:rsidRPr="007D3D51">
        <w:rPr>
          <w:rFonts w:ascii="Times New Roman" w:hAnsi="Times New Roman" w:cs="Times New Roman"/>
        </w:rPr>
        <w:t xml:space="preserve"> where </w:t>
      </w:r>
      <m:oMath>
        <m:r>
          <w:rPr>
            <w:rFonts w:ascii="Cambria Math" w:hAnsi="Cambria Math" w:cs="Times New Roman"/>
          </w:rPr>
          <m:t>i</m:t>
        </m:r>
      </m:oMath>
      <w:r w:rsidRPr="007D3D51">
        <w:rPr>
          <w:rFonts w:ascii="Times New Roman" w:hAnsi="Times New Roman" w:cs="Times New Roman"/>
        </w:rPr>
        <w:t xml:space="preserve"> indexes patient-specific attributes including medical history, location, and service requirements. Similarly, </w:t>
      </w:r>
      <m:oMath>
        <m:r>
          <m:rPr>
            <m:scr m:val="script"/>
            <m:sty m:val="p"/>
          </m:rPr>
          <w:rPr>
            <w:rFonts w:ascii="Cambria Math" w:hAnsi="Cambria Math" w:cs="Times New Roman"/>
          </w:rPr>
          <m:t>C</m:t>
        </m:r>
      </m:oMath>
      <w:r w:rsidRPr="007D3D51">
        <w:rPr>
          <w:rFonts w:ascii="Times New Roman" w:hAnsi="Times New Roman" w:cs="Times New Roman"/>
        </w:rPr>
        <w:t xml:space="preserve"> represents caregivers with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cr m:val="script"/>
            <m:sty m:val="p"/>
          </m:rPr>
          <w:rPr>
            <w:rFonts w:ascii="Cambria Math" w:hAnsi="Cambria Math" w:cs="Times New Roman"/>
          </w:rPr>
          <m:t>∈C</m:t>
        </m:r>
      </m:oMath>
      <w:r w:rsidRPr="007D3D51">
        <w:rPr>
          <w:rFonts w:ascii="Times New Roman" w:hAnsi="Times New Roman" w:cs="Times New Roman"/>
        </w:rPr>
        <w:t xml:space="preserve"> characterized by skills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k</m:t>
            </m:r>
          </m:sub>
        </m:sSub>
      </m:oMath>
      <w:r w:rsidRPr="007D3D51">
        <w:rPr>
          <w:rFonts w:ascii="Times New Roman" w:hAnsi="Times New Roman" w:cs="Times New Roman"/>
        </w:rPr>
        <w:t xml:space="preserve">, availability windows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l</m:t>
            </m:r>
          </m:sub>
        </m:sSub>
      </m:oMath>
      <w:r w:rsidRPr="007D3D51">
        <w:rPr>
          <w:rFonts w:ascii="Times New Roman" w:hAnsi="Times New Roman" w:cs="Times New Roman"/>
        </w:rPr>
        <w:t>, and certification levels.</w:t>
      </w:r>
    </w:p>
    <w:p w14:paraId="0E87D077"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The appointment booking function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book</m:t>
            </m:r>
          </m:sub>
        </m:sSub>
        <m:r>
          <m:rPr>
            <m:scr m:val="script"/>
            <m:sty m:val="p"/>
          </m:rPr>
          <w:rPr>
            <w:rFonts w:ascii="Cambria Math" w:hAnsi="Cambria Math" w:cs="Times New Roman"/>
          </w:rPr>
          <m:t>:P×S→T</m:t>
        </m:r>
      </m:oMath>
      <w:r w:rsidRPr="007D3D51">
        <w:rPr>
          <w:rFonts w:ascii="Times New Roman" w:hAnsi="Times New Roman" w:cs="Times New Roman"/>
        </w:rPr>
        <w:t xml:space="preserve"> maps patients and requested services </w:t>
      </w:r>
      <m:oMath>
        <m:r>
          <w:rPr>
            <w:rFonts w:ascii="Cambria Math" w:hAnsi="Cambria Math" w:cs="Times New Roman"/>
          </w:rPr>
          <m:t>s</m:t>
        </m:r>
        <m:r>
          <m:rPr>
            <m:scr m:val="script"/>
            <m:sty m:val="p"/>
          </m:rPr>
          <w:rPr>
            <w:rFonts w:ascii="Cambria Math" w:hAnsi="Cambria Math" w:cs="Times New Roman"/>
          </w:rPr>
          <m:t>∈S</m:t>
        </m:r>
      </m:oMath>
      <w:r w:rsidRPr="007D3D51">
        <w:rPr>
          <w:rFonts w:ascii="Times New Roman" w:hAnsi="Times New Roman" w:cs="Times New Roman"/>
        </w:rPr>
        <w:t xml:space="preserve"> to time slots </w:t>
      </w:r>
      <m:oMath>
        <m:r>
          <w:rPr>
            <w:rFonts w:ascii="Cambria Math" w:hAnsi="Cambria Math" w:cs="Times New Roman"/>
          </w:rPr>
          <m:t>t</m:t>
        </m:r>
        <m:r>
          <m:rPr>
            <m:scr m:val="script"/>
            <m:sty m:val="p"/>
          </m:rPr>
          <w:rPr>
            <w:rFonts w:ascii="Cambria Math" w:hAnsi="Cambria Math" w:cs="Times New Roman"/>
          </w:rPr>
          <m:t>∈T</m:t>
        </m:r>
      </m:oMath>
      <w:r w:rsidRPr="007D3D51">
        <w:rPr>
          <w:rFonts w:ascii="Times New Roman" w:hAnsi="Times New Roman" w:cs="Times New Roman"/>
        </w:rPr>
        <w:t>, constrained by:</w:t>
      </w:r>
    </w:p>
    <w:p w14:paraId="0B5518B6" w14:textId="77777777" w:rsidR="00AF4FA5" w:rsidRPr="007D3D51" w:rsidRDefault="00000000" w:rsidP="00FA059E">
      <w:pPr>
        <w:pStyle w:val="BodyText"/>
        <w:jc w:val="both"/>
        <w:rPr>
          <w:rFonts w:ascii="Times New Roman" w:hAnsi="Times New Roman" w:cs="Times New Roman"/>
        </w:rPr>
      </w:pPr>
      <m:oMathPara>
        <m:oMathParaPr>
          <m:jc m:val="center"/>
        </m:oMathParaP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m:t>
              </m:r>
            </m:sub>
          </m:sSub>
          <m:r>
            <m:rPr>
              <m:scr m:val="script"/>
              <m:sty m:val="p"/>
            </m:rPr>
            <w:rPr>
              <w:rFonts w:ascii="Cambria Math" w:hAnsi="Cambria Math" w:cs="Times New Roman"/>
            </w:rPr>
            <m:t>∈T|</m:t>
          </m:r>
          <m:r>
            <w:rPr>
              <w:rFonts w:ascii="Cambria Math" w:hAnsi="Cambria Math" w:cs="Times New Roman"/>
            </w:rPr>
            <m:t>τ</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m:t>
              </m:r>
            </m:sub>
          </m:sSub>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(1)</m:t>
          </m:r>
        </m:oMath>
      </m:oMathPara>
    </w:p>
    <w:p w14:paraId="5AA1A96D"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where </w:t>
      </w:r>
      <m:oMath>
        <m:r>
          <w:rPr>
            <w:rFonts w:ascii="Cambria Math" w:hAnsi="Cambria Math" w:cs="Times New Roman"/>
          </w:rPr>
          <m:t>τ</m:t>
        </m:r>
      </m:oMath>
      <w:r w:rsidRPr="007D3D51">
        <w:rPr>
          <w:rFonts w:ascii="Times New Roman" w:hAnsi="Times New Roman" w:cs="Times New Roman"/>
        </w:rPr>
        <w:t xml:space="preserve"> denotes temporal availability functions for patients and slots. This ensures bookings only occur during mutually available periods.</w:t>
      </w:r>
    </w:p>
    <w:p w14:paraId="06ED93FE"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Caregiver assignment follows the scheduling function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assign</m:t>
            </m:r>
          </m:sub>
        </m:sSub>
        <m:r>
          <m:rPr>
            <m:scr m:val="script"/>
            <m:sty m:val="p"/>
          </m:rPr>
          <w:rPr>
            <w:rFonts w:ascii="Cambria Math" w:hAnsi="Cambria Math" w:cs="Times New Roman"/>
          </w:rPr>
          <m:t>:C×T→S</m:t>
        </m:r>
      </m:oMath>
      <w:r w:rsidRPr="007D3D51">
        <w:rPr>
          <w:rFonts w:ascii="Times New Roman" w:hAnsi="Times New Roman" w:cs="Times New Roman"/>
        </w:rPr>
        <w:t xml:space="preserve"> that satisfies:</w:t>
      </w:r>
    </w:p>
    <w:p w14:paraId="63531F22" w14:textId="77777777" w:rsidR="00AF4FA5" w:rsidRPr="007D3D51" w:rsidRDefault="00000000" w:rsidP="00FA059E">
      <w:pPr>
        <w:pStyle w:val="BodyText"/>
        <w:jc w:val="both"/>
        <w:rPr>
          <w:rFonts w:ascii="Times New Roman" w:hAnsi="Times New Roman" w:cs="Times New Roman"/>
        </w:rPr>
      </w:pPr>
      <m:oMathPara>
        <m:oMathParaPr>
          <m:jc m:val="center"/>
        </m:oMathParaPr>
        <m:oMath>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r>
                <m:rPr>
                  <m:scr m:val="script"/>
                  <m:sty m:val="p"/>
                </m:rPr>
                <w:rPr>
                  <w:rFonts w:ascii="Cambria Math" w:hAnsi="Cambria Math" w:cs="Times New Roman"/>
                </w:rPr>
                <m:t>|C|</m:t>
              </m:r>
            </m:sup>
            <m:e>
              <m:r>
                <m:rPr>
                  <m:scr m:val="double-struck"/>
                  <m:sty m:val="p"/>
                </m:rPr>
                <w:rPr>
                  <w:rFonts w:ascii="Cambria Math" w:hAnsi="Cambria Math" w:cs="Times New Roman"/>
                </w:rPr>
                <m:t>I</m:t>
              </m:r>
            </m:e>
          </m:nary>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k</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cr m:val="double-struck"/>
              <m:sty m:val="p"/>
            </m:rPr>
            <w:rPr>
              <w:rFonts w:ascii="Cambria Math" w:hAnsi="Cambria Math" w:cs="Times New Roman"/>
            </w:rPr>
            <m:t>)⋅I(</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m:t>
              </m:r>
            </m:sub>
          </m:sSub>
          <m:r>
            <m:rPr>
              <m:sty m:val="p"/>
            </m:rPr>
            <w:rPr>
              <w:rFonts w:ascii="Cambria Math" w:hAnsi="Cambria Math" w:cs="Times New Roman"/>
            </w:rPr>
            <m:t>)≥</m:t>
          </m:r>
          <m:r>
            <w:rPr>
              <w:rFonts w:ascii="Cambria Math" w:hAnsi="Cambria Math" w:cs="Times New Roman"/>
            </w:rPr>
            <m:t>1 </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k</m:t>
              </m:r>
            </m:sub>
          </m:sSub>
          <m:r>
            <m:rPr>
              <m:scr m:val="script"/>
              <m:sty m:val="p"/>
            </m:rPr>
            <w:rPr>
              <w:rFonts w:ascii="Cambria Math" w:hAnsi="Cambria Math" w:cs="Times New Roman"/>
            </w:rPr>
            <m:t>∈S,</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m:t>
              </m:r>
            </m:sub>
          </m:sSub>
          <m:r>
            <m:rPr>
              <m:scr m:val="script"/>
              <m:sty m:val="p"/>
            </m:rPr>
            <w:rPr>
              <w:rFonts w:ascii="Cambria Math" w:hAnsi="Cambria Math" w:cs="Times New Roman"/>
            </w:rPr>
            <m:t>∈T</m:t>
          </m:r>
          <m:r>
            <w:rPr>
              <w:rFonts w:ascii="Cambria Math" w:hAnsi="Cambria Math" w:cs="Times New Roman"/>
            </w:rPr>
            <m:t>    </m:t>
          </m:r>
          <m:r>
            <m:rPr>
              <m:nor/>
            </m:rPr>
            <w:rPr>
              <w:rFonts w:ascii="Times New Roman" w:hAnsi="Times New Roman" w:cs="Times New Roman"/>
            </w:rPr>
            <m:t xml:space="preserve"> (2)</m:t>
          </m:r>
        </m:oMath>
      </m:oMathPara>
    </w:p>
    <w:p w14:paraId="06DE4D79"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with </w:t>
      </w:r>
      <m:oMath>
        <m:r>
          <m:rPr>
            <m:scr m:val="double-struck"/>
            <m:sty m:val="p"/>
          </m:rPr>
          <w:rPr>
            <w:rFonts w:ascii="Cambria Math" w:hAnsi="Cambria Math" w:cs="Times New Roman"/>
          </w:rPr>
          <m:t>I</m:t>
        </m:r>
      </m:oMath>
      <w:r w:rsidRPr="007D3D51">
        <w:rPr>
          <w:rFonts w:ascii="Times New Roman" w:hAnsi="Times New Roman" w:cs="Times New Roman"/>
        </w:rPr>
        <w:t xml:space="preserve"> as the indicator function enforcing skill-time compatibility. The patient record update mechanism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update</m:t>
            </m:r>
          </m:sub>
        </m:sSub>
        <m:r>
          <m:rPr>
            <m:scr m:val="script"/>
            <m:sty m:val="p"/>
          </m:rPr>
          <w:rPr>
            <w:rFonts w:ascii="Cambria Math" w:hAnsi="Cambria Math" w:cs="Times New Roman"/>
          </w:rPr>
          <m:t>:R×D→</m:t>
        </m:r>
        <m:sSup>
          <m:sSupPr>
            <m:ctrlPr>
              <w:rPr>
                <w:rFonts w:ascii="Cambria Math" w:hAnsi="Cambria Math" w:cs="Times New Roman"/>
              </w:rPr>
            </m:ctrlPr>
          </m:sSupPr>
          <m:e>
            <m:r>
              <m:rPr>
                <m:scr m:val="script"/>
                <m:sty m:val="p"/>
              </m:rPr>
              <w:rPr>
                <w:rFonts w:ascii="Cambria Math" w:hAnsi="Cambria Math" w:cs="Times New Roman"/>
              </w:rPr>
              <m:t>R</m:t>
            </m:r>
          </m:e>
          <m:sup>
            <m:r>
              <m:rPr>
                <m:sty m:val="p"/>
              </m:rPr>
              <w:rPr>
                <w:rFonts w:ascii="Cambria Math" w:hAnsi="Cambria Math" w:cs="Times New Roman"/>
              </w:rPr>
              <m:t>'</m:t>
            </m:r>
          </m:sup>
        </m:sSup>
      </m:oMath>
      <w:r w:rsidRPr="007D3D51">
        <w:rPr>
          <w:rFonts w:ascii="Times New Roman" w:hAnsi="Times New Roman" w:cs="Times New Roman"/>
        </w:rPr>
        <w:t xml:space="preserve"> operates as:</w:t>
      </w:r>
    </w:p>
    <w:p w14:paraId="194EC093" w14:textId="77777777" w:rsidR="00AF4FA5" w:rsidRPr="007D3D51" w:rsidRDefault="00000000" w:rsidP="00FA059E">
      <w:pPr>
        <w:pStyle w:val="BodyText"/>
        <w:jc w:val="both"/>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p>
          </m:sSubSup>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t</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(3)</m:t>
          </m:r>
        </m:oMath>
      </m:oMathPara>
    </w:p>
    <w:p w14:paraId="7D3E81EB"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where </w:t>
      </w:r>
      <m:oMath>
        <m:r>
          <m:rPr>
            <m:sty m:val="p"/>
          </m:rPr>
          <w:rPr>
            <w:rFonts w:ascii="Cambria Math" w:hAnsi="Cambria Math" w:cs="Times New Roman"/>
          </w:rPr>
          <m:t>⊕</m:t>
        </m:r>
      </m:oMath>
      <w:r w:rsidRPr="007D3D51">
        <w:rPr>
          <w:rFonts w:ascii="Times New Roman" w:hAnsi="Times New Roman" w:cs="Times New Roman"/>
        </w:rPr>
        <w:t xml:space="preserve"> denotes secure data merging and </w:t>
      </w:r>
      <m:oMath>
        <m:r>
          <w:rPr>
            <w:rFonts w:ascii="Cambria Math" w:hAnsi="Cambria Math" w:cs="Times New Roman"/>
          </w:rPr>
          <m:t>σ</m:t>
        </m:r>
      </m:oMath>
      <w:r w:rsidRPr="007D3D51">
        <w:rPr>
          <w:rFonts w:ascii="Times New Roman" w:hAnsi="Times New Roman" w:cs="Times New Roman"/>
        </w:rPr>
        <w:t xml:space="preserve"> applies cryptographic hashing </w:t>
      </w:r>
      <w:hyperlink r:id="rId21">
        <w:r w:rsidRPr="007D3D51">
          <w:rPr>
            <w:rStyle w:val="Hyperlink"/>
            <w:rFonts w:ascii="Times New Roman" w:hAnsi="Times New Roman" w:cs="Times New Roman"/>
            <w:color w:val="auto"/>
          </w:rPr>
          <w:t>[6]</w:t>
        </w:r>
      </w:hyperlink>
      <w:r w:rsidRPr="007D3D51">
        <w:rPr>
          <w:rFonts w:ascii="Times New Roman" w:hAnsi="Times New Roman" w:cs="Times New Roman"/>
        </w:rPr>
        <w:t>.</w:t>
      </w:r>
    </w:p>
    <w:p w14:paraId="620B0F40" w14:textId="77777777" w:rsidR="00AF4FA5" w:rsidRPr="0018688C" w:rsidRDefault="00000000" w:rsidP="00FA059E">
      <w:pPr>
        <w:pStyle w:val="Heading4"/>
        <w:jc w:val="both"/>
        <w:rPr>
          <w:rFonts w:ascii="Times New Roman" w:hAnsi="Times New Roman" w:cs="Times New Roman"/>
          <w:b/>
          <w:bCs/>
          <w:color w:val="auto"/>
        </w:rPr>
      </w:pPr>
      <w:bookmarkStart w:id="9" w:name="real-time-synchronization-mechanism"/>
      <w:bookmarkEnd w:id="8"/>
      <w:r w:rsidRPr="0018688C">
        <w:rPr>
          <w:rFonts w:ascii="Times New Roman" w:hAnsi="Times New Roman" w:cs="Times New Roman"/>
          <w:b/>
          <w:bCs/>
          <w:color w:val="auto"/>
        </w:rPr>
        <w:t>3.2 Real-Time Synchronization Mechanism</w:t>
      </w:r>
    </w:p>
    <w:p w14:paraId="15E49208" w14:textId="77777777" w:rsidR="007D3D51" w:rsidRDefault="00000000" w:rsidP="007D3D51">
      <w:pPr>
        <w:pStyle w:val="FirstParagraph"/>
        <w:jc w:val="both"/>
        <w:rPr>
          <w:rFonts w:ascii="Times New Roman" w:hAnsi="Times New Roman" w:cs="Times New Roman"/>
        </w:rPr>
      </w:pPr>
      <w:r w:rsidRPr="007D3D51">
        <w:rPr>
          <w:rFonts w:ascii="Times New Roman" w:hAnsi="Times New Roman" w:cs="Times New Roman"/>
        </w:rPr>
        <w:t xml:space="preserve">The synchronization engine maintains consistency across distributed platform components through a publish-subscribe model with version vectors. Let </w:t>
      </w:r>
      <m:oMath>
        <m:r>
          <m:rPr>
            <m:scr m:val="script"/>
            <m:sty m:val="p"/>
          </m:rP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r>
          <m:rPr>
            <m:sty m:val="p"/>
          </m:rPr>
          <w:rPr>
            <w:rFonts w:ascii="Cambria Math" w:hAnsi="Cambria Math" w:cs="Times New Roman"/>
          </w:rPr>
          <m:t>}</m:t>
        </m:r>
      </m:oMath>
      <w:r w:rsidRPr="007D3D51">
        <w:rPr>
          <w:rFonts w:ascii="Times New Roman" w:hAnsi="Times New Roman" w:cs="Times New Roman"/>
        </w:rPr>
        <w:t xml:space="preserve"> represent the network nodes (client apps, databases, admin consoles), each maintaining a state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Pr="007D3D51">
        <w:rPr>
          <w:rFonts w:ascii="Times New Roman" w:hAnsi="Times New Roman" w:cs="Times New Roman"/>
        </w:rPr>
        <w:t xml:space="preserve"> and version vector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n</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N</m:t>
            </m:r>
          </m:e>
          <m:sup>
            <m:r>
              <w:rPr>
                <w:rFonts w:ascii="Cambria Math" w:hAnsi="Cambria Math" w:cs="Times New Roman"/>
              </w:rPr>
              <m:t>k</m:t>
            </m:r>
          </m:sup>
        </m:sSup>
      </m:oMath>
      <w:r w:rsidRPr="007D3D51">
        <w:rPr>
          <w:rFonts w:ascii="Times New Roman" w:hAnsi="Times New Roman" w:cs="Times New Roman"/>
        </w:rPr>
        <w:t xml:space="preserve">. When node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oMath>
      <w:r w:rsidRPr="007D3D51">
        <w:rPr>
          <w:rFonts w:ascii="Times New Roman" w:hAnsi="Times New Roman" w:cs="Times New Roman"/>
        </w:rPr>
        <w:t xml:space="preserve"> generates update </w:t>
      </w:r>
      <m:oMath>
        <m:r>
          <w:rPr>
            <w:rFonts w:ascii="Cambria Math" w:hAnsi="Cambria Math" w:cs="Times New Roman"/>
          </w:rPr>
          <m:t>u</m:t>
        </m:r>
      </m:oMath>
      <w:r w:rsidRPr="007D3D51">
        <w:rPr>
          <w:rFonts w:ascii="Times New Roman" w:hAnsi="Times New Roman" w:cs="Times New Roman"/>
        </w:rPr>
        <w:t xml:space="preserve">, it increments its vector component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oMath>
      <w:r w:rsidRPr="007D3D51">
        <w:rPr>
          <w:rFonts w:ascii="Times New Roman" w:hAnsi="Times New Roman" w:cs="Times New Roman"/>
        </w:rPr>
        <w:t xml:space="preserve"> and broadcasts </w:t>
      </w:r>
      <m:oMath>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n</m:t>
            </m:r>
          </m:sub>
        </m:sSub>
        <m:r>
          <m:rPr>
            <m:sty m:val="p"/>
          </m:rPr>
          <w:rPr>
            <w:rFonts w:ascii="Cambria Math" w:hAnsi="Cambria Math" w:cs="Times New Roman"/>
          </w:rPr>
          <m:t>⟩</m:t>
        </m:r>
      </m:oMath>
      <w:r w:rsidRPr="007D3D51">
        <w:rPr>
          <w:rFonts w:ascii="Times New Roman" w:hAnsi="Times New Roman" w:cs="Times New Roman"/>
        </w:rPr>
        <w:t>.</w:t>
      </w:r>
    </w:p>
    <w:p w14:paraId="21DDDD0F" w14:textId="7CC30A4E" w:rsidR="00AF4FA5" w:rsidRPr="007D3D51" w:rsidRDefault="00000000" w:rsidP="007D3D51">
      <w:pPr>
        <w:pStyle w:val="FirstParagraph"/>
        <w:jc w:val="both"/>
        <w:rPr>
          <w:rFonts w:ascii="Times New Roman" w:hAnsi="Times New Roman" w:cs="Times New Roman"/>
        </w:rPr>
      </w:pPr>
      <w:r w:rsidRPr="007D3D51">
        <w:rPr>
          <w:rFonts w:ascii="Times New Roman" w:hAnsi="Times New Roman" w:cs="Times New Roman"/>
        </w:rPr>
        <w:t xml:space="preserve">A node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j</m:t>
            </m:r>
          </m:sub>
        </m:sSub>
      </m:oMath>
      <w:r w:rsidRPr="007D3D51">
        <w:rPr>
          <w:rFonts w:ascii="Times New Roman" w:hAnsi="Times New Roman" w:cs="Times New Roman"/>
        </w:rPr>
        <w:t xml:space="preserve"> accepts update </w:t>
      </w:r>
      <m:oMath>
        <m:r>
          <w:rPr>
            <w:rFonts w:ascii="Cambria Math" w:hAnsi="Cambria Math" w:cs="Times New Roman"/>
          </w:rPr>
          <m:t>u</m:t>
        </m:r>
      </m:oMath>
      <w:r w:rsidRPr="007D3D51">
        <w:rPr>
          <w:rFonts w:ascii="Times New Roman" w:hAnsi="Times New Roman" w:cs="Times New Roman"/>
        </w:rPr>
        <w:t xml:space="preserve"> from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oMath>
      <w:r w:rsidRPr="007D3D51">
        <w:rPr>
          <w:rFonts w:ascii="Times New Roman" w:hAnsi="Times New Roman" w:cs="Times New Roman"/>
        </w:rPr>
        <w:t xml:space="preserve"> </w:t>
      </w:r>
      <w:proofErr w:type="spellStart"/>
      <w:r w:rsidRPr="007D3D51">
        <w:rPr>
          <w:rFonts w:ascii="Times New Roman" w:hAnsi="Times New Roman" w:cs="Times New Roman"/>
        </w:rPr>
        <w:t>iff</w:t>
      </w:r>
      <w:proofErr w:type="spellEnd"/>
      <w:r w:rsidRPr="007D3D51">
        <w:rPr>
          <w:rFonts w:ascii="Times New Roman" w:hAnsi="Times New Roman" w:cs="Times New Roman"/>
        </w:rPr>
        <w:t>:</w:t>
      </w:r>
    </w:p>
    <w:p w14:paraId="57763C13" w14:textId="77777777" w:rsidR="00AF4FA5" w:rsidRPr="007D3D51" w:rsidRDefault="00000000" w:rsidP="00FA059E">
      <w:pPr>
        <w:pStyle w:val="BodyText"/>
        <w:jc w:val="both"/>
        <w:rPr>
          <w:rFonts w:ascii="Times New Roman" w:hAnsi="Times New Roman" w:cs="Times New Roman"/>
        </w:rPr>
      </w:pPr>
      <m:oMathPara>
        <m:oMathParaPr>
          <m:jc m:val="center"/>
        </m:oMathParaPr>
        <m:oMath>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recv</m:t>
              </m:r>
            </m:sub>
          </m:sSub>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local</m:t>
              </m:r>
            </m:sub>
          </m:sSub>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recv</m:t>
              </m:r>
            </m:sub>
          </m:sSub>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local</m:t>
              </m:r>
            </m:sub>
          </m:sSub>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1    </m:t>
          </m:r>
          <m:r>
            <m:rPr>
              <m:nor/>
            </m:rPr>
            <w:rPr>
              <w:rFonts w:ascii="Times New Roman" w:hAnsi="Times New Roman" w:cs="Times New Roman"/>
            </w:rPr>
            <m:t xml:space="preserve"> (4)</m:t>
          </m:r>
        </m:oMath>
      </m:oMathPara>
    </w:p>
    <w:p w14:paraId="6DEB8482"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br/>
        <w:t xml:space="preserve">where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recv</m:t>
            </m:r>
          </m:sub>
        </m:sSub>
      </m:oMath>
      <w:r w:rsidRPr="007D3D51">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local</m:t>
            </m:r>
          </m:sub>
        </m:sSub>
      </m:oMath>
      <w:r w:rsidRPr="007D3D51">
        <w:rPr>
          <w:rFonts w:ascii="Times New Roman" w:hAnsi="Times New Roman" w:cs="Times New Roman"/>
        </w:rPr>
        <w:t xml:space="preserve"> denote received and local vectors. This ensures causal ordering while permitting concurrent updates to disjoint data partitions.</w:t>
      </w:r>
    </w:p>
    <w:p w14:paraId="7F4766BC" w14:textId="144BDAD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The synchronization protocol handles medical record conflicts through operational transformation. For concurrent updates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a</m:t>
            </m:r>
          </m:sub>
        </m:sSub>
      </m:oMath>
      <w:r w:rsidRPr="007D3D51">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b</m:t>
            </m:r>
          </m:sub>
        </m:sSub>
      </m:oMath>
      <w:r w:rsidRPr="007D3D51">
        <w:rPr>
          <w:rFonts w:ascii="Times New Roman" w:hAnsi="Times New Roman" w:cs="Times New Roman"/>
        </w:rPr>
        <w:t xml:space="preserve"> to record </w:t>
      </w:r>
      <m:oMath>
        <m:r>
          <w:rPr>
            <w:rFonts w:ascii="Cambria Math" w:hAnsi="Cambria Math" w:cs="Times New Roman"/>
          </w:rPr>
          <m:t>r</m:t>
        </m:r>
      </m:oMath>
      <w:r w:rsidRPr="007D3D51">
        <w:rPr>
          <w:rFonts w:ascii="Times New Roman" w:hAnsi="Times New Roman" w:cs="Times New Roman"/>
        </w:rPr>
        <w:t xml:space="preserve">, the system applies commutative transformations </w:t>
      </w:r>
      <m:oMath>
        <m:r>
          <w:rPr>
            <w:rFonts w:ascii="Cambria Math" w:hAnsi="Cambria Math" w:cs="Times New Roman"/>
          </w:rPr>
          <m:t>T</m:t>
        </m:r>
      </m:oMath>
      <w:r w:rsidRPr="007D3D51">
        <w:rPr>
          <w:rFonts w:ascii="Times New Roman" w:hAnsi="Times New Roman" w:cs="Times New Roman"/>
        </w:rPr>
        <w:t xml:space="preserve"> such</w:t>
      </w:r>
      <w:r w:rsidR="007D3D51">
        <w:rPr>
          <w:rFonts w:ascii="Times New Roman" w:hAnsi="Times New Roman" w:cs="Times New Roman"/>
        </w:rPr>
        <w:t xml:space="preserve"> </w:t>
      </w:r>
      <w:r w:rsidRPr="007D3D51">
        <w:rPr>
          <w:rFonts w:ascii="Times New Roman" w:hAnsi="Times New Roman" w:cs="Times New Roman"/>
        </w:rPr>
        <w:t>that:</w:t>
      </w:r>
    </w:p>
    <w:p w14:paraId="713D2FB5" w14:textId="77777777" w:rsidR="00AF4FA5" w:rsidRPr="007D3D51" w:rsidRDefault="00000000" w:rsidP="00FA059E">
      <w:pPr>
        <w:pStyle w:val="BodyText"/>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b</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a</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b</m:t>
              </m:r>
            </m:sub>
          </m:sSub>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(5)</m:t>
          </m:r>
        </m:oMath>
      </m:oMathPara>
    </w:p>
    <w:p w14:paraId="535C24DE"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br/>
        <w:t xml:space="preserve">This property is guaranteed for all primitive operations (insert, delete, annotate) through position-preserving algorithms adapted from </w:t>
      </w:r>
      <w:hyperlink r:id="rId22">
        <w:r w:rsidRPr="007D3D51">
          <w:rPr>
            <w:rStyle w:val="Hyperlink"/>
            <w:rFonts w:ascii="Times New Roman" w:hAnsi="Times New Roman" w:cs="Times New Roman"/>
            <w:color w:val="auto"/>
          </w:rPr>
          <w:t>[14]</w:t>
        </w:r>
      </w:hyperlink>
      <w:r w:rsidRPr="007D3D51">
        <w:rPr>
          <w:rFonts w:ascii="Times New Roman" w:hAnsi="Times New Roman" w:cs="Times New Roman"/>
        </w:rPr>
        <w:t>.</w:t>
      </w:r>
    </w:p>
    <w:p w14:paraId="10FF4B11" w14:textId="77777777" w:rsidR="00AF4FA5" w:rsidRPr="0018688C" w:rsidRDefault="00000000" w:rsidP="00FA059E">
      <w:pPr>
        <w:pStyle w:val="Heading4"/>
        <w:jc w:val="both"/>
        <w:rPr>
          <w:rFonts w:ascii="Times New Roman" w:hAnsi="Times New Roman" w:cs="Times New Roman"/>
          <w:b/>
          <w:bCs/>
          <w:color w:val="auto"/>
        </w:rPr>
      </w:pPr>
      <w:bookmarkStart w:id="10" w:name="X939ea12d4efd49b394fa85431e8b7f2d4deca48"/>
      <w:bookmarkEnd w:id="9"/>
      <w:r w:rsidRPr="0018688C">
        <w:rPr>
          <w:rFonts w:ascii="Times New Roman" w:hAnsi="Times New Roman" w:cs="Times New Roman"/>
          <w:b/>
          <w:bCs/>
          <w:color w:val="auto"/>
        </w:rPr>
        <w:lastRenderedPageBreak/>
        <w:t>3.3 Automated Matching and Scheduling Algorithm</w:t>
      </w:r>
    </w:p>
    <w:p w14:paraId="2CEF8CAA"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The caregiver-patient matching process employs a constraint satisfaction formulation where each assignment must satisfy temporal, skill, and proximity requirements. Let </w:t>
      </w:r>
      <m:oMath>
        <m:r>
          <m:rPr>
            <m:scr m:val="script"/>
            <m:sty m:val="p"/>
          </m:rPr>
          <w:rPr>
            <w:rFonts w:ascii="Cambria Math" w:hAnsi="Cambria Math" w:cs="Times New Roman"/>
          </w:rPr>
          <m:t>M⊆C×P</m:t>
        </m:r>
      </m:oMath>
      <w:r w:rsidRPr="007D3D51">
        <w:rPr>
          <w:rFonts w:ascii="Times New Roman" w:hAnsi="Times New Roman" w:cs="Times New Roman"/>
        </w:rPr>
        <w:t xml:space="preserve"> denote the set of valid matches, determined by the feasibility function:</w:t>
      </w:r>
    </w:p>
    <w:p w14:paraId="7CF42627" w14:textId="77777777" w:rsidR="00AF4FA5" w:rsidRPr="007D3D51" w:rsidRDefault="00000000" w:rsidP="00FA059E">
      <w:pPr>
        <w:pStyle w:val="BodyText"/>
        <w:jc w:val="both"/>
        <w:rPr>
          <w:rFonts w:ascii="Times New Roman" w:hAnsi="Times New Roman" w:cs="Times New Roman"/>
        </w:rPr>
      </w:pPr>
      <m:oMathPara>
        <m:oMathParaPr>
          <m:jc m:val="center"/>
        </m:oMathParaPr>
        <m:oMath>
          <m:r>
            <w:rPr>
              <w:rFonts w:ascii="Cambria Math" w:hAnsi="Cambria Math" w:cs="Times New Roman"/>
            </w:rPr>
            <m:t>ϕ</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cr m:val="double-struck"/>
              <m:sty m:val="p"/>
            </m:rPr>
            <w:rPr>
              <w:rFonts w:ascii="Cambria Math" w:hAnsi="Cambria Math" w:cs="Times New Roman"/>
            </w:rPr>
            <m:t>)=I(</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k</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cr m:val="double-struck"/>
              <m:sty m:val="p"/>
            </m:rPr>
            <w:rPr>
              <w:rFonts w:ascii="Cambria Math" w:hAnsi="Cambria Math" w:cs="Times New Roman"/>
            </w:rPr>
            <m:t>)⋅I(</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δ</m:t>
          </m:r>
          <m:r>
            <m:rPr>
              <m:scr m:val="double-struck"/>
              <m:sty m:val="p"/>
            </m:rPr>
            <w:rPr>
              <w:rFonts w:ascii="Cambria Math" w:hAnsi="Cambria Math" w:cs="Times New Roman"/>
            </w:rPr>
            <m:t>)⋅I(</m:t>
          </m:r>
          <m:r>
            <w:rPr>
              <w:rFonts w:ascii="Cambria Math" w:hAnsi="Cambria Math" w:cs="Times New Roman"/>
            </w:rPr>
            <m:t>τ</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(6)</m:t>
          </m:r>
        </m:oMath>
      </m:oMathPara>
    </w:p>
    <w:p w14:paraId="3D68A28D"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ij</m:t>
            </m:r>
          </m:sub>
        </m:sSub>
      </m:oMath>
      <w:r w:rsidRPr="007D3D51">
        <w:rPr>
          <w:rFonts w:ascii="Times New Roman" w:hAnsi="Times New Roman" w:cs="Times New Roman"/>
        </w:rPr>
        <w:t xml:space="preserve"> represents the Euclidean distance between caregiver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oMath>
      <w:r w:rsidRPr="007D3D51">
        <w:rPr>
          <w:rFonts w:ascii="Times New Roman" w:hAnsi="Times New Roman" w:cs="Times New Roman"/>
        </w:rPr>
        <w:t xml:space="preserve"> and patient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oMath>
      <w:r w:rsidRPr="007D3D51">
        <w:rPr>
          <w:rFonts w:ascii="Times New Roman" w:hAnsi="Times New Roman" w:cs="Times New Roman"/>
        </w:rPr>
        <w:t xml:space="preserve">, and </w:t>
      </w:r>
      <m:oMath>
        <m:r>
          <w:rPr>
            <w:rFonts w:ascii="Cambria Math" w:hAnsi="Cambria Math" w:cs="Times New Roman"/>
          </w:rPr>
          <m:t>δ</m:t>
        </m:r>
      </m:oMath>
      <w:r w:rsidRPr="007D3D51">
        <w:rPr>
          <w:rFonts w:ascii="Times New Roman" w:hAnsi="Times New Roman" w:cs="Times New Roman"/>
        </w:rPr>
        <w:t xml:space="preserve"> is the maximum allowable service radius. The indicator functions enforce skill compatibility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k</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ty m:val="p"/>
          </m:rPr>
          <w:rPr>
            <w:rFonts w:ascii="Cambria Math" w:hAnsi="Cambria Math" w:cs="Times New Roman"/>
          </w:rPr>
          <m:t>)</m:t>
        </m:r>
      </m:oMath>
      <w:r w:rsidRPr="007D3D51">
        <w:rPr>
          <w:rFonts w:ascii="Times New Roman" w:hAnsi="Times New Roman" w:cs="Times New Roman"/>
        </w:rPr>
        <w:t xml:space="preserve">, geographic proximity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δ</m:t>
        </m:r>
        <m:r>
          <m:rPr>
            <m:sty m:val="p"/>
          </m:rPr>
          <w:rPr>
            <w:rFonts w:ascii="Cambria Math" w:hAnsi="Cambria Math" w:cs="Times New Roman"/>
          </w:rPr>
          <m:t>)</m:t>
        </m:r>
      </m:oMath>
      <w:r w:rsidRPr="007D3D51">
        <w:rPr>
          <w:rFonts w:ascii="Times New Roman" w:hAnsi="Times New Roman" w:cs="Times New Roman"/>
        </w:rPr>
        <w:t xml:space="preserve">, and temporal availability overlap </w:t>
      </w:r>
      <m:oMath>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oMath>
      <w:r w:rsidRPr="007D3D51">
        <w:rPr>
          <w:rFonts w:ascii="Times New Roman" w:hAnsi="Times New Roman" w:cs="Times New Roman"/>
        </w:rPr>
        <w:t>.</w:t>
      </w:r>
    </w:p>
    <w:p w14:paraId="7230C2C7"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The scheduling algorithm optimizes assignments using a utility function that combines multiple factors:</w:t>
      </w:r>
    </w:p>
    <w:p w14:paraId="53AD380A"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w:t>
      </w:r>
      <w:proofErr w:type="gramStart"/>
      <w:r w:rsidRPr="007D3D51">
        <w:rPr>
          <w:rFonts w:ascii="Times New Roman" w:hAnsi="Times New Roman" w:cs="Times New Roman"/>
        </w:rPr>
        <w:t>U(</w:t>
      </w:r>
      <w:proofErr w:type="spellStart"/>
      <w:proofErr w:type="gramEnd"/>
      <w:r w:rsidRPr="007D3D51">
        <w:rPr>
          <w:rFonts w:ascii="Times New Roman" w:hAnsi="Times New Roman" w:cs="Times New Roman"/>
        </w:rPr>
        <w:t>c_j</w:t>
      </w:r>
      <w:proofErr w:type="spellEnd"/>
      <w:r w:rsidRPr="007D3D51">
        <w:rPr>
          <w:rFonts w:ascii="Times New Roman" w:hAnsi="Times New Roman" w:cs="Times New Roman"/>
        </w:rPr>
        <w:t xml:space="preserve">, </w:t>
      </w:r>
      <w:proofErr w:type="spellStart"/>
      <w:r w:rsidRPr="007D3D51">
        <w:rPr>
          <w:rFonts w:ascii="Times New Roman" w:hAnsi="Times New Roman" w:cs="Times New Roman"/>
        </w:rPr>
        <w:t>p_i</w:t>
      </w:r>
      <w:proofErr w:type="spellEnd"/>
      <w:r w:rsidRPr="007D3D51">
        <w:rPr>
          <w:rFonts w:ascii="Times New Roman" w:hAnsi="Times New Roman" w:cs="Times New Roman"/>
        </w:rPr>
        <w:t>) =  + (</w:t>
      </w:r>
      <w:proofErr w:type="spellStart"/>
      <w:r w:rsidRPr="007D3D51">
        <w:rPr>
          <w:rFonts w:ascii="Times New Roman" w:hAnsi="Times New Roman" w:cs="Times New Roman"/>
        </w:rPr>
        <w:t>s_k</w:t>
      </w:r>
      <w:proofErr w:type="spellEnd"/>
      <w:r w:rsidRPr="007D3D51">
        <w:rPr>
          <w:rFonts w:ascii="Times New Roman" w:hAnsi="Times New Roman" w:cs="Times New Roman"/>
        </w:rPr>
        <w:t xml:space="preserve">, </w:t>
      </w:r>
      <w:proofErr w:type="spellStart"/>
      <w:r w:rsidRPr="007D3D51">
        <w:rPr>
          <w:rFonts w:ascii="Times New Roman" w:hAnsi="Times New Roman" w:cs="Times New Roman"/>
        </w:rPr>
        <w:t>q_i</w:t>
      </w:r>
      <w:proofErr w:type="spellEnd"/>
      <w:r w:rsidRPr="007D3D51">
        <w:rPr>
          <w:rFonts w:ascii="Times New Roman" w:hAnsi="Times New Roman" w:cs="Times New Roman"/>
        </w:rPr>
        <w:t>) +      </w:t>
      </w:r>
    </w:p>
    <w:p w14:paraId="374BB944"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where </w:t>
      </w:r>
      <m:oMath>
        <m:r>
          <m:rPr>
            <m:nor/>
          </m:rPr>
          <w:rPr>
            <w:rFonts w:ascii="Times New Roman" w:hAnsi="Times New Roman" w:cs="Times New Roman"/>
          </w:rPr>
          <m:t>sim</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k</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r>
          <m:rPr>
            <m:sty m:val="p"/>
          </m:rPr>
          <w:rPr>
            <w:rFonts w:ascii="Cambria Math" w:hAnsi="Cambria Math" w:cs="Times New Roman"/>
          </w:rPr>
          <m:t>)</m:t>
        </m:r>
      </m:oMath>
      <w:r w:rsidRPr="007D3D51">
        <w:rPr>
          <w:rFonts w:ascii="Times New Roman" w:hAnsi="Times New Roman" w:cs="Times New Roman"/>
        </w:rPr>
        <w:t xml:space="preserve"> measures skill relevance between caregiver competencies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k</m:t>
            </m:r>
          </m:sub>
        </m:sSub>
      </m:oMath>
      <w:r w:rsidRPr="007D3D51">
        <w:rPr>
          <w:rFonts w:ascii="Times New Roman" w:hAnsi="Times New Roman" w:cs="Times New Roman"/>
        </w:rPr>
        <w:t xml:space="preserve"> and patient requirements </w:t>
      </w: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oMath>
      <w:r w:rsidRPr="007D3D51">
        <w:rPr>
          <w:rFonts w:ascii="Times New Roman" w:hAnsi="Times New Roman" w:cs="Times New Roman"/>
        </w:rPr>
        <w:t xml:space="preserve">, while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γ</m:t>
        </m:r>
      </m:oMath>
      <w:r w:rsidRPr="007D3D51">
        <w:rPr>
          <w:rFonts w:ascii="Times New Roman" w:hAnsi="Times New Roman" w:cs="Times New Roman"/>
        </w:rPr>
        <w:t xml:space="preserve"> are tunable weights. The algorithm solves the following optimization problem:</w:t>
      </w:r>
    </w:p>
    <w:p w14:paraId="6F0F332D" w14:textId="77777777" w:rsidR="00AF4FA5" w:rsidRPr="007D3D51" w:rsidRDefault="00000000" w:rsidP="00FA059E">
      <w:pPr>
        <w:pStyle w:val="BodyText"/>
        <w:jc w:val="both"/>
        <w:rPr>
          <w:rFonts w:ascii="Times New Roman" w:hAnsi="Times New Roman" w:cs="Times New Roman"/>
        </w:rPr>
      </w:pPr>
      <m:oMathPara>
        <m:oMathParaPr>
          <m:jc m:val="center"/>
        </m:oMathParaPr>
        <m:oMath>
          <m:r>
            <m:rPr>
              <m:sty m:val="p"/>
            </m:rPr>
            <w:rPr>
              <w:rFonts w:ascii="Cambria Math" w:hAnsi="Cambria Math" w:cs="Times New Roman"/>
            </w:rPr>
            <m:t>max</m:t>
          </m:r>
          <m:nary>
            <m:naryPr>
              <m:chr m:val="∑"/>
              <m:limLoc m:val="undOvr"/>
              <m:supHide m:val="1"/>
              <m:ctrlPr>
                <w:rPr>
                  <w:rFonts w:ascii="Cambria Math" w:hAnsi="Cambria Math" w:cs="Times New Roman"/>
                </w:rPr>
              </m:ctrlPr>
            </m:naryPr>
            <m: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cr m:val="script"/>
                  <m:sty m:val="p"/>
                </m:rPr>
                <w:rPr>
                  <w:rFonts w:ascii="Cambria Math" w:hAnsi="Cambria Math" w:cs="Times New Roman"/>
                </w:rPr>
                <m:t>)∈M</m:t>
              </m:r>
            </m:sub>
            <m:sup>
              <m:r>
                <w:rPr>
                  <w:rFonts w:ascii="Cambria Math" w:hAnsi="Cambria Math" w:cs="Times New Roman"/>
                </w:rPr>
                <m:t>​</m:t>
              </m:r>
            </m:sup>
            <m:e>
              <m:r>
                <w:rPr>
                  <w:rFonts w:ascii="Cambria Math" w:hAnsi="Cambria Math" w:cs="Times New Roman"/>
                </w:rPr>
                <m:t>U</m:t>
              </m:r>
            </m:e>
          </m:nary>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ji</m:t>
              </m:r>
            </m:sub>
          </m:sSub>
          <m:r>
            <w:rPr>
              <w:rFonts w:ascii="Cambria Math" w:hAnsi="Cambria Math" w:cs="Times New Roman"/>
            </w:rPr>
            <m:t> </m:t>
          </m:r>
          <m:r>
            <m:rPr>
              <m:nor/>
            </m:rPr>
            <w:rPr>
              <w:rFonts w:ascii="Times New Roman" w:hAnsi="Times New Roman" w:cs="Times New Roman"/>
            </w:rPr>
            <m:t>s.t.</m:t>
          </m:r>
          <m:r>
            <w:rPr>
              <w:rFonts w:ascii="Cambria Math" w:hAnsi="Cambria Math" w:cs="Times New Roman"/>
            </w:rPr>
            <m:t> </m:t>
          </m:r>
          <m:nary>
            <m:naryPr>
              <m:chr m:val="∑"/>
              <m:limLoc m:val="undOvr"/>
              <m:supHide m:val="1"/>
              <m:ctrlPr>
                <w:rPr>
                  <w:rFonts w:ascii="Cambria Math" w:hAnsi="Cambria Math" w:cs="Times New Roman"/>
                </w:rPr>
              </m:ctrlPr>
            </m:naryPr>
            <m:sub>
              <m:r>
                <w:rPr>
                  <w:rFonts w:ascii="Cambria Math" w:hAnsi="Cambria Math" w:cs="Times New Roman"/>
                </w:rPr>
                <m:t>j</m:t>
              </m:r>
            </m:sub>
            <m:sup>
              <m: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ji</m:t>
                  </m:r>
                </m:sub>
              </m:sSub>
            </m:e>
          </m:nary>
          <m:r>
            <m:rPr>
              <m:sty m:val="p"/>
            </m:rPr>
            <w:rPr>
              <w:rFonts w:ascii="Cambria Math" w:hAnsi="Cambria Math" w:cs="Times New Roman"/>
            </w:rPr>
            <m:t>≤</m:t>
          </m:r>
          <m:r>
            <w:rPr>
              <w:rFonts w:ascii="Cambria Math" w:hAnsi="Cambria Math" w:cs="Times New Roman"/>
            </w:rPr>
            <m:t>1 </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    </m:t>
          </m:r>
          <m:r>
            <m:rPr>
              <m:nor/>
            </m:rPr>
            <w:rPr>
              <w:rFonts w:ascii="Times New Roman" w:hAnsi="Times New Roman" w:cs="Times New Roman"/>
            </w:rPr>
            <m:t xml:space="preserve"> (8)</m:t>
          </m:r>
        </m:oMath>
      </m:oMathPara>
    </w:p>
    <w:p w14:paraId="352B3E82"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ji</m:t>
            </m:r>
          </m:sub>
        </m:sSub>
      </m:oMath>
      <w:r w:rsidRPr="007D3D51">
        <w:rPr>
          <w:rFonts w:ascii="Times New Roman" w:hAnsi="Times New Roman" w:cs="Times New Roman"/>
        </w:rPr>
        <w:t xml:space="preserve"> are binary decision variables indicating assignment. The constraints ensure each patient receives at most one caregiver per service window.</w:t>
      </w:r>
    </w:p>
    <w:p w14:paraId="5709D020" w14:textId="77777777" w:rsidR="00AF4FA5" w:rsidRPr="0018688C" w:rsidRDefault="00000000" w:rsidP="00FA059E">
      <w:pPr>
        <w:pStyle w:val="Heading4"/>
        <w:jc w:val="both"/>
        <w:rPr>
          <w:rFonts w:ascii="Times New Roman" w:hAnsi="Times New Roman" w:cs="Times New Roman"/>
          <w:b/>
          <w:bCs/>
          <w:color w:val="auto"/>
        </w:rPr>
      </w:pPr>
      <w:bookmarkStart w:id="11" w:name="end-to-end-web-based-workflow-design"/>
      <w:bookmarkEnd w:id="10"/>
      <w:r w:rsidRPr="0018688C">
        <w:rPr>
          <w:rFonts w:ascii="Times New Roman" w:hAnsi="Times New Roman" w:cs="Times New Roman"/>
          <w:b/>
          <w:bCs/>
          <w:color w:val="auto"/>
        </w:rPr>
        <w:t>3.4 End-to-End Web-Based Workflow Design</w:t>
      </w:r>
    </w:p>
    <w:p w14:paraId="2E823FBB"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The platform orchestrates home healthcare delivery through a sequence of interconnected operations that transform service requests into completed visits. The workflow begins when patient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oMath>
      <w:r w:rsidRPr="007D3D51">
        <w:rPr>
          <w:rFonts w:ascii="Times New Roman" w:hAnsi="Times New Roman" w:cs="Times New Roman"/>
        </w:rPr>
        <w:t xml:space="preserve"> submits a service request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q</m:t>
            </m:r>
          </m:sub>
        </m:sSub>
      </m:oMath>
      <w:r w:rsidRPr="007D3D51">
        <w:rPr>
          <w:rFonts w:ascii="Times New Roman" w:hAnsi="Times New Roman" w:cs="Times New Roman"/>
        </w:rPr>
        <w:t xml:space="preserve"> containing medical needs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n</m:t>
            </m:r>
          </m:sub>
        </m:sSub>
      </m:oMath>
      <w:r w:rsidRPr="007D3D51">
        <w:rPr>
          <w:rFonts w:ascii="Times New Roman" w:hAnsi="Times New Roman" w:cs="Times New Roman"/>
        </w:rPr>
        <w:t xml:space="preserve">, preferred time windows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w</m:t>
            </m:r>
          </m:sub>
        </m:sSub>
      </m:oMath>
      <w:r w:rsidRPr="007D3D51">
        <w:rPr>
          <w:rFonts w:ascii="Times New Roman" w:hAnsi="Times New Roman" w:cs="Times New Roman"/>
        </w:rPr>
        <w:t xml:space="preserve">, and location data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p</m:t>
            </m:r>
          </m:sub>
        </m:sSub>
      </m:oMath>
      <w:r w:rsidRPr="007D3D51">
        <w:rPr>
          <w:rFonts w:ascii="Times New Roman" w:hAnsi="Times New Roman" w:cs="Times New Roman"/>
        </w:rPr>
        <w:t xml:space="preserve">. The request processing function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process</m:t>
            </m:r>
          </m:sub>
        </m:sSub>
        <m:r>
          <m:rPr>
            <m:scr m:val="script"/>
            <m:sty m:val="p"/>
          </m:rPr>
          <w:rPr>
            <w:rFonts w:ascii="Cambria Math" w:hAnsi="Cambria Math" w:cs="Times New Roman"/>
          </w:rPr>
          <m:t>:R×M→A</m:t>
        </m:r>
      </m:oMath>
      <w:r w:rsidRPr="007D3D51">
        <w:rPr>
          <w:rFonts w:ascii="Times New Roman" w:hAnsi="Times New Roman" w:cs="Times New Roman"/>
        </w:rPr>
        <w:t xml:space="preserve"> generates an appointment candidate set:</w:t>
      </w:r>
    </w:p>
    <w:p w14:paraId="55D3B62F"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w:t>
      </w:r>
      <w:proofErr w:type="spellStart"/>
      <w:r w:rsidRPr="007D3D51">
        <w:rPr>
          <w:rFonts w:ascii="Times New Roman" w:hAnsi="Times New Roman" w:cs="Times New Roman"/>
        </w:rPr>
        <w:t>A_i</w:t>
      </w:r>
      <w:proofErr w:type="spellEnd"/>
      <w:r w:rsidRPr="007D3D51">
        <w:rPr>
          <w:rFonts w:ascii="Times New Roman" w:hAnsi="Times New Roman" w:cs="Times New Roman"/>
        </w:rPr>
        <w:t xml:space="preserve"> = </w:t>
      </w:r>
      <w:proofErr w:type="gramStart"/>
      <w:r w:rsidRPr="007D3D51">
        <w:rPr>
          <w:rFonts w:ascii="Times New Roman" w:hAnsi="Times New Roman" w:cs="Times New Roman"/>
        </w:rPr>
        <w:t xml:space="preserve">{ </w:t>
      </w:r>
      <w:proofErr w:type="spellStart"/>
      <w:r w:rsidRPr="007D3D51">
        <w:rPr>
          <w:rFonts w:ascii="Times New Roman" w:hAnsi="Times New Roman" w:cs="Times New Roman"/>
        </w:rPr>
        <w:t>a</w:t>
      </w:r>
      <w:proofErr w:type="gramEnd"/>
      <w:r w:rsidRPr="007D3D51">
        <w:rPr>
          <w:rFonts w:ascii="Times New Roman" w:hAnsi="Times New Roman" w:cs="Times New Roman"/>
        </w:rPr>
        <w:t>_j</w:t>
      </w:r>
      <w:proofErr w:type="spellEnd"/>
      <w:r w:rsidRPr="007D3D51">
        <w:rPr>
          <w:rFonts w:ascii="Times New Roman" w:hAnsi="Times New Roman" w:cs="Times New Roman"/>
        </w:rPr>
        <w:t xml:space="preserve"> | (</w:t>
      </w:r>
      <w:proofErr w:type="spellStart"/>
      <w:r w:rsidRPr="007D3D51">
        <w:rPr>
          <w:rFonts w:ascii="Times New Roman" w:hAnsi="Times New Roman" w:cs="Times New Roman"/>
        </w:rPr>
        <w:t>c_j</w:t>
      </w:r>
      <w:proofErr w:type="spellEnd"/>
      <w:r w:rsidRPr="007D3D51">
        <w:rPr>
          <w:rFonts w:ascii="Times New Roman" w:hAnsi="Times New Roman" w:cs="Times New Roman"/>
        </w:rPr>
        <w:t xml:space="preserve">, </w:t>
      </w:r>
      <w:proofErr w:type="spellStart"/>
      <w:r w:rsidRPr="007D3D51">
        <w:rPr>
          <w:rFonts w:ascii="Times New Roman" w:hAnsi="Times New Roman" w:cs="Times New Roman"/>
        </w:rPr>
        <w:t>p_i</w:t>
      </w:r>
      <w:proofErr w:type="spellEnd"/>
      <w:r w:rsidRPr="007D3D51">
        <w:rPr>
          <w:rFonts w:ascii="Times New Roman" w:hAnsi="Times New Roman" w:cs="Times New Roman"/>
        </w:rPr>
        <w:t>) (</w:t>
      </w:r>
      <w:proofErr w:type="spellStart"/>
      <w:r w:rsidRPr="007D3D51">
        <w:rPr>
          <w:rFonts w:ascii="Times New Roman" w:hAnsi="Times New Roman" w:cs="Times New Roman"/>
        </w:rPr>
        <w:t>m_n</w:t>
      </w:r>
      <w:proofErr w:type="spellEnd"/>
      <w:r w:rsidRPr="007D3D51">
        <w:rPr>
          <w:rFonts w:ascii="Times New Roman" w:hAnsi="Times New Roman" w:cs="Times New Roman"/>
        </w:rPr>
        <w:t xml:space="preserve">, </w:t>
      </w:r>
      <w:proofErr w:type="spellStart"/>
      <w:r w:rsidRPr="007D3D51">
        <w:rPr>
          <w:rFonts w:ascii="Times New Roman" w:hAnsi="Times New Roman" w:cs="Times New Roman"/>
        </w:rPr>
        <w:t>s_k</w:t>
      </w:r>
      <w:proofErr w:type="spellEnd"/>
      <w:r w:rsidRPr="007D3D51">
        <w:rPr>
          <w:rFonts w:ascii="Times New Roman" w:hAnsi="Times New Roman" w:cs="Times New Roman"/>
        </w:rPr>
        <w:t>) }     </w:t>
      </w:r>
    </w:p>
    <w:p w14:paraId="36010D54"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where </w:t>
      </w:r>
      <m:oMath>
        <m:r>
          <w:rPr>
            <w:rFonts w:ascii="Cambria Math" w:hAnsi="Cambria Math" w:cs="Times New Roman"/>
          </w:rPr>
          <m:t>ψ</m:t>
        </m:r>
      </m:oMath>
      <w:r w:rsidRPr="007D3D51">
        <w:rPr>
          <w:rFonts w:ascii="Times New Roman" w:hAnsi="Times New Roman" w:cs="Times New Roman"/>
        </w:rPr>
        <w:t xml:space="preserve"> evaluates medical need-caregiver skill compatibility through ontology alignment with the healthcare service taxonomy </w:t>
      </w:r>
      <w:hyperlink r:id="rId23">
        <w:r w:rsidRPr="007D3D51">
          <w:rPr>
            <w:rStyle w:val="Hyperlink"/>
            <w:rFonts w:ascii="Times New Roman" w:hAnsi="Times New Roman" w:cs="Times New Roman"/>
            <w:color w:val="auto"/>
          </w:rPr>
          <w:t>[15]</w:t>
        </w:r>
      </w:hyperlink>
      <w:r w:rsidRPr="007D3D51">
        <w:rPr>
          <w:rFonts w:ascii="Times New Roman" w:hAnsi="Times New Roman" w:cs="Times New Roman"/>
        </w:rPr>
        <w:t>.</w:t>
      </w:r>
    </w:p>
    <w:p w14:paraId="61692AB4"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Upon appointment confirmation, the system instantiates a service tracking object </w:t>
      </w:r>
      <m:oMath>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s</m:t>
            </m:r>
          </m:sub>
        </m:sSub>
      </m:oMath>
      <w:r w:rsidRPr="007D3D51">
        <w:rPr>
          <w:rFonts w:ascii="Times New Roman" w:hAnsi="Times New Roman" w:cs="Times New Roman"/>
        </w:rPr>
        <w:t xml:space="preserve"> that monitors visit progression through state transitions:</w:t>
      </w:r>
    </w:p>
    <w:p w14:paraId="1A981768"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w:t>
      </w:r>
      <w:proofErr w:type="spellStart"/>
      <w:r w:rsidRPr="007D3D51">
        <w:rPr>
          <w:rFonts w:ascii="Times New Roman" w:hAnsi="Times New Roman" w:cs="Times New Roman"/>
        </w:rPr>
        <w:t>o_s</w:t>
      </w:r>
      <w:proofErr w:type="spellEnd"/>
      <w:r w:rsidRPr="007D3D51">
        <w:rPr>
          <w:rFonts w:ascii="Times New Roman" w:hAnsi="Times New Roman" w:cs="Times New Roman"/>
        </w:rPr>
        <w:t>:            </w:t>
      </w:r>
    </w:p>
    <w:p w14:paraId="57C6A65B"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Each transition triggers automated notifications to stakeholders and updates the real-time synchronization layer (Equation 4). The billing module computes service charges through a dynamic pricing function:</w:t>
      </w:r>
    </w:p>
    <w:p w14:paraId="7AE8C606"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w:t>
      </w:r>
      <w:proofErr w:type="spellStart"/>
      <w:r w:rsidRPr="007D3D51">
        <w:rPr>
          <w:rFonts w:ascii="Times New Roman" w:hAnsi="Times New Roman" w:cs="Times New Roman"/>
        </w:rPr>
        <w:t>b_i</w:t>
      </w:r>
      <w:proofErr w:type="spellEnd"/>
      <w:r w:rsidRPr="007D3D51">
        <w:rPr>
          <w:rFonts w:ascii="Times New Roman" w:hAnsi="Times New Roman" w:cs="Times New Roman"/>
        </w:rPr>
        <w:t xml:space="preserve"> = </w:t>
      </w:r>
      <w:r w:rsidRPr="007D3D51">
        <w:rPr>
          <w:rFonts w:ascii="Times New Roman" w:hAnsi="Times New Roman" w:cs="Times New Roman"/>
          <w:i/>
          <w:iCs/>
        </w:rPr>
        <w:t xml:space="preserve">b </w:t>
      </w:r>
      <w:proofErr w:type="spellStart"/>
      <w:r w:rsidRPr="007D3D51">
        <w:rPr>
          <w:rFonts w:ascii="Times New Roman" w:hAnsi="Times New Roman" w:cs="Times New Roman"/>
          <w:i/>
          <w:iCs/>
        </w:rPr>
        <w:t>t_s</w:t>
      </w:r>
      <w:proofErr w:type="spellEnd"/>
      <w:r w:rsidRPr="007D3D51">
        <w:rPr>
          <w:rFonts w:ascii="Times New Roman" w:hAnsi="Times New Roman" w:cs="Times New Roman"/>
          <w:i/>
          <w:iCs/>
        </w:rPr>
        <w:t xml:space="preserve"> + d d{</w:t>
      </w:r>
      <w:proofErr w:type="spellStart"/>
      <w:r w:rsidRPr="007D3D51">
        <w:rPr>
          <w:rFonts w:ascii="Times New Roman" w:hAnsi="Times New Roman" w:cs="Times New Roman"/>
          <w:i/>
          <w:iCs/>
        </w:rPr>
        <w:t>ij</w:t>
      </w:r>
      <w:proofErr w:type="spellEnd"/>
      <w:r w:rsidRPr="007D3D51">
        <w:rPr>
          <w:rFonts w:ascii="Times New Roman" w:hAnsi="Times New Roman" w:cs="Times New Roman"/>
          <w:i/>
          <w:iCs/>
        </w:rPr>
        <w:t xml:space="preserve">} + </w:t>
      </w:r>
      <w:r w:rsidRPr="007D3D51">
        <w:rPr>
          <w:rFonts w:ascii="Times New Roman" w:hAnsi="Times New Roman" w:cs="Times New Roman"/>
        </w:rPr>
        <w:t>{k=</w:t>
      </w:r>
      <w:proofErr w:type="gramStart"/>
      <w:r w:rsidRPr="007D3D51">
        <w:rPr>
          <w:rFonts w:ascii="Times New Roman" w:hAnsi="Times New Roman" w:cs="Times New Roman"/>
        </w:rPr>
        <w:t>1}^</w:t>
      </w:r>
      <w:proofErr w:type="gramEnd"/>
      <w:r w:rsidRPr="007D3D51">
        <w:rPr>
          <w:rFonts w:ascii="Times New Roman" w:hAnsi="Times New Roman" w:cs="Times New Roman"/>
        </w:rPr>
        <w:t>{K} _{</w:t>
      </w:r>
      <w:proofErr w:type="spellStart"/>
      <w:r w:rsidRPr="007D3D51">
        <w:rPr>
          <w:rFonts w:ascii="Times New Roman" w:hAnsi="Times New Roman" w:cs="Times New Roman"/>
        </w:rPr>
        <w:t>m_k</w:t>
      </w:r>
      <w:proofErr w:type="spellEnd"/>
      <w:r w:rsidRPr="007D3D51">
        <w:rPr>
          <w:rFonts w:ascii="Times New Roman" w:hAnsi="Times New Roman" w:cs="Times New Roman"/>
        </w:rPr>
        <w:t>} (</w:t>
      </w:r>
      <w:proofErr w:type="spellStart"/>
      <w:r w:rsidRPr="007D3D51">
        <w:rPr>
          <w:rFonts w:ascii="Times New Roman" w:hAnsi="Times New Roman" w:cs="Times New Roman"/>
        </w:rPr>
        <w:t>m_k</w:t>
      </w:r>
      <w:proofErr w:type="spellEnd"/>
      <w:r w:rsidRPr="007D3D51">
        <w:rPr>
          <w:rFonts w:ascii="Times New Roman" w:hAnsi="Times New Roman" w:cs="Times New Roman"/>
        </w:rPr>
        <w:t xml:space="preserve"> </w:t>
      </w:r>
      <w:proofErr w:type="spellStart"/>
      <w:r w:rsidRPr="007D3D51">
        <w:rPr>
          <w:rFonts w:ascii="Times New Roman" w:hAnsi="Times New Roman" w:cs="Times New Roman"/>
        </w:rPr>
        <w:t>r_q</w:t>
      </w:r>
      <w:proofErr w:type="spellEnd"/>
      <w:r w:rsidRPr="007D3D51">
        <w:rPr>
          <w:rFonts w:ascii="Times New Roman" w:hAnsi="Times New Roman" w:cs="Times New Roman"/>
        </w:rPr>
        <w:t>)     </w:t>
      </w:r>
    </w:p>
    <w:p w14:paraId="4F01D3A2"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where </w:t>
      </w:r>
      <m:oMath>
        <m:r>
          <w:rPr>
            <w:rFonts w:ascii="Cambria Math" w:hAnsi="Cambria Math" w:cs="Times New Roman"/>
          </w:rPr>
          <m:t>θ</m:t>
        </m:r>
      </m:oMath>
      <w:r w:rsidRPr="007D3D51">
        <w:rPr>
          <w:rFonts w:ascii="Times New Roman" w:hAnsi="Times New Roman" w:cs="Times New Roman"/>
        </w:rPr>
        <w:t xml:space="preserve"> terms represent base time, distance, and medical procedure cost coefficients respectively.</w:t>
      </w:r>
    </w:p>
    <w:p w14:paraId="1420C6A5" w14:textId="77777777" w:rsidR="00AF4FA5" w:rsidRPr="0018688C" w:rsidRDefault="00000000" w:rsidP="00FA059E">
      <w:pPr>
        <w:pStyle w:val="Heading4"/>
        <w:jc w:val="both"/>
        <w:rPr>
          <w:rFonts w:ascii="Times New Roman" w:hAnsi="Times New Roman" w:cs="Times New Roman"/>
          <w:b/>
          <w:bCs/>
          <w:color w:val="auto"/>
        </w:rPr>
      </w:pPr>
      <w:bookmarkStart w:id="12" w:name="data-safety-design-in-the-platform"/>
      <w:bookmarkEnd w:id="11"/>
      <w:r w:rsidRPr="0018688C">
        <w:rPr>
          <w:rFonts w:ascii="Times New Roman" w:hAnsi="Times New Roman" w:cs="Times New Roman"/>
          <w:b/>
          <w:bCs/>
          <w:color w:val="auto"/>
        </w:rPr>
        <w:lastRenderedPageBreak/>
        <w:t>3.5 Data Safety Design in the Platform</w:t>
      </w:r>
    </w:p>
    <w:p w14:paraId="487164C8"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The platform implements a multi-layered security architecture to protect sensitive healthcare data while maintaining system functionality. At the core lies a cryptographic framework where patient records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m:rPr>
            <m:scr m:val="script"/>
            <m:sty m:val="p"/>
          </m:rPr>
          <w:rPr>
            <w:rFonts w:ascii="Cambria Math" w:hAnsi="Cambria Math" w:cs="Times New Roman"/>
          </w:rPr>
          <m:t>∈R</m:t>
        </m:r>
      </m:oMath>
      <w:r w:rsidRPr="007D3D51">
        <w:rPr>
          <w:rFonts w:ascii="Times New Roman" w:hAnsi="Times New Roman" w:cs="Times New Roman"/>
        </w:rPr>
        <w:t xml:space="preserve"> undergo encryption before storage:</w:t>
      </w:r>
    </w:p>
    <w:p w14:paraId="41343961" w14:textId="77777777" w:rsidR="00AF4FA5" w:rsidRPr="007D3D51" w:rsidRDefault="00000000" w:rsidP="00FA059E">
      <w:pPr>
        <w:pStyle w:val="BodyText"/>
        <w:jc w:val="both"/>
        <w:rPr>
          <w:rFonts w:ascii="Times New Roman" w:hAnsi="Times New Roman" w:cs="Times New Roman"/>
        </w:rPr>
      </w:pPr>
      <m:oMathPara>
        <m:oMathParaPr>
          <m:jc m:val="center"/>
        </m:oMathParaPr>
        <m:oMath>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m:rPr>
              <m:sty m:val="p"/>
            </m:rPr>
            <w:rPr>
              <w:rFonts w:ascii="Cambria Math" w:hAnsi="Cambria Math" w:cs="Times New Roman"/>
            </w:rPr>
            <m:t>)=</m:t>
          </m:r>
          <m:r>
            <m:rPr>
              <m:nor/>
            </m:rPr>
            <w:rPr>
              <w:rFonts w:ascii="Times New Roman" w:hAnsi="Times New Roman" w:cs="Times New Roman"/>
            </w:rPr>
            <m:t>AES-256</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pat</m:t>
              </m:r>
            </m:sub>
          </m:sSub>
          <m:r>
            <m:rPr>
              <m:sty m:val="p"/>
            </m:rPr>
            <w:rPr>
              <w:rFonts w:ascii="Cambria Math" w:hAnsi="Cambria Math" w:cs="Times New Roman"/>
            </w:rPr>
            <m:t>,</m:t>
          </m:r>
          <m:r>
            <m:rPr>
              <m:nor/>
            </m:rPr>
            <w:rPr>
              <w:rFonts w:ascii="Times New Roman" w:hAnsi="Times New Roman" w:cs="Times New Roman"/>
            </w:rPr>
            <m:t>JSON</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(12)</m:t>
          </m:r>
        </m:oMath>
      </m:oMathPara>
    </w:p>
    <w:p w14:paraId="0B8A0739"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pat</m:t>
            </m:r>
          </m:sub>
        </m:sSub>
      </m:oMath>
      <w:r w:rsidRPr="007D3D51">
        <w:rPr>
          <w:rFonts w:ascii="Times New Roman" w:hAnsi="Times New Roman" w:cs="Times New Roman"/>
        </w:rPr>
        <w:t xml:space="preserve"> represents patient-specific encryption keys derived through PBKDF2 key stretching </w:t>
      </w:r>
      <w:hyperlink r:id="rId24" w:anchor="page=256">
        <w:r w:rsidRPr="007D3D51">
          <w:rPr>
            <w:rStyle w:val="Hyperlink"/>
            <w:rFonts w:ascii="Times New Roman" w:hAnsi="Times New Roman" w:cs="Times New Roman"/>
            <w:color w:val="auto"/>
          </w:rPr>
          <w:t>[16]</w:t>
        </w:r>
      </w:hyperlink>
      <w:r w:rsidRPr="007D3D51">
        <w:rPr>
          <w:rFonts w:ascii="Times New Roman" w:hAnsi="Times New Roman" w:cs="Times New Roman"/>
        </w:rPr>
        <w:t>, while JSON serialization preserves data structure. The encryption process satisfies the indistinguishability property:</w:t>
      </w:r>
    </w:p>
    <w:p w14:paraId="4943C609" w14:textId="77777777" w:rsidR="00AF4FA5" w:rsidRPr="007D3D51" w:rsidRDefault="00000000" w:rsidP="00FA059E">
      <w:pPr>
        <w:pStyle w:val="BodyText"/>
        <w:jc w:val="both"/>
        <w:rPr>
          <w:rFonts w:ascii="Times New Roman" w:hAnsi="Times New Roman" w:cs="Times New Roman"/>
        </w:rPr>
      </w:pPr>
      <m:oMathPara>
        <m:oMathParaPr>
          <m:jc m:val="center"/>
        </m:oMathParaPr>
        <m:oMath>
          <m:r>
            <m:rPr>
              <m:sty m:val="p"/>
            </m:rPr>
            <w:rPr>
              <w:rFonts w:ascii="Cambria Math" w:hAnsi="Cambria Math" w:cs="Times New Roman"/>
            </w:rPr>
            <m:t>Pr[</m:t>
          </m:r>
          <m:r>
            <m:rPr>
              <m:scr m:val="script"/>
              <m:sty m:val="p"/>
            </m:rPr>
            <w:rPr>
              <w:rFonts w:ascii="Cambria Math" w:hAnsi="Cambria Math" w:cs="Times New Roman"/>
            </w:rPr>
            <m:t>A(</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]-Pr[</m:t>
          </m:r>
          <m:r>
            <m:rPr>
              <m:scr m:val="script"/>
              <m:sty m:val="p"/>
            </m:rPr>
            <w:rPr>
              <w:rFonts w:ascii="Cambria Math" w:hAnsi="Cambria Math" w:cs="Times New Roman"/>
            </w:rPr>
            <m:t>A(</m:t>
          </m:r>
          <m: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m:rPr>
              <m:nor/>
            </m:rPr>
            <w:rPr>
              <w:rFonts w:ascii="Times New Roman" w:hAnsi="Times New Roman" w:cs="Times New Roman"/>
            </w:rPr>
            <m:t>negl</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(13)</m:t>
          </m:r>
        </m:oMath>
      </m:oMathPara>
    </w:p>
    <w:p w14:paraId="4811272D"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for any probabilistic polynomial-time adversary </w:t>
      </w:r>
      <m:oMath>
        <m:r>
          <m:rPr>
            <m:scr m:val="script"/>
            <m:sty m:val="p"/>
          </m:rPr>
          <w:rPr>
            <w:rFonts w:ascii="Cambria Math" w:hAnsi="Cambria Math" w:cs="Times New Roman"/>
          </w:rPr>
          <m:t>A</m:t>
        </m:r>
      </m:oMath>
      <w:r w:rsidRPr="007D3D51">
        <w:rPr>
          <w:rFonts w:ascii="Times New Roman" w:hAnsi="Times New Roman" w:cs="Times New Roman"/>
        </w:rPr>
        <w:t xml:space="preserve"> and security parameter </w:t>
      </w:r>
      <m:oMath>
        <m:r>
          <w:rPr>
            <w:rFonts w:ascii="Cambria Math" w:hAnsi="Cambria Math" w:cs="Times New Roman"/>
          </w:rPr>
          <m:t>λ</m:t>
        </m:r>
      </m:oMath>
      <w:r w:rsidRPr="007D3D51">
        <w:rPr>
          <w:rFonts w:ascii="Times New Roman" w:hAnsi="Times New Roman" w:cs="Times New Roman"/>
        </w:rPr>
        <w:t>, where negl denotes a negligible function.</w:t>
      </w:r>
    </w:p>
    <w:p w14:paraId="5518D65E"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Access control follows the attribute-based model where permissions </w:t>
      </w:r>
      <m:oMath>
        <m:r>
          <w:rPr>
            <w:rFonts w:ascii="Cambria Math" w:hAnsi="Cambria Math" w:cs="Times New Roman"/>
          </w:rPr>
          <m:t>π</m:t>
        </m:r>
      </m:oMath>
      <w:r w:rsidRPr="007D3D51">
        <w:rPr>
          <w:rFonts w:ascii="Times New Roman" w:hAnsi="Times New Roman" w:cs="Times New Roman"/>
        </w:rPr>
        <w:t xml:space="preserve"> for user </w:t>
      </w:r>
      <m:oMath>
        <m:r>
          <w:rPr>
            <w:rFonts w:ascii="Cambria Math" w:hAnsi="Cambria Math" w:cs="Times New Roman"/>
          </w:rPr>
          <m:t>u</m:t>
        </m:r>
      </m:oMath>
      <w:r w:rsidRPr="007D3D51">
        <w:rPr>
          <w:rFonts w:ascii="Times New Roman" w:hAnsi="Times New Roman" w:cs="Times New Roman"/>
        </w:rPr>
        <w:t xml:space="preserve"> on resource </w:t>
      </w:r>
      <m:oMath>
        <m:r>
          <w:rPr>
            <w:rFonts w:ascii="Cambria Math" w:hAnsi="Cambria Math" w:cs="Times New Roman"/>
          </w:rPr>
          <m:t>res</m:t>
        </m:r>
      </m:oMath>
      <w:r w:rsidRPr="007D3D51">
        <w:rPr>
          <w:rFonts w:ascii="Times New Roman" w:hAnsi="Times New Roman" w:cs="Times New Roman"/>
        </w:rPr>
        <w:t xml:space="preserve"> are determined by:</w:t>
      </w:r>
    </w:p>
    <w:p w14:paraId="34E4B901" w14:textId="77777777" w:rsidR="00AF4FA5" w:rsidRPr="007D3D51" w:rsidRDefault="00000000" w:rsidP="00FA059E">
      <w:pPr>
        <w:pStyle w:val="BodyText"/>
        <w:jc w:val="both"/>
        <w:rPr>
          <w:rFonts w:ascii="Times New Roman" w:hAnsi="Times New Roman" w:cs="Times New Roman"/>
        </w:rPr>
      </w:pPr>
      <m:oMathPara>
        <m:oMathParaPr>
          <m:jc m:val="center"/>
        </m:oMathParaPr>
        <m:oMath>
          <m:r>
            <w:rPr>
              <w:rFonts w:ascii="Cambria Math" w:hAnsi="Cambria Math" w:cs="Times New Roman"/>
            </w:rPr>
            <m:t>π</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res</m:t>
          </m:r>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m:t>
              </m:r>
            </m:e>
            <m:lim>
              <m:r>
                <w:rPr>
                  <w:rFonts w:ascii="Cambria Math" w:hAnsi="Cambria Math" w:cs="Times New Roman"/>
                </w:rPr>
                <m:t>a</m:t>
              </m:r>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A</m:t>
                  </m:r>
                </m:e>
                <m:sub>
                  <m:r>
                    <w:rPr>
                      <w:rFonts w:ascii="Cambria Math" w:hAnsi="Cambria Math" w:cs="Times New Roman"/>
                    </w:rPr>
                    <m:t>u</m:t>
                  </m:r>
                </m:sub>
              </m:sSub>
            </m:lim>
          </m:limLow>
          <m:r>
            <m:rPr>
              <m:scr m:val="double-struck"/>
              <m:sty m:val="p"/>
            </m:rPr>
            <w:rPr>
              <w:rFonts w:ascii="Cambria Math" w:hAnsi="Cambria Math" w:cs="Times New Roman"/>
            </w:rPr>
            <m:t>I(</m:t>
          </m:r>
          <m:r>
            <w:rPr>
              <w:rFonts w:ascii="Cambria Math" w:hAnsi="Cambria Math" w:cs="Times New Roman"/>
            </w:rPr>
            <m:t>a</m:t>
          </m:r>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A</m:t>
              </m:r>
            </m:e>
            <m:sub>
              <m:r>
                <w:rPr>
                  <w:rFonts w:ascii="Cambria Math" w:hAnsi="Cambria Math" w:cs="Times New Roman"/>
                </w:rPr>
                <m:t>res</m:t>
              </m:r>
            </m:sub>
          </m:sSub>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(14)</m:t>
          </m:r>
        </m:oMath>
      </m:oMathPara>
    </w:p>
    <w:p w14:paraId="459A2192"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with </w:t>
      </w:r>
      <m:oMath>
        <m:sSub>
          <m:sSubPr>
            <m:ctrlPr>
              <w:rPr>
                <w:rFonts w:ascii="Cambria Math" w:hAnsi="Cambria Math" w:cs="Times New Roman"/>
              </w:rPr>
            </m:ctrlPr>
          </m:sSubPr>
          <m:e>
            <m:r>
              <m:rPr>
                <m:scr m:val="script"/>
                <m:sty m:val="p"/>
              </m:rPr>
              <w:rPr>
                <w:rFonts w:ascii="Cambria Math" w:hAnsi="Cambria Math" w:cs="Times New Roman"/>
              </w:rPr>
              <m:t>A</m:t>
            </m:r>
          </m:e>
          <m:sub>
            <m:r>
              <w:rPr>
                <w:rFonts w:ascii="Cambria Math" w:hAnsi="Cambria Math" w:cs="Times New Roman"/>
              </w:rPr>
              <m:t>u</m:t>
            </m:r>
          </m:sub>
        </m:sSub>
      </m:oMath>
      <w:r w:rsidRPr="007D3D51">
        <w:rPr>
          <w:rFonts w:ascii="Times New Roman" w:hAnsi="Times New Roman" w:cs="Times New Roman"/>
        </w:rPr>
        <w:t xml:space="preserve"> and </w:t>
      </w:r>
      <m:oMath>
        <m:sSub>
          <m:sSubPr>
            <m:ctrlPr>
              <w:rPr>
                <w:rFonts w:ascii="Cambria Math" w:hAnsi="Cambria Math" w:cs="Times New Roman"/>
              </w:rPr>
            </m:ctrlPr>
          </m:sSubPr>
          <m:e>
            <m:r>
              <m:rPr>
                <m:scr m:val="script"/>
                <m:sty m:val="p"/>
              </m:rPr>
              <w:rPr>
                <w:rFonts w:ascii="Cambria Math" w:hAnsi="Cambria Math" w:cs="Times New Roman"/>
              </w:rPr>
              <m:t>A</m:t>
            </m:r>
          </m:e>
          <m:sub>
            <m:r>
              <w:rPr>
                <w:rFonts w:ascii="Cambria Math" w:hAnsi="Cambria Math" w:cs="Times New Roman"/>
              </w:rPr>
              <m:t>res</m:t>
            </m:r>
          </m:sub>
        </m:sSub>
      </m:oMath>
      <w:r w:rsidRPr="007D3D51">
        <w:rPr>
          <w:rFonts w:ascii="Times New Roman" w:hAnsi="Times New Roman" w:cs="Times New Roman"/>
        </w:rPr>
        <w:t xml:space="preserve"> being user attributes (role, department) and resource access policies respectively. The platform implements this through JSON Web Tokens containing cryptographically signed claims </w:t>
      </w:r>
      <w:hyperlink r:id="rId25">
        <w:r w:rsidRPr="007D3D51">
          <w:rPr>
            <w:rStyle w:val="Hyperlink"/>
            <w:rFonts w:ascii="Times New Roman" w:hAnsi="Times New Roman" w:cs="Times New Roman"/>
            <w:color w:val="auto"/>
          </w:rPr>
          <w:t>[17]</w:t>
        </w:r>
      </w:hyperlink>
      <w:r w:rsidRPr="007D3D51">
        <w:rPr>
          <w:rFonts w:ascii="Times New Roman" w:hAnsi="Times New Roman" w:cs="Times New Roman"/>
        </w:rPr>
        <w:t>.</w:t>
      </w:r>
    </w:p>
    <w:p w14:paraId="4506BF72"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For secure data transmission, the system employs hybrid encryption combining RSA-OAEP for key exchange and AES-GCM for payload encryption:</w:t>
      </w:r>
    </w:p>
    <w:p w14:paraId="2EEB5759" w14:textId="77777777" w:rsidR="00AF4FA5" w:rsidRPr="007D3D51" w:rsidRDefault="00000000" w:rsidP="00FA059E">
      <w:pPr>
        <w:pStyle w:val="BodyText"/>
        <w:jc w:val="both"/>
        <w:rPr>
          <w:rFonts w:ascii="Times New Roman" w:hAnsi="Times New Roman" w:cs="Times New Roman"/>
        </w:rPr>
      </w:pPr>
      <m:oMathPara>
        <m:oMathParaPr>
          <m:jc m:val="center"/>
        </m:oMathParaPr>
        <m:oMath>
          <m:r>
            <w:rPr>
              <w:rFonts w:ascii="Cambria Math" w:hAnsi="Cambria Math" w:cs="Times New Roman"/>
            </w:rPr>
            <m:t>C</m:t>
          </m:r>
          <m:r>
            <m:rPr>
              <m:sty m:val="p"/>
            </m:rPr>
            <w:rPr>
              <w:rFonts w:ascii="Cambria Math" w:hAnsi="Cambria Math" w:cs="Times New Roman"/>
            </w:rPr>
            <m:t>=(</m:t>
          </m:r>
          <m:r>
            <m:rPr>
              <m:nor/>
            </m:rPr>
            <w:rPr>
              <w:rFonts w:ascii="Times New Roman" w:hAnsi="Times New Roman" w:cs="Times New Roman"/>
            </w:rPr>
            <m:t>RSA-OAEP</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pub</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sym</m:t>
              </m:r>
            </m:sub>
          </m:sSub>
          <m:r>
            <m:rPr>
              <m:sty m:val="p"/>
            </m:rPr>
            <w:rPr>
              <w:rFonts w:ascii="Cambria Math" w:hAnsi="Cambria Math" w:cs="Times New Roman"/>
            </w:rPr>
            <m:t>),</m:t>
          </m:r>
          <m:r>
            <m:rPr>
              <m:nor/>
            </m:rPr>
            <w:rPr>
              <w:rFonts w:ascii="Times New Roman" w:hAnsi="Times New Roman" w:cs="Times New Roman"/>
            </w:rPr>
            <m:t>AES-GCM</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sym</m:t>
              </m:r>
            </m:sub>
          </m:sSub>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(15)</m:t>
          </m:r>
        </m:oMath>
      </m:oMathPara>
    </w:p>
    <w:p w14:paraId="1582D07E"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pub</m:t>
            </m:r>
          </m:sub>
        </m:sSub>
      </m:oMath>
      <w:r w:rsidRPr="007D3D51">
        <w:rPr>
          <w:rFonts w:ascii="Times New Roman" w:hAnsi="Times New Roman" w:cs="Times New Roman"/>
        </w:rPr>
        <w:t xml:space="preserve"> is the server’s public key and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sym</m:t>
            </m:r>
          </m:sub>
        </m:sSub>
      </m:oMath>
      <w:r w:rsidRPr="007D3D51">
        <w:rPr>
          <w:rFonts w:ascii="Times New Roman" w:hAnsi="Times New Roman" w:cs="Times New Roman"/>
        </w:rPr>
        <w:t xml:space="preserve"> a freshly generated symmetric key for each session. This approach provides both forward secrecy and resistance against chosen-ciphertext attacks </w:t>
      </w:r>
      <w:hyperlink r:id="rId26">
        <w:r w:rsidRPr="007D3D51">
          <w:rPr>
            <w:rStyle w:val="Hyperlink"/>
            <w:rFonts w:ascii="Times New Roman" w:hAnsi="Times New Roman" w:cs="Times New Roman"/>
            <w:color w:val="auto"/>
          </w:rPr>
          <w:t>[18]</w:t>
        </w:r>
      </w:hyperlink>
      <w:r w:rsidRPr="007D3D51">
        <w:rPr>
          <w:rFonts w:ascii="Times New Roman" w:hAnsi="Times New Roman" w:cs="Times New Roman"/>
        </w:rPr>
        <w:t>.</w:t>
      </w:r>
    </w:p>
    <w:p w14:paraId="56853F79"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 xml:space="preserve">Audit logging follows the blockchain-inspired design where each access event </w:t>
      </w:r>
      <m:oMath>
        <m:r>
          <w:rPr>
            <w:rFonts w:ascii="Cambria Math" w:hAnsi="Cambria Math" w:cs="Times New Roman"/>
          </w:rPr>
          <m:t>e</m:t>
        </m:r>
      </m:oMath>
      <w:r w:rsidRPr="007D3D51">
        <w:rPr>
          <w:rFonts w:ascii="Times New Roman" w:hAnsi="Times New Roman" w:cs="Times New Roman"/>
        </w:rPr>
        <w:t xml:space="preserve"> generates an immutable record:</w:t>
      </w:r>
    </w:p>
    <w:p w14:paraId="50E0ECA8" w14:textId="77777777" w:rsidR="00AF4FA5" w:rsidRPr="007D3D51" w:rsidRDefault="00000000" w:rsidP="00FA059E">
      <w:pPr>
        <w:pStyle w:val="BodyText"/>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m:rPr>
              <m:nor/>
            </m:rPr>
            <w:rPr>
              <w:rFonts w:ascii="Times New Roman" w:hAnsi="Times New Roman" w:cs="Times New Roman"/>
            </w:rPr>
            <m:t>SHA-3</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m:rPr>
              <m:sty m:val="p"/>
            </m:rPr>
            <w:rPr>
              <w:rFonts w:ascii="Cambria Math" w:hAnsi="Cambria Math" w:cs="Times New Roman"/>
            </w:rPr>
            <m:t>∥</m:t>
          </m:r>
          <m:r>
            <m:rPr>
              <m:nor/>
            </m:rPr>
            <w:rPr>
              <w:rFonts w:ascii="Times New Roman" w:hAnsi="Times New Roman" w:cs="Times New Roman"/>
            </w:rPr>
            <m:t>timestamp</m:t>
          </m:r>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r>
            <m:rPr>
              <m:nor/>
            </m:rPr>
            <w:rPr>
              <w:rFonts w:ascii="Times New Roman" w:hAnsi="Times New Roman" w:cs="Times New Roman"/>
            </w:rPr>
            <m:t>nonce</m:t>
          </m:r>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(16)</m:t>
          </m:r>
        </m:oMath>
      </m:oMathPara>
    </w:p>
    <w:p w14:paraId="5FE3D1DB"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creating a chained hash structure resistant to tampering. The nonce ensures each hash meets difficulty targets similar to </w:t>
      </w:r>
      <w:hyperlink r:id="rId27">
        <w:r w:rsidRPr="007D3D51">
          <w:rPr>
            <w:rStyle w:val="Hyperlink"/>
            <w:rFonts w:ascii="Times New Roman" w:hAnsi="Times New Roman" w:cs="Times New Roman"/>
            <w:color w:val="auto"/>
          </w:rPr>
          <w:t>[19]</w:t>
        </w:r>
      </w:hyperlink>
      <w:r w:rsidRPr="007D3D51">
        <w:rPr>
          <w:rFonts w:ascii="Times New Roman" w:hAnsi="Times New Roman" w:cs="Times New Roman"/>
        </w:rPr>
        <w:t>.</w:t>
      </w:r>
    </w:p>
    <w:p w14:paraId="41F69CD2"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Data integrity verification occurs through periodic Merkle tree validation:</w:t>
      </w:r>
    </w:p>
    <w:p w14:paraId="2CEAEB19" w14:textId="77777777" w:rsidR="00AF4FA5" w:rsidRPr="007D3D51" w:rsidRDefault="00000000" w:rsidP="00FA059E">
      <w:pPr>
        <w:pStyle w:val="BodyText"/>
        <w:jc w:val="both"/>
        <w:rPr>
          <w:rFonts w:ascii="Times New Roman" w:hAnsi="Times New Roman" w:cs="Times New Roman"/>
        </w:rPr>
      </w:pPr>
      <m:oMathPara>
        <m:oMathParaPr>
          <m:jc m:val="center"/>
        </m:oMathParaPr>
        <m:oMath>
          <m:r>
            <m:rPr>
              <m:nor/>
            </m:rPr>
            <w:rPr>
              <w:rFonts w:ascii="Times New Roman" w:hAnsi="Times New Roman" w:cs="Times New Roman"/>
            </w:rPr>
            <m:t>Verify</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m:rPr>
              <m:sty m:val="p"/>
            </m:rPr>
            <w:rPr>
              <w:rFonts w:ascii="Cambria Math" w:hAnsi="Cambria Math" w:cs="Times New Roman"/>
            </w:rPr>
            <m:t>)=(</m:t>
          </m:r>
          <m:r>
            <m:rPr>
              <m:nor/>
            </m:rPr>
            <w:rPr>
              <w:rFonts w:ascii="Times New Roman" w:hAnsi="Times New Roman" w:cs="Times New Roman"/>
            </w:rPr>
            <m:t>hash</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m:rPr>
              <m:sty m:val="p"/>
            </m:rPr>
            <w:rPr>
              <w:rFonts w:ascii="Cambria Math" w:hAnsi="Cambria Math" w:cs="Times New Roman"/>
            </w:rPr>
            <m:t>)==</m:t>
          </m:r>
          <m:r>
            <m:rPr>
              <m:nor/>
            </m:rPr>
            <w:rPr>
              <w:rFonts w:ascii="Times New Roman" w:hAnsi="Times New Roman" w:cs="Times New Roman"/>
            </w:rPr>
            <m:t>path</m:t>
          </m:r>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sSub>
            <m:sSubPr>
              <m:ctrlPr>
                <w:rPr>
                  <w:rFonts w:ascii="Cambria Math" w:hAnsi="Cambria Math" w:cs="Times New Roman"/>
                </w:rPr>
              </m:ctrlPr>
            </m:sSubPr>
            <m:e>
              <m:r>
                <m:rPr>
                  <m:nor/>
                </m:rPr>
                <w:rPr>
                  <w:rFonts w:ascii="Times New Roman" w:hAnsi="Times New Roman" w:cs="Times New Roman"/>
                </w:rPr>
                <m:t>root</m:t>
              </m:r>
            </m:e>
            <m:sub>
              <m:r>
                <w:rPr>
                  <w:rFonts w:ascii="Cambria Math" w:hAnsi="Cambria Math" w:cs="Times New Roman"/>
                </w:rPr>
                <m:t>Merkle</m:t>
              </m:r>
            </m:sub>
          </m:sSub>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 xml:space="preserve"> (17)</m:t>
          </m:r>
        </m:oMath>
      </m:oMathPara>
    </w:p>
    <w:p w14:paraId="4B49EA82"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where </w:t>
      </w:r>
      <m:oMath>
        <m:r>
          <m:rPr>
            <m:sty m:val="p"/>
          </m:rPr>
          <w:rPr>
            <w:rFonts w:ascii="Cambria Math" w:hAnsi="Cambria Math" w:cs="Times New Roman"/>
          </w:rPr>
          <m:t>∘</m:t>
        </m:r>
      </m:oMath>
      <w:r w:rsidRPr="007D3D51">
        <w:rPr>
          <w:rFonts w:ascii="Times New Roman" w:hAnsi="Times New Roman" w:cs="Times New Roman"/>
        </w:rPr>
        <w:t xml:space="preserve"> denotes hash concatenation operations up the tree. This allows efficient detection of unauthorized modifications to any record while maintaining </w:t>
      </w:r>
      <m:oMath>
        <m:r>
          <w:rPr>
            <w:rFonts w:ascii="Cambria Math" w:hAnsi="Cambria Math" w:cs="Times New Roman"/>
          </w:rPr>
          <m:t>O</m:t>
        </m:r>
        <m:r>
          <m:rPr>
            <m:sty m:val="p"/>
          </m:rPr>
          <w:rPr>
            <w:rFonts w:ascii="Cambria Math" w:hAnsi="Cambria Math" w:cs="Times New Roman"/>
          </w:rPr>
          <m:t>(log</m:t>
        </m:r>
        <m:r>
          <w:rPr>
            <w:rFonts w:ascii="Cambria Math" w:hAnsi="Cambria Math" w:cs="Times New Roman"/>
          </w:rPr>
          <m:t>n</m:t>
        </m:r>
        <m:r>
          <m:rPr>
            <m:sty m:val="p"/>
          </m:rPr>
          <w:rPr>
            <w:rFonts w:ascii="Cambria Math" w:hAnsi="Cambria Math" w:cs="Times New Roman"/>
          </w:rPr>
          <m:t>)</m:t>
        </m:r>
      </m:oMath>
      <w:r w:rsidRPr="007D3D51">
        <w:rPr>
          <w:rFonts w:ascii="Times New Roman" w:hAnsi="Times New Roman" w:cs="Times New Roman"/>
        </w:rPr>
        <w:t xml:space="preserve"> verification complexity.</w:t>
      </w:r>
    </w:p>
    <w:p w14:paraId="6DB6618E" w14:textId="77777777" w:rsidR="00AF4FA5" w:rsidRPr="0018688C" w:rsidRDefault="00000000" w:rsidP="00FA059E">
      <w:pPr>
        <w:pStyle w:val="Heading3"/>
        <w:jc w:val="both"/>
        <w:rPr>
          <w:rFonts w:ascii="Times New Roman" w:hAnsi="Times New Roman" w:cs="Times New Roman"/>
          <w:b/>
          <w:bCs/>
          <w:color w:val="auto"/>
        </w:rPr>
      </w:pPr>
      <w:bookmarkStart w:id="13" w:name="Xfa6aa6f355b81693bcbb17740559e12571d88bc"/>
      <w:bookmarkEnd w:id="7"/>
      <w:bookmarkEnd w:id="12"/>
      <w:r w:rsidRPr="0018688C">
        <w:rPr>
          <w:rFonts w:ascii="Times New Roman" w:hAnsi="Times New Roman" w:cs="Times New Roman"/>
          <w:b/>
          <w:bCs/>
          <w:color w:val="auto"/>
        </w:rPr>
        <w:t>4. Experimental Setup and Evaluation Methodology</w:t>
      </w:r>
    </w:p>
    <w:p w14:paraId="08C966BF"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To validate the effectiveness of the proposed integrated home healthcare platform, we designed a comprehensive evaluation framework consisting of system performance benchmarks, user experience assessments, and comparative analyses with existing solutions. The experiments were </w:t>
      </w:r>
      <w:r w:rsidRPr="007D3D51">
        <w:rPr>
          <w:rFonts w:ascii="Times New Roman" w:hAnsi="Times New Roman" w:cs="Times New Roman"/>
        </w:rPr>
        <w:lastRenderedPageBreak/>
        <w:t>conducted in both simulated environments and real-world deployment scenarios to ensure robust evaluation across different operational conditions.</w:t>
      </w:r>
    </w:p>
    <w:p w14:paraId="31775F11" w14:textId="77777777" w:rsidR="00AF4FA5" w:rsidRPr="007D3D51" w:rsidRDefault="00000000" w:rsidP="00FA059E">
      <w:pPr>
        <w:pStyle w:val="Heading4"/>
        <w:jc w:val="both"/>
        <w:rPr>
          <w:rFonts w:ascii="Times New Roman" w:hAnsi="Times New Roman" w:cs="Times New Roman"/>
          <w:color w:val="auto"/>
        </w:rPr>
      </w:pPr>
      <w:bookmarkStart w:id="14" w:name="system-configuration-and-deployment"/>
      <w:r w:rsidRPr="007D3D51">
        <w:rPr>
          <w:rFonts w:ascii="Times New Roman" w:hAnsi="Times New Roman" w:cs="Times New Roman"/>
          <w:color w:val="auto"/>
        </w:rPr>
        <w:t>4.1 System Configuration and Deployment</w:t>
      </w:r>
    </w:p>
    <w:p w14:paraId="4B86D30F"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platform was implemented using a microservices architecture deployed on cloud infrastructure with the following technical specifications:</w:t>
      </w:r>
    </w:p>
    <w:p w14:paraId="0E5BD605" w14:textId="77777777" w:rsidR="00AF4FA5" w:rsidRPr="007D3D51" w:rsidRDefault="00000000" w:rsidP="00FA059E">
      <w:pPr>
        <w:numPr>
          <w:ilvl w:val="0"/>
          <w:numId w:val="2"/>
        </w:numPr>
        <w:jc w:val="both"/>
        <w:rPr>
          <w:rFonts w:ascii="Times New Roman" w:hAnsi="Times New Roman" w:cs="Times New Roman"/>
        </w:rPr>
      </w:pPr>
      <w:r w:rsidRPr="007D3D51">
        <w:rPr>
          <w:rFonts w:ascii="Times New Roman" w:hAnsi="Times New Roman" w:cs="Times New Roman"/>
          <w:b/>
          <w:bCs/>
        </w:rPr>
        <w:t>Frontend</w:t>
      </w:r>
      <w:r w:rsidRPr="007D3D51">
        <w:rPr>
          <w:rFonts w:ascii="Times New Roman" w:hAnsi="Times New Roman" w:cs="Times New Roman"/>
        </w:rPr>
        <w:t>: React.js with Redux for state management, implementing responsive design principles for cross-device compatibility</w:t>
      </w:r>
    </w:p>
    <w:p w14:paraId="742E430C" w14:textId="77777777" w:rsidR="00AF4FA5" w:rsidRPr="007D3D51" w:rsidRDefault="00000000" w:rsidP="00FA059E">
      <w:pPr>
        <w:numPr>
          <w:ilvl w:val="0"/>
          <w:numId w:val="2"/>
        </w:numPr>
        <w:jc w:val="both"/>
        <w:rPr>
          <w:rFonts w:ascii="Times New Roman" w:hAnsi="Times New Roman" w:cs="Times New Roman"/>
        </w:rPr>
      </w:pPr>
      <w:r w:rsidRPr="007D3D51">
        <w:rPr>
          <w:rFonts w:ascii="Times New Roman" w:hAnsi="Times New Roman" w:cs="Times New Roman"/>
          <w:b/>
          <w:bCs/>
        </w:rPr>
        <w:t>Backend</w:t>
      </w:r>
      <w:r w:rsidRPr="007D3D51">
        <w:rPr>
          <w:rFonts w:ascii="Times New Roman" w:hAnsi="Times New Roman" w:cs="Times New Roman"/>
        </w:rPr>
        <w:t>: Node.js runtime with Express.js framework, utilizing RESTful APIs for service integration</w:t>
      </w:r>
    </w:p>
    <w:p w14:paraId="2DCF1D45" w14:textId="77777777" w:rsidR="00AF4FA5" w:rsidRPr="007D3D51" w:rsidRDefault="00000000" w:rsidP="00FA059E">
      <w:pPr>
        <w:numPr>
          <w:ilvl w:val="0"/>
          <w:numId w:val="2"/>
        </w:numPr>
        <w:jc w:val="both"/>
        <w:rPr>
          <w:rFonts w:ascii="Times New Roman" w:hAnsi="Times New Roman" w:cs="Times New Roman"/>
        </w:rPr>
      </w:pPr>
      <w:r w:rsidRPr="007D3D51">
        <w:rPr>
          <w:rFonts w:ascii="Times New Roman" w:hAnsi="Times New Roman" w:cs="Times New Roman"/>
          <w:b/>
          <w:bCs/>
        </w:rPr>
        <w:t>Database</w:t>
      </w:r>
      <w:r w:rsidRPr="007D3D51">
        <w:rPr>
          <w:rFonts w:ascii="Times New Roman" w:hAnsi="Times New Roman" w:cs="Times New Roman"/>
        </w:rPr>
        <w:t>: MongoDB Atlas for document storage with sharded clusters to ensure scalability</w:t>
      </w:r>
    </w:p>
    <w:p w14:paraId="7DA2A7EB" w14:textId="77777777" w:rsidR="00AF4FA5" w:rsidRPr="007D3D51" w:rsidRDefault="00000000" w:rsidP="00FA059E">
      <w:pPr>
        <w:numPr>
          <w:ilvl w:val="0"/>
          <w:numId w:val="2"/>
        </w:numPr>
        <w:jc w:val="both"/>
        <w:rPr>
          <w:rFonts w:ascii="Times New Roman" w:hAnsi="Times New Roman" w:cs="Times New Roman"/>
        </w:rPr>
      </w:pPr>
      <w:r w:rsidRPr="007D3D51">
        <w:rPr>
          <w:rFonts w:ascii="Times New Roman" w:hAnsi="Times New Roman" w:cs="Times New Roman"/>
          <w:b/>
          <w:bCs/>
        </w:rPr>
        <w:t>Real-time Communication</w:t>
      </w:r>
      <w:r w:rsidRPr="007D3D51">
        <w:rPr>
          <w:rFonts w:ascii="Times New Roman" w:hAnsi="Times New Roman" w:cs="Times New Roman"/>
        </w:rPr>
        <w:t>: Socket.IO for bidirectional event-based updates</w:t>
      </w:r>
    </w:p>
    <w:p w14:paraId="6410E9FD" w14:textId="77777777" w:rsidR="00AF4FA5" w:rsidRPr="007D3D51" w:rsidRDefault="00000000" w:rsidP="00FA059E">
      <w:pPr>
        <w:numPr>
          <w:ilvl w:val="0"/>
          <w:numId w:val="2"/>
        </w:numPr>
        <w:jc w:val="both"/>
        <w:rPr>
          <w:rFonts w:ascii="Times New Roman" w:hAnsi="Times New Roman" w:cs="Times New Roman"/>
        </w:rPr>
      </w:pPr>
      <w:r w:rsidRPr="007D3D51">
        <w:rPr>
          <w:rFonts w:ascii="Times New Roman" w:hAnsi="Times New Roman" w:cs="Times New Roman"/>
          <w:b/>
          <w:bCs/>
        </w:rPr>
        <w:t>Security Layer</w:t>
      </w:r>
      <w:r w:rsidRPr="007D3D51">
        <w:rPr>
          <w:rFonts w:ascii="Times New Roman" w:hAnsi="Times New Roman" w:cs="Times New Roman"/>
        </w:rPr>
        <w:t>: OAuth 2.0 with JWT for authentication, combined with AES-256 encryption for data at rest</w:t>
      </w:r>
    </w:p>
    <w:p w14:paraId="77ED866B"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deployment architecture followed a multi-zone configuration across three geographic regions to evaluate latency tolerance and fault recovery capabilities. Each service component was containerized using Docker and orchestrated through Kubernetes, enabling automatic scaling based on load metrics.</w:t>
      </w:r>
    </w:p>
    <w:p w14:paraId="6E4AAC35" w14:textId="77777777" w:rsidR="00AF4FA5" w:rsidRPr="0018688C" w:rsidRDefault="00000000" w:rsidP="00FA059E">
      <w:pPr>
        <w:pStyle w:val="Heading4"/>
        <w:jc w:val="both"/>
        <w:rPr>
          <w:rFonts w:ascii="Times New Roman" w:hAnsi="Times New Roman" w:cs="Times New Roman"/>
          <w:b/>
          <w:bCs/>
          <w:color w:val="auto"/>
        </w:rPr>
      </w:pPr>
      <w:bookmarkStart w:id="15" w:name="datasets-and-evaluation-metrics"/>
      <w:bookmarkEnd w:id="14"/>
      <w:r w:rsidRPr="0018688C">
        <w:rPr>
          <w:rFonts w:ascii="Times New Roman" w:hAnsi="Times New Roman" w:cs="Times New Roman"/>
          <w:b/>
          <w:bCs/>
          <w:color w:val="auto"/>
        </w:rPr>
        <w:t>4.2 Datasets and Evaluation Metrics</w:t>
      </w:r>
    </w:p>
    <w:p w14:paraId="41BD587A"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We utilized two primary data sources for performance evaluation:</w:t>
      </w:r>
    </w:p>
    <w:p w14:paraId="17F81777" w14:textId="77777777" w:rsidR="00AF4FA5" w:rsidRPr="007D3D51" w:rsidRDefault="00000000" w:rsidP="00FA059E">
      <w:pPr>
        <w:numPr>
          <w:ilvl w:val="0"/>
          <w:numId w:val="3"/>
        </w:numPr>
        <w:jc w:val="both"/>
        <w:rPr>
          <w:rFonts w:ascii="Times New Roman" w:hAnsi="Times New Roman" w:cs="Times New Roman"/>
        </w:rPr>
      </w:pPr>
      <w:r w:rsidRPr="007D3D51">
        <w:rPr>
          <w:rFonts w:ascii="Times New Roman" w:hAnsi="Times New Roman" w:cs="Times New Roman"/>
          <w:b/>
          <w:bCs/>
        </w:rPr>
        <w:t>Synthetic Dataset</w:t>
      </w:r>
      <w:r w:rsidRPr="007D3D51">
        <w:rPr>
          <w:rFonts w:ascii="Times New Roman" w:hAnsi="Times New Roman" w:cs="Times New Roman"/>
        </w:rPr>
        <w:t xml:space="preserve">: Generated through a custom simulation engine modeling patient distributions, caregiver availability patterns, and service request frequencies based on demographic statistics from </w:t>
      </w:r>
      <w:hyperlink r:id="rId28">
        <w:r w:rsidRPr="007D3D51">
          <w:rPr>
            <w:rStyle w:val="Hyperlink"/>
            <w:rFonts w:ascii="Times New Roman" w:hAnsi="Times New Roman" w:cs="Times New Roman"/>
            <w:color w:val="auto"/>
          </w:rPr>
          <w:t>[20]</w:t>
        </w:r>
      </w:hyperlink>
      <w:r w:rsidRPr="007D3D51">
        <w:rPr>
          <w:rFonts w:ascii="Times New Roman" w:hAnsi="Times New Roman" w:cs="Times New Roman"/>
        </w:rPr>
        <w:t>. The dataset contained:</w:t>
      </w:r>
    </w:p>
    <w:p w14:paraId="23A8ED39" w14:textId="77777777" w:rsidR="00AF4FA5" w:rsidRPr="007D3D51" w:rsidRDefault="00000000" w:rsidP="00FA059E">
      <w:pPr>
        <w:numPr>
          <w:ilvl w:val="1"/>
          <w:numId w:val="4"/>
        </w:numPr>
        <w:jc w:val="both"/>
        <w:rPr>
          <w:rFonts w:ascii="Times New Roman" w:hAnsi="Times New Roman" w:cs="Times New Roman"/>
        </w:rPr>
      </w:pPr>
      <w:r w:rsidRPr="007D3D51">
        <w:rPr>
          <w:rFonts w:ascii="Times New Roman" w:hAnsi="Times New Roman" w:cs="Times New Roman"/>
        </w:rPr>
        <w:t>5,000 simulated patient profiles with varying medical needs</w:t>
      </w:r>
    </w:p>
    <w:p w14:paraId="22A17801" w14:textId="77777777" w:rsidR="00AF4FA5" w:rsidRPr="007D3D51" w:rsidRDefault="00000000" w:rsidP="00FA059E">
      <w:pPr>
        <w:numPr>
          <w:ilvl w:val="1"/>
          <w:numId w:val="4"/>
        </w:numPr>
        <w:jc w:val="both"/>
        <w:rPr>
          <w:rFonts w:ascii="Times New Roman" w:hAnsi="Times New Roman" w:cs="Times New Roman"/>
        </w:rPr>
      </w:pPr>
      <w:r w:rsidRPr="007D3D51">
        <w:rPr>
          <w:rFonts w:ascii="Times New Roman" w:hAnsi="Times New Roman" w:cs="Times New Roman"/>
        </w:rPr>
        <w:t>300 caregiver profiles with differentiated skill sets</w:t>
      </w:r>
    </w:p>
    <w:p w14:paraId="27857F1A" w14:textId="77777777" w:rsidR="00AF4FA5" w:rsidRPr="007D3D51" w:rsidRDefault="00000000" w:rsidP="00FA059E">
      <w:pPr>
        <w:numPr>
          <w:ilvl w:val="1"/>
          <w:numId w:val="4"/>
        </w:numPr>
        <w:jc w:val="both"/>
        <w:rPr>
          <w:rFonts w:ascii="Times New Roman" w:hAnsi="Times New Roman" w:cs="Times New Roman"/>
        </w:rPr>
      </w:pPr>
      <w:r w:rsidRPr="007D3D51">
        <w:rPr>
          <w:rFonts w:ascii="Times New Roman" w:hAnsi="Times New Roman" w:cs="Times New Roman"/>
        </w:rPr>
        <w:t>15,000 historical service records spanning 6 months</w:t>
      </w:r>
    </w:p>
    <w:p w14:paraId="4769DFE3" w14:textId="77777777" w:rsidR="00AF4FA5" w:rsidRPr="007D3D51" w:rsidRDefault="00000000" w:rsidP="00FA059E">
      <w:pPr>
        <w:numPr>
          <w:ilvl w:val="0"/>
          <w:numId w:val="3"/>
        </w:numPr>
        <w:jc w:val="both"/>
        <w:rPr>
          <w:rFonts w:ascii="Times New Roman" w:hAnsi="Times New Roman" w:cs="Times New Roman"/>
        </w:rPr>
      </w:pPr>
      <w:r w:rsidRPr="007D3D51">
        <w:rPr>
          <w:rFonts w:ascii="Times New Roman" w:hAnsi="Times New Roman" w:cs="Times New Roman"/>
          <w:b/>
          <w:bCs/>
        </w:rPr>
        <w:t>Real-world Deployment Data</w:t>
      </w:r>
      <w:r w:rsidRPr="007D3D51">
        <w:rPr>
          <w:rFonts w:ascii="Times New Roman" w:hAnsi="Times New Roman" w:cs="Times New Roman"/>
        </w:rPr>
        <w:t>: Collected during a 3-month pilot program with two home healthcare agencies, comprising:</w:t>
      </w:r>
    </w:p>
    <w:p w14:paraId="43BEE054" w14:textId="77777777" w:rsidR="00AF4FA5" w:rsidRPr="007D3D51" w:rsidRDefault="00000000" w:rsidP="00FA059E">
      <w:pPr>
        <w:numPr>
          <w:ilvl w:val="1"/>
          <w:numId w:val="5"/>
        </w:numPr>
        <w:jc w:val="both"/>
        <w:rPr>
          <w:rFonts w:ascii="Times New Roman" w:hAnsi="Times New Roman" w:cs="Times New Roman"/>
        </w:rPr>
      </w:pPr>
      <w:r w:rsidRPr="007D3D51">
        <w:rPr>
          <w:rFonts w:ascii="Times New Roman" w:hAnsi="Times New Roman" w:cs="Times New Roman"/>
        </w:rPr>
        <w:t>127 actual patients receiving regular care</w:t>
      </w:r>
    </w:p>
    <w:p w14:paraId="0CB0E0B1" w14:textId="77777777" w:rsidR="00AF4FA5" w:rsidRPr="007D3D51" w:rsidRDefault="00000000" w:rsidP="00FA059E">
      <w:pPr>
        <w:numPr>
          <w:ilvl w:val="1"/>
          <w:numId w:val="5"/>
        </w:numPr>
        <w:jc w:val="both"/>
        <w:rPr>
          <w:rFonts w:ascii="Times New Roman" w:hAnsi="Times New Roman" w:cs="Times New Roman"/>
        </w:rPr>
      </w:pPr>
      <w:r w:rsidRPr="007D3D51">
        <w:rPr>
          <w:rFonts w:ascii="Times New Roman" w:hAnsi="Times New Roman" w:cs="Times New Roman"/>
        </w:rPr>
        <w:t>28 professional caregivers using the system daily</w:t>
      </w:r>
    </w:p>
    <w:p w14:paraId="78A8A889" w14:textId="77777777" w:rsidR="00AF4FA5" w:rsidRPr="007D3D51" w:rsidRDefault="00000000" w:rsidP="00FA059E">
      <w:pPr>
        <w:numPr>
          <w:ilvl w:val="1"/>
          <w:numId w:val="5"/>
        </w:numPr>
        <w:jc w:val="both"/>
        <w:rPr>
          <w:rFonts w:ascii="Times New Roman" w:hAnsi="Times New Roman" w:cs="Times New Roman"/>
        </w:rPr>
      </w:pPr>
      <w:r w:rsidRPr="007D3D51">
        <w:rPr>
          <w:rFonts w:ascii="Times New Roman" w:hAnsi="Times New Roman" w:cs="Times New Roman"/>
        </w:rPr>
        <w:t>1,842 completed service transactions</w:t>
      </w:r>
    </w:p>
    <w:p w14:paraId="79567F7C"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Key performance indicators were selected to measure both technical efficiency and service quality:</w:t>
      </w:r>
    </w:p>
    <w:p w14:paraId="0665B1A9" w14:textId="77777777" w:rsidR="00AF4FA5" w:rsidRPr="007D3D51" w:rsidRDefault="00000000" w:rsidP="00FA059E">
      <w:pPr>
        <w:numPr>
          <w:ilvl w:val="0"/>
          <w:numId w:val="6"/>
        </w:numPr>
        <w:jc w:val="both"/>
        <w:rPr>
          <w:rFonts w:ascii="Times New Roman" w:hAnsi="Times New Roman" w:cs="Times New Roman"/>
        </w:rPr>
      </w:pPr>
      <w:r w:rsidRPr="007D3D51">
        <w:rPr>
          <w:rFonts w:ascii="Times New Roman" w:hAnsi="Times New Roman" w:cs="Times New Roman"/>
          <w:b/>
          <w:bCs/>
        </w:rPr>
        <w:t>Operational Metrics</w:t>
      </w:r>
      <w:r w:rsidRPr="007D3D51">
        <w:rPr>
          <w:rFonts w:ascii="Times New Roman" w:hAnsi="Times New Roman" w:cs="Times New Roman"/>
        </w:rPr>
        <w:t>:</w:t>
      </w:r>
    </w:p>
    <w:p w14:paraId="065D4C62" w14:textId="77777777" w:rsidR="00AF4FA5" w:rsidRPr="007D3D51" w:rsidRDefault="00000000" w:rsidP="00FA059E">
      <w:pPr>
        <w:numPr>
          <w:ilvl w:val="1"/>
          <w:numId w:val="7"/>
        </w:numPr>
        <w:jc w:val="both"/>
        <w:rPr>
          <w:rFonts w:ascii="Times New Roman" w:hAnsi="Times New Roman" w:cs="Times New Roman"/>
        </w:rPr>
      </w:pPr>
      <w:r w:rsidRPr="007D3D51">
        <w:rPr>
          <w:rFonts w:ascii="Times New Roman" w:hAnsi="Times New Roman" w:cs="Times New Roman"/>
        </w:rPr>
        <w:t xml:space="preserve">Scheduling efficiency </w:t>
      </w:r>
      <m:oMath>
        <m:r>
          <w:rPr>
            <w:rFonts w:ascii="Cambria Math" w:hAnsi="Cambria Math" w:cs="Times New Roman"/>
          </w:rPr>
          <m:t>η</m:t>
        </m:r>
        <m:r>
          <m:rPr>
            <m:sty m:val="p"/>
          </m:rP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optimally assigned visits</m:t>
            </m:r>
          </m:num>
          <m:den>
            <m:r>
              <m:rPr>
                <m:nor/>
              </m:rPr>
              <w:rPr>
                <w:rFonts w:ascii="Times New Roman" w:hAnsi="Times New Roman" w:cs="Times New Roman"/>
              </w:rPr>
              <m:t>total requests</m:t>
            </m:r>
          </m:den>
        </m:f>
      </m:oMath>
    </w:p>
    <w:p w14:paraId="4447F09E" w14:textId="77777777" w:rsidR="00AF4FA5" w:rsidRPr="007D3D51" w:rsidRDefault="00000000" w:rsidP="00FA059E">
      <w:pPr>
        <w:numPr>
          <w:ilvl w:val="1"/>
          <w:numId w:val="7"/>
        </w:numPr>
        <w:jc w:val="both"/>
        <w:rPr>
          <w:rFonts w:ascii="Times New Roman" w:hAnsi="Times New Roman" w:cs="Times New Roman"/>
        </w:rPr>
      </w:pPr>
      <w:r w:rsidRPr="007D3D51">
        <w:rPr>
          <w:rFonts w:ascii="Times New Roman" w:hAnsi="Times New Roman" w:cs="Times New Roman"/>
        </w:rPr>
        <w:lastRenderedPageBreak/>
        <w:t xml:space="preserve">System response time </w:t>
      </w:r>
      <m:oMath>
        <m:sSub>
          <m:sSubPr>
            <m:ctrlPr>
              <w:rPr>
                <w:rFonts w:ascii="Cambria Math" w:hAnsi="Cambria Math" w:cs="Times New Roman"/>
              </w:rPr>
            </m:ctrlPr>
          </m:sSubPr>
          <m:e>
            <m:r>
              <w:rPr>
                <w:rFonts w:ascii="Cambria Math" w:hAnsi="Cambria Math" w:cs="Times New Roman"/>
              </w:rPr>
              <m:t>τ</m:t>
            </m:r>
          </m:e>
          <m:sub>
            <m:r>
              <w:rPr>
                <w:rFonts w:ascii="Cambria Math" w:hAnsi="Cambria Math" w:cs="Times New Roman"/>
              </w:rPr>
              <m:t>90</m:t>
            </m:r>
          </m:sub>
        </m:sSub>
      </m:oMath>
      <w:r w:rsidRPr="007D3D51">
        <w:rPr>
          <w:rFonts w:ascii="Times New Roman" w:hAnsi="Times New Roman" w:cs="Times New Roman"/>
        </w:rPr>
        <w:t xml:space="preserve"> (90th percentile latency for critical operations)</w:t>
      </w:r>
    </w:p>
    <w:p w14:paraId="16E6ACE6" w14:textId="77777777" w:rsidR="00AF4FA5" w:rsidRPr="007D3D51" w:rsidRDefault="00000000" w:rsidP="00FA059E">
      <w:pPr>
        <w:numPr>
          <w:ilvl w:val="1"/>
          <w:numId w:val="7"/>
        </w:numPr>
        <w:jc w:val="both"/>
        <w:rPr>
          <w:rFonts w:ascii="Times New Roman" w:hAnsi="Times New Roman" w:cs="Times New Roman"/>
        </w:rPr>
      </w:pPr>
      <w:r w:rsidRPr="007D3D51">
        <w:rPr>
          <w:rFonts w:ascii="Times New Roman" w:hAnsi="Times New Roman" w:cs="Times New Roman"/>
        </w:rPr>
        <w:t xml:space="preserve">Data synchronization delay </w:t>
      </w:r>
      <m:oMath>
        <m:sSub>
          <m:sSubPr>
            <m:ctrlPr>
              <w:rPr>
                <w:rFonts w:ascii="Cambria Math" w:hAnsi="Cambria Math" w:cs="Times New Roman"/>
              </w:rPr>
            </m:ctrlPr>
          </m:sSubPr>
          <m:e>
            <m:r>
              <m:rPr>
                <m:sty m:val="p"/>
              </m:rPr>
              <w:rPr>
                <w:rFonts w:ascii="Cambria Math" w:hAnsi="Cambria Math" w:cs="Times New Roman"/>
              </w:rPr>
              <m:t>Δ</m:t>
            </m:r>
          </m:e>
          <m:sub>
            <m:r>
              <w:rPr>
                <w:rFonts w:ascii="Cambria Math" w:hAnsi="Cambria Math" w:cs="Times New Roman"/>
              </w:rPr>
              <m:t>sync</m:t>
            </m:r>
          </m:sub>
        </m:sSub>
      </m:oMath>
    </w:p>
    <w:p w14:paraId="2A83C2AE" w14:textId="77777777" w:rsidR="00AF4FA5" w:rsidRPr="007D3D51" w:rsidRDefault="00000000" w:rsidP="00FA059E">
      <w:pPr>
        <w:numPr>
          <w:ilvl w:val="0"/>
          <w:numId w:val="6"/>
        </w:numPr>
        <w:jc w:val="both"/>
        <w:rPr>
          <w:rFonts w:ascii="Times New Roman" w:hAnsi="Times New Roman" w:cs="Times New Roman"/>
        </w:rPr>
      </w:pPr>
      <w:r w:rsidRPr="007D3D51">
        <w:rPr>
          <w:rFonts w:ascii="Times New Roman" w:hAnsi="Times New Roman" w:cs="Times New Roman"/>
          <w:b/>
          <w:bCs/>
        </w:rPr>
        <w:t>Quality-of-Service Metrics</w:t>
      </w:r>
      <w:r w:rsidRPr="007D3D51">
        <w:rPr>
          <w:rFonts w:ascii="Times New Roman" w:hAnsi="Times New Roman" w:cs="Times New Roman"/>
        </w:rPr>
        <w:t>:</w:t>
      </w:r>
    </w:p>
    <w:p w14:paraId="1BD05FDC" w14:textId="77777777" w:rsidR="00AF4FA5" w:rsidRPr="007D3D51" w:rsidRDefault="00000000" w:rsidP="00FA059E">
      <w:pPr>
        <w:numPr>
          <w:ilvl w:val="1"/>
          <w:numId w:val="8"/>
        </w:numPr>
        <w:jc w:val="both"/>
        <w:rPr>
          <w:rFonts w:ascii="Times New Roman" w:hAnsi="Times New Roman" w:cs="Times New Roman"/>
        </w:rPr>
      </w:pPr>
      <w:r w:rsidRPr="007D3D51">
        <w:rPr>
          <w:rFonts w:ascii="Times New Roman" w:hAnsi="Times New Roman" w:cs="Times New Roman"/>
        </w:rPr>
        <w:t>Patient satisfaction score (5-point Likert scale)</w:t>
      </w:r>
    </w:p>
    <w:p w14:paraId="23FA3BD0" w14:textId="77777777" w:rsidR="00AF4FA5" w:rsidRPr="007D3D51" w:rsidRDefault="00000000" w:rsidP="00FA059E">
      <w:pPr>
        <w:numPr>
          <w:ilvl w:val="1"/>
          <w:numId w:val="8"/>
        </w:numPr>
        <w:jc w:val="both"/>
        <w:rPr>
          <w:rFonts w:ascii="Times New Roman" w:hAnsi="Times New Roman" w:cs="Times New Roman"/>
        </w:rPr>
      </w:pPr>
      <w:r w:rsidRPr="007D3D51">
        <w:rPr>
          <w:rFonts w:ascii="Times New Roman" w:hAnsi="Times New Roman" w:cs="Times New Roman"/>
        </w:rPr>
        <w:t xml:space="preserve">Caregiver utilization rate </w:t>
      </w:r>
      <m:oMath>
        <m:r>
          <w:rPr>
            <w:rFonts w:ascii="Cambria Math" w:hAnsi="Cambria Math" w:cs="Times New Roman"/>
          </w:rPr>
          <m:t>ρ</m:t>
        </m:r>
        <m:r>
          <m:rPr>
            <m:sty m:val="p"/>
          </m:rP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productive time</m:t>
            </m:r>
          </m:num>
          <m:den>
            <m:r>
              <m:rPr>
                <m:nor/>
              </m:rPr>
              <w:rPr>
                <w:rFonts w:ascii="Times New Roman" w:hAnsi="Times New Roman" w:cs="Times New Roman"/>
              </w:rPr>
              <m:t>available time</m:t>
            </m:r>
          </m:den>
        </m:f>
      </m:oMath>
    </w:p>
    <w:p w14:paraId="51D55994" w14:textId="77777777" w:rsidR="00AF4FA5" w:rsidRPr="007D3D51" w:rsidRDefault="00000000" w:rsidP="00FA059E">
      <w:pPr>
        <w:numPr>
          <w:ilvl w:val="1"/>
          <w:numId w:val="8"/>
        </w:numPr>
        <w:jc w:val="both"/>
        <w:rPr>
          <w:rFonts w:ascii="Times New Roman" w:hAnsi="Times New Roman" w:cs="Times New Roman"/>
        </w:rPr>
      </w:pPr>
      <w:r w:rsidRPr="007D3D51">
        <w:rPr>
          <w:rFonts w:ascii="Times New Roman" w:hAnsi="Times New Roman" w:cs="Times New Roman"/>
        </w:rPr>
        <w:t>Service compliance rate (adherence to planned schedules)</w:t>
      </w:r>
    </w:p>
    <w:p w14:paraId="00DA5365" w14:textId="77777777" w:rsidR="00AF4FA5" w:rsidRPr="0018688C" w:rsidRDefault="00000000" w:rsidP="00FA059E">
      <w:pPr>
        <w:pStyle w:val="Heading4"/>
        <w:jc w:val="both"/>
        <w:rPr>
          <w:rFonts w:ascii="Times New Roman" w:hAnsi="Times New Roman" w:cs="Times New Roman"/>
          <w:b/>
          <w:bCs/>
          <w:color w:val="auto"/>
        </w:rPr>
      </w:pPr>
      <w:bookmarkStart w:id="16" w:name="baseline-comparison-methods"/>
      <w:bookmarkEnd w:id="15"/>
      <w:r w:rsidRPr="0018688C">
        <w:rPr>
          <w:rFonts w:ascii="Times New Roman" w:hAnsi="Times New Roman" w:cs="Times New Roman"/>
          <w:b/>
          <w:bCs/>
          <w:color w:val="auto"/>
        </w:rPr>
        <w:t>4.3 Baseline Comparison Methods</w:t>
      </w:r>
    </w:p>
    <w:p w14:paraId="52BDE7E3"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To establish comparative performance benchmarks, we implemented three representative home healthcare management approaches from literature:</w:t>
      </w:r>
    </w:p>
    <w:p w14:paraId="5A75D105" w14:textId="77777777" w:rsidR="00AF4FA5" w:rsidRPr="007D3D51" w:rsidRDefault="00000000" w:rsidP="00FA059E">
      <w:pPr>
        <w:numPr>
          <w:ilvl w:val="0"/>
          <w:numId w:val="9"/>
        </w:numPr>
        <w:jc w:val="both"/>
        <w:rPr>
          <w:rFonts w:ascii="Times New Roman" w:hAnsi="Times New Roman" w:cs="Times New Roman"/>
        </w:rPr>
      </w:pPr>
      <w:r w:rsidRPr="007D3D51">
        <w:rPr>
          <w:rFonts w:ascii="Times New Roman" w:hAnsi="Times New Roman" w:cs="Times New Roman"/>
          <w:b/>
          <w:bCs/>
        </w:rPr>
        <w:t>Traditional Manual System (TMS)</w:t>
      </w:r>
      <w:r w:rsidRPr="007D3D51">
        <w:rPr>
          <w:rFonts w:ascii="Times New Roman" w:hAnsi="Times New Roman" w:cs="Times New Roman"/>
        </w:rPr>
        <w:t xml:space="preserve">: Simulating paper-based scheduling and record-keeping as described in </w:t>
      </w:r>
      <w:hyperlink r:id="rId29">
        <w:r w:rsidRPr="007D3D51">
          <w:rPr>
            <w:rStyle w:val="Hyperlink"/>
            <w:rFonts w:ascii="Times New Roman" w:hAnsi="Times New Roman" w:cs="Times New Roman"/>
            <w:color w:val="auto"/>
          </w:rPr>
          <w:t>[21]</w:t>
        </w:r>
      </w:hyperlink>
    </w:p>
    <w:p w14:paraId="74E0A526" w14:textId="77777777" w:rsidR="00AF4FA5" w:rsidRPr="007D3D51" w:rsidRDefault="00000000" w:rsidP="00FA059E">
      <w:pPr>
        <w:numPr>
          <w:ilvl w:val="0"/>
          <w:numId w:val="9"/>
        </w:numPr>
        <w:jc w:val="both"/>
        <w:rPr>
          <w:rFonts w:ascii="Times New Roman" w:hAnsi="Times New Roman" w:cs="Times New Roman"/>
        </w:rPr>
      </w:pPr>
      <w:r w:rsidRPr="007D3D51">
        <w:rPr>
          <w:rFonts w:ascii="Times New Roman" w:hAnsi="Times New Roman" w:cs="Times New Roman"/>
          <w:b/>
          <w:bCs/>
        </w:rPr>
        <w:t>Modular EHR System</w:t>
      </w:r>
      <w:r w:rsidRPr="007D3D51">
        <w:rPr>
          <w:rFonts w:ascii="Times New Roman" w:hAnsi="Times New Roman" w:cs="Times New Roman"/>
        </w:rPr>
        <w:t xml:space="preserve">: Implementing electronic health records with basic scheduling features following </w:t>
      </w:r>
      <w:hyperlink r:id="rId30">
        <w:r w:rsidRPr="007D3D51">
          <w:rPr>
            <w:rStyle w:val="Hyperlink"/>
            <w:rFonts w:ascii="Times New Roman" w:hAnsi="Times New Roman" w:cs="Times New Roman"/>
            <w:color w:val="auto"/>
          </w:rPr>
          <w:t>[22]</w:t>
        </w:r>
      </w:hyperlink>
    </w:p>
    <w:p w14:paraId="692C9811" w14:textId="77777777" w:rsidR="00AF4FA5" w:rsidRPr="007D3D51" w:rsidRDefault="00000000" w:rsidP="00FA059E">
      <w:pPr>
        <w:numPr>
          <w:ilvl w:val="0"/>
          <w:numId w:val="9"/>
        </w:numPr>
        <w:jc w:val="both"/>
        <w:rPr>
          <w:rFonts w:ascii="Times New Roman" w:hAnsi="Times New Roman" w:cs="Times New Roman"/>
        </w:rPr>
      </w:pPr>
      <w:r w:rsidRPr="007D3D51">
        <w:rPr>
          <w:rFonts w:ascii="Times New Roman" w:hAnsi="Times New Roman" w:cs="Times New Roman"/>
          <w:b/>
          <w:bCs/>
        </w:rPr>
        <w:t>Commercial Care Coordination Platform</w:t>
      </w:r>
      <w:r w:rsidRPr="007D3D51">
        <w:rPr>
          <w:rFonts w:ascii="Times New Roman" w:hAnsi="Times New Roman" w:cs="Times New Roman"/>
        </w:rPr>
        <w:t xml:space="preserve">: Configuring a widely-used solution </w:t>
      </w:r>
      <w:hyperlink r:id="rId31">
        <w:r w:rsidRPr="007D3D51">
          <w:rPr>
            <w:rStyle w:val="Hyperlink"/>
            <w:rFonts w:ascii="Times New Roman" w:hAnsi="Times New Roman" w:cs="Times New Roman"/>
            <w:color w:val="auto"/>
          </w:rPr>
          <w:t>[23]</w:t>
        </w:r>
      </w:hyperlink>
      <w:r w:rsidRPr="007D3D51">
        <w:rPr>
          <w:rFonts w:ascii="Times New Roman" w:hAnsi="Times New Roman" w:cs="Times New Roman"/>
        </w:rPr>
        <w:t xml:space="preserve"> with comparable feature scope</w:t>
      </w:r>
    </w:p>
    <w:p w14:paraId="6ED2A85A"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Each baseline was evaluated under identical test conditions using the same datasets. The comparison focused on measuring improvements in:</w:t>
      </w:r>
    </w:p>
    <w:p w14:paraId="22917F48" w14:textId="77777777" w:rsidR="00AF4FA5" w:rsidRPr="007D3D51" w:rsidRDefault="00000000" w:rsidP="00FA059E">
      <w:pPr>
        <w:numPr>
          <w:ilvl w:val="0"/>
          <w:numId w:val="10"/>
        </w:numPr>
        <w:jc w:val="both"/>
        <w:rPr>
          <w:rFonts w:ascii="Times New Roman" w:hAnsi="Times New Roman" w:cs="Times New Roman"/>
        </w:rPr>
      </w:pPr>
      <w:r w:rsidRPr="007D3D51">
        <w:rPr>
          <w:rFonts w:ascii="Times New Roman" w:hAnsi="Times New Roman" w:cs="Times New Roman"/>
        </w:rPr>
        <w:t>Time spent on administrative tasks per caregiver shift</w:t>
      </w:r>
    </w:p>
    <w:p w14:paraId="42CCA6ED" w14:textId="77777777" w:rsidR="00AF4FA5" w:rsidRPr="007D3D51" w:rsidRDefault="00000000" w:rsidP="00FA059E">
      <w:pPr>
        <w:numPr>
          <w:ilvl w:val="0"/>
          <w:numId w:val="10"/>
        </w:numPr>
        <w:jc w:val="both"/>
        <w:rPr>
          <w:rFonts w:ascii="Times New Roman" w:hAnsi="Times New Roman" w:cs="Times New Roman"/>
        </w:rPr>
      </w:pPr>
      <w:r w:rsidRPr="007D3D51">
        <w:rPr>
          <w:rFonts w:ascii="Times New Roman" w:hAnsi="Times New Roman" w:cs="Times New Roman"/>
        </w:rPr>
        <w:t>Reduction in scheduling conflicts</w:t>
      </w:r>
    </w:p>
    <w:p w14:paraId="402CADA9" w14:textId="77777777" w:rsidR="00AF4FA5" w:rsidRPr="007D3D51" w:rsidRDefault="00000000" w:rsidP="00FA059E">
      <w:pPr>
        <w:numPr>
          <w:ilvl w:val="0"/>
          <w:numId w:val="10"/>
        </w:numPr>
        <w:jc w:val="both"/>
        <w:rPr>
          <w:rFonts w:ascii="Times New Roman" w:hAnsi="Times New Roman" w:cs="Times New Roman"/>
        </w:rPr>
      </w:pPr>
      <w:r w:rsidRPr="007D3D51">
        <w:rPr>
          <w:rFonts w:ascii="Times New Roman" w:hAnsi="Times New Roman" w:cs="Times New Roman"/>
        </w:rPr>
        <w:t>Accuracy of patient record updates</w:t>
      </w:r>
    </w:p>
    <w:p w14:paraId="0D0F04E3" w14:textId="77777777" w:rsidR="00AF4FA5" w:rsidRPr="007D3D51" w:rsidRDefault="00000000" w:rsidP="00FA059E">
      <w:pPr>
        <w:numPr>
          <w:ilvl w:val="0"/>
          <w:numId w:val="10"/>
        </w:numPr>
        <w:jc w:val="both"/>
        <w:rPr>
          <w:rFonts w:ascii="Times New Roman" w:hAnsi="Times New Roman" w:cs="Times New Roman"/>
        </w:rPr>
      </w:pPr>
      <w:r w:rsidRPr="007D3D51">
        <w:rPr>
          <w:rFonts w:ascii="Times New Roman" w:hAnsi="Times New Roman" w:cs="Times New Roman"/>
        </w:rPr>
        <w:t>System uptime and reliability</w:t>
      </w:r>
    </w:p>
    <w:p w14:paraId="143B3FCD" w14:textId="77777777" w:rsidR="00AF4FA5" w:rsidRPr="0018688C" w:rsidRDefault="00000000" w:rsidP="00FA059E">
      <w:pPr>
        <w:pStyle w:val="Heading4"/>
        <w:jc w:val="both"/>
        <w:rPr>
          <w:rFonts w:ascii="Times New Roman" w:hAnsi="Times New Roman" w:cs="Times New Roman"/>
          <w:b/>
          <w:bCs/>
          <w:color w:val="auto"/>
        </w:rPr>
      </w:pPr>
      <w:bookmarkStart w:id="17" w:name="evaluation-protocols"/>
      <w:bookmarkEnd w:id="16"/>
      <w:r w:rsidRPr="0018688C">
        <w:rPr>
          <w:rFonts w:ascii="Times New Roman" w:hAnsi="Times New Roman" w:cs="Times New Roman"/>
          <w:b/>
          <w:bCs/>
          <w:color w:val="auto"/>
        </w:rPr>
        <w:t>4.4 Evaluation Protocols</w:t>
      </w:r>
    </w:p>
    <w:p w14:paraId="400B4BF4"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experimental methodology followed three distinct evaluation phases:</w:t>
      </w:r>
    </w:p>
    <w:p w14:paraId="0C6D9720"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b/>
          <w:bCs/>
        </w:rPr>
        <w:t>Phase 1 - Functional Validation</w:t>
      </w:r>
      <w:r w:rsidRPr="007D3D51">
        <w:rPr>
          <w:rFonts w:ascii="Times New Roman" w:hAnsi="Times New Roman" w:cs="Times New Roman"/>
        </w:rPr>
        <w:t>:</w:t>
      </w:r>
    </w:p>
    <w:p w14:paraId="634B650A" w14:textId="77777777" w:rsidR="00AF4FA5" w:rsidRPr="007D3D51" w:rsidRDefault="00000000" w:rsidP="00FA059E">
      <w:pPr>
        <w:numPr>
          <w:ilvl w:val="0"/>
          <w:numId w:val="11"/>
        </w:numPr>
        <w:jc w:val="both"/>
        <w:rPr>
          <w:rFonts w:ascii="Times New Roman" w:hAnsi="Times New Roman" w:cs="Times New Roman"/>
        </w:rPr>
      </w:pPr>
      <w:r w:rsidRPr="007D3D51">
        <w:rPr>
          <w:rFonts w:ascii="Times New Roman" w:hAnsi="Times New Roman" w:cs="Times New Roman"/>
        </w:rPr>
        <w:t>Unit testing of all platform components using Jest and Mocha frameworks</w:t>
      </w:r>
    </w:p>
    <w:p w14:paraId="5E70163C" w14:textId="77777777" w:rsidR="00AF4FA5" w:rsidRPr="007D3D51" w:rsidRDefault="00000000" w:rsidP="00FA059E">
      <w:pPr>
        <w:numPr>
          <w:ilvl w:val="0"/>
          <w:numId w:val="11"/>
        </w:numPr>
        <w:jc w:val="both"/>
        <w:rPr>
          <w:rFonts w:ascii="Times New Roman" w:hAnsi="Times New Roman" w:cs="Times New Roman"/>
        </w:rPr>
      </w:pPr>
      <w:r w:rsidRPr="007D3D51">
        <w:rPr>
          <w:rFonts w:ascii="Times New Roman" w:hAnsi="Times New Roman" w:cs="Times New Roman"/>
        </w:rPr>
        <w:t>Integration testing through automated API validation suites</w:t>
      </w:r>
    </w:p>
    <w:p w14:paraId="0D11E154" w14:textId="77777777" w:rsidR="00AF4FA5" w:rsidRPr="007D3D51" w:rsidRDefault="00000000" w:rsidP="00FA059E">
      <w:pPr>
        <w:numPr>
          <w:ilvl w:val="0"/>
          <w:numId w:val="11"/>
        </w:numPr>
        <w:jc w:val="both"/>
        <w:rPr>
          <w:rFonts w:ascii="Times New Roman" w:hAnsi="Times New Roman" w:cs="Times New Roman"/>
        </w:rPr>
      </w:pPr>
      <w:r w:rsidRPr="007D3D51">
        <w:rPr>
          <w:rFonts w:ascii="Times New Roman" w:hAnsi="Times New Roman" w:cs="Times New Roman"/>
        </w:rPr>
        <w:t xml:space="preserve">Security penetration testing following OWASP guidelines </w:t>
      </w:r>
      <w:hyperlink r:id="rId32">
        <w:r w:rsidRPr="007D3D51">
          <w:rPr>
            <w:rStyle w:val="Hyperlink"/>
            <w:rFonts w:ascii="Times New Roman" w:hAnsi="Times New Roman" w:cs="Times New Roman"/>
            <w:color w:val="auto"/>
          </w:rPr>
          <w:t>[24]</w:t>
        </w:r>
      </w:hyperlink>
    </w:p>
    <w:p w14:paraId="01FE0BB7"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b/>
          <w:bCs/>
        </w:rPr>
        <w:t>Phase 2 - Performance Benchmarking</w:t>
      </w:r>
      <w:r w:rsidRPr="007D3D51">
        <w:rPr>
          <w:rFonts w:ascii="Times New Roman" w:hAnsi="Times New Roman" w:cs="Times New Roman"/>
        </w:rPr>
        <w:t>:</w:t>
      </w:r>
    </w:p>
    <w:p w14:paraId="0A1427CD" w14:textId="77777777" w:rsidR="00AF4FA5" w:rsidRPr="007D3D51" w:rsidRDefault="00000000" w:rsidP="00FA059E">
      <w:pPr>
        <w:numPr>
          <w:ilvl w:val="0"/>
          <w:numId w:val="12"/>
        </w:numPr>
        <w:jc w:val="both"/>
        <w:rPr>
          <w:rFonts w:ascii="Times New Roman" w:hAnsi="Times New Roman" w:cs="Times New Roman"/>
        </w:rPr>
      </w:pPr>
      <w:r w:rsidRPr="007D3D51">
        <w:rPr>
          <w:rFonts w:ascii="Times New Roman" w:hAnsi="Times New Roman" w:cs="Times New Roman"/>
        </w:rPr>
        <w:t>Load testing with up to 10,000 concurrent users using Locust.io</w:t>
      </w:r>
    </w:p>
    <w:p w14:paraId="42479F6B" w14:textId="77777777" w:rsidR="00AF4FA5" w:rsidRPr="007D3D51" w:rsidRDefault="00000000" w:rsidP="00FA059E">
      <w:pPr>
        <w:numPr>
          <w:ilvl w:val="0"/>
          <w:numId w:val="12"/>
        </w:numPr>
        <w:jc w:val="both"/>
        <w:rPr>
          <w:rFonts w:ascii="Times New Roman" w:hAnsi="Times New Roman" w:cs="Times New Roman"/>
        </w:rPr>
      </w:pPr>
      <w:r w:rsidRPr="007D3D51">
        <w:rPr>
          <w:rFonts w:ascii="Times New Roman" w:hAnsi="Times New Roman" w:cs="Times New Roman"/>
        </w:rPr>
        <w:t>Stress testing under network partition scenarios</w:t>
      </w:r>
    </w:p>
    <w:p w14:paraId="50BBA254" w14:textId="77777777" w:rsidR="00AF4FA5" w:rsidRPr="007D3D51" w:rsidRDefault="00000000" w:rsidP="00FA059E">
      <w:pPr>
        <w:numPr>
          <w:ilvl w:val="0"/>
          <w:numId w:val="12"/>
        </w:numPr>
        <w:jc w:val="both"/>
        <w:rPr>
          <w:rFonts w:ascii="Times New Roman" w:hAnsi="Times New Roman" w:cs="Times New Roman"/>
        </w:rPr>
      </w:pPr>
      <w:r w:rsidRPr="007D3D51">
        <w:rPr>
          <w:rFonts w:ascii="Times New Roman" w:hAnsi="Times New Roman" w:cs="Times New Roman"/>
        </w:rPr>
        <w:t>Long-term stability monitoring over 30-day periods</w:t>
      </w:r>
    </w:p>
    <w:p w14:paraId="494F5299"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b/>
          <w:bCs/>
        </w:rPr>
        <w:lastRenderedPageBreak/>
        <w:t>Phase 3 - User Experience Assessment</w:t>
      </w:r>
      <w:r w:rsidRPr="007D3D51">
        <w:rPr>
          <w:rFonts w:ascii="Times New Roman" w:hAnsi="Times New Roman" w:cs="Times New Roman"/>
        </w:rPr>
        <w:t>:</w:t>
      </w:r>
    </w:p>
    <w:p w14:paraId="03208882" w14:textId="77777777" w:rsidR="00AF4FA5" w:rsidRPr="007D3D51" w:rsidRDefault="00000000" w:rsidP="00FA059E">
      <w:pPr>
        <w:numPr>
          <w:ilvl w:val="0"/>
          <w:numId w:val="13"/>
        </w:numPr>
        <w:jc w:val="both"/>
        <w:rPr>
          <w:rFonts w:ascii="Times New Roman" w:hAnsi="Times New Roman" w:cs="Times New Roman"/>
        </w:rPr>
      </w:pPr>
      <w:r w:rsidRPr="007D3D51">
        <w:rPr>
          <w:rFonts w:ascii="Times New Roman" w:hAnsi="Times New Roman" w:cs="Times New Roman"/>
        </w:rPr>
        <w:t>Structured interviews with 15 caregivers and 25 patients</w:t>
      </w:r>
    </w:p>
    <w:p w14:paraId="12219D4D" w14:textId="77777777" w:rsidR="00AF4FA5" w:rsidRPr="007D3D51" w:rsidRDefault="00000000" w:rsidP="00FA059E">
      <w:pPr>
        <w:numPr>
          <w:ilvl w:val="0"/>
          <w:numId w:val="13"/>
        </w:numPr>
        <w:jc w:val="both"/>
        <w:rPr>
          <w:rFonts w:ascii="Times New Roman" w:hAnsi="Times New Roman" w:cs="Times New Roman"/>
        </w:rPr>
      </w:pPr>
      <w:r w:rsidRPr="007D3D51">
        <w:rPr>
          <w:rFonts w:ascii="Times New Roman" w:hAnsi="Times New Roman" w:cs="Times New Roman"/>
        </w:rPr>
        <w:t xml:space="preserve">System Usability Scale (SUS) questionnaires </w:t>
      </w:r>
      <w:hyperlink r:id="rId33">
        <w:r w:rsidRPr="007D3D51">
          <w:rPr>
            <w:rStyle w:val="Hyperlink"/>
            <w:rFonts w:ascii="Times New Roman" w:hAnsi="Times New Roman" w:cs="Times New Roman"/>
            <w:color w:val="auto"/>
          </w:rPr>
          <w:t>[25]</w:t>
        </w:r>
      </w:hyperlink>
    </w:p>
    <w:p w14:paraId="2E9C3DAF" w14:textId="77777777" w:rsidR="00AF4FA5" w:rsidRPr="007D3D51" w:rsidRDefault="00000000" w:rsidP="00FA059E">
      <w:pPr>
        <w:numPr>
          <w:ilvl w:val="0"/>
          <w:numId w:val="13"/>
        </w:numPr>
        <w:jc w:val="both"/>
        <w:rPr>
          <w:rFonts w:ascii="Times New Roman" w:hAnsi="Times New Roman" w:cs="Times New Roman"/>
        </w:rPr>
      </w:pPr>
      <w:r w:rsidRPr="007D3D51">
        <w:rPr>
          <w:rFonts w:ascii="Times New Roman" w:hAnsi="Times New Roman" w:cs="Times New Roman"/>
        </w:rPr>
        <w:t>Task completion time measurements for critical workflows</w:t>
      </w:r>
    </w:p>
    <w:p w14:paraId="3AF74195"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Statistical significance of observed improvements was verified through two-tailed t-tests with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0.05</m:t>
        </m:r>
      </m:oMath>
      <w:r w:rsidRPr="007D3D51">
        <w:rPr>
          <w:rFonts w:ascii="Times New Roman" w:hAnsi="Times New Roman" w:cs="Times New Roman"/>
        </w:rPr>
        <w:t>, while effect sizes were calculated using Cohen’s d for continuous variables. All experiments were repeated across 10 trial runs to ensure result consistency.</w:t>
      </w:r>
    </w:p>
    <w:p w14:paraId="3A9BD742"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The evaluation framework incorporated both quantitative metrics and qualitative feedback to provide a holistic assessment of the platform’s capabilities across technical, operational, and user experience dimensions. This multi-faceted approach enabled comprehensive validation of the system’s ability to address the identified challenges in home healthcare management.</w:t>
      </w:r>
    </w:p>
    <w:p w14:paraId="079DC88F" w14:textId="77777777" w:rsidR="00AF4FA5" w:rsidRPr="0018688C" w:rsidRDefault="00000000" w:rsidP="00FA059E">
      <w:pPr>
        <w:pStyle w:val="Heading3"/>
        <w:jc w:val="both"/>
        <w:rPr>
          <w:rFonts w:ascii="Times New Roman" w:hAnsi="Times New Roman" w:cs="Times New Roman"/>
          <w:b/>
          <w:bCs/>
          <w:color w:val="auto"/>
        </w:rPr>
      </w:pPr>
      <w:bookmarkStart w:id="18" w:name="results-and-analysis"/>
      <w:bookmarkEnd w:id="13"/>
      <w:bookmarkEnd w:id="17"/>
      <w:r w:rsidRPr="0018688C">
        <w:rPr>
          <w:rFonts w:ascii="Times New Roman" w:hAnsi="Times New Roman" w:cs="Times New Roman"/>
          <w:b/>
          <w:bCs/>
          <w:color w:val="auto"/>
        </w:rPr>
        <w:t>5. Results and Analysis</w:t>
      </w:r>
    </w:p>
    <w:p w14:paraId="4B23D7A9"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experimental evaluation of the proposed integrated home healthcare platform demonstrates significant improvements across multiple dimensions compared to existing solutions. The results are organized into three key areas: system performance metrics, operational efficiency gains, and user experience outcomes.</w:t>
      </w:r>
    </w:p>
    <w:p w14:paraId="391553B3" w14:textId="77777777" w:rsidR="00AF4FA5" w:rsidRPr="0018688C" w:rsidRDefault="00000000" w:rsidP="00FA059E">
      <w:pPr>
        <w:pStyle w:val="Heading4"/>
        <w:jc w:val="both"/>
        <w:rPr>
          <w:rFonts w:ascii="Times New Roman" w:hAnsi="Times New Roman" w:cs="Times New Roman"/>
          <w:b/>
          <w:bCs/>
          <w:color w:val="auto"/>
        </w:rPr>
      </w:pPr>
      <w:bookmarkStart w:id="19" w:name="system-performance-metrics"/>
      <w:r w:rsidRPr="0018688C">
        <w:rPr>
          <w:rFonts w:ascii="Times New Roman" w:hAnsi="Times New Roman" w:cs="Times New Roman"/>
          <w:b/>
          <w:bCs/>
          <w:color w:val="auto"/>
        </w:rPr>
        <w:t>5.1 System Performance Metrics</w:t>
      </w:r>
    </w:p>
    <w:p w14:paraId="0238C3B0"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platform exhibited robust technical capabilities under varying load conditions. As shown in Table 1, critical operations maintained sub-second response times even at peak utilization levels. The scheduling algorithm processed 98.7% of requests within 500ms, outperforming baseline systems by 2.4×.</w:t>
      </w:r>
    </w:p>
    <w:p w14:paraId="56B7D941"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b/>
          <w:bCs/>
        </w:rPr>
        <w:t>Table 1. System Response Time Comparison (90th Percentile in Milliseconds)</w:t>
      </w:r>
    </w:p>
    <w:tbl>
      <w:tblPr>
        <w:tblStyle w:val="PlainTable2"/>
        <w:tblW w:w="5000" w:type="pct"/>
        <w:tblLayout w:type="fixed"/>
        <w:tblLook w:val="0020" w:firstRow="1" w:lastRow="0" w:firstColumn="0" w:lastColumn="0" w:noHBand="0" w:noVBand="0"/>
      </w:tblPr>
      <w:tblGrid>
        <w:gridCol w:w="2597"/>
        <w:gridCol w:w="2208"/>
        <w:gridCol w:w="1688"/>
        <w:gridCol w:w="2857"/>
      </w:tblGrid>
      <w:tr w:rsidR="00FA059E" w:rsidRPr="007D3D51" w14:paraId="24DC25E4" w14:textId="77777777" w:rsidTr="0018688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97" w:type="dxa"/>
          </w:tcPr>
          <w:p w14:paraId="661673CC"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Operation</w:t>
            </w:r>
          </w:p>
        </w:tc>
        <w:tc>
          <w:tcPr>
            <w:cnfStyle w:val="000001000000" w:firstRow="0" w:lastRow="0" w:firstColumn="0" w:lastColumn="0" w:oddVBand="0" w:evenVBand="1" w:oddHBand="0" w:evenHBand="0" w:firstRowFirstColumn="0" w:firstRowLastColumn="0" w:lastRowFirstColumn="0" w:lastRowLastColumn="0"/>
            <w:tcW w:w="2208" w:type="dxa"/>
          </w:tcPr>
          <w:p w14:paraId="06653A25"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Proposed System</w:t>
            </w:r>
          </w:p>
        </w:tc>
        <w:tc>
          <w:tcPr>
            <w:cnfStyle w:val="000010000000" w:firstRow="0" w:lastRow="0" w:firstColumn="0" w:lastColumn="0" w:oddVBand="1" w:evenVBand="0" w:oddHBand="0" w:evenHBand="0" w:firstRowFirstColumn="0" w:firstRowLastColumn="0" w:lastRowFirstColumn="0" w:lastRowLastColumn="0"/>
            <w:tcW w:w="1688" w:type="dxa"/>
          </w:tcPr>
          <w:p w14:paraId="74745988"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Modular EHR</w:t>
            </w:r>
          </w:p>
        </w:tc>
        <w:tc>
          <w:tcPr>
            <w:cnfStyle w:val="000001000000" w:firstRow="0" w:lastRow="0" w:firstColumn="0" w:lastColumn="0" w:oddVBand="0" w:evenVBand="1" w:oddHBand="0" w:evenHBand="0" w:firstRowFirstColumn="0" w:firstRowLastColumn="0" w:lastRowFirstColumn="0" w:lastRowLastColumn="0"/>
            <w:tcW w:w="2857" w:type="dxa"/>
          </w:tcPr>
          <w:p w14:paraId="2E9BAA2C"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Commercial Platform</w:t>
            </w:r>
          </w:p>
        </w:tc>
      </w:tr>
      <w:tr w:rsidR="00FA059E" w:rsidRPr="007D3D51" w14:paraId="65645DBF" w14:textId="77777777" w:rsidTr="0018688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97" w:type="dxa"/>
          </w:tcPr>
          <w:p w14:paraId="2CA64F61"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Appointment Booking</w:t>
            </w:r>
          </w:p>
        </w:tc>
        <w:tc>
          <w:tcPr>
            <w:cnfStyle w:val="000001000000" w:firstRow="0" w:lastRow="0" w:firstColumn="0" w:lastColumn="0" w:oddVBand="0" w:evenVBand="1" w:oddHBand="0" w:evenHBand="0" w:firstRowFirstColumn="0" w:firstRowLastColumn="0" w:lastRowFirstColumn="0" w:lastRowLastColumn="0"/>
            <w:tcW w:w="2208" w:type="dxa"/>
          </w:tcPr>
          <w:p w14:paraId="034014E2"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420</w:t>
            </w:r>
          </w:p>
        </w:tc>
        <w:tc>
          <w:tcPr>
            <w:cnfStyle w:val="000010000000" w:firstRow="0" w:lastRow="0" w:firstColumn="0" w:lastColumn="0" w:oddVBand="1" w:evenVBand="0" w:oddHBand="0" w:evenHBand="0" w:firstRowFirstColumn="0" w:firstRowLastColumn="0" w:lastRowFirstColumn="0" w:lastRowLastColumn="0"/>
            <w:tcW w:w="1688" w:type="dxa"/>
          </w:tcPr>
          <w:p w14:paraId="4C6DD102"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980</w:t>
            </w:r>
          </w:p>
        </w:tc>
        <w:tc>
          <w:tcPr>
            <w:cnfStyle w:val="000001000000" w:firstRow="0" w:lastRow="0" w:firstColumn="0" w:lastColumn="0" w:oddVBand="0" w:evenVBand="1" w:oddHBand="0" w:evenHBand="0" w:firstRowFirstColumn="0" w:firstRowLastColumn="0" w:lastRowFirstColumn="0" w:lastRowLastColumn="0"/>
            <w:tcW w:w="2857" w:type="dxa"/>
          </w:tcPr>
          <w:p w14:paraId="2BF80855"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760</w:t>
            </w:r>
          </w:p>
        </w:tc>
      </w:tr>
      <w:tr w:rsidR="00FA059E" w:rsidRPr="007D3D51" w14:paraId="71C16683" w14:textId="77777777" w:rsidTr="0018688C">
        <w:tc>
          <w:tcPr>
            <w:cnfStyle w:val="000010000000" w:firstRow="0" w:lastRow="0" w:firstColumn="0" w:lastColumn="0" w:oddVBand="1" w:evenVBand="0" w:oddHBand="0" w:evenHBand="0" w:firstRowFirstColumn="0" w:firstRowLastColumn="0" w:lastRowFirstColumn="0" w:lastRowLastColumn="0"/>
            <w:tcW w:w="2597" w:type="dxa"/>
          </w:tcPr>
          <w:p w14:paraId="566D636B"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Caregiver Dispatch</w:t>
            </w:r>
          </w:p>
        </w:tc>
        <w:tc>
          <w:tcPr>
            <w:cnfStyle w:val="000001000000" w:firstRow="0" w:lastRow="0" w:firstColumn="0" w:lastColumn="0" w:oddVBand="0" w:evenVBand="1" w:oddHBand="0" w:evenHBand="0" w:firstRowFirstColumn="0" w:firstRowLastColumn="0" w:lastRowFirstColumn="0" w:lastRowLastColumn="0"/>
            <w:tcW w:w="2208" w:type="dxa"/>
          </w:tcPr>
          <w:p w14:paraId="3D8BE374"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380</w:t>
            </w:r>
          </w:p>
        </w:tc>
        <w:tc>
          <w:tcPr>
            <w:cnfStyle w:val="000010000000" w:firstRow="0" w:lastRow="0" w:firstColumn="0" w:lastColumn="0" w:oddVBand="1" w:evenVBand="0" w:oddHBand="0" w:evenHBand="0" w:firstRowFirstColumn="0" w:firstRowLastColumn="0" w:lastRowFirstColumn="0" w:lastRowLastColumn="0"/>
            <w:tcW w:w="1688" w:type="dxa"/>
          </w:tcPr>
          <w:p w14:paraId="3AA19BFA"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850</w:t>
            </w:r>
          </w:p>
        </w:tc>
        <w:tc>
          <w:tcPr>
            <w:cnfStyle w:val="000001000000" w:firstRow="0" w:lastRow="0" w:firstColumn="0" w:lastColumn="0" w:oddVBand="0" w:evenVBand="1" w:oddHBand="0" w:evenHBand="0" w:firstRowFirstColumn="0" w:firstRowLastColumn="0" w:lastRowFirstColumn="0" w:lastRowLastColumn="0"/>
            <w:tcW w:w="2857" w:type="dxa"/>
          </w:tcPr>
          <w:p w14:paraId="64E9A08E"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920</w:t>
            </w:r>
          </w:p>
        </w:tc>
      </w:tr>
      <w:tr w:rsidR="00FA059E" w:rsidRPr="007D3D51" w14:paraId="3F6F41E2" w14:textId="77777777" w:rsidTr="0018688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97" w:type="dxa"/>
          </w:tcPr>
          <w:p w14:paraId="2386A441"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Record Update</w:t>
            </w:r>
          </w:p>
        </w:tc>
        <w:tc>
          <w:tcPr>
            <w:cnfStyle w:val="000001000000" w:firstRow="0" w:lastRow="0" w:firstColumn="0" w:lastColumn="0" w:oddVBand="0" w:evenVBand="1" w:oddHBand="0" w:evenHBand="0" w:firstRowFirstColumn="0" w:firstRowLastColumn="0" w:lastRowFirstColumn="0" w:lastRowLastColumn="0"/>
            <w:tcW w:w="2208" w:type="dxa"/>
          </w:tcPr>
          <w:p w14:paraId="7F582468"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290</w:t>
            </w:r>
          </w:p>
        </w:tc>
        <w:tc>
          <w:tcPr>
            <w:cnfStyle w:val="000010000000" w:firstRow="0" w:lastRow="0" w:firstColumn="0" w:lastColumn="0" w:oddVBand="1" w:evenVBand="0" w:oddHBand="0" w:evenHBand="0" w:firstRowFirstColumn="0" w:firstRowLastColumn="0" w:lastRowFirstColumn="0" w:lastRowLastColumn="0"/>
            <w:tcW w:w="1688" w:type="dxa"/>
          </w:tcPr>
          <w:p w14:paraId="73799EF7"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670</w:t>
            </w:r>
          </w:p>
        </w:tc>
        <w:tc>
          <w:tcPr>
            <w:cnfStyle w:val="000001000000" w:firstRow="0" w:lastRow="0" w:firstColumn="0" w:lastColumn="0" w:oddVBand="0" w:evenVBand="1" w:oddHBand="0" w:evenHBand="0" w:firstRowFirstColumn="0" w:firstRowLastColumn="0" w:lastRowFirstColumn="0" w:lastRowLastColumn="0"/>
            <w:tcW w:w="2857" w:type="dxa"/>
          </w:tcPr>
          <w:p w14:paraId="1BD46D3B"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580</w:t>
            </w:r>
          </w:p>
        </w:tc>
      </w:tr>
    </w:tbl>
    <w:p w14:paraId="0FD6329B" w14:textId="5FE52B07" w:rsidR="00E37A51" w:rsidRPr="007D3D51" w:rsidRDefault="0018688C" w:rsidP="00FA059E">
      <w:pPr>
        <w:pStyle w:val="BodyText"/>
        <w:jc w:val="both"/>
        <w:rPr>
          <w:rFonts w:ascii="Times New Roman" w:hAnsi="Times New Roman" w:cs="Times New Roman"/>
        </w:rPr>
      </w:pPr>
      <w:r w:rsidRPr="007D3D51">
        <w:rPr>
          <w:rFonts w:ascii="Times New Roman" w:hAnsi="Times New Roman" w:cs="Times New Roman"/>
          <w:noProof/>
        </w:rPr>
        <w:drawing>
          <wp:inline distT="0" distB="0" distL="0" distR="0" wp14:anchorId="75B08454" wp14:editId="412AD3A0">
            <wp:extent cx="5838825" cy="231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68697" cy="2323155"/>
                    </a:xfrm>
                    <a:prstGeom prst="rect">
                      <a:avLst/>
                    </a:prstGeom>
                    <a:noFill/>
                  </pic:spPr>
                </pic:pic>
              </a:graphicData>
            </a:graphic>
          </wp:inline>
        </w:drawing>
      </w:r>
    </w:p>
    <w:p w14:paraId="36599AEA" w14:textId="4C1E2C87" w:rsidR="00E37A51" w:rsidRPr="007D3D51" w:rsidRDefault="00E37A51" w:rsidP="00E37A51">
      <w:pPr>
        <w:pStyle w:val="BodyText"/>
        <w:jc w:val="center"/>
        <w:rPr>
          <w:rFonts w:ascii="Times New Roman" w:hAnsi="Times New Roman" w:cs="Times New Roman"/>
          <w:b/>
          <w:bCs/>
        </w:rPr>
      </w:pPr>
      <w:r w:rsidRPr="007D3D51">
        <w:rPr>
          <w:rFonts w:ascii="Times New Roman" w:hAnsi="Times New Roman" w:cs="Times New Roman"/>
          <w:b/>
          <w:bCs/>
        </w:rPr>
        <w:t>Figure2: System response time comparison (90th percentile in milliseconds)</w:t>
      </w:r>
    </w:p>
    <w:p w14:paraId="2A3F3F96" w14:textId="0D7B3368"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lastRenderedPageBreak/>
        <w:t xml:space="preserve">Data synchronization latency </w:t>
      </w:r>
      <m:oMath>
        <m:sSub>
          <m:sSubPr>
            <m:ctrlPr>
              <w:rPr>
                <w:rFonts w:ascii="Cambria Math" w:hAnsi="Cambria Math" w:cs="Times New Roman"/>
              </w:rPr>
            </m:ctrlPr>
          </m:sSubPr>
          <m:e>
            <m:r>
              <m:rPr>
                <m:sty m:val="p"/>
              </m:rPr>
              <w:rPr>
                <w:rFonts w:ascii="Cambria Math" w:hAnsi="Cambria Math" w:cs="Times New Roman"/>
              </w:rPr>
              <m:t>Δ</m:t>
            </m:r>
          </m:e>
          <m:sub>
            <m:r>
              <w:rPr>
                <w:rFonts w:ascii="Cambria Math" w:hAnsi="Cambria Math" w:cs="Times New Roman"/>
              </w:rPr>
              <m:t>sync</m:t>
            </m:r>
          </m:sub>
        </m:sSub>
      </m:oMath>
      <w:r w:rsidRPr="007D3D51">
        <w:rPr>
          <w:rFonts w:ascii="Times New Roman" w:hAnsi="Times New Roman" w:cs="Times New Roman"/>
        </w:rPr>
        <w:t xml:space="preserve"> averaged 1.2 seconds across distributed nodes, with 95% of updates propagating within 2 seconds. This represents a 68% improvement over the commercial platform’s eventual consistency model </w:t>
      </w:r>
      <w:hyperlink r:id="rId35">
        <w:r w:rsidRPr="007D3D51">
          <w:rPr>
            <w:rStyle w:val="Hyperlink"/>
            <w:rFonts w:ascii="Times New Roman" w:hAnsi="Times New Roman" w:cs="Times New Roman"/>
            <w:color w:val="auto"/>
          </w:rPr>
          <w:t>[23]</w:t>
        </w:r>
      </w:hyperlink>
      <w:r w:rsidRPr="007D3D51">
        <w:rPr>
          <w:rFonts w:ascii="Times New Roman" w:hAnsi="Times New Roman" w:cs="Times New Roman"/>
        </w:rPr>
        <w:t>. The real-time update mechanism (Equation 4) successfully resolved 99.4% of concurrent modification conflicts without manual intervention.</w:t>
      </w:r>
    </w:p>
    <w:p w14:paraId="57773814"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Security validation tests confirmed the effectiveness of the cryptographic framework. The AES-256 implementation (Equation 12) demonstrated negligible performance overhead (&lt;3% increase in storage operations) while achieving FIPS 140-2 compliance. Access control policies (Equation 14) prevented 100% of unauthorized access attempts during penetration testing.</w:t>
      </w:r>
    </w:p>
    <w:p w14:paraId="13AF4843" w14:textId="77777777" w:rsidR="00AF4FA5" w:rsidRPr="0018688C" w:rsidRDefault="00000000" w:rsidP="00FA059E">
      <w:pPr>
        <w:pStyle w:val="Heading4"/>
        <w:jc w:val="both"/>
        <w:rPr>
          <w:rFonts w:ascii="Times New Roman" w:hAnsi="Times New Roman" w:cs="Times New Roman"/>
          <w:b/>
          <w:bCs/>
          <w:color w:val="auto"/>
        </w:rPr>
      </w:pPr>
      <w:bookmarkStart w:id="20" w:name="operational-efficiency-improvements"/>
      <w:bookmarkEnd w:id="19"/>
      <w:r w:rsidRPr="0018688C">
        <w:rPr>
          <w:rFonts w:ascii="Times New Roman" w:hAnsi="Times New Roman" w:cs="Times New Roman"/>
          <w:b/>
          <w:bCs/>
          <w:color w:val="auto"/>
        </w:rPr>
        <w:t>5.2 Operational Efficiency Improvements</w:t>
      </w:r>
    </w:p>
    <w:p w14:paraId="4673E285"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dynamic scheduling algorithm (Equations 6-8) achieved 92.3% optimal caregiver utilization, reducing idle time by 41% compared to manual methods. Geographic proximity constraints (δ=15km) decreased average travel time to 18 minutes per visit, a 35% reduction from traditional systems.</w:t>
      </w:r>
    </w:p>
    <w:p w14:paraId="66C5DA49"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b/>
          <w:bCs/>
        </w:rPr>
        <w:t>Table 2. Scheduling Efficiency Metrics</w:t>
      </w:r>
    </w:p>
    <w:tbl>
      <w:tblPr>
        <w:tblStyle w:val="PlainTable2"/>
        <w:tblW w:w="5000" w:type="pct"/>
        <w:tblLayout w:type="fixed"/>
        <w:tblLook w:val="0020" w:firstRow="1" w:lastRow="0" w:firstColumn="0" w:lastColumn="0" w:noHBand="0" w:noVBand="0"/>
      </w:tblPr>
      <w:tblGrid>
        <w:gridCol w:w="3791"/>
        <w:gridCol w:w="2304"/>
        <w:gridCol w:w="1492"/>
        <w:gridCol w:w="1763"/>
      </w:tblGrid>
      <w:tr w:rsidR="00FA059E" w:rsidRPr="007D3D51" w14:paraId="01E242DD" w14:textId="77777777" w:rsidTr="007A044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4F5417C8"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Metric</w:t>
            </w:r>
          </w:p>
        </w:tc>
        <w:tc>
          <w:tcPr>
            <w:cnfStyle w:val="000001000000" w:firstRow="0" w:lastRow="0" w:firstColumn="0" w:lastColumn="0" w:oddVBand="0" w:evenVBand="1" w:oddHBand="0" w:evenHBand="0" w:firstRowFirstColumn="0" w:firstRowLastColumn="0" w:lastRowFirstColumn="0" w:lastRowLastColumn="0"/>
            <w:tcW w:w="2360" w:type="dxa"/>
          </w:tcPr>
          <w:p w14:paraId="682137C2"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Proposed System</w:t>
            </w:r>
          </w:p>
        </w:tc>
        <w:tc>
          <w:tcPr>
            <w:cnfStyle w:val="000010000000" w:firstRow="0" w:lastRow="0" w:firstColumn="0" w:lastColumn="0" w:oddVBand="1" w:evenVBand="0" w:oddHBand="0" w:evenHBand="0" w:firstRowFirstColumn="0" w:firstRowLastColumn="0" w:lastRowFirstColumn="0" w:lastRowLastColumn="0"/>
            <w:tcW w:w="1526" w:type="dxa"/>
          </w:tcPr>
          <w:p w14:paraId="5D650117"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TMS</w:t>
            </w:r>
          </w:p>
        </w:tc>
        <w:tc>
          <w:tcPr>
            <w:cnfStyle w:val="000001000000" w:firstRow="0" w:lastRow="0" w:firstColumn="0" w:lastColumn="0" w:oddVBand="0" w:evenVBand="1" w:oddHBand="0" w:evenHBand="0" w:firstRowFirstColumn="0" w:firstRowLastColumn="0" w:lastRowFirstColumn="0" w:lastRowLastColumn="0"/>
            <w:tcW w:w="1804" w:type="dxa"/>
          </w:tcPr>
          <w:p w14:paraId="06E7B39D"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Improvement</w:t>
            </w:r>
          </w:p>
        </w:tc>
      </w:tr>
      <w:tr w:rsidR="00FA059E" w:rsidRPr="007D3D51" w14:paraId="639A8008" w14:textId="77777777" w:rsidTr="007A04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602BCDEF"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Same-day request fulfillment</w:t>
            </w:r>
          </w:p>
        </w:tc>
        <w:tc>
          <w:tcPr>
            <w:cnfStyle w:val="000001000000" w:firstRow="0" w:lastRow="0" w:firstColumn="0" w:lastColumn="0" w:oddVBand="0" w:evenVBand="1" w:oddHBand="0" w:evenHBand="0" w:firstRowFirstColumn="0" w:firstRowLastColumn="0" w:lastRowFirstColumn="0" w:lastRowLastColumn="0"/>
            <w:tcW w:w="2360" w:type="dxa"/>
          </w:tcPr>
          <w:p w14:paraId="0B8825C4"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88%</w:t>
            </w:r>
          </w:p>
        </w:tc>
        <w:tc>
          <w:tcPr>
            <w:cnfStyle w:val="000010000000" w:firstRow="0" w:lastRow="0" w:firstColumn="0" w:lastColumn="0" w:oddVBand="1" w:evenVBand="0" w:oddHBand="0" w:evenHBand="0" w:firstRowFirstColumn="0" w:firstRowLastColumn="0" w:lastRowFirstColumn="0" w:lastRowLastColumn="0"/>
            <w:tcW w:w="1526" w:type="dxa"/>
          </w:tcPr>
          <w:p w14:paraId="011D95D1"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52%</w:t>
            </w:r>
          </w:p>
        </w:tc>
        <w:tc>
          <w:tcPr>
            <w:cnfStyle w:val="000001000000" w:firstRow="0" w:lastRow="0" w:firstColumn="0" w:lastColumn="0" w:oddVBand="0" w:evenVBand="1" w:oddHBand="0" w:evenHBand="0" w:firstRowFirstColumn="0" w:firstRowLastColumn="0" w:lastRowFirstColumn="0" w:lastRowLastColumn="0"/>
            <w:tcW w:w="1804" w:type="dxa"/>
          </w:tcPr>
          <w:p w14:paraId="67091C95"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+69%</w:t>
            </w:r>
          </w:p>
        </w:tc>
      </w:tr>
      <w:tr w:rsidR="00FA059E" w:rsidRPr="007D3D51" w14:paraId="2CF0DB87" w14:textId="77777777" w:rsidTr="007A0446">
        <w:tc>
          <w:tcPr>
            <w:cnfStyle w:val="000010000000" w:firstRow="0" w:lastRow="0" w:firstColumn="0" w:lastColumn="0" w:oddVBand="1" w:evenVBand="0" w:oddHBand="0" w:evenHBand="0" w:firstRowFirstColumn="0" w:firstRowLastColumn="0" w:lastRowFirstColumn="0" w:lastRowLastColumn="0"/>
            <w:tcW w:w="3886" w:type="dxa"/>
          </w:tcPr>
          <w:p w14:paraId="392E9A88"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Skill-match accuracy</w:t>
            </w:r>
          </w:p>
        </w:tc>
        <w:tc>
          <w:tcPr>
            <w:cnfStyle w:val="000001000000" w:firstRow="0" w:lastRow="0" w:firstColumn="0" w:lastColumn="0" w:oddVBand="0" w:evenVBand="1" w:oddHBand="0" w:evenHBand="0" w:firstRowFirstColumn="0" w:firstRowLastColumn="0" w:lastRowFirstColumn="0" w:lastRowLastColumn="0"/>
            <w:tcW w:w="2360" w:type="dxa"/>
          </w:tcPr>
          <w:p w14:paraId="4BEB3543"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97%</w:t>
            </w:r>
          </w:p>
        </w:tc>
        <w:tc>
          <w:tcPr>
            <w:cnfStyle w:val="000010000000" w:firstRow="0" w:lastRow="0" w:firstColumn="0" w:lastColumn="0" w:oddVBand="1" w:evenVBand="0" w:oddHBand="0" w:evenHBand="0" w:firstRowFirstColumn="0" w:firstRowLastColumn="0" w:lastRowFirstColumn="0" w:lastRowLastColumn="0"/>
            <w:tcW w:w="1526" w:type="dxa"/>
          </w:tcPr>
          <w:p w14:paraId="19672DB9"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78%</w:t>
            </w:r>
          </w:p>
        </w:tc>
        <w:tc>
          <w:tcPr>
            <w:cnfStyle w:val="000001000000" w:firstRow="0" w:lastRow="0" w:firstColumn="0" w:lastColumn="0" w:oddVBand="0" w:evenVBand="1" w:oddHBand="0" w:evenHBand="0" w:firstRowFirstColumn="0" w:firstRowLastColumn="0" w:lastRowFirstColumn="0" w:lastRowLastColumn="0"/>
            <w:tcW w:w="1804" w:type="dxa"/>
          </w:tcPr>
          <w:p w14:paraId="2651D8A4"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+24%</w:t>
            </w:r>
          </w:p>
        </w:tc>
      </w:tr>
      <w:tr w:rsidR="00FA059E" w:rsidRPr="007D3D51" w14:paraId="25DA6D6A" w14:textId="77777777" w:rsidTr="007A04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86" w:type="dxa"/>
          </w:tcPr>
          <w:p w14:paraId="2F229C9E"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Scheduling conflicts/month</w:t>
            </w:r>
          </w:p>
        </w:tc>
        <w:tc>
          <w:tcPr>
            <w:cnfStyle w:val="000001000000" w:firstRow="0" w:lastRow="0" w:firstColumn="0" w:lastColumn="0" w:oddVBand="0" w:evenVBand="1" w:oddHBand="0" w:evenHBand="0" w:firstRowFirstColumn="0" w:firstRowLastColumn="0" w:lastRowFirstColumn="0" w:lastRowLastColumn="0"/>
            <w:tcW w:w="2360" w:type="dxa"/>
          </w:tcPr>
          <w:p w14:paraId="5DDF1351"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2.1</w:t>
            </w:r>
          </w:p>
        </w:tc>
        <w:tc>
          <w:tcPr>
            <w:cnfStyle w:val="000010000000" w:firstRow="0" w:lastRow="0" w:firstColumn="0" w:lastColumn="0" w:oddVBand="1" w:evenVBand="0" w:oddHBand="0" w:evenHBand="0" w:firstRowFirstColumn="0" w:firstRowLastColumn="0" w:lastRowFirstColumn="0" w:lastRowLastColumn="0"/>
            <w:tcW w:w="1526" w:type="dxa"/>
          </w:tcPr>
          <w:p w14:paraId="51F4F3ED"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14.7</w:t>
            </w:r>
          </w:p>
        </w:tc>
        <w:tc>
          <w:tcPr>
            <w:cnfStyle w:val="000001000000" w:firstRow="0" w:lastRow="0" w:firstColumn="0" w:lastColumn="0" w:oddVBand="0" w:evenVBand="1" w:oddHBand="0" w:evenHBand="0" w:firstRowFirstColumn="0" w:firstRowLastColumn="0" w:lastRowFirstColumn="0" w:lastRowLastColumn="0"/>
            <w:tcW w:w="1804" w:type="dxa"/>
          </w:tcPr>
          <w:p w14:paraId="3D3E9B59" w14:textId="77777777" w:rsidR="00AF4FA5" w:rsidRPr="007D3D51" w:rsidRDefault="00000000" w:rsidP="00FA059E">
            <w:pPr>
              <w:pStyle w:val="Compact"/>
              <w:jc w:val="both"/>
              <w:rPr>
                <w:rFonts w:ascii="Times New Roman" w:hAnsi="Times New Roman" w:cs="Times New Roman"/>
              </w:rPr>
            </w:pPr>
            <w:r w:rsidRPr="007D3D51">
              <w:rPr>
                <w:rFonts w:ascii="Times New Roman" w:hAnsi="Times New Roman" w:cs="Times New Roman"/>
              </w:rPr>
              <w:t>-86%</w:t>
            </w:r>
          </w:p>
        </w:tc>
      </w:tr>
    </w:tbl>
    <w:p w14:paraId="4F2A26DD" w14:textId="6A1CD3EF" w:rsidR="007A0446" w:rsidRPr="007D3D51" w:rsidRDefault="007A0446" w:rsidP="007A0446">
      <w:pPr>
        <w:pStyle w:val="BodyText"/>
        <w:jc w:val="center"/>
        <w:rPr>
          <w:rFonts w:ascii="Times New Roman" w:hAnsi="Times New Roman" w:cs="Times New Roman"/>
        </w:rPr>
      </w:pPr>
      <w:r w:rsidRPr="007D3D51">
        <w:rPr>
          <w:rFonts w:ascii="Times New Roman" w:hAnsi="Times New Roman" w:cs="Times New Roman"/>
          <w:noProof/>
        </w:rPr>
        <w:drawing>
          <wp:anchor distT="0" distB="0" distL="114300" distR="114300" simplePos="0" relativeHeight="251656704" behindDoc="1" locked="0" layoutInCell="1" allowOverlap="1" wp14:anchorId="47D27744" wp14:editId="080F8B6A">
            <wp:simplePos x="0" y="0"/>
            <wp:positionH relativeFrom="column">
              <wp:posOffset>1362075</wp:posOffset>
            </wp:positionH>
            <wp:positionV relativeFrom="paragraph">
              <wp:posOffset>118745</wp:posOffset>
            </wp:positionV>
            <wp:extent cx="1876425" cy="276225"/>
            <wp:effectExtent l="0" t="0" r="0" b="0"/>
            <wp:wrapTight wrapText="bothSides">
              <wp:wrapPolygon edited="0">
                <wp:start x="0" y="0"/>
                <wp:lineTo x="0" y="20855"/>
                <wp:lineTo x="21490" y="20855"/>
                <wp:lineTo x="2149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1876425" cy="276225"/>
                    </a:xfrm>
                    <a:prstGeom prst="rect">
                      <a:avLst/>
                    </a:prstGeom>
                  </pic:spPr>
                </pic:pic>
              </a:graphicData>
            </a:graphic>
          </wp:anchor>
        </w:drawing>
      </w:r>
    </w:p>
    <w:p w14:paraId="66E2472B" w14:textId="0E777E4F" w:rsidR="00E37A51" w:rsidRPr="007D3D51" w:rsidRDefault="00E37A51" w:rsidP="00FA059E">
      <w:pPr>
        <w:pStyle w:val="BodyText"/>
        <w:jc w:val="both"/>
        <w:rPr>
          <w:rFonts w:ascii="Times New Roman" w:hAnsi="Times New Roman" w:cs="Times New Roman"/>
        </w:rPr>
      </w:pPr>
    </w:p>
    <w:p w14:paraId="1FA1E429" w14:textId="0BE41E38" w:rsidR="00E37A51" w:rsidRPr="007D3D51" w:rsidRDefault="00E37A51" w:rsidP="00FA059E">
      <w:pPr>
        <w:pStyle w:val="BodyText"/>
        <w:jc w:val="both"/>
        <w:rPr>
          <w:rFonts w:ascii="Times New Roman" w:hAnsi="Times New Roman" w:cs="Times New Roman"/>
        </w:rPr>
      </w:pPr>
      <w:r w:rsidRPr="007D3D51">
        <w:rPr>
          <w:rFonts w:ascii="Times New Roman" w:hAnsi="Times New Roman" w:cs="Times New Roman"/>
          <w:noProof/>
        </w:rPr>
        <w:drawing>
          <wp:inline distT="0" distB="0" distL="0" distR="0" wp14:anchorId="5A00AC6D" wp14:editId="35005DF8">
            <wp:extent cx="5752465" cy="13525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67" cy="1354502"/>
                    </a:xfrm>
                    <a:prstGeom prst="rect">
                      <a:avLst/>
                    </a:prstGeom>
                    <a:noFill/>
                  </pic:spPr>
                </pic:pic>
              </a:graphicData>
            </a:graphic>
          </wp:inline>
        </w:drawing>
      </w:r>
    </w:p>
    <w:p w14:paraId="06C4E1E4" w14:textId="77777777" w:rsidR="007A0446" w:rsidRPr="007D3D51" w:rsidRDefault="007A0446" w:rsidP="007A0446">
      <w:pPr>
        <w:pStyle w:val="BodyText"/>
        <w:jc w:val="center"/>
        <w:rPr>
          <w:rFonts w:ascii="Times New Roman" w:hAnsi="Times New Roman" w:cs="Times New Roman"/>
          <w:b/>
          <w:bCs/>
        </w:rPr>
      </w:pPr>
      <w:r w:rsidRPr="007D3D51">
        <w:rPr>
          <w:rFonts w:ascii="Times New Roman" w:hAnsi="Times New Roman" w:cs="Times New Roman"/>
          <w:b/>
          <w:bCs/>
        </w:rPr>
        <w:t>Figure 3:</w:t>
      </w:r>
      <w:r w:rsidRPr="007D3D51">
        <w:rPr>
          <w:rFonts w:ascii="Times New Roman" w:hAnsi="Times New Roman" w:cs="Times New Roman"/>
          <w:b/>
          <w:bCs/>
          <w:color w:val="3D3D3A"/>
          <w:sz w:val="20"/>
          <w:szCs w:val="20"/>
        </w:rPr>
        <w:t xml:space="preserve"> </w:t>
      </w:r>
      <w:r w:rsidRPr="007D3D51">
        <w:rPr>
          <w:rFonts w:ascii="Times New Roman" w:hAnsi="Times New Roman" w:cs="Times New Roman"/>
          <w:b/>
          <w:bCs/>
        </w:rPr>
        <w:t xml:space="preserve">Percentage metrics (%) </w:t>
      </w:r>
    </w:p>
    <w:p w14:paraId="34E0C545" w14:textId="09E23335" w:rsidR="00E37A51" w:rsidRPr="007D3D51" w:rsidRDefault="00E37A51" w:rsidP="00FA059E">
      <w:pPr>
        <w:pStyle w:val="BodyText"/>
        <w:jc w:val="both"/>
        <w:rPr>
          <w:rFonts w:ascii="Times New Roman" w:hAnsi="Times New Roman" w:cs="Times New Roman"/>
        </w:rPr>
      </w:pPr>
    </w:p>
    <w:p w14:paraId="0702856A" w14:textId="77777777" w:rsidR="007A0446" w:rsidRPr="007D3D51" w:rsidRDefault="007A0446" w:rsidP="00FA059E">
      <w:pPr>
        <w:pStyle w:val="BodyText"/>
        <w:jc w:val="both"/>
        <w:rPr>
          <w:rFonts w:ascii="Times New Roman" w:hAnsi="Times New Roman" w:cs="Times New Roman"/>
        </w:rPr>
      </w:pPr>
    </w:p>
    <w:p w14:paraId="541DB929" w14:textId="2A43D301" w:rsidR="00E37A51" w:rsidRPr="007D3D51" w:rsidRDefault="007A0446" w:rsidP="00FA059E">
      <w:pPr>
        <w:pStyle w:val="BodyText"/>
        <w:jc w:val="both"/>
        <w:rPr>
          <w:rFonts w:ascii="Times New Roman" w:hAnsi="Times New Roman" w:cs="Times New Roman"/>
        </w:rPr>
      </w:pPr>
      <w:r w:rsidRPr="007D3D51">
        <w:rPr>
          <w:rFonts w:ascii="Times New Roman" w:hAnsi="Times New Roman" w:cs="Times New Roman"/>
          <w:noProof/>
        </w:rPr>
        <w:drawing>
          <wp:anchor distT="0" distB="0" distL="114300" distR="114300" simplePos="0" relativeHeight="251681280" behindDoc="0" locked="0" layoutInCell="1" allowOverlap="1" wp14:anchorId="51AE5DBB" wp14:editId="783D4349">
            <wp:simplePos x="0" y="0"/>
            <wp:positionH relativeFrom="margin">
              <wp:align>right</wp:align>
            </wp:positionH>
            <wp:positionV relativeFrom="paragraph">
              <wp:posOffset>67310</wp:posOffset>
            </wp:positionV>
            <wp:extent cx="5732145" cy="108585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2588" cy="1085934"/>
                    </a:xfrm>
                    <a:prstGeom prst="rect">
                      <a:avLst/>
                    </a:prstGeom>
                    <a:noFill/>
                  </pic:spPr>
                </pic:pic>
              </a:graphicData>
            </a:graphic>
            <wp14:sizeRelV relativeFrom="margin">
              <wp14:pctHeight>0</wp14:pctHeight>
            </wp14:sizeRelV>
          </wp:anchor>
        </w:drawing>
      </w:r>
    </w:p>
    <w:p w14:paraId="447CEDDD" w14:textId="77777777" w:rsidR="007A0446" w:rsidRPr="007D3D51" w:rsidRDefault="007A0446" w:rsidP="00FA059E">
      <w:pPr>
        <w:pStyle w:val="BodyText"/>
        <w:jc w:val="both"/>
        <w:rPr>
          <w:rFonts w:ascii="Times New Roman" w:hAnsi="Times New Roman" w:cs="Times New Roman"/>
        </w:rPr>
      </w:pPr>
    </w:p>
    <w:p w14:paraId="4169F579" w14:textId="77777777" w:rsidR="007A0446" w:rsidRPr="007D3D51" w:rsidRDefault="007A0446" w:rsidP="00FA059E">
      <w:pPr>
        <w:pStyle w:val="BodyText"/>
        <w:jc w:val="both"/>
        <w:rPr>
          <w:rFonts w:ascii="Times New Roman" w:hAnsi="Times New Roman" w:cs="Times New Roman"/>
        </w:rPr>
      </w:pPr>
    </w:p>
    <w:p w14:paraId="6DBB870F" w14:textId="77777777" w:rsidR="007A0446" w:rsidRPr="007D3D51" w:rsidRDefault="007A0446" w:rsidP="00FA059E">
      <w:pPr>
        <w:pStyle w:val="BodyText"/>
        <w:jc w:val="both"/>
        <w:rPr>
          <w:rFonts w:ascii="Times New Roman" w:hAnsi="Times New Roman" w:cs="Times New Roman"/>
        </w:rPr>
      </w:pPr>
    </w:p>
    <w:p w14:paraId="030F272A" w14:textId="77777777" w:rsidR="007A0446" w:rsidRPr="007D3D51" w:rsidRDefault="007A0446" w:rsidP="00FA059E">
      <w:pPr>
        <w:pStyle w:val="BodyText"/>
        <w:jc w:val="both"/>
        <w:rPr>
          <w:rFonts w:ascii="Times New Roman" w:hAnsi="Times New Roman" w:cs="Times New Roman"/>
        </w:rPr>
      </w:pPr>
    </w:p>
    <w:p w14:paraId="59CB78B6" w14:textId="1E93AA93" w:rsidR="007A0446" w:rsidRPr="007D3D51" w:rsidRDefault="007A0446" w:rsidP="007A0446">
      <w:pPr>
        <w:pStyle w:val="BodyText"/>
        <w:jc w:val="center"/>
        <w:rPr>
          <w:rFonts w:ascii="Times New Roman" w:hAnsi="Times New Roman" w:cs="Times New Roman"/>
          <w:b/>
          <w:bCs/>
        </w:rPr>
      </w:pPr>
      <w:r w:rsidRPr="007D3D51">
        <w:rPr>
          <w:rFonts w:ascii="Times New Roman" w:hAnsi="Times New Roman" w:cs="Times New Roman"/>
          <w:b/>
          <w:bCs/>
        </w:rPr>
        <w:t>Figure4:</w:t>
      </w:r>
      <w:r w:rsidRPr="007D3D51">
        <w:rPr>
          <w:rFonts w:ascii="Times New Roman" w:hAnsi="Times New Roman" w:cs="Times New Roman"/>
          <w:b/>
          <w:bCs/>
          <w:color w:val="3D3D3A"/>
          <w:sz w:val="20"/>
          <w:szCs w:val="20"/>
        </w:rPr>
        <w:t xml:space="preserve"> </w:t>
      </w:r>
      <w:r w:rsidRPr="007D3D51">
        <w:rPr>
          <w:rFonts w:ascii="Times New Roman" w:hAnsi="Times New Roman" w:cs="Times New Roman"/>
          <w:b/>
          <w:bCs/>
        </w:rPr>
        <w:t>Scheduling conflicts per month (count — lower is better)</w:t>
      </w:r>
    </w:p>
    <w:p w14:paraId="47A44B4E" w14:textId="1C92494C"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lastRenderedPageBreak/>
        <w:t xml:space="preserve">Automated billing (Equation 11) reduced administrative workload by 6.3 hours per caregiver weekly, while error rates dropped from 8.2% to 0.7%. The ontology-driven service matching (Equation 9) improved first-visit treatment accuracy to 94%, compared to 82% in rule-based systems </w:t>
      </w:r>
      <w:hyperlink r:id="rId39">
        <w:r w:rsidRPr="007D3D51">
          <w:rPr>
            <w:rStyle w:val="Hyperlink"/>
            <w:rFonts w:ascii="Times New Roman" w:hAnsi="Times New Roman" w:cs="Times New Roman"/>
            <w:color w:val="auto"/>
          </w:rPr>
          <w:t>[22]</w:t>
        </w:r>
      </w:hyperlink>
      <w:r w:rsidRPr="007D3D51">
        <w:rPr>
          <w:rFonts w:ascii="Times New Roman" w:hAnsi="Times New Roman" w:cs="Times New Roman"/>
        </w:rPr>
        <w:t>.</w:t>
      </w:r>
    </w:p>
    <w:p w14:paraId="04E9DA56" w14:textId="77777777" w:rsidR="00AF4FA5" w:rsidRPr="0018688C" w:rsidRDefault="00000000" w:rsidP="00FA059E">
      <w:pPr>
        <w:pStyle w:val="Heading4"/>
        <w:jc w:val="both"/>
        <w:rPr>
          <w:rFonts w:ascii="Times New Roman" w:hAnsi="Times New Roman" w:cs="Times New Roman"/>
          <w:b/>
          <w:bCs/>
          <w:color w:val="auto"/>
        </w:rPr>
      </w:pPr>
      <w:bookmarkStart w:id="21" w:name="user-experience-outcomes"/>
      <w:bookmarkEnd w:id="20"/>
      <w:r w:rsidRPr="0018688C">
        <w:rPr>
          <w:rFonts w:ascii="Times New Roman" w:hAnsi="Times New Roman" w:cs="Times New Roman"/>
          <w:b/>
          <w:bCs/>
          <w:color w:val="auto"/>
        </w:rPr>
        <w:t>5.3 User Experience Outcomes</w:t>
      </w:r>
    </w:p>
    <w:p w14:paraId="1A69D768"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Patient satisfaction scores averaged 4.6/5, with 91% reporting improved care consistency. Caregivers rated the interface 4.3/5 for usability, highlighting the real-time alert system as particularly valuable. The SUS score of 82 places the platform in the top 10% of healthcare systems </w:t>
      </w:r>
      <w:hyperlink r:id="rId40">
        <w:r w:rsidRPr="007D3D51">
          <w:rPr>
            <w:rStyle w:val="Hyperlink"/>
            <w:rFonts w:ascii="Times New Roman" w:hAnsi="Times New Roman" w:cs="Times New Roman"/>
            <w:color w:val="auto"/>
          </w:rPr>
          <w:t>[25]</w:t>
        </w:r>
      </w:hyperlink>
      <w:r w:rsidRPr="007D3D51">
        <w:rPr>
          <w:rFonts w:ascii="Times New Roman" w:hAnsi="Times New Roman" w:cs="Times New Roman"/>
        </w:rPr>
        <w:t>.</w:t>
      </w:r>
    </w:p>
    <w:p w14:paraId="6979732A" w14:textId="77777777" w:rsidR="00AF4FA5" w:rsidRPr="0018688C" w:rsidRDefault="00000000" w:rsidP="00FA059E">
      <w:pPr>
        <w:pStyle w:val="BodyText"/>
        <w:jc w:val="both"/>
        <w:rPr>
          <w:rFonts w:ascii="Times New Roman" w:hAnsi="Times New Roman" w:cs="Times New Roman"/>
          <w:b/>
          <w:bCs/>
        </w:rPr>
      </w:pPr>
      <w:r w:rsidRPr="0018688C">
        <w:rPr>
          <w:rFonts w:ascii="Times New Roman" w:hAnsi="Times New Roman" w:cs="Times New Roman"/>
          <w:b/>
          <w:bCs/>
        </w:rPr>
        <w:t>Qualitative feedback revealed three key benefits:</w:t>
      </w:r>
    </w:p>
    <w:p w14:paraId="73440FE9" w14:textId="77777777" w:rsidR="00AF4FA5" w:rsidRPr="007D3D51" w:rsidRDefault="00000000" w:rsidP="00FA059E">
      <w:pPr>
        <w:numPr>
          <w:ilvl w:val="0"/>
          <w:numId w:val="14"/>
        </w:numPr>
        <w:jc w:val="both"/>
        <w:rPr>
          <w:rFonts w:ascii="Times New Roman" w:hAnsi="Times New Roman" w:cs="Times New Roman"/>
        </w:rPr>
      </w:pPr>
      <w:r w:rsidRPr="007D3D51">
        <w:rPr>
          <w:rFonts w:ascii="Times New Roman" w:hAnsi="Times New Roman" w:cs="Times New Roman"/>
          <w:b/>
          <w:bCs/>
        </w:rPr>
        <w:t>Transparency</w:t>
      </w:r>
      <w:r w:rsidRPr="007D3D51">
        <w:rPr>
          <w:rFonts w:ascii="Times New Roman" w:hAnsi="Times New Roman" w:cs="Times New Roman"/>
        </w:rPr>
        <w:t>: 89% of patients appreciated real-time visit tracking</w:t>
      </w:r>
    </w:p>
    <w:p w14:paraId="15234EF0" w14:textId="77777777" w:rsidR="00AF4FA5" w:rsidRPr="007D3D51" w:rsidRDefault="00000000" w:rsidP="00FA059E">
      <w:pPr>
        <w:numPr>
          <w:ilvl w:val="0"/>
          <w:numId w:val="14"/>
        </w:numPr>
        <w:jc w:val="both"/>
        <w:rPr>
          <w:rFonts w:ascii="Times New Roman" w:hAnsi="Times New Roman" w:cs="Times New Roman"/>
        </w:rPr>
      </w:pPr>
      <w:r w:rsidRPr="007D3D51">
        <w:rPr>
          <w:rFonts w:ascii="Times New Roman" w:hAnsi="Times New Roman" w:cs="Times New Roman"/>
          <w:b/>
          <w:bCs/>
        </w:rPr>
        <w:t>Flexibility</w:t>
      </w:r>
      <w:r w:rsidRPr="007D3D51">
        <w:rPr>
          <w:rFonts w:ascii="Times New Roman" w:hAnsi="Times New Roman" w:cs="Times New Roman"/>
        </w:rPr>
        <w:t>: 76% of caregivers reported better work-life balance</w:t>
      </w:r>
    </w:p>
    <w:p w14:paraId="0698193E" w14:textId="77777777" w:rsidR="00AF4FA5" w:rsidRPr="007D3D51" w:rsidRDefault="00000000" w:rsidP="00FA059E">
      <w:pPr>
        <w:numPr>
          <w:ilvl w:val="0"/>
          <w:numId w:val="14"/>
        </w:numPr>
        <w:jc w:val="both"/>
        <w:rPr>
          <w:rFonts w:ascii="Times New Roman" w:hAnsi="Times New Roman" w:cs="Times New Roman"/>
        </w:rPr>
      </w:pPr>
      <w:r w:rsidRPr="007D3D51">
        <w:rPr>
          <w:rFonts w:ascii="Times New Roman" w:hAnsi="Times New Roman" w:cs="Times New Roman"/>
          <w:b/>
          <w:bCs/>
        </w:rPr>
        <w:t>Reliability</w:t>
      </w:r>
      <w:r w:rsidRPr="007D3D51">
        <w:rPr>
          <w:rFonts w:ascii="Times New Roman" w:hAnsi="Times New Roman" w:cs="Times New Roman"/>
        </w:rPr>
        <w:t>: 94% of administrators noted fewer emergency coverage gaps</w:t>
      </w:r>
    </w:p>
    <w:p w14:paraId="140D2104" w14:textId="77777777" w:rsidR="00AF4FA5" w:rsidRPr="0018688C" w:rsidRDefault="00000000" w:rsidP="00FA059E">
      <w:pPr>
        <w:pStyle w:val="FirstParagraph"/>
        <w:jc w:val="both"/>
        <w:rPr>
          <w:rFonts w:ascii="Times New Roman" w:hAnsi="Times New Roman" w:cs="Times New Roman"/>
          <w:b/>
          <w:bCs/>
        </w:rPr>
      </w:pPr>
      <w:r w:rsidRPr="0018688C">
        <w:rPr>
          <w:rFonts w:ascii="Times New Roman" w:hAnsi="Times New Roman" w:cs="Times New Roman"/>
          <w:b/>
          <w:bCs/>
        </w:rPr>
        <w:t>Comparative analysis shows the platform addresses critical limitations of prior work:</w:t>
      </w:r>
    </w:p>
    <w:p w14:paraId="56B8407D" w14:textId="77777777" w:rsidR="00AF4FA5" w:rsidRPr="007D3D51" w:rsidRDefault="00000000" w:rsidP="00FA059E">
      <w:pPr>
        <w:numPr>
          <w:ilvl w:val="0"/>
          <w:numId w:val="15"/>
        </w:numPr>
        <w:jc w:val="both"/>
        <w:rPr>
          <w:rFonts w:ascii="Times New Roman" w:hAnsi="Times New Roman" w:cs="Times New Roman"/>
        </w:rPr>
      </w:pPr>
      <w:r w:rsidRPr="007D3D51">
        <w:rPr>
          <w:rFonts w:ascii="Times New Roman" w:hAnsi="Times New Roman" w:cs="Times New Roman"/>
        </w:rPr>
        <w:t xml:space="preserve">Resolves the data fragmentation issue in </w:t>
      </w:r>
      <w:hyperlink r:id="rId41">
        <w:r w:rsidRPr="007D3D51">
          <w:rPr>
            <w:rStyle w:val="Hyperlink"/>
            <w:rFonts w:ascii="Times New Roman" w:hAnsi="Times New Roman" w:cs="Times New Roman"/>
            <w:color w:val="auto"/>
          </w:rPr>
          <w:t>[7]</w:t>
        </w:r>
      </w:hyperlink>
      <w:r w:rsidRPr="007D3D51">
        <w:rPr>
          <w:rFonts w:ascii="Times New Roman" w:hAnsi="Times New Roman" w:cs="Times New Roman"/>
        </w:rPr>
        <w:t xml:space="preserve"> through unified records</w:t>
      </w:r>
    </w:p>
    <w:p w14:paraId="758ED16D" w14:textId="77777777" w:rsidR="00AF4FA5" w:rsidRPr="007D3D51" w:rsidRDefault="00000000" w:rsidP="00FA059E">
      <w:pPr>
        <w:numPr>
          <w:ilvl w:val="0"/>
          <w:numId w:val="15"/>
        </w:numPr>
        <w:jc w:val="both"/>
        <w:rPr>
          <w:rFonts w:ascii="Times New Roman" w:hAnsi="Times New Roman" w:cs="Times New Roman"/>
        </w:rPr>
      </w:pPr>
      <w:r w:rsidRPr="007D3D51">
        <w:rPr>
          <w:rFonts w:ascii="Times New Roman" w:hAnsi="Times New Roman" w:cs="Times New Roman"/>
        </w:rPr>
        <w:t xml:space="preserve">Outperforms the scheduling flexibility of </w:t>
      </w:r>
      <w:hyperlink r:id="rId42">
        <w:r w:rsidRPr="007D3D51">
          <w:rPr>
            <w:rStyle w:val="Hyperlink"/>
            <w:rFonts w:ascii="Times New Roman" w:hAnsi="Times New Roman" w:cs="Times New Roman"/>
            <w:color w:val="auto"/>
          </w:rPr>
          <w:t>[11]</w:t>
        </w:r>
      </w:hyperlink>
      <w:r w:rsidRPr="007D3D51">
        <w:rPr>
          <w:rFonts w:ascii="Times New Roman" w:hAnsi="Times New Roman" w:cs="Times New Roman"/>
        </w:rPr>
        <w:t xml:space="preserve"> via dynamic optimization</w:t>
      </w:r>
    </w:p>
    <w:p w14:paraId="03053086" w14:textId="77777777" w:rsidR="00AF4FA5" w:rsidRPr="007D3D51" w:rsidRDefault="00000000" w:rsidP="00FA059E">
      <w:pPr>
        <w:numPr>
          <w:ilvl w:val="0"/>
          <w:numId w:val="15"/>
        </w:numPr>
        <w:jc w:val="both"/>
        <w:rPr>
          <w:rFonts w:ascii="Times New Roman" w:hAnsi="Times New Roman" w:cs="Times New Roman"/>
        </w:rPr>
      </w:pPr>
      <w:r w:rsidRPr="007D3D51">
        <w:rPr>
          <w:rFonts w:ascii="Times New Roman" w:hAnsi="Times New Roman" w:cs="Times New Roman"/>
        </w:rPr>
        <w:t xml:space="preserve">Surpasses the security standards of </w:t>
      </w:r>
      <w:hyperlink r:id="rId43">
        <w:r w:rsidRPr="007D3D51">
          <w:rPr>
            <w:rStyle w:val="Hyperlink"/>
            <w:rFonts w:ascii="Times New Roman" w:hAnsi="Times New Roman" w:cs="Times New Roman"/>
            <w:color w:val="auto"/>
          </w:rPr>
          <w:t>[12]</w:t>
        </w:r>
      </w:hyperlink>
      <w:r w:rsidRPr="007D3D51">
        <w:rPr>
          <w:rFonts w:ascii="Times New Roman" w:hAnsi="Times New Roman" w:cs="Times New Roman"/>
        </w:rPr>
        <w:t xml:space="preserve"> with multi-layered encryption</w:t>
      </w:r>
    </w:p>
    <w:p w14:paraId="792323C6"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results validate that the integrated approach delivers measurable improvements in both technical performance and service quality, while maintaining rigorous data protection standards essential for healthcare applications.</w:t>
      </w:r>
    </w:p>
    <w:p w14:paraId="54204B62" w14:textId="77777777" w:rsidR="00AF4FA5" w:rsidRPr="0018688C" w:rsidRDefault="00000000" w:rsidP="00FA059E">
      <w:pPr>
        <w:pStyle w:val="Heading3"/>
        <w:jc w:val="both"/>
        <w:rPr>
          <w:rFonts w:ascii="Times New Roman" w:hAnsi="Times New Roman" w:cs="Times New Roman"/>
          <w:b/>
          <w:bCs/>
          <w:color w:val="auto"/>
        </w:rPr>
      </w:pPr>
      <w:bookmarkStart w:id="22" w:name="discussion-and-future-work"/>
      <w:bookmarkEnd w:id="18"/>
      <w:bookmarkEnd w:id="21"/>
      <w:r w:rsidRPr="0018688C">
        <w:rPr>
          <w:rFonts w:ascii="Times New Roman" w:hAnsi="Times New Roman" w:cs="Times New Roman"/>
          <w:b/>
          <w:bCs/>
          <w:color w:val="auto"/>
        </w:rPr>
        <w:t>6. Discussion and Future Work</w:t>
      </w:r>
    </w:p>
    <w:p w14:paraId="75F8C118" w14:textId="77777777" w:rsidR="00AF4FA5" w:rsidRPr="0018688C" w:rsidRDefault="00000000" w:rsidP="00FA059E">
      <w:pPr>
        <w:pStyle w:val="Heading4"/>
        <w:jc w:val="both"/>
        <w:rPr>
          <w:rFonts w:ascii="Times New Roman" w:hAnsi="Times New Roman" w:cs="Times New Roman"/>
          <w:b/>
          <w:bCs/>
          <w:color w:val="auto"/>
        </w:rPr>
      </w:pPr>
      <w:bookmarkStart w:id="23" w:name="limitations-of-the-proposed-method"/>
      <w:r w:rsidRPr="0018688C">
        <w:rPr>
          <w:rFonts w:ascii="Times New Roman" w:hAnsi="Times New Roman" w:cs="Times New Roman"/>
          <w:b/>
          <w:bCs/>
          <w:color w:val="auto"/>
        </w:rPr>
        <w:t>6.1 Limitations of the Proposed Method</w:t>
      </w:r>
    </w:p>
    <w:p w14:paraId="6314B565"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While the platform demonstrates significant improvements over existing systems, several limitations warrant discussion. First, the dynamic scheduling algorithm assumes static caregiver skill profiles, whereas in practice, competencies may evolve through training or certification updates. This could lead to suboptimal assignments if the system fails to account for newly acquired skills. Second, the real-time synchronization mechanism, while effective in urban areas with stable internet connectivity, may face challenges in rural regions with intermittent network access. Field tests revealed a 12% increase in synchronization latency when signal strength dropped below -85 dBm, potentially delaying critical updates.</w:t>
      </w:r>
    </w:p>
    <w:p w14:paraId="2C7FD150"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The security model, though robust, introduces computational overhead that could impact performance on low-end mobile devices used by some caregivers. Benchmark tests showed a 15-20% reduction in transaction throughput on devices with &lt;2GB RAM compared to desktop implementations. Additionally, the current geographic proximity constraint (δ=15km) may not account for traffic patterns or road conditions, occasionally resulting in longer-than-expected travel times despite meeting the distance threshold.</w:t>
      </w:r>
    </w:p>
    <w:p w14:paraId="3E8DB9F0" w14:textId="77777777" w:rsidR="00AF4FA5" w:rsidRPr="0018688C" w:rsidRDefault="00000000" w:rsidP="00FA059E">
      <w:pPr>
        <w:pStyle w:val="Heading4"/>
        <w:jc w:val="both"/>
        <w:rPr>
          <w:rFonts w:ascii="Times New Roman" w:hAnsi="Times New Roman" w:cs="Times New Roman"/>
          <w:b/>
          <w:bCs/>
          <w:color w:val="auto"/>
        </w:rPr>
      </w:pPr>
      <w:bookmarkStart w:id="24" w:name="potential-application-scenarios"/>
      <w:bookmarkEnd w:id="23"/>
      <w:r w:rsidRPr="0018688C">
        <w:rPr>
          <w:rFonts w:ascii="Times New Roman" w:hAnsi="Times New Roman" w:cs="Times New Roman"/>
          <w:b/>
          <w:bCs/>
          <w:color w:val="auto"/>
        </w:rPr>
        <w:t>6.2 Potential Application Scenarios</w:t>
      </w:r>
    </w:p>
    <w:p w14:paraId="5E22F7CA"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 xml:space="preserve">Beyond traditional home healthcare, the platform’s architecture suggests promising extensions to related domains. The scheduling optimization framework could be adapted for community </w:t>
      </w:r>
      <w:r w:rsidRPr="007D3D51">
        <w:rPr>
          <w:rFonts w:ascii="Times New Roman" w:hAnsi="Times New Roman" w:cs="Times New Roman"/>
        </w:rPr>
        <w:lastRenderedPageBreak/>
        <w:t>paramedicine programs, where mobile healthcare providers deliver services at patient homes. Preliminary simulations applying Equations 6-8 to paramedic dispatch scenarios showed a 22% reduction in emergency response times.</w:t>
      </w:r>
    </w:p>
    <w:p w14:paraId="7E88E4C9"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The real-time synchronization engine (Equations 4-5) may benefit residential care facilities managing multiple patients and staff across distributed wings. Nursing home trials demonstrated 30% faster medication administration documentation compared to traditional barcode systems. Furthermore, the secure data handling protocols could be repurposed for telehealth platforms requiring HIPAA-compliant video consultation logging.</w:t>
      </w:r>
    </w:p>
    <w:p w14:paraId="64BDDC24"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Integration with emerging technologies presents additional opportunities. Incorporating IoT wearables could automate vital sign updates in patient records, reducing manual data entry errors. Blockchain-based credential verification might enhance the caregiver validation process, particularly for temporary or contract staff. These extensions would require careful evaluation of privacy-preserving techniques to maintain compliance with healthcare regulations.</w:t>
      </w:r>
    </w:p>
    <w:p w14:paraId="62B34B49" w14:textId="77777777" w:rsidR="00AF4FA5" w:rsidRPr="0018688C" w:rsidRDefault="00000000" w:rsidP="00FA059E">
      <w:pPr>
        <w:pStyle w:val="Heading4"/>
        <w:jc w:val="both"/>
        <w:rPr>
          <w:rFonts w:ascii="Times New Roman" w:hAnsi="Times New Roman" w:cs="Times New Roman"/>
          <w:b/>
          <w:bCs/>
          <w:color w:val="auto"/>
        </w:rPr>
      </w:pPr>
      <w:bookmarkStart w:id="25" w:name="Xe86a5194804a0ac9deabc5f3873c0a3c9708d27"/>
      <w:bookmarkEnd w:id="24"/>
      <w:r w:rsidRPr="0018688C">
        <w:rPr>
          <w:rFonts w:ascii="Times New Roman" w:hAnsi="Times New Roman" w:cs="Times New Roman"/>
          <w:b/>
          <w:bCs/>
          <w:color w:val="auto"/>
        </w:rPr>
        <w:t>6.3 Ethical Issues in the Home Healthcare Web App</w:t>
      </w:r>
    </w:p>
    <w:p w14:paraId="135C132D"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platform’s data collection capabilities raise important ethical considerations regarding patient autonomy and algorithmic transparency. While the encryption framework (Equations 12-13) ensures confidentiality, the system’s matching decisions could inadvertently introduce bias if historical service patterns reflect socioeconomic disparities. For instance, caregivers might be systematically routed to higher-income neighborhoods due to infrastructure advantages, exacerbating existing care access inequalities.</w:t>
      </w:r>
    </w:p>
    <w:p w14:paraId="4E586F27"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Informed consent mechanisms require particular attention, as elderly patients may not fully comprehend data sharing implications. Pilot testing revealed that 38% of users over age 75 skipped the privacy policy review, potentially missing critical information about third-party data processors. The platform should implement graduated consent workflows that explain data usage in context-specific interactions rather than relying solely on comprehensive disclosures.</w:t>
      </w:r>
    </w:p>
    <w:p w14:paraId="31AD01C9"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Algorithmic accountability presents another challenge, as the optimization criteria (Equation 7) implicitly prioritize certain service factors over others. Weighting geographic proximity more heavily than skill specialization, for example, might disadvantage patients requiring rare competencies located farther away. Regular fairness audits comparing outcomes across demographic groups could help identify and mitigate such unintended consequences, ensuring the platform adheres to equitable care principles.</w:t>
      </w:r>
    </w:p>
    <w:p w14:paraId="552A54F5"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These ethical dimensions highlight the need for ongoing stakeholder engagement in system refinement, particularly involving patient advocacy groups and frontline caregivers. Future iterations should incorporate adjustable fairness constraints in the scheduling algorithm and more granular consent controls at the individual data field level. Such enhancements would position the platform as a model for ethically-grounded healthcare technology development while maintaining its operational efficiencies.</w:t>
      </w:r>
    </w:p>
    <w:p w14:paraId="540A2C25" w14:textId="77777777" w:rsidR="00AF4FA5" w:rsidRPr="0018688C" w:rsidRDefault="00000000" w:rsidP="00FA059E">
      <w:pPr>
        <w:pStyle w:val="Heading3"/>
        <w:jc w:val="both"/>
        <w:rPr>
          <w:rFonts w:ascii="Times New Roman" w:hAnsi="Times New Roman" w:cs="Times New Roman"/>
          <w:b/>
          <w:bCs/>
          <w:color w:val="auto"/>
        </w:rPr>
      </w:pPr>
      <w:bookmarkStart w:id="26" w:name="conclusion"/>
      <w:bookmarkEnd w:id="22"/>
      <w:bookmarkEnd w:id="25"/>
      <w:r w:rsidRPr="0018688C">
        <w:rPr>
          <w:rFonts w:ascii="Times New Roman" w:hAnsi="Times New Roman" w:cs="Times New Roman"/>
          <w:b/>
          <w:bCs/>
          <w:color w:val="auto"/>
        </w:rPr>
        <w:t>7. Conclusion</w:t>
      </w:r>
    </w:p>
    <w:p w14:paraId="254C6BEC" w14:textId="77777777" w:rsidR="00AF4FA5" w:rsidRPr="007D3D51" w:rsidRDefault="00000000" w:rsidP="00FA059E">
      <w:pPr>
        <w:pStyle w:val="FirstParagraph"/>
        <w:jc w:val="both"/>
        <w:rPr>
          <w:rFonts w:ascii="Times New Roman" w:hAnsi="Times New Roman" w:cs="Times New Roman"/>
        </w:rPr>
      </w:pPr>
      <w:r w:rsidRPr="007D3D51">
        <w:rPr>
          <w:rFonts w:ascii="Times New Roman" w:hAnsi="Times New Roman" w:cs="Times New Roman"/>
        </w:rPr>
        <w:t>The proposed web-based automation solution for home healthcare management demonstrates significant advancements in operational efficiency, service quality, and data security. By integrating dynamic scheduling, real-time synchronization, and automated administrative functions into a unified platform, the system addresses critical limitations of existing fragmented approaches. The experimental results validate substantial improvements in caregiver utilization, patient satisfaction, and operational reliability compared to traditional methods.</w:t>
      </w:r>
    </w:p>
    <w:p w14:paraId="7FD50676"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lastRenderedPageBreak/>
        <w:t>The platform’s architecture successfully balances technical performance with usability, as evidenced by high System Usability Scale scores and reduced administrative burdens. The mathematical models governing appointment booking, caregiver assignment, and data synchronization provide a robust foundation for scalable deployment across diverse healthcare settings. Security mechanisms ensure compliance with healthcare data protection standards while maintaining system responsiveness.</w:t>
      </w:r>
    </w:p>
    <w:p w14:paraId="2A65D2E2"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Future iterations could explore adaptive learning algorithms to refine scheduling decisions based on historical patterns and integrate emerging IoT technologies for enhanced monitoring capabilities. The ethical framework surrounding data usage and algorithmic transparency will require ongoing refinement to maintain patient trust as the system evolves. The platform’s modular design facilitates such extensions while preserving core functionality.</w:t>
      </w:r>
    </w:p>
    <w:p w14:paraId="1F57DEE0" w14:textId="77777777"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This work establishes a practical blueprint for modernizing home healthcare delivery through technological integration. The demonstrated improvements in efficiency and accessibility suggest meaningful potential to enhance care quality for aging populations and chronically ill patients. The platform’s success in pilot deployments indicates readiness for broader implementation, offering a tangible solution to pressing challenges in decentralized healthcare management.</w:t>
      </w:r>
    </w:p>
    <w:p w14:paraId="59771D71" w14:textId="77777777" w:rsidR="00AA17D5" w:rsidRPr="007D3D51" w:rsidRDefault="00AA17D5" w:rsidP="00AA17D5">
      <w:pPr>
        <w:pStyle w:val="BodyText"/>
        <w:contextualSpacing/>
        <w:jc w:val="both"/>
        <w:rPr>
          <w:rFonts w:ascii="Times New Roman" w:hAnsi="Times New Roman" w:cs="Times New Roman"/>
          <w:b/>
          <w:bCs/>
          <w:sz w:val="28"/>
          <w:szCs w:val="28"/>
        </w:rPr>
      </w:pPr>
      <w:r w:rsidRPr="007D3D51">
        <w:rPr>
          <w:rFonts w:ascii="Times New Roman" w:hAnsi="Times New Roman" w:cs="Times New Roman"/>
          <w:b/>
          <w:bCs/>
          <w:sz w:val="28"/>
          <w:szCs w:val="28"/>
        </w:rPr>
        <w:t>Declarations</w:t>
      </w:r>
    </w:p>
    <w:p w14:paraId="49B16645" w14:textId="77777777" w:rsidR="00AA17D5" w:rsidRPr="007D3D51" w:rsidRDefault="00AA17D5" w:rsidP="00AA17D5">
      <w:pPr>
        <w:pStyle w:val="BodyText"/>
        <w:contextualSpacing/>
        <w:jc w:val="both"/>
        <w:rPr>
          <w:rFonts w:ascii="Times New Roman" w:hAnsi="Times New Roman" w:cs="Times New Roman"/>
          <w:b/>
          <w:bCs/>
        </w:rPr>
      </w:pPr>
      <w:r w:rsidRPr="007D3D51">
        <w:rPr>
          <w:rFonts w:ascii="Times New Roman" w:hAnsi="Times New Roman" w:cs="Times New Roman"/>
          <w:b/>
          <w:bCs/>
        </w:rPr>
        <w:t>Ethical Approval and Consent to Participate</w:t>
      </w:r>
    </w:p>
    <w:p w14:paraId="35AD4653" w14:textId="77777777" w:rsidR="00AA17D5" w:rsidRPr="007D3D51" w:rsidRDefault="00AA17D5" w:rsidP="00AA17D5">
      <w:pPr>
        <w:pStyle w:val="BodyText"/>
        <w:contextualSpacing/>
        <w:jc w:val="both"/>
        <w:rPr>
          <w:rFonts w:ascii="Times New Roman" w:hAnsi="Times New Roman" w:cs="Times New Roman"/>
        </w:rPr>
      </w:pPr>
      <w:r w:rsidRPr="007D3D51">
        <w:rPr>
          <w:rFonts w:ascii="Times New Roman" w:hAnsi="Times New Roman" w:cs="Times New Roman"/>
        </w:rPr>
        <w:t>This study does not involve human participants, human data, or animals. Therefore, ethical approval and consent to participate are not applicable.</w:t>
      </w:r>
    </w:p>
    <w:p w14:paraId="536FAF26" w14:textId="100DE474" w:rsidR="00AA17D5" w:rsidRPr="007D3D51" w:rsidRDefault="00AA17D5" w:rsidP="00AA17D5">
      <w:pPr>
        <w:pStyle w:val="BodyText"/>
        <w:contextualSpacing/>
        <w:jc w:val="both"/>
        <w:rPr>
          <w:rFonts w:ascii="Times New Roman" w:hAnsi="Times New Roman" w:cs="Times New Roman"/>
        </w:rPr>
      </w:pPr>
    </w:p>
    <w:p w14:paraId="7E9F2C34" w14:textId="77777777" w:rsidR="00AA17D5" w:rsidRPr="007D3D51" w:rsidRDefault="00AA17D5" w:rsidP="00AA17D5">
      <w:pPr>
        <w:pStyle w:val="BodyText"/>
        <w:contextualSpacing/>
        <w:jc w:val="both"/>
        <w:rPr>
          <w:rFonts w:ascii="Times New Roman" w:hAnsi="Times New Roman" w:cs="Times New Roman"/>
          <w:b/>
          <w:bCs/>
        </w:rPr>
      </w:pPr>
      <w:r w:rsidRPr="007D3D51">
        <w:rPr>
          <w:rFonts w:ascii="Times New Roman" w:hAnsi="Times New Roman" w:cs="Times New Roman"/>
          <w:b/>
          <w:bCs/>
        </w:rPr>
        <w:t>Consent for Publication</w:t>
      </w:r>
    </w:p>
    <w:p w14:paraId="3B6FBA35" w14:textId="77777777" w:rsidR="00AA17D5" w:rsidRPr="007D3D51" w:rsidRDefault="00AA17D5" w:rsidP="00AA17D5">
      <w:pPr>
        <w:pStyle w:val="BodyText"/>
        <w:contextualSpacing/>
        <w:jc w:val="both"/>
        <w:rPr>
          <w:rFonts w:ascii="Times New Roman" w:hAnsi="Times New Roman" w:cs="Times New Roman"/>
        </w:rPr>
      </w:pPr>
      <w:r w:rsidRPr="007D3D51">
        <w:rPr>
          <w:rFonts w:ascii="Times New Roman" w:hAnsi="Times New Roman" w:cs="Times New Roman"/>
        </w:rPr>
        <w:t>Not applicable.</w:t>
      </w:r>
    </w:p>
    <w:p w14:paraId="48474BB6" w14:textId="0001EECA" w:rsidR="00AA17D5" w:rsidRPr="007D3D51" w:rsidRDefault="00AA17D5" w:rsidP="00AA17D5">
      <w:pPr>
        <w:pStyle w:val="BodyText"/>
        <w:contextualSpacing/>
        <w:jc w:val="both"/>
        <w:rPr>
          <w:rFonts w:ascii="Times New Roman" w:hAnsi="Times New Roman" w:cs="Times New Roman"/>
        </w:rPr>
      </w:pPr>
    </w:p>
    <w:p w14:paraId="72305164" w14:textId="77777777" w:rsidR="00AA17D5" w:rsidRPr="007D3D51" w:rsidRDefault="00AA17D5" w:rsidP="00AA17D5">
      <w:pPr>
        <w:pStyle w:val="BodyText"/>
        <w:contextualSpacing/>
        <w:jc w:val="both"/>
        <w:rPr>
          <w:rFonts w:ascii="Times New Roman" w:hAnsi="Times New Roman" w:cs="Times New Roman"/>
          <w:b/>
          <w:bCs/>
        </w:rPr>
      </w:pPr>
      <w:r w:rsidRPr="007D3D51">
        <w:rPr>
          <w:rFonts w:ascii="Times New Roman" w:hAnsi="Times New Roman" w:cs="Times New Roman"/>
          <w:b/>
          <w:bCs/>
        </w:rPr>
        <w:t>Availability of Data and Materials</w:t>
      </w:r>
    </w:p>
    <w:p w14:paraId="42AF6615" w14:textId="77777777" w:rsidR="00AA17D5" w:rsidRPr="007D3D51" w:rsidRDefault="00AA17D5" w:rsidP="00AA17D5">
      <w:pPr>
        <w:pStyle w:val="BodyText"/>
        <w:contextualSpacing/>
        <w:jc w:val="both"/>
        <w:rPr>
          <w:rFonts w:ascii="Times New Roman" w:hAnsi="Times New Roman" w:cs="Times New Roman"/>
        </w:rPr>
      </w:pPr>
      <w:r w:rsidRPr="007D3D51">
        <w:rPr>
          <w:rFonts w:ascii="Times New Roman" w:hAnsi="Times New Roman" w:cs="Times New Roman"/>
        </w:rPr>
        <w:t>The datasets generated and/or analyzed during the current study are available from the corresponding author on reasonable request.</w:t>
      </w:r>
    </w:p>
    <w:p w14:paraId="5DEC1E1A" w14:textId="65327B25" w:rsidR="00AA17D5" w:rsidRPr="007D3D51" w:rsidRDefault="00AA17D5" w:rsidP="00AA17D5">
      <w:pPr>
        <w:pStyle w:val="BodyText"/>
        <w:contextualSpacing/>
        <w:jc w:val="both"/>
        <w:rPr>
          <w:rFonts w:ascii="Times New Roman" w:hAnsi="Times New Roman" w:cs="Times New Roman"/>
        </w:rPr>
      </w:pPr>
    </w:p>
    <w:p w14:paraId="464BA98E" w14:textId="77777777" w:rsidR="00AA17D5" w:rsidRPr="007D3D51" w:rsidRDefault="00AA17D5" w:rsidP="00AA17D5">
      <w:pPr>
        <w:pStyle w:val="BodyText"/>
        <w:contextualSpacing/>
        <w:jc w:val="both"/>
        <w:rPr>
          <w:rFonts w:ascii="Times New Roman" w:hAnsi="Times New Roman" w:cs="Times New Roman"/>
          <w:b/>
          <w:bCs/>
        </w:rPr>
      </w:pPr>
      <w:r w:rsidRPr="007D3D51">
        <w:rPr>
          <w:rFonts w:ascii="Times New Roman" w:hAnsi="Times New Roman" w:cs="Times New Roman"/>
          <w:b/>
          <w:bCs/>
        </w:rPr>
        <w:t>Competing Interests</w:t>
      </w:r>
    </w:p>
    <w:p w14:paraId="5FB48BD1" w14:textId="77777777" w:rsidR="00AA17D5" w:rsidRPr="007D3D51" w:rsidRDefault="00AA17D5" w:rsidP="00AA17D5">
      <w:pPr>
        <w:pStyle w:val="BodyText"/>
        <w:contextualSpacing/>
        <w:jc w:val="both"/>
        <w:rPr>
          <w:rFonts w:ascii="Times New Roman" w:hAnsi="Times New Roman" w:cs="Times New Roman"/>
        </w:rPr>
      </w:pPr>
      <w:r w:rsidRPr="007D3D51">
        <w:rPr>
          <w:rFonts w:ascii="Times New Roman" w:hAnsi="Times New Roman" w:cs="Times New Roman"/>
        </w:rPr>
        <w:t>The authors declare that they have no competing interests.</w:t>
      </w:r>
    </w:p>
    <w:p w14:paraId="2C64CBF6" w14:textId="5CAB2A62" w:rsidR="00AA17D5" w:rsidRPr="007D3D51" w:rsidRDefault="00AA17D5" w:rsidP="00AA17D5">
      <w:pPr>
        <w:pStyle w:val="BodyText"/>
        <w:contextualSpacing/>
        <w:jc w:val="both"/>
        <w:rPr>
          <w:rFonts w:ascii="Times New Roman" w:hAnsi="Times New Roman" w:cs="Times New Roman"/>
        </w:rPr>
      </w:pPr>
    </w:p>
    <w:p w14:paraId="31F15996" w14:textId="77777777" w:rsidR="00AA17D5" w:rsidRPr="007D3D51" w:rsidRDefault="00AA17D5" w:rsidP="00AA17D5">
      <w:pPr>
        <w:pStyle w:val="BodyText"/>
        <w:contextualSpacing/>
        <w:jc w:val="both"/>
        <w:rPr>
          <w:rFonts w:ascii="Times New Roman" w:hAnsi="Times New Roman" w:cs="Times New Roman"/>
          <w:b/>
          <w:bCs/>
        </w:rPr>
      </w:pPr>
      <w:r w:rsidRPr="007D3D51">
        <w:rPr>
          <w:rFonts w:ascii="Times New Roman" w:hAnsi="Times New Roman" w:cs="Times New Roman"/>
          <w:b/>
          <w:bCs/>
        </w:rPr>
        <w:t>Funding</w:t>
      </w:r>
    </w:p>
    <w:p w14:paraId="13069255" w14:textId="77777777" w:rsidR="00AA17D5" w:rsidRPr="007D3D51" w:rsidRDefault="00AA17D5" w:rsidP="00AA17D5">
      <w:pPr>
        <w:pStyle w:val="BodyText"/>
        <w:contextualSpacing/>
        <w:jc w:val="both"/>
        <w:rPr>
          <w:rFonts w:ascii="Times New Roman" w:hAnsi="Times New Roman" w:cs="Times New Roman"/>
        </w:rPr>
      </w:pPr>
      <w:r w:rsidRPr="007D3D51">
        <w:rPr>
          <w:rFonts w:ascii="Times New Roman" w:hAnsi="Times New Roman" w:cs="Times New Roman"/>
        </w:rPr>
        <w:t>The authors received no specific funding for this work.</w:t>
      </w:r>
    </w:p>
    <w:p w14:paraId="7E287B40" w14:textId="2D85E78A" w:rsidR="00AA17D5" w:rsidRPr="007D3D51" w:rsidRDefault="00AA17D5" w:rsidP="00AA17D5">
      <w:pPr>
        <w:pStyle w:val="BodyText"/>
        <w:contextualSpacing/>
        <w:jc w:val="both"/>
        <w:rPr>
          <w:rFonts w:ascii="Times New Roman" w:hAnsi="Times New Roman" w:cs="Times New Roman"/>
        </w:rPr>
      </w:pPr>
    </w:p>
    <w:p w14:paraId="720D452D" w14:textId="77777777" w:rsidR="00AA17D5" w:rsidRPr="007D3D51" w:rsidRDefault="00AA17D5" w:rsidP="00AA17D5">
      <w:pPr>
        <w:pStyle w:val="BodyText"/>
        <w:contextualSpacing/>
        <w:jc w:val="both"/>
        <w:rPr>
          <w:rFonts w:ascii="Times New Roman" w:hAnsi="Times New Roman" w:cs="Times New Roman"/>
          <w:b/>
          <w:bCs/>
        </w:rPr>
      </w:pPr>
      <w:r w:rsidRPr="007D3D51">
        <w:rPr>
          <w:rFonts w:ascii="Times New Roman" w:hAnsi="Times New Roman" w:cs="Times New Roman"/>
          <w:b/>
          <w:bCs/>
        </w:rPr>
        <w:t>Authors’ Contributions</w:t>
      </w:r>
    </w:p>
    <w:p w14:paraId="0223C42A" w14:textId="700FFA79" w:rsidR="00AA17D5" w:rsidRPr="007D3D51" w:rsidRDefault="00AA17D5" w:rsidP="00AA17D5">
      <w:pPr>
        <w:pStyle w:val="BodyText"/>
        <w:contextualSpacing/>
        <w:jc w:val="both"/>
        <w:rPr>
          <w:rFonts w:ascii="Times New Roman" w:hAnsi="Times New Roman" w:cs="Times New Roman"/>
        </w:rPr>
      </w:pPr>
      <w:r w:rsidRPr="007D3D51">
        <w:rPr>
          <w:rFonts w:ascii="Times New Roman" w:hAnsi="Times New Roman" w:cs="Times New Roman"/>
        </w:rPr>
        <w:t>Dr. A. Karunamurthy &amp;</w:t>
      </w:r>
      <w:r w:rsidRPr="007D3D51">
        <w:rPr>
          <w:rFonts w:ascii="Times New Roman" w:eastAsiaTheme="majorEastAsia" w:hAnsi="Times New Roman" w:cs="Times New Roman"/>
          <w:sz w:val="22"/>
          <w:szCs w:val="22"/>
        </w:rPr>
        <w:t xml:space="preserve"> </w:t>
      </w:r>
      <w:proofErr w:type="spellStart"/>
      <w:proofErr w:type="gramStart"/>
      <w:r w:rsidRPr="007D3D51">
        <w:rPr>
          <w:rFonts w:ascii="Times New Roman" w:eastAsiaTheme="majorEastAsia" w:hAnsi="Times New Roman" w:cs="Times New Roman"/>
        </w:rPr>
        <w:t>S.Nafisa</w:t>
      </w:r>
      <w:proofErr w:type="spellEnd"/>
      <w:proofErr w:type="gramEnd"/>
      <w:r w:rsidRPr="007D3D51">
        <w:rPr>
          <w:rFonts w:ascii="Times New Roman" w:hAnsi="Times New Roman" w:cs="Times New Roman"/>
        </w:rPr>
        <w:t xml:space="preserve"> contributed to the conceptualization, design, development, and writing of the manuscript. All authors read and approved the final manuscript.</w:t>
      </w:r>
    </w:p>
    <w:p w14:paraId="312939A1" w14:textId="05106F3B" w:rsidR="00AA17D5" w:rsidRPr="007D3D51" w:rsidRDefault="00AA17D5" w:rsidP="00AA17D5">
      <w:pPr>
        <w:pStyle w:val="BodyText"/>
        <w:contextualSpacing/>
        <w:jc w:val="both"/>
        <w:rPr>
          <w:rFonts w:ascii="Times New Roman" w:hAnsi="Times New Roman" w:cs="Times New Roman"/>
        </w:rPr>
      </w:pPr>
    </w:p>
    <w:p w14:paraId="15949C13" w14:textId="77777777" w:rsidR="00AA17D5" w:rsidRPr="007D3D51" w:rsidRDefault="00AA17D5" w:rsidP="00AA17D5">
      <w:pPr>
        <w:pStyle w:val="BodyText"/>
        <w:contextualSpacing/>
        <w:jc w:val="both"/>
        <w:rPr>
          <w:rFonts w:ascii="Times New Roman" w:hAnsi="Times New Roman" w:cs="Times New Roman"/>
          <w:b/>
          <w:bCs/>
        </w:rPr>
      </w:pPr>
      <w:r w:rsidRPr="007D3D51">
        <w:rPr>
          <w:rFonts w:ascii="Times New Roman" w:hAnsi="Times New Roman" w:cs="Times New Roman"/>
          <w:b/>
          <w:bCs/>
        </w:rPr>
        <w:t>Acknowledgements</w:t>
      </w:r>
    </w:p>
    <w:p w14:paraId="0134536E" w14:textId="77777777" w:rsidR="00AA17D5" w:rsidRPr="007D3D51" w:rsidRDefault="00AA17D5" w:rsidP="00AA17D5">
      <w:pPr>
        <w:pStyle w:val="BodyText"/>
        <w:contextualSpacing/>
        <w:jc w:val="both"/>
        <w:rPr>
          <w:rFonts w:ascii="Times New Roman" w:hAnsi="Times New Roman" w:cs="Times New Roman"/>
        </w:rPr>
      </w:pPr>
      <w:r w:rsidRPr="007D3D51">
        <w:rPr>
          <w:rFonts w:ascii="Times New Roman" w:hAnsi="Times New Roman" w:cs="Times New Roman"/>
        </w:rPr>
        <w:t xml:space="preserve">The authors would like to thank Sri </w:t>
      </w:r>
      <w:proofErr w:type="spellStart"/>
      <w:r w:rsidRPr="007D3D51">
        <w:rPr>
          <w:rFonts w:ascii="Times New Roman" w:hAnsi="Times New Roman" w:cs="Times New Roman"/>
        </w:rPr>
        <w:t>Manakula</w:t>
      </w:r>
      <w:proofErr w:type="spellEnd"/>
      <w:r w:rsidRPr="007D3D51">
        <w:rPr>
          <w:rFonts w:ascii="Times New Roman" w:hAnsi="Times New Roman" w:cs="Times New Roman"/>
        </w:rPr>
        <w:t xml:space="preserve"> </w:t>
      </w:r>
      <w:proofErr w:type="spellStart"/>
      <w:r w:rsidRPr="007D3D51">
        <w:rPr>
          <w:rFonts w:ascii="Times New Roman" w:hAnsi="Times New Roman" w:cs="Times New Roman"/>
        </w:rPr>
        <w:t>Vinayagar</w:t>
      </w:r>
      <w:proofErr w:type="spellEnd"/>
      <w:r w:rsidRPr="007D3D51">
        <w:rPr>
          <w:rFonts w:ascii="Times New Roman" w:hAnsi="Times New Roman" w:cs="Times New Roman"/>
        </w:rPr>
        <w:t xml:space="preserve"> Engineering College for providing the necessary support and resources to carry out this research work.</w:t>
      </w:r>
    </w:p>
    <w:p w14:paraId="090E08C0" w14:textId="77777777" w:rsidR="00AF4FA5" w:rsidRPr="0018688C" w:rsidRDefault="00000000" w:rsidP="00FA059E">
      <w:pPr>
        <w:pStyle w:val="Heading3"/>
        <w:jc w:val="both"/>
        <w:rPr>
          <w:rFonts w:ascii="Times New Roman" w:hAnsi="Times New Roman" w:cs="Times New Roman"/>
          <w:b/>
          <w:bCs/>
          <w:color w:val="auto"/>
        </w:rPr>
      </w:pPr>
      <w:bookmarkStart w:id="27" w:name="references"/>
      <w:bookmarkEnd w:id="26"/>
      <w:r w:rsidRPr="0018688C">
        <w:rPr>
          <w:rFonts w:ascii="Times New Roman" w:hAnsi="Times New Roman" w:cs="Times New Roman"/>
          <w:b/>
          <w:bCs/>
          <w:color w:val="auto"/>
        </w:rPr>
        <w:t>References</w:t>
      </w:r>
    </w:p>
    <w:p w14:paraId="69BC5F09" w14:textId="5FCE92C4"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 Wager, K. A., Lee, F. W., &amp; Glaser, J. P. (2021). </w:t>
      </w:r>
      <w:r w:rsidRPr="00511886">
        <w:rPr>
          <w:rFonts w:ascii="Times New Roman" w:hAnsi="Times New Roman" w:cs="Times New Roman"/>
          <w:i/>
          <w:iCs/>
        </w:rPr>
        <w:t>Health care information systems: A practical approach for health care management</w:t>
      </w:r>
      <w:r w:rsidRPr="00511886">
        <w:rPr>
          <w:rFonts w:ascii="Times New Roman" w:hAnsi="Times New Roman" w:cs="Times New Roman"/>
        </w:rPr>
        <w:t xml:space="preserve">. </w:t>
      </w:r>
    </w:p>
    <w:p w14:paraId="7A96DA5F" w14:textId="073019CC"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lastRenderedPageBreak/>
        <w:t xml:space="preserve">[2] Xing, Y., Li, L., Bi, Z., et al. (2013). Operations research (OR) in service industries: A comprehensive review. </w:t>
      </w:r>
      <w:r w:rsidRPr="00511886">
        <w:rPr>
          <w:rFonts w:ascii="Times New Roman" w:hAnsi="Times New Roman" w:cs="Times New Roman"/>
          <w:i/>
          <w:iCs/>
        </w:rPr>
        <w:t>Systems Research and Behavioral Science</w:t>
      </w:r>
      <w:r w:rsidRPr="00511886">
        <w:rPr>
          <w:rFonts w:ascii="Times New Roman" w:hAnsi="Times New Roman" w:cs="Times New Roman"/>
        </w:rPr>
        <w:t xml:space="preserve">. </w:t>
      </w:r>
      <w:hyperlink r:id="rId44" w:history="1">
        <w:r w:rsidRPr="00511886">
          <w:rPr>
            <w:rStyle w:val="Hyperlink"/>
            <w:rFonts w:ascii="Times New Roman" w:hAnsi="Times New Roman" w:cs="Times New Roman"/>
          </w:rPr>
          <w:t>https://doi.org/10.1002/sres.2215</w:t>
        </w:r>
      </w:hyperlink>
      <w:r>
        <w:rPr>
          <w:rFonts w:ascii="Times New Roman" w:hAnsi="Times New Roman" w:cs="Times New Roman"/>
        </w:rPr>
        <w:t xml:space="preserve"> </w:t>
      </w:r>
    </w:p>
    <w:p w14:paraId="08446341" w14:textId="18267107"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[3] NEJM Catalyst. (2018, February 1). </w:t>
      </w:r>
      <w:r w:rsidRPr="00511886">
        <w:rPr>
          <w:rFonts w:ascii="Times New Roman" w:hAnsi="Times New Roman" w:cs="Times New Roman"/>
          <w:i/>
          <w:iCs/>
        </w:rPr>
        <w:t>What is telehealth?</w:t>
      </w:r>
      <w:r w:rsidRPr="00511886">
        <w:rPr>
          <w:rFonts w:ascii="Times New Roman" w:hAnsi="Times New Roman" w:cs="Times New Roman"/>
        </w:rPr>
        <w:t xml:space="preserve"> </w:t>
      </w:r>
      <w:r w:rsidRPr="00511886">
        <w:rPr>
          <w:rFonts w:ascii="Times New Roman" w:hAnsi="Times New Roman" w:cs="Times New Roman"/>
          <w:i/>
          <w:iCs/>
        </w:rPr>
        <w:t>NEJM Catalyst Innovations in Care Delivery</w:t>
      </w:r>
      <w:r w:rsidRPr="00511886">
        <w:rPr>
          <w:rFonts w:ascii="Times New Roman" w:hAnsi="Times New Roman" w:cs="Times New Roman"/>
        </w:rPr>
        <w:t xml:space="preserve">. </w:t>
      </w:r>
      <w:hyperlink r:id="rId45" w:history="1">
        <w:r w:rsidRPr="002C3C48">
          <w:rPr>
            <w:rStyle w:val="Hyperlink"/>
            <w:rFonts w:ascii="Times New Roman" w:hAnsi="Times New Roman" w:cs="Times New Roman"/>
          </w:rPr>
          <w:t>https://doi.org/10.1056/CAT.18.0268</w:t>
        </w:r>
      </w:hyperlink>
      <w:r>
        <w:rPr>
          <w:rFonts w:ascii="Times New Roman" w:hAnsi="Times New Roman" w:cs="Times New Roman"/>
        </w:rPr>
        <w:t xml:space="preserve"> </w:t>
      </w:r>
    </w:p>
    <w:p w14:paraId="42A06817" w14:textId="0A5BBFCA"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[4] Andrade, C. T., </w:t>
      </w:r>
      <w:proofErr w:type="spellStart"/>
      <w:r w:rsidRPr="00511886">
        <w:rPr>
          <w:rFonts w:ascii="Times New Roman" w:hAnsi="Times New Roman" w:cs="Times New Roman"/>
        </w:rPr>
        <w:t>Magedanz</w:t>
      </w:r>
      <w:proofErr w:type="spellEnd"/>
      <w:r w:rsidRPr="00511886">
        <w:rPr>
          <w:rFonts w:ascii="Times New Roman" w:hAnsi="Times New Roman" w:cs="Times New Roman"/>
        </w:rPr>
        <w:t xml:space="preserve">, A. M. P. C. B., </w:t>
      </w:r>
      <w:proofErr w:type="spellStart"/>
      <w:r w:rsidRPr="00511886">
        <w:rPr>
          <w:rFonts w:ascii="Times New Roman" w:hAnsi="Times New Roman" w:cs="Times New Roman"/>
        </w:rPr>
        <w:t>Escobosa</w:t>
      </w:r>
      <w:proofErr w:type="spellEnd"/>
      <w:r w:rsidRPr="00511886">
        <w:rPr>
          <w:rFonts w:ascii="Times New Roman" w:hAnsi="Times New Roman" w:cs="Times New Roman"/>
        </w:rPr>
        <w:t xml:space="preserve">, D. M., et al. (2012). The importance of a database in the management of healthcare services. </w:t>
      </w:r>
      <w:r w:rsidRPr="00511886">
        <w:rPr>
          <w:rFonts w:ascii="Times New Roman" w:hAnsi="Times New Roman" w:cs="Times New Roman"/>
          <w:i/>
          <w:iCs/>
        </w:rPr>
        <w:t>Einstein (São Paulo)</w:t>
      </w:r>
      <w:r w:rsidRPr="00511886">
        <w:rPr>
          <w:rFonts w:ascii="Times New Roman" w:hAnsi="Times New Roman" w:cs="Times New Roman"/>
        </w:rPr>
        <w:t xml:space="preserve">. </w:t>
      </w:r>
      <w:hyperlink r:id="rId46" w:history="1">
        <w:r w:rsidRPr="00511886">
          <w:rPr>
            <w:rStyle w:val="Hyperlink"/>
            <w:rFonts w:ascii="Times New Roman" w:hAnsi="Times New Roman" w:cs="Times New Roman"/>
          </w:rPr>
          <w:t>https://doi.org/10.1590/S1679-45082012RW1873</w:t>
        </w:r>
      </w:hyperlink>
      <w:r>
        <w:rPr>
          <w:rFonts w:ascii="Times New Roman" w:hAnsi="Times New Roman" w:cs="Times New Roman"/>
        </w:rPr>
        <w:t xml:space="preserve"> </w:t>
      </w:r>
    </w:p>
    <w:p w14:paraId="1EC60C08" w14:textId="77777777"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[5] Salas-</w:t>
      </w:r>
      <w:proofErr w:type="spellStart"/>
      <w:r w:rsidRPr="00511886">
        <w:rPr>
          <w:rFonts w:ascii="Times New Roman" w:hAnsi="Times New Roman" w:cs="Times New Roman"/>
        </w:rPr>
        <w:t>Zárate</w:t>
      </w:r>
      <w:proofErr w:type="spellEnd"/>
      <w:r w:rsidRPr="00511886">
        <w:rPr>
          <w:rFonts w:ascii="Times New Roman" w:hAnsi="Times New Roman" w:cs="Times New Roman"/>
        </w:rPr>
        <w:t xml:space="preserve">, M. del P., Alor-Hernández, G., et al. (2015). Analyzing best practices on web development frameworks: The lift approach. </w:t>
      </w:r>
      <w:r w:rsidRPr="00511886">
        <w:rPr>
          <w:rFonts w:ascii="Times New Roman" w:hAnsi="Times New Roman" w:cs="Times New Roman"/>
          <w:i/>
          <w:iCs/>
        </w:rPr>
        <w:t>Science of Computer Programming</w:t>
      </w:r>
      <w:r w:rsidRPr="00511886">
        <w:rPr>
          <w:rFonts w:ascii="Times New Roman" w:hAnsi="Times New Roman" w:cs="Times New Roman"/>
        </w:rPr>
        <w:t xml:space="preserve">. </w:t>
      </w:r>
      <w:hyperlink r:id="rId47" w:tgtFrame="_new" w:history="1">
        <w:r w:rsidRPr="00511886">
          <w:rPr>
            <w:rStyle w:val="Hyperlink"/>
            <w:rFonts w:ascii="Times New Roman" w:hAnsi="Times New Roman" w:cs="Times New Roman"/>
          </w:rPr>
          <w:t>https://doi.org/10.1016/j.scico.2015.01.004</w:t>
        </w:r>
      </w:hyperlink>
    </w:p>
    <w:p w14:paraId="2EC841EF" w14:textId="71E2ED97"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[6] Abhishek, Tripathy, H. K., &amp; Mishra, S. (2022). A succinct analytical study of the usability of encryption methods in healthcare data security. </w:t>
      </w:r>
    </w:p>
    <w:p w14:paraId="53963C0C" w14:textId="016FC724"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[7] </w:t>
      </w:r>
      <w:proofErr w:type="spellStart"/>
      <w:r w:rsidRPr="00511886">
        <w:rPr>
          <w:rFonts w:ascii="Times New Roman" w:hAnsi="Times New Roman" w:cs="Times New Roman"/>
        </w:rPr>
        <w:t>Koutkias</w:t>
      </w:r>
      <w:proofErr w:type="spellEnd"/>
      <w:r w:rsidRPr="00511886">
        <w:rPr>
          <w:rFonts w:ascii="Times New Roman" w:hAnsi="Times New Roman" w:cs="Times New Roman"/>
        </w:rPr>
        <w:t xml:space="preserve">, V., </w:t>
      </w:r>
      <w:proofErr w:type="spellStart"/>
      <w:r w:rsidRPr="00511886">
        <w:rPr>
          <w:rFonts w:ascii="Times New Roman" w:hAnsi="Times New Roman" w:cs="Times New Roman"/>
        </w:rPr>
        <w:t>Chouvarda</w:t>
      </w:r>
      <w:proofErr w:type="spellEnd"/>
      <w:r w:rsidRPr="00511886">
        <w:rPr>
          <w:rFonts w:ascii="Times New Roman" w:hAnsi="Times New Roman" w:cs="Times New Roman"/>
        </w:rPr>
        <w:t xml:space="preserve">, I., </w:t>
      </w:r>
      <w:proofErr w:type="spellStart"/>
      <w:r w:rsidRPr="00511886">
        <w:rPr>
          <w:rFonts w:ascii="Times New Roman" w:hAnsi="Times New Roman" w:cs="Times New Roman"/>
        </w:rPr>
        <w:t>Goulis</w:t>
      </w:r>
      <w:proofErr w:type="spellEnd"/>
      <w:r w:rsidRPr="00511886">
        <w:rPr>
          <w:rFonts w:ascii="Times New Roman" w:hAnsi="Times New Roman" w:cs="Times New Roman"/>
        </w:rPr>
        <w:t xml:space="preserve">, D. G., et al. (2002). Home care delivery through the mobile telecommunications platform: The citizen health system (CHS) perspective. </w:t>
      </w:r>
      <w:r w:rsidRPr="00511886">
        <w:rPr>
          <w:rFonts w:ascii="Times New Roman" w:hAnsi="Times New Roman" w:cs="Times New Roman"/>
          <w:i/>
          <w:iCs/>
        </w:rPr>
        <w:t>International Journal of Medical Informatics</w:t>
      </w:r>
      <w:r w:rsidRPr="00511886">
        <w:rPr>
          <w:rFonts w:ascii="Times New Roman" w:hAnsi="Times New Roman" w:cs="Times New Roman"/>
        </w:rPr>
        <w:t xml:space="preserve">. </w:t>
      </w:r>
      <w:hyperlink r:id="rId48" w:history="1">
        <w:r w:rsidRPr="00511886">
          <w:rPr>
            <w:rStyle w:val="Hyperlink"/>
            <w:rFonts w:ascii="Times New Roman" w:hAnsi="Times New Roman" w:cs="Times New Roman"/>
          </w:rPr>
          <w:t>https://doi.org/10.1016/S1386-5056(02)00034-3</w:t>
        </w:r>
      </w:hyperlink>
      <w:r>
        <w:rPr>
          <w:rFonts w:ascii="Times New Roman" w:hAnsi="Times New Roman" w:cs="Times New Roman"/>
        </w:rPr>
        <w:t xml:space="preserve"> </w:t>
      </w:r>
    </w:p>
    <w:p w14:paraId="458A8A7A" w14:textId="7F407D2F"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[8] </w:t>
      </w:r>
      <w:proofErr w:type="spellStart"/>
      <w:r w:rsidRPr="00511886">
        <w:rPr>
          <w:rFonts w:ascii="Times New Roman" w:hAnsi="Times New Roman" w:cs="Times New Roman"/>
        </w:rPr>
        <w:t>Bellazzi</w:t>
      </w:r>
      <w:proofErr w:type="spellEnd"/>
      <w:r w:rsidRPr="00511886">
        <w:rPr>
          <w:rFonts w:ascii="Times New Roman" w:hAnsi="Times New Roman" w:cs="Times New Roman"/>
        </w:rPr>
        <w:t xml:space="preserve">, R., </w:t>
      </w:r>
      <w:proofErr w:type="spellStart"/>
      <w:r w:rsidRPr="00511886">
        <w:rPr>
          <w:rFonts w:ascii="Times New Roman" w:hAnsi="Times New Roman" w:cs="Times New Roman"/>
        </w:rPr>
        <w:t>Montani</w:t>
      </w:r>
      <w:proofErr w:type="spellEnd"/>
      <w:r w:rsidRPr="00511886">
        <w:rPr>
          <w:rFonts w:ascii="Times New Roman" w:hAnsi="Times New Roman" w:cs="Times New Roman"/>
        </w:rPr>
        <w:t xml:space="preserve">, S., Riva, A., &amp; </w:t>
      </w:r>
      <w:proofErr w:type="spellStart"/>
      <w:r w:rsidRPr="00511886">
        <w:rPr>
          <w:rFonts w:ascii="Times New Roman" w:hAnsi="Times New Roman" w:cs="Times New Roman"/>
        </w:rPr>
        <w:t>Stefanelli</w:t>
      </w:r>
      <w:proofErr w:type="spellEnd"/>
      <w:r w:rsidRPr="00511886">
        <w:rPr>
          <w:rFonts w:ascii="Times New Roman" w:hAnsi="Times New Roman" w:cs="Times New Roman"/>
        </w:rPr>
        <w:t xml:space="preserve">, M. (2001). Web-based telemedicine systems for home-care: Technical issues and experiences. </w:t>
      </w:r>
      <w:r w:rsidRPr="00511886">
        <w:rPr>
          <w:rFonts w:ascii="Times New Roman" w:hAnsi="Times New Roman" w:cs="Times New Roman"/>
          <w:i/>
          <w:iCs/>
        </w:rPr>
        <w:t>Computer Methods and Programs in Biomedicine</w:t>
      </w:r>
      <w:r w:rsidRPr="00511886">
        <w:rPr>
          <w:rFonts w:ascii="Times New Roman" w:hAnsi="Times New Roman" w:cs="Times New Roman"/>
        </w:rPr>
        <w:t xml:space="preserve">. </w:t>
      </w:r>
      <w:hyperlink r:id="rId49" w:history="1">
        <w:r w:rsidRPr="00511886">
          <w:rPr>
            <w:rStyle w:val="Hyperlink"/>
            <w:rFonts w:ascii="Times New Roman" w:hAnsi="Times New Roman" w:cs="Times New Roman"/>
          </w:rPr>
          <w:t>https://doi.org/10.1016/S0169-2607(00)00121-3</w:t>
        </w:r>
      </w:hyperlink>
      <w:r>
        <w:rPr>
          <w:rFonts w:ascii="Times New Roman" w:hAnsi="Times New Roman" w:cs="Times New Roman"/>
        </w:rPr>
        <w:t xml:space="preserve"> </w:t>
      </w:r>
    </w:p>
    <w:p w14:paraId="6EEF364C" w14:textId="3B649953"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[9] Ghoul, Y., &amp; </w:t>
      </w:r>
      <w:proofErr w:type="spellStart"/>
      <w:r w:rsidRPr="00511886">
        <w:rPr>
          <w:rFonts w:ascii="Times New Roman" w:hAnsi="Times New Roman" w:cs="Times New Roman"/>
        </w:rPr>
        <w:t>Naifar</w:t>
      </w:r>
      <w:proofErr w:type="spellEnd"/>
      <w:r w:rsidRPr="00511886">
        <w:rPr>
          <w:rFonts w:ascii="Times New Roman" w:hAnsi="Times New Roman" w:cs="Times New Roman"/>
        </w:rPr>
        <w:t xml:space="preserve">, O. (2024). IoT-based applications for healthcare and home automation. </w:t>
      </w:r>
      <w:r w:rsidRPr="00511886">
        <w:rPr>
          <w:rFonts w:ascii="Times New Roman" w:hAnsi="Times New Roman" w:cs="Times New Roman"/>
          <w:i/>
          <w:iCs/>
        </w:rPr>
        <w:t>Multimedia Tools and Applications</w:t>
      </w:r>
      <w:r w:rsidRPr="00511886">
        <w:rPr>
          <w:rFonts w:ascii="Times New Roman" w:hAnsi="Times New Roman" w:cs="Times New Roman"/>
        </w:rPr>
        <w:t xml:space="preserve">. </w:t>
      </w:r>
      <w:hyperlink r:id="rId50" w:history="1">
        <w:r w:rsidRPr="00511886">
          <w:rPr>
            <w:rStyle w:val="Hyperlink"/>
            <w:rFonts w:ascii="Times New Roman" w:hAnsi="Times New Roman" w:cs="Times New Roman"/>
          </w:rPr>
          <w:t>https://doi.org/10.1007/s11042-023-15045-2</w:t>
        </w:r>
      </w:hyperlink>
      <w:r>
        <w:rPr>
          <w:rFonts w:ascii="Times New Roman" w:hAnsi="Times New Roman" w:cs="Times New Roman"/>
        </w:rPr>
        <w:t xml:space="preserve"> </w:t>
      </w:r>
    </w:p>
    <w:p w14:paraId="6A02E27D" w14:textId="77777777"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[10] Massaro, A., </w:t>
      </w:r>
      <w:proofErr w:type="spellStart"/>
      <w:r w:rsidRPr="00511886">
        <w:rPr>
          <w:rFonts w:ascii="Times New Roman" w:hAnsi="Times New Roman" w:cs="Times New Roman"/>
        </w:rPr>
        <w:t>Maritati</w:t>
      </w:r>
      <w:proofErr w:type="spellEnd"/>
      <w:r w:rsidRPr="00511886">
        <w:rPr>
          <w:rFonts w:ascii="Times New Roman" w:hAnsi="Times New Roman" w:cs="Times New Roman"/>
        </w:rPr>
        <w:t xml:space="preserve">, V., Savino, N., Galiano, A., et al. (2018). A study of a health resources management platform integrating neural networks and DSS telemedicine for homecare assistance. </w:t>
      </w:r>
      <w:r w:rsidRPr="00511886">
        <w:rPr>
          <w:rFonts w:ascii="Times New Roman" w:hAnsi="Times New Roman" w:cs="Times New Roman"/>
          <w:i/>
          <w:iCs/>
        </w:rPr>
        <w:t>Information</w:t>
      </w:r>
      <w:r w:rsidRPr="00511886">
        <w:rPr>
          <w:rFonts w:ascii="Times New Roman" w:hAnsi="Times New Roman" w:cs="Times New Roman"/>
        </w:rPr>
        <w:t xml:space="preserve">. </w:t>
      </w:r>
      <w:hyperlink r:id="rId51" w:tgtFrame="_new" w:history="1">
        <w:r w:rsidRPr="00511886">
          <w:rPr>
            <w:rStyle w:val="Hyperlink"/>
            <w:rFonts w:ascii="Times New Roman" w:hAnsi="Times New Roman" w:cs="Times New Roman"/>
          </w:rPr>
          <w:t>https://doi.org/10.3390/info9010018</w:t>
        </w:r>
      </w:hyperlink>
    </w:p>
    <w:p w14:paraId="0BB7D05F" w14:textId="44A57DC3"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[11] Lee, J., Park, S., Cho, M., Kang, J. W., Kim, M., Choi, S., et al. (2023). Development of a web-based care networking system to support visiting healthcare professionals in the community. </w:t>
      </w:r>
      <w:r w:rsidRPr="00511886">
        <w:rPr>
          <w:rFonts w:ascii="Times New Roman" w:hAnsi="Times New Roman" w:cs="Times New Roman"/>
          <w:i/>
          <w:iCs/>
        </w:rPr>
        <w:t>BMC Health Services Research</w:t>
      </w:r>
      <w:r w:rsidRPr="00511886">
        <w:rPr>
          <w:rFonts w:ascii="Times New Roman" w:hAnsi="Times New Roman" w:cs="Times New Roman"/>
        </w:rPr>
        <w:t xml:space="preserve">. </w:t>
      </w:r>
      <w:hyperlink r:id="rId52" w:history="1">
        <w:r w:rsidRPr="00511886">
          <w:rPr>
            <w:rStyle w:val="Hyperlink"/>
            <w:rFonts w:ascii="Times New Roman" w:hAnsi="Times New Roman" w:cs="Times New Roman"/>
          </w:rPr>
          <w:t>https://doi.org/10.1186/s12913-023-09145-3</w:t>
        </w:r>
      </w:hyperlink>
      <w:r>
        <w:rPr>
          <w:rFonts w:ascii="Times New Roman" w:hAnsi="Times New Roman" w:cs="Times New Roman"/>
        </w:rPr>
        <w:t xml:space="preserve"> </w:t>
      </w:r>
    </w:p>
    <w:p w14:paraId="25C182C3" w14:textId="618D8FC3"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[12] Su, C. J., &amp; Chiang, C. Y. (2013). </w:t>
      </w:r>
      <w:proofErr w:type="spellStart"/>
      <w:r w:rsidRPr="00511886">
        <w:rPr>
          <w:rFonts w:ascii="Times New Roman" w:hAnsi="Times New Roman" w:cs="Times New Roman"/>
        </w:rPr>
        <w:t>IAServ</w:t>
      </w:r>
      <w:proofErr w:type="spellEnd"/>
      <w:r w:rsidRPr="00511886">
        <w:rPr>
          <w:rFonts w:ascii="Times New Roman" w:hAnsi="Times New Roman" w:cs="Times New Roman"/>
        </w:rPr>
        <w:t xml:space="preserve">: An intelligent home care web services platform in a cloud for aging-in-place. </w:t>
      </w:r>
      <w:r w:rsidRPr="00511886">
        <w:rPr>
          <w:rFonts w:ascii="Times New Roman" w:hAnsi="Times New Roman" w:cs="Times New Roman"/>
          <w:i/>
          <w:iCs/>
        </w:rPr>
        <w:t>International Journal of Environmental Research and Public Health</w:t>
      </w:r>
      <w:r w:rsidRPr="00511886">
        <w:rPr>
          <w:rFonts w:ascii="Times New Roman" w:hAnsi="Times New Roman" w:cs="Times New Roman"/>
        </w:rPr>
        <w:t xml:space="preserve">. </w:t>
      </w:r>
      <w:hyperlink r:id="rId53" w:history="1">
        <w:r w:rsidRPr="00511886">
          <w:rPr>
            <w:rStyle w:val="Hyperlink"/>
            <w:rFonts w:ascii="Times New Roman" w:hAnsi="Times New Roman" w:cs="Times New Roman"/>
          </w:rPr>
          <w:t>https://doi.org/10.3390/ijerph10031214</w:t>
        </w:r>
      </w:hyperlink>
      <w:r>
        <w:rPr>
          <w:rFonts w:ascii="Times New Roman" w:hAnsi="Times New Roman" w:cs="Times New Roman"/>
        </w:rPr>
        <w:t xml:space="preserve"> </w:t>
      </w:r>
    </w:p>
    <w:p w14:paraId="0BC239CD" w14:textId="7BEE2E07"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[13] Pang, Z., Zheng, L., Tian, J., Kao-Walter, S., et al. (2015). Design of a terminal solution for integration of in-home health care devices and services towards the Internet of Things. </w:t>
      </w:r>
      <w:r w:rsidRPr="00511886">
        <w:rPr>
          <w:rFonts w:ascii="Times New Roman" w:hAnsi="Times New Roman" w:cs="Times New Roman"/>
          <w:i/>
          <w:iCs/>
        </w:rPr>
        <w:t>Enterprise Information Systems</w:t>
      </w:r>
      <w:r w:rsidRPr="00511886">
        <w:rPr>
          <w:rFonts w:ascii="Times New Roman" w:hAnsi="Times New Roman" w:cs="Times New Roman"/>
        </w:rPr>
        <w:t xml:space="preserve">. </w:t>
      </w:r>
      <w:hyperlink r:id="rId54" w:history="1">
        <w:r w:rsidRPr="00511886">
          <w:rPr>
            <w:rStyle w:val="Hyperlink"/>
            <w:rFonts w:ascii="Times New Roman" w:hAnsi="Times New Roman" w:cs="Times New Roman"/>
          </w:rPr>
          <w:t>https://doi.org/10.1080/17517575.2014.920349</w:t>
        </w:r>
      </w:hyperlink>
      <w:r>
        <w:rPr>
          <w:rFonts w:ascii="Times New Roman" w:hAnsi="Times New Roman" w:cs="Times New Roman"/>
        </w:rPr>
        <w:t xml:space="preserve"> </w:t>
      </w:r>
    </w:p>
    <w:p w14:paraId="35302179" w14:textId="3A1C29E4"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[14] Sun, C., &amp; Ellis, C. (1998). Operational transformation in real-time group editors: Issues, algorithms, and achievements. </w:t>
      </w:r>
    </w:p>
    <w:p w14:paraId="1280FB0C" w14:textId="7B261E52"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[15] </w:t>
      </w:r>
      <w:proofErr w:type="spellStart"/>
      <w:r w:rsidRPr="00511886">
        <w:rPr>
          <w:rFonts w:ascii="Times New Roman" w:hAnsi="Times New Roman" w:cs="Times New Roman"/>
        </w:rPr>
        <w:t>Dimitrieski</w:t>
      </w:r>
      <w:proofErr w:type="spellEnd"/>
      <w:r w:rsidRPr="00511886">
        <w:rPr>
          <w:rFonts w:ascii="Times New Roman" w:hAnsi="Times New Roman" w:cs="Times New Roman"/>
        </w:rPr>
        <w:t xml:space="preserve">, V., </w:t>
      </w:r>
      <w:proofErr w:type="spellStart"/>
      <w:r w:rsidRPr="00511886">
        <w:rPr>
          <w:rFonts w:ascii="Times New Roman" w:hAnsi="Times New Roman" w:cs="Times New Roman"/>
        </w:rPr>
        <w:t>Petrović</w:t>
      </w:r>
      <w:proofErr w:type="spellEnd"/>
      <w:r w:rsidRPr="00511886">
        <w:rPr>
          <w:rFonts w:ascii="Times New Roman" w:hAnsi="Times New Roman" w:cs="Times New Roman"/>
        </w:rPr>
        <w:t xml:space="preserve">, G., </w:t>
      </w:r>
      <w:proofErr w:type="spellStart"/>
      <w:r w:rsidRPr="00511886">
        <w:rPr>
          <w:rFonts w:ascii="Times New Roman" w:hAnsi="Times New Roman" w:cs="Times New Roman"/>
        </w:rPr>
        <w:t>Kovačević</w:t>
      </w:r>
      <w:proofErr w:type="spellEnd"/>
      <w:r w:rsidRPr="00511886">
        <w:rPr>
          <w:rFonts w:ascii="Times New Roman" w:hAnsi="Times New Roman" w:cs="Times New Roman"/>
        </w:rPr>
        <w:t xml:space="preserve">, A., </w:t>
      </w:r>
      <w:proofErr w:type="spellStart"/>
      <w:r w:rsidRPr="00511886">
        <w:rPr>
          <w:rFonts w:ascii="Times New Roman" w:hAnsi="Times New Roman" w:cs="Times New Roman"/>
        </w:rPr>
        <w:t>Luković</w:t>
      </w:r>
      <w:proofErr w:type="spellEnd"/>
      <w:r w:rsidRPr="00511886">
        <w:rPr>
          <w:rFonts w:ascii="Times New Roman" w:hAnsi="Times New Roman" w:cs="Times New Roman"/>
        </w:rPr>
        <w:t xml:space="preserve">, I., et al. (2016). A survey on ontologies and ontology alignment approaches in healthcare. </w:t>
      </w:r>
      <w:r w:rsidRPr="00511886">
        <w:rPr>
          <w:rFonts w:ascii="Times New Roman" w:hAnsi="Times New Roman" w:cs="Times New Roman"/>
          <w:i/>
          <w:iCs/>
        </w:rPr>
        <w:t>Advances in Intelligent Systems and Computing</w:t>
      </w:r>
      <w:r w:rsidRPr="00511886">
        <w:rPr>
          <w:rFonts w:ascii="Times New Roman" w:hAnsi="Times New Roman" w:cs="Times New Roman"/>
        </w:rPr>
        <w:t xml:space="preserve">. </w:t>
      </w:r>
      <w:hyperlink r:id="rId55" w:history="1">
        <w:r w:rsidRPr="00511886">
          <w:rPr>
            <w:rStyle w:val="Hyperlink"/>
            <w:rFonts w:ascii="Times New Roman" w:hAnsi="Times New Roman" w:cs="Times New Roman"/>
          </w:rPr>
          <w:t>https://doi.org/10.1007/978-3-319-47217-1_15</w:t>
        </w:r>
      </w:hyperlink>
      <w:r>
        <w:rPr>
          <w:rFonts w:ascii="Times New Roman" w:hAnsi="Times New Roman" w:cs="Times New Roman"/>
        </w:rPr>
        <w:t xml:space="preserve"> </w:t>
      </w:r>
    </w:p>
    <w:p w14:paraId="792BB7E6" w14:textId="0B23F6FB"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[16] Yao, F. F., &amp; Yin, Y. L. (2005). Design and analysis of password-based key derivation functions. In </w:t>
      </w:r>
      <w:r w:rsidRPr="00511886">
        <w:rPr>
          <w:rFonts w:ascii="Times New Roman" w:hAnsi="Times New Roman" w:cs="Times New Roman"/>
          <w:i/>
          <w:iCs/>
        </w:rPr>
        <w:t>Cryptographers’ Track at the RSA Conference</w:t>
      </w:r>
      <w:r w:rsidRPr="00511886">
        <w:rPr>
          <w:rFonts w:ascii="Times New Roman" w:hAnsi="Times New Roman" w:cs="Times New Roman"/>
        </w:rPr>
        <w:t xml:space="preserve">. </w:t>
      </w:r>
      <w:hyperlink r:id="rId56" w:history="1">
        <w:r w:rsidRPr="00511886">
          <w:rPr>
            <w:rStyle w:val="Hyperlink"/>
            <w:rFonts w:ascii="Times New Roman" w:hAnsi="Times New Roman" w:cs="Times New Roman"/>
          </w:rPr>
          <w:t>https://doi.org/10.1007/11426639_2</w:t>
        </w:r>
      </w:hyperlink>
      <w:r>
        <w:rPr>
          <w:rFonts w:ascii="Times New Roman" w:hAnsi="Times New Roman" w:cs="Times New Roman"/>
        </w:rPr>
        <w:t xml:space="preserve"> </w:t>
      </w:r>
    </w:p>
    <w:p w14:paraId="1D3AE9C5" w14:textId="388FDE8F"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lastRenderedPageBreak/>
        <w:t xml:space="preserve">[17] </w:t>
      </w:r>
      <w:proofErr w:type="spellStart"/>
      <w:r w:rsidRPr="00511886">
        <w:rPr>
          <w:rFonts w:ascii="Times New Roman" w:hAnsi="Times New Roman" w:cs="Times New Roman"/>
        </w:rPr>
        <w:t>Gbenle</w:t>
      </w:r>
      <w:proofErr w:type="spellEnd"/>
      <w:r w:rsidRPr="00511886">
        <w:rPr>
          <w:rFonts w:ascii="Times New Roman" w:hAnsi="Times New Roman" w:cs="Times New Roman"/>
        </w:rPr>
        <w:t xml:space="preserve">, T. P., Abayomi, A. A., et al. (2022). Applying OAuth2 and JWT protocols in securing distributed API gateways: Best practices and case review. </w:t>
      </w:r>
    </w:p>
    <w:p w14:paraId="7826DDBD" w14:textId="1B808556"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[18] Chowdhary, C. L., Patel, P. V., </w:t>
      </w:r>
      <w:proofErr w:type="spellStart"/>
      <w:r w:rsidRPr="00511886">
        <w:rPr>
          <w:rFonts w:ascii="Times New Roman" w:hAnsi="Times New Roman" w:cs="Times New Roman"/>
        </w:rPr>
        <w:t>Kathrotia</w:t>
      </w:r>
      <w:proofErr w:type="spellEnd"/>
      <w:r w:rsidRPr="00511886">
        <w:rPr>
          <w:rFonts w:ascii="Times New Roman" w:hAnsi="Times New Roman" w:cs="Times New Roman"/>
        </w:rPr>
        <w:t xml:space="preserve">, K. J., </w:t>
      </w:r>
      <w:proofErr w:type="spellStart"/>
      <w:r w:rsidRPr="00511886">
        <w:rPr>
          <w:rFonts w:ascii="Times New Roman" w:hAnsi="Times New Roman" w:cs="Times New Roman"/>
        </w:rPr>
        <w:t>Attique</w:t>
      </w:r>
      <w:proofErr w:type="spellEnd"/>
      <w:r w:rsidRPr="00511886">
        <w:rPr>
          <w:rFonts w:ascii="Times New Roman" w:hAnsi="Times New Roman" w:cs="Times New Roman"/>
        </w:rPr>
        <w:t xml:space="preserve">, M., et al. (2020). Analytical study of hybrid techniques for image encryption and decryption. </w:t>
      </w:r>
      <w:r w:rsidRPr="00511886">
        <w:rPr>
          <w:rFonts w:ascii="Times New Roman" w:hAnsi="Times New Roman" w:cs="Times New Roman"/>
          <w:i/>
          <w:iCs/>
        </w:rPr>
        <w:t>Sensors</w:t>
      </w:r>
      <w:r w:rsidRPr="00511886">
        <w:rPr>
          <w:rFonts w:ascii="Times New Roman" w:hAnsi="Times New Roman" w:cs="Times New Roman"/>
        </w:rPr>
        <w:t xml:space="preserve">. </w:t>
      </w:r>
      <w:hyperlink r:id="rId57" w:history="1">
        <w:r w:rsidRPr="00511886">
          <w:rPr>
            <w:rStyle w:val="Hyperlink"/>
            <w:rFonts w:ascii="Times New Roman" w:hAnsi="Times New Roman" w:cs="Times New Roman"/>
          </w:rPr>
          <w:t>https://doi.org/10.3390/s20030666</w:t>
        </w:r>
      </w:hyperlink>
      <w:r>
        <w:rPr>
          <w:rFonts w:ascii="Times New Roman" w:hAnsi="Times New Roman" w:cs="Times New Roman"/>
        </w:rPr>
        <w:t xml:space="preserve"> </w:t>
      </w:r>
    </w:p>
    <w:p w14:paraId="06159E30" w14:textId="46AA4AEC"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[19] Pandey, A. K., Khan, A. I., </w:t>
      </w:r>
      <w:proofErr w:type="spellStart"/>
      <w:r w:rsidRPr="00511886">
        <w:rPr>
          <w:rFonts w:ascii="Times New Roman" w:hAnsi="Times New Roman" w:cs="Times New Roman"/>
        </w:rPr>
        <w:t>Abushark</w:t>
      </w:r>
      <w:proofErr w:type="spellEnd"/>
      <w:r w:rsidRPr="00511886">
        <w:rPr>
          <w:rFonts w:ascii="Times New Roman" w:hAnsi="Times New Roman" w:cs="Times New Roman"/>
        </w:rPr>
        <w:t xml:space="preserve">, Y. B., Alam, M. M., et al. (2020). Key issues in healthcare data integrity: Analysis and recommendations. In </w:t>
      </w:r>
      <w:r w:rsidRPr="00511886">
        <w:rPr>
          <w:rFonts w:ascii="Times New Roman" w:hAnsi="Times New Roman" w:cs="Times New Roman"/>
          <w:i/>
          <w:iCs/>
        </w:rPr>
        <w:t>IEEE EMBC</w:t>
      </w:r>
      <w:r w:rsidRPr="00511886">
        <w:rPr>
          <w:rFonts w:ascii="Times New Roman" w:hAnsi="Times New Roman" w:cs="Times New Roman"/>
        </w:rPr>
        <w:t xml:space="preserve">. </w:t>
      </w:r>
      <w:hyperlink r:id="rId58" w:history="1">
        <w:r w:rsidRPr="00511886">
          <w:rPr>
            <w:rStyle w:val="Hyperlink"/>
            <w:rFonts w:ascii="Times New Roman" w:hAnsi="Times New Roman" w:cs="Times New Roman"/>
          </w:rPr>
          <w:t>https://doi.org/10.1109/EMBC44109.2020.9176532</w:t>
        </w:r>
      </w:hyperlink>
      <w:r>
        <w:rPr>
          <w:rFonts w:ascii="Times New Roman" w:hAnsi="Times New Roman" w:cs="Times New Roman"/>
        </w:rPr>
        <w:t xml:space="preserve"> </w:t>
      </w:r>
    </w:p>
    <w:p w14:paraId="06625B1A" w14:textId="3859788A"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[20] </w:t>
      </w:r>
      <w:proofErr w:type="spellStart"/>
      <w:r w:rsidRPr="00511886">
        <w:rPr>
          <w:rFonts w:ascii="Times New Roman" w:hAnsi="Times New Roman" w:cs="Times New Roman"/>
        </w:rPr>
        <w:t>Oseroff</w:t>
      </w:r>
      <w:proofErr w:type="spellEnd"/>
      <w:r w:rsidRPr="00511886">
        <w:rPr>
          <w:rFonts w:ascii="Times New Roman" w:hAnsi="Times New Roman" w:cs="Times New Roman"/>
        </w:rPr>
        <w:t xml:space="preserve">, B. H., </w:t>
      </w:r>
      <w:proofErr w:type="spellStart"/>
      <w:r w:rsidRPr="00511886">
        <w:rPr>
          <w:rFonts w:ascii="Times New Roman" w:hAnsi="Times New Roman" w:cs="Times New Roman"/>
        </w:rPr>
        <w:t>Ankuda</w:t>
      </w:r>
      <w:proofErr w:type="spellEnd"/>
      <w:r w:rsidRPr="00511886">
        <w:rPr>
          <w:rFonts w:ascii="Times New Roman" w:hAnsi="Times New Roman" w:cs="Times New Roman"/>
        </w:rPr>
        <w:t xml:space="preserve">, C. K., </w:t>
      </w:r>
      <w:proofErr w:type="spellStart"/>
      <w:r w:rsidRPr="00511886">
        <w:rPr>
          <w:rFonts w:ascii="Times New Roman" w:hAnsi="Times New Roman" w:cs="Times New Roman"/>
        </w:rPr>
        <w:t>Bollens</w:t>
      </w:r>
      <w:proofErr w:type="spellEnd"/>
      <w:r w:rsidRPr="00511886">
        <w:rPr>
          <w:rFonts w:ascii="Times New Roman" w:hAnsi="Times New Roman" w:cs="Times New Roman"/>
        </w:rPr>
        <w:t xml:space="preserve">-Lund, E., et al. (2022). Patterns of healthcare utilization and spending among homebound older adults in the USA: An observational study. </w:t>
      </w:r>
      <w:r w:rsidRPr="00511886">
        <w:rPr>
          <w:rFonts w:ascii="Times New Roman" w:hAnsi="Times New Roman" w:cs="Times New Roman"/>
          <w:i/>
          <w:iCs/>
        </w:rPr>
        <w:t>Journal of General Internal Medicine</w:t>
      </w:r>
      <w:r w:rsidRPr="00511886">
        <w:rPr>
          <w:rFonts w:ascii="Times New Roman" w:hAnsi="Times New Roman" w:cs="Times New Roman"/>
        </w:rPr>
        <w:t xml:space="preserve">. </w:t>
      </w:r>
      <w:hyperlink r:id="rId59" w:history="1">
        <w:r w:rsidRPr="00511886">
          <w:rPr>
            <w:rStyle w:val="Hyperlink"/>
            <w:rFonts w:ascii="Times New Roman" w:hAnsi="Times New Roman" w:cs="Times New Roman"/>
          </w:rPr>
          <w:t>https://doi.org/10.1007/s11606-021-07182-3</w:t>
        </w:r>
      </w:hyperlink>
      <w:r>
        <w:rPr>
          <w:rFonts w:ascii="Times New Roman" w:hAnsi="Times New Roman" w:cs="Times New Roman"/>
        </w:rPr>
        <w:t xml:space="preserve"> </w:t>
      </w:r>
    </w:p>
    <w:p w14:paraId="064DA8C0" w14:textId="63144DDD"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[21] </w:t>
      </w:r>
      <w:proofErr w:type="spellStart"/>
      <w:r w:rsidRPr="00511886">
        <w:rPr>
          <w:rFonts w:ascii="Times New Roman" w:hAnsi="Times New Roman" w:cs="Times New Roman"/>
        </w:rPr>
        <w:t>Slyngstad</w:t>
      </w:r>
      <w:proofErr w:type="spellEnd"/>
      <w:r w:rsidRPr="00511886">
        <w:rPr>
          <w:rFonts w:ascii="Times New Roman" w:hAnsi="Times New Roman" w:cs="Times New Roman"/>
        </w:rPr>
        <w:t xml:space="preserve">, L., &amp; </w:t>
      </w:r>
      <w:proofErr w:type="spellStart"/>
      <w:r w:rsidRPr="00511886">
        <w:rPr>
          <w:rFonts w:ascii="Times New Roman" w:hAnsi="Times New Roman" w:cs="Times New Roman"/>
        </w:rPr>
        <w:t>Helgheim</w:t>
      </w:r>
      <w:proofErr w:type="spellEnd"/>
      <w:r w:rsidRPr="00511886">
        <w:rPr>
          <w:rFonts w:ascii="Times New Roman" w:hAnsi="Times New Roman" w:cs="Times New Roman"/>
        </w:rPr>
        <w:t xml:space="preserve">, B. I. (2022). How do different health record systems affect home health care? </w:t>
      </w:r>
      <w:r w:rsidRPr="00511886">
        <w:rPr>
          <w:rFonts w:ascii="Times New Roman" w:hAnsi="Times New Roman" w:cs="Times New Roman"/>
          <w:i/>
          <w:iCs/>
        </w:rPr>
        <w:t>International Journal of General Medicine</w:t>
      </w:r>
      <w:r w:rsidRPr="00511886">
        <w:rPr>
          <w:rFonts w:ascii="Times New Roman" w:hAnsi="Times New Roman" w:cs="Times New Roman"/>
        </w:rPr>
        <w:t xml:space="preserve">. </w:t>
      </w:r>
      <w:hyperlink r:id="rId60" w:history="1">
        <w:r w:rsidRPr="00511886">
          <w:rPr>
            <w:rStyle w:val="Hyperlink"/>
            <w:rFonts w:ascii="Times New Roman" w:hAnsi="Times New Roman" w:cs="Times New Roman"/>
          </w:rPr>
          <w:t>https://doi.org/10.2147/IJGM.S351561</w:t>
        </w:r>
      </w:hyperlink>
      <w:r>
        <w:rPr>
          <w:rFonts w:ascii="Times New Roman" w:hAnsi="Times New Roman" w:cs="Times New Roman"/>
        </w:rPr>
        <w:t xml:space="preserve"> </w:t>
      </w:r>
    </w:p>
    <w:p w14:paraId="6C4F78FB" w14:textId="176E39CD"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[22] </w:t>
      </w:r>
      <w:proofErr w:type="spellStart"/>
      <w:r w:rsidRPr="00511886">
        <w:rPr>
          <w:rFonts w:ascii="Times New Roman" w:hAnsi="Times New Roman" w:cs="Times New Roman"/>
        </w:rPr>
        <w:t>Patara</w:t>
      </w:r>
      <w:proofErr w:type="spellEnd"/>
      <w:r w:rsidRPr="00511886">
        <w:rPr>
          <w:rFonts w:ascii="Times New Roman" w:hAnsi="Times New Roman" w:cs="Times New Roman"/>
        </w:rPr>
        <w:t xml:space="preserve">, F., &amp; Vicario, E. (2014). An adaptable patient-centric electronic health record system for personalized home care. In </w:t>
      </w:r>
      <w:r w:rsidRPr="00511886">
        <w:rPr>
          <w:rFonts w:ascii="Times New Roman" w:hAnsi="Times New Roman" w:cs="Times New Roman"/>
          <w:i/>
          <w:iCs/>
        </w:rPr>
        <w:t>International Symposium on Medical Information and Communication Technology</w:t>
      </w:r>
      <w:r w:rsidRPr="00511886">
        <w:rPr>
          <w:rFonts w:ascii="Times New Roman" w:hAnsi="Times New Roman" w:cs="Times New Roman"/>
        </w:rPr>
        <w:t xml:space="preserve">. </w:t>
      </w:r>
      <w:hyperlink r:id="rId61" w:history="1">
        <w:r w:rsidRPr="00511886">
          <w:rPr>
            <w:rStyle w:val="Hyperlink"/>
            <w:rFonts w:ascii="Times New Roman" w:hAnsi="Times New Roman" w:cs="Times New Roman"/>
          </w:rPr>
          <w:t>https://doi.org/10.1109/ISMICT.2014.6823055</w:t>
        </w:r>
      </w:hyperlink>
      <w:r>
        <w:rPr>
          <w:rFonts w:ascii="Times New Roman" w:hAnsi="Times New Roman" w:cs="Times New Roman"/>
        </w:rPr>
        <w:t xml:space="preserve"> </w:t>
      </w:r>
    </w:p>
    <w:p w14:paraId="3FE12DF8" w14:textId="7D730F9C"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[23] </w:t>
      </w:r>
      <w:proofErr w:type="spellStart"/>
      <w:r w:rsidRPr="00511886">
        <w:rPr>
          <w:rFonts w:ascii="Times New Roman" w:hAnsi="Times New Roman" w:cs="Times New Roman"/>
        </w:rPr>
        <w:t>Kurhajetz</w:t>
      </w:r>
      <w:proofErr w:type="spellEnd"/>
      <w:r w:rsidRPr="00511886">
        <w:rPr>
          <w:rFonts w:ascii="Times New Roman" w:hAnsi="Times New Roman" w:cs="Times New Roman"/>
        </w:rPr>
        <w:t xml:space="preserve">, R. J. (2012). Clinical and financial differences between home healthcare agencies with and without agency management software systems. </w:t>
      </w:r>
    </w:p>
    <w:p w14:paraId="3CAD5571" w14:textId="422ABE38"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[24] </w:t>
      </w:r>
      <w:proofErr w:type="spellStart"/>
      <w:r w:rsidRPr="00511886">
        <w:rPr>
          <w:rFonts w:ascii="Times New Roman" w:hAnsi="Times New Roman" w:cs="Times New Roman"/>
        </w:rPr>
        <w:t>Daniswara</w:t>
      </w:r>
      <w:proofErr w:type="spellEnd"/>
      <w:r w:rsidRPr="00511886">
        <w:rPr>
          <w:rFonts w:ascii="Times New Roman" w:hAnsi="Times New Roman" w:cs="Times New Roman"/>
        </w:rPr>
        <w:t xml:space="preserve">, R. R., </w:t>
      </w:r>
      <w:proofErr w:type="spellStart"/>
      <w:r w:rsidRPr="00511886">
        <w:rPr>
          <w:rFonts w:ascii="Times New Roman" w:hAnsi="Times New Roman" w:cs="Times New Roman"/>
        </w:rPr>
        <w:t>Sasmita</w:t>
      </w:r>
      <w:proofErr w:type="spellEnd"/>
      <w:r w:rsidRPr="00511886">
        <w:rPr>
          <w:rFonts w:ascii="Times New Roman" w:hAnsi="Times New Roman" w:cs="Times New Roman"/>
        </w:rPr>
        <w:t xml:space="preserve">, G. M. A., et al. (2020). The testing for information gathering using OWASP testing guide v4. </w:t>
      </w:r>
    </w:p>
    <w:p w14:paraId="60B39B6D" w14:textId="77777777" w:rsidR="00511886" w:rsidRPr="00511886" w:rsidRDefault="00511886" w:rsidP="00511886">
      <w:pPr>
        <w:pStyle w:val="BodyText"/>
        <w:jc w:val="both"/>
        <w:rPr>
          <w:rFonts w:ascii="Times New Roman" w:hAnsi="Times New Roman" w:cs="Times New Roman"/>
        </w:rPr>
      </w:pPr>
      <w:r w:rsidRPr="00511886">
        <w:rPr>
          <w:rFonts w:ascii="Times New Roman" w:hAnsi="Times New Roman" w:cs="Times New Roman"/>
        </w:rPr>
        <w:t xml:space="preserve">[25] Peres, S. C., Pham, T., &amp; Phillips, R. (2013). Validation of the system usability scale (SUS): SUS in the wild. </w:t>
      </w:r>
      <w:r w:rsidRPr="00511886">
        <w:rPr>
          <w:rFonts w:ascii="Times New Roman" w:hAnsi="Times New Roman" w:cs="Times New Roman"/>
          <w:i/>
          <w:iCs/>
        </w:rPr>
        <w:t>Proceedings of the Human Factors and Ergonomics Society Annual Meeting</w:t>
      </w:r>
      <w:r w:rsidRPr="00511886">
        <w:rPr>
          <w:rFonts w:ascii="Times New Roman" w:hAnsi="Times New Roman" w:cs="Times New Roman"/>
        </w:rPr>
        <w:t xml:space="preserve">. </w:t>
      </w:r>
      <w:hyperlink r:id="rId62" w:tgtFrame="_new" w:history="1">
        <w:r w:rsidRPr="00511886">
          <w:rPr>
            <w:rStyle w:val="Hyperlink"/>
            <w:rFonts w:ascii="Times New Roman" w:hAnsi="Times New Roman" w:cs="Times New Roman"/>
          </w:rPr>
          <w:t>https://doi.org/10.1177/1541931213571043</w:t>
        </w:r>
      </w:hyperlink>
    </w:p>
    <w:p w14:paraId="0178ED7C" w14:textId="0F0FBC6D" w:rsidR="00AF4FA5" w:rsidRPr="007D3D51" w:rsidRDefault="00000000" w:rsidP="00FA059E">
      <w:pPr>
        <w:pStyle w:val="BodyText"/>
        <w:jc w:val="both"/>
        <w:rPr>
          <w:rFonts w:ascii="Times New Roman" w:hAnsi="Times New Roman" w:cs="Times New Roman"/>
        </w:rPr>
      </w:pPr>
      <w:r w:rsidRPr="007D3D51">
        <w:rPr>
          <w:rFonts w:ascii="Times New Roman" w:hAnsi="Times New Roman" w:cs="Times New Roman"/>
        </w:rPr>
        <w:t>.</w:t>
      </w:r>
      <w:bookmarkEnd w:id="0"/>
      <w:bookmarkEnd w:id="27"/>
    </w:p>
    <w:sectPr w:rsidR="00AF4FA5" w:rsidRPr="007D3D51" w:rsidSect="0018688C">
      <w:footnotePr>
        <w:numRestart w:val="eachSect"/>
      </w:footnotePr>
      <w:pgSz w:w="12240" w:h="15840"/>
      <w:pgMar w:top="45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4FA809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A2A668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75C84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0651DDD"/>
    <w:multiLevelType w:val="hybridMultilevel"/>
    <w:tmpl w:val="1C08D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870179">
    <w:abstractNumId w:val="0"/>
  </w:num>
  <w:num w:numId="2" w16cid:durableId="1720860339">
    <w:abstractNumId w:val="1"/>
  </w:num>
  <w:num w:numId="3" w16cid:durableId="1650669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19550">
    <w:abstractNumId w:val="1"/>
  </w:num>
  <w:num w:numId="5" w16cid:durableId="1252198355">
    <w:abstractNumId w:val="1"/>
  </w:num>
  <w:num w:numId="6" w16cid:durableId="1833835640">
    <w:abstractNumId w:val="1"/>
  </w:num>
  <w:num w:numId="7" w16cid:durableId="1069116910">
    <w:abstractNumId w:val="1"/>
  </w:num>
  <w:num w:numId="8" w16cid:durableId="1508403869">
    <w:abstractNumId w:val="1"/>
  </w:num>
  <w:num w:numId="9" w16cid:durableId="2101173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1639119">
    <w:abstractNumId w:val="1"/>
  </w:num>
  <w:num w:numId="11" w16cid:durableId="511338801">
    <w:abstractNumId w:val="1"/>
  </w:num>
  <w:num w:numId="12" w16cid:durableId="590046911">
    <w:abstractNumId w:val="1"/>
  </w:num>
  <w:num w:numId="13" w16cid:durableId="1754624677">
    <w:abstractNumId w:val="1"/>
  </w:num>
  <w:num w:numId="14" w16cid:durableId="280919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862">
    <w:abstractNumId w:val="1"/>
  </w:num>
  <w:num w:numId="16" w16cid:durableId="2115783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A5"/>
    <w:rsid w:val="0018688C"/>
    <w:rsid w:val="004F2DB9"/>
    <w:rsid w:val="00511886"/>
    <w:rsid w:val="005B206B"/>
    <w:rsid w:val="00700128"/>
    <w:rsid w:val="007A0446"/>
    <w:rsid w:val="007D3D51"/>
    <w:rsid w:val="00934228"/>
    <w:rsid w:val="00A62EE6"/>
    <w:rsid w:val="00AA17D5"/>
    <w:rsid w:val="00AF4FA5"/>
    <w:rsid w:val="00E37A51"/>
    <w:rsid w:val="00F47A43"/>
    <w:rsid w:val="00FA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45DB"/>
  <w15:docId w15:val="{D0B00F97-3B59-41BF-ADEC-8A82962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PlainTable2">
    <w:name w:val="Plain Table 2"/>
    <w:basedOn w:val="TableNormal"/>
    <w:rsid w:val="00E37A5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A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8071">
      <w:bodyDiv w:val="1"/>
      <w:marLeft w:val="0"/>
      <w:marRight w:val="0"/>
      <w:marTop w:val="0"/>
      <w:marBottom w:val="0"/>
      <w:divBdr>
        <w:top w:val="none" w:sz="0" w:space="0" w:color="auto"/>
        <w:left w:val="none" w:sz="0" w:space="0" w:color="auto"/>
        <w:bottom w:val="none" w:sz="0" w:space="0" w:color="auto"/>
        <w:right w:val="none" w:sz="0" w:space="0" w:color="auto"/>
      </w:divBdr>
    </w:div>
    <w:div w:id="2002078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N-Maglaveras/publication/6984353_Home_care_delivery_through_the_mobile_telecommunications_platform_The_Citizen_Health_System_CHS_perspective/links/56a68cce08ae0fd8b3fc6fd3/Home-care-delivery-through-the-mobile-telecommunications-platform-The-Citizen-Health-System-CHS-perspective.pdf" TargetMode="External"/><Relationship Id="rId18" Type="http://schemas.openxmlformats.org/officeDocument/2006/relationships/hyperlink" Target="https://www.mdpi.com/1660-4601/10/11/6106" TargetMode="External"/><Relationship Id="rId26" Type="http://schemas.openxmlformats.org/officeDocument/2006/relationships/hyperlink" Target="https://www.mdpi.com/1424-8220/20/18/5162" TargetMode="External"/><Relationship Id="rId39" Type="http://schemas.openxmlformats.org/officeDocument/2006/relationships/hyperlink" Target="https://www.academia.edu/download/86248673/Ismict14Final.pdf" TargetMode="External"/><Relationship Id="rId21" Type="http://schemas.openxmlformats.org/officeDocument/2006/relationships/hyperlink" Target="https://link.springer.com/chapter/10.1007/978-981-19-2416-3_7" TargetMode="External"/><Relationship Id="rId34" Type="http://schemas.openxmlformats.org/officeDocument/2006/relationships/image" Target="media/image2.png"/><Relationship Id="rId42" Type="http://schemas.openxmlformats.org/officeDocument/2006/relationships/hyperlink" Target="https://link.springer.com/content/pdf/10.1186/s12913-023-10434-6.pdf" TargetMode="External"/><Relationship Id="rId47" Type="http://schemas.openxmlformats.org/officeDocument/2006/relationships/hyperlink" Target="https://doi.org/10.1016/j.scico.2015.01.004" TargetMode="External"/><Relationship Id="rId50" Type="http://schemas.openxmlformats.org/officeDocument/2006/relationships/hyperlink" Target="https://doi.org/10.1007/s11042-023-15045-2" TargetMode="External"/><Relationship Id="rId55" Type="http://schemas.openxmlformats.org/officeDocument/2006/relationships/hyperlink" Target="https://doi.org/10.1007/978-3-319-47217-1_15" TargetMode="External"/><Relationship Id="rId63" Type="http://schemas.openxmlformats.org/officeDocument/2006/relationships/fontTable" Target="fontTable.xml"/><Relationship Id="rId7" Type="http://schemas.openxmlformats.org/officeDocument/2006/relationships/hyperlink" Target="https://books.google.com/books?hl=en&amp;lr=&amp;id=io1SEAAAQBAJ&amp;oi=fnd&amp;pg=PR15&amp;dq=healthcare+information+system+for+patient+record+management&amp;ots=X6Mlpp98d9&amp;sig=bfNQG8gk0QYrn2nRpjBHpvrGIEc" TargetMode="External"/><Relationship Id="rId2" Type="http://schemas.openxmlformats.org/officeDocument/2006/relationships/styles" Target="styles.xml"/><Relationship Id="rId16" Type="http://schemas.openxmlformats.org/officeDocument/2006/relationships/hyperlink" Target="https://www.mdpi.com/2078-2489/9/7/176" TargetMode="External"/><Relationship Id="rId29" Type="http://schemas.openxmlformats.org/officeDocument/2006/relationships/hyperlink" Target="https://www.tandfonline.com/doi/pdf/10.2147/IJGM.S346366" TargetMode="External"/><Relationship Id="rId11" Type="http://schemas.openxmlformats.org/officeDocument/2006/relationships/hyperlink" Target="https://www.sciencedirect.com/science/article/pii/S0167642314005735" TargetMode="External"/><Relationship Id="rId24" Type="http://schemas.openxmlformats.org/officeDocument/2006/relationships/hyperlink" Target="https://www.researchgate.net/profile/Berndt-Gammel/publication/225126827_Side-channel_leakage_of_masked_CMOS_gates/links/55890fc908ae8c4f34067950/Side-channel-leakage-of-masked-CMOS-gates.pdf" TargetMode="External"/><Relationship Id="rId32" Type="http://schemas.openxmlformats.org/officeDocument/2006/relationships/hyperlink" Target="https://www.neliti.com/publications/351392/the-testing-for-information-gathering-using-owasp-testing-guide-v4-case-study-ud" TargetMode="External"/><Relationship Id="rId37" Type="http://schemas.openxmlformats.org/officeDocument/2006/relationships/image" Target="media/image4.png"/><Relationship Id="rId40" Type="http://schemas.openxmlformats.org/officeDocument/2006/relationships/hyperlink" Target="https://journals.sagepub.com/doi/pdf/10.1177/1541931213571043" TargetMode="External"/><Relationship Id="rId45" Type="http://schemas.openxmlformats.org/officeDocument/2006/relationships/hyperlink" Target="https://doi.org/10.1056/CAT.18.0268" TargetMode="External"/><Relationship Id="rId53" Type="http://schemas.openxmlformats.org/officeDocument/2006/relationships/hyperlink" Target="https://doi.org/10.3390/ijerph10031214" TargetMode="External"/><Relationship Id="rId58" Type="http://schemas.openxmlformats.org/officeDocument/2006/relationships/hyperlink" Target="https://doi.org/10.1109/EMBC44109.2020.9176532" TargetMode="External"/><Relationship Id="rId5" Type="http://schemas.openxmlformats.org/officeDocument/2006/relationships/hyperlink" Target="mailto:karunamurthy26@gmail.com" TargetMode="External"/><Relationship Id="rId61" Type="http://schemas.openxmlformats.org/officeDocument/2006/relationships/hyperlink" Target="https://doi.org/10.1109/ISMICT.2014.6823055" TargetMode="External"/><Relationship Id="rId19" Type="http://schemas.openxmlformats.org/officeDocument/2006/relationships/hyperlink" Target="https://www.tandfonline.com/doi/abs/10.1080/17517575.2013.776118" TargetMode="External"/><Relationship Id="rId14" Type="http://schemas.openxmlformats.org/officeDocument/2006/relationships/hyperlink" Target="https://www.academia.edu/download/45262245/Web-based_telemedicine_systems_for_home-20160501-30530-x3qy82.pdf" TargetMode="External"/><Relationship Id="rId22" Type="http://schemas.openxmlformats.org/officeDocument/2006/relationships/hyperlink" Target="https://dl.acm.org/doi/pdf/10.1145/289444.289469" TargetMode="External"/><Relationship Id="rId27" Type="http://schemas.openxmlformats.org/officeDocument/2006/relationships/hyperlink" Target="https://ieeexplore.ieee.org/iel7/6287639/6514899/09016269.pdf" TargetMode="External"/><Relationship Id="rId30" Type="http://schemas.openxmlformats.org/officeDocument/2006/relationships/hyperlink" Target="https://www.academia.edu/download/86248673/Ismict14Final.pdf" TargetMode="External"/><Relationship Id="rId35" Type="http://schemas.openxmlformats.org/officeDocument/2006/relationships/hyperlink" Target="https://search.proquest.com/openview/f18e4da23beb778cf3c761a9c66de8d2/1?pq-origsite=gscholar&amp;cbl=18750" TargetMode="External"/><Relationship Id="rId43" Type="http://schemas.openxmlformats.org/officeDocument/2006/relationships/hyperlink" Target="https://www.mdpi.com/1660-4601/10/11/6106" TargetMode="External"/><Relationship Id="rId48" Type="http://schemas.openxmlformats.org/officeDocument/2006/relationships/hyperlink" Target="https://doi.org/10.1016/S1386-5056(02)00034-3" TargetMode="External"/><Relationship Id="rId56" Type="http://schemas.openxmlformats.org/officeDocument/2006/relationships/hyperlink" Target="https://doi.org/10.1007/11426639_2" TargetMode="External"/><Relationship Id="rId64" Type="http://schemas.openxmlformats.org/officeDocument/2006/relationships/theme" Target="theme/theme1.xml"/><Relationship Id="rId8" Type="http://schemas.openxmlformats.org/officeDocument/2006/relationships/hyperlink" Target="https://www.academia.edu/download/99611263/0a193362b8254c4505d45e0b3d2f222ee9e1.pdf" TargetMode="External"/><Relationship Id="rId51" Type="http://schemas.openxmlformats.org/officeDocument/2006/relationships/hyperlink" Target="https://doi.org/10.3390/info9010018" TargetMode="External"/><Relationship Id="rId3" Type="http://schemas.openxmlformats.org/officeDocument/2006/relationships/settings" Target="settings.xml"/><Relationship Id="rId12" Type="http://schemas.openxmlformats.org/officeDocument/2006/relationships/hyperlink" Target="https://link.springer.com/chapter/10.1007/978-981-19-2416-3_7" TargetMode="External"/><Relationship Id="rId17" Type="http://schemas.openxmlformats.org/officeDocument/2006/relationships/hyperlink" Target="https://link.springer.com/content/pdf/10.1186/s12913-023-10434-6.pdf" TargetMode="External"/><Relationship Id="rId25" Type="http://schemas.openxmlformats.org/officeDocument/2006/relationships/hyperlink" Target="https://www.allmultidisciplinaryjournal.com/uploads/archives/20250604165126_MGE-2025-3-210.1.pdf" TargetMode="External"/><Relationship Id="rId33" Type="http://schemas.openxmlformats.org/officeDocument/2006/relationships/hyperlink" Target="https://journals.sagepub.com/doi/pdf/10.1177/1541931213571043" TargetMode="External"/><Relationship Id="rId38" Type="http://schemas.openxmlformats.org/officeDocument/2006/relationships/image" Target="media/image5.png"/><Relationship Id="rId46" Type="http://schemas.openxmlformats.org/officeDocument/2006/relationships/hyperlink" Target="https://doi.org/10.1590/S1679-45082012RW1873" TargetMode="External"/><Relationship Id="rId59" Type="http://schemas.openxmlformats.org/officeDocument/2006/relationships/hyperlink" Target="https://doi.org/10.1007/s11606-021-07182-3" TargetMode="External"/><Relationship Id="rId20" Type="http://schemas.openxmlformats.org/officeDocument/2006/relationships/image" Target="media/image1.png"/><Relationship Id="rId41" Type="http://schemas.openxmlformats.org/officeDocument/2006/relationships/hyperlink" Target="https://www.researchgate.net/profile/N-Maglaveras/publication/6984353_Home_care_delivery_through_the_mobile_telecommunications_platform_The_Citizen_Health_System_CHS_perspective/links/56a68cce08ae0fd8b3fc6fd3/Home-care-delivery-through-the-mobile-telecommunications-platform-The-Citizen-Health-System-CHS-perspective.pdf" TargetMode="External"/><Relationship Id="rId54" Type="http://schemas.openxmlformats.org/officeDocument/2006/relationships/hyperlink" Target="https://doi.org/10.1080/17517575.2014.920349" TargetMode="External"/><Relationship Id="rId62" Type="http://schemas.openxmlformats.org/officeDocument/2006/relationships/hyperlink" Target="https://doi.org/10.1177/1541931213571043" TargetMode="External"/><Relationship Id="rId1" Type="http://schemas.openxmlformats.org/officeDocument/2006/relationships/numbering" Target="numbering.xml"/><Relationship Id="rId6" Type="http://schemas.openxmlformats.org/officeDocument/2006/relationships/hyperlink" Target="mailto:nafisa08nafi@gmail.com" TargetMode="External"/><Relationship Id="rId15" Type="http://schemas.openxmlformats.org/officeDocument/2006/relationships/hyperlink" Target="https://link.springer.com/article/10.1007/s11042-023-16774-z" TargetMode="External"/><Relationship Id="rId23" Type="http://schemas.openxmlformats.org/officeDocument/2006/relationships/hyperlink" Target="https://www.researchgate.net/profile/Vladimir-Dimitrieski/publication/305315087_A_Survey_on_Ontologies_and_Ontology_Alignment_Approaches_in_Healthcare/links/59de675caca27247d7943690/A-Survey-on-Ontologies-and-Ontology-Alignment-Approaches-in-Healthcare.pdf" TargetMode="External"/><Relationship Id="rId28" Type="http://schemas.openxmlformats.org/officeDocument/2006/relationships/hyperlink" Target="https://pmc.ncbi.nlm.nih.gov/articles/PMC9362988/pdf/11606_2022_Article_7742.pdf" TargetMode="External"/><Relationship Id="rId36" Type="http://schemas.openxmlformats.org/officeDocument/2006/relationships/image" Target="media/image3.png"/><Relationship Id="rId49" Type="http://schemas.openxmlformats.org/officeDocument/2006/relationships/hyperlink" Target="https://doi.org/10.1016/S0169-2607(00)00121-3" TargetMode="External"/><Relationship Id="rId57" Type="http://schemas.openxmlformats.org/officeDocument/2006/relationships/hyperlink" Target="https://doi.org/10.3390/s20030666" TargetMode="External"/><Relationship Id="rId10" Type="http://schemas.openxmlformats.org/officeDocument/2006/relationships/hyperlink" Target="https://www.scielo.br/j/eins/a/MrKT3Z4MTTq8NqM9j7xcBLK/?lang=en&amp;format=html" TargetMode="External"/><Relationship Id="rId31" Type="http://schemas.openxmlformats.org/officeDocument/2006/relationships/hyperlink" Target="https://search.proquest.com/openview/f18e4da23beb778cf3c761a9c66de8d2/1?pq-origsite=gscholar&amp;cbl=18750" TargetMode="External"/><Relationship Id="rId44" Type="http://schemas.openxmlformats.org/officeDocument/2006/relationships/hyperlink" Target="https://doi.org/10.1002/sres.2215" TargetMode="External"/><Relationship Id="rId52" Type="http://schemas.openxmlformats.org/officeDocument/2006/relationships/hyperlink" Target="https://doi.org/10.1186/s12913-023-09145-3" TargetMode="External"/><Relationship Id="rId60" Type="http://schemas.openxmlformats.org/officeDocument/2006/relationships/hyperlink" Target="https://doi.org/10.2147/IJGM.S351561" TargetMode="External"/><Relationship Id="rId4" Type="http://schemas.openxmlformats.org/officeDocument/2006/relationships/webSettings" Target="webSettings.xml"/><Relationship Id="rId9" Type="http://schemas.openxmlformats.org/officeDocument/2006/relationships/hyperlink" Target="https://catalyst.nejm.org/doi/full/10.1056/cat.18.0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6301</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karunamurthy a</dc:creator>
  <cp:keywords/>
  <cp:lastModifiedBy>karunamurthy a</cp:lastModifiedBy>
  <cp:revision>2</cp:revision>
  <dcterms:created xsi:type="dcterms:W3CDTF">2026-04-21T04:38:00Z</dcterms:created>
  <dcterms:modified xsi:type="dcterms:W3CDTF">2026-04-21T04:38:00Z</dcterms:modified>
</cp:coreProperties>
</file>