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2051" w14:textId="75A2ECAB" w:rsidR="00680F4F" w:rsidRPr="00510D36" w:rsidRDefault="00401477" w:rsidP="00510D36">
      <w:pPr>
        <w:spacing w:after="0" w:line="240" w:lineRule="auto"/>
        <w:jc w:val="center"/>
        <w:rPr>
          <w:b/>
          <w:bCs/>
          <w:szCs w:val="24"/>
        </w:rPr>
      </w:pPr>
      <w:r w:rsidRPr="00510D36">
        <w:rPr>
          <w:b/>
          <w:bCs/>
          <w:szCs w:val="24"/>
        </w:rPr>
        <w:t>Dietary Supplementation of Pumpkin (</w:t>
      </w:r>
      <w:r w:rsidRPr="00510D36">
        <w:rPr>
          <w:b/>
          <w:bCs/>
          <w:i/>
          <w:iCs/>
          <w:szCs w:val="24"/>
        </w:rPr>
        <w:t>Cucurbita pepo</w:t>
      </w:r>
      <w:r w:rsidRPr="00510D36">
        <w:rPr>
          <w:b/>
          <w:bCs/>
          <w:szCs w:val="24"/>
        </w:rPr>
        <w:t>) Leaf Powder on Growth Performance and Nutrient Utilization of African Catfish (</w:t>
      </w:r>
      <w:r w:rsidRPr="00510D36">
        <w:rPr>
          <w:b/>
          <w:bCs/>
          <w:i/>
          <w:iCs/>
          <w:szCs w:val="24"/>
        </w:rPr>
        <w:t>Clarias gariepinus</w:t>
      </w:r>
      <w:r w:rsidRPr="00510D36">
        <w:rPr>
          <w:b/>
          <w:bCs/>
          <w:szCs w:val="24"/>
        </w:rPr>
        <w:t>) Fingerlings</w:t>
      </w:r>
      <w:r w:rsidR="00680F4F" w:rsidRPr="00510D36">
        <w:rPr>
          <w:b/>
          <w:bCs/>
          <w:szCs w:val="24"/>
        </w:rPr>
        <w:t>.</w:t>
      </w:r>
    </w:p>
    <w:p w14:paraId="28488282" w14:textId="77777777" w:rsidR="007C5F59" w:rsidRPr="00510D36" w:rsidRDefault="007C5F59" w:rsidP="00510D36">
      <w:pPr>
        <w:spacing w:after="0" w:line="240" w:lineRule="auto"/>
        <w:jc w:val="center"/>
        <w:rPr>
          <w:b/>
          <w:bCs/>
          <w:szCs w:val="24"/>
        </w:rPr>
      </w:pPr>
    </w:p>
    <w:p w14:paraId="009B4B81" w14:textId="39C00009" w:rsidR="00984774" w:rsidRPr="00510D36" w:rsidRDefault="007C5F59" w:rsidP="00510D36">
      <w:pPr>
        <w:spacing w:after="0" w:line="240" w:lineRule="auto"/>
        <w:jc w:val="center"/>
        <w:rPr>
          <w:b/>
          <w:bCs/>
          <w:szCs w:val="24"/>
        </w:rPr>
      </w:pPr>
      <w:r w:rsidRPr="00510D36">
        <w:rPr>
          <w:b/>
          <w:bCs/>
          <w:szCs w:val="24"/>
        </w:rPr>
        <w:t>Oladipupo, T.M</w:t>
      </w:r>
      <w:r w:rsidRPr="00510D36">
        <w:rPr>
          <w:b/>
          <w:bCs/>
          <w:szCs w:val="24"/>
          <w:vertAlign w:val="superscript"/>
        </w:rPr>
        <w:t xml:space="preserve"> </w:t>
      </w:r>
      <w:r w:rsidR="00984774" w:rsidRPr="00510D36">
        <w:rPr>
          <w:b/>
          <w:bCs/>
          <w:szCs w:val="24"/>
          <w:vertAlign w:val="superscript"/>
        </w:rPr>
        <w:t>1</w:t>
      </w:r>
      <w:r w:rsidR="00984774" w:rsidRPr="00510D36">
        <w:rPr>
          <w:b/>
          <w:bCs/>
          <w:szCs w:val="24"/>
        </w:rPr>
        <w:t xml:space="preserve"> and </w:t>
      </w:r>
      <w:r w:rsidRPr="00510D36">
        <w:rPr>
          <w:b/>
          <w:bCs/>
          <w:szCs w:val="24"/>
        </w:rPr>
        <w:t>Bosede, W.</w:t>
      </w:r>
      <w:r w:rsidR="00D817F6" w:rsidRPr="00510D36">
        <w:rPr>
          <w:b/>
          <w:bCs/>
          <w:szCs w:val="24"/>
          <w:vertAlign w:val="superscript"/>
        </w:rPr>
        <w:t>1</w:t>
      </w:r>
    </w:p>
    <w:p w14:paraId="33EF7BE8" w14:textId="6A5264A1" w:rsidR="001D7542" w:rsidRPr="00510D36" w:rsidRDefault="00984774" w:rsidP="00510D36">
      <w:pPr>
        <w:spacing w:after="0" w:line="240" w:lineRule="auto"/>
        <w:jc w:val="center"/>
        <w:rPr>
          <w:b/>
          <w:bCs/>
          <w:szCs w:val="24"/>
        </w:rPr>
      </w:pPr>
      <w:r w:rsidRPr="00510D36">
        <w:rPr>
          <w:b/>
          <w:bCs/>
          <w:szCs w:val="24"/>
          <w:vertAlign w:val="superscript"/>
        </w:rPr>
        <w:t>1</w:t>
      </w:r>
      <w:r w:rsidRPr="00510D36">
        <w:rPr>
          <w:b/>
          <w:bCs/>
          <w:szCs w:val="24"/>
        </w:rPr>
        <w:t>Department of Fisheries and Aquaculture Technology, Federal University of Technology,</w:t>
      </w:r>
    </w:p>
    <w:p w14:paraId="60AC3BB9" w14:textId="14F5C767" w:rsidR="00984774" w:rsidRPr="00510D36" w:rsidRDefault="00984774" w:rsidP="00510D36">
      <w:pPr>
        <w:spacing w:after="0" w:line="240" w:lineRule="auto"/>
        <w:jc w:val="center"/>
        <w:rPr>
          <w:b/>
          <w:bCs/>
          <w:szCs w:val="24"/>
        </w:rPr>
      </w:pPr>
      <w:r w:rsidRPr="00510D36">
        <w:rPr>
          <w:b/>
          <w:bCs/>
          <w:szCs w:val="24"/>
        </w:rPr>
        <w:t>P. M. B 704, Akure, Nigeria.</w:t>
      </w:r>
    </w:p>
    <w:p w14:paraId="160AB999" w14:textId="77777777" w:rsidR="00984774" w:rsidRPr="00510D36" w:rsidRDefault="00984774" w:rsidP="00510D36">
      <w:pPr>
        <w:spacing w:after="0" w:line="240" w:lineRule="auto"/>
        <w:ind w:right="26"/>
        <w:jc w:val="center"/>
        <w:rPr>
          <w:b/>
          <w:szCs w:val="24"/>
        </w:rPr>
      </w:pPr>
      <w:r w:rsidRPr="00510D36">
        <w:rPr>
          <w:b/>
          <w:szCs w:val="24"/>
        </w:rPr>
        <w:t xml:space="preserve">E- mail of corresponding author; </w:t>
      </w:r>
      <w:r w:rsidRPr="00510D36">
        <w:rPr>
          <w:b/>
          <w:szCs w:val="24"/>
          <w:u w:val="single"/>
        </w:rPr>
        <w:t>tmoladipupo@futa.edu.ng</w:t>
      </w:r>
    </w:p>
    <w:p w14:paraId="347ED516" w14:textId="794CBF05" w:rsidR="00984774" w:rsidRPr="00510D36" w:rsidRDefault="00984774" w:rsidP="00510D36">
      <w:pPr>
        <w:tabs>
          <w:tab w:val="left" w:pos="1157"/>
          <w:tab w:val="center" w:pos="4513"/>
        </w:tabs>
        <w:spacing w:line="240" w:lineRule="auto"/>
        <w:jc w:val="center"/>
        <w:rPr>
          <w:b/>
          <w:bCs/>
          <w:szCs w:val="24"/>
        </w:rPr>
      </w:pPr>
      <w:r w:rsidRPr="00510D36">
        <w:rPr>
          <w:b/>
          <w:szCs w:val="24"/>
        </w:rPr>
        <w:t xml:space="preserve">Mobile Number; </w:t>
      </w:r>
      <w:r w:rsidR="00164C6C" w:rsidRPr="00510D36">
        <w:rPr>
          <w:b/>
          <w:szCs w:val="24"/>
        </w:rPr>
        <w:t>+234</w:t>
      </w:r>
      <w:r w:rsidRPr="00510D36">
        <w:rPr>
          <w:b/>
          <w:szCs w:val="24"/>
        </w:rPr>
        <w:t>8030598486</w:t>
      </w:r>
    </w:p>
    <w:p w14:paraId="2D48A056" w14:textId="5EDF4ACE" w:rsidR="00984774" w:rsidRPr="00942455" w:rsidRDefault="00396EED" w:rsidP="00453560">
      <w:pPr>
        <w:spacing w:after="0" w:line="276" w:lineRule="auto"/>
        <w:jc w:val="both"/>
        <w:rPr>
          <w:b/>
          <w:i/>
          <w:iCs/>
          <w:szCs w:val="24"/>
        </w:rPr>
      </w:pPr>
      <w:r w:rsidRPr="00942455">
        <w:rPr>
          <w:b/>
          <w:i/>
          <w:iCs/>
          <w:szCs w:val="24"/>
        </w:rPr>
        <w:t>ABSTRACT</w:t>
      </w:r>
    </w:p>
    <w:p w14:paraId="5703866D" w14:textId="423A4F16" w:rsidR="001D7691" w:rsidRPr="007903EE" w:rsidRDefault="001D7691" w:rsidP="007903EE">
      <w:pPr>
        <w:jc w:val="both"/>
      </w:pPr>
      <w:r w:rsidRPr="00510D36">
        <w:rPr>
          <w:b/>
          <w:i/>
          <w:iCs/>
          <w:szCs w:val="24"/>
        </w:rPr>
        <w:t xml:space="preserve">This study evaluated the effects of dietary supplementation with Cucurbita pepo leaf powder on growth performance, nutrient utilization, haematological indices, biochemical profile, and carcass composition of Clarias gariepinus fingerlings. A total of 225 fingerlings with an average initial weight of 5.03 ± 0.05 g were randomly distributed into 15 tanks representing five dietary treatments with three replicates each over a 56-day feeding trial. Five isonitrogenous diets containing 40% crude protein were formulated with graded inclusion levels of C. pepo leaf powder at 0.0, 0.5, 1.0, 1.5, and 2.0 g/100 g diet. Fish fed diet CP4 (1.5 g/100 g) achieved the highest final weight, weight gain, specific growth rate, and feed intake, with the lowest feed conversion ratio, indicating improved feed efficiency. Polynomial regression estimated an optimum inclusion level of approximately 1.7 g/100 g diet. Haematological parameters including packed cell volume, haemoglobin, red blood cells, and white blood cells increased significantly (P &lt; 0.05) with supplementation, reflecting </w:t>
      </w:r>
      <w:r w:rsidR="007903EE" w:rsidRPr="007903EE">
        <w:rPr>
          <w:b/>
          <w:bCs/>
          <w:i/>
          <w:iCs/>
        </w:rPr>
        <w:t>improved physiological and immune status in supplemented groups</w:t>
      </w:r>
      <w:r w:rsidRPr="007903EE">
        <w:rPr>
          <w:b/>
          <w:bCs/>
          <w:i/>
          <w:iCs/>
          <w:szCs w:val="24"/>
        </w:rPr>
        <w:t>.</w:t>
      </w:r>
      <w:r w:rsidRPr="00510D36">
        <w:rPr>
          <w:b/>
          <w:i/>
          <w:iCs/>
          <w:szCs w:val="24"/>
        </w:rPr>
        <w:t xml:space="preserve"> These results demonstrate that dietary C. pepo leaf powder enhances</w:t>
      </w:r>
      <w:r w:rsidR="00BF3DC2" w:rsidRPr="00510D36">
        <w:rPr>
          <w:b/>
          <w:i/>
          <w:iCs/>
          <w:szCs w:val="24"/>
        </w:rPr>
        <w:t xml:space="preserve"> physiological status and immune response. Biochemical indices such as total protein, albumin, globulin, and cholesterol </w:t>
      </w:r>
      <w:r w:rsidR="007903EE" w:rsidRPr="007903EE">
        <w:rPr>
          <w:b/>
          <w:bCs/>
          <w:i/>
          <w:iCs/>
        </w:rPr>
        <w:t>were also improved in supplemented groups</w:t>
      </w:r>
      <w:r w:rsidR="007903EE">
        <w:rPr>
          <w:b/>
          <w:bCs/>
          <w:i/>
          <w:iCs/>
        </w:rPr>
        <w:t xml:space="preserve">. </w:t>
      </w:r>
      <w:r w:rsidRPr="00510D36">
        <w:rPr>
          <w:b/>
          <w:i/>
          <w:iCs/>
          <w:szCs w:val="24"/>
        </w:rPr>
        <w:t xml:space="preserve">Therefore, C. pepo leaf powder can serve as a sustainable and cost-effective phytogenic feed additive in aquaculture diets. </w:t>
      </w:r>
    </w:p>
    <w:p w14:paraId="7491397A" w14:textId="4C449F1C" w:rsidR="001A3532" w:rsidRPr="00BF3DC2" w:rsidRDefault="00500B0C" w:rsidP="00453560">
      <w:pPr>
        <w:spacing w:after="0" w:line="276" w:lineRule="auto"/>
        <w:jc w:val="both"/>
        <w:rPr>
          <w:b/>
          <w:bCs/>
          <w:i/>
          <w:iCs/>
          <w:sz w:val="18"/>
          <w:szCs w:val="18"/>
        </w:rPr>
      </w:pPr>
      <w:r w:rsidRPr="00BF3DC2">
        <w:rPr>
          <w:b/>
          <w:bCs/>
          <w:i/>
          <w:iCs/>
          <w:sz w:val="18"/>
          <w:szCs w:val="18"/>
        </w:rPr>
        <w:t xml:space="preserve">Keywords: </w:t>
      </w:r>
      <w:r w:rsidR="00BF3DC2" w:rsidRPr="007C5F59">
        <w:rPr>
          <w:b/>
          <w:i/>
          <w:iCs/>
          <w:sz w:val="18"/>
          <w:szCs w:val="18"/>
        </w:rPr>
        <w:t>Cucurbita pepo</w:t>
      </w:r>
      <w:r w:rsidR="00B82703" w:rsidRPr="00BF3DC2">
        <w:rPr>
          <w:b/>
          <w:bCs/>
          <w:i/>
          <w:iCs/>
          <w:sz w:val="18"/>
          <w:szCs w:val="18"/>
        </w:rPr>
        <w:t>, African catfish, fish growth</w:t>
      </w:r>
      <w:r w:rsidR="00BF3DC2">
        <w:rPr>
          <w:b/>
          <w:bCs/>
          <w:i/>
          <w:iCs/>
          <w:sz w:val="18"/>
          <w:szCs w:val="18"/>
        </w:rPr>
        <w:t>;</w:t>
      </w:r>
      <w:r w:rsidR="00B82703" w:rsidRPr="00BF3DC2">
        <w:rPr>
          <w:b/>
          <w:bCs/>
          <w:i/>
          <w:iCs/>
          <w:sz w:val="18"/>
          <w:szCs w:val="18"/>
        </w:rPr>
        <w:t xml:space="preserve"> haematological parameters</w:t>
      </w:r>
      <w:r w:rsidR="00BF3DC2">
        <w:rPr>
          <w:b/>
          <w:bCs/>
          <w:i/>
          <w:iCs/>
          <w:sz w:val="18"/>
          <w:szCs w:val="18"/>
        </w:rPr>
        <w:t>;</w:t>
      </w:r>
      <w:r w:rsidR="00B82703" w:rsidRPr="00BF3DC2">
        <w:rPr>
          <w:b/>
          <w:bCs/>
          <w:i/>
          <w:iCs/>
          <w:sz w:val="18"/>
          <w:szCs w:val="18"/>
        </w:rPr>
        <w:t xml:space="preserve"> serum biochemistry</w:t>
      </w:r>
      <w:r w:rsidR="00BF3DC2">
        <w:rPr>
          <w:b/>
          <w:bCs/>
          <w:i/>
          <w:iCs/>
          <w:sz w:val="18"/>
          <w:szCs w:val="18"/>
        </w:rPr>
        <w:t>.</w:t>
      </w:r>
    </w:p>
    <w:p w14:paraId="0FC47E79" w14:textId="77777777" w:rsidR="006E1AA1" w:rsidRPr="006E1AA1" w:rsidRDefault="006E1AA1" w:rsidP="00453560">
      <w:pPr>
        <w:spacing w:after="0" w:line="276" w:lineRule="auto"/>
        <w:jc w:val="both"/>
        <w:rPr>
          <w:b/>
          <w:sz w:val="8"/>
          <w:szCs w:val="8"/>
        </w:rPr>
      </w:pPr>
    </w:p>
    <w:p w14:paraId="1216D7EC" w14:textId="77777777" w:rsidR="00453560" w:rsidRDefault="00453560" w:rsidP="00453560">
      <w:pPr>
        <w:spacing w:after="0" w:line="276" w:lineRule="auto"/>
        <w:jc w:val="center"/>
        <w:rPr>
          <w:b/>
          <w:i/>
          <w:iCs/>
          <w:sz w:val="20"/>
        </w:rPr>
      </w:pPr>
    </w:p>
    <w:p w14:paraId="5F3276D4" w14:textId="0DA1C532" w:rsidR="00CE783B" w:rsidRPr="00510D36" w:rsidRDefault="00FA1B06" w:rsidP="00F4181C">
      <w:pPr>
        <w:spacing w:after="0" w:line="240" w:lineRule="auto"/>
        <w:rPr>
          <w:b/>
          <w:i/>
          <w:iCs/>
          <w:szCs w:val="24"/>
        </w:rPr>
      </w:pPr>
      <w:r w:rsidRPr="00510D36">
        <w:rPr>
          <w:b/>
          <w:i/>
          <w:iCs/>
          <w:szCs w:val="24"/>
        </w:rPr>
        <w:t>INTRODUCTION</w:t>
      </w:r>
    </w:p>
    <w:p w14:paraId="53A01071" w14:textId="2D66878F" w:rsidR="00500B0C" w:rsidRPr="00510D36" w:rsidRDefault="00500B0C" w:rsidP="00510D36">
      <w:pPr>
        <w:spacing w:line="240" w:lineRule="auto"/>
        <w:jc w:val="both"/>
        <w:rPr>
          <w:bCs/>
          <w:szCs w:val="24"/>
        </w:rPr>
      </w:pPr>
      <w:r w:rsidRPr="00510D36">
        <w:rPr>
          <w:bCs/>
          <w:szCs w:val="24"/>
        </w:rPr>
        <w:t>Fish is an important component of human nutrition, providing high-quality protein, essential fatty acids, vitamins, and minerals that contribute significantly to global food security. Aquaculture has become one of the fastest-growing food production sectors and plays a crucial role in meeting the increasing global demand for aquatic animal protein. According to the Food and Agriculture Organization</w:t>
      </w:r>
      <w:r w:rsidR="00F4181C">
        <w:rPr>
          <w:bCs/>
          <w:szCs w:val="24"/>
        </w:rPr>
        <w:t xml:space="preserve"> (FAO)</w:t>
      </w:r>
      <w:r w:rsidRPr="00510D36">
        <w:rPr>
          <w:bCs/>
          <w:szCs w:val="24"/>
        </w:rPr>
        <w:t xml:space="preserve">, global fisheries and aquaculture production reached about 223 million tonnes in 2022, with aquaculture contributing more than half of total aquatic animal production for the first time </w:t>
      </w:r>
      <w:r w:rsidR="007C03E1" w:rsidRPr="00510D36">
        <w:rPr>
          <w:bCs/>
          <w:szCs w:val="24"/>
          <w:vertAlign w:val="superscript"/>
        </w:rPr>
        <w:t>[</w:t>
      </w:r>
      <w:r w:rsidR="00F646FD" w:rsidRPr="00510D36">
        <w:rPr>
          <w:bCs/>
          <w:szCs w:val="24"/>
          <w:vertAlign w:val="superscript"/>
        </w:rPr>
        <w:t>1</w:t>
      </w:r>
      <w:r w:rsidR="007C03E1" w:rsidRPr="00510D36">
        <w:rPr>
          <w:bCs/>
          <w:szCs w:val="24"/>
          <w:vertAlign w:val="superscript"/>
        </w:rPr>
        <w:t>]</w:t>
      </w:r>
      <w:r w:rsidRPr="00510D36">
        <w:rPr>
          <w:bCs/>
          <w:szCs w:val="24"/>
          <w:vertAlign w:val="superscript"/>
        </w:rPr>
        <w:t>.</w:t>
      </w:r>
      <w:r w:rsidR="00A561B2" w:rsidRPr="00510D36">
        <w:rPr>
          <w:bCs/>
          <w:szCs w:val="24"/>
        </w:rPr>
        <w:t xml:space="preserve"> </w:t>
      </w:r>
      <w:r w:rsidRPr="00510D36">
        <w:rPr>
          <w:bCs/>
          <w:szCs w:val="24"/>
        </w:rPr>
        <w:t>In Africa, aquaculture is increasingly recognized as an important strategy for improving food security and rural livelihoods. Among the cultured species in the region, African catfish (</w:t>
      </w:r>
      <w:r w:rsidRPr="00510D36">
        <w:rPr>
          <w:bCs/>
          <w:i/>
          <w:iCs/>
          <w:szCs w:val="24"/>
        </w:rPr>
        <w:t>Clarias gariepinus</w:t>
      </w:r>
      <w:r w:rsidRPr="00510D36">
        <w:rPr>
          <w:bCs/>
          <w:szCs w:val="24"/>
        </w:rPr>
        <w:t>) is widely farmed due to its rapid growth rate, high feed conversion efficiency, disease resistance, tolerance to low dissolved oxygen, and ability to utilize diverse feed ingredients.</w:t>
      </w:r>
      <w:r w:rsidR="00A561B2" w:rsidRPr="00510D36">
        <w:rPr>
          <w:bCs/>
          <w:szCs w:val="24"/>
        </w:rPr>
        <w:t xml:space="preserve"> </w:t>
      </w:r>
      <w:r w:rsidRPr="00510D36">
        <w:rPr>
          <w:bCs/>
          <w:szCs w:val="24"/>
        </w:rPr>
        <w:t>However, the profitability of aquaculture is largely constrained by the high cost of feed, which often accounts for 60–70% of total production costs. Conventional protein sources such as fishmeal and soybean meal are expensive and subject to price fluctuations, thereby increasing the need for sustainable and affordable alternative feed resources</w:t>
      </w:r>
      <w:r w:rsidR="002E5836" w:rsidRPr="00510D36">
        <w:rPr>
          <w:bCs/>
          <w:szCs w:val="24"/>
        </w:rPr>
        <w:t xml:space="preserve"> </w:t>
      </w:r>
      <w:r w:rsidR="00010A88" w:rsidRPr="00510D36">
        <w:rPr>
          <w:bCs/>
          <w:szCs w:val="24"/>
          <w:vertAlign w:val="superscript"/>
        </w:rPr>
        <w:t>[2,3</w:t>
      </w:r>
      <w:r w:rsidR="001D7542" w:rsidRPr="00510D36">
        <w:rPr>
          <w:bCs/>
          <w:szCs w:val="24"/>
          <w:vertAlign w:val="superscript"/>
        </w:rPr>
        <w:t>]</w:t>
      </w:r>
      <w:r w:rsidRPr="00510D36">
        <w:rPr>
          <w:bCs/>
          <w:szCs w:val="24"/>
        </w:rPr>
        <w:t>.</w:t>
      </w:r>
      <w:r w:rsidR="00A561B2" w:rsidRPr="00510D36">
        <w:rPr>
          <w:bCs/>
          <w:szCs w:val="24"/>
        </w:rPr>
        <w:t xml:space="preserve"> </w:t>
      </w:r>
      <w:r w:rsidRPr="00510D36">
        <w:rPr>
          <w:bCs/>
          <w:szCs w:val="24"/>
        </w:rPr>
        <w:t xml:space="preserve">Plant-based feed ingredients have therefore </w:t>
      </w:r>
      <w:r w:rsidRPr="00510D36">
        <w:rPr>
          <w:bCs/>
          <w:szCs w:val="24"/>
        </w:rPr>
        <w:lastRenderedPageBreak/>
        <w:t xml:space="preserve">attracted increasing attention as potential alternatives in aquafeed formulation. Many plant materials contain bioactive phytochemicals with growth-promoting, antioxidant, antimicrobial, and immunostimulatory properties that can enhance fish performance and health. Such phytogenic feed additives have been reported to improve growth performance, feed utilization, digestive enzyme activity, and immune responses in cultured fish species </w:t>
      </w:r>
      <w:r w:rsidR="00687B56" w:rsidRPr="00510D36">
        <w:rPr>
          <w:bCs/>
          <w:szCs w:val="24"/>
          <w:vertAlign w:val="superscript"/>
        </w:rPr>
        <w:t>[4,5]</w:t>
      </w:r>
      <w:r w:rsidR="00687B56" w:rsidRPr="00510D36">
        <w:rPr>
          <w:bCs/>
          <w:szCs w:val="24"/>
        </w:rPr>
        <w:t xml:space="preserve">. </w:t>
      </w:r>
      <w:r w:rsidRPr="00510D36">
        <w:rPr>
          <w:bCs/>
          <w:szCs w:val="24"/>
        </w:rPr>
        <w:t xml:space="preserve">One plant with promising potential is </w:t>
      </w:r>
      <w:r w:rsidRPr="00510D36">
        <w:rPr>
          <w:bCs/>
          <w:i/>
          <w:iCs/>
          <w:szCs w:val="24"/>
        </w:rPr>
        <w:t>Cucurbita pepo</w:t>
      </w:r>
      <w:r w:rsidRPr="00510D36">
        <w:rPr>
          <w:bCs/>
          <w:szCs w:val="24"/>
        </w:rPr>
        <w:t xml:space="preserve">, a member of the family Cucurbitaceae, widely cultivated for its nutritional and medicinal properties. While the fruits and seeds have been extensively studied, the leaves remain relatively underutilized despite their high nutritional value. Pumpkin leaves contain proteins, essential minerals, vitamins, and phytochemicals such as flavonoids, tannins, alkaloids, and phenolic antioxidants, which are associated with improved metabolism, immune function, and antioxidant activity </w:t>
      </w:r>
      <w:r w:rsidR="00E74B8A" w:rsidRPr="00510D36">
        <w:rPr>
          <w:bCs/>
          <w:szCs w:val="24"/>
          <w:vertAlign w:val="superscript"/>
        </w:rPr>
        <w:t>[6,7,8]</w:t>
      </w:r>
      <w:r w:rsidR="00E74B8A" w:rsidRPr="00510D36">
        <w:rPr>
          <w:bCs/>
          <w:szCs w:val="24"/>
        </w:rPr>
        <w:t>.</w:t>
      </w:r>
      <w:r w:rsidR="00A561B2" w:rsidRPr="00510D36">
        <w:rPr>
          <w:bCs/>
          <w:szCs w:val="24"/>
        </w:rPr>
        <w:t xml:space="preserve"> </w:t>
      </w:r>
      <w:r w:rsidRPr="00510D36">
        <w:rPr>
          <w:bCs/>
          <w:szCs w:val="24"/>
        </w:rPr>
        <w:t>Recent studies have shown that pumpkin-derived ingredients can enhance growth performance, feed efficiency, antioxidant status, and immune responses in several fish species, including common carp (</w:t>
      </w:r>
      <w:r w:rsidRPr="00510D36">
        <w:rPr>
          <w:bCs/>
          <w:i/>
          <w:iCs/>
          <w:szCs w:val="24"/>
        </w:rPr>
        <w:t>Cyprinus carpio</w:t>
      </w:r>
      <w:r w:rsidRPr="00510D36">
        <w:rPr>
          <w:bCs/>
          <w:szCs w:val="24"/>
        </w:rPr>
        <w:t>), rainbow trout (</w:t>
      </w:r>
      <w:r w:rsidRPr="00510D36">
        <w:rPr>
          <w:bCs/>
          <w:i/>
          <w:iCs/>
          <w:szCs w:val="24"/>
        </w:rPr>
        <w:t>Oncorhynchus mykiss</w:t>
      </w:r>
      <w:r w:rsidRPr="00510D36">
        <w:rPr>
          <w:bCs/>
          <w:szCs w:val="24"/>
        </w:rPr>
        <w:t>), and Nile tilapia (</w:t>
      </w:r>
      <w:r w:rsidRPr="00510D36">
        <w:rPr>
          <w:bCs/>
          <w:i/>
          <w:iCs/>
          <w:szCs w:val="24"/>
        </w:rPr>
        <w:t>Oreochromis niloticus</w:t>
      </w:r>
      <w:r w:rsidRPr="00510D36">
        <w:rPr>
          <w:bCs/>
          <w:szCs w:val="24"/>
        </w:rPr>
        <w:t>)</w:t>
      </w:r>
      <w:r w:rsidR="002D68D2" w:rsidRPr="00510D36">
        <w:rPr>
          <w:bCs/>
          <w:szCs w:val="24"/>
        </w:rPr>
        <w:t xml:space="preserve"> </w:t>
      </w:r>
      <w:r w:rsidR="002D68D2" w:rsidRPr="00510D36">
        <w:rPr>
          <w:bCs/>
          <w:szCs w:val="24"/>
          <w:vertAlign w:val="superscript"/>
        </w:rPr>
        <w:t>[9,10]</w:t>
      </w:r>
      <w:r w:rsidRPr="00510D36">
        <w:rPr>
          <w:bCs/>
          <w:szCs w:val="24"/>
        </w:rPr>
        <w:t>.</w:t>
      </w:r>
      <w:r w:rsidR="00A561B2" w:rsidRPr="00510D36">
        <w:rPr>
          <w:bCs/>
          <w:szCs w:val="24"/>
        </w:rPr>
        <w:t xml:space="preserve"> </w:t>
      </w:r>
      <w:r w:rsidRPr="00510D36">
        <w:rPr>
          <w:bCs/>
          <w:szCs w:val="24"/>
        </w:rPr>
        <w:t xml:space="preserve">Given that pumpkin leaves are inexpensive, widely available, and often discarded as agricultural waste, their inclusion in aquafeeds could provide a sustainable and cost-effective feed resource. However, information on the use of </w:t>
      </w:r>
      <w:r w:rsidRPr="00510D36">
        <w:rPr>
          <w:bCs/>
          <w:i/>
          <w:iCs/>
          <w:szCs w:val="24"/>
        </w:rPr>
        <w:t>Cucurbita pepo</w:t>
      </w:r>
      <w:r w:rsidRPr="00510D36">
        <w:rPr>
          <w:bCs/>
          <w:szCs w:val="24"/>
        </w:rPr>
        <w:t xml:space="preserve"> leaf powder in the diet of African catfish remains limited. Therefore, this study investigated the potential of </w:t>
      </w:r>
      <w:r w:rsidRPr="00510D36">
        <w:rPr>
          <w:bCs/>
          <w:i/>
          <w:iCs/>
          <w:szCs w:val="24"/>
        </w:rPr>
        <w:t>Cucurbita pepo</w:t>
      </w:r>
      <w:r w:rsidRPr="00510D36">
        <w:rPr>
          <w:bCs/>
          <w:szCs w:val="24"/>
        </w:rPr>
        <w:t xml:space="preserve"> leaf powder as a dietary supplement to improve growth performance, feed utilization, and overall health of </w:t>
      </w:r>
      <w:r w:rsidRPr="00510D36">
        <w:rPr>
          <w:bCs/>
          <w:i/>
          <w:iCs/>
          <w:szCs w:val="24"/>
        </w:rPr>
        <w:t>Clarias gariepinus</w:t>
      </w:r>
      <w:r w:rsidRPr="00510D36">
        <w:rPr>
          <w:bCs/>
          <w:szCs w:val="24"/>
        </w:rPr>
        <w:t xml:space="preserve"> fingerlings.</w:t>
      </w:r>
    </w:p>
    <w:p w14:paraId="364BD6D1" w14:textId="08AEAB42" w:rsidR="00655E70" w:rsidRPr="00510D36" w:rsidRDefault="00FA1B06" w:rsidP="00F4181C">
      <w:pPr>
        <w:spacing w:line="240" w:lineRule="auto"/>
        <w:rPr>
          <w:b/>
          <w:i/>
          <w:iCs/>
          <w:szCs w:val="24"/>
        </w:rPr>
      </w:pPr>
      <w:r w:rsidRPr="00510D36">
        <w:rPr>
          <w:b/>
          <w:i/>
          <w:iCs/>
          <w:szCs w:val="24"/>
        </w:rPr>
        <w:t>MATERIALS AND METHODS</w:t>
      </w:r>
    </w:p>
    <w:p w14:paraId="71C83DE1" w14:textId="26D08D69" w:rsidR="00483E4E" w:rsidRPr="00510D36" w:rsidRDefault="00483E4E" w:rsidP="00510D36">
      <w:pPr>
        <w:spacing w:line="240" w:lineRule="auto"/>
        <w:jc w:val="both"/>
        <w:rPr>
          <w:b/>
          <w:bCs/>
          <w:szCs w:val="24"/>
        </w:rPr>
      </w:pPr>
      <w:bookmarkStart w:id="0" w:name="_Hlk206147569"/>
      <w:r w:rsidRPr="00510D36">
        <w:rPr>
          <w:b/>
          <w:bCs/>
          <w:szCs w:val="24"/>
        </w:rPr>
        <w:t>Experimental Site and Duration</w:t>
      </w:r>
      <w:bookmarkEnd w:id="0"/>
    </w:p>
    <w:p w14:paraId="29FACAC3" w14:textId="23A0B9D2" w:rsidR="00483E4E" w:rsidRPr="00510D36" w:rsidRDefault="008E5FC5" w:rsidP="00510D36">
      <w:pPr>
        <w:spacing w:after="0" w:line="240" w:lineRule="auto"/>
        <w:jc w:val="both"/>
        <w:rPr>
          <w:bCs/>
          <w:szCs w:val="24"/>
        </w:rPr>
      </w:pPr>
      <w:bookmarkStart w:id="1" w:name="_Hlk206149299"/>
      <w:r w:rsidRPr="00510D36">
        <w:rPr>
          <w:bCs/>
          <w:szCs w:val="24"/>
        </w:rPr>
        <w:t>The study was conducted over a 56-day period at the Research Laboratory of the Department of Fisheries and Aquaculture Technology, Federal University of Technology, Akure, Ondo State, Nigeria.</w:t>
      </w:r>
    </w:p>
    <w:bookmarkEnd w:id="1"/>
    <w:p w14:paraId="0350A1CE" w14:textId="77777777" w:rsidR="00510D36" w:rsidRDefault="00510D36" w:rsidP="00510D36">
      <w:pPr>
        <w:spacing w:after="0" w:line="240" w:lineRule="auto"/>
        <w:jc w:val="both"/>
        <w:rPr>
          <w:b/>
          <w:szCs w:val="24"/>
        </w:rPr>
      </w:pPr>
    </w:p>
    <w:p w14:paraId="15417595" w14:textId="292ECBE4" w:rsidR="00483E4E" w:rsidRPr="00510D36" w:rsidRDefault="00483E4E" w:rsidP="00510D36">
      <w:pPr>
        <w:spacing w:after="0" w:line="240" w:lineRule="auto"/>
        <w:jc w:val="both"/>
        <w:rPr>
          <w:b/>
          <w:szCs w:val="24"/>
        </w:rPr>
      </w:pPr>
      <w:r w:rsidRPr="00510D36">
        <w:rPr>
          <w:b/>
          <w:szCs w:val="24"/>
        </w:rPr>
        <w:t>Plant Material</w:t>
      </w:r>
      <w:r w:rsidRPr="00510D36">
        <w:rPr>
          <w:b/>
          <w:szCs w:val="24"/>
        </w:rPr>
        <w:tab/>
      </w:r>
    </w:p>
    <w:p w14:paraId="151030B7" w14:textId="782CFC1A" w:rsidR="008E5FC5" w:rsidRPr="00510D36" w:rsidRDefault="008E5FC5" w:rsidP="00510D36">
      <w:pPr>
        <w:spacing w:after="0" w:line="240" w:lineRule="auto"/>
        <w:jc w:val="both"/>
        <w:rPr>
          <w:bCs/>
          <w:szCs w:val="24"/>
        </w:rPr>
      </w:pPr>
      <w:r w:rsidRPr="00510D36">
        <w:rPr>
          <w:bCs/>
          <w:szCs w:val="24"/>
        </w:rPr>
        <w:t xml:space="preserve">Fresh leaves of </w:t>
      </w:r>
      <w:r w:rsidRPr="00510D36">
        <w:rPr>
          <w:bCs/>
          <w:i/>
          <w:iCs/>
          <w:szCs w:val="24"/>
        </w:rPr>
        <w:t>C. pepo</w:t>
      </w:r>
      <w:r w:rsidRPr="00510D36">
        <w:rPr>
          <w:bCs/>
          <w:szCs w:val="24"/>
        </w:rPr>
        <w:t xml:space="preserve"> were harvested from the Federal University of Technology, Akure fish farm. The leaves were thoroughly washed with distilled water to remove dirt and impurities and then air-dried at room temperature for 7 days to prevent nutrient degradation from direct sunlight. The dried leaves were milled into a fine powder using an electric blender (Model ES-242) and stored in airtight containers at room temperature until feed formulation.</w:t>
      </w:r>
    </w:p>
    <w:p w14:paraId="3C21661D" w14:textId="77777777" w:rsidR="00FA1B06" w:rsidRPr="00510D36" w:rsidRDefault="00FA1B06" w:rsidP="00510D36">
      <w:pPr>
        <w:spacing w:after="0" w:line="240" w:lineRule="auto"/>
        <w:jc w:val="both"/>
        <w:rPr>
          <w:b/>
          <w:szCs w:val="24"/>
        </w:rPr>
      </w:pPr>
      <w:bookmarkStart w:id="2" w:name="_Hlk205441293"/>
    </w:p>
    <w:p w14:paraId="787C962D" w14:textId="315F9D46" w:rsidR="00483E4E" w:rsidRPr="00510D36" w:rsidRDefault="00483E4E" w:rsidP="00510D36">
      <w:pPr>
        <w:spacing w:after="0" w:line="240" w:lineRule="auto"/>
        <w:jc w:val="both"/>
        <w:rPr>
          <w:b/>
          <w:szCs w:val="24"/>
        </w:rPr>
      </w:pPr>
      <w:r w:rsidRPr="00510D36">
        <w:rPr>
          <w:b/>
          <w:szCs w:val="24"/>
        </w:rPr>
        <w:t xml:space="preserve">Experimental Fish </w:t>
      </w:r>
    </w:p>
    <w:bookmarkEnd w:id="2"/>
    <w:p w14:paraId="0F778C76" w14:textId="30A25545" w:rsidR="008E5FC5" w:rsidRPr="00510D36" w:rsidRDefault="008E5FC5" w:rsidP="00510D36">
      <w:pPr>
        <w:spacing w:after="0" w:line="240" w:lineRule="auto"/>
        <w:jc w:val="both"/>
        <w:rPr>
          <w:szCs w:val="24"/>
        </w:rPr>
      </w:pPr>
      <w:r w:rsidRPr="00510D36">
        <w:rPr>
          <w:szCs w:val="24"/>
        </w:rPr>
        <w:t xml:space="preserve">Healthy </w:t>
      </w:r>
      <w:r w:rsidRPr="00510D36">
        <w:rPr>
          <w:i/>
          <w:iCs/>
          <w:szCs w:val="24"/>
        </w:rPr>
        <w:t>C. gariepinus</w:t>
      </w:r>
      <w:r w:rsidRPr="00510D36">
        <w:rPr>
          <w:szCs w:val="24"/>
        </w:rPr>
        <w:t xml:space="preserve"> fingerlings, averaging 5.03 ± 0.05 g, were obtained from a reputable hatchery in Akure, Ondo State, Nigeria. The fish were acclimated for two weeks in fiberglass tanks under laboratory conditions before the commencement of the experiment. During acclimation, fish were fed a commercial diet containing 40% crude protein to apparent satiation twice daily between 08:00–09:00 </w:t>
      </w:r>
      <w:r w:rsidR="00F4181C">
        <w:rPr>
          <w:szCs w:val="24"/>
        </w:rPr>
        <w:t>GMT</w:t>
      </w:r>
      <w:r w:rsidRPr="00510D36">
        <w:rPr>
          <w:szCs w:val="24"/>
        </w:rPr>
        <w:t xml:space="preserve"> and 16:00–17:00 h GMT.</w:t>
      </w:r>
    </w:p>
    <w:p w14:paraId="760B5785" w14:textId="77777777" w:rsidR="00FA1B06" w:rsidRPr="00510D36" w:rsidRDefault="00FA1B06" w:rsidP="00510D36">
      <w:pPr>
        <w:spacing w:after="0" w:line="240" w:lineRule="auto"/>
        <w:jc w:val="both"/>
        <w:rPr>
          <w:b/>
          <w:szCs w:val="24"/>
        </w:rPr>
      </w:pPr>
    </w:p>
    <w:p w14:paraId="7963CF17" w14:textId="68573EA6" w:rsidR="00483E4E" w:rsidRPr="00510D36" w:rsidRDefault="00483E4E" w:rsidP="00510D36">
      <w:pPr>
        <w:spacing w:after="0" w:line="240" w:lineRule="auto"/>
        <w:jc w:val="both"/>
        <w:rPr>
          <w:b/>
          <w:szCs w:val="24"/>
        </w:rPr>
      </w:pPr>
      <w:r w:rsidRPr="00510D36">
        <w:rPr>
          <w:b/>
          <w:szCs w:val="24"/>
        </w:rPr>
        <w:t>Experimental Diets</w:t>
      </w:r>
    </w:p>
    <w:p w14:paraId="7353A969" w14:textId="5DADC091" w:rsidR="008E5FC5" w:rsidRPr="00510D36" w:rsidRDefault="008E5FC5" w:rsidP="00510D36">
      <w:pPr>
        <w:autoSpaceDE w:val="0"/>
        <w:autoSpaceDN w:val="0"/>
        <w:adjustRightInd w:val="0"/>
        <w:spacing w:after="0" w:line="240" w:lineRule="auto"/>
        <w:jc w:val="both"/>
        <w:rPr>
          <w:szCs w:val="24"/>
        </w:rPr>
      </w:pPr>
      <w:r w:rsidRPr="00510D36">
        <w:rPr>
          <w:szCs w:val="24"/>
        </w:rPr>
        <w:t xml:space="preserve">Five experimental diets (40% crude protein) were formulated incorporating varying levels of </w:t>
      </w:r>
      <w:r w:rsidRPr="00510D36">
        <w:rPr>
          <w:i/>
          <w:iCs/>
          <w:szCs w:val="24"/>
        </w:rPr>
        <w:t>C. pepo</w:t>
      </w:r>
      <w:r w:rsidRPr="00510D36">
        <w:rPr>
          <w:szCs w:val="24"/>
        </w:rPr>
        <w:t xml:space="preserve"> leaf </w:t>
      </w:r>
      <w:r w:rsidR="00B91DE2">
        <w:rPr>
          <w:szCs w:val="24"/>
        </w:rPr>
        <w:t xml:space="preserve">powder </w:t>
      </w:r>
      <w:r w:rsidRPr="00510D36">
        <w:rPr>
          <w:szCs w:val="24"/>
        </w:rPr>
        <w:t xml:space="preserve">(0.0, 0.5, 1.0, 1.5, and 2.0 g/100 g). The diet containing 0.0 g/100 g </w:t>
      </w:r>
      <w:r w:rsidRPr="00510D36">
        <w:rPr>
          <w:i/>
          <w:iCs/>
          <w:szCs w:val="24"/>
        </w:rPr>
        <w:t>C. pepo</w:t>
      </w:r>
      <w:r w:rsidRPr="00510D36">
        <w:rPr>
          <w:szCs w:val="24"/>
        </w:rPr>
        <w:t xml:space="preserve"> leaf meal served as the control. Other ingredients included fish meal, soybean meal, groundnut cake, yellow maize, methionine, lysine, vitamin-mineral premix, vegetable oil, and starch. The formulation was based on the proximate composition of feed ingredients (Table </w:t>
      </w:r>
      <w:r w:rsidRPr="00510D36">
        <w:rPr>
          <w:szCs w:val="24"/>
        </w:rPr>
        <w:lastRenderedPageBreak/>
        <w:t>1). Table 2 shows the gross composition of the experimental diets. The ingredients for each diet were thoroughly mixed and pelleted using a Hobart A-200T mixing and pelleting machine (Hobart Manufacturing Ltd., UK) with a 2-mm diameter die. The resulting strands were sun-dried for 4 days and then hand-crumbled into smaller sizes suitable for fingerlings.</w:t>
      </w:r>
      <w:r w:rsidR="00D83B5E" w:rsidRPr="00510D36">
        <w:rPr>
          <w:szCs w:val="24"/>
        </w:rPr>
        <w:t xml:space="preserve"> </w:t>
      </w:r>
      <w:r w:rsidRPr="00510D36">
        <w:rPr>
          <w:szCs w:val="24"/>
        </w:rPr>
        <w:t>The diets were packed into separate airtight polyethylene bags, sealed, labeled according to treatments, and stored at 4 °C until feeding.</w:t>
      </w:r>
    </w:p>
    <w:p w14:paraId="4D7148F6" w14:textId="77777777" w:rsidR="00FA1B06" w:rsidRPr="00510D36" w:rsidRDefault="00FA1B06" w:rsidP="00510D36">
      <w:pPr>
        <w:autoSpaceDE w:val="0"/>
        <w:autoSpaceDN w:val="0"/>
        <w:adjustRightInd w:val="0"/>
        <w:spacing w:after="0" w:line="240" w:lineRule="auto"/>
        <w:jc w:val="both"/>
        <w:rPr>
          <w:b/>
          <w:szCs w:val="24"/>
          <w:lang w:val="en-GB"/>
        </w:rPr>
      </w:pPr>
    </w:p>
    <w:p w14:paraId="40ADB1B7" w14:textId="2C2974C4" w:rsidR="00BC34BA" w:rsidRPr="00510D36" w:rsidRDefault="00BC34BA" w:rsidP="00510D36">
      <w:pPr>
        <w:autoSpaceDE w:val="0"/>
        <w:autoSpaceDN w:val="0"/>
        <w:adjustRightInd w:val="0"/>
        <w:spacing w:after="0" w:line="240" w:lineRule="auto"/>
        <w:jc w:val="both"/>
        <w:rPr>
          <w:b/>
          <w:szCs w:val="24"/>
          <w:lang w:val="en-GB"/>
        </w:rPr>
      </w:pPr>
      <w:r w:rsidRPr="00510D36">
        <w:rPr>
          <w:b/>
          <w:szCs w:val="24"/>
          <w:lang w:val="en-GB"/>
        </w:rPr>
        <w:t>Table 1: Proximate composition of feed ingredients</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620"/>
        <w:gridCol w:w="1170"/>
        <w:gridCol w:w="1440"/>
        <w:gridCol w:w="1440"/>
        <w:gridCol w:w="1080"/>
      </w:tblGrid>
      <w:tr w:rsidR="00BC34BA" w:rsidRPr="00510D36" w14:paraId="578621A2" w14:textId="77777777" w:rsidTr="00E2295B">
        <w:trPr>
          <w:trHeight w:val="330"/>
        </w:trPr>
        <w:tc>
          <w:tcPr>
            <w:tcW w:w="1885" w:type="dxa"/>
            <w:tcBorders>
              <w:top w:val="single" w:sz="4" w:space="0" w:color="auto"/>
              <w:bottom w:val="single" w:sz="4" w:space="0" w:color="auto"/>
            </w:tcBorders>
            <w:noWrap/>
            <w:hideMark/>
          </w:tcPr>
          <w:p w14:paraId="62878515" w14:textId="77777777" w:rsidR="00BC34BA" w:rsidRPr="00510D36" w:rsidRDefault="00BC34BA" w:rsidP="00510D36">
            <w:pP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Ingredients</w:t>
            </w:r>
          </w:p>
        </w:tc>
        <w:tc>
          <w:tcPr>
            <w:tcW w:w="1620" w:type="dxa"/>
            <w:tcBorders>
              <w:top w:val="single" w:sz="4" w:space="0" w:color="auto"/>
              <w:bottom w:val="single" w:sz="4" w:space="0" w:color="auto"/>
            </w:tcBorders>
            <w:noWrap/>
            <w:hideMark/>
          </w:tcPr>
          <w:p w14:paraId="04095B09"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Moisture (%)</w:t>
            </w:r>
          </w:p>
        </w:tc>
        <w:tc>
          <w:tcPr>
            <w:tcW w:w="1170" w:type="dxa"/>
            <w:tcBorders>
              <w:top w:val="single" w:sz="4" w:space="0" w:color="auto"/>
              <w:bottom w:val="single" w:sz="4" w:space="0" w:color="auto"/>
            </w:tcBorders>
            <w:noWrap/>
            <w:hideMark/>
          </w:tcPr>
          <w:p w14:paraId="75F62B07"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Ash (%)</w:t>
            </w:r>
          </w:p>
        </w:tc>
        <w:tc>
          <w:tcPr>
            <w:tcW w:w="1440" w:type="dxa"/>
            <w:tcBorders>
              <w:top w:val="single" w:sz="4" w:space="0" w:color="auto"/>
              <w:bottom w:val="single" w:sz="4" w:space="0" w:color="auto"/>
            </w:tcBorders>
            <w:noWrap/>
            <w:hideMark/>
          </w:tcPr>
          <w:p w14:paraId="7FDDA5AC"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Protein (%)</w:t>
            </w:r>
          </w:p>
        </w:tc>
        <w:tc>
          <w:tcPr>
            <w:tcW w:w="1440" w:type="dxa"/>
            <w:tcBorders>
              <w:top w:val="single" w:sz="4" w:space="0" w:color="auto"/>
              <w:bottom w:val="single" w:sz="4" w:space="0" w:color="auto"/>
            </w:tcBorders>
            <w:noWrap/>
            <w:hideMark/>
          </w:tcPr>
          <w:p w14:paraId="7529BAAE"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Fibre (%)</w:t>
            </w:r>
          </w:p>
        </w:tc>
        <w:tc>
          <w:tcPr>
            <w:tcW w:w="1080" w:type="dxa"/>
            <w:tcBorders>
              <w:top w:val="single" w:sz="4" w:space="0" w:color="auto"/>
              <w:bottom w:val="single" w:sz="4" w:space="0" w:color="auto"/>
            </w:tcBorders>
            <w:noWrap/>
            <w:hideMark/>
          </w:tcPr>
          <w:p w14:paraId="5CEBA783"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Fat (%)</w:t>
            </w:r>
          </w:p>
        </w:tc>
      </w:tr>
      <w:tr w:rsidR="00BC34BA" w:rsidRPr="00510D36" w14:paraId="7EE20B59" w14:textId="77777777" w:rsidTr="00E2295B">
        <w:trPr>
          <w:trHeight w:val="315"/>
        </w:trPr>
        <w:tc>
          <w:tcPr>
            <w:tcW w:w="1885" w:type="dxa"/>
            <w:tcBorders>
              <w:top w:val="single" w:sz="4" w:space="0" w:color="auto"/>
            </w:tcBorders>
            <w:noWrap/>
            <w:hideMark/>
          </w:tcPr>
          <w:p w14:paraId="4FC523E9"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Fish meal </w:t>
            </w:r>
          </w:p>
        </w:tc>
        <w:tc>
          <w:tcPr>
            <w:tcW w:w="1620" w:type="dxa"/>
            <w:tcBorders>
              <w:top w:val="single" w:sz="4" w:space="0" w:color="auto"/>
            </w:tcBorders>
            <w:noWrap/>
          </w:tcPr>
          <w:p w14:paraId="58FF763D"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12.8</w:t>
            </w:r>
          </w:p>
        </w:tc>
        <w:tc>
          <w:tcPr>
            <w:tcW w:w="1170" w:type="dxa"/>
            <w:tcBorders>
              <w:top w:val="single" w:sz="4" w:space="0" w:color="auto"/>
            </w:tcBorders>
            <w:noWrap/>
          </w:tcPr>
          <w:p w14:paraId="5B67DE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10.7</w:t>
            </w:r>
          </w:p>
        </w:tc>
        <w:tc>
          <w:tcPr>
            <w:tcW w:w="1440" w:type="dxa"/>
            <w:tcBorders>
              <w:top w:val="single" w:sz="4" w:space="0" w:color="auto"/>
            </w:tcBorders>
            <w:noWrap/>
            <w:vAlign w:val="bottom"/>
          </w:tcPr>
          <w:p w14:paraId="3ADA18E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64.8</w:t>
            </w:r>
          </w:p>
        </w:tc>
        <w:tc>
          <w:tcPr>
            <w:tcW w:w="1440" w:type="dxa"/>
            <w:tcBorders>
              <w:top w:val="single" w:sz="4" w:space="0" w:color="auto"/>
            </w:tcBorders>
            <w:noWrap/>
          </w:tcPr>
          <w:p w14:paraId="5BF996D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1.02</w:t>
            </w:r>
          </w:p>
        </w:tc>
        <w:tc>
          <w:tcPr>
            <w:tcW w:w="1080" w:type="dxa"/>
            <w:tcBorders>
              <w:top w:val="single" w:sz="4" w:space="0" w:color="auto"/>
            </w:tcBorders>
            <w:noWrap/>
          </w:tcPr>
          <w:p w14:paraId="111C1F1B"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9.73</w:t>
            </w:r>
          </w:p>
        </w:tc>
      </w:tr>
      <w:tr w:rsidR="00BC34BA" w:rsidRPr="00510D36" w14:paraId="197DE300" w14:textId="77777777" w:rsidTr="00E2295B">
        <w:trPr>
          <w:trHeight w:val="315"/>
        </w:trPr>
        <w:tc>
          <w:tcPr>
            <w:tcW w:w="1885" w:type="dxa"/>
            <w:noWrap/>
            <w:hideMark/>
          </w:tcPr>
          <w:p w14:paraId="40DA4C8B"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Soybean meal </w:t>
            </w:r>
          </w:p>
        </w:tc>
        <w:tc>
          <w:tcPr>
            <w:tcW w:w="1620" w:type="dxa"/>
            <w:noWrap/>
          </w:tcPr>
          <w:p w14:paraId="11B74A0A"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9.34</w:t>
            </w:r>
          </w:p>
        </w:tc>
        <w:tc>
          <w:tcPr>
            <w:tcW w:w="1170" w:type="dxa"/>
            <w:noWrap/>
          </w:tcPr>
          <w:p w14:paraId="3FA017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5.93</w:t>
            </w:r>
          </w:p>
        </w:tc>
        <w:tc>
          <w:tcPr>
            <w:tcW w:w="1440" w:type="dxa"/>
            <w:noWrap/>
            <w:vAlign w:val="bottom"/>
          </w:tcPr>
          <w:p w14:paraId="7BAFC0D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42.0</w:t>
            </w:r>
          </w:p>
        </w:tc>
        <w:tc>
          <w:tcPr>
            <w:tcW w:w="1440" w:type="dxa"/>
            <w:noWrap/>
          </w:tcPr>
          <w:p w14:paraId="20859E79"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6.26</w:t>
            </w:r>
          </w:p>
        </w:tc>
        <w:tc>
          <w:tcPr>
            <w:tcW w:w="1080" w:type="dxa"/>
            <w:noWrap/>
          </w:tcPr>
          <w:p w14:paraId="411D3B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8.15</w:t>
            </w:r>
          </w:p>
        </w:tc>
      </w:tr>
      <w:tr w:rsidR="00BC34BA" w:rsidRPr="00510D36" w14:paraId="2629CD3C" w14:textId="77777777" w:rsidTr="00E2295B">
        <w:trPr>
          <w:trHeight w:val="315"/>
        </w:trPr>
        <w:tc>
          <w:tcPr>
            <w:tcW w:w="1885" w:type="dxa"/>
            <w:noWrap/>
            <w:hideMark/>
          </w:tcPr>
          <w:p w14:paraId="0D7A2A08"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Ground nut cake </w:t>
            </w:r>
          </w:p>
        </w:tc>
        <w:tc>
          <w:tcPr>
            <w:tcW w:w="1620" w:type="dxa"/>
            <w:noWrap/>
          </w:tcPr>
          <w:p w14:paraId="22AB1C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9.48</w:t>
            </w:r>
          </w:p>
        </w:tc>
        <w:tc>
          <w:tcPr>
            <w:tcW w:w="1170" w:type="dxa"/>
            <w:noWrap/>
          </w:tcPr>
          <w:p w14:paraId="197B7D52"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6.62</w:t>
            </w:r>
          </w:p>
        </w:tc>
        <w:tc>
          <w:tcPr>
            <w:tcW w:w="1440" w:type="dxa"/>
            <w:noWrap/>
            <w:vAlign w:val="bottom"/>
          </w:tcPr>
          <w:p w14:paraId="31837EC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44.6</w:t>
            </w:r>
          </w:p>
        </w:tc>
        <w:tc>
          <w:tcPr>
            <w:tcW w:w="1440" w:type="dxa"/>
            <w:noWrap/>
          </w:tcPr>
          <w:p w14:paraId="1CA3061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5.83</w:t>
            </w:r>
          </w:p>
        </w:tc>
        <w:tc>
          <w:tcPr>
            <w:tcW w:w="1080" w:type="dxa"/>
            <w:noWrap/>
          </w:tcPr>
          <w:p w14:paraId="352D4E8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10.9</w:t>
            </w:r>
          </w:p>
        </w:tc>
      </w:tr>
      <w:tr w:rsidR="00BC34BA" w:rsidRPr="00510D36" w14:paraId="4C9179BC" w14:textId="77777777" w:rsidTr="00E2295B">
        <w:trPr>
          <w:trHeight w:val="315"/>
        </w:trPr>
        <w:tc>
          <w:tcPr>
            <w:tcW w:w="1885" w:type="dxa"/>
            <w:noWrap/>
            <w:hideMark/>
          </w:tcPr>
          <w:p w14:paraId="2CB341E0"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Yellow maize </w:t>
            </w:r>
          </w:p>
        </w:tc>
        <w:tc>
          <w:tcPr>
            <w:tcW w:w="1620" w:type="dxa"/>
            <w:noWrap/>
          </w:tcPr>
          <w:p w14:paraId="73F3085C"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11.5</w:t>
            </w:r>
          </w:p>
        </w:tc>
        <w:tc>
          <w:tcPr>
            <w:tcW w:w="1170" w:type="dxa"/>
            <w:noWrap/>
          </w:tcPr>
          <w:p w14:paraId="4D94B76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2.89</w:t>
            </w:r>
          </w:p>
        </w:tc>
        <w:tc>
          <w:tcPr>
            <w:tcW w:w="1440" w:type="dxa"/>
            <w:noWrap/>
            <w:vAlign w:val="bottom"/>
          </w:tcPr>
          <w:p w14:paraId="5D4C6ED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9.30</w:t>
            </w:r>
          </w:p>
        </w:tc>
        <w:tc>
          <w:tcPr>
            <w:tcW w:w="1440" w:type="dxa"/>
            <w:noWrap/>
          </w:tcPr>
          <w:p w14:paraId="5844FD1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1.79</w:t>
            </w:r>
          </w:p>
        </w:tc>
        <w:tc>
          <w:tcPr>
            <w:tcW w:w="1080" w:type="dxa"/>
            <w:noWrap/>
          </w:tcPr>
          <w:p w14:paraId="69ADD35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w:t>
            </w:r>
          </w:p>
        </w:tc>
      </w:tr>
    </w:tbl>
    <w:p w14:paraId="03F805EE" w14:textId="77777777" w:rsidR="00BC34BA" w:rsidRPr="00510D36" w:rsidRDefault="00BC34BA" w:rsidP="00510D36">
      <w:pPr>
        <w:autoSpaceDE w:val="0"/>
        <w:autoSpaceDN w:val="0"/>
        <w:adjustRightInd w:val="0"/>
        <w:spacing w:after="0" w:line="240" w:lineRule="auto"/>
        <w:jc w:val="both"/>
        <w:rPr>
          <w:b/>
          <w:bCs/>
          <w:szCs w:val="24"/>
        </w:rPr>
      </w:pPr>
    </w:p>
    <w:p w14:paraId="22FE987C" w14:textId="3E94B47D" w:rsidR="00BC34BA" w:rsidRPr="00510D36" w:rsidRDefault="00BC34BA" w:rsidP="00510D36">
      <w:pPr>
        <w:autoSpaceDE w:val="0"/>
        <w:autoSpaceDN w:val="0"/>
        <w:adjustRightInd w:val="0"/>
        <w:spacing w:after="0" w:line="240" w:lineRule="auto"/>
        <w:rPr>
          <w:b/>
          <w:szCs w:val="24"/>
          <w:lang w:val="en-GB"/>
        </w:rPr>
      </w:pPr>
      <w:r w:rsidRPr="00510D36">
        <w:rPr>
          <w:b/>
          <w:szCs w:val="24"/>
          <w:lang w:val="en-GB"/>
        </w:rPr>
        <w:t xml:space="preserve">Table 2: Gross composition of the experimental diets (g/100g) for culturing </w:t>
      </w:r>
      <w:r w:rsidRPr="00510D36">
        <w:rPr>
          <w:b/>
          <w:i/>
          <w:szCs w:val="24"/>
          <w:lang w:val="en-GB"/>
        </w:rPr>
        <w:t>C. gariepinus</w:t>
      </w:r>
      <w:r w:rsidR="00945991" w:rsidRPr="00510D36">
        <w:rPr>
          <w:b/>
          <w:i/>
          <w:szCs w:val="24"/>
          <w:lang w:val="en-GB"/>
        </w:rPr>
        <w:t xml:space="preserve"> </w:t>
      </w:r>
      <w:r w:rsidR="00572444" w:rsidRPr="00510D36">
        <w:rPr>
          <w:b/>
          <w:szCs w:val="24"/>
          <w:lang w:val="en-GB"/>
        </w:rPr>
        <w:t>fingerlings</w:t>
      </w:r>
    </w:p>
    <w:tbl>
      <w:tblPr>
        <w:tblStyle w:val="TableGrid"/>
        <w:tblW w:w="9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260"/>
        <w:gridCol w:w="1260"/>
        <w:gridCol w:w="1260"/>
        <w:gridCol w:w="1260"/>
        <w:gridCol w:w="1260"/>
      </w:tblGrid>
      <w:tr w:rsidR="00BC34BA" w:rsidRPr="00510D36" w14:paraId="12B1E648" w14:textId="77777777" w:rsidTr="00E2295B">
        <w:trPr>
          <w:trHeight w:val="315"/>
        </w:trPr>
        <w:tc>
          <w:tcPr>
            <w:tcW w:w="2988" w:type="dxa"/>
            <w:tcBorders>
              <w:top w:val="single" w:sz="4" w:space="0" w:color="auto"/>
              <w:bottom w:val="single" w:sz="4" w:space="0" w:color="auto"/>
            </w:tcBorders>
            <w:hideMark/>
          </w:tcPr>
          <w:p w14:paraId="1C2C9069" w14:textId="77777777" w:rsidR="00BC34BA" w:rsidRPr="00510D36" w:rsidRDefault="00BC34BA" w:rsidP="00510D36">
            <w:pPr>
              <w:ind w:right="26"/>
              <w:jc w:val="both"/>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lang w:val="en-GB"/>
              </w:rPr>
              <w:t>Ingredients</w:t>
            </w:r>
          </w:p>
        </w:tc>
        <w:tc>
          <w:tcPr>
            <w:tcW w:w="1260" w:type="dxa"/>
            <w:tcBorders>
              <w:top w:val="single" w:sz="4" w:space="0" w:color="auto"/>
              <w:bottom w:val="single" w:sz="4" w:space="0" w:color="auto"/>
            </w:tcBorders>
            <w:hideMark/>
          </w:tcPr>
          <w:p w14:paraId="74ACCAEE"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hideMark/>
          </w:tcPr>
          <w:p w14:paraId="23F214E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CP2 (0.5)</w:t>
            </w:r>
          </w:p>
        </w:tc>
        <w:tc>
          <w:tcPr>
            <w:tcW w:w="1260" w:type="dxa"/>
            <w:tcBorders>
              <w:top w:val="single" w:sz="4" w:space="0" w:color="auto"/>
              <w:bottom w:val="single" w:sz="4" w:space="0" w:color="auto"/>
            </w:tcBorders>
            <w:hideMark/>
          </w:tcPr>
          <w:p w14:paraId="1918D94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CP3 (1.0)</w:t>
            </w:r>
          </w:p>
        </w:tc>
        <w:tc>
          <w:tcPr>
            <w:tcW w:w="1260" w:type="dxa"/>
            <w:tcBorders>
              <w:top w:val="single" w:sz="4" w:space="0" w:color="auto"/>
              <w:bottom w:val="single" w:sz="4" w:space="0" w:color="auto"/>
            </w:tcBorders>
            <w:hideMark/>
          </w:tcPr>
          <w:p w14:paraId="69546031"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CP4 (1.5)</w:t>
            </w:r>
          </w:p>
        </w:tc>
        <w:tc>
          <w:tcPr>
            <w:tcW w:w="1260" w:type="dxa"/>
            <w:tcBorders>
              <w:top w:val="single" w:sz="4" w:space="0" w:color="auto"/>
              <w:bottom w:val="single" w:sz="4" w:space="0" w:color="auto"/>
            </w:tcBorders>
            <w:hideMark/>
          </w:tcPr>
          <w:p w14:paraId="64FB2B1D"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CP5 (2.0)</w:t>
            </w:r>
          </w:p>
        </w:tc>
      </w:tr>
      <w:tr w:rsidR="00BC34BA" w:rsidRPr="00510D36" w14:paraId="20386FD4" w14:textId="77777777" w:rsidTr="00E2295B">
        <w:trPr>
          <w:trHeight w:val="315"/>
        </w:trPr>
        <w:tc>
          <w:tcPr>
            <w:tcW w:w="2988" w:type="dxa"/>
            <w:tcBorders>
              <w:top w:val="single" w:sz="4" w:space="0" w:color="auto"/>
            </w:tcBorders>
            <w:hideMark/>
          </w:tcPr>
          <w:p w14:paraId="4DDC1D77" w14:textId="78FD1DED"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 Fish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64.8%)</w:t>
            </w:r>
          </w:p>
        </w:tc>
        <w:tc>
          <w:tcPr>
            <w:tcW w:w="1260" w:type="dxa"/>
            <w:tcBorders>
              <w:top w:val="single" w:sz="4" w:space="0" w:color="auto"/>
            </w:tcBorders>
            <w:vAlign w:val="center"/>
            <w:hideMark/>
          </w:tcPr>
          <w:p w14:paraId="106338B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4984BB0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0408960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587035C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63CBE5B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r>
      <w:tr w:rsidR="00BC34BA" w:rsidRPr="00510D36" w14:paraId="528B22B6" w14:textId="77777777" w:rsidTr="00E2295B">
        <w:trPr>
          <w:trHeight w:val="315"/>
        </w:trPr>
        <w:tc>
          <w:tcPr>
            <w:tcW w:w="2988" w:type="dxa"/>
            <w:hideMark/>
          </w:tcPr>
          <w:p w14:paraId="3026E365" w14:textId="04E9FC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Soybean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42.0%)</w:t>
            </w:r>
          </w:p>
        </w:tc>
        <w:tc>
          <w:tcPr>
            <w:tcW w:w="1260" w:type="dxa"/>
            <w:vAlign w:val="center"/>
            <w:hideMark/>
          </w:tcPr>
          <w:p w14:paraId="5EEE693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B464BE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52DB95B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4D0C81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3CB1FA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r>
      <w:tr w:rsidR="00BC34BA" w:rsidRPr="00510D36" w14:paraId="78DDA550" w14:textId="77777777" w:rsidTr="00E2295B">
        <w:trPr>
          <w:trHeight w:val="315"/>
        </w:trPr>
        <w:tc>
          <w:tcPr>
            <w:tcW w:w="2988" w:type="dxa"/>
            <w:hideMark/>
          </w:tcPr>
          <w:p w14:paraId="3EBF8B7D" w14:textId="70843D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Groundnut cake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44.6%)</w:t>
            </w:r>
          </w:p>
        </w:tc>
        <w:tc>
          <w:tcPr>
            <w:tcW w:w="1260" w:type="dxa"/>
            <w:vAlign w:val="center"/>
            <w:hideMark/>
          </w:tcPr>
          <w:p w14:paraId="55571F6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0A5CF9A8"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BE254D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4DD4F1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592EF0E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r>
      <w:tr w:rsidR="00BC34BA" w:rsidRPr="00510D36" w14:paraId="16D127EB" w14:textId="77777777" w:rsidTr="00E2295B">
        <w:trPr>
          <w:trHeight w:val="315"/>
        </w:trPr>
        <w:tc>
          <w:tcPr>
            <w:tcW w:w="2988" w:type="dxa"/>
            <w:hideMark/>
          </w:tcPr>
          <w:p w14:paraId="6A1BD982" w14:textId="746EEA01"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Yellow maize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9.30%)</w:t>
            </w:r>
          </w:p>
        </w:tc>
        <w:tc>
          <w:tcPr>
            <w:tcW w:w="1260" w:type="dxa"/>
            <w:vAlign w:val="center"/>
            <w:hideMark/>
          </w:tcPr>
          <w:p w14:paraId="49743C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B3C004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17E40E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230EC76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904C39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r>
      <w:tr w:rsidR="00BC34BA" w:rsidRPr="00510D36" w14:paraId="254D0229" w14:textId="77777777" w:rsidTr="00E2295B">
        <w:trPr>
          <w:trHeight w:val="315"/>
        </w:trPr>
        <w:tc>
          <w:tcPr>
            <w:tcW w:w="2988" w:type="dxa"/>
          </w:tcPr>
          <w:p w14:paraId="70F51997"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Vitamin-Mineral mix</w:t>
            </w:r>
          </w:p>
        </w:tc>
        <w:tc>
          <w:tcPr>
            <w:tcW w:w="1260" w:type="dxa"/>
            <w:vAlign w:val="center"/>
          </w:tcPr>
          <w:p w14:paraId="05E3B10B"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B0B97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56CADAF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3F3F844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2C39C3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r>
      <w:tr w:rsidR="00BC34BA" w:rsidRPr="00510D36" w14:paraId="6DB0C04D" w14:textId="77777777" w:rsidTr="00E2295B">
        <w:trPr>
          <w:trHeight w:val="315"/>
        </w:trPr>
        <w:tc>
          <w:tcPr>
            <w:tcW w:w="2988" w:type="dxa"/>
          </w:tcPr>
          <w:p w14:paraId="1658B55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Vegetable oil</w:t>
            </w:r>
          </w:p>
        </w:tc>
        <w:tc>
          <w:tcPr>
            <w:tcW w:w="1260" w:type="dxa"/>
            <w:vAlign w:val="center"/>
          </w:tcPr>
          <w:p w14:paraId="643292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03363FB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53369A95"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70D516D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39D9A5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r>
      <w:tr w:rsidR="00BC34BA" w:rsidRPr="00510D36" w14:paraId="54358FBC" w14:textId="77777777" w:rsidTr="00E2295B">
        <w:trPr>
          <w:trHeight w:val="315"/>
        </w:trPr>
        <w:tc>
          <w:tcPr>
            <w:tcW w:w="2988" w:type="dxa"/>
          </w:tcPr>
          <w:p w14:paraId="30CE3F03"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Methionine</w:t>
            </w:r>
          </w:p>
        </w:tc>
        <w:tc>
          <w:tcPr>
            <w:tcW w:w="1260" w:type="dxa"/>
            <w:vAlign w:val="center"/>
          </w:tcPr>
          <w:p w14:paraId="7354257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7E2D213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460FC3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37B7FEA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8B21DF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r>
      <w:tr w:rsidR="00BC34BA" w:rsidRPr="00510D36" w14:paraId="75BC9A68" w14:textId="77777777" w:rsidTr="00E2295B">
        <w:trPr>
          <w:trHeight w:val="315"/>
        </w:trPr>
        <w:tc>
          <w:tcPr>
            <w:tcW w:w="2988" w:type="dxa"/>
          </w:tcPr>
          <w:p w14:paraId="25D7FFC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Lysine</w:t>
            </w:r>
          </w:p>
        </w:tc>
        <w:tc>
          <w:tcPr>
            <w:tcW w:w="1260" w:type="dxa"/>
            <w:vAlign w:val="center"/>
          </w:tcPr>
          <w:p w14:paraId="6A7D59E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EDD09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F69535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36AEA91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9A911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r>
      <w:tr w:rsidR="00BC34BA" w:rsidRPr="00510D36" w14:paraId="4E47D3C3" w14:textId="77777777" w:rsidTr="00E2295B">
        <w:trPr>
          <w:trHeight w:val="315"/>
        </w:trPr>
        <w:tc>
          <w:tcPr>
            <w:tcW w:w="2988" w:type="dxa"/>
          </w:tcPr>
          <w:p w14:paraId="5F7C886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Starch</w:t>
            </w:r>
          </w:p>
        </w:tc>
        <w:tc>
          <w:tcPr>
            <w:tcW w:w="1260" w:type="dxa"/>
            <w:vAlign w:val="center"/>
          </w:tcPr>
          <w:p w14:paraId="478ADF8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35ADB8F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649D0EA1"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784713D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59D1521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r>
      <w:tr w:rsidR="00BC34BA" w:rsidRPr="00510D36" w14:paraId="218964F6" w14:textId="77777777" w:rsidTr="00E2295B">
        <w:trPr>
          <w:trHeight w:val="375"/>
        </w:trPr>
        <w:tc>
          <w:tcPr>
            <w:tcW w:w="2988" w:type="dxa"/>
            <w:hideMark/>
          </w:tcPr>
          <w:p w14:paraId="3493C6A4" w14:textId="530B7903"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iCs/>
                <w:color w:val="000000" w:themeColor="text1"/>
                <w:sz w:val="24"/>
                <w:szCs w:val="24"/>
              </w:rPr>
              <w:t>(</w:t>
            </w:r>
            <w:r w:rsidRPr="00510D36">
              <w:rPr>
                <w:rFonts w:ascii="Times New Roman" w:hAnsi="Times New Roman" w:cs="Times New Roman"/>
                <w:bCs/>
                <w:i/>
                <w:iCs/>
                <w:sz w:val="24"/>
                <w:szCs w:val="24"/>
              </w:rPr>
              <w:t>C</w:t>
            </w:r>
            <w:r w:rsidR="000854DE" w:rsidRPr="00510D36">
              <w:rPr>
                <w:rFonts w:ascii="Times New Roman" w:hAnsi="Times New Roman" w:cs="Times New Roman"/>
                <w:bCs/>
                <w:i/>
                <w:iCs/>
                <w:sz w:val="24"/>
                <w:szCs w:val="24"/>
              </w:rPr>
              <w:t>.</w:t>
            </w:r>
            <w:r w:rsidRPr="00510D36">
              <w:rPr>
                <w:rFonts w:ascii="Times New Roman" w:hAnsi="Times New Roman" w:cs="Times New Roman"/>
                <w:bCs/>
                <w:i/>
                <w:iCs/>
                <w:sz w:val="24"/>
                <w:szCs w:val="24"/>
              </w:rPr>
              <w:t xml:space="preserve"> pepo</w:t>
            </w:r>
            <w:r w:rsidRPr="00510D36">
              <w:rPr>
                <w:rFonts w:ascii="Times New Roman" w:hAnsi="Times New Roman" w:cs="Times New Roman"/>
                <w:b/>
                <w:sz w:val="24"/>
                <w:szCs w:val="24"/>
              </w:rPr>
              <w:t xml:space="preserve"> </w:t>
            </w:r>
            <w:r w:rsidRPr="00510D36">
              <w:rPr>
                <w:rFonts w:ascii="Times New Roman" w:hAnsi="Times New Roman" w:cs="Times New Roman"/>
                <w:iCs/>
                <w:color w:val="000000" w:themeColor="text1"/>
                <w:sz w:val="24"/>
                <w:szCs w:val="24"/>
              </w:rPr>
              <w:t>g/100g)</w:t>
            </w:r>
          </w:p>
        </w:tc>
        <w:tc>
          <w:tcPr>
            <w:tcW w:w="1260" w:type="dxa"/>
            <w:hideMark/>
          </w:tcPr>
          <w:p w14:paraId="2438638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0.00</w:t>
            </w:r>
          </w:p>
        </w:tc>
        <w:tc>
          <w:tcPr>
            <w:tcW w:w="1260" w:type="dxa"/>
            <w:vAlign w:val="center"/>
          </w:tcPr>
          <w:p w14:paraId="224E5B94" w14:textId="2DB64A90"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0.5</w:t>
            </w:r>
          </w:p>
        </w:tc>
        <w:tc>
          <w:tcPr>
            <w:tcW w:w="1260" w:type="dxa"/>
            <w:vAlign w:val="center"/>
          </w:tcPr>
          <w:p w14:paraId="331BFF14" w14:textId="23645F93"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1.0</w:t>
            </w:r>
          </w:p>
        </w:tc>
        <w:tc>
          <w:tcPr>
            <w:tcW w:w="1260" w:type="dxa"/>
            <w:vAlign w:val="center"/>
          </w:tcPr>
          <w:p w14:paraId="54157296" w14:textId="5286A714"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1.5</w:t>
            </w:r>
          </w:p>
        </w:tc>
        <w:tc>
          <w:tcPr>
            <w:tcW w:w="1260" w:type="dxa"/>
            <w:vAlign w:val="center"/>
          </w:tcPr>
          <w:p w14:paraId="55D9D9E7" w14:textId="3D3198CD"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w:t>
            </w:r>
            <w:r w:rsidR="00F34E85" w:rsidRPr="00510D36">
              <w:rPr>
                <w:rFonts w:ascii="Times New Roman" w:hAnsi="Times New Roman" w:cs="Times New Roman"/>
                <w:color w:val="000000"/>
                <w:sz w:val="24"/>
                <w:szCs w:val="24"/>
              </w:rPr>
              <w:t>.0</w:t>
            </w:r>
          </w:p>
        </w:tc>
      </w:tr>
    </w:tbl>
    <w:p w14:paraId="39E2A5E1" w14:textId="77777777" w:rsidR="00BC34BA" w:rsidRPr="00510D36" w:rsidRDefault="00BC34BA" w:rsidP="00510D36">
      <w:pPr>
        <w:autoSpaceDE w:val="0"/>
        <w:autoSpaceDN w:val="0"/>
        <w:adjustRightInd w:val="0"/>
        <w:spacing w:after="0" w:line="240" w:lineRule="auto"/>
        <w:jc w:val="both"/>
        <w:rPr>
          <w:b/>
          <w:bCs/>
          <w:szCs w:val="24"/>
          <w:lang w:val="en-GB"/>
        </w:rPr>
      </w:pPr>
      <w:r w:rsidRPr="00510D36">
        <w:rPr>
          <w:szCs w:val="24"/>
        </w:rPr>
        <w:t xml:space="preserve">Composition of vitamin-mineral mix (Aquamix) (quantity/kg), Vitamin A, 55,00,000 IU; Vitamin D3, 11,00,000 IU; Vitamin B2, 2,000 mg; Vitamin E, 750 mg; Vitamin K, 1,000 mg; Vitamin B6, 1,000 mg; Vitamin B12, 6 mcg; Calcium; Pantothenate, 2,500 mg; Nicotinamide, 10 g; Choline Chloride, 150 g; Mn, 27,000 mg; I, 1,000 mg; Fe, 7,500 mg; Zn, 5,000 mg; Cu, 2,000 mg; Co, 450. </w:t>
      </w:r>
      <w:r w:rsidRPr="00510D36">
        <w:rPr>
          <w:szCs w:val="24"/>
          <w:lang w:val="en-GB"/>
        </w:rPr>
        <w:t>L- Lysine, 10 g; Selenium, 50 ppm.</w:t>
      </w:r>
    </w:p>
    <w:p w14:paraId="30374D17" w14:textId="77777777" w:rsidR="00FA1B06" w:rsidRPr="00510D36" w:rsidRDefault="00FA1B06" w:rsidP="00510D36">
      <w:pPr>
        <w:spacing w:after="0" w:line="240" w:lineRule="auto"/>
        <w:jc w:val="both"/>
        <w:rPr>
          <w:b/>
          <w:szCs w:val="24"/>
        </w:rPr>
      </w:pPr>
      <w:bookmarkStart w:id="3" w:name="_Hlk205441381"/>
    </w:p>
    <w:p w14:paraId="7910530D" w14:textId="42BB8DAF" w:rsidR="00C52961" w:rsidRPr="00510D36" w:rsidRDefault="00C52961" w:rsidP="00510D36">
      <w:pPr>
        <w:spacing w:after="0" w:line="240" w:lineRule="auto"/>
        <w:jc w:val="both"/>
        <w:rPr>
          <w:b/>
          <w:szCs w:val="24"/>
        </w:rPr>
      </w:pPr>
      <w:r w:rsidRPr="00510D36">
        <w:rPr>
          <w:b/>
          <w:szCs w:val="24"/>
        </w:rPr>
        <w:t>Experimental Design and Management</w:t>
      </w:r>
    </w:p>
    <w:p w14:paraId="22916EC6" w14:textId="61DA742E" w:rsidR="008E5FC5" w:rsidRPr="00510D36" w:rsidRDefault="008E5FC5" w:rsidP="00510D36">
      <w:pPr>
        <w:spacing w:after="0" w:line="240" w:lineRule="auto"/>
        <w:ind w:right="-144"/>
        <w:jc w:val="both"/>
        <w:rPr>
          <w:szCs w:val="24"/>
        </w:rPr>
      </w:pPr>
      <w:bookmarkStart w:id="4" w:name="_Toc157352149"/>
      <w:bookmarkEnd w:id="3"/>
      <w:r w:rsidRPr="00510D36">
        <w:rPr>
          <w:szCs w:val="24"/>
        </w:rPr>
        <w:t xml:space="preserve">The experiment was arranged in a Completely Randomized Design (CRD). After acclimatization, a total of 225 healthy </w:t>
      </w:r>
      <w:r w:rsidRPr="00510D36">
        <w:rPr>
          <w:i/>
          <w:iCs/>
          <w:szCs w:val="24"/>
        </w:rPr>
        <w:t>Clarias gariepinus</w:t>
      </w:r>
      <w:r w:rsidRPr="00510D36">
        <w:rPr>
          <w:szCs w:val="24"/>
        </w:rPr>
        <w:t xml:space="preserve"> fingerlings with an average weight of 5.02 ± 0.01 g were batch-weighed using a digital electronic balance (Model PB3002 ±0.01 g precision) and randomly distributed into 15 glass tanks (70 L capacity; 70 × 45 × 45 cm). Each tank contained 15 fish, representing five dietary treatments with three replicates each.</w:t>
      </w:r>
      <w:r w:rsidR="00071EB2" w:rsidRPr="00510D36">
        <w:rPr>
          <w:szCs w:val="24"/>
        </w:rPr>
        <w:t xml:space="preserve"> </w:t>
      </w:r>
      <w:r w:rsidRPr="00510D36">
        <w:rPr>
          <w:szCs w:val="24"/>
        </w:rPr>
        <w:t>Fish were fed the experimental diets to apparent satiation twice daily between 08:00–09:00</w:t>
      </w:r>
      <w:r w:rsidR="00B91DE2">
        <w:rPr>
          <w:szCs w:val="24"/>
        </w:rPr>
        <w:t xml:space="preserve"> GMT</w:t>
      </w:r>
      <w:r w:rsidRPr="00510D36">
        <w:rPr>
          <w:szCs w:val="24"/>
        </w:rPr>
        <w:t xml:space="preserve"> and 16:00–17:00 </w:t>
      </w:r>
      <w:r w:rsidR="00B91DE2">
        <w:rPr>
          <w:szCs w:val="24"/>
        </w:rPr>
        <w:t>GMT</w:t>
      </w:r>
      <w:r w:rsidRPr="00510D36">
        <w:rPr>
          <w:szCs w:val="24"/>
        </w:rPr>
        <w:t xml:space="preserve"> for 56 days. Fish were batch-weighed at the beginning of the experiment and subsequently at two-week intervals throughout the feeding trial. Care was taken to minimize handling time and stress during weighing. Unconsumed feed and fecal materials were removed daily by siphoning before morning feeding, after which part of the culture water was replaced with fresh water. Complete water exchange in each tank was carried out twice weekly. Water quality parameters, including temperature, dissolved oxygen, </w:t>
      </w:r>
      <w:r w:rsidRPr="00510D36">
        <w:rPr>
          <w:szCs w:val="24"/>
        </w:rPr>
        <w:lastRenderedPageBreak/>
        <w:t xml:space="preserve">and pH, were monitored twice weekly using standard methods. Growth performance and nutrient utilization indices were calculated according to procedures described by </w:t>
      </w:r>
      <w:r w:rsidR="00071EB2" w:rsidRPr="00510D36">
        <w:rPr>
          <w:szCs w:val="24"/>
          <w:vertAlign w:val="superscript"/>
        </w:rPr>
        <w:t>[11]</w:t>
      </w:r>
      <w:r w:rsidR="00071EB2" w:rsidRPr="00510D36">
        <w:rPr>
          <w:szCs w:val="24"/>
        </w:rPr>
        <w:t xml:space="preserve">. </w:t>
      </w:r>
    </w:p>
    <w:p w14:paraId="7A39871D" w14:textId="77777777" w:rsidR="00FA1B06" w:rsidRPr="00510D36" w:rsidRDefault="00FA1B06" w:rsidP="00510D36">
      <w:pPr>
        <w:spacing w:after="0" w:line="240" w:lineRule="auto"/>
        <w:jc w:val="both"/>
        <w:rPr>
          <w:b/>
          <w:bCs/>
          <w:szCs w:val="24"/>
        </w:rPr>
      </w:pPr>
    </w:p>
    <w:p w14:paraId="7D6EB2B5" w14:textId="54952F04" w:rsidR="008E5FC5" w:rsidRPr="00510D36" w:rsidRDefault="008E5FC5" w:rsidP="00510D36">
      <w:pPr>
        <w:spacing w:after="0" w:line="240" w:lineRule="auto"/>
        <w:jc w:val="both"/>
        <w:rPr>
          <w:b/>
          <w:bCs/>
          <w:szCs w:val="24"/>
        </w:rPr>
      </w:pPr>
      <w:r w:rsidRPr="00510D36">
        <w:rPr>
          <w:b/>
          <w:bCs/>
          <w:szCs w:val="24"/>
        </w:rPr>
        <w:t>Proximate and Blood Analysis</w:t>
      </w:r>
    </w:p>
    <w:p w14:paraId="02530985" w14:textId="628CB19D" w:rsidR="008E5FC5" w:rsidRPr="00510D36" w:rsidRDefault="008E5FC5" w:rsidP="00510D36">
      <w:pPr>
        <w:spacing w:after="0" w:line="240" w:lineRule="auto"/>
        <w:jc w:val="both"/>
        <w:rPr>
          <w:bCs/>
          <w:szCs w:val="24"/>
        </w:rPr>
      </w:pPr>
      <w:r w:rsidRPr="00510D36">
        <w:rPr>
          <w:bCs/>
          <w:szCs w:val="24"/>
        </w:rPr>
        <w:t xml:space="preserve">Proximate composition of </w:t>
      </w:r>
      <w:r w:rsidRPr="00510D36">
        <w:rPr>
          <w:bCs/>
          <w:i/>
          <w:iCs/>
          <w:szCs w:val="24"/>
        </w:rPr>
        <w:t>C. pepo</w:t>
      </w:r>
      <w:r w:rsidRPr="00510D36">
        <w:rPr>
          <w:bCs/>
          <w:szCs w:val="24"/>
        </w:rPr>
        <w:t xml:space="preserve"> leaf powder, formulated diets</w:t>
      </w:r>
      <w:r w:rsidR="00DF3FD2" w:rsidRPr="00510D36">
        <w:rPr>
          <w:bCs/>
          <w:szCs w:val="24"/>
        </w:rPr>
        <w:t xml:space="preserve"> were</w:t>
      </w:r>
      <w:r w:rsidRPr="00510D36">
        <w:rPr>
          <w:bCs/>
          <w:szCs w:val="24"/>
        </w:rPr>
        <w:t xml:space="preserve"> determined following standard methods of the Association of Official Analytical Chemists</w:t>
      </w:r>
      <w:r w:rsidR="00071EB2" w:rsidRPr="00510D36">
        <w:rPr>
          <w:bCs/>
          <w:szCs w:val="24"/>
        </w:rPr>
        <w:t xml:space="preserve"> </w:t>
      </w:r>
      <w:r w:rsidR="00071EB2" w:rsidRPr="00510D36">
        <w:rPr>
          <w:szCs w:val="24"/>
          <w:vertAlign w:val="superscript"/>
        </w:rPr>
        <w:t>[12]</w:t>
      </w:r>
      <w:r w:rsidR="00071EB2" w:rsidRPr="00510D36">
        <w:rPr>
          <w:szCs w:val="24"/>
        </w:rPr>
        <w:t xml:space="preserve"> </w:t>
      </w:r>
      <w:r w:rsidRPr="00510D36">
        <w:rPr>
          <w:bCs/>
          <w:szCs w:val="24"/>
        </w:rPr>
        <w:t>to evaluate moisture, crude protein, crude lipid, crude fibre, and ash contents. Nitrogen-free extract (NFE) was calculated by difference by subtracting the sum of moisture, crude protein, crude fibre, crude lipid, and ash from 100%. For hematological and serum biochemical analyses, four fish were randomly sampled from each replicate tank at the end of the experiment. Fish were anesthetized using clove oil (50 mg/L) prior to blood collection.</w:t>
      </w:r>
      <w:r w:rsidR="00C7040F" w:rsidRPr="00510D36">
        <w:rPr>
          <w:bCs/>
          <w:szCs w:val="24"/>
        </w:rPr>
        <w:t xml:space="preserve"> </w:t>
      </w:r>
      <w:r w:rsidRPr="00510D36">
        <w:rPr>
          <w:bCs/>
          <w:szCs w:val="24"/>
        </w:rPr>
        <w:t>Approximately 1 mL of blood was drawn from the caudal vein using sterile 2-mL syringes.</w:t>
      </w:r>
      <w:r w:rsidR="00C7040F" w:rsidRPr="00510D36">
        <w:rPr>
          <w:bCs/>
          <w:szCs w:val="24"/>
        </w:rPr>
        <w:t xml:space="preserve"> </w:t>
      </w:r>
      <w:r w:rsidRPr="00510D36">
        <w:rPr>
          <w:bCs/>
          <w:szCs w:val="24"/>
        </w:rPr>
        <w:t>For haematological analysis, blood samples were collected into tubes containing ethylene diamine tetraacetic acid (EDTA) as an anticoagulant and analyzed using standard laboratory techniques described by</w:t>
      </w:r>
      <w:r w:rsidR="00071EB2" w:rsidRPr="00510D36">
        <w:rPr>
          <w:bCs/>
          <w:szCs w:val="24"/>
        </w:rPr>
        <w:t xml:space="preserve"> </w:t>
      </w:r>
      <w:r w:rsidR="00071EB2" w:rsidRPr="00510D36">
        <w:rPr>
          <w:szCs w:val="24"/>
          <w:vertAlign w:val="superscript"/>
        </w:rPr>
        <w:t>[13]</w:t>
      </w:r>
      <w:r w:rsidRPr="00510D36">
        <w:rPr>
          <w:bCs/>
          <w:szCs w:val="24"/>
        </w:rPr>
        <w:t>.</w:t>
      </w:r>
      <w:r w:rsidR="00C7040F" w:rsidRPr="00510D36">
        <w:rPr>
          <w:bCs/>
          <w:szCs w:val="24"/>
        </w:rPr>
        <w:t xml:space="preserve"> </w:t>
      </w:r>
      <w:r w:rsidRPr="00510D36">
        <w:rPr>
          <w:bCs/>
          <w:szCs w:val="24"/>
        </w:rPr>
        <w:t>For serum biochemical analysis, additional blood samples were collected into clean, dry, non-heparinized tubes and allowed to clot at room temperature for 1–2 hours. The samples were then centrifuged at 3,000 rpm for 10–15 minutes to separate the serum.</w:t>
      </w:r>
      <w:r w:rsidR="00C7040F" w:rsidRPr="00510D36">
        <w:rPr>
          <w:bCs/>
          <w:szCs w:val="24"/>
        </w:rPr>
        <w:t xml:space="preserve"> </w:t>
      </w:r>
      <w:r w:rsidRPr="00510D36">
        <w:rPr>
          <w:bCs/>
          <w:szCs w:val="24"/>
        </w:rPr>
        <w:t xml:space="preserve">The resulting serum was carefully transferred into sterile containers and stored at −20 °C until analysis. Serum concentrations of total protein, albumin, globulin, cholesterol, and glucose were determined according to the methods described by </w:t>
      </w:r>
      <w:r w:rsidR="00071EB2" w:rsidRPr="00510D36">
        <w:rPr>
          <w:szCs w:val="24"/>
          <w:vertAlign w:val="superscript"/>
        </w:rPr>
        <w:t>[14]</w:t>
      </w:r>
      <w:r w:rsidRPr="00510D36">
        <w:rPr>
          <w:bCs/>
          <w:szCs w:val="24"/>
        </w:rPr>
        <w:t>.</w:t>
      </w:r>
    </w:p>
    <w:p w14:paraId="2B1FE9A2" w14:textId="77777777" w:rsidR="00FA1B06" w:rsidRPr="00510D36" w:rsidRDefault="00FA1B06" w:rsidP="00510D36">
      <w:pPr>
        <w:spacing w:after="0" w:line="240" w:lineRule="auto"/>
        <w:jc w:val="both"/>
        <w:rPr>
          <w:b/>
          <w:szCs w:val="24"/>
        </w:rPr>
      </w:pPr>
    </w:p>
    <w:p w14:paraId="18F89B34" w14:textId="5D196EE5" w:rsidR="006B3FA5" w:rsidRPr="00510D36" w:rsidRDefault="006B3FA5" w:rsidP="00510D36">
      <w:pPr>
        <w:spacing w:after="0" w:line="240" w:lineRule="auto"/>
        <w:jc w:val="both"/>
        <w:rPr>
          <w:szCs w:val="24"/>
        </w:rPr>
      </w:pPr>
      <w:r w:rsidRPr="00510D36">
        <w:rPr>
          <w:b/>
          <w:szCs w:val="24"/>
        </w:rPr>
        <w:t>Statistical Analysis</w:t>
      </w:r>
      <w:bookmarkEnd w:id="4"/>
    </w:p>
    <w:p w14:paraId="2A9E9F56" w14:textId="49B0FE83" w:rsidR="00051421" w:rsidRPr="00510D36" w:rsidRDefault="00051421" w:rsidP="00510D36">
      <w:pPr>
        <w:spacing w:line="240" w:lineRule="auto"/>
        <w:jc w:val="both"/>
        <w:rPr>
          <w:bCs/>
          <w:szCs w:val="24"/>
        </w:rPr>
      </w:pPr>
      <w:r w:rsidRPr="00510D36">
        <w:rPr>
          <w:bCs/>
          <w:szCs w:val="24"/>
        </w:rPr>
        <w:t>Experimental data were analyzed using one-way analysis of variance (ANOVA) to compare the means among treatment groups. Tukey’s post-hoc test was used to determine significant differences between treatment means. All statistical analyses were performed using SPSS version 23.0, with the level of significance set at P &lt; 0.05.</w:t>
      </w:r>
    </w:p>
    <w:p w14:paraId="337690A1" w14:textId="77777777" w:rsidR="009D457D" w:rsidRPr="00510D36" w:rsidRDefault="009D457D" w:rsidP="00510D36">
      <w:pPr>
        <w:spacing w:after="0" w:line="240" w:lineRule="auto"/>
        <w:jc w:val="center"/>
        <w:rPr>
          <w:b/>
          <w:szCs w:val="24"/>
        </w:rPr>
      </w:pPr>
    </w:p>
    <w:p w14:paraId="5F1203C0" w14:textId="5D76D92E" w:rsidR="0013738C" w:rsidRPr="00D3292E" w:rsidRDefault="00FA1B06" w:rsidP="00F4181C">
      <w:pPr>
        <w:spacing w:after="0" w:line="240" w:lineRule="auto"/>
        <w:rPr>
          <w:b/>
          <w:i/>
          <w:iCs/>
          <w:szCs w:val="24"/>
        </w:rPr>
      </w:pPr>
      <w:r w:rsidRPr="00D3292E">
        <w:rPr>
          <w:b/>
          <w:i/>
          <w:iCs/>
          <w:szCs w:val="24"/>
        </w:rPr>
        <w:t>RESULTS AND DISCUSSION</w:t>
      </w:r>
    </w:p>
    <w:p w14:paraId="25C2C5FF" w14:textId="77777777" w:rsidR="00D3292E" w:rsidRDefault="00D3292E" w:rsidP="00510D36">
      <w:pPr>
        <w:spacing w:after="0" w:line="240" w:lineRule="auto"/>
        <w:rPr>
          <w:b/>
          <w:bCs/>
          <w:szCs w:val="24"/>
        </w:rPr>
      </w:pPr>
    </w:p>
    <w:p w14:paraId="0D329417" w14:textId="4BE83194" w:rsidR="00B72A5C" w:rsidRPr="00510D36" w:rsidRDefault="00B72A5C" w:rsidP="00510D36">
      <w:pPr>
        <w:spacing w:after="0" w:line="240" w:lineRule="auto"/>
        <w:rPr>
          <w:b/>
          <w:bCs/>
          <w:szCs w:val="24"/>
        </w:rPr>
      </w:pPr>
      <w:r w:rsidRPr="00510D36">
        <w:rPr>
          <w:b/>
          <w:bCs/>
          <w:szCs w:val="24"/>
        </w:rPr>
        <w:t xml:space="preserve">Proximate Composition of </w:t>
      </w:r>
      <w:r w:rsidRPr="00510D36">
        <w:rPr>
          <w:b/>
          <w:bCs/>
          <w:i/>
          <w:iCs/>
          <w:szCs w:val="24"/>
        </w:rPr>
        <w:t>C</w:t>
      </w:r>
      <w:r w:rsidR="00CA7067" w:rsidRPr="00510D36">
        <w:rPr>
          <w:b/>
          <w:bCs/>
          <w:i/>
          <w:iCs/>
          <w:szCs w:val="24"/>
        </w:rPr>
        <w:t>.</w:t>
      </w:r>
      <w:r w:rsidRPr="00510D36">
        <w:rPr>
          <w:b/>
          <w:bCs/>
          <w:i/>
          <w:iCs/>
          <w:szCs w:val="24"/>
        </w:rPr>
        <w:t xml:space="preserve"> pepo</w:t>
      </w:r>
      <w:r w:rsidRPr="00510D36">
        <w:rPr>
          <w:b/>
          <w:bCs/>
          <w:szCs w:val="24"/>
        </w:rPr>
        <w:t xml:space="preserve"> Leaf Powder</w:t>
      </w:r>
    </w:p>
    <w:p w14:paraId="52AE4C0E" w14:textId="228D5DC5" w:rsidR="005B2891" w:rsidRPr="00510D36" w:rsidRDefault="005B2891" w:rsidP="00510D36">
      <w:pPr>
        <w:spacing w:line="240" w:lineRule="auto"/>
        <w:jc w:val="both"/>
        <w:rPr>
          <w:bCs/>
          <w:szCs w:val="24"/>
        </w:rPr>
      </w:pPr>
      <w:r w:rsidRPr="00510D36">
        <w:rPr>
          <w:bCs/>
          <w:szCs w:val="24"/>
        </w:rPr>
        <w:t xml:space="preserve">The proximate analysis of </w:t>
      </w:r>
      <w:r w:rsidRPr="00510D36">
        <w:rPr>
          <w:bCs/>
          <w:i/>
          <w:iCs/>
          <w:szCs w:val="24"/>
        </w:rPr>
        <w:t>Cucurbita pepo</w:t>
      </w:r>
      <w:r w:rsidRPr="00510D36">
        <w:rPr>
          <w:bCs/>
          <w:szCs w:val="24"/>
        </w:rPr>
        <w:t xml:space="preserve"> leaf powder revealed that carbohydrates constituted the largest proportion of the nutrient profile, representing 64.72% of the composition, whereas lipids were present in the lowest proportion at 3.75% (Table 3). The crude protein level was 6.82%, indicating that the leaf meal provides a moderate amount of protein for potential inclusion in fish diets. This value is lower than the 17.80% crude protein reported for dried </w:t>
      </w:r>
      <w:r w:rsidRPr="00510D36">
        <w:rPr>
          <w:bCs/>
          <w:i/>
          <w:iCs/>
          <w:szCs w:val="24"/>
        </w:rPr>
        <w:t>C. pepo</w:t>
      </w:r>
      <w:r w:rsidRPr="00510D36">
        <w:rPr>
          <w:bCs/>
          <w:szCs w:val="24"/>
        </w:rPr>
        <w:t xml:space="preserve"> leaves by </w:t>
      </w:r>
      <w:r w:rsidR="001F10F0" w:rsidRPr="00510D36">
        <w:rPr>
          <w:szCs w:val="24"/>
          <w:vertAlign w:val="superscript"/>
        </w:rPr>
        <w:t>[15]</w:t>
      </w:r>
      <w:r w:rsidRPr="00510D36">
        <w:rPr>
          <w:bCs/>
          <w:szCs w:val="24"/>
        </w:rPr>
        <w:t>. Variations in nutrient composition may arise from differences in plant variety, soil nutrient status, stage of plant maturity at harvest, as well as processing and drying techniques applied prior to analysis.</w:t>
      </w:r>
    </w:p>
    <w:p w14:paraId="0844FBAF" w14:textId="24531F57" w:rsidR="003E189C" w:rsidRPr="00510D36" w:rsidRDefault="003E189C" w:rsidP="00510D36">
      <w:pPr>
        <w:spacing w:line="240" w:lineRule="auto"/>
        <w:rPr>
          <w:szCs w:val="24"/>
        </w:rPr>
      </w:pPr>
      <w:r w:rsidRPr="00510D36">
        <w:rPr>
          <w:b/>
          <w:szCs w:val="24"/>
        </w:rPr>
        <w:t xml:space="preserve">Table 3: Proximate composition of </w:t>
      </w:r>
      <w:r w:rsidRPr="00510D36">
        <w:rPr>
          <w:b/>
          <w:i/>
          <w:iCs/>
          <w:szCs w:val="24"/>
        </w:rPr>
        <w:t>C. pepo</w:t>
      </w:r>
      <w:r w:rsidRPr="00510D36">
        <w:rPr>
          <w:b/>
          <w:szCs w:val="24"/>
        </w:rPr>
        <w:t xml:space="preserve"> </w:t>
      </w:r>
      <w:r w:rsidRPr="00510D36">
        <w:rPr>
          <w:b/>
          <w:bCs/>
          <w:szCs w:val="24"/>
        </w:rPr>
        <w:t xml:space="preserve">leaf </w:t>
      </w:r>
      <w:r w:rsidRPr="00510D36">
        <w:rPr>
          <w:b/>
          <w:szCs w:val="24"/>
        </w:rPr>
        <w:t>meal</w:t>
      </w:r>
    </w:p>
    <w:tbl>
      <w:tblPr>
        <w:tblW w:w="4518" w:type="dxa"/>
        <w:tblBorders>
          <w:top w:val="single" w:sz="4" w:space="0" w:color="auto"/>
          <w:bottom w:val="single" w:sz="4" w:space="0" w:color="auto"/>
        </w:tblBorders>
        <w:tblLayout w:type="fixed"/>
        <w:tblLook w:val="0400" w:firstRow="0" w:lastRow="0" w:firstColumn="0" w:lastColumn="0" w:noHBand="0" w:noVBand="1"/>
      </w:tblPr>
      <w:tblGrid>
        <w:gridCol w:w="3618"/>
        <w:gridCol w:w="900"/>
      </w:tblGrid>
      <w:tr w:rsidR="003E189C" w:rsidRPr="00510D36" w14:paraId="54D2AD39" w14:textId="77777777" w:rsidTr="00756568">
        <w:trPr>
          <w:cantSplit/>
          <w:tblHeader/>
        </w:trPr>
        <w:tc>
          <w:tcPr>
            <w:tcW w:w="3618" w:type="dxa"/>
            <w:tcBorders>
              <w:top w:val="single" w:sz="4" w:space="0" w:color="auto"/>
              <w:bottom w:val="single" w:sz="4" w:space="0" w:color="auto"/>
            </w:tcBorders>
            <w:hideMark/>
          </w:tcPr>
          <w:p w14:paraId="5978221E" w14:textId="77777777" w:rsidR="003E189C" w:rsidRPr="00510D36" w:rsidRDefault="003E189C" w:rsidP="00510D36">
            <w:pPr>
              <w:pStyle w:val="Normal1"/>
              <w:spacing w:after="0" w:line="240" w:lineRule="auto"/>
              <w:ind w:right="-180"/>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Parameters (%)</w:t>
            </w:r>
          </w:p>
        </w:tc>
        <w:tc>
          <w:tcPr>
            <w:tcW w:w="900" w:type="dxa"/>
            <w:tcBorders>
              <w:top w:val="single" w:sz="4" w:space="0" w:color="auto"/>
              <w:bottom w:val="single" w:sz="4" w:space="0" w:color="auto"/>
            </w:tcBorders>
            <w:hideMark/>
          </w:tcPr>
          <w:p w14:paraId="70C1C5EB" w14:textId="77777777" w:rsidR="003E189C" w:rsidRPr="00510D36" w:rsidRDefault="003E189C" w:rsidP="00510D36">
            <w:pPr>
              <w:pStyle w:val="Normal1"/>
              <w:spacing w:after="0" w:line="240" w:lineRule="auto"/>
              <w:ind w:right="-180"/>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Values</w:t>
            </w:r>
          </w:p>
        </w:tc>
      </w:tr>
      <w:tr w:rsidR="003E189C" w:rsidRPr="00510D36" w14:paraId="08E5783F" w14:textId="77777777" w:rsidTr="00756568">
        <w:trPr>
          <w:cantSplit/>
          <w:tblHeader/>
        </w:trPr>
        <w:tc>
          <w:tcPr>
            <w:tcW w:w="3618" w:type="dxa"/>
            <w:tcBorders>
              <w:top w:val="single" w:sz="4" w:space="0" w:color="auto"/>
            </w:tcBorders>
          </w:tcPr>
          <w:p w14:paraId="314C50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Ash</w:t>
            </w:r>
          </w:p>
        </w:tc>
        <w:tc>
          <w:tcPr>
            <w:tcW w:w="900" w:type="dxa"/>
            <w:tcBorders>
              <w:top w:val="single" w:sz="4" w:space="0" w:color="auto"/>
            </w:tcBorders>
          </w:tcPr>
          <w:p w14:paraId="57B654F1"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11.10</w:t>
            </w:r>
          </w:p>
        </w:tc>
      </w:tr>
      <w:tr w:rsidR="003E189C" w:rsidRPr="00510D36" w14:paraId="23F59C0A" w14:textId="77777777" w:rsidTr="00756568">
        <w:trPr>
          <w:cantSplit/>
          <w:tblHeader/>
        </w:trPr>
        <w:tc>
          <w:tcPr>
            <w:tcW w:w="3618" w:type="dxa"/>
          </w:tcPr>
          <w:p w14:paraId="6642C2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Fibre</w:t>
            </w:r>
          </w:p>
        </w:tc>
        <w:tc>
          <w:tcPr>
            <w:tcW w:w="900" w:type="dxa"/>
          </w:tcPr>
          <w:p w14:paraId="2A29E2F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4.44</w:t>
            </w:r>
          </w:p>
        </w:tc>
      </w:tr>
      <w:tr w:rsidR="003E189C" w:rsidRPr="00510D36" w14:paraId="1809CE87" w14:textId="77777777" w:rsidTr="00756568">
        <w:trPr>
          <w:cantSplit/>
          <w:tblHeader/>
        </w:trPr>
        <w:tc>
          <w:tcPr>
            <w:tcW w:w="3618" w:type="dxa"/>
          </w:tcPr>
          <w:p w14:paraId="206FF1D8"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Lipids</w:t>
            </w:r>
          </w:p>
        </w:tc>
        <w:tc>
          <w:tcPr>
            <w:tcW w:w="900" w:type="dxa"/>
          </w:tcPr>
          <w:p w14:paraId="019DA684"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3.75</w:t>
            </w:r>
          </w:p>
        </w:tc>
      </w:tr>
      <w:tr w:rsidR="003E189C" w:rsidRPr="00510D36" w14:paraId="0364A4BA" w14:textId="77777777" w:rsidTr="00756568">
        <w:trPr>
          <w:cantSplit/>
          <w:tblHeader/>
        </w:trPr>
        <w:tc>
          <w:tcPr>
            <w:tcW w:w="3618" w:type="dxa"/>
          </w:tcPr>
          <w:p w14:paraId="4B44C9D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Moisture</w:t>
            </w:r>
          </w:p>
        </w:tc>
        <w:tc>
          <w:tcPr>
            <w:tcW w:w="900" w:type="dxa"/>
          </w:tcPr>
          <w:p w14:paraId="2900164F"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9.17</w:t>
            </w:r>
          </w:p>
        </w:tc>
      </w:tr>
      <w:tr w:rsidR="003E189C" w:rsidRPr="00510D36" w14:paraId="333169BC" w14:textId="77777777" w:rsidTr="00756568">
        <w:trPr>
          <w:cantSplit/>
          <w:tblHeader/>
        </w:trPr>
        <w:tc>
          <w:tcPr>
            <w:tcW w:w="3618" w:type="dxa"/>
          </w:tcPr>
          <w:p w14:paraId="471026BF"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Protein</w:t>
            </w:r>
          </w:p>
        </w:tc>
        <w:tc>
          <w:tcPr>
            <w:tcW w:w="900" w:type="dxa"/>
          </w:tcPr>
          <w:p w14:paraId="51AB498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6.82</w:t>
            </w:r>
          </w:p>
        </w:tc>
      </w:tr>
      <w:tr w:rsidR="003E189C" w:rsidRPr="00510D36" w14:paraId="788BDF7C" w14:textId="77777777" w:rsidTr="00756568">
        <w:trPr>
          <w:cantSplit/>
          <w:tblHeader/>
        </w:trPr>
        <w:tc>
          <w:tcPr>
            <w:tcW w:w="3618" w:type="dxa"/>
          </w:tcPr>
          <w:p w14:paraId="09B21E0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hAnsi="Times New Roman" w:cs="Times New Roman"/>
                <w:bCs/>
                <w:sz w:val="24"/>
                <w:szCs w:val="24"/>
              </w:rPr>
              <w:t>Nitrogen Free Extract</w:t>
            </w:r>
          </w:p>
        </w:tc>
        <w:tc>
          <w:tcPr>
            <w:tcW w:w="900" w:type="dxa"/>
          </w:tcPr>
          <w:p w14:paraId="1136A606"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64.72</w:t>
            </w:r>
          </w:p>
        </w:tc>
      </w:tr>
    </w:tbl>
    <w:p w14:paraId="4ECE5A9B" w14:textId="77777777" w:rsidR="009D457D" w:rsidRPr="00510D36" w:rsidRDefault="009D457D" w:rsidP="00510D36">
      <w:pPr>
        <w:spacing w:after="0" w:line="240" w:lineRule="auto"/>
        <w:rPr>
          <w:b/>
          <w:bCs/>
          <w:szCs w:val="24"/>
        </w:rPr>
      </w:pPr>
    </w:p>
    <w:p w14:paraId="31B332B4" w14:textId="77777777" w:rsidR="001E3DA2" w:rsidRDefault="001E3DA2">
      <w:pPr>
        <w:rPr>
          <w:b/>
          <w:bCs/>
          <w:szCs w:val="24"/>
        </w:rPr>
      </w:pPr>
      <w:r>
        <w:rPr>
          <w:b/>
          <w:bCs/>
          <w:szCs w:val="24"/>
        </w:rPr>
        <w:br w:type="page"/>
      </w:r>
    </w:p>
    <w:p w14:paraId="74CA6A53" w14:textId="4E4E6CDD" w:rsidR="00B72A5C" w:rsidRPr="00510D36" w:rsidRDefault="00B72A5C" w:rsidP="00510D36">
      <w:pPr>
        <w:spacing w:after="0" w:line="240" w:lineRule="auto"/>
        <w:rPr>
          <w:b/>
          <w:bCs/>
          <w:szCs w:val="24"/>
        </w:rPr>
      </w:pPr>
      <w:r w:rsidRPr="00510D36">
        <w:rPr>
          <w:b/>
          <w:bCs/>
          <w:szCs w:val="24"/>
        </w:rPr>
        <w:lastRenderedPageBreak/>
        <w:t>Proximate Composition of Experimental Diets</w:t>
      </w:r>
    </w:p>
    <w:p w14:paraId="42A13CF0" w14:textId="0201DC14" w:rsidR="002E5836" w:rsidRPr="00510D36" w:rsidRDefault="005B2891" w:rsidP="00510D36">
      <w:pPr>
        <w:spacing w:after="0" w:line="240" w:lineRule="auto"/>
        <w:jc w:val="both"/>
        <w:rPr>
          <w:bCs/>
          <w:szCs w:val="24"/>
        </w:rPr>
      </w:pPr>
      <w:r w:rsidRPr="00510D36">
        <w:rPr>
          <w:bCs/>
          <w:szCs w:val="24"/>
        </w:rPr>
        <w:t xml:space="preserve">The proximate composition of the formulated diets is presented in Table 4. Ash content ranged between 4.79% and 5.09%, with the lowest value recorded in CP1 and the highest in CP3. Crude fibre content increased gradually as the inclusion level of </w:t>
      </w:r>
      <w:r w:rsidRPr="00510D36">
        <w:rPr>
          <w:bCs/>
          <w:i/>
          <w:iCs/>
          <w:szCs w:val="24"/>
        </w:rPr>
        <w:t>C. pepo</w:t>
      </w:r>
      <w:r w:rsidRPr="00510D36">
        <w:rPr>
          <w:bCs/>
          <w:szCs w:val="24"/>
        </w:rPr>
        <w:t xml:space="preserve"> leaf powder increased across the diets. Lipid levels varied slightly among treatments, ranging from 7.94% to 8.30%, with CP3 containing the highest concentration and CP1 the lowest. Moisture content showed minor variation among treatments, ranging from 7.73% to 8.04%. Similarly, crude protein levels remained relatively stable, varying between 39.55% and 39.99% across the experimental diets. The consistency in crude protein content indicates that the addition of </w:t>
      </w:r>
      <w:r w:rsidRPr="00510D36">
        <w:rPr>
          <w:bCs/>
          <w:i/>
          <w:iCs/>
          <w:szCs w:val="24"/>
        </w:rPr>
        <w:t>C. pepo</w:t>
      </w:r>
      <w:r w:rsidRPr="00510D36">
        <w:rPr>
          <w:bCs/>
          <w:szCs w:val="24"/>
        </w:rPr>
        <w:t xml:space="preserve"> leaf powder did not significantly alter the overall protein balance of the diets. These protein levels fall within the recommended dietary protein range of 20–40% required for optimal growth of </w:t>
      </w:r>
      <w:r w:rsidRPr="00510D36">
        <w:rPr>
          <w:bCs/>
          <w:i/>
          <w:iCs/>
          <w:szCs w:val="24"/>
        </w:rPr>
        <w:t>Clarias gariepinus</w:t>
      </w:r>
      <w:r w:rsidRPr="00510D36">
        <w:rPr>
          <w:bCs/>
          <w:szCs w:val="24"/>
        </w:rPr>
        <w:t xml:space="preserve"> fingerlings, as reported by</w:t>
      </w:r>
      <w:r w:rsidR="00051421" w:rsidRPr="00510D36">
        <w:rPr>
          <w:bCs/>
          <w:szCs w:val="24"/>
        </w:rPr>
        <w:t xml:space="preserve"> </w:t>
      </w:r>
      <w:r w:rsidR="001F10F0" w:rsidRPr="00510D36">
        <w:rPr>
          <w:szCs w:val="24"/>
          <w:vertAlign w:val="superscript"/>
        </w:rPr>
        <w:t>[16,17]</w:t>
      </w:r>
      <w:r w:rsidR="002E5836" w:rsidRPr="00510D36">
        <w:rPr>
          <w:bCs/>
          <w:szCs w:val="24"/>
        </w:rPr>
        <w:t>.</w:t>
      </w:r>
    </w:p>
    <w:p w14:paraId="75204A85" w14:textId="77777777" w:rsidR="00FA1B06" w:rsidRPr="00510D36" w:rsidRDefault="00FA1B06" w:rsidP="00510D36">
      <w:pPr>
        <w:spacing w:after="0" w:line="240" w:lineRule="auto"/>
        <w:rPr>
          <w:b/>
          <w:szCs w:val="24"/>
        </w:rPr>
      </w:pPr>
    </w:p>
    <w:p w14:paraId="377283DB" w14:textId="58D81812" w:rsidR="003E189C" w:rsidRPr="00510D36" w:rsidRDefault="003E189C" w:rsidP="00510D36">
      <w:pPr>
        <w:spacing w:after="0" w:line="240" w:lineRule="auto"/>
        <w:rPr>
          <w:b/>
          <w:szCs w:val="24"/>
        </w:rPr>
      </w:pPr>
      <w:r w:rsidRPr="00510D36">
        <w:rPr>
          <w:b/>
          <w:szCs w:val="24"/>
        </w:rPr>
        <w:t>Table</w:t>
      </w:r>
      <w:r w:rsidR="009B73A2" w:rsidRPr="00510D36">
        <w:rPr>
          <w:b/>
          <w:szCs w:val="24"/>
        </w:rPr>
        <w:t xml:space="preserve"> 4</w:t>
      </w:r>
      <w:r w:rsidR="00294E10" w:rsidRPr="00510D36">
        <w:rPr>
          <w:b/>
          <w:szCs w:val="24"/>
        </w:rPr>
        <w:t>:</w:t>
      </w:r>
      <w:r w:rsidRPr="00510D36">
        <w:rPr>
          <w:b/>
          <w:szCs w:val="24"/>
        </w:rPr>
        <w:t xml:space="preserve"> Proximate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329"/>
        <w:gridCol w:w="1260"/>
        <w:gridCol w:w="1170"/>
        <w:gridCol w:w="111"/>
        <w:gridCol w:w="1059"/>
        <w:gridCol w:w="201"/>
        <w:gridCol w:w="900"/>
        <w:gridCol w:w="360"/>
      </w:tblGrid>
      <w:tr w:rsidR="003E189C" w:rsidRPr="00510D36" w14:paraId="37592025" w14:textId="77777777" w:rsidTr="00756568">
        <w:tc>
          <w:tcPr>
            <w:tcW w:w="2448" w:type="dxa"/>
            <w:tcBorders>
              <w:top w:val="single" w:sz="4" w:space="0" w:color="auto"/>
              <w:bottom w:val="single" w:sz="4" w:space="0" w:color="auto"/>
            </w:tcBorders>
          </w:tcPr>
          <w:p w14:paraId="3F394925" w14:textId="77777777" w:rsidR="003E189C" w:rsidRPr="00510D36" w:rsidRDefault="003E189C" w:rsidP="00510D36">
            <w:pPr>
              <w:ind w:right="-240"/>
              <w:rPr>
                <w:rFonts w:ascii="Times New Roman" w:hAnsi="Times New Roman" w:cs="Times New Roman"/>
                <w:b/>
                <w:bCs/>
                <w:sz w:val="24"/>
                <w:szCs w:val="24"/>
              </w:rPr>
            </w:pPr>
            <w:r w:rsidRPr="00510D36">
              <w:rPr>
                <w:rFonts w:ascii="Times New Roman" w:hAnsi="Times New Roman" w:cs="Times New Roman"/>
                <w:b/>
                <w:bCs/>
                <w:sz w:val="24"/>
                <w:szCs w:val="24"/>
              </w:rPr>
              <w:t>Parameters (%)</w:t>
            </w:r>
          </w:p>
        </w:tc>
        <w:tc>
          <w:tcPr>
            <w:tcW w:w="1329" w:type="dxa"/>
            <w:tcBorders>
              <w:top w:val="single" w:sz="4" w:space="0" w:color="auto"/>
              <w:bottom w:val="single" w:sz="4" w:space="0" w:color="auto"/>
            </w:tcBorders>
          </w:tcPr>
          <w:p w14:paraId="13B7D77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tcPr>
          <w:p w14:paraId="0ED21E4B"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CP2 (0.5)</w:t>
            </w:r>
          </w:p>
        </w:tc>
        <w:tc>
          <w:tcPr>
            <w:tcW w:w="1281" w:type="dxa"/>
            <w:gridSpan w:val="2"/>
            <w:tcBorders>
              <w:top w:val="single" w:sz="4" w:space="0" w:color="auto"/>
              <w:bottom w:val="single" w:sz="4" w:space="0" w:color="auto"/>
            </w:tcBorders>
          </w:tcPr>
          <w:p w14:paraId="2DE0D4D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CP3 (1.0)</w:t>
            </w:r>
          </w:p>
        </w:tc>
        <w:tc>
          <w:tcPr>
            <w:tcW w:w="1260" w:type="dxa"/>
            <w:gridSpan w:val="2"/>
            <w:tcBorders>
              <w:top w:val="single" w:sz="4" w:space="0" w:color="auto"/>
              <w:bottom w:val="single" w:sz="4" w:space="0" w:color="auto"/>
            </w:tcBorders>
          </w:tcPr>
          <w:p w14:paraId="25526C1D"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CP4 (1.5)</w:t>
            </w:r>
          </w:p>
        </w:tc>
        <w:tc>
          <w:tcPr>
            <w:tcW w:w="1260" w:type="dxa"/>
            <w:gridSpan w:val="2"/>
            <w:tcBorders>
              <w:top w:val="single" w:sz="4" w:space="0" w:color="auto"/>
              <w:bottom w:val="single" w:sz="4" w:space="0" w:color="auto"/>
            </w:tcBorders>
          </w:tcPr>
          <w:p w14:paraId="660A61DC"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CP5 (2.0)</w:t>
            </w:r>
          </w:p>
        </w:tc>
      </w:tr>
      <w:tr w:rsidR="003E189C" w:rsidRPr="00510D36" w14:paraId="09221DEF" w14:textId="77777777" w:rsidTr="00756568">
        <w:trPr>
          <w:gridAfter w:val="1"/>
          <w:wAfter w:w="360" w:type="dxa"/>
        </w:trPr>
        <w:tc>
          <w:tcPr>
            <w:tcW w:w="2448" w:type="dxa"/>
            <w:tcBorders>
              <w:top w:val="single" w:sz="4" w:space="0" w:color="auto"/>
            </w:tcBorders>
          </w:tcPr>
          <w:p w14:paraId="71330281"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Ash</w:t>
            </w:r>
          </w:p>
        </w:tc>
        <w:tc>
          <w:tcPr>
            <w:tcW w:w="1329" w:type="dxa"/>
            <w:tcBorders>
              <w:top w:val="single" w:sz="4" w:space="0" w:color="auto"/>
            </w:tcBorders>
            <w:vAlign w:val="center"/>
          </w:tcPr>
          <w:p w14:paraId="4CF4119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4.79</w:t>
            </w:r>
          </w:p>
        </w:tc>
        <w:tc>
          <w:tcPr>
            <w:tcW w:w="1260" w:type="dxa"/>
            <w:tcBorders>
              <w:top w:val="single" w:sz="4" w:space="0" w:color="auto"/>
            </w:tcBorders>
            <w:vAlign w:val="center"/>
          </w:tcPr>
          <w:p w14:paraId="4A548C86"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4.96</w:t>
            </w:r>
          </w:p>
        </w:tc>
        <w:tc>
          <w:tcPr>
            <w:tcW w:w="1170" w:type="dxa"/>
            <w:tcBorders>
              <w:top w:val="single" w:sz="4" w:space="0" w:color="auto"/>
            </w:tcBorders>
            <w:vAlign w:val="center"/>
          </w:tcPr>
          <w:p w14:paraId="289FDE6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5.09</w:t>
            </w:r>
          </w:p>
        </w:tc>
        <w:tc>
          <w:tcPr>
            <w:tcW w:w="1170" w:type="dxa"/>
            <w:gridSpan w:val="2"/>
            <w:tcBorders>
              <w:top w:val="single" w:sz="4" w:space="0" w:color="auto"/>
            </w:tcBorders>
            <w:vAlign w:val="center"/>
          </w:tcPr>
          <w:p w14:paraId="1822DFB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5.01</w:t>
            </w:r>
          </w:p>
        </w:tc>
        <w:tc>
          <w:tcPr>
            <w:tcW w:w="1101" w:type="dxa"/>
            <w:gridSpan w:val="2"/>
            <w:tcBorders>
              <w:top w:val="single" w:sz="4" w:space="0" w:color="auto"/>
            </w:tcBorders>
            <w:vAlign w:val="center"/>
          </w:tcPr>
          <w:p w14:paraId="0CED5D5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5.05</w:t>
            </w:r>
          </w:p>
        </w:tc>
      </w:tr>
      <w:tr w:rsidR="003E189C" w:rsidRPr="00510D36" w14:paraId="20299463" w14:textId="77777777" w:rsidTr="00756568">
        <w:trPr>
          <w:gridAfter w:val="1"/>
          <w:wAfter w:w="360" w:type="dxa"/>
        </w:trPr>
        <w:tc>
          <w:tcPr>
            <w:tcW w:w="2448" w:type="dxa"/>
          </w:tcPr>
          <w:p w14:paraId="7CE3190F"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Fiber</w:t>
            </w:r>
          </w:p>
        </w:tc>
        <w:tc>
          <w:tcPr>
            <w:tcW w:w="1329" w:type="dxa"/>
            <w:vAlign w:val="center"/>
          </w:tcPr>
          <w:p w14:paraId="2F45605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3.08</w:t>
            </w:r>
          </w:p>
        </w:tc>
        <w:tc>
          <w:tcPr>
            <w:tcW w:w="1260" w:type="dxa"/>
            <w:vAlign w:val="center"/>
          </w:tcPr>
          <w:p w14:paraId="138DC83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3.25</w:t>
            </w:r>
          </w:p>
        </w:tc>
        <w:tc>
          <w:tcPr>
            <w:tcW w:w="1170" w:type="dxa"/>
            <w:vAlign w:val="center"/>
          </w:tcPr>
          <w:p w14:paraId="4147B5C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3.34</w:t>
            </w:r>
          </w:p>
        </w:tc>
        <w:tc>
          <w:tcPr>
            <w:tcW w:w="1170" w:type="dxa"/>
            <w:gridSpan w:val="2"/>
            <w:vAlign w:val="center"/>
          </w:tcPr>
          <w:p w14:paraId="7716A462"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3.39</w:t>
            </w:r>
          </w:p>
        </w:tc>
        <w:tc>
          <w:tcPr>
            <w:tcW w:w="1101" w:type="dxa"/>
            <w:gridSpan w:val="2"/>
            <w:vAlign w:val="center"/>
          </w:tcPr>
          <w:p w14:paraId="3AAD29C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3.46</w:t>
            </w:r>
          </w:p>
        </w:tc>
      </w:tr>
      <w:tr w:rsidR="003E189C" w:rsidRPr="00510D36" w14:paraId="7D1E4E97" w14:textId="77777777" w:rsidTr="00756568">
        <w:trPr>
          <w:gridAfter w:val="1"/>
          <w:wAfter w:w="360" w:type="dxa"/>
        </w:trPr>
        <w:tc>
          <w:tcPr>
            <w:tcW w:w="2448" w:type="dxa"/>
          </w:tcPr>
          <w:p w14:paraId="762E578E"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Lipids</w:t>
            </w:r>
          </w:p>
        </w:tc>
        <w:tc>
          <w:tcPr>
            <w:tcW w:w="1329" w:type="dxa"/>
            <w:vAlign w:val="center"/>
          </w:tcPr>
          <w:p w14:paraId="6AE1C84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7.94</w:t>
            </w:r>
          </w:p>
        </w:tc>
        <w:tc>
          <w:tcPr>
            <w:tcW w:w="1260" w:type="dxa"/>
            <w:vAlign w:val="center"/>
          </w:tcPr>
          <w:p w14:paraId="72CC9EE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8.21</w:t>
            </w:r>
          </w:p>
        </w:tc>
        <w:tc>
          <w:tcPr>
            <w:tcW w:w="1170" w:type="dxa"/>
            <w:vAlign w:val="center"/>
          </w:tcPr>
          <w:p w14:paraId="2EF93221"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8.30</w:t>
            </w:r>
          </w:p>
        </w:tc>
        <w:tc>
          <w:tcPr>
            <w:tcW w:w="1170" w:type="dxa"/>
            <w:gridSpan w:val="2"/>
            <w:vAlign w:val="center"/>
          </w:tcPr>
          <w:p w14:paraId="2904DB9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8.27</w:t>
            </w:r>
          </w:p>
        </w:tc>
        <w:tc>
          <w:tcPr>
            <w:tcW w:w="1101" w:type="dxa"/>
            <w:gridSpan w:val="2"/>
            <w:vAlign w:val="center"/>
          </w:tcPr>
          <w:p w14:paraId="3A6984F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8.23</w:t>
            </w:r>
          </w:p>
        </w:tc>
      </w:tr>
      <w:tr w:rsidR="003E189C" w:rsidRPr="00510D36" w14:paraId="54E7349C" w14:textId="77777777" w:rsidTr="00756568">
        <w:trPr>
          <w:gridAfter w:val="1"/>
          <w:wAfter w:w="360" w:type="dxa"/>
        </w:trPr>
        <w:tc>
          <w:tcPr>
            <w:tcW w:w="2448" w:type="dxa"/>
          </w:tcPr>
          <w:p w14:paraId="0EBA01C7"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Moisture</w:t>
            </w:r>
          </w:p>
        </w:tc>
        <w:tc>
          <w:tcPr>
            <w:tcW w:w="1329" w:type="dxa"/>
            <w:vAlign w:val="center"/>
          </w:tcPr>
          <w:p w14:paraId="10E2D9C8"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8.04</w:t>
            </w:r>
          </w:p>
        </w:tc>
        <w:tc>
          <w:tcPr>
            <w:tcW w:w="1260" w:type="dxa"/>
            <w:vAlign w:val="center"/>
          </w:tcPr>
          <w:p w14:paraId="69C980C1"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7.73</w:t>
            </w:r>
          </w:p>
        </w:tc>
        <w:tc>
          <w:tcPr>
            <w:tcW w:w="1170" w:type="dxa"/>
            <w:vAlign w:val="center"/>
          </w:tcPr>
          <w:p w14:paraId="725D67AB"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7.82</w:t>
            </w:r>
          </w:p>
        </w:tc>
        <w:tc>
          <w:tcPr>
            <w:tcW w:w="1170" w:type="dxa"/>
            <w:gridSpan w:val="2"/>
            <w:vAlign w:val="center"/>
          </w:tcPr>
          <w:p w14:paraId="045EF91F"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7.96</w:t>
            </w:r>
          </w:p>
        </w:tc>
        <w:tc>
          <w:tcPr>
            <w:tcW w:w="1101" w:type="dxa"/>
            <w:gridSpan w:val="2"/>
            <w:vAlign w:val="center"/>
          </w:tcPr>
          <w:p w14:paraId="4A87C040"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7.79</w:t>
            </w:r>
          </w:p>
        </w:tc>
      </w:tr>
      <w:tr w:rsidR="003E189C" w:rsidRPr="00510D36" w14:paraId="138355F4" w14:textId="77777777" w:rsidTr="00756568">
        <w:trPr>
          <w:gridAfter w:val="1"/>
          <w:wAfter w:w="360" w:type="dxa"/>
        </w:trPr>
        <w:tc>
          <w:tcPr>
            <w:tcW w:w="2448" w:type="dxa"/>
          </w:tcPr>
          <w:p w14:paraId="44DA2AF3"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Protein</w:t>
            </w:r>
          </w:p>
        </w:tc>
        <w:tc>
          <w:tcPr>
            <w:tcW w:w="1329" w:type="dxa"/>
            <w:vAlign w:val="center"/>
          </w:tcPr>
          <w:p w14:paraId="00AE83CC"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39.55</w:t>
            </w:r>
          </w:p>
        </w:tc>
        <w:tc>
          <w:tcPr>
            <w:tcW w:w="1260" w:type="dxa"/>
            <w:vAlign w:val="center"/>
          </w:tcPr>
          <w:p w14:paraId="4202E29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39.99</w:t>
            </w:r>
          </w:p>
        </w:tc>
        <w:tc>
          <w:tcPr>
            <w:tcW w:w="1170" w:type="dxa"/>
            <w:vAlign w:val="center"/>
          </w:tcPr>
          <w:p w14:paraId="03BB2DD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39.76</w:t>
            </w:r>
          </w:p>
        </w:tc>
        <w:tc>
          <w:tcPr>
            <w:tcW w:w="1170" w:type="dxa"/>
            <w:gridSpan w:val="2"/>
            <w:vAlign w:val="center"/>
          </w:tcPr>
          <w:p w14:paraId="3ED99F5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39.63</w:t>
            </w:r>
          </w:p>
        </w:tc>
        <w:tc>
          <w:tcPr>
            <w:tcW w:w="1101" w:type="dxa"/>
            <w:gridSpan w:val="2"/>
            <w:vAlign w:val="center"/>
          </w:tcPr>
          <w:p w14:paraId="3DC396F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39.97</w:t>
            </w:r>
          </w:p>
        </w:tc>
      </w:tr>
      <w:tr w:rsidR="003E189C" w:rsidRPr="00510D36" w14:paraId="2DAD656E" w14:textId="77777777" w:rsidTr="00756568">
        <w:trPr>
          <w:gridAfter w:val="1"/>
          <w:wAfter w:w="360" w:type="dxa"/>
        </w:trPr>
        <w:tc>
          <w:tcPr>
            <w:tcW w:w="2448" w:type="dxa"/>
          </w:tcPr>
          <w:p w14:paraId="30852B69" w14:textId="77777777" w:rsidR="003E189C" w:rsidRPr="00510D36" w:rsidRDefault="003E189C" w:rsidP="00510D36">
            <w:pPr>
              <w:rPr>
                <w:rFonts w:ascii="Times New Roman" w:hAnsi="Times New Roman" w:cs="Times New Roman"/>
                <w:bCs/>
                <w:sz w:val="24"/>
                <w:szCs w:val="24"/>
              </w:rPr>
            </w:pPr>
            <w:r w:rsidRPr="00510D36">
              <w:rPr>
                <w:rFonts w:ascii="Times New Roman" w:hAnsi="Times New Roman" w:cs="Times New Roman"/>
                <w:bCs/>
                <w:sz w:val="24"/>
                <w:szCs w:val="24"/>
              </w:rPr>
              <w:t>Nitrogen Free Extract</w:t>
            </w:r>
          </w:p>
        </w:tc>
        <w:tc>
          <w:tcPr>
            <w:tcW w:w="1329" w:type="dxa"/>
            <w:vAlign w:val="center"/>
          </w:tcPr>
          <w:p w14:paraId="7FDF36B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36.60</w:t>
            </w:r>
          </w:p>
        </w:tc>
        <w:tc>
          <w:tcPr>
            <w:tcW w:w="1260" w:type="dxa"/>
            <w:vAlign w:val="center"/>
          </w:tcPr>
          <w:p w14:paraId="3142963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35.86</w:t>
            </w:r>
          </w:p>
        </w:tc>
        <w:tc>
          <w:tcPr>
            <w:tcW w:w="1170" w:type="dxa"/>
            <w:vAlign w:val="center"/>
          </w:tcPr>
          <w:p w14:paraId="628AB64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35.69</w:t>
            </w:r>
          </w:p>
        </w:tc>
        <w:tc>
          <w:tcPr>
            <w:tcW w:w="1170" w:type="dxa"/>
            <w:gridSpan w:val="2"/>
            <w:vAlign w:val="center"/>
          </w:tcPr>
          <w:p w14:paraId="7E80390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35.74</w:t>
            </w:r>
          </w:p>
        </w:tc>
        <w:tc>
          <w:tcPr>
            <w:tcW w:w="1101" w:type="dxa"/>
            <w:gridSpan w:val="2"/>
            <w:vAlign w:val="center"/>
          </w:tcPr>
          <w:p w14:paraId="1819B7D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35.50</w:t>
            </w:r>
          </w:p>
        </w:tc>
      </w:tr>
    </w:tbl>
    <w:p w14:paraId="5AFA220C" w14:textId="77777777" w:rsidR="002E5836" w:rsidRPr="00510D36" w:rsidRDefault="002E5836" w:rsidP="00510D36">
      <w:pPr>
        <w:spacing w:line="240" w:lineRule="auto"/>
        <w:rPr>
          <w:b/>
          <w:bCs/>
          <w:szCs w:val="24"/>
        </w:rPr>
      </w:pPr>
    </w:p>
    <w:p w14:paraId="725E27DB" w14:textId="5902C987" w:rsidR="00B72A5C" w:rsidRPr="00510D36" w:rsidRDefault="00B72A5C" w:rsidP="00510D36">
      <w:pPr>
        <w:spacing w:after="0" w:line="240" w:lineRule="auto"/>
        <w:rPr>
          <w:b/>
          <w:bCs/>
          <w:szCs w:val="24"/>
        </w:rPr>
      </w:pPr>
      <w:r w:rsidRPr="00510D36">
        <w:rPr>
          <w:b/>
          <w:bCs/>
          <w:szCs w:val="24"/>
        </w:rPr>
        <w:t>Water Quality Parameters</w:t>
      </w:r>
    </w:p>
    <w:p w14:paraId="577A6546" w14:textId="5AA3E51A" w:rsidR="005B2891" w:rsidRPr="00510D36" w:rsidRDefault="005B2891" w:rsidP="00510D36">
      <w:pPr>
        <w:spacing w:after="0" w:line="240" w:lineRule="auto"/>
        <w:jc w:val="both"/>
        <w:rPr>
          <w:bCs/>
          <w:szCs w:val="24"/>
        </w:rPr>
      </w:pPr>
      <w:r w:rsidRPr="00510D36">
        <w:rPr>
          <w:bCs/>
          <w:szCs w:val="24"/>
        </w:rPr>
        <w:t xml:space="preserve">Water quality variables monitored throughout the 56-day feeding trial remained within acceptable limits for freshwater fish culture (Table 5). Dissolved oxygen concentrations ranged from 6.27 to 6.42 mg/L, while water temperature varied between 27.23°C and 27.40°C. The pH values recorded during the experiment ranged from 7.03 to 7.12. These relatively stable environmental conditions likely contributed to the satisfactory growth and survival of </w:t>
      </w:r>
      <w:r w:rsidRPr="00510D36">
        <w:rPr>
          <w:bCs/>
          <w:i/>
          <w:iCs/>
          <w:szCs w:val="24"/>
        </w:rPr>
        <w:t>C. gariepinus</w:t>
      </w:r>
      <w:r w:rsidRPr="00510D36">
        <w:rPr>
          <w:bCs/>
          <w:szCs w:val="24"/>
        </w:rPr>
        <w:t xml:space="preserve"> fingerlings observed in this study. The recorded values </w:t>
      </w:r>
      <w:r w:rsidR="00D3292E">
        <w:rPr>
          <w:bCs/>
          <w:szCs w:val="24"/>
        </w:rPr>
        <w:t>were within the</w:t>
      </w:r>
      <w:r w:rsidRPr="00510D36">
        <w:rPr>
          <w:bCs/>
          <w:szCs w:val="24"/>
        </w:rPr>
        <w:t xml:space="preserve"> recommended ranges for the culture of most freshwater fish species, including African catfish. Similar water quality conditions have also been reported by</w:t>
      </w:r>
      <w:r w:rsidR="00AB38C0" w:rsidRPr="00510D36">
        <w:rPr>
          <w:bCs/>
          <w:szCs w:val="24"/>
        </w:rPr>
        <w:t xml:space="preserve"> </w:t>
      </w:r>
      <w:r w:rsidR="00AB38C0" w:rsidRPr="00510D36">
        <w:rPr>
          <w:szCs w:val="24"/>
          <w:vertAlign w:val="superscript"/>
        </w:rPr>
        <w:t>[18]</w:t>
      </w:r>
      <w:r w:rsidRPr="00510D36">
        <w:rPr>
          <w:bCs/>
          <w:szCs w:val="24"/>
        </w:rPr>
        <w:t xml:space="preserve"> in studies involving </w:t>
      </w:r>
      <w:r w:rsidRPr="00510D36">
        <w:rPr>
          <w:bCs/>
          <w:i/>
          <w:iCs/>
          <w:szCs w:val="24"/>
        </w:rPr>
        <w:t>C. gariepinus</w:t>
      </w:r>
      <w:r w:rsidRPr="00510D36">
        <w:rPr>
          <w:bCs/>
          <w:szCs w:val="24"/>
        </w:rPr>
        <w:t xml:space="preserve"> cultured under controlled aquaculture systems.</w:t>
      </w:r>
    </w:p>
    <w:p w14:paraId="16E7CF67" w14:textId="2A2BF269" w:rsidR="002E5836" w:rsidRPr="00510D36" w:rsidRDefault="002E5836" w:rsidP="00510D36">
      <w:pPr>
        <w:spacing w:line="240" w:lineRule="auto"/>
        <w:rPr>
          <w:b/>
          <w:szCs w:val="24"/>
        </w:rPr>
      </w:pPr>
    </w:p>
    <w:p w14:paraId="00DBEC02" w14:textId="6DC15CE8" w:rsidR="000B2256" w:rsidRPr="00510D36" w:rsidRDefault="000B2256" w:rsidP="00510D36">
      <w:pPr>
        <w:spacing w:line="240" w:lineRule="auto"/>
        <w:rPr>
          <w:b/>
          <w:szCs w:val="24"/>
        </w:rPr>
      </w:pPr>
      <w:r w:rsidRPr="00510D36">
        <w:rPr>
          <w:b/>
          <w:szCs w:val="24"/>
        </w:rPr>
        <w:t xml:space="preserve">Table </w:t>
      </w:r>
      <w:r w:rsidR="00330684" w:rsidRPr="00510D36">
        <w:rPr>
          <w:b/>
          <w:szCs w:val="24"/>
        </w:rPr>
        <w:t>5</w:t>
      </w:r>
      <w:r w:rsidRPr="00510D36">
        <w:rPr>
          <w:b/>
          <w:szCs w:val="24"/>
        </w:rPr>
        <w:t xml:space="preserve">   Water quality parameter</w:t>
      </w:r>
      <w:r w:rsidR="00EF18B6" w:rsidRPr="00510D36">
        <w:rPr>
          <w:b/>
          <w:szCs w:val="24"/>
        </w:rPr>
        <w:t>s</w:t>
      </w:r>
      <w:r w:rsidRPr="00510D36">
        <w:rPr>
          <w:b/>
          <w:szCs w:val="24"/>
        </w:rPr>
        <w:t xml:space="preserve"> measured during the experimental period</w:t>
      </w:r>
      <w:r w:rsidR="00D3292E">
        <w:rPr>
          <w:b/>
          <w:szCs w:val="24"/>
        </w:rPr>
        <w:t xml:space="preserve"> (56</w:t>
      </w:r>
      <w:r w:rsidR="00B91DE2">
        <w:rPr>
          <w:b/>
          <w:szCs w:val="24"/>
        </w:rPr>
        <w:t xml:space="preserve"> </w:t>
      </w:r>
      <w:r w:rsidR="00D3292E">
        <w:rPr>
          <w:b/>
          <w:szCs w:val="24"/>
        </w:rPr>
        <w:t>days)</w:t>
      </w:r>
    </w:p>
    <w:tbl>
      <w:tblPr>
        <w:tblW w:w="9555" w:type="dxa"/>
        <w:tblBorders>
          <w:top w:val="single" w:sz="4" w:space="0" w:color="auto"/>
          <w:bottom w:val="single" w:sz="4" w:space="0" w:color="auto"/>
        </w:tblBorders>
        <w:tblLayout w:type="fixed"/>
        <w:tblLook w:val="0400" w:firstRow="0" w:lastRow="0" w:firstColumn="0" w:lastColumn="0" w:noHBand="0" w:noVBand="1"/>
      </w:tblPr>
      <w:tblGrid>
        <w:gridCol w:w="2070"/>
        <w:gridCol w:w="1548"/>
        <w:gridCol w:w="1530"/>
        <w:gridCol w:w="1501"/>
        <w:gridCol w:w="1469"/>
        <w:gridCol w:w="1350"/>
        <w:gridCol w:w="87"/>
      </w:tblGrid>
      <w:tr w:rsidR="000B2256" w:rsidRPr="00510D36" w14:paraId="1DB20C75" w14:textId="77777777" w:rsidTr="00CB56DE">
        <w:trPr>
          <w:gridAfter w:val="1"/>
          <w:wAfter w:w="87" w:type="dxa"/>
          <w:cantSplit/>
          <w:tblHeader/>
        </w:trPr>
        <w:tc>
          <w:tcPr>
            <w:tcW w:w="2070" w:type="dxa"/>
            <w:tcBorders>
              <w:top w:val="single" w:sz="4" w:space="0" w:color="auto"/>
              <w:bottom w:val="single" w:sz="4" w:space="0" w:color="auto"/>
            </w:tcBorders>
          </w:tcPr>
          <w:p w14:paraId="0FF9C25A"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 xml:space="preserve">Parameters </w:t>
            </w:r>
          </w:p>
        </w:tc>
        <w:tc>
          <w:tcPr>
            <w:tcW w:w="1548" w:type="dxa"/>
            <w:tcBorders>
              <w:top w:val="single" w:sz="4" w:space="0" w:color="auto"/>
              <w:bottom w:val="single" w:sz="4" w:space="0" w:color="auto"/>
            </w:tcBorders>
          </w:tcPr>
          <w:p w14:paraId="7BA1B4F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CP1 (0.0)</w:t>
            </w:r>
          </w:p>
        </w:tc>
        <w:tc>
          <w:tcPr>
            <w:tcW w:w="1530" w:type="dxa"/>
            <w:tcBorders>
              <w:top w:val="single" w:sz="4" w:space="0" w:color="auto"/>
              <w:bottom w:val="single" w:sz="4" w:space="0" w:color="auto"/>
            </w:tcBorders>
          </w:tcPr>
          <w:p w14:paraId="05A7DF8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CP2 (0.5)</w:t>
            </w:r>
          </w:p>
        </w:tc>
        <w:tc>
          <w:tcPr>
            <w:tcW w:w="1501" w:type="dxa"/>
            <w:tcBorders>
              <w:top w:val="single" w:sz="4" w:space="0" w:color="auto"/>
              <w:bottom w:val="single" w:sz="4" w:space="0" w:color="auto"/>
            </w:tcBorders>
          </w:tcPr>
          <w:p w14:paraId="1437C0E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CP3 (1.0)</w:t>
            </w:r>
          </w:p>
        </w:tc>
        <w:tc>
          <w:tcPr>
            <w:tcW w:w="1469" w:type="dxa"/>
            <w:tcBorders>
              <w:top w:val="single" w:sz="4" w:space="0" w:color="auto"/>
              <w:bottom w:val="single" w:sz="4" w:space="0" w:color="auto"/>
            </w:tcBorders>
          </w:tcPr>
          <w:p w14:paraId="39F0E70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tcPr>
          <w:p w14:paraId="69DB50A7"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CP5 (2.0)</w:t>
            </w:r>
          </w:p>
        </w:tc>
      </w:tr>
      <w:tr w:rsidR="000B2256" w:rsidRPr="00510D36" w14:paraId="2397FA8A" w14:textId="77777777" w:rsidTr="00CB56DE">
        <w:trPr>
          <w:gridAfter w:val="1"/>
          <w:wAfter w:w="87" w:type="dxa"/>
          <w:cantSplit/>
          <w:tblHeader/>
        </w:trPr>
        <w:tc>
          <w:tcPr>
            <w:tcW w:w="2070" w:type="dxa"/>
            <w:tcBorders>
              <w:top w:val="single" w:sz="4" w:space="0" w:color="auto"/>
            </w:tcBorders>
          </w:tcPr>
          <w:p w14:paraId="5294ACA9" w14:textId="06F98425"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DO (m</w:t>
            </w:r>
            <w:r w:rsidR="00B67C94" w:rsidRPr="00510D36">
              <w:rPr>
                <w:rFonts w:ascii="Times New Roman" w:eastAsia="Times New Roman" w:hAnsi="Times New Roman" w:cs="Times New Roman"/>
                <w:sz w:val="24"/>
                <w:szCs w:val="24"/>
              </w:rPr>
              <w:t>g</w:t>
            </w:r>
            <w:r w:rsidRPr="00510D36">
              <w:rPr>
                <w:rFonts w:ascii="Times New Roman" w:eastAsia="Times New Roman" w:hAnsi="Times New Roman" w:cs="Times New Roman"/>
                <w:sz w:val="24"/>
                <w:szCs w:val="24"/>
              </w:rPr>
              <w:t>/</w:t>
            </w:r>
            <w:r w:rsidR="00DF686B" w:rsidRPr="00510D36">
              <w:rPr>
                <w:rFonts w:ascii="Times New Roman" w:eastAsia="Times New Roman" w:hAnsi="Times New Roman" w:cs="Times New Roman"/>
                <w:sz w:val="24"/>
                <w:szCs w:val="24"/>
              </w:rPr>
              <w:t>L</w:t>
            </w:r>
            <w:r w:rsidRPr="00510D36">
              <w:rPr>
                <w:rFonts w:ascii="Times New Roman" w:eastAsia="Times New Roman" w:hAnsi="Times New Roman" w:cs="Times New Roman"/>
                <w:sz w:val="24"/>
                <w:szCs w:val="24"/>
              </w:rPr>
              <w:t>)</w:t>
            </w:r>
          </w:p>
        </w:tc>
        <w:tc>
          <w:tcPr>
            <w:tcW w:w="1548" w:type="dxa"/>
            <w:tcBorders>
              <w:top w:val="single" w:sz="4" w:space="0" w:color="auto"/>
            </w:tcBorders>
          </w:tcPr>
          <w:p w14:paraId="2CB0A62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6.42±0.05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0FE359C6"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6.35±0.02</w:t>
            </w:r>
            <w:r w:rsidRPr="00510D36">
              <w:rPr>
                <w:rFonts w:ascii="Times New Roman" w:eastAsia="Times New Roman" w:hAnsi="Times New Roman" w:cs="Times New Roman"/>
                <w:color w:val="000000"/>
                <w:sz w:val="24"/>
                <w:szCs w:val="24"/>
                <w:vertAlign w:val="superscript"/>
              </w:rPr>
              <w:t>a</w:t>
            </w:r>
          </w:p>
        </w:tc>
        <w:tc>
          <w:tcPr>
            <w:tcW w:w="1501" w:type="dxa"/>
            <w:tcBorders>
              <w:top w:val="single" w:sz="4" w:space="0" w:color="auto"/>
            </w:tcBorders>
          </w:tcPr>
          <w:p w14:paraId="1FF7C37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6.40±0.05</w:t>
            </w:r>
            <w:r w:rsidRPr="00510D36">
              <w:rPr>
                <w:rFonts w:ascii="Times New Roman" w:eastAsia="Times New Roman" w:hAnsi="Times New Roman" w:cs="Times New Roman"/>
                <w:color w:val="000000"/>
                <w:sz w:val="24"/>
                <w:szCs w:val="24"/>
                <w:vertAlign w:val="superscript"/>
              </w:rPr>
              <w:t>a</w:t>
            </w:r>
          </w:p>
        </w:tc>
        <w:tc>
          <w:tcPr>
            <w:tcW w:w="1469" w:type="dxa"/>
            <w:tcBorders>
              <w:top w:val="single" w:sz="4" w:space="0" w:color="auto"/>
            </w:tcBorders>
          </w:tcPr>
          <w:p w14:paraId="7F12917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6.27±0.01</w:t>
            </w:r>
            <w:r w:rsidRPr="00510D36">
              <w:rPr>
                <w:rFonts w:ascii="Times New Roman" w:eastAsia="Times New Roman" w:hAnsi="Times New Roman" w:cs="Times New Roman"/>
                <w:color w:val="000000"/>
                <w:sz w:val="24"/>
                <w:szCs w:val="24"/>
                <w:vertAlign w:val="superscript"/>
              </w:rPr>
              <w:t>a</w:t>
            </w:r>
          </w:p>
        </w:tc>
        <w:tc>
          <w:tcPr>
            <w:tcW w:w="1350" w:type="dxa"/>
            <w:tcBorders>
              <w:top w:val="single" w:sz="4" w:space="0" w:color="auto"/>
            </w:tcBorders>
          </w:tcPr>
          <w:p w14:paraId="06631E8F"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6.35±0.03</w:t>
            </w:r>
            <w:r w:rsidRPr="00510D36">
              <w:rPr>
                <w:rFonts w:ascii="Times New Roman" w:eastAsia="Times New Roman" w:hAnsi="Times New Roman" w:cs="Times New Roman"/>
                <w:color w:val="000000"/>
                <w:sz w:val="24"/>
                <w:szCs w:val="24"/>
                <w:vertAlign w:val="superscript"/>
              </w:rPr>
              <w:t>a</w:t>
            </w:r>
          </w:p>
        </w:tc>
      </w:tr>
      <w:tr w:rsidR="000B2256" w:rsidRPr="00510D36" w14:paraId="6CAB3D92" w14:textId="77777777" w:rsidTr="00CB56DE">
        <w:trPr>
          <w:cantSplit/>
          <w:tblHeader/>
        </w:trPr>
        <w:tc>
          <w:tcPr>
            <w:tcW w:w="2070" w:type="dxa"/>
          </w:tcPr>
          <w:p w14:paraId="18734884" w14:textId="3A1EAC2D"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Temperature (</w:t>
            </w:r>
            <w:r w:rsidR="00525CE7" w:rsidRPr="00510D36">
              <w:rPr>
                <w:rFonts w:ascii="Times New Roman" w:eastAsia="Times New Roman" w:hAnsi="Times New Roman" w:cs="Times New Roman"/>
                <w:sz w:val="24"/>
                <w:szCs w:val="24"/>
                <w:vertAlign w:val="superscript"/>
              </w:rPr>
              <w:t>o</w:t>
            </w:r>
            <w:r w:rsidRPr="00510D36">
              <w:rPr>
                <w:rFonts w:ascii="Times New Roman" w:eastAsia="Times New Roman" w:hAnsi="Times New Roman" w:cs="Times New Roman"/>
                <w:sz w:val="24"/>
                <w:szCs w:val="24"/>
              </w:rPr>
              <w:t>C)</w:t>
            </w:r>
          </w:p>
        </w:tc>
        <w:tc>
          <w:tcPr>
            <w:tcW w:w="1548" w:type="dxa"/>
          </w:tcPr>
          <w:p w14:paraId="19B1B54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27.26±0.02</w:t>
            </w:r>
            <w:r w:rsidRPr="00510D36">
              <w:rPr>
                <w:rFonts w:ascii="Times New Roman" w:eastAsia="Times New Roman" w:hAnsi="Times New Roman" w:cs="Times New Roman"/>
                <w:color w:val="000000"/>
                <w:sz w:val="24"/>
                <w:szCs w:val="24"/>
                <w:vertAlign w:val="superscript"/>
              </w:rPr>
              <w:t>a</w:t>
            </w:r>
          </w:p>
        </w:tc>
        <w:tc>
          <w:tcPr>
            <w:tcW w:w="1530" w:type="dxa"/>
          </w:tcPr>
          <w:p w14:paraId="5183A5D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27.40±0.11</w:t>
            </w:r>
            <w:r w:rsidRPr="00510D36">
              <w:rPr>
                <w:rFonts w:ascii="Times New Roman" w:eastAsia="Times New Roman" w:hAnsi="Times New Roman" w:cs="Times New Roman"/>
                <w:color w:val="000000"/>
                <w:sz w:val="24"/>
                <w:szCs w:val="24"/>
                <w:vertAlign w:val="superscript"/>
              </w:rPr>
              <w:t>a</w:t>
            </w:r>
          </w:p>
        </w:tc>
        <w:tc>
          <w:tcPr>
            <w:tcW w:w="1501" w:type="dxa"/>
          </w:tcPr>
          <w:p w14:paraId="427E863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27.23±0.01</w:t>
            </w:r>
            <w:r w:rsidRPr="00510D36">
              <w:rPr>
                <w:rFonts w:ascii="Times New Roman" w:eastAsia="Times New Roman" w:hAnsi="Times New Roman" w:cs="Times New Roman"/>
                <w:color w:val="000000"/>
                <w:sz w:val="24"/>
                <w:szCs w:val="24"/>
                <w:vertAlign w:val="superscript"/>
              </w:rPr>
              <w:t>a</w:t>
            </w:r>
          </w:p>
        </w:tc>
        <w:tc>
          <w:tcPr>
            <w:tcW w:w="1469" w:type="dxa"/>
          </w:tcPr>
          <w:p w14:paraId="0AEFED0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27.32±0.04</w:t>
            </w:r>
            <w:r w:rsidRPr="00510D36">
              <w:rPr>
                <w:rFonts w:ascii="Times New Roman" w:eastAsia="Times New Roman" w:hAnsi="Times New Roman" w:cs="Times New Roman"/>
                <w:color w:val="000000"/>
                <w:sz w:val="24"/>
                <w:szCs w:val="24"/>
                <w:vertAlign w:val="superscript"/>
              </w:rPr>
              <w:t>a</w:t>
            </w:r>
          </w:p>
        </w:tc>
        <w:tc>
          <w:tcPr>
            <w:tcW w:w="1437" w:type="dxa"/>
            <w:gridSpan w:val="2"/>
          </w:tcPr>
          <w:p w14:paraId="31643753" w14:textId="77777777" w:rsidR="000B2256" w:rsidRPr="00510D36" w:rsidRDefault="000B2256" w:rsidP="00510D36">
            <w:pPr>
              <w:pStyle w:val="Normal1"/>
              <w:tabs>
                <w:tab w:val="left" w:pos="1144"/>
              </w:tabs>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27.28±0.08</w:t>
            </w:r>
            <w:r w:rsidRPr="00510D36">
              <w:rPr>
                <w:rFonts w:ascii="Times New Roman" w:eastAsia="Times New Roman" w:hAnsi="Times New Roman" w:cs="Times New Roman"/>
                <w:color w:val="000000"/>
                <w:sz w:val="24"/>
                <w:szCs w:val="24"/>
                <w:vertAlign w:val="superscript"/>
              </w:rPr>
              <w:t xml:space="preserve">a </w:t>
            </w:r>
          </w:p>
        </w:tc>
      </w:tr>
      <w:tr w:rsidR="000B2256" w:rsidRPr="00510D36" w14:paraId="05D9C2B2" w14:textId="77777777" w:rsidTr="00CB56DE">
        <w:trPr>
          <w:gridAfter w:val="1"/>
          <w:wAfter w:w="87" w:type="dxa"/>
          <w:cantSplit/>
          <w:tblHeader/>
        </w:trPr>
        <w:tc>
          <w:tcPr>
            <w:tcW w:w="2070" w:type="dxa"/>
          </w:tcPr>
          <w:p w14:paraId="006602C1"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pH</w:t>
            </w:r>
          </w:p>
        </w:tc>
        <w:tc>
          <w:tcPr>
            <w:tcW w:w="1548" w:type="dxa"/>
          </w:tcPr>
          <w:p w14:paraId="64844B3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7.03±0.05</w:t>
            </w:r>
            <w:r w:rsidRPr="00510D36">
              <w:rPr>
                <w:rFonts w:ascii="Times New Roman" w:eastAsia="Times New Roman" w:hAnsi="Times New Roman" w:cs="Times New Roman"/>
                <w:color w:val="000000"/>
                <w:sz w:val="24"/>
                <w:szCs w:val="24"/>
                <w:vertAlign w:val="superscript"/>
              </w:rPr>
              <w:t>a</w:t>
            </w:r>
          </w:p>
        </w:tc>
        <w:tc>
          <w:tcPr>
            <w:tcW w:w="1530" w:type="dxa"/>
          </w:tcPr>
          <w:p w14:paraId="4245E05C"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7.12±0.02</w:t>
            </w:r>
            <w:r w:rsidRPr="00510D36">
              <w:rPr>
                <w:rFonts w:ascii="Times New Roman" w:eastAsia="Times New Roman" w:hAnsi="Times New Roman" w:cs="Times New Roman"/>
                <w:color w:val="000000"/>
                <w:sz w:val="24"/>
                <w:szCs w:val="24"/>
                <w:vertAlign w:val="superscript"/>
              </w:rPr>
              <w:t>a</w:t>
            </w:r>
          </w:p>
        </w:tc>
        <w:tc>
          <w:tcPr>
            <w:tcW w:w="1501" w:type="dxa"/>
          </w:tcPr>
          <w:p w14:paraId="0DBD02D1"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7.07±0.02</w:t>
            </w:r>
            <w:r w:rsidRPr="00510D36">
              <w:rPr>
                <w:rFonts w:ascii="Times New Roman" w:eastAsia="Times New Roman" w:hAnsi="Times New Roman" w:cs="Times New Roman"/>
                <w:color w:val="000000"/>
                <w:sz w:val="24"/>
                <w:szCs w:val="24"/>
                <w:vertAlign w:val="superscript"/>
              </w:rPr>
              <w:t>a</w:t>
            </w:r>
          </w:p>
        </w:tc>
        <w:tc>
          <w:tcPr>
            <w:tcW w:w="1469" w:type="dxa"/>
          </w:tcPr>
          <w:p w14:paraId="2721B3C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7.10±0.02</w:t>
            </w:r>
            <w:r w:rsidRPr="00510D36">
              <w:rPr>
                <w:rFonts w:ascii="Times New Roman" w:eastAsia="Times New Roman" w:hAnsi="Times New Roman" w:cs="Times New Roman"/>
                <w:color w:val="000000"/>
                <w:sz w:val="24"/>
                <w:szCs w:val="24"/>
                <w:vertAlign w:val="superscript"/>
              </w:rPr>
              <w:t>a</w:t>
            </w:r>
          </w:p>
        </w:tc>
        <w:tc>
          <w:tcPr>
            <w:tcW w:w="1350" w:type="dxa"/>
          </w:tcPr>
          <w:p w14:paraId="52FB1822"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7.08±0.01</w:t>
            </w:r>
            <w:r w:rsidRPr="00510D36">
              <w:rPr>
                <w:rFonts w:ascii="Times New Roman" w:eastAsia="Times New Roman" w:hAnsi="Times New Roman" w:cs="Times New Roman"/>
                <w:color w:val="000000"/>
                <w:sz w:val="24"/>
                <w:szCs w:val="24"/>
                <w:vertAlign w:val="superscript"/>
              </w:rPr>
              <w:t xml:space="preserve">a </w:t>
            </w:r>
          </w:p>
        </w:tc>
      </w:tr>
    </w:tbl>
    <w:p w14:paraId="7FD7AAC0"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6B83D0FA" w14:textId="1658170B" w:rsidR="00B72A5C" w:rsidRPr="00510D36" w:rsidRDefault="00B72A5C" w:rsidP="00510D36">
      <w:pPr>
        <w:spacing w:after="0" w:line="240" w:lineRule="auto"/>
        <w:rPr>
          <w:rFonts w:eastAsia="Times New Roman"/>
          <w:b/>
          <w:bCs/>
          <w:szCs w:val="24"/>
        </w:rPr>
      </w:pPr>
      <w:r w:rsidRPr="00510D36">
        <w:rPr>
          <w:rFonts w:eastAsia="Times New Roman"/>
          <w:b/>
          <w:bCs/>
          <w:szCs w:val="24"/>
        </w:rPr>
        <w:t>Growth Performance of the Experimental Fish</w:t>
      </w:r>
    </w:p>
    <w:p w14:paraId="2D0BAF3E" w14:textId="68F9A464" w:rsidR="00FF7BA0" w:rsidRPr="00510D36" w:rsidRDefault="00FF7BA0" w:rsidP="00510D36">
      <w:pPr>
        <w:pStyle w:val="Normal1"/>
        <w:spacing w:after="0" w:line="240" w:lineRule="auto"/>
        <w:jc w:val="both"/>
        <w:rPr>
          <w:rFonts w:ascii="Times New Roman" w:eastAsia="Times New Roman" w:hAnsi="Times New Roman" w:cs="Times New Roman"/>
          <w:bCs/>
          <w:sz w:val="24"/>
          <w:szCs w:val="24"/>
        </w:rPr>
      </w:pPr>
      <w:r w:rsidRPr="00510D36">
        <w:rPr>
          <w:rFonts w:ascii="Times New Roman" w:eastAsia="Times New Roman" w:hAnsi="Times New Roman" w:cs="Times New Roman"/>
          <w:bCs/>
          <w:sz w:val="24"/>
          <w:szCs w:val="24"/>
        </w:rPr>
        <w:t xml:space="preserve">The growth performance and nutrient utilization of </w:t>
      </w:r>
      <w:r w:rsidRPr="00510D36">
        <w:rPr>
          <w:rFonts w:ascii="Times New Roman" w:eastAsia="Times New Roman" w:hAnsi="Times New Roman" w:cs="Times New Roman"/>
          <w:bCs/>
          <w:i/>
          <w:iCs/>
          <w:sz w:val="24"/>
          <w:szCs w:val="24"/>
        </w:rPr>
        <w:t>C. gariepinus</w:t>
      </w:r>
      <w:r w:rsidRPr="00510D36">
        <w:rPr>
          <w:rFonts w:ascii="Times New Roman" w:eastAsia="Times New Roman" w:hAnsi="Times New Roman" w:cs="Times New Roman"/>
          <w:bCs/>
          <w:sz w:val="24"/>
          <w:szCs w:val="24"/>
        </w:rPr>
        <w:t xml:space="preserve"> during the feeding trial are presented in Table 6. The highest growth performance was observed in fish fed the CP4 diet (1.5 g/100 g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while the lowest growth was recorded in fish fed the control diet (CP1). This result indicates that 1.5 g/100 g represents the optimal inclusion level among the tested diets. However, a slight reduction in growth was observed in the CP5 group (2.0 g/100 g), suggesting that excessive inclusion may reduce the beneficial effects. Polynomial regression analysis (Figure 1) further indicated an optimum inclusion level of approximately 1.7 g/100 g, confirming that inclusion levels between 1.5 and 1.7 g/100 g are </w:t>
      </w:r>
      <w:r w:rsidRPr="00510D36">
        <w:rPr>
          <w:rFonts w:ascii="Times New Roman" w:eastAsia="Times New Roman" w:hAnsi="Times New Roman" w:cs="Times New Roman"/>
          <w:bCs/>
          <w:sz w:val="24"/>
          <w:szCs w:val="24"/>
        </w:rPr>
        <w:lastRenderedPageBreak/>
        <w:t xml:space="preserve">most effective for promoting growth. Fish fed the CP4 diet also showed significantly higher feed intake (P &lt; 0.05), whereas the lowest intake was observed in the control group. The best feed conversion ratio (FCR) was recorded in CP4 (1.78) compared with 1.92 in the control group. Feed efficiency ratio (FER) and survival rate were not significantly different among treatments, indicating that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supplementation at the tested levels did not negatively affect fish health. These findings support the use of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meal as a functional feed additive in aquaculture. Similar results have been reported in previous studies. For instance, </w:t>
      </w:r>
      <w:r w:rsidR="00AB38C0" w:rsidRPr="00510D36">
        <w:rPr>
          <w:rFonts w:ascii="Times New Roman" w:hAnsi="Times New Roman" w:cs="Times New Roman"/>
          <w:sz w:val="24"/>
          <w:szCs w:val="24"/>
          <w:vertAlign w:val="superscript"/>
        </w:rPr>
        <w:t xml:space="preserve">[10] </w:t>
      </w:r>
      <w:r w:rsidRPr="00510D36">
        <w:rPr>
          <w:rFonts w:ascii="Times New Roman" w:eastAsia="Times New Roman" w:hAnsi="Times New Roman" w:cs="Times New Roman"/>
          <w:bCs/>
          <w:sz w:val="24"/>
          <w:szCs w:val="24"/>
        </w:rPr>
        <w:t xml:space="preserve">reported improved growth performance and nutrient utilization in </w:t>
      </w:r>
      <w:r w:rsidRPr="00510D36">
        <w:rPr>
          <w:rFonts w:ascii="Times New Roman" w:eastAsia="Times New Roman" w:hAnsi="Times New Roman" w:cs="Times New Roman"/>
          <w:bCs/>
          <w:i/>
          <w:iCs/>
          <w:sz w:val="24"/>
          <w:szCs w:val="24"/>
        </w:rPr>
        <w:t>Oncorhynchus mykiss</w:t>
      </w:r>
      <w:r w:rsidRPr="00510D36">
        <w:rPr>
          <w:rFonts w:ascii="Times New Roman" w:eastAsia="Times New Roman" w:hAnsi="Times New Roman" w:cs="Times New Roman"/>
          <w:bCs/>
          <w:sz w:val="24"/>
          <w:szCs w:val="24"/>
        </w:rPr>
        <w:t xml:space="preserve"> fed diets containing 4%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extract. Likewise, </w:t>
      </w:r>
      <w:r w:rsidR="00AB38C0" w:rsidRPr="00510D36">
        <w:rPr>
          <w:rFonts w:ascii="Times New Roman" w:hAnsi="Times New Roman" w:cs="Times New Roman"/>
          <w:sz w:val="24"/>
          <w:szCs w:val="24"/>
          <w:vertAlign w:val="superscript"/>
        </w:rPr>
        <w:t>[1</w:t>
      </w:r>
      <w:r w:rsidR="00237403" w:rsidRPr="00510D36">
        <w:rPr>
          <w:rFonts w:ascii="Times New Roman" w:hAnsi="Times New Roman" w:cs="Times New Roman"/>
          <w:sz w:val="24"/>
          <w:szCs w:val="24"/>
          <w:vertAlign w:val="superscript"/>
        </w:rPr>
        <w:t>9</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observed optimal growth and feed utilization in hybrid catfish (</w:t>
      </w:r>
      <w:r w:rsidRPr="00510D36">
        <w:rPr>
          <w:rFonts w:ascii="Times New Roman" w:eastAsia="Times New Roman" w:hAnsi="Times New Roman" w:cs="Times New Roman"/>
          <w:bCs/>
          <w:i/>
          <w:iCs/>
          <w:sz w:val="24"/>
          <w:szCs w:val="24"/>
        </w:rPr>
        <w:t>Heterobranchus bidorsalis × Clarias gariepinus</w:t>
      </w:r>
      <w:r w:rsidRPr="00510D36">
        <w:rPr>
          <w:rFonts w:ascii="Times New Roman" w:eastAsia="Times New Roman" w:hAnsi="Times New Roman" w:cs="Times New Roman"/>
          <w:bCs/>
          <w:sz w:val="24"/>
          <w:szCs w:val="24"/>
        </w:rPr>
        <w:t xml:space="preserve">) fed diets containing 20% pumpkin seed meal.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20</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also reported comparable growth performance in Nile tilapia fed diets containing </w:t>
      </w:r>
      <w:r w:rsidRPr="00510D36">
        <w:rPr>
          <w:rFonts w:ascii="Times New Roman" w:eastAsia="Times New Roman" w:hAnsi="Times New Roman" w:cs="Times New Roman"/>
          <w:bCs/>
          <w:i/>
          <w:iCs/>
          <w:sz w:val="24"/>
          <w:szCs w:val="24"/>
        </w:rPr>
        <w:t>Cucurbita maxima</w:t>
      </w:r>
      <w:r w:rsidRPr="00510D36">
        <w:rPr>
          <w:rFonts w:ascii="Times New Roman" w:eastAsia="Times New Roman" w:hAnsi="Times New Roman" w:cs="Times New Roman"/>
          <w:bCs/>
          <w:sz w:val="24"/>
          <w:szCs w:val="24"/>
        </w:rPr>
        <w:t xml:space="preserve"> seed meal. Beyond aquaculture,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has demonstrated beneficial nutritional effects in other livestock species. In poultry,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seed meal has been reported to improve growth performance, egg production, and antioxidant status in laying hens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21</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Studies in rabbits supplemented with pumpkin leaf meal have also shown improved weight gain, feed efficiency, and carcass quality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22</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In ruminants such as goats, pumpkin seed cake has been associated with improved nutrient digestibility and increased milk yield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23</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w:t>
      </w:r>
    </w:p>
    <w:p w14:paraId="52B13CCB" w14:textId="77777777" w:rsidR="003E189C" w:rsidRPr="00510D36" w:rsidRDefault="003E189C" w:rsidP="00510D36">
      <w:pPr>
        <w:pStyle w:val="Normal1"/>
        <w:spacing w:after="0" w:line="240" w:lineRule="auto"/>
        <w:jc w:val="both"/>
        <w:rPr>
          <w:rFonts w:ascii="Times New Roman" w:eastAsia="Times New Roman" w:hAnsi="Times New Roman" w:cs="Times New Roman"/>
          <w:b/>
          <w:sz w:val="24"/>
          <w:szCs w:val="24"/>
          <w:lang w:val="en-US"/>
        </w:rPr>
      </w:pPr>
    </w:p>
    <w:p w14:paraId="3A76F8F8" w14:textId="4662E51B" w:rsidR="000B2256" w:rsidRPr="00510D36" w:rsidRDefault="000B2256" w:rsidP="00510D36">
      <w:pPr>
        <w:spacing w:after="0" w:line="240" w:lineRule="auto"/>
        <w:rPr>
          <w:b/>
          <w:szCs w:val="24"/>
          <w:lang w:val="en-GB"/>
        </w:rPr>
      </w:pPr>
      <w:r w:rsidRPr="00510D36">
        <w:rPr>
          <w:b/>
          <w:szCs w:val="24"/>
          <w:lang w:val="en-GB"/>
        </w:rPr>
        <w:t xml:space="preserve">Table </w:t>
      </w:r>
      <w:r w:rsidR="00330684" w:rsidRPr="00510D36">
        <w:rPr>
          <w:b/>
          <w:szCs w:val="24"/>
          <w:lang w:val="en-GB"/>
        </w:rPr>
        <w:t>6</w:t>
      </w:r>
      <w:r w:rsidRPr="00510D36">
        <w:rPr>
          <w:b/>
          <w:szCs w:val="24"/>
          <w:lang w:val="en-GB"/>
        </w:rPr>
        <w:t xml:space="preserve"> </w:t>
      </w:r>
      <w:r w:rsidR="00294E10" w:rsidRPr="00510D36">
        <w:rPr>
          <w:b/>
          <w:szCs w:val="24"/>
        </w:rPr>
        <w:t xml:space="preserve">Growth performance and nutrient utilization of experimental fish </w:t>
      </w:r>
    </w:p>
    <w:tbl>
      <w:tblPr>
        <w:tblpPr w:leftFromText="180" w:rightFromText="180" w:vertAnchor="text" w:tblpY="1"/>
        <w:tblOverlap w:val="never"/>
        <w:tblW w:w="9296" w:type="dxa"/>
        <w:tblBorders>
          <w:top w:val="single" w:sz="4" w:space="0" w:color="auto"/>
          <w:bottom w:val="single" w:sz="4" w:space="0" w:color="auto"/>
        </w:tblBorders>
        <w:tblLook w:val="04A0" w:firstRow="1" w:lastRow="0" w:firstColumn="1" w:lastColumn="0" w:noHBand="0" w:noVBand="1"/>
      </w:tblPr>
      <w:tblGrid>
        <w:gridCol w:w="1710"/>
        <w:gridCol w:w="1499"/>
        <w:gridCol w:w="1741"/>
        <w:gridCol w:w="1459"/>
        <w:gridCol w:w="1388"/>
        <w:gridCol w:w="1499"/>
      </w:tblGrid>
      <w:tr w:rsidR="000B2256" w:rsidRPr="00510D36" w14:paraId="789E463D" w14:textId="77777777" w:rsidTr="00CB56DE">
        <w:trPr>
          <w:trHeight w:val="315"/>
        </w:trPr>
        <w:tc>
          <w:tcPr>
            <w:tcW w:w="1710" w:type="dxa"/>
            <w:tcBorders>
              <w:top w:val="single" w:sz="4" w:space="0" w:color="auto"/>
              <w:bottom w:val="single" w:sz="4" w:space="0" w:color="auto"/>
            </w:tcBorders>
            <w:noWrap/>
            <w:vAlign w:val="bottom"/>
            <w:hideMark/>
          </w:tcPr>
          <w:p w14:paraId="013A0D1A" w14:textId="77777777" w:rsidR="000B2256" w:rsidRPr="00510D36" w:rsidRDefault="000B2256" w:rsidP="00510D36">
            <w:pPr>
              <w:spacing w:after="0" w:line="240" w:lineRule="auto"/>
              <w:rPr>
                <w:rFonts w:eastAsia="Times New Roman"/>
                <w:b/>
                <w:color w:val="000000"/>
                <w:szCs w:val="24"/>
              </w:rPr>
            </w:pPr>
            <w:r w:rsidRPr="00510D36">
              <w:rPr>
                <w:rFonts w:eastAsia="Times New Roman"/>
                <w:b/>
                <w:color w:val="000000"/>
                <w:szCs w:val="24"/>
              </w:rPr>
              <w:t>Parameters</w:t>
            </w:r>
          </w:p>
        </w:tc>
        <w:tc>
          <w:tcPr>
            <w:tcW w:w="1499" w:type="dxa"/>
            <w:tcBorders>
              <w:top w:val="single" w:sz="4" w:space="0" w:color="auto"/>
              <w:bottom w:val="single" w:sz="4" w:space="0" w:color="auto"/>
            </w:tcBorders>
            <w:noWrap/>
            <w:hideMark/>
          </w:tcPr>
          <w:p w14:paraId="2B15621B" w14:textId="77777777" w:rsidR="000B2256" w:rsidRPr="00510D36" w:rsidRDefault="000B2256" w:rsidP="00510D36">
            <w:pPr>
              <w:spacing w:after="0" w:line="240" w:lineRule="auto"/>
              <w:rPr>
                <w:rFonts w:eastAsia="Times New Roman"/>
                <w:b/>
                <w:color w:val="000000"/>
                <w:szCs w:val="24"/>
              </w:rPr>
            </w:pPr>
            <w:r w:rsidRPr="00510D36">
              <w:rPr>
                <w:b/>
                <w:szCs w:val="24"/>
              </w:rPr>
              <w:t>CP1 (0.0)</w:t>
            </w:r>
          </w:p>
        </w:tc>
        <w:tc>
          <w:tcPr>
            <w:tcW w:w="1741" w:type="dxa"/>
            <w:tcBorders>
              <w:top w:val="single" w:sz="4" w:space="0" w:color="auto"/>
              <w:bottom w:val="single" w:sz="4" w:space="0" w:color="auto"/>
            </w:tcBorders>
            <w:noWrap/>
            <w:hideMark/>
          </w:tcPr>
          <w:p w14:paraId="6E618078" w14:textId="77777777" w:rsidR="000B2256" w:rsidRPr="00510D36" w:rsidRDefault="000B2256" w:rsidP="00510D36">
            <w:pPr>
              <w:spacing w:after="0" w:line="240" w:lineRule="auto"/>
              <w:rPr>
                <w:rFonts w:eastAsia="Times New Roman"/>
                <w:b/>
                <w:color w:val="000000"/>
                <w:szCs w:val="24"/>
              </w:rPr>
            </w:pPr>
            <w:r w:rsidRPr="00510D36">
              <w:rPr>
                <w:b/>
                <w:szCs w:val="24"/>
              </w:rPr>
              <w:t>CP2 (0.5)</w:t>
            </w:r>
          </w:p>
        </w:tc>
        <w:tc>
          <w:tcPr>
            <w:tcW w:w="1459" w:type="dxa"/>
            <w:tcBorders>
              <w:top w:val="single" w:sz="4" w:space="0" w:color="auto"/>
              <w:bottom w:val="single" w:sz="4" w:space="0" w:color="auto"/>
            </w:tcBorders>
            <w:noWrap/>
            <w:hideMark/>
          </w:tcPr>
          <w:p w14:paraId="2D8A7F0F" w14:textId="77777777" w:rsidR="000B2256" w:rsidRPr="00510D36" w:rsidRDefault="000B2256" w:rsidP="00510D36">
            <w:pPr>
              <w:spacing w:after="0" w:line="240" w:lineRule="auto"/>
              <w:rPr>
                <w:rFonts w:eastAsia="Times New Roman"/>
                <w:b/>
                <w:color w:val="000000"/>
                <w:szCs w:val="24"/>
              </w:rPr>
            </w:pPr>
            <w:r w:rsidRPr="00510D36">
              <w:rPr>
                <w:b/>
                <w:szCs w:val="24"/>
              </w:rPr>
              <w:t>CP3 (1.0)</w:t>
            </w:r>
          </w:p>
        </w:tc>
        <w:tc>
          <w:tcPr>
            <w:tcW w:w="1388" w:type="dxa"/>
            <w:tcBorders>
              <w:top w:val="single" w:sz="4" w:space="0" w:color="auto"/>
              <w:bottom w:val="single" w:sz="4" w:space="0" w:color="auto"/>
            </w:tcBorders>
            <w:noWrap/>
            <w:hideMark/>
          </w:tcPr>
          <w:p w14:paraId="35391D45" w14:textId="77777777" w:rsidR="000B2256" w:rsidRPr="00510D36" w:rsidRDefault="000B2256" w:rsidP="00510D36">
            <w:pPr>
              <w:spacing w:after="0" w:line="240" w:lineRule="auto"/>
              <w:rPr>
                <w:rFonts w:eastAsia="Times New Roman"/>
                <w:b/>
                <w:color w:val="000000"/>
                <w:szCs w:val="24"/>
              </w:rPr>
            </w:pPr>
            <w:r w:rsidRPr="00510D36">
              <w:rPr>
                <w:b/>
                <w:szCs w:val="24"/>
              </w:rPr>
              <w:t>CP4 (1.5)</w:t>
            </w:r>
          </w:p>
        </w:tc>
        <w:tc>
          <w:tcPr>
            <w:tcW w:w="1499" w:type="dxa"/>
            <w:tcBorders>
              <w:top w:val="single" w:sz="4" w:space="0" w:color="auto"/>
              <w:bottom w:val="single" w:sz="4" w:space="0" w:color="auto"/>
            </w:tcBorders>
            <w:noWrap/>
            <w:hideMark/>
          </w:tcPr>
          <w:p w14:paraId="6B24AA18" w14:textId="77777777" w:rsidR="000B2256" w:rsidRPr="00510D36" w:rsidRDefault="000B2256" w:rsidP="00510D36">
            <w:pPr>
              <w:spacing w:after="0" w:line="240" w:lineRule="auto"/>
              <w:rPr>
                <w:rFonts w:eastAsia="Times New Roman"/>
                <w:b/>
                <w:color w:val="000000"/>
                <w:szCs w:val="24"/>
              </w:rPr>
            </w:pPr>
            <w:r w:rsidRPr="00510D36">
              <w:rPr>
                <w:b/>
                <w:szCs w:val="24"/>
              </w:rPr>
              <w:t>CP5 (2.0)</w:t>
            </w:r>
          </w:p>
        </w:tc>
      </w:tr>
      <w:tr w:rsidR="000B2256" w:rsidRPr="00510D36" w14:paraId="24472BC4" w14:textId="77777777" w:rsidTr="00CB56DE">
        <w:trPr>
          <w:trHeight w:val="375"/>
        </w:trPr>
        <w:tc>
          <w:tcPr>
            <w:tcW w:w="1710" w:type="dxa"/>
            <w:tcBorders>
              <w:top w:val="single" w:sz="4" w:space="0" w:color="auto"/>
            </w:tcBorders>
            <w:noWrap/>
            <w:vAlign w:val="bottom"/>
            <w:hideMark/>
          </w:tcPr>
          <w:p w14:paraId="6AF985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IW (g)</w:t>
            </w:r>
          </w:p>
        </w:tc>
        <w:tc>
          <w:tcPr>
            <w:tcW w:w="1499" w:type="dxa"/>
            <w:tcBorders>
              <w:top w:val="single" w:sz="4" w:space="0" w:color="auto"/>
            </w:tcBorders>
            <w:noWrap/>
          </w:tcPr>
          <w:p w14:paraId="0176E24C" w14:textId="611B1FEB"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6</w:t>
            </w:r>
            <w:r w:rsidRPr="00510D36">
              <w:rPr>
                <w:rFonts w:eastAsia="Times New Roman"/>
                <w:color w:val="000000"/>
                <w:szCs w:val="24"/>
                <w:vertAlign w:val="superscript"/>
              </w:rPr>
              <w:t>a</w:t>
            </w:r>
          </w:p>
        </w:tc>
        <w:tc>
          <w:tcPr>
            <w:tcW w:w="1741" w:type="dxa"/>
            <w:tcBorders>
              <w:top w:val="single" w:sz="4" w:space="0" w:color="auto"/>
            </w:tcBorders>
            <w:noWrap/>
          </w:tcPr>
          <w:p w14:paraId="48D43415" w14:textId="22A03FBF"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5.01±0.0</w:t>
            </w:r>
            <w:r w:rsidR="00C10DF0" w:rsidRPr="00510D36">
              <w:rPr>
                <w:rFonts w:eastAsia="Times New Roman"/>
                <w:color w:val="000000"/>
                <w:szCs w:val="24"/>
              </w:rPr>
              <w:t>2</w:t>
            </w:r>
            <w:r w:rsidRPr="00510D36">
              <w:rPr>
                <w:rFonts w:eastAsia="Times New Roman"/>
                <w:color w:val="000000"/>
                <w:szCs w:val="24"/>
                <w:vertAlign w:val="superscript"/>
              </w:rPr>
              <w:t>a</w:t>
            </w:r>
          </w:p>
        </w:tc>
        <w:tc>
          <w:tcPr>
            <w:tcW w:w="1459" w:type="dxa"/>
            <w:tcBorders>
              <w:top w:val="single" w:sz="4" w:space="0" w:color="auto"/>
            </w:tcBorders>
            <w:noWrap/>
          </w:tcPr>
          <w:p w14:paraId="0FDEE57F" w14:textId="0A9A7A95"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8</w:t>
            </w:r>
            <w:r w:rsidRPr="00510D36">
              <w:rPr>
                <w:rFonts w:eastAsia="Times New Roman"/>
                <w:color w:val="000000"/>
                <w:szCs w:val="24"/>
                <w:vertAlign w:val="superscript"/>
              </w:rPr>
              <w:t>a</w:t>
            </w:r>
          </w:p>
        </w:tc>
        <w:tc>
          <w:tcPr>
            <w:tcW w:w="1388" w:type="dxa"/>
            <w:tcBorders>
              <w:top w:val="single" w:sz="4" w:space="0" w:color="auto"/>
            </w:tcBorders>
            <w:noWrap/>
          </w:tcPr>
          <w:p w14:paraId="7516EC3C" w14:textId="44F0A963"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5.02±0.0</w:t>
            </w:r>
            <w:r w:rsidR="00265C25" w:rsidRPr="00510D36">
              <w:rPr>
                <w:rFonts w:eastAsia="Times New Roman"/>
                <w:color w:val="000000"/>
                <w:szCs w:val="24"/>
              </w:rPr>
              <w:t>3</w:t>
            </w:r>
            <w:r w:rsidRPr="00510D36">
              <w:rPr>
                <w:rFonts w:eastAsia="Times New Roman"/>
                <w:color w:val="000000"/>
                <w:szCs w:val="24"/>
                <w:vertAlign w:val="superscript"/>
              </w:rPr>
              <w:t>a</w:t>
            </w:r>
          </w:p>
        </w:tc>
        <w:tc>
          <w:tcPr>
            <w:tcW w:w="1499" w:type="dxa"/>
            <w:tcBorders>
              <w:top w:val="single" w:sz="4" w:space="0" w:color="auto"/>
            </w:tcBorders>
            <w:noWrap/>
          </w:tcPr>
          <w:p w14:paraId="0B71B55B" w14:textId="0819356D"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5</w:t>
            </w:r>
            <w:r w:rsidRPr="00510D36">
              <w:rPr>
                <w:rFonts w:eastAsia="Times New Roman"/>
                <w:color w:val="000000"/>
                <w:szCs w:val="24"/>
                <w:vertAlign w:val="superscript"/>
              </w:rPr>
              <w:t>a</w:t>
            </w:r>
          </w:p>
        </w:tc>
      </w:tr>
      <w:tr w:rsidR="000B2256" w:rsidRPr="00510D36" w14:paraId="2410C3E2" w14:textId="77777777" w:rsidTr="00CB56DE">
        <w:trPr>
          <w:trHeight w:val="375"/>
        </w:trPr>
        <w:tc>
          <w:tcPr>
            <w:tcW w:w="1710" w:type="dxa"/>
            <w:noWrap/>
            <w:vAlign w:val="bottom"/>
            <w:hideMark/>
          </w:tcPr>
          <w:p w14:paraId="5966D18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FW (g)</w:t>
            </w:r>
          </w:p>
        </w:tc>
        <w:tc>
          <w:tcPr>
            <w:tcW w:w="1499" w:type="dxa"/>
          </w:tcPr>
          <w:p w14:paraId="5880DAE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27.12±1.39</w:t>
            </w:r>
            <w:r w:rsidRPr="00510D36">
              <w:rPr>
                <w:rFonts w:eastAsia="Times New Roman"/>
                <w:color w:val="000000"/>
                <w:szCs w:val="24"/>
                <w:vertAlign w:val="superscript"/>
              </w:rPr>
              <w:t>a</w:t>
            </w:r>
          </w:p>
        </w:tc>
        <w:tc>
          <w:tcPr>
            <w:tcW w:w="1741" w:type="dxa"/>
          </w:tcPr>
          <w:p w14:paraId="625B500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29.39±0.68</w:t>
            </w:r>
            <w:r w:rsidRPr="00510D36">
              <w:rPr>
                <w:rFonts w:eastAsia="Times New Roman"/>
                <w:color w:val="000000"/>
                <w:szCs w:val="24"/>
                <w:vertAlign w:val="superscript"/>
              </w:rPr>
              <w:t>ab</w:t>
            </w:r>
          </w:p>
        </w:tc>
        <w:tc>
          <w:tcPr>
            <w:tcW w:w="1459" w:type="dxa"/>
          </w:tcPr>
          <w:p w14:paraId="6419CA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32.71±0.38</w:t>
            </w:r>
            <w:r w:rsidRPr="00510D36">
              <w:rPr>
                <w:rFonts w:eastAsia="Times New Roman"/>
                <w:color w:val="000000"/>
                <w:szCs w:val="24"/>
                <w:vertAlign w:val="superscript"/>
              </w:rPr>
              <w:t>b</w:t>
            </w:r>
          </w:p>
        </w:tc>
        <w:tc>
          <w:tcPr>
            <w:tcW w:w="1388" w:type="dxa"/>
          </w:tcPr>
          <w:p w14:paraId="4C6DEB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41.77±1.23</w:t>
            </w:r>
            <w:r w:rsidRPr="00510D36">
              <w:rPr>
                <w:rFonts w:eastAsia="Times New Roman"/>
                <w:color w:val="000000"/>
                <w:szCs w:val="24"/>
                <w:vertAlign w:val="superscript"/>
              </w:rPr>
              <w:t>d</w:t>
            </w:r>
          </w:p>
        </w:tc>
        <w:tc>
          <w:tcPr>
            <w:tcW w:w="1499" w:type="dxa"/>
          </w:tcPr>
          <w:p w14:paraId="2FF34E5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34.83±1.81</w:t>
            </w:r>
            <w:r w:rsidRPr="00510D36">
              <w:rPr>
                <w:rFonts w:eastAsia="Times New Roman"/>
                <w:color w:val="000000"/>
                <w:szCs w:val="24"/>
                <w:vertAlign w:val="superscript"/>
              </w:rPr>
              <w:t>c</w:t>
            </w:r>
          </w:p>
        </w:tc>
      </w:tr>
      <w:tr w:rsidR="000B2256" w:rsidRPr="00510D36" w14:paraId="6C90F10F" w14:textId="77777777" w:rsidTr="00CB56DE">
        <w:trPr>
          <w:trHeight w:val="375"/>
        </w:trPr>
        <w:tc>
          <w:tcPr>
            <w:tcW w:w="1710" w:type="dxa"/>
            <w:noWrap/>
            <w:vAlign w:val="bottom"/>
          </w:tcPr>
          <w:p w14:paraId="3237870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WG (g)</w:t>
            </w:r>
          </w:p>
        </w:tc>
        <w:tc>
          <w:tcPr>
            <w:tcW w:w="1499" w:type="dxa"/>
          </w:tcPr>
          <w:p w14:paraId="1742D2E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22.09±1.39</w:t>
            </w:r>
            <w:r w:rsidRPr="00510D36">
              <w:rPr>
                <w:rFonts w:eastAsia="Times New Roman"/>
                <w:color w:val="000000"/>
                <w:szCs w:val="24"/>
                <w:vertAlign w:val="superscript"/>
              </w:rPr>
              <w:t>a</w:t>
            </w:r>
          </w:p>
        </w:tc>
        <w:tc>
          <w:tcPr>
            <w:tcW w:w="1741" w:type="dxa"/>
          </w:tcPr>
          <w:p w14:paraId="79A2DC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24.38±0.68</w:t>
            </w:r>
            <w:r w:rsidRPr="00510D36">
              <w:rPr>
                <w:rFonts w:eastAsia="Times New Roman"/>
                <w:color w:val="000000"/>
                <w:szCs w:val="24"/>
                <w:vertAlign w:val="superscript"/>
              </w:rPr>
              <w:t>ab</w:t>
            </w:r>
          </w:p>
        </w:tc>
        <w:tc>
          <w:tcPr>
            <w:tcW w:w="1459" w:type="dxa"/>
          </w:tcPr>
          <w:p w14:paraId="77F918D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27.68±0.39</w:t>
            </w:r>
            <w:r w:rsidRPr="00510D36">
              <w:rPr>
                <w:rFonts w:eastAsia="Times New Roman"/>
                <w:color w:val="000000"/>
                <w:szCs w:val="24"/>
                <w:vertAlign w:val="superscript"/>
              </w:rPr>
              <w:t>b</w:t>
            </w:r>
          </w:p>
        </w:tc>
        <w:tc>
          <w:tcPr>
            <w:tcW w:w="1388" w:type="dxa"/>
          </w:tcPr>
          <w:p w14:paraId="2A39CB7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36.75±1.24</w:t>
            </w:r>
            <w:r w:rsidRPr="00510D36">
              <w:rPr>
                <w:rFonts w:eastAsia="Times New Roman"/>
                <w:color w:val="000000"/>
                <w:szCs w:val="24"/>
                <w:vertAlign w:val="superscript"/>
              </w:rPr>
              <w:t>d</w:t>
            </w:r>
          </w:p>
        </w:tc>
        <w:tc>
          <w:tcPr>
            <w:tcW w:w="1499" w:type="dxa"/>
          </w:tcPr>
          <w:p w14:paraId="064051D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29.80±1.81</w:t>
            </w:r>
            <w:r w:rsidRPr="00510D36">
              <w:rPr>
                <w:rFonts w:eastAsia="Times New Roman"/>
                <w:color w:val="000000"/>
                <w:szCs w:val="24"/>
                <w:vertAlign w:val="superscript"/>
              </w:rPr>
              <w:t>c</w:t>
            </w:r>
          </w:p>
        </w:tc>
      </w:tr>
      <w:tr w:rsidR="000B2256" w:rsidRPr="00510D36" w14:paraId="58E5B417" w14:textId="77777777" w:rsidTr="00CB56DE">
        <w:trPr>
          <w:trHeight w:val="375"/>
        </w:trPr>
        <w:tc>
          <w:tcPr>
            <w:tcW w:w="1710" w:type="dxa"/>
            <w:noWrap/>
            <w:vAlign w:val="bottom"/>
            <w:hideMark/>
          </w:tcPr>
          <w:p w14:paraId="0F7CB6A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SGR (%/day)</w:t>
            </w:r>
          </w:p>
        </w:tc>
        <w:tc>
          <w:tcPr>
            <w:tcW w:w="1499" w:type="dxa"/>
          </w:tcPr>
          <w:p w14:paraId="3E76DA7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3.01±0.09</w:t>
            </w:r>
            <w:r w:rsidRPr="00510D36">
              <w:rPr>
                <w:rFonts w:eastAsia="Times New Roman"/>
                <w:color w:val="000000"/>
                <w:szCs w:val="24"/>
                <w:vertAlign w:val="superscript"/>
              </w:rPr>
              <w:t>a</w:t>
            </w:r>
          </w:p>
        </w:tc>
        <w:tc>
          <w:tcPr>
            <w:tcW w:w="1741" w:type="dxa"/>
          </w:tcPr>
          <w:p w14:paraId="70A6CB0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3.16±0.04</w:t>
            </w:r>
            <w:r w:rsidRPr="00510D36">
              <w:rPr>
                <w:rFonts w:eastAsia="Times New Roman"/>
                <w:color w:val="000000"/>
                <w:szCs w:val="24"/>
                <w:vertAlign w:val="superscript"/>
              </w:rPr>
              <w:t>ab</w:t>
            </w:r>
          </w:p>
        </w:tc>
        <w:tc>
          <w:tcPr>
            <w:tcW w:w="1459" w:type="dxa"/>
          </w:tcPr>
          <w:p w14:paraId="49C7012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3.34±0.04</w:t>
            </w:r>
            <w:r w:rsidRPr="00510D36">
              <w:rPr>
                <w:rFonts w:eastAsia="Times New Roman"/>
                <w:color w:val="000000"/>
                <w:szCs w:val="24"/>
                <w:vertAlign w:val="superscript"/>
              </w:rPr>
              <w:t>b</w:t>
            </w:r>
          </w:p>
        </w:tc>
        <w:tc>
          <w:tcPr>
            <w:tcW w:w="1388" w:type="dxa"/>
          </w:tcPr>
          <w:p w14:paraId="72838DD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3.78±0.06</w:t>
            </w:r>
            <w:r w:rsidRPr="00510D36">
              <w:rPr>
                <w:rFonts w:eastAsia="Times New Roman"/>
                <w:color w:val="000000"/>
                <w:szCs w:val="24"/>
                <w:vertAlign w:val="superscript"/>
              </w:rPr>
              <w:t>d</w:t>
            </w:r>
          </w:p>
        </w:tc>
        <w:tc>
          <w:tcPr>
            <w:tcW w:w="1499" w:type="dxa"/>
          </w:tcPr>
          <w:p w14:paraId="3BE4F05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3.46±0.09</w:t>
            </w:r>
            <w:r w:rsidRPr="00510D36">
              <w:rPr>
                <w:rFonts w:eastAsia="Times New Roman"/>
                <w:color w:val="000000"/>
                <w:szCs w:val="24"/>
                <w:vertAlign w:val="superscript"/>
              </w:rPr>
              <w:t>c</w:t>
            </w:r>
          </w:p>
        </w:tc>
      </w:tr>
      <w:tr w:rsidR="000B2256" w:rsidRPr="00510D36" w14:paraId="7AA40642" w14:textId="77777777" w:rsidTr="00CB56DE">
        <w:trPr>
          <w:trHeight w:val="375"/>
        </w:trPr>
        <w:tc>
          <w:tcPr>
            <w:tcW w:w="1710" w:type="dxa"/>
            <w:noWrap/>
            <w:vAlign w:val="bottom"/>
            <w:hideMark/>
          </w:tcPr>
          <w:p w14:paraId="7F3AB8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TFI (g/fish)</w:t>
            </w:r>
          </w:p>
        </w:tc>
        <w:tc>
          <w:tcPr>
            <w:tcW w:w="1499" w:type="dxa"/>
          </w:tcPr>
          <w:p w14:paraId="0AD0D0F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42.41±1.79</w:t>
            </w:r>
            <w:r w:rsidRPr="00510D36">
              <w:rPr>
                <w:rFonts w:eastAsia="Times New Roman"/>
                <w:color w:val="000000"/>
                <w:szCs w:val="24"/>
                <w:vertAlign w:val="superscript"/>
              </w:rPr>
              <w:t>a</w:t>
            </w:r>
          </w:p>
        </w:tc>
        <w:tc>
          <w:tcPr>
            <w:tcW w:w="1741" w:type="dxa"/>
          </w:tcPr>
          <w:p w14:paraId="07ED5FA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46.37±2.16</w:t>
            </w:r>
            <w:r w:rsidRPr="00510D36">
              <w:rPr>
                <w:rFonts w:eastAsia="Times New Roman"/>
                <w:color w:val="000000"/>
                <w:szCs w:val="24"/>
                <w:vertAlign w:val="superscript"/>
              </w:rPr>
              <w:t>b</w:t>
            </w:r>
          </w:p>
        </w:tc>
        <w:tc>
          <w:tcPr>
            <w:tcW w:w="1459" w:type="dxa"/>
          </w:tcPr>
          <w:p w14:paraId="387AA3C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51.07±0.74</w:t>
            </w:r>
            <w:r w:rsidRPr="00510D36">
              <w:rPr>
                <w:rFonts w:eastAsia="Times New Roman"/>
                <w:color w:val="000000"/>
                <w:szCs w:val="24"/>
                <w:vertAlign w:val="superscript"/>
              </w:rPr>
              <w:t>bc</w:t>
            </w:r>
          </w:p>
        </w:tc>
        <w:tc>
          <w:tcPr>
            <w:tcW w:w="1388" w:type="dxa"/>
          </w:tcPr>
          <w:p w14:paraId="53E96ED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65.52±2.47</w:t>
            </w:r>
            <w:r w:rsidRPr="00510D36">
              <w:rPr>
                <w:rFonts w:eastAsia="Times New Roman"/>
                <w:color w:val="000000"/>
                <w:szCs w:val="24"/>
                <w:vertAlign w:val="superscript"/>
              </w:rPr>
              <w:t>d</w:t>
            </w:r>
          </w:p>
        </w:tc>
        <w:tc>
          <w:tcPr>
            <w:tcW w:w="1499" w:type="dxa"/>
          </w:tcPr>
          <w:p w14:paraId="3D4E29B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53.89±0.52</w:t>
            </w:r>
            <w:r w:rsidRPr="00510D36">
              <w:rPr>
                <w:rFonts w:eastAsia="Times New Roman"/>
                <w:color w:val="000000"/>
                <w:szCs w:val="24"/>
                <w:vertAlign w:val="superscript"/>
              </w:rPr>
              <w:t>c</w:t>
            </w:r>
          </w:p>
        </w:tc>
      </w:tr>
      <w:tr w:rsidR="000B2256" w:rsidRPr="00510D36" w14:paraId="41021683" w14:textId="77777777" w:rsidTr="00CB56DE">
        <w:trPr>
          <w:trHeight w:val="375"/>
        </w:trPr>
        <w:tc>
          <w:tcPr>
            <w:tcW w:w="1710" w:type="dxa"/>
            <w:noWrap/>
            <w:vAlign w:val="bottom"/>
            <w:hideMark/>
          </w:tcPr>
          <w:p w14:paraId="019100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FCR</w:t>
            </w:r>
          </w:p>
        </w:tc>
        <w:tc>
          <w:tcPr>
            <w:tcW w:w="1499" w:type="dxa"/>
          </w:tcPr>
          <w:p w14:paraId="32CFBEC7"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1.92±0.05</w:t>
            </w:r>
            <w:r w:rsidRPr="00510D36">
              <w:rPr>
                <w:rFonts w:eastAsia="Times New Roman"/>
                <w:color w:val="000000"/>
                <w:szCs w:val="24"/>
                <w:vertAlign w:val="superscript"/>
              </w:rPr>
              <w:t>a</w:t>
            </w:r>
          </w:p>
        </w:tc>
        <w:tc>
          <w:tcPr>
            <w:tcW w:w="1741" w:type="dxa"/>
          </w:tcPr>
          <w:p w14:paraId="66D694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1.90±0.06</w:t>
            </w:r>
            <w:r w:rsidRPr="00510D36">
              <w:rPr>
                <w:rFonts w:eastAsia="Times New Roman"/>
                <w:color w:val="000000"/>
                <w:szCs w:val="24"/>
                <w:vertAlign w:val="superscript"/>
              </w:rPr>
              <w:t>a</w:t>
            </w:r>
          </w:p>
        </w:tc>
        <w:tc>
          <w:tcPr>
            <w:tcW w:w="1459" w:type="dxa"/>
          </w:tcPr>
          <w:p w14:paraId="5112F25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1.85±0.05</w:t>
            </w:r>
            <w:r w:rsidRPr="00510D36">
              <w:rPr>
                <w:rFonts w:eastAsia="Times New Roman"/>
                <w:color w:val="000000"/>
                <w:szCs w:val="24"/>
                <w:vertAlign w:val="superscript"/>
              </w:rPr>
              <w:t>a</w:t>
            </w:r>
          </w:p>
        </w:tc>
        <w:tc>
          <w:tcPr>
            <w:tcW w:w="1388" w:type="dxa"/>
          </w:tcPr>
          <w:p w14:paraId="5EE830B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1.78±0.01</w:t>
            </w:r>
            <w:r w:rsidRPr="00510D36">
              <w:rPr>
                <w:rFonts w:eastAsia="Times New Roman"/>
                <w:color w:val="000000"/>
                <w:szCs w:val="24"/>
                <w:vertAlign w:val="superscript"/>
              </w:rPr>
              <w:t>a</w:t>
            </w:r>
          </w:p>
        </w:tc>
        <w:tc>
          <w:tcPr>
            <w:tcW w:w="1499" w:type="dxa"/>
          </w:tcPr>
          <w:p w14:paraId="0CA214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1.81±0.12</w:t>
            </w:r>
            <w:r w:rsidRPr="00510D36">
              <w:rPr>
                <w:rFonts w:eastAsia="Times New Roman"/>
                <w:color w:val="000000"/>
                <w:szCs w:val="24"/>
                <w:vertAlign w:val="superscript"/>
              </w:rPr>
              <w:t>a</w:t>
            </w:r>
          </w:p>
        </w:tc>
      </w:tr>
      <w:tr w:rsidR="000B2256" w:rsidRPr="00510D36" w14:paraId="0B50A743" w14:textId="77777777" w:rsidTr="00CB56DE">
        <w:trPr>
          <w:trHeight w:val="375"/>
        </w:trPr>
        <w:tc>
          <w:tcPr>
            <w:tcW w:w="1710" w:type="dxa"/>
            <w:noWrap/>
            <w:vAlign w:val="bottom"/>
            <w:hideMark/>
          </w:tcPr>
          <w:p w14:paraId="08266B7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FER</w:t>
            </w:r>
          </w:p>
        </w:tc>
        <w:tc>
          <w:tcPr>
            <w:tcW w:w="1499" w:type="dxa"/>
          </w:tcPr>
          <w:p w14:paraId="44F69AB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0.52±0.02</w:t>
            </w:r>
            <w:r w:rsidRPr="00510D36">
              <w:rPr>
                <w:rFonts w:eastAsia="Times New Roman"/>
                <w:color w:val="000000"/>
                <w:szCs w:val="24"/>
                <w:vertAlign w:val="superscript"/>
              </w:rPr>
              <w:t>a</w:t>
            </w:r>
          </w:p>
        </w:tc>
        <w:tc>
          <w:tcPr>
            <w:tcW w:w="1741" w:type="dxa"/>
          </w:tcPr>
          <w:p w14:paraId="43992A9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0.53±0.01</w:t>
            </w:r>
            <w:r w:rsidRPr="00510D36">
              <w:rPr>
                <w:rFonts w:eastAsia="Times New Roman"/>
                <w:color w:val="000000"/>
                <w:szCs w:val="24"/>
                <w:vertAlign w:val="superscript"/>
              </w:rPr>
              <w:t>a</w:t>
            </w:r>
          </w:p>
        </w:tc>
        <w:tc>
          <w:tcPr>
            <w:tcW w:w="1459" w:type="dxa"/>
          </w:tcPr>
          <w:p w14:paraId="6603450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0.54±0.02</w:t>
            </w:r>
            <w:r w:rsidRPr="00510D36">
              <w:rPr>
                <w:rFonts w:eastAsia="Times New Roman"/>
                <w:color w:val="000000"/>
                <w:szCs w:val="24"/>
                <w:vertAlign w:val="superscript"/>
              </w:rPr>
              <w:t>a</w:t>
            </w:r>
          </w:p>
        </w:tc>
        <w:tc>
          <w:tcPr>
            <w:tcW w:w="1388" w:type="dxa"/>
          </w:tcPr>
          <w:p w14:paraId="267C38D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0.56±0.00</w:t>
            </w:r>
            <w:r w:rsidRPr="00510D36">
              <w:rPr>
                <w:rFonts w:eastAsia="Times New Roman"/>
                <w:color w:val="000000"/>
                <w:szCs w:val="24"/>
                <w:vertAlign w:val="superscript"/>
              </w:rPr>
              <w:t>a</w:t>
            </w:r>
          </w:p>
        </w:tc>
        <w:tc>
          <w:tcPr>
            <w:tcW w:w="1499" w:type="dxa"/>
          </w:tcPr>
          <w:p w14:paraId="069E8B3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0.55±0.04</w:t>
            </w:r>
            <w:r w:rsidRPr="00510D36">
              <w:rPr>
                <w:rFonts w:eastAsia="Times New Roman"/>
                <w:color w:val="000000"/>
                <w:szCs w:val="24"/>
                <w:vertAlign w:val="superscript"/>
              </w:rPr>
              <w:t>a</w:t>
            </w:r>
          </w:p>
        </w:tc>
      </w:tr>
      <w:tr w:rsidR="000B2256" w:rsidRPr="00510D36" w14:paraId="7CAC26C6" w14:textId="77777777" w:rsidTr="00CB56DE">
        <w:trPr>
          <w:trHeight w:val="390"/>
        </w:trPr>
        <w:tc>
          <w:tcPr>
            <w:tcW w:w="1710" w:type="dxa"/>
            <w:noWrap/>
            <w:vAlign w:val="bottom"/>
            <w:hideMark/>
          </w:tcPr>
          <w:p w14:paraId="302D71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Survival (%)</w:t>
            </w:r>
          </w:p>
        </w:tc>
        <w:tc>
          <w:tcPr>
            <w:tcW w:w="1499" w:type="dxa"/>
          </w:tcPr>
          <w:p w14:paraId="5A70FC3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741" w:type="dxa"/>
          </w:tcPr>
          <w:p w14:paraId="3B885EF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95.57±4.43</w:t>
            </w:r>
            <w:r w:rsidRPr="00510D36">
              <w:rPr>
                <w:rFonts w:eastAsia="Times New Roman"/>
                <w:color w:val="000000"/>
                <w:szCs w:val="24"/>
                <w:vertAlign w:val="superscript"/>
              </w:rPr>
              <w:t>a</w:t>
            </w:r>
          </w:p>
        </w:tc>
        <w:tc>
          <w:tcPr>
            <w:tcW w:w="1459" w:type="dxa"/>
          </w:tcPr>
          <w:p w14:paraId="79AFD7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c>
          <w:tcPr>
            <w:tcW w:w="1388" w:type="dxa"/>
          </w:tcPr>
          <w:p w14:paraId="69F7153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499" w:type="dxa"/>
          </w:tcPr>
          <w:p w14:paraId="46F6948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r>
    </w:tbl>
    <w:p w14:paraId="5D2932DC"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247A7A4A" w14:textId="53B62E41" w:rsidR="000B2256" w:rsidRPr="00510D36" w:rsidRDefault="000B2256" w:rsidP="00510D36">
      <w:pPr>
        <w:spacing w:line="240" w:lineRule="auto"/>
        <w:jc w:val="both"/>
        <w:rPr>
          <w:szCs w:val="24"/>
        </w:rPr>
      </w:pPr>
      <w:r w:rsidRPr="00510D36">
        <w:rPr>
          <w:b/>
          <w:szCs w:val="24"/>
        </w:rPr>
        <w:t>K</w:t>
      </w:r>
      <w:r w:rsidR="001666E3" w:rsidRPr="00510D36">
        <w:rPr>
          <w:b/>
          <w:szCs w:val="24"/>
        </w:rPr>
        <w:t>ey</w:t>
      </w:r>
      <w:r w:rsidRPr="00510D36">
        <w:rPr>
          <w:szCs w:val="24"/>
        </w:rPr>
        <w:t xml:space="preserve">; </w:t>
      </w:r>
      <w:r w:rsidRPr="00510D36">
        <w:rPr>
          <w:rFonts w:eastAsia="Times New Roman"/>
          <w:bCs/>
          <w:szCs w:val="24"/>
        </w:rPr>
        <w:t>IW = Initial weight, FW = Final weight, WG = Weight gain, SGR = Specific growth rate, TFI = Total feed intake,</w:t>
      </w:r>
      <w:r w:rsidRPr="00510D36">
        <w:rPr>
          <w:bCs/>
          <w:szCs w:val="24"/>
        </w:rPr>
        <w:t xml:space="preserve"> FCR = Feed conversion ratio, FER = Feed efficiency ratio</w:t>
      </w:r>
      <w:r w:rsidR="00A86658" w:rsidRPr="00510D36">
        <w:rPr>
          <w:szCs w:val="24"/>
        </w:rPr>
        <w:t>.</w:t>
      </w:r>
    </w:p>
    <w:p w14:paraId="516B28C8" w14:textId="77777777" w:rsidR="00BC3C28" w:rsidRPr="00510D36" w:rsidRDefault="00BC3C28" w:rsidP="00510D36">
      <w:pPr>
        <w:pStyle w:val="Caption"/>
        <w:jc w:val="both"/>
        <w:rPr>
          <w:rFonts w:cs="Times New Roman"/>
          <w:b w:val="0"/>
          <w:bCs/>
          <w:szCs w:val="24"/>
        </w:rPr>
      </w:pPr>
      <w:bookmarkStart w:id="5" w:name="_Toc179950736"/>
      <w:bookmarkStart w:id="6" w:name="_Toc179950768"/>
      <w:bookmarkStart w:id="7" w:name="_Toc181063260"/>
      <w:bookmarkStart w:id="8" w:name="_Toc181063295"/>
      <w:r w:rsidRPr="00510D36">
        <w:rPr>
          <w:rFonts w:cs="Times New Roman"/>
          <w:noProof/>
          <w:szCs w:val="24"/>
        </w:rPr>
        <w:drawing>
          <wp:inline distT="0" distB="0" distL="0" distR="0" wp14:anchorId="42F8753E" wp14:editId="1ADA429C">
            <wp:extent cx="3575050" cy="1940169"/>
            <wp:effectExtent l="0" t="0" r="0" b="0"/>
            <wp:docPr id="1767609761" name="Chart 1">
              <a:extLst xmlns:a="http://schemas.openxmlformats.org/drawingml/2006/main">
                <a:ext uri="{FF2B5EF4-FFF2-40B4-BE49-F238E27FC236}">
                  <a16:creationId xmlns:a16="http://schemas.microsoft.com/office/drawing/2014/main" id="{DC856EB2-ABAB-45BF-806D-B388DA3CF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10D36">
        <w:rPr>
          <w:rFonts w:cs="Times New Roman"/>
          <w:b w:val="0"/>
          <w:bCs/>
          <w:szCs w:val="24"/>
        </w:rPr>
        <w:t xml:space="preserve"> </w:t>
      </w:r>
    </w:p>
    <w:p w14:paraId="1129D381" w14:textId="7749492C" w:rsidR="003E189C" w:rsidRPr="00510D36" w:rsidRDefault="00966909" w:rsidP="00510D36">
      <w:pPr>
        <w:pStyle w:val="Caption"/>
        <w:jc w:val="both"/>
        <w:rPr>
          <w:rFonts w:cs="Times New Roman"/>
          <w:i/>
          <w:iCs w:val="0"/>
          <w:szCs w:val="24"/>
        </w:rPr>
      </w:pPr>
      <w:r w:rsidRPr="00510D36">
        <w:rPr>
          <w:rFonts w:cs="Times New Roman"/>
          <w:b w:val="0"/>
          <w:bCs/>
          <w:szCs w:val="24"/>
        </w:rPr>
        <w:t xml:space="preserve">Figure </w:t>
      </w:r>
      <w:r w:rsidRPr="00510D36">
        <w:rPr>
          <w:rFonts w:cs="Times New Roman"/>
          <w:b w:val="0"/>
          <w:bCs/>
          <w:szCs w:val="24"/>
        </w:rPr>
        <w:fldChar w:fldCharType="begin"/>
      </w:r>
      <w:r w:rsidRPr="00510D36">
        <w:rPr>
          <w:rFonts w:cs="Times New Roman"/>
          <w:b w:val="0"/>
          <w:bCs/>
          <w:szCs w:val="24"/>
        </w:rPr>
        <w:instrText xml:space="preserve"> SEQ Figure \* ARABIC </w:instrText>
      </w:r>
      <w:r w:rsidRPr="00510D36">
        <w:rPr>
          <w:rFonts w:cs="Times New Roman"/>
          <w:b w:val="0"/>
          <w:bCs/>
          <w:szCs w:val="24"/>
        </w:rPr>
        <w:fldChar w:fldCharType="separate"/>
      </w:r>
      <w:r w:rsidRPr="00510D36">
        <w:rPr>
          <w:rFonts w:cs="Times New Roman"/>
          <w:b w:val="0"/>
          <w:bCs/>
          <w:noProof/>
          <w:szCs w:val="24"/>
        </w:rPr>
        <w:t>1</w:t>
      </w:r>
      <w:r w:rsidRPr="00510D36">
        <w:rPr>
          <w:rFonts w:cs="Times New Roman"/>
          <w:b w:val="0"/>
          <w:bCs/>
          <w:szCs w:val="24"/>
        </w:rPr>
        <w:fldChar w:fldCharType="end"/>
      </w:r>
      <w:r w:rsidR="00B91DE2">
        <w:rPr>
          <w:rFonts w:cs="Times New Roman"/>
          <w:b w:val="0"/>
          <w:bCs/>
          <w:szCs w:val="24"/>
          <w:lang w:val="en-GB"/>
        </w:rPr>
        <w:t>.</w:t>
      </w:r>
      <w:r w:rsidRPr="00510D36">
        <w:rPr>
          <w:rFonts w:cs="Times New Roman"/>
          <w:b w:val="0"/>
          <w:bCs/>
          <w:szCs w:val="24"/>
          <w:lang w:val="en-GB"/>
        </w:rPr>
        <w:t xml:space="preserve"> </w:t>
      </w:r>
      <w:bookmarkEnd w:id="5"/>
      <w:bookmarkEnd w:id="6"/>
      <w:bookmarkEnd w:id="7"/>
      <w:bookmarkEnd w:id="8"/>
      <w:r w:rsidR="00170C46" w:rsidRPr="00510D36">
        <w:rPr>
          <w:rFonts w:cs="Times New Roman"/>
          <w:b w:val="0"/>
          <w:bCs/>
          <w:szCs w:val="24"/>
        </w:rPr>
        <w:t xml:space="preserve">Polynomial regression showing </w:t>
      </w:r>
      <w:r w:rsidR="00B91DE2">
        <w:rPr>
          <w:rFonts w:cs="Times New Roman"/>
          <w:b w:val="0"/>
          <w:bCs/>
          <w:szCs w:val="24"/>
        </w:rPr>
        <w:t xml:space="preserve">the </w:t>
      </w:r>
      <w:r w:rsidR="00170C46" w:rsidRPr="00510D36">
        <w:rPr>
          <w:rFonts w:cs="Times New Roman"/>
          <w:b w:val="0"/>
          <w:bCs/>
          <w:szCs w:val="24"/>
        </w:rPr>
        <w:t xml:space="preserve">relationship between </w:t>
      </w:r>
      <w:r w:rsidR="00170C46" w:rsidRPr="00510D36">
        <w:rPr>
          <w:rFonts w:cs="Times New Roman"/>
          <w:b w:val="0"/>
          <w:bCs/>
          <w:i/>
          <w:iCs w:val="0"/>
          <w:szCs w:val="24"/>
        </w:rPr>
        <w:t>C. pepo</w:t>
      </w:r>
      <w:r w:rsidR="00170C46" w:rsidRPr="00510D36">
        <w:rPr>
          <w:rFonts w:cs="Times New Roman"/>
          <w:b w:val="0"/>
          <w:bCs/>
          <w:szCs w:val="24"/>
        </w:rPr>
        <w:t xml:space="preserve"> inclusion level and weight gain of </w:t>
      </w:r>
      <w:r w:rsidR="00170C46" w:rsidRPr="00510D36">
        <w:rPr>
          <w:rFonts w:cs="Times New Roman"/>
          <w:b w:val="0"/>
          <w:bCs/>
          <w:i/>
          <w:iCs w:val="0"/>
          <w:szCs w:val="24"/>
        </w:rPr>
        <w:t>C. gariepinus</w:t>
      </w:r>
      <w:r w:rsidR="00170C46" w:rsidRPr="00510D36">
        <w:rPr>
          <w:rFonts w:cs="Times New Roman"/>
          <w:i/>
          <w:iCs w:val="0"/>
          <w:szCs w:val="24"/>
        </w:rPr>
        <w:t>.</w:t>
      </w:r>
    </w:p>
    <w:p w14:paraId="57A167CE" w14:textId="2A9F1623" w:rsidR="00FF7952" w:rsidRPr="00510D36" w:rsidRDefault="00FF7952" w:rsidP="00510D36">
      <w:pPr>
        <w:pStyle w:val="Normal1"/>
        <w:spacing w:after="0" w:line="240" w:lineRule="auto"/>
        <w:jc w:val="both"/>
        <w:rPr>
          <w:rFonts w:ascii="Times New Roman" w:eastAsia="Times New Roman" w:hAnsi="Times New Roman" w:cs="Times New Roman"/>
          <w:b/>
          <w:bCs/>
          <w:sz w:val="24"/>
          <w:szCs w:val="24"/>
        </w:rPr>
      </w:pPr>
      <w:r w:rsidRPr="00510D36">
        <w:rPr>
          <w:rFonts w:ascii="Times New Roman" w:eastAsia="Times New Roman" w:hAnsi="Times New Roman" w:cs="Times New Roman"/>
          <w:b/>
          <w:bCs/>
          <w:sz w:val="24"/>
          <w:szCs w:val="24"/>
        </w:rPr>
        <w:lastRenderedPageBreak/>
        <w:t>Haematological Parameters</w:t>
      </w:r>
    </w:p>
    <w:p w14:paraId="0A78F900" w14:textId="31042D86" w:rsidR="00FF7BA0" w:rsidRPr="00510D36" w:rsidRDefault="00FF7BA0" w:rsidP="00510D36">
      <w:pPr>
        <w:autoSpaceDE w:val="0"/>
        <w:autoSpaceDN w:val="0"/>
        <w:adjustRightInd w:val="0"/>
        <w:spacing w:after="0" w:line="240" w:lineRule="auto"/>
        <w:jc w:val="both"/>
        <w:rPr>
          <w:szCs w:val="24"/>
        </w:rPr>
      </w:pPr>
      <w:r w:rsidRPr="00510D36">
        <w:rPr>
          <w:szCs w:val="24"/>
        </w:rPr>
        <w:t xml:space="preserve">The haematological parameters of </w:t>
      </w:r>
      <w:r w:rsidRPr="00510D36">
        <w:rPr>
          <w:i/>
          <w:iCs/>
          <w:szCs w:val="24"/>
        </w:rPr>
        <w:t>C. gariepinus</w:t>
      </w:r>
      <w:r w:rsidRPr="00510D36">
        <w:rPr>
          <w:szCs w:val="24"/>
        </w:rPr>
        <w:t xml:space="preserve"> fed diets containing varying levels of </w:t>
      </w:r>
      <w:r w:rsidRPr="00510D36">
        <w:rPr>
          <w:i/>
          <w:iCs/>
          <w:szCs w:val="24"/>
        </w:rPr>
        <w:t>C. pepo</w:t>
      </w:r>
      <w:r w:rsidRPr="00510D36">
        <w:rPr>
          <w:szCs w:val="24"/>
        </w:rPr>
        <w:t xml:space="preserve"> leaf powder are presented in Table 7. Packed cell volume (PCV) increased from 19.8% in the control group to 28.1% in fish fed 1.5 g/100 g (CP4), with a slight reduction in CP5 but still higher than the control. Hemoglobin (Hb) levels followed a similar trend, increasing from 6.33 g/100 ml in the control group to 9.37 g/100 ml in CP4. White blood cell (WBC) counts increased progressively from 4.87 ×10³/mm³ in CP1 to 8.52 ×10³/mm³ in CP5, suggesting enhanced immune response with increasing supplementation. Red blood cell (RBC) counts also improved from 2.15 ×10³/mm³ in the control to 3.16 ×10³/mm³ in CP4, although a slight reduction was observed at the highest inclusion level. However, MCV, MCH, and MCHC did not differ significantly across treatments, indicating stable erythrocyte morphology and hemoglobin content. These results suggest that dietary supplementation with </w:t>
      </w:r>
      <w:r w:rsidRPr="00510D36">
        <w:rPr>
          <w:i/>
          <w:iCs/>
          <w:szCs w:val="24"/>
        </w:rPr>
        <w:t>C. pepo</w:t>
      </w:r>
      <w:r w:rsidRPr="00510D36">
        <w:rPr>
          <w:szCs w:val="24"/>
        </w:rPr>
        <w:t xml:space="preserve"> may enhance erythropoiesis, oxygen transport, and immune competence in fish. Similar findings were reported by</w:t>
      </w:r>
      <w:r w:rsidR="00237403" w:rsidRPr="00510D36">
        <w:rPr>
          <w:szCs w:val="24"/>
        </w:rPr>
        <w:t xml:space="preserve"> </w:t>
      </w:r>
      <w:r w:rsidR="00237403" w:rsidRPr="00510D36">
        <w:rPr>
          <w:szCs w:val="24"/>
          <w:vertAlign w:val="superscript"/>
        </w:rPr>
        <w:t>[24]</w:t>
      </w:r>
      <w:r w:rsidRPr="00510D36">
        <w:rPr>
          <w:szCs w:val="24"/>
        </w:rPr>
        <w:t xml:space="preserve"> in </w:t>
      </w:r>
      <w:r w:rsidRPr="00510D36">
        <w:rPr>
          <w:i/>
          <w:iCs/>
          <w:szCs w:val="24"/>
        </w:rPr>
        <w:t>Oreochromis niloticus</w:t>
      </w:r>
      <w:r w:rsidRPr="00510D36">
        <w:rPr>
          <w:szCs w:val="24"/>
        </w:rPr>
        <w:t xml:space="preserve"> fed olive leaf extract and by </w:t>
      </w:r>
      <w:r w:rsidR="00237403" w:rsidRPr="00510D36">
        <w:rPr>
          <w:szCs w:val="24"/>
          <w:vertAlign w:val="superscript"/>
        </w:rPr>
        <w:t>[25]</w:t>
      </w:r>
      <w:r w:rsidRPr="00510D36">
        <w:rPr>
          <w:szCs w:val="24"/>
        </w:rPr>
        <w:t xml:space="preserve"> in </w:t>
      </w:r>
      <w:r w:rsidRPr="00510D36">
        <w:rPr>
          <w:i/>
          <w:iCs/>
          <w:szCs w:val="24"/>
        </w:rPr>
        <w:t>Oncorhynchus mykiss</w:t>
      </w:r>
      <w:r w:rsidRPr="00510D36">
        <w:rPr>
          <w:szCs w:val="24"/>
        </w:rPr>
        <w:t xml:space="preserve"> fed </w:t>
      </w:r>
      <w:r w:rsidRPr="00510D36">
        <w:rPr>
          <w:i/>
          <w:iCs/>
          <w:szCs w:val="24"/>
        </w:rPr>
        <w:t>C. pepo</w:t>
      </w:r>
      <w:r w:rsidRPr="00510D36">
        <w:rPr>
          <w:szCs w:val="24"/>
        </w:rPr>
        <w:t xml:space="preserve"> seed extract. The observed increase in WBC counts agrees with </w:t>
      </w:r>
      <w:r w:rsidR="00237403" w:rsidRPr="00510D36">
        <w:rPr>
          <w:szCs w:val="24"/>
          <w:vertAlign w:val="superscript"/>
        </w:rPr>
        <w:t>[11]</w:t>
      </w:r>
      <w:r w:rsidRPr="00510D36">
        <w:rPr>
          <w:szCs w:val="24"/>
        </w:rPr>
        <w:t xml:space="preserve">, who reported enhanced immune cell proliferation in </w:t>
      </w:r>
      <w:r w:rsidRPr="00510D36">
        <w:rPr>
          <w:i/>
          <w:iCs/>
          <w:szCs w:val="24"/>
        </w:rPr>
        <w:t>C. gariepinus</w:t>
      </w:r>
      <w:r w:rsidRPr="00510D36">
        <w:rPr>
          <w:szCs w:val="24"/>
        </w:rPr>
        <w:t xml:space="preserve"> fed herbal supplements. Comparable improvements in RBC counts have also been reported in fish fed plant-based additives such as </w:t>
      </w:r>
      <w:r w:rsidRPr="00510D36">
        <w:rPr>
          <w:i/>
          <w:iCs/>
          <w:szCs w:val="24"/>
        </w:rPr>
        <w:t>Moringa oleifera</w:t>
      </w:r>
      <w:r w:rsidRPr="00510D36">
        <w:rPr>
          <w:szCs w:val="24"/>
        </w:rPr>
        <w:t xml:space="preserve"> and </w:t>
      </w:r>
      <w:r w:rsidRPr="00510D36">
        <w:rPr>
          <w:i/>
          <w:iCs/>
          <w:szCs w:val="24"/>
        </w:rPr>
        <w:t>Garcinia kola</w:t>
      </w:r>
      <w:r w:rsidRPr="00510D36">
        <w:rPr>
          <w:szCs w:val="24"/>
        </w:rPr>
        <w:t xml:space="preserve"> </w:t>
      </w:r>
      <w:r w:rsidR="00237403" w:rsidRPr="00510D36">
        <w:rPr>
          <w:szCs w:val="24"/>
          <w:vertAlign w:val="superscript"/>
        </w:rPr>
        <w:t>[26</w:t>
      </w:r>
      <w:r w:rsidR="00C73CAE" w:rsidRPr="00510D36">
        <w:rPr>
          <w:szCs w:val="24"/>
          <w:vertAlign w:val="superscript"/>
        </w:rPr>
        <w:t>,27</w:t>
      </w:r>
      <w:r w:rsidR="00237403" w:rsidRPr="00510D36">
        <w:rPr>
          <w:szCs w:val="24"/>
          <w:vertAlign w:val="superscript"/>
        </w:rPr>
        <w:t>]</w:t>
      </w:r>
      <w:r w:rsidR="00237403" w:rsidRPr="00510D36">
        <w:rPr>
          <w:rFonts w:eastAsia="Times New Roman"/>
          <w:bCs/>
          <w:szCs w:val="24"/>
        </w:rPr>
        <w:t>.</w:t>
      </w:r>
      <w:r w:rsidR="00237403" w:rsidRPr="00510D36">
        <w:rPr>
          <w:szCs w:val="24"/>
        </w:rPr>
        <w:t xml:space="preserve"> </w:t>
      </w:r>
    </w:p>
    <w:p w14:paraId="36A9116D" w14:textId="77777777" w:rsidR="002E5836" w:rsidRPr="00510D36" w:rsidRDefault="002E5836" w:rsidP="00510D36">
      <w:pPr>
        <w:autoSpaceDE w:val="0"/>
        <w:autoSpaceDN w:val="0"/>
        <w:adjustRightInd w:val="0"/>
        <w:spacing w:after="0" w:line="240" w:lineRule="auto"/>
        <w:jc w:val="both"/>
        <w:rPr>
          <w:b/>
          <w:bCs/>
          <w:szCs w:val="24"/>
          <w:lang w:val="en-GB"/>
        </w:rPr>
      </w:pPr>
    </w:p>
    <w:p w14:paraId="5F18E75F" w14:textId="560C731D" w:rsidR="00DA426C" w:rsidRPr="00510D36" w:rsidRDefault="00DA426C" w:rsidP="00510D36">
      <w:pPr>
        <w:autoSpaceDE w:val="0"/>
        <w:autoSpaceDN w:val="0"/>
        <w:adjustRightInd w:val="0"/>
        <w:spacing w:after="0" w:line="240" w:lineRule="auto"/>
        <w:jc w:val="both"/>
        <w:rPr>
          <w:b/>
          <w:bCs/>
          <w:szCs w:val="24"/>
          <w:lang w:val="en-GB"/>
        </w:rPr>
      </w:pPr>
      <w:r w:rsidRPr="00510D36">
        <w:rPr>
          <w:b/>
          <w:bCs/>
          <w:szCs w:val="24"/>
          <w:lang w:val="en-GB"/>
        </w:rPr>
        <w:t xml:space="preserve">Table </w:t>
      </w:r>
      <w:r w:rsidR="00721EAE" w:rsidRPr="00510D36">
        <w:rPr>
          <w:b/>
          <w:bCs/>
          <w:szCs w:val="24"/>
          <w:lang w:val="en-GB"/>
        </w:rPr>
        <w:t>7.</w:t>
      </w:r>
      <w:r w:rsidRPr="00510D36">
        <w:rPr>
          <w:b/>
          <w:bCs/>
          <w:szCs w:val="24"/>
          <w:lang w:val="en-GB"/>
        </w:rPr>
        <w:t xml:space="preserve"> Haematological parameters 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530"/>
        <w:gridCol w:w="1440"/>
        <w:gridCol w:w="1350"/>
        <w:gridCol w:w="1350"/>
        <w:gridCol w:w="1350"/>
      </w:tblGrid>
      <w:tr w:rsidR="00DA426C" w:rsidRPr="00510D36" w14:paraId="5CA6CC9B" w14:textId="77777777" w:rsidTr="00E2295B">
        <w:trPr>
          <w:trHeight w:val="315"/>
        </w:trPr>
        <w:tc>
          <w:tcPr>
            <w:tcW w:w="1975" w:type="dxa"/>
            <w:tcBorders>
              <w:top w:val="single" w:sz="4" w:space="0" w:color="auto"/>
              <w:bottom w:val="single" w:sz="4" w:space="0" w:color="auto"/>
            </w:tcBorders>
            <w:noWrap/>
            <w:hideMark/>
          </w:tcPr>
          <w:p w14:paraId="597121A5"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eastAsia="Times New Roman" w:hAnsi="Times New Roman" w:cs="Times New Roman"/>
                <w:b/>
                <w:color w:val="000000"/>
                <w:sz w:val="24"/>
                <w:szCs w:val="24"/>
              </w:rPr>
              <w:t>Parameters</w:t>
            </w:r>
          </w:p>
        </w:tc>
        <w:tc>
          <w:tcPr>
            <w:tcW w:w="1530" w:type="dxa"/>
            <w:tcBorders>
              <w:top w:val="single" w:sz="4" w:space="0" w:color="auto"/>
              <w:bottom w:val="single" w:sz="4" w:space="0" w:color="auto"/>
            </w:tcBorders>
            <w:noWrap/>
            <w:hideMark/>
          </w:tcPr>
          <w:p w14:paraId="642493A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noWrap/>
            <w:hideMark/>
          </w:tcPr>
          <w:p w14:paraId="6A405569"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350" w:type="dxa"/>
            <w:tcBorders>
              <w:top w:val="single" w:sz="4" w:space="0" w:color="auto"/>
              <w:bottom w:val="single" w:sz="4" w:space="0" w:color="auto"/>
            </w:tcBorders>
            <w:noWrap/>
            <w:hideMark/>
          </w:tcPr>
          <w:p w14:paraId="411999C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350" w:type="dxa"/>
            <w:tcBorders>
              <w:top w:val="single" w:sz="4" w:space="0" w:color="auto"/>
              <w:bottom w:val="single" w:sz="4" w:space="0" w:color="auto"/>
            </w:tcBorders>
            <w:noWrap/>
            <w:hideMark/>
          </w:tcPr>
          <w:p w14:paraId="0E2C3737"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noWrap/>
            <w:hideMark/>
          </w:tcPr>
          <w:p w14:paraId="514EF20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12BA7EEB" w14:textId="77777777" w:rsidTr="00E2295B">
        <w:trPr>
          <w:trHeight w:val="375"/>
        </w:trPr>
        <w:tc>
          <w:tcPr>
            <w:tcW w:w="1975" w:type="dxa"/>
            <w:tcBorders>
              <w:top w:val="single" w:sz="4" w:space="0" w:color="auto"/>
            </w:tcBorders>
            <w:noWrap/>
            <w:hideMark/>
          </w:tcPr>
          <w:p w14:paraId="060431A6"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PCV (%)</w:t>
            </w:r>
          </w:p>
        </w:tc>
        <w:tc>
          <w:tcPr>
            <w:tcW w:w="1530" w:type="dxa"/>
            <w:tcBorders>
              <w:top w:val="single" w:sz="4" w:space="0" w:color="auto"/>
            </w:tcBorders>
            <w:hideMark/>
          </w:tcPr>
          <w:p w14:paraId="69F170E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19.8±0.88</w:t>
            </w:r>
            <w:r w:rsidRPr="00510D36">
              <w:rPr>
                <w:rFonts w:ascii="Times New Roman" w:eastAsia="Times New Roman" w:hAnsi="Times New Roman" w:cs="Times New Roman"/>
                <w:color w:val="000000"/>
                <w:sz w:val="24"/>
                <w:szCs w:val="24"/>
                <w:vertAlign w:val="superscript"/>
              </w:rPr>
              <w:t>a</w:t>
            </w:r>
          </w:p>
        </w:tc>
        <w:tc>
          <w:tcPr>
            <w:tcW w:w="1440" w:type="dxa"/>
            <w:tcBorders>
              <w:top w:val="single" w:sz="4" w:space="0" w:color="auto"/>
            </w:tcBorders>
            <w:hideMark/>
          </w:tcPr>
          <w:p w14:paraId="6E84AE8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24.2±0.57</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7328206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23.6±1.20</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656FBB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28.1±1.15</w:t>
            </w:r>
            <w:r w:rsidRPr="00510D36">
              <w:rPr>
                <w:rFonts w:ascii="Times New Roman" w:eastAsia="Times New Roman" w:hAnsi="Times New Roman" w:cs="Times New Roman"/>
                <w:color w:val="000000"/>
                <w:sz w:val="24"/>
                <w:szCs w:val="24"/>
                <w:vertAlign w:val="superscript"/>
              </w:rPr>
              <w:t>d</w:t>
            </w:r>
          </w:p>
        </w:tc>
        <w:tc>
          <w:tcPr>
            <w:tcW w:w="1350" w:type="dxa"/>
            <w:tcBorders>
              <w:top w:val="single" w:sz="4" w:space="0" w:color="auto"/>
            </w:tcBorders>
            <w:hideMark/>
          </w:tcPr>
          <w:p w14:paraId="0A69AA6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26.4±1.07</w:t>
            </w:r>
            <w:r w:rsidRPr="00510D36">
              <w:rPr>
                <w:rFonts w:ascii="Times New Roman" w:eastAsia="Times New Roman" w:hAnsi="Times New Roman" w:cs="Times New Roman"/>
                <w:color w:val="000000"/>
                <w:sz w:val="24"/>
                <w:szCs w:val="24"/>
                <w:vertAlign w:val="superscript"/>
              </w:rPr>
              <w:t>c</w:t>
            </w:r>
          </w:p>
        </w:tc>
      </w:tr>
      <w:tr w:rsidR="00DA426C" w:rsidRPr="00510D36" w14:paraId="404B3900" w14:textId="77777777" w:rsidTr="00E2295B">
        <w:trPr>
          <w:trHeight w:val="375"/>
        </w:trPr>
        <w:tc>
          <w:tcPr>
            <w:tcW w:w="1975" w:type="dxa"/>
            <w:noWrap/>
          </w:tcPr>
          <w:p w14:paraId="17A3C6E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themeColor="text1"/>
                <w:sz w:val="24"/>
                <w:szCs w:val="24"/>
              </w:rPr>
              <w:t>Hb (g/100ml)</w:t>
            </w:r>
          </w:p>
        </w:tc>
        <w:tc>
          <w:tcPr>
            <w:tcW w:w="1530" w:type="dxa"/>
          </w:tcPr>
          <w:p w14:paraId="0111607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6.33±0.15</w:t>
            </w:r>
            <w:r w:rsidRPr="00510D36">
              <w:rPr>
                <w:rFonts w:ascii="Times New Roman" w:eastAsia="Times New Roman" w:hAnsi="Times New Roman" w:cs="Times New Roman"/>
                <w:color w:val="000000"/>
                <w:sz w:val="24"/>
                <w:szCs w:val="24"/>
                <w:vertAlign w:val="superscript"/>
              </w:rPr>
              <w:t>a</w:t>
            </w:r>
          </w:p>
        </w:tc>
        <w:tc>
          <w:tcPr>
            <w:tcW w:w="1440" w:type="dxa"/>
          </w:tcPr>
          <w:p w14:paraId="12AF381C" w14:textId="636AA148"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8.12±0.15</w:t>
            </w:r>
            <w:r w:rsidR="00150C66" w:rsidRPr="00510D36">
              <w:rPr>
                <w:rFonts w:ascii="Times New Roman" w:eastAsia="Times New Roman" w:hAnsi="Times New Roman" w:cs="Times New Roman"/>
                <w:color w:val="000000"/>
                <w:sz w:val="24"/>
                <w:szCs w:val="24"/>
                <w:vertAlign w:val="superscript"/>
              </w:rPr>
              <w:t>bc</w:t>
            </w:r>
          </w:p>
        </w:tc>
        <w:tc>
          <w:tcPr>
            <w:tcW w:w="1350" w:type="dxa"/>
          </w:tcPr>
          <w:p w14:paraId="6708537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7.70±0.12</w:t>
            </w:r>
            <w:r w:rsidRPr="00510D36">
              <w:rPr>
                <w:rFonts w:ascii="Times New Roman" w:eastAsia="Times New Roman" w:hAnsi="Times New Roman" w:cs="Times New Roman"/>
                <w:color w:val="000000"/>
                <w:sz w:val="24"/>
                <w:szCs w:val="24"/>
                <w:vertAlign w:val="superscript"/>
              </w:rPr>
              <w:t>b</w:t>
            </w:r>
          </w:p>
        </w:tc>
        <w:tc>
          <w:tcPr>
            <w:tcW w:w="1350" w:type="dxa"/>
          </w:tcPr>
          <w:p w14:paraId="457660D8" w14:textId="7DA7DDD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9.37±0.18</w:t>
            </w:r>
            <w:r w:rsidR="00150C66" w:rsidRPr="00510D36">
              <w:rPr>
                <w:rFonts w:ascii="Times New Roman" w:eastAsia="Times New Roman" w:hAnsi="Times New Roman" w:cs="Times New Roman"/>
                <w:color w:val="000000"/>
                <w:sz w:val="24"/>
                <w:szCs w:val="24"/>
                <w:vertAlign w:val="superscript"/>
              </w:rPr>
              <w:t>c</w:t>
            </w:r>
          </w:p>
        </w:tc>
        <w:tc>
          <w:tcPr>
            <w:tcW w:w="1350" w:type="dxa"/>
          </w:tcPr>
          <w:p w14:paraId="696E1C94" w14:textId="42FC550F"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8.79±0.11</w:t>
            </w:r>
            <w:r w:rsidR="00150C66" w:rsidRPr="00510D36">
              <w:rPr>
                <w:rFonts w:ascii="Times New Roman" w:eastAsia="Times New Roman" w:hAnsi="Times New Roman" w:cs="Times New Roman"/>
                <w:color w:val="000000"/>
                <w:sz w:val="24"/>
                <w:szCs w:val="24"/>
                <w:vertAlign w:val="superscript"/>
              </w:rPr>
              <w:t>bc</w:t>
            </w:r>
          </w:p>
        </w:tc>
      </w:tr>
      <w:tr w:rsidR="00DA426C" w:rsidRPr="00510D36" w14:paraId="11F0E096" w14:textId="77777777" w:rsidTr="00E2295B">
        <w:trPr>
          <w:trHeight w:val="375"/>
        </w:trPr>
        <w:tc>
          <w:tcPr>
            <w:tcW w:w="1975" w:type="dxa"/>
            <w:noWrap/>
            <w:hideMark/>
          </w:tcPr>
          <w:p w14:paraId="20D689AC" w14:textId="77777777" w:rsidR="00DA426C" w:rsidRPr="00510D36" w:rsidRDefault="00DA426C" w:rsidP="00510D36">
            <w:pPr>
              <w:rPr>
                <w:rFonts w:ascii="Times New Roman" w:eastAsia="Times New Roman" w:hAnsi="Times New Roman" w:cs="Times New Roman"/>
                <w:color w:val="000000" w:themeColor="text1"/>
                <w:sz w:val="24"/>
                <w:szCs w:val="24"/>
              </w:rPr>
            </w:pPr>
            <w:r w:rsidRPr="00510D36">
              <w:rPr>
                <w:rFonts w:ascii="Times New Roman" w:eastAsia="Times New Roman" w:hAnsi="Times New Roman" w:cs="Times New Roman"/>
                <w:color w:val="000000"/>
                <w:sz w:val="24"/>
                <w:szCs w:val="24"/>
              </w:rPr>
              <w:t>WBC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616C48B3" w14:textId="68CA5E45" w:rsidR="00DA426C" w:rsidRPr="00510D36" w:rsidRDefault="00150C66"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4</w:t>
            </w:r>
            <w:r w:rsidR="00DA426C" w:rsidRPr="00510D36">
              <w:rPr>
                <w:rFonts w:ascii="Times New Roman" w:eastAsia="Times New Roman" w:hAnsi="Times New Roman" w:cs="Times New Roman"/>
                <w:color w:val="000000"/>
                <w:sz w:val="24"/>
                <w:szCs w:val="24"/>
              </w:rPr>
              <w:t>.</w:t>
            </w:r>
            <w:r w:rsidR="00CB39ED" w:rsidRPr="00510D36">
              <w:rPr>
                <w:rFonts w:ascii="Times New Roman" w:eastAsia="Times New Roman" w:hAnsi="Times New Roman" w:cs="Times New Roman"/>
                <w:color w:val="000000"/>
                <w:sz w:val="24"/>
                <w:szCs w:val="24"/>
              </w:rPr>
              <w:t>87</w:t>
            </w:r>
            <w:r w:rsidR="00DA426C" w:rsidRPr="00510D36">
              <w:rPr>
                <w:rFonts w:ascii="Times New Roman" w:eastAsia="Times New Roman" w:hAnsi="Times New Roman" w:cs="Times New Roman"/>
                <w:color w:val="000000"/>
                <w:sz w:val="24"/>
                <w:szCs w:val="24"/>
              </w:rPr>
              <w:t>±0.02</w:t>
            </w:r>
            <w:r w:rsidR="00DA426C" w:rsidRPr="00510D36">
              <w:rPr>
                <w:rFonts w:ascii="Times New Roman" w:eastAsia="Times New Roman" w:hAnsi="Times New Roman" w:cs="Times New Roman"/>
                <w:color w:val="000000"/>
                <w:sz w:val="24"/>
                <w:szCs w:val="24"/>
                <w:vertAlign w:val="superscript"/>
              </w:rPr>
              <w:t xml:space="preserve">a </w:t>
            </w:r>
          </w:p>
        </w:tc>
        <w:tc>
          <w:tcPr>
            <w:tcW w:w="1440" w:type="dxa"/>
          </w:tcPr>
          <w:p w14:paraId="122DE43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6.58±0.01</w:t>
            </w:r>
            <w:r w:rsidRPr="00510D36">
              <w:rPr>
                <w:rFonts w:ascii="Times New Roman" w:eastAsia="Times New Roman" w:hAnsi="Times New Roman" w:cs="Times New Roman"/>
                <w:color w:val="000000"/>
                <w:sz w:val="24"/>
                <w:szCs w:val="24"/>
                <w:vertAlign w:val="superscript"/>
              </w:rPr>
              <w:t>b</w:t>
            </w:r>
          </w:p>
        </w:tc>
        <w:tc>
          <w:tcPr>
            <w:tcW w:w="1350" w:type="dxa"/>
          </w:tcPr>
          <w:p w14:paraId="05995FD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6.75±0.02</w:t>
            </w:r>
            <w:r w:rsidRPr="00510D36">
              <w:rPr>
                <w:rFonts w:ascii="Times New Roman" w:eastAsia="Times New Roman" w:hAnsi="Times New Roman" w:cs="Times New Roman"/>
                <w:color w:val="000000"/>
                <w:sz w:val="24"/>
                <w:szCs w:val="24"/>
                <w:vertAlign w:val="superscript"/>
              </w:rPr>
              <w:t>b</w:t>
            </w:r>
          </w:p>
        </w:tc>
        <w:tc>
          <w:tcPr>
            <w:tcW w:w="1350" w:type="dxa"/>
          </w:tcPr>
          <w:p w14:paraId="67FD60C3" w14:textId="3CF86AF1"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w:t>
            </w:r>
            <w:r w:rsidR="00CB39ED" w:rsidRPr="00510D36">
              <w:rPr>
                <w:rFonts w:ascii="Times New Roman" w:eastAsia="Times New Roman" w:hAnsi="Times New Roman" w:cs="Times New Roman"/>
                <w:color w:val="000000"/>
                <w:sz w:val="24"/>
                <w:szCs w:val="24"/>
              </w:rPr>
              <w:t>46</w:t>
            </w:r>
            <w:r w:rsidRPr="00510D36">
              <w:rPr>
                <w:rFonts w:ascii="Times New Roman" w:eastAsia="Times New Roman" w:hAnsi="Times New Roman" w:cs="Times New Roman"/>
                <w:color w:val="000000"/>
                <w:sz w:val="24"/>
                <w:szCs w:val="24"/>
              </w:rPr>
              <w:t>±0.01</w:t>
            </w:r>
            <w:r w:rsidRPr="00510D36">
              <w:rPr>
                <w:rFonts w:ascii="Times New Roman" w:eastAsia="Times New Roman" w:hAnsi="Times New Roman" w:cs="Times New Roman"/>
                <w:color w:val="000000"/>
                <w:sz w:val="24"/>
                <w:szCs w:val="24"/>
                <w:vertAlign w:val="superscript"/>
              </w:rPr>
              <w:t>c</w:t>
            </w:r>
          </w:p>
        </w:tc>
        <w:tc>
          <w:tcPr>
            <w:tcW w:w="1350" w:type="dxa"/>
          </w:tcPr>
          <w:p w14:paraId="7E760D80" w14:textId="6D9D57C6"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8.52±0.02</w:t>
            </w:r>
            <w:r w:rsidR="00150C66" w:rsidRPr="00510D36">
              <w:rPr>
                <w:rFonts w:ascii="Times New Roman" w:eastAsia="Times New Roman" w:hAnsi="Times New Roman" w:cs="Times New Roman"/>
                <w:color w:val="000000"/>
                <w:sz w:val="24"/>
                <w:szCs w:val="24"/>
                <w:vertAlign w:val="superscript"/>
              </w:rPr>
              <w:t>c</w:t>
            </w:r>
          </w:p>
        </w:tc>
      </w:tr>
      <w:tr w:rsidR="00DA426C" w:rsidRPr="00510D36" w14:paraId="7D656F58" w14:textId="77777777" w:rsidTr="00E2295B">
        <w:trPr>
          <w:trHeight w:val="375"/>
        </w:trPr>
        <w:tc>
          <w:tcPr>
            <w:tcW w:w="1975" w:type="dxa"/>
            <w:noWrap/>
            <w:hideMark/>
          </w:tcPr>
          <w:p w14:paraId="60E4A25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RBC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3E3511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2.15±0.03</w:t>
            </w:r>
            <w:r w:rsidRPr="00510D36">
              <w:rPr>
                <w:rFonts w:ascii="Times New Roman" w:eastAsia="Times New Roman" w:hAnsi="Times New Roman" w:cs="Times New Roman"/>
                <w:color w:val="000000"/>
                <w:sz w:val="24"/>
                <w:szCs w:val="24"/>
                <w:vertAlign w:val="superscript"/>
              </w:rPr>
              <w:t>a</w:t>
            </w:r>
          </w:p>
        </w:tc>
        <w:tc>
          <w:tcPr>
            <w:tcW w:w="1440" w:type="dxa"/>
          </w:tcPr>
          <w:p w14:paraId="14F09ED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2.63±0.01</w:t>
            </w:r>
            <w:r w:rsidRPr="00510D36">
              <w:rPr>
                <w:rFonts w:ascii="Times New Roman" w:eastAsia="Times New Roman" w:hAnsi="Times New Roman" w:cs="Times New Roman"/>
                <w:color w:val="000000"/>
                <w:sz w:val="24"/>
                <w:szCs w:val="24"/>
                <w:vertAlign w:val="superscript"/>
              </w:rPr>
              <w:t>b</w:t>
            </w:r>
          </w:p>
        </w:tc>
        <w:tc>
          <w:tcPr>
            <w:tcW w:w="1350" w:type="dxa"/>
          </w:tcPr>
          <w:p w14:paraId="6E0AF89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2.55±0.03</w:t>
            </w:r>
            <w:r w:rsidRPr="00510D36">
              <w:rPr>
                <w:rFonts w:ascii="Times New Roman" w:eastAsia="Times New Roman" w:hAnsi="Times New Roman" w:cs="Times New Roman"/>
                <w:color w:val="000000"/>
                <w:sz w:val="24"/>
                <w:szCs w:val="24"/>
                <w:vertAlign w:val="superscript"/>
              </w:rPr>
              <w:t>b</w:t>
            </w:r>
          </w:p>
        </w:tc>
        <w:tc>
          <w:tcPr>
            <w:tcW w:w="1350" w:type="dxa"/>
          </w:tcPr>
          <w:p w14:paraId="35EFD28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3.16±0.01</w:t>
            </w:r>
            <w:r w:rsidRPr="00510D36">
              <w:rPr>
                <w:rFonts w:ascii="Times New Roman" w:eastAsia="Times New Roman" w:hAnsi="Times New Roman" w:cs="Times New Roman"/>
                <w:color w:val="000000"/>
                <w:sz w:val="24"/>
                <w:szCs w:val="24"/>
                <w:vertAlign w:val="superscript"/>
              </w:rPr>
              <w:t>c</w:t>
            </w:r>
          </w:p>
        </w:tc>
        <w:tc>
          <w:tcPr>
            <w:tcW w:w="1350" w:type="dxa"/>
          </w:tcPr>
          <w:p w14:paraId="4C6C9A3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2.93±0.00</w:t>
            </w:r>
            <w:r w:rsidRPr="00510D36">
              <w:rPr>
                <w:rFonts w:ascii="Times New Roman" w:eastAsia="Times New Roman" w:hAnsi="Times New Roman" w:cs="Times New Roman"/>
                <w:color w:val="000000"/>
                <w:sz w:val="24"/>
                <w:szCs w:val="24"/>
                <w:vertAlign w:val="superscript"/>
              </w:rPr>
              <w:t>b</w:t>
            </w:r>
          </w:p>
        </w:tc>
      </w:tr>
      <w:tr w:rsidR="00DA426C" w:rsidRPr="00510D36" w14:paraId="70A61315" w14:textId="77777777" w:rsidTr="00E2295B">
        <w:trPr>
          <w:trHeight w:val="375"/>
        </w:trPr>
        <w:tc>
          <w:tcPr>
            <w:tcW w:w="1975" w:type="dxa"/>
            <w:noWrap/>
            <w:hideMark/>
          </w:tcPr>
          <w:p w14:paraId="376D7FB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MCV (fl) </w:t>
            </w:r>
          </w:p>
        </w:tc>
        <w:tc>
          <w:tcPr>
            <w:tcW w:w="1530" w:type="dxa"/>
          </w:tcPr>
          <w:p w14:paraId="7EC9C6A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92.1±2.91</w:t>
            </w:r>
            <w:r w:rsidRPr="00510D36">
              <w:rPr>
                <w:rFonts w:ascii="Times New Roman" w:eastAsia="Times New Roman" w:hAnsi="Times New Roman" w:cs="Times New Roman"/>
                <w:color w:val="000000"/>
                <w:sz w:val="24"/>
                <w:szCs w:val="24"/>
                <w:vertAlign w:val="superscript"/>
              </w:rPr>
              <w:t>a</w:t>
            </w:r>
          </w:p>
        </w:tc>
        <w:tc>
          <w:tcPr>
            <w:tcW w:w="1440" w:type="dxa"/>
          </w:tcPr>
          <w:p w14:paraId="1DD7DF5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92.0±2.14</w:t>
            </w:r>
            <w:r w:rsidRPr="00510D36">
              <w:rPr>
                <w:rFonts w:ascii="Times New Roman" w:eastAsia="Times New Roman" w:hAnsi="Times New Roman" w:cs="Times New Roman"/>
                <w:color w:val="000000"/>
                <w:sz w:val="24"/>
                <w:szCs w:val="24"/>
                <w:vertAlign w:val="superscript"/>
              </w:rPr>
              <w:t>a</w:t>
            </w:r>
          </w:p>
        </w:tc>
        <w:tc>
          <w:tcPr>
            <w:tcW w:w="1350" w:type="dxa"/>
          </w:tcPr>
          <w:p w14:paraId="7D9F2C0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92.5±3.61</w:t>
            </w:r>
            <w:r w:rsidRPr="00510D36">
              <w:rPr>
                <w:rFonts w:ascii="Times New Roman" w:eastAsia="Times New Roman" w:hAnsi="Times New Roman" w:cs="Times New Roman"/>
                <w:color w:val="000000"/>
                <w:sz w:val="24"/>
                <w:szCs w:val="24"/>
                <w:vertAlign w:val="superscript"/>
              </w:rPr>
              <w:t>a</w:t>
            </w:r>
          </w:p>
        </w:tc>
        <w:tc>
          <w:tcPr>
            <w:tcW w:w="1350" w:type="dxa"/>
          </w:tcPr>
          <w:p w14:paraId="5E68B6D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88.9±3.25</w:t>
            </w:r>
            <w:r w:rsidRPr="00510D36">
              <w:rPr>
                <w:rFonts w:ascii="Times New Roman" w:eastAsia="Times New Roman" w:hAnsi="Times New Roman" w:cs="Times New Roman"/>
                <w:color w:val="000000"/>
                <w:sz w:val="24"/>
                <w:szCs w:val="24"/>
                <w:vertAlign w:val="superscript"/>
              </w:rPr>
              <w:t>a</w:t>
            </w:r>
          </w:p>
        </w:tc>
        <w:tc>
          <w:tcPr>
            <w:tcW w:w="1350" w:type="dxa"/>
          </w:tcPr>
          <w:p w14:paraId="723B868F"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90.1±4.01</w:t>
            </w:r>
            <w:r w:rsidRPr="00510D36">
              <w:rPr>
                <w:rFonts w:ascii="Times New Roman" w:eastAsia="Times New Roman" w:hAnsi="Times New Roman" w:cs="Times New Roman"/>
                <w:color w:val="000000"/>
                <w:sz w:val="24"/>
                <w:szCs w:val="24"/>
                <w:vertAlign w:val="superscript"/>
              </w:rPr>
              <w:t>a</w:t>
            </w:r>
          </w:p>
        </w:tc>
      </w:tr>
      <w:tr w:rsidR="00DA426C" w:rsidRPr="00510D36" w14:paraId="70E7989E" w14:textId="77777777" w:rsidTr="00E2295B">
        <w:trPr>
          <w:trHeight w:val="375"/>
        </w:trPr>
        <w:tc>
          <w:tcPr>
            <w:tcW w:w="1975" w:type="dxa"/>
            <w:noWrap/>
            <w:hideMark/>
          </w:tcPr>
          <w:p w14:paraId="2E3705A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 (pg)</w:t>
            </w:r>
          </w:p>
        </w:tc>
        <w:tc>
          <w:tcPr>
            <w:tcW w:w="1530" w:type="dxa"/>
          </w:tcPr>
          <w:p w14:paraId="0FE0258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29.4±0.28</w:t>
            </w:r>
            <w:r w:rsidRPr="00510D36">
              <w:rPr>
                <w:rFonts w:ascii="Times New Roman" w:eastAsia="Times New Roman" w:hAnsi="Times New Roman" w:cs="Times New Roman"/>
                <w:color w:val="000000"/>
                <w:sz w:val="24"/>
                <w:szCs w:val="24"/>
                <w:vertAlign w:val="superscript"/>
              </w:rPr>
              <w:t>a</w:t>
            </w:r>
          </w:p>
        </w:tc>
        <w:tc>
          <w:tcPr>
            <w:tcW w:w="1440" w:type="dxa"/>
          </w:tcPr>
          <w:p w14:paraId="250D0B7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30.9±0.59</w:t>
            </w:r>
            <w:r w:rsidRPr="00510D36">
              <w:rPr>
                <w:rFonts w:ascii="Times New Roman" w:eastAsia="Times New Roman" w:hAnsi="Times New Roman" w:cs="Times New Roman"/>
                <w:color w:val="000000"/>
                <w:sz w:val="24"/>
                <w:szCs w:val="24"/>
                <w:vertAlign w:val="superscript"/>
              </w:rPr>
              <w:t>a</w:t>
            </w:r>
          </w:p>
        </w:tc>
        <w:tc>
          <w:tcPr>
            <w:tcW w:w="1350" w:type="dxa"/>
          </w:tcPr>
          <w:p w14:paraId="007E3A3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30.2±0.83</w:t>
            </w:r>
            <w:r w:rsidRPr="00510D36">
              <w:rPr>
                <w:rFonts w:ascii="Times New Roman" w:eastAsia="Times New Roman" w:hAnsi="Times New Roman" w:cs="Times New Roman"/>
                <w:color w:val="000000"/>
                <w:sz w:val="24"/>
                <w:szCs w:val="24"/>
                <w:vertAlign w:val="superscript"/>
              </w:rPr>
              <w:t>a</w:t>
            </w:r>
          </w:p>
        </w:tc>
        <w:tc>
          <w:tcPr>
            <w:tcW w:w="1350" w:type="dxa"/>
          </w:tcPr>
          <w:p w14:paraId="058B086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29.7±0.69</w:t>
            </w:r>
            <w:r w:rsidRPr="00510D36">
              <w:rPr>
                <w:rFonts w:ascii="Times New Roman" w:eastAsia="Times New Roman" w:hAnsi="Times New Roman" w:cs="Times New Roman"/>
                <w:color w:val="000000"/>
                <w:sz w:val="24"/>
                <w:szCs w:val="24"/>
                <w:vertAlign w:val="superscript"/>
              </w:rPr>
              <w:t>a</w:t>
            </w:r>
          </w:p>
        </w:tc>
        <w:tc>
          <w:tcPr>
            <w:tcW w:w="1350" w:type="dxa"/>
          </w:tcPr>
          <w:p w14:paraId="41CD028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30.0±0.40</w:t>
            </w:r>
            <w:r w:rsidRPr="00510D36">
              <w:rPr>
                <w:rFonts w:ascii="Times New Roman" w:eastAsia="Times New Roman" w:hAnsi="Times New Roman" w:cs="Times New Roman"/>
                <w:color w:val="000000"/>
                <w:sz w:val="24"/>
                <w:szCs w:val="24"/>
                <w:vertAlign w:val="superscript"/>
              </w:rPr>
              <w:t>a</w:t>
            </w:r>
          </w:p>
        </w:tc>
      </w:tr>
      <w:tr w:rsidR="00DA426C" w:rsidRPr="00510D36" w14:paraId="0C2E0B1F" w14:textId="77777777" w:rsidTr="00E2295B">
        <w:trPr>
          <w:trHeight w:val="375"/>
        </w:trPr>
        <w:tc>
          <w:tcPr>
            <w:tcW w:w="1975" w:type="dxa"/>
            <w:noWrap/>
            <w:hideMark/>
          </w:tcPr>
          <w:p w14:paraId="7FD6EB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MCHC (%)</w:t>
            </w:r>
          </w:p>
        </w:tc>
        <w:tc>
          <w:tcPr>
            <w:tcW w:w="1530" w:type="dxa"/>
          </w:tcPr>
          <w:p w14:paraId="73190C5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32.0±0.73</w:t>
            </w:r>
            <w:r w:rsidRPr="00510D36">
              <w:rPr>
                <w:rFonts w:ascii="Times New Roman" w:eastAsia="Times New Roman" w:hAnsi="Times New Roman" w:cs="Times New Roman"/>
                <w:color w:val="000000"/>
                <w:sz w:val="24"/>
                <w:szCs w:val="24"/>
                <w:vertAlign w:val="superscript"/>
              </w:rPr>
              <w:t>a</w:t>
            </w:r>
          </w:p>
        </w:tc>
        <w:tc>
          <w:tcPr>
            <w:tcW w:w="1440" w:type="dxa"/>
          </w:tcPr>
          <w:p w14:paraId="22FB7BF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33.6±1.41</w:t>
            </w:r>
            <w:r w:rsidRPr="00510D36">
              <w:rPr>
                <w:rFonts w:ascii="Times New Roman" w:eastAsia="Times New Roman" w:hAnsi="Times New Roman" w:cs="Times New Roman"/>
                <w:color w:val="000000"/>
                <w:sz w:val="24"/>
                <w:szCs w:val="24"/>
                <w:vertAlign w:val="superscript"/>
              </w:rPr>
              <w:t>a</w:t>
            </w:r>
          </w:p>
        </w:tc>
        <w:tc>
          <w:tcPr>
            <w:tcW w:w="1350" w:type="dxa"/>
          </w:tcPr>
          <w:p w14:paraId="24D061A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32.6±2.07</w:t>
            </w:r>
            <w:r w:rsidRPr="00510D36">
              <w:rPr>
                <w:rFonts w:ascii="Times New Roman" w:eastAsia="Times New Roman" w:hAnsi="Times New Roman" w:cs="Times New Roman"/>
                <w:color w:val="000000"/>
                <w:sz w:val="24"/>
                <w:szCs w:val="24"/>
                <w:vertAlign w:val="superscript"/>
              </w:rPr>
              <w:t>a</w:t>
            </w:r>
          </w:p>
        </w:tc>
        <w:tc>
          <w:tcPr>
            <w:tcW w:w="1350" w:type="dxa"/>
          </w:tcPr>
          <w:p w14:paraId="693F9EE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33.3±2.03</w:t>
            </w:r>
            <w:r w:rsidRPr="00510D36">
              <w:rPr>
                <w:rFonts w:ascii="Times New Roman" w:eastAsia="Times New Roman" w:hAnsi="Times New Roman" w:cs="Times New Roman"/>
                <w:color w:val="000000"/>
                <w:sz w:val="24"/>
                <w:szCs w:val="24"/>
                <w:vertAlign w:val="superscript"/>
              </w:rPr>
              <w:t>a</w:t>
            </w:r>
          </w:p>
        </w:tc>
        <w:tc>
          <w:tcPr>
            <w:tcW w:w="1350" w:type="dxa"/>
          </w:tcPr>
          <w:p w14:paraId="48C0168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33.3±1.08</w:t>
            </w:r>
            <w:r w:rsidRPr="00510D36">
              <w:rPr>
                <w:rFonts w:ascii="Times New Roman" w:eastAsia="Times New Roman" w:hAnsi="Times New Roman" w:cs="Times New Roman"/>
                <w:color w:val="000000"/>
                <w:sz w:val="24"/>
                <w:szCs w:val="24"/>
                <w:vertAlign w:val="superscript"/>
              </w:rPr>
              <w:t>a</w:t>
            </w:r>
          </w:p>
        </w:tc>
      </w:tr>
    </w:tbl>
    <w:p w14:paraId="50C2CF6D"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4A079A16" w14:textId="37FC208F" w:rsidR="00DA426C" w:rsidRPr="00510D36" w:rsidRDefault="00DA426C" w:rsidP="00510D36">
      <w:pPr>
        <w:spacing w:line="240" w:lineRule="auto"/>
        <w:jc w:val="both"/>
        <w:rPr>
          <w:bCs/>
          <w:szCs w:val="24"/>
          <w:lang w:val="en-GB"/>
        </w:rPr>
      </w:pPr>
      <w:r w:rsidRPr="00510D36">
        <w:rPr>
          <w:b/>
          <w:bCs/>
          <w:szCs w:val="24"/>
          <w:lang w:val="en-GB"/>
        </w:rPr>
        <w:t>Key:</w:t>
      </w:r>
      <w:r w:rsidRPr="00510D36">
        <w:rPr>
          <w:bCs/>
          <w:szCs w:val="24"/>
          <w:lang w:val="en-GB"/>
        </w:rPr>
        <w:t xml:space="preserve"> PCV = Pack</w:t>
      </w:r>
      <w:r w:rsidR="005B2891" w:rsidRPr="00510D36">
        <w:rPr>
          <w:bCs/>
          <w:szCs w:val="24"/>
          <w:lang w:val="en-GB"/>
        </w:rPr>
        <w:t>ed</w:t>
      </w:r>
      <w:r w:rsidRPr="00510D36">
        <w:rPr>
          <w:bCs/>
          <w:szCs w:val="24"/>
          <w:lang w:val="en-GB"/>
        </w:rPr>
        <w:t xml:space="preserve"> Cell Volume, Hb = Haemoglobin Content, WBC = White Blood Cell, RBC = Red Blood Cell, MCH = Mean Corpuscular Haemoglobin, MCHC = Mean Corpuscular Haemoglobin Concentration, MCV = Mean Corpuscular Volume. </w:t>
      </w:r>
    </w:p>
    <w:p w14:paraId="061683D4" w14:textId="7FEABADC" w:rsidR="00FF7952" w:rsidRPr="00510D36" w:rsidRDefault="00FF7952" w:rsidP="00510D36">
      <w:pPr>
        <w:spacing w:after="0" w:line="240" w:lineRule="auto"/>
        <w:rPr>
          <w:b/>
          <w:bCs/>
          <w:szCs w:val="24"/>
        </w:rPr>
      </w:pPr>
      <w:r w:rsidRPr="00510D36">
        <w:rPr>
          <w:b/>
          <w:bCs/>
          <w:szCs w:val="24"/>
        </w:rPr>
        <w:t>Biochemical Profile of Experimental Fish</w:t>
      </w:r>
    </w:p>
    <w:p w14:paraId="507BE7C6" w14:textId="26290898" w:rsidR="00FF7BA0" w:rsidRPr="00510D36" w:rsidRDefault="00FF7BA0" w:rsidP="00510D36">
      <w:pPr>
        <w:spacing w:after="0" w:line="240" w:lineRule="auto"/>
        <w:jc w:val="both"/>
        <w:rPr>
          <w:bCs/>
          <w:szCs w:val="24"/>
        </w:rPr>
      </w:pPr>
      <w:r w:rsidRPr="00510D36">
        <w:rPr>
          <w:bCs/>
          <w:szCs w:val="24"/>
        </w:rPr>
        <w:t xml:space="preserve">The biochemical parameters of </w:t>
      </w:r>
      <w:r w:rsidRPr="00510D36">
        <w:rPr>
          <w:bCs/>
          <w:i/>
          <w:iCs/>
          <w:szCs w:val="24"/>
        </w:rPr>
        <w:t>C. gariepinus</w:t>
      </w:r>
      <w:r w:rsidRPr="00510D36">
        <w:rPr>
          <w:bCs/>
          <w:szCs w:val="24"/>
        </w:rPr>
        <w:t xml:space="preserve"> fed diets containing varying levels of </w:t>
      </w:r>
      <w:r w:rsidRPr="00510D36">
        <w:rPr>
          <w:bCs/>
          <w:i/>
          <w:iCs/>
          <w:szCs w:val="24"/>
        </w:rPr>
        <w:t>C. pepo</w:t>
      </w:r>
      <w:r w:rsidRPr="00510D36">
        <w:rPr>
          <w:bCs/>
          <w:szCs w:val="24"/>
        </w:rPr>
        <w:t xml:space="preserve"> leaf powder are presented in Table 8. Glucose levels decreased initially at 0.5 g/100 g inclusion, but increased significantly at higher supplementation levels (1.5 and 2.0 g/100 g). This pattern may reflect changes in energy metabolism or mild physiological stress associated with higher inclusion levels. Total protein, albumin, and globulin concentrations increased progressively with increasing </w:t>
      </w:r>
      <w:r w:rsidRPr="00510D36">
        <w:rPr>
          <w:bCs/>
          <w:i/>
          <w:iCs/>
          <w:szCs w:val="24"/>
        </w:rPr>
        <w:t>C. pepo</w:t>
      </w:r>
      <w:r w:rsidRPr="00510D36">
        <w:rPr>
          <w:bCs/>
          <w:szCs w:val="24"/>
        </w:rPr>
        <w:t xml:space="preserve"> supplementation, reaching their highest values at 1.5–2.0 g/100 g, suggesting improved nutritional status and enhanced immune function. Cholesterol levels also increased with increasing dietary inclusion, indicating possible effects on lipid metabolism and cell membrane structure. These results are consistent with previous studies. </w:t>
      </w:r>
      <w:r w:rsidR="00C73CAE" w:rsidRPr="00510D36">
        <w:rPr>
          <w:szCs w:val="24"/>
          <w:vertAlign w:val="superscript"/>
        </w:rPr>
        <w:t>[28]</w:t>
      </w:r>
      <w:r w:rsidRPr="00510D36">
        <w:rPr>
          <w:bCs/>
          <w:szCs w:val="24"/>
        </w:rPr>
        <w:t xml:space="preserve"> reported increased serum protein levels in </w:t>
      </w:r>
      <w:r w:rsidRPr="00510D36">
        <w:rPr>
          <w:bCs/>
          <w:i/>
          <w:iCs/>
          <w:szCs w:val="24"/>
        </w:rPr>
        <w:t>Oreochromis niloticus</w:t>
      </w:r>
      <w:r w:rsidRPr="00510D36">
        <w:rPr>
          <w:bCs/>
          <w:szCs w:val="24"/>
        </w:rPr>
        <w:t xml:space="preserve"> fed diets containing pumpkin seed cake. Pumpkin seed oil has also been shown to possess anti-inflammatory and antioxidant properties, which may contribute to improved metabolic and immune responses </w:t>
      </w:r>
      <w:r w:rsidR="00C73CAE" w:rsidRPr="00510D36">
        <w:rPr>
          <w:szCs w:val="24"/>
          <w:vertAlign w:val="superscript"/>
        </w:rPr>
        <w:t>[29]</w:t>
      </w:r>
      <w:r w:rsidRPr="00510D36">
        <w:rPr>
          <w:bCs/>
          <w:szCs w:val="24"/>
        </w:rPr>
        <w:t xml:space="preserve">. The increase in cholesterol levels observed in this study is consistent </w:t>
      </w:r>
      <w:r w:rsidRPr="00510D36">
        <w:rPr>
          <w:bCs/>
          <w:szCs w:val="24"/>
        </w:rPr>
        <w:lastRenderedPageBreak/>
        <w:t xml:space="preserve">with findings by </w:t>
      </w:r>
      <w:r w:rsidR="00C73CAE" w:rsidRPr="00510D36">
        <w:rPr>
          <w:szCs w:val="24"/>
          <w:vertAlign w:val="superscript"/>
        </w:rPr>
        <w:t>[30]</w:t>
      </w:r>
      <w:r w:rsidRPr="00510D36">
        <w:rPr>
          <w:bCs/>
          <w:szCs w:val="24"/>
        </w:rPr>
        <w:t xml:space="preserve">, who reported lipid modulation in animals supplemented with pumpkin seed protein. Similar effects have been reported in fish fed plant-based feed additives </w:t>
      </w:r>
      <w:r w:rsidR="00C73CAE" w:rsidRPr="00510D36">
        <w:rPr>
          <w:szCs w:val="24"/>
          <w:vertAlign w:val="superscript"/>
        </w:rPr>
        <w:t>[31]</w:t>
      </w:r>
      <w:r w:rsidRPr="00510D36">
        <w:rPr>
          <w:bCs/>
          <w:szCs w:val="24"/>
        </w:rPr>
        <w:t xml:space="preserve">. These results suggest that </w:t>
      </w:r>
      <w:r w:rsidRPr="00510D36">
        <w:rPr>
          <w:bCs/>
          <w:i/>
          <w:iCs/>
          <w:szCs w:val="24"/>
        </w:rPr>
        <w:t>C. pepo</w:t>
      </w:r>
      <w:r w:rsidRPr="00510D36">
        <w:rPr>
          <w:bCs/>
          <w:szCs w:val="24"/>
        </w:rPr>
        <w:t xml:space="preserve"> functions as a functional feed additive capable of enhancing metabolic efficiency and immune competence in fish.</w:t>
      </w:r>
    </w:p>
    <w:p w14:paraId="3E1C3B3D" w14:textId="77777777" w:rsidR="008F35B2" w:rsidRDefault="008F35B2" w:rsidP="00510D36">
      <w:pPr>
        <w:spacing w:line="240" w:lineRule="auto"/>
        <w:rPr>
          <w:b/>
          <w:szCs w:val="24"/>
          <w:lang w:val="en-GB"/>
        </w:rPr>
      </w:pPr>
    </w:p>
    <w:p w14:paraId="0C0BA8D0" w14:textId="468381ED" w:rsidR="00DA426C" w:rsidRPr="00510D36" w:rsidRDefault="00DA426C" w:rsidP="00510D36">
      <w:pPr>
        <w:spacing w:line="240" w:lineRule="auto"/>
        <w:rPr>
          <w:rFonts w:eastAsia="Times New Roman"/>
          <w:b/>
          <w:color w:val="000000"/>
          <w:szCs w:val="24"/>
          <w:lang w:val="en-GB" w:eastAsia="en-GB"/>
        </w:rPr>
      </w:pPr>
      <w:r w:rsidRPr="00510D36">
        <w:rPr>
          <w:b/>
          <w:szCs w:val="24"/>
          <w:lang w:val="en-GB"/>
        </w:rPr>
        <w:t xml:space="preserve">Table </w:t>
      </w:r>
      <w:r w:rsidR="00400D83" w:rsidRPr="00510D36">
        <w:rPr>
          <w:b/>
          <w:szCs w:val="24"/>
          <w:lang w:val="en-GB"/>
        </w:rPr>
        <w:t xml:space="preserve">8. </w:t>
      </w:r>
      <w:r w:rsidRPr="00510D36">
        <w:rPr>
          <w:b/>
          <w:szCs w:val="24"/>
          <w:lang w:val="en-GB"/>
        </w:rPr>
        <w:t>Biochemical profile</w:t>
      </w:r>
      <w:r w:rsidRPr="00510D36">
        <w:rPr>
          <w:rStyle w:val="A1"/>
          <w:b/>
          <w:sz w:val="24"/>
          <w:szCs w:val="24"/>
          <w:lang w:val="en-GB"/>
        </w:rPr>
        <w:t xml:space="preserve"> </w:t>
      </w:r>
      <w:r w:rsidRPr="00510D36">
        <w:rPr>
          <w:b/>
          <w:szCs w:val="24"/>
          <w:lang w:val="en-GB"/>
        </w:rPr>
        <w:t xml:space="preserve">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458"/>
        <w:gridCol w:w="1440"/>
        <w:gridCol w:w="1530"/>
        <w:gridCol w:w="1530"/>
        <w:gridCol w:w="1440"/>
      </w:tblGrid>
      <w:tr w:rsidR="00DA426C" w:rsidRPr="00510D36" w14:paraId="185F56CF" w14:textId="77777777" w:rsidTr="00E2295B">
        <w:tc>
          <w:tcPr>
            <w:tcW w:w="2250" w:type="dxa"/>
            <w:tcBorders>
              <w:top w:val="single" w:sz="4" w:space="0" w:color="auto"/>
              <w:bottom w:val="single" w:sz="4" w:space="0" w:color="auto"/>
            </w:tcBorders>
          </w:tcPr>
          <w:p w14:paraId="3657F5E0" w14:textId="77777777" w:rsidR="00DA426C" w:rsidRPr="00510D36" w:rsidRDefault="00DA426C" w:rsidP="00510D36">
            <w:pPr>
              <w:autoSpaceDE w:val="0"/>
              <w:autoSpaceDN w:val="0"/>
              <w:adjustRightInd w:val="0"/>
              <w:ind w:right="-180"/>
              <w:rPr>
                <w:rFonts w:ascii="Times New Roman" w:hAnsi="Times New Roman" w:cs="Times New Roman"/>
                <w:b/>
                <w:sz w:val="24"/>
                <w:szCs w:val="24"/>
              </w:rPr>
            </w:pPr>
            <w:r w:rsidRPr="00510D36">
              <w:rPr>
                <w:rFonts w:ascii="Times New Roman" w:hAnsi="Times New Roman" w:cs="Times New Roman"/>
                <w:b/>
                <w:sz w:val="24"/>
                <w:szCs w:val="24"/>
              </w:rPr>
              <w:t xml:space="preserve">Parameters </w:t>
            </w:r>
          </w:p>
        </w:tc>
        <w:tc>
          <w:tcPr>
            <w:tcW w:w="1458" w:type="dxa"/>
            <w:tcBorders>
              <w:top w:val="single" w:sz="4" w:space="0" w:color="auto"/>
              <w:bottom w:val="single" w:sz="4" w:space="0" w:color="auto"/>
            </w:tcBorders>
          </w:tcPr>
          <w:p w14:paraId="678062B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tcPr>
          <w:p w14:paraId="43573C14"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530" w:type="dxa"/>
            <w:tcBorders>
              <w:top w:val="single" w:sz="4" w:space="0" w:color="auto"/>
              <w:bottom w:val="single" w:sz="4" w:space="0" w:color="auto"/>
            </w:tcBorders>
          </w:tcPr>
          <w:p w14:paraId="04A896F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530" w:type="dxa"/>
            <w:tcBorders>
              <w:top w:val="single" w:sz="4" w:space="0" w:color="auto"/>
              <w:bottom w:val="single" w:sz="4" w:space="0" w:color="auto"/>
            </w:tcBorders>
          </w:tcPr>
          <w:p w14:paraId="52B386EC"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440" w:type="dxa"/>
            <w:tcBorders>
              <w:top w:val="single" w:sz="4" w:space="0" w:color="auto"/>
              <w:bottom w:val="single" w:sz="4" w:space="0" w:color="auto"/>
            </w:tcBorders>
          </w:tcPr>
          <w:p w14:paraId="4C4BF0BD"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3EA6EDC0" w14:textId="77777777" w:rsidTr="00E2295B">
        <w:tc>
          <w:tcPr>
            <w:tcW w:w="2250" w:type="dxa"/>
            <w:tcBorders>
              <w:top w:val="single" w:sz="4" w:space="0" w:color="auto"/>
            </w:tcBorders>
            <w:vAlign w:val="bottom"/>
          </w:tcPr>
          <w:p w14:paraId="1C91F60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Glucose (mg/dl)</w:t>
            </w:r>
          </w:p>
        </w:tc>
        <w:tc>
          <w:tcPr>
            <w:tcW w:w="1458" w:type="dxa"/>
            <w:tcBorders>
              <w:top w:val="single" w:sz="4" w:space="0" w:color="auto"/>
            </w:tcBorders>
          </w:tcPr>
          <w:p w14:paraId="26973DA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28.4±1.76</w:t>
            </w:r>
            <w:r w:rsidRPr="00510D36">
              <w:rPr>
                <w:rFonts w:ascii="Times New Roman" w:eastAsia="Times New Roman" w:hAnsi="Times New Roman" w:cs="Times New Roman"/>
                <w:color w:val="000000"/>
                <w:sz w:val="24"/>
                <w:szCs w:val="24"/>
                <w:vertAlign w:val="superscript"/>
              </w:rPr>
              <w:t>b</w:t>
            </w:r>
          </w:p>
        </w:tc>
        <w:tc>
          <w:tcPr>
            <w:tcW w:w="1440" w:type="dxa"/>
            <w:tcBorders>
              <w:top w:val="single" w:sz="4" w:space="0" w:color="auto"/>
            </w:tcBorders>
          </w:tcPr>
          <w:p w14:paraId="13263AB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20.1±1.45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3CA6632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24.5±1.76</w:t>
            </w:r>
            <w:r w:rsidRPr="00510D36">
              <w:rPr>
                <w:rFonts w:ascii="Times New Roman" w:eastAsia="Times New Roman" w:hAnsi="Times New Roman" w:cs="Times New Roman"/>
                <w:color w:val="000000"/>
                <w:sz w:val="24"/>
                <w:szCs w:val="24"/>
                <w:vertAlign w:val="superscript"/>
              </w:rPr>
              <w:t>ab</w:t>
            </w:r>
          </w:p>
        </w:tc>
        <w:tc>
          <w:tcPr>
            <w:tcW w:w="1530" w:type="dxa"/>
            <w:tcBorders>
              <w:top w:val="single" w:sz="4" w:space="0" w:color="auto"/>
            </w:tcBorders>
          </w:tcPr>
          <w:p w14:paraId="5636BA9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38.3±1.33</w:t>
            </w:r>
            <w:r w:rsidRPr="00510D36">
              <w:rPr>
                <w:rFonts w:ascii="Times New Roman" w:eastAsia="Times New Roman" w:hAnsi="Times New Roman" w:cs="Times New Roman"/>
                <w:color w:val="000000"/>
                <w:sz w:val="24"/>
                <w:szCs w:val="24"/>
                <w:vertAlign w:val="superscript"/>
              </w:rPr>
              <w:t>c</w:t>
            </w:r>
          </w:p>
        </w:tc>
        <w:tc>
          <w:tcPr>
            <w:tcW w:w="1440" w:type="dxa"/>
            <w:tcBorders>
              <w:top w:val="single" w:sz="4" w:space="0" w:color="auto"/>
            </w:tcBorders>
          </w:tcPr>
          <w:p w14:paraId="0CA20503"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40.7±1.20</w:t>
            </w:r>
            <w:r w:rsidRPr="00510D36">
              <w:rPr>
                <w:rFonts w:ascii="Times New Roman" w:eastAsia="Times New Roman" w:hAnsi="Times New Roman" w:cs="Times New Roman"/>
                <w:color w:val="000000"/>
                <w:sz w:val="24"/>
                <w:szCs w:val="24"/>
                <w:vertAlign w:val="superscript"/>
              </w:rPr>
              <w:t>d</w:t>
            </w:r>
          </w:p>
        </w:tc>
      </w:tr>
      <w:tr w:rsidR="00DA426C" w:rsidRPr="00510D36" w14:paraId="1C82BE60" w14:textId="77777777" w:rsidTr="00E2295B">
        <w:tc>
          <w:tcPr>
            <w:tcW w:w="2250" w:type="dxa"/>
            <w:vAlign w:val="bottom"/>
          </w:tcPr>
          <w:p w14:paraId="24FBB84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Protein (g/dl)</w:t>
            </w:r>
          </w:p>
        </w:tc>
        <w:tc>
          <w:tcPr>
            <w:tcW w:w="1458" w:type="dxa"/>
          </w:tcPr>
          <w:p w14:paraId="67D9CB0B"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3.93±0.03</w:t>
            </w:r>
            <w:r w:rsidRPr="00510D36">
              <w:rPr>
                <w:rFonts w:ascii="Times New Roman" w:eastAsia="Times New Roman" w:hAnsi="Times New Roman" w:cs="Times New Roman"/>
                <w:color w:val="000000"/>
                <w:sz w:val="24"/>
                <w:szCs w:val="24"/>
                <w:vertAlign w:val="superscript"/>
              </w:rPr>
              <w:t>a</w:t>
            </w:r>
          </w:p>
        </w:tc>
        <w:tc>
          <w:tcPr>
            <w:tcW w:w="1440" w:type="dxa"/>
          </w:tcPr>
          <w:p w14:paraId="294F4EDF" w14:textId="76A2BB7F"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4.54±0.06</w:t>
            </w:r>
            <w:r w:rsidRPr="00510D36">
              <w:rPr>
                <w:rFonts w:ascii="Times New Roman" w:eastAsia="Times New Roman" w:hAnsi="Times New Roman" w:cs="Times New Roman"/>
                <w:color w:val="000000"/>
                <w:sz w:val="24"/>
                <w:szCs w:val="24"/>
                <w:vertAlign w:val="superscript"/>
              </w:rPr>
              <w:t>b</w:t>
            </w:r>
          </w:p>
        </w:tc>
        <w:tc>
          <w:tcPr>
            <w:tcW w:w="1530" w:type="dxa"/>
          </w:tcPr>
          <w:p w14:paraId="62918DBD" w14:textId="5BFFDB51"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4.61±0.01</w:t>
            </w:r>
            <w:r w:rsidRPr="00510D36">
              <w:rPr>
                <w:rFonts w:ascii="Times New Roman" w:eastAsia="Times New Roman" w:hAnsi="Times New Roman" w:cs="Times New Roman"/>
                <w:color w:val="000000"/>
                <w:sz w:val="24"/>
                <w:szCs w:val="24"/>
                <w:vertAlign w:val="superscript"/>
              </w:rPr>
              <w:t>b</w:t>
            </w:r>
          </w:p>
        </w:tc>
        <w:tc>
          <w:tcPr>
            <w:tcW w:w="1530" w:type="dxa"/>
          </w:tcPr>
          <w:p w14:paraId="04F7658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6.02±0.02</w:t>
            </w:r>
            <w:r w:rsidRPr="00510D36">
              <w:rPr>
                <w:rFonts w:ascii="Times New Roman" w:eastAsia="Times New Roman" w:hAnsi="Times New Roman" w:cs="Times New Roman"/>
                <w:color w:val="000000"/>
                <w:sz w:val="24"/>
                <w:szCs w:val="24"/>
                <w:vertAlign w:val="superscript"/>
              </w:rPr>
              <w:t>c</w:t>
            </w:r>
          </w:p>
        </w:tc>
        <w:tc>
          <w:tcPr>
            <w:tcW w:w="1440" w:type="dxa"/>
          </w:tcPr>
          <w:p w14:paraId="21FDB12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5.95±0.01</w:t>
            </w:r>
            <w:r w:rsidRPr="00510D36">
              <w:rPr>
                <w:rFonts w:ascii="Times New Roman" w:eastAsia="Times New Roman" w:hAnsi="Times New Roman" w:cs="Times New Roman"/>
                <w:color w:val="000000"/>
                <w:sz w:val="24"/>
                <w:szCs w:val="24"/>
                <w:vertAlign w:val="superscript"/>
              </w:rPr>
              <w:t>c</w:t>
            </w:r>
          </w:p>
        </w:tc>
      </w:tr>
      <w:tr w:rsidR="00DA426C" w:rsidRPr="00510D36" w14:paraId="7BAEE42C" w14:textId="77777777" w:rsidTr="00E2295B">
        <w:tc>
          <w:tcPr>
            <w:tcW w:w="2250" w:type="dxa"/>
            <w:vAlign w:val="bottom"/>
          </w:tcPr>
          <w:p w14:paraId="5ECE37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Albumin (g/dl)</w:t>
            </w:r>
          </w:p>
        </w:tc>
        <w:tc>
          <w:tcPr>
            <w:tcW w:w="1458" w:type="dxa"/>
          </w:tcPr>
          <w:p w14:paraId="2824AC33"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1.72±0.02</w:t>
            </w:r>
            <w:r w:rsidRPr="00510D36">
              <w:rPr>
                <w:rFonts w:ascii="Times New Roman" w:eastAsia="Times New Roman" w:hAnsi="Times New Roman" w:cs="Times New Roman"/>
                <w:color w:val="000000"/>
                <w:sz w:val="24"/>
                <w:szCs w:val="24"/>
                <w:vertAlign w:val="superscript"/>
              </w:rPr>
              <w:t>a</w:t>
            </w:r>
          </w:p>
        </w:tc>
        <w:tc>
          <w:tcPr>
            <w:tcW w:w="1440" w:type="dxa"/>
          </w:tcPr>
          <w:p w14:paraId="21EEEC82"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2.10±0.03</w:t>
            </w:r>
            <w:r w:rsidRPr="00510D36">
              <w:rPr>
                <w:rFonts w:ascii="Times New Roman" w:eastAsia="Times New Roman" w:hAnsi="Times New Roman" w:cs="Times New Roman"/>
                <w:color w:val="000000"/>
                <w:sz w:val="24"/>
                <w:szCs w:val="24"/>
                <w:vertAlign w:val="superscript"/>
              </w:rPr>
              <w:t>b</w:t>
            </w:r>
          </w:p>
        </w:tc>
        <w:tc>
          <w:tcPr>
            <w:tcW w:w="1530" w:type="dxa"/>
          </w:tcPr>
          <w:p w14:paraId="65F3F1BE"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2.05±0.03</w:t>
            </w:r>
            <w:r w:rsidRPr="00510D36">
              <w:rPr>
                <w:rFonts w:ascii="Times New Roman" w:eastAsia="Times New Roman" w:hAnsi="Times New Roman" w:cs="Times New Roman"/>
                <w:color w:val="000000"/>
                <w:sz w:val="24"/>
                <w:szCs w:val="24"/>
                <w:vertAlign w:val="superscript"/>
              </w:rPr>
              <w:t>b</w:t>
            </w:r>
          </w:p>
        </w:tc>
        <w:tc>
          <w:tcPr>
            <w:tcW w:w="1530" w:type="dxa"/>
          </w:tcPr>
          <w:p w14:paraId="5A8E00E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2.48±0.01</w:t>
            </w:r>
            <w:r w:rsidRPr="00510D36">
              <w:rPr>
                <w:rFonts w:ascii="Times New Roman" w:eastAsia="Times New Roman" w:hAnsi="Times New Roman" w:cs="Times New Roman"/>
                <w:color w:val="000000"/>
                <w:sz w:val="24"/>
                <w:szCs w:val="24"/>
                <w:vertAlign w:val="superscript"/>
              </w:rPr>
              <w:t>c</w:t>
            </w:r>
          </w:p>
        </w:tc>
        <w:tc>
          <w:tcPr>
            <w:tcW w:w="1440" w:type="dxa"/>
          </w:tcPr>
          <w:p w14:paraId="14C599E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2.52±0.05</w:t>
            </w:r>
            <w:r w:rsidRPr="00510D36">
              <w:rPr>
                <w:rFonts w:ascii="Times New Roman" w:eastAsia="Times New Roman" w:hAnsi="Times New Roman" w:cs="Times New Roman"/>
                <w:color w:val="000000"/>
                <w:sz w:val="24"/>
                <w:szCs w:val="24"/>
                <w:vertAlign w:val="superscript"/>
              </w:rPr>
              <w:t>c</w:t>
            </w:r>
          </w:p>
        </w:tc>
      </w:tr>
      <w:tr w:rsidR="00DA426C" w:rsidRPr="00510D36" w14:paraId="70393384" w14:textId="77777777" w:rsidTr="00E2295B">
        <w:tc>
          <w:tcPr>
            <w:tcW w:w="2250" w:type="dxa"/>
            <w:vAlign w:val="bottom"/>
          </w:tcPr>
          <w:p w14:paraId="7F746C5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Globulin (g/dl)</w:t>
            </w:r>
          </w:p>
        </w:tc>
        <w:tc>
          <w:tcPr>
            <w:tcW w:w="1458" w:type="dxa"/>
          </w:tcPr>
          <w:p w14:paraId="306CFEE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2.26±0.02</w:t>
            </w:r>
            <w:r w:rsidRPr="00510D36">
              <w:rPr>
                <w:rFonts w:ascii="Times New Roman" w:eastAsia="Times New Roman" w:hAnsi="Times New Roman" w:cs="Times New Roman"/>
                <w:color w:val="000000"/>
                <w:sz w:val="24"/>
                <w:szCs w:val="24"/>
                <w:vertAlign w:val="superscript"/>
              </w:rPr>
              <w:t>a</w:t>
            </w:r>
          </w:p>
        </w:tc>
        <w:tc>
          <w:tcPr>
            <w:tcW w:w="1440" w:type="dxa"/>
          </w:tcPr>
          <w:p w14:paraId="607CA2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2.64±0.19</w:t>
            </w:r>
            <w:r w:rsidRPr="00510D36">
              <w:rPr>
                <w:rFonts w:ascii="Times New Roman" w:eastAsia="Times New Roman" w:hAnsi="Times New Roman" w:cs="Times New Roman"/>
                <w:color w:val="000000"/>
                <w:sz w:val="24"/>
                <w:szCs w:val="24"/>
                <w:vertAlign w:val="superscript"/>
              </w:rPr>
              <w:t>b</w:t>
            </w:r>
          </w:p>
        </w:tc>
        <w:tc>
          <w:tcPr>
            <w:tcW w:w="1530" w:type="dxa"/>
          </w:tcPr>
          <w:p w14:paraId="286AC2B5"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2.82±0.02</w:t>
            </w:r>
            <w:r w:rsidRPr="00510D36">
              <w:rPr>
                <w:rFonts w:ascii="Times New Roman" w:eastAsia="Times New Roman" w:hAnsi="Times New Roman" w:cs="Times New Roman"/>
                <w:color w:val="000000"/>
                <w:sz w:val="24"/>
                <w:szCs w:val="24"/>
                <w:vertAlign w:val="superscript"/>
              </w:rPr>
              <w:t>b</w:t>
            </w:r>
          </w:p>
        </w:tc>
        <w:tc>
          <w:tcPr>
            <w:tcW w:w="1530" w:type="dxa"/>
          </w:tcPr>
          <w:p w14:paraId="22BC5AB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3.64±0.03</w:t>
            </w:r>
            <w:r w:rsidRPr="00510D36">
              <w:rPr>
                <w:rFonts w:ascii="Times New Roman" w:eastAsia="Times New Roman" w:hAnsi="Times New Roman" w:cs="Times New Roman"/>
                <w:color w:val="000000"/>
                <w:sz w:val="24"/>
                <w:szCs w:val="24"/>
                <w:vertAlign w:val="superscript"/>
              </w:rPr>
              <w:t xml:space="preserve">c </w:t>
            </w:r>
          </w:p>
        </w:tc>
        <w:tc>
          <w:tcPr>
            <w:tcW w:w="1440" w:type="dxa"/>
          </w:tcPr>
          <w:p w14:paraId="2EF10AD4"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3.21±0.02</w:t>
            </w:r>
            <w:r w:rsidRPr="00510D36">
              <w:rPr>
                <w:rFonts w:ascii="Times New Roman" w:eastAsia="Times New Roman" w:hAnsi="Times New Roman" w:cs="Times New Roman"/>
                <w:color w:val="000000"/>
                <w:sz w:val="24"/>
                <w:szCs w:val="24"/>
                <w:vertAlign w:val="superscript"/>
              </w:rPr>
              <w:t>bc</w:t>
            </w:r>
          </w:p>
        </w:tc>
      </w:tr>
      <w:tr w:rsidR="00DA426C" w:rsidRPr="00510D36" w14:paraId="093FD810" w14:textId="77777777" w:rsidTr="00E2295B">
        <w:tc>
          <w:tcPr>
            <w:tcW w:w="2250" w:type="dxa"/>
            <w:vAlign w:val="bottom"/>
          </w:tcPr>
          <w:p w14:paraId="5D7A3A40" w14:textId="77777777" w:rsidR="00DA426C" w:rsidRPr="00510D36" w:rsidRDefault="00DA426C" w:rsidP="00510D36">
            <w:pPr>
              <w:rPr>
                <w:rFonts w:ascii="Times New Roman" w:hAnsi="Times New Roman" w:cs="Times New Roman"/>
                <w:sz w:val="24"/>
                <w:szCs w:val="24"/>
              </w:rPr>
            </w:pPr>
            <w:r w:rsidRPr="00510D36">
              <w:rPr>
                <w:rFonts w:ascii="Times New Roman" w:eastAsia="Times New Roman" w:hAnsi="Times New Roman" w:cs="Times New Roman"/>
                <w:color w:val="000000"/>
                <w:sz w:val="24"/>
                <w:szCs w:val="24"/>
              </w:rPr>
              <w:t>Cholesterol (mg/dl)</w:t>
            </w:r>
          </w:p>
        </w:tc>
        <w:tc>
          <w:tcPr>
            <w:tcW w:w="1458" w:type="dxa"/>
          </w:tcPr>
          <w:p w14:paraId="351987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34.7±1.20</w:t>
            </w:r>
            <w:r w:rsidRPr="00510D36">
              <w:rPr>
                <w:rFonts w:ascii="Times New Roman" w:eastAsia="Times New Roman" w:hAnsi="Times New Roman" w:cs="Times New Roman"/>
                <w:color w:val="000000"/>
                <w:sz w:val="24"/>
                <w:szCs w:val="24"/>
                <w:vertAlign w:val="superscript"/>
              </w:rPr>
              <w:t>a</w:t>
            </w:r>
          </w:p>
        </w:tc>
        <w:tc>
          <w:tcPr>
            <w:tcW w:w="1440" w:type="dxa"/>
          </w:tcPr>
          <w:p w14:paraId="2F67D3C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39.2±0.88</w:t>
            </w:r>
            <w:r w:rsidRPr="00510D36">
              <w:rPr>
                <w:rFonts w:ascii="Times New Roman" w:eastAsia="Times New Roman" w:hAnsi="Times New Roman" w:cs="Times New Roman"/>
                <w:color w:val="000000"/>
                <w:sz w:val="24"/>
                <w:szCs w:val="24"/>
                <w:vertAlign w:val="superscript"/>
              </w:rPr>
              <w:t>b</w:t>
            </w:r>
          </w:p>
        </w:tc>
        <w:tc>
          <w:tcPr>
            <w:tcW w:w="1530" w:type="dxa"/>
          </w:tcPr>
          <w:p w14:paraId="3D349EC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40.5±0.88</w:t>
            </w:r>
            <w:r w:rsidRPr="00510D36">
              <w:rPr>
                <w:rFonts w:ascii="Times New Roman" w:eastAsia="Times New Roman" w:hAnsi="Times New Roman" w:cs="Times New Roman"/>
                <w:color w:val="000000"/>
                <w:sz w:val="24"/>
                <w:szCs w:val="24"/>
                <w:vertAlign w:val="superscript"/>
              </w:rPr>
              <w:t>b</w:t>
            </w:r>
          </w:p>
        </w:tc>
        <w:tc>
          <w:tcPr>
            <w:tcW w:w="1530" w:type="dxa"/>
          </w:tcPr>
          <w:p w14:paraId="26BD4E68" w14:textId="018D86B9"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44.0±1.15</w:t>
            </w:r>
            <w:r w:rsidRPr="00510D36">
              <w:rPr>
                <w:rFonts w:ascii="Times New Roman" w:eastAsia="Times New Roman" w:hAnsi="Times New Roman" w:cs="Times New Roman"/>
                <w:color w:val="000000"/>
                <w:sz w:val="24"/>
                <w:szCs w:val="24"/>
                <w:vertAlign w:val="superscript"/>
              </w:rPr>
              <w:t>c</w:t>
            </w:r>
          </w:p>
        </w:tc>
        <w:tc>
          <w:tcPr>
            <w:tcW w:w="1440" w:type="dxa"/>
          </w:tcPr>
          <w:p w14:paraId="4775B224" w14:textId="28E7465C"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46.3±1.15</w:t>
            </w:r>
            <w:r w:rsidR="00FC394B" w:rsidRPr="00510D36">
              <w:rPr>
                <w:rFonts w:ascii="Times New Roman" w:eastAsia="Times New Roman" w:hAnsi="Times New Roman" w:cs="Times New Roman"/>
                <w:color w:val="000000"/>
                <w:sz w:val="24"/>
                <w:szCs w:val="24"/>
                <w:vertAlign w:val="superscript"/>
              </w:rPr>
              <w:t>d</w:t>
            </w:r>
          </w:p>
        </w:tc>
      </w:tr>
    </w:tbl>
    <w:p w14:paraId="721FBE23"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53ABAAE0" w14:textId="77777777" w:rsidR="008F35B2" w:rsidRPr="00571696" w:rsidRDefault="008F35B2" w:rsidP="00571696">
      <w:pPr>
        <w:spacing w:after="0" w:line="240" w:lineRule="auto"/>
        <w:rPr>
          <w:b/>
          <w:bCs/>
          <w:i/>
          <w:iCs/>
          <w:szCs w:val="24"/>
        </w:rPr>
      </w:pPr>
    </w:p>
    <w:p w14:paraId="56F08A2E" w14:textId="5C195A57" w:rsidR="009566CA" w:rsidRPr="00571696" w:rsidRDefault="00A86658" w:rsidP="00571696">
      <w:pPr>
        <w:spacing w:after="0" w:line="240" w:lineRule="auto"/>
        <w:rPr>
          <w:b/>
          <w:bCs/>
          <w:i/>
          <w:iCs/>
          <w:szCs w:val="24"/>
        </w:rPr>
      </w:pPr>
      <w:r w:rsidRPr="00571696">
        <w:rPr>
          <w:b/>
          <w:bCs/>
          <w:i/>
          <w:iCs/>
          <w:szCs w:val="24"/>
        </w:rPr>
        <w:t>CONCLUSION</w:t>
      </w:r>
    </w:p>
    <w:p w14:paraId="62E05344" w14:textId="2E9FDDC5" w:rsidR="007B5F03" w:rsidRPr="00510D36" w:rsidRDefault="007B5F03" w:rsidP="00510D36">
      <w:pPr>
        <w:spacing w:after="0" w:line="240" w:lineRule="auto"/>
        <w:jc w:val="both"/>
        <w:rPr>
          <w:szCs w:val="24"/>
        </w:rPr>
      </w:pPr>
      <w:r w:rsidRPr="00510D36">
        <w:rPr>
          <w:szCs w:val="24"/>
        </w:rPr>
        <w:t xml:space="preserve">This study demonstrates that dietary supplementation with </w:t>
      </w:r>
      <w:r w:rsidRPr="00510D36">
        <w:rPr>
          <w:i/>
          <w:iCs/>
          <w:szCs w:val="24"/>
        </w:rPr>
        <w:t>Cucurbita pepo</w:t>
      </w:r>
      <w:r w:rsidRPr="00510D36">
        <w:rPr>
          <w:szCs w:val="24"/>
        </w:rPr>
        <w:t xml:space="preserve"> leaf powder positively influences the growth performance, nutrient utilization, haematological parameters, </w:t>
      </w:r>
      <w:r w:rsidR="00DF3FD2" w:rsidRPr="00510D36">
        <w:rPr>
          <w:szCs w:val="24"/>
        </w:rPr>
        <w:t xml:space="preserve">and </w:t>
      </w:r>
      <w:r w:rsidRPr="00510D36">
        <w:rPr>
          <w:szCs w:val="24"/>
        </w:rPr>
        <w:t xml:space="preserve">biochemical profile of </w:t>
      </w:r>
      <w:r w:rsidRPr="00510D36">
        <w:rPr>
          <w:i/>
          <w:iCs/>
          <w:szCs w:val="24"/>
        </w:rPr>
        <w:t>Clarias gariepinus</w:t>
      </w:r>
      <w:r w:rsidRPr="00510D36">
        <w:rPr>
          <w:szCs w:val="24"/>
        </w:rPr>
        <w:t xml:space="preserve"> fingerlings.</w:t>
      </w:r>
      <w:r w:rsidR="008428E8" w:rsidRPr="00510D36">
        <w:rPr>
          <w:szCs w:val="24"/>
        </w:rPr>
        <w:t xml:space="preserve"> </w:t>
      </w:r>
      <w:r w:rsidRPr="00510D36">
        <w:rPr>
          <w:szCs w:val="24"/>
        </w:rPr>
        <w:t xml:space="preserve">Fish fed diets containing </w:t>
      </w:r>
      <w:r w:rsidRPr="00510D36">
        <w:rPr>
          <w:i/>
          <w:iCs/>
          <w:szCs w:val="24"/>
        </w:rPr>
        <w:t>C. pepo</w:t>
      </w:r>
      <w:r w:rsidRPr="00510D36">
        <w:rPr>
          <w:szCs w:val="24"/>
        </w:rPr>
        <w:t xml:space="preserve"> exhibited improved weight gain, specific growth rate, and</w:t>
      </w:r>
      <w:r w:rsidR="008428E8" w:rsidRPr="00510D36">
        <w:rPr>
          <w:szCs w:val="24"/>
        </w:rPr>
        <w:t xml:space="preserve"> </w:t>
      </w:r>
      <w:r w:rsidRPr="00510D36">
        <w:rPr>
          <w:szCs w:val="24"/>
        </w:rPr>
        <w:t>feed intake compared with the control group, with the best performance recorded at 1.5 g/100 g diet.</w:t>
      </w:r>
      <w:r w:rsidR="008428E8" w:rsidRPr="00510D36">
        <w:rPr>
          <w:szCs w:val="24"/>
        </w:rPr>
        <w:t xml:space="preserve"> </w:t>
      </w:r>
      <w:r w:rsidRPr="00510D36">
        <w:rPr>
          <w:szCs w:val="24"/>
        </w:rPr>
        <w:t>Polynomial regression analysis indicated an optimum inclusion level of approximately 1.7 g/100 g, suggesting that moderate supplementation within the range of 1.5–1.7 g/100 g yields the most beneficial effects.</w:t>
      </w:r>
      <w:r w:rsidR="008428E8" w:rsidRPr="00510D36">
        <w:rPr>
          <w:szCs w:val="24"/>
        </w:rPr>
        <w:t xml:space="preserve"> </w:t>
      </w:r>
      <w:r w:rsidRPr="00510D36">
        <w:rPr>
          <w:szCs w:val="24"/>
        </w:rPr>
        <w:t xml:space="preserve">Therefore, </w:t>
      </w:r>
      <w:r w:rsidRPr="00510D36">
        <w:rPr>
          <w:i/>
          <w:iCs/>
          <w:szCs w:val="24"/>
        </w:rPr>
        <w:t>C. pepo</w:t>
      </w:r>
      <w:r w:rsidRPr="00510D36">
        <w:rPr>
          <w:szCs w:val="24"/>
        </w:rPr>
        <w:t xml:space="preserve"> leaf powder can be considered a safe, economical, and sustainable feed additive for improving growth performance, health status, and nutrient efficiency in </w:t>
      </w:r>
      <w:r w:rsidRPr="00510D36">
        <w:rPr>
          <w:i/>
          <w:iCs/>
          <w:szCs w:val="24"/>
        </w:rPr>
        <w:t>C. gariepinus</w:t>
      </w:r>
      <w:r w:rsidRPr="00510D36">
        <w:rPr>
          <w:szCs w:val="24"/>
        </w:rPr>
        <w:t xml:space="preserve"> fingerlings.</w:t>
      </w:r>
    </w:p>
    <w:p w14:paraId="35870027" w14:textId="77777777" w:rsidR="002E5836" w:rsidRPr="00510D36" w:rsidRDefault="002E5836" w:rsidP="00510D36">
      <w:pPr>
        <w:spacing w:after="0" w:line="240" w:lineRule="auto"/>
        <w:jc w:val="both"/>
        <w:rPr>
          <w:b/>
          <w:bCs/>
          <w:szCs w:val="24"/>
        </w:rPr>
      </w:pPr>
    </w:p>
    <w:p w14:paraId="59CDF3EE" w14:textId="1F242563" w:rsidR="00B15488" w:rsidRPr="007F1D70" w:rsidRDefault="00B15488" w:rsidP="00571696">
      <w:pPr>
        <w:spacing w:after="0" w:line="240" w:lineRule="auto"/>
        <w:rPr>
          <w:b/>
          <w:bCs/>
        </w:rPr>
      </w:pPr>
      <w:r w:rsidRPr="00CE7453">
        <w:rPr>
          <w:b/>
          <w:bCs/>
        </w:rPr>
        <w:t>INSTITUTIONAL REVIEW BOARD</w:t>
      </w:r>
      <w:r>
        <w:rPr>
          <w:b/>
          <w:bCs/>
        </w:rPr>
        <w:t xml:space="preserve"> (</w:t>
      </w:r>
      <w:r w:rsidRPr="007F1D70">
        <w:rPr>
          <w:b/>
          <w:bCs/>
        </w:rPr>
        <w:t>ETHICS APPROVAL</w:t>
      </w:r>
      <w:r>
        <w:rPr>
          <w:b/>
          <w:bCs/>
        </w:rPr>
        <w:t>)</w:t>
      </w:r>
    </w:p>
    <w:p w14:paraId="674193BF" w14:textId="5C97F8BD" w:rsidR="00B15488" w:rsidRDefault="00571696" w:rsidP="00571696">
      <w:pPr>
        <w:spacing w:after="0" w:line="240" w:lineRule="auto"/>
        <w:jc w:val="both"/>
        <w:rPr>
          <w:b/>
          <w:bCs/>
          <w:szCs w:val="24"/>
        </w:rPr>
      </w:pPr>
      <w:r w:rsidRPr="005106CE">
        <w:t>The experiment was conducted in accordance with institutional guidelines for the care and</w:t>
      </w:r>
      <w:r>
        <w:t xml:space="preserve"> </w:t>
      </w:r>
      <w:r w:rsidRPr="005106CE">
        <w:t>use of laboratory animals in research</w:t>
      </w:r>
    </w:p>
    <w:p w14:paraId="078D200F" w14:textId="77777777" w:rsidR="00571696" w:rsidRDefault="00571696" w:rsidP="00571696">
      <w:pPr>
        <w:spacing w:after="0" w:line="240" w:lineRule="auto"/>
        <w:rPr>
          <w:b/>
          <w:bCs/>
          <w:szCs w:val="24"/>
        </w:rPr>
      </w:pPr>
    </w:p>
    <w:p w14:paraId="6D6705A5" w14:textId="4D2E62B2" w:rsidR="00354C90" w:rsidRPr="00510D36" w:rsidRDefault="002A7A54" w:rsidP="00571696">
      <w:pPr>
        <w:spacing w:after="0" w:line="240" w:lineRule="auto"/>
        <w:rPr>
          <w:b/>
          <w:bCs/>
          <w:szCs w:val="24"/>
        </w:rPr>
      </w:pPr>
      <w:r w:rsidRPr="00510D36">
        <w:rPr>
          <w:b/>
          <w:bCs/>
          <w:szCs w:val="24"/>
        </w:rPr>
        <w:t>ACKNOWLEDGEMENT</w:t>
      </w:r>
    </w:p>
    <w:p w14:paraId="48C678C7" w14:textId="77777777" w:rsidR="004161BD" w:rsidRPr="00510D36" w:rsidRDefault="00354C90" w:rsidP="00510D36">
      <w:pPr>
        <w:spacing w:after="0" w:line="240" w:lineRule="auto"/>
        <w:jc w:val="both"/>
        <w:rPr>
          <w:szCs w:val="24"/>
        </w:rPr>
      </w:pPr>
      <w:r w:rsidRPr="00510D36">
        <w:rPr>
          <w:szCs w:val="24"/>
        </w:rPr>
        <w:t>The authors sincerely acknowledge the Department of Fisheries and Aquaculture Technology, Federal University of Technology, Akure, Nigeria, for providing the laboratory facilities required for this research.</w:t>
      </w:r>
    </w:p>
    <w:p w14:paraId="30D65434" w14:textId="77777777" w:rsidR="002E5836" w:rsidRPr="00510D36" w:rsidRDefault="002E5836" w:rsidP="00510D36">
      <w:pPr>
        <w:spacing w:after="0" w:line="240" w:lineRule="auto"/>
        <w:jc w:val="both"/>
        <w:rPr>
          <w:b/>
          <w:bCs/>
          <w:szCs w:val="24"/>
        </w:rPr>
      </w:pPr>
    </w:p>
    <w:p w14:paraId="2284191D" w14:textId="20128A7C" w:rsidR="00B15488" w:rsidRDefault="00B15488" w:rsidP="00571696">
      <w:pPr>
        <w:spacing w:after="0" w:line="240" w:lineRule="auto"/>
        <w:rPr>
          <w:b/>
          <w:bCs/>
        </w:rPr>
      </w:pPr>
      <w:r>
        <w:rPr>
          <w:b/>
          <w:bCs/>
        </w:rPr>
        <w:t>CONFLICT OF INTEREST</w:t>
      </w:r>
    </w:p>
    <w:p w14:paraId="40C43325" w14:textId="77777777" w:rsidR="00B15488" w:rsidRPr="00730AC3" w:rsidRDefault="00B15488" w:rsidP="00B15488">
      <w:pPr>
        <w:spacing w:after="0" w:line="240" w:lineRule="auto"/>
        <w:jc w:val="both"/>
      </w:pPr>
      <w:r w:rsidRPr="00730AC3">
        <w:t>All authors declare that they have no conflict of interest.</w:t>
      </w:r>
    </w:p>
    <w:p w14:paraId="709291D9" w14:textId="77777777" w:rsidR="00B15488" w:rsidRDefault="00B15488" w:rsidP="00510D36">
      <w:pPr>
        <w:spacing w:after="0" w:line="240" w:lineRule="auto"/>
        <w:ind w:left="720" w:hanging="720"/>
        <w:jc w:val="center"/>
        <w:rPr>
          <w:rFonts w:eastAsia="Times New Roman"/>
          <w:b/>
          <w:bCs/>
          <w:color w:val="0D0D0D" w:themeColor="text1" w:themeTint="F2"/>
          <w:szCs w:val="24"/>
        </w:rPr>
      </w:pPr>
    </w:p>
    <w:p w14:paraId="37D37D7B" w14:textId="02577790" w:rsidR="00617A78" w:rsidRPr="00510D36" w:rsidRDefault="002A7A54" w:rsidP="00571696">
      <w:pPr>
        <w:spacing w:after="0" w:line="240" w:lineRule="auto"/>
        <w:ind w:left="720" w:hanging="720"/>
        <w:rPr>
          <w:rFonts w:eastAsia="Times New Roman"/>
          <w:b/>
          <w:bCs/>
          <w:color w:val="0D0D0D" w:themeColor="text1" w:themeTint="F2"/>
          <w:szCs w:val="24"/>
        </w:rPr>
      </w:pPr>
      <w:r w:rsidRPr="00510D36">
        <w:rPr>
          <w:rFonts w:eastAsia="Times New Roman"/>
          <w:b/>
          <w:bCs/>
          <w:color w:val="0D0D0D" w:themeColor="text1" w:themeTint="F2"/>
          <w:szCs w:val="24"/>
        </w:rPr>
        <w:t>REFERENCES</w:t>
      </w:r>
    </w:p>
    <w:p w14:paraId="7CF2BA2D" w14:textId="77777777" w:rsidR="00617A78"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[1]</w:t>
      </w:r>
      <w:r w:rsidRPr="00510D36">
        <w:rPr>
          <w:szCs w:val="24"/>
        </w:rPr>
        <w:tab/>
      </w:r>
      <w:r w:rsidR="00771D3A" w:rsidRPr="00510D36">
        <w:rPr>
          <w:szCs w:val="24"/>
        </w:rPr>
        <w:t xml:space="preserve">FAO. (2022). </w:t>
      </w:r>
      <w:r w:rsidR="00771D3A" w:rsidRPr="00510D36">
        <w:rPr>
          <w:i/>
          <w:iCs/>
          <w:szCs w:val="24"/>
        </w:rPr>
        <w:t>The State of World Fisheries and Aquaculture: Towards Blue Transformation</w:t>
      </w:r>
      <w:r w:rsidR="00771D3A" w:rsidRPr="00510D36">
        <w:rPr>
          <w:szCs w:val="24"/>
        </w:rPr>
        <w:t>. Rome: FAO. PP. 266</w:t>
      </w:r>
      <w:r w:rsidR="002365A6" w:rsidRPr="00510D36">
        <w:rPr>
          <w:szCs w:val="24"/>
        </w:rPr>
        <w:t>.</w:t>
      </w:r>
    </w:p>
    <w:p w14:paraId="0F43E621" w14:textId="3C28023D" w:rsidR="002365A6"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[2]</w:t>
      </w:r>
      <w:r w:rsidRPr="00510D36">
        <w:rPr>
          <w:szCs w:val="24"/>
        </w:rPr>
        <w:tab/>
      </w:r>
      <w:r w:rsidR="002365A6" w:rsidRPr="00510D36">
        <w:rPr>
          <w:szCs w:val="24"/>
        </w:rPr>
        <w:t>OECD-FAO. OECD-FAO Agricultural Outlook 2024–2033. Paris: OECD Publishing; 2024.</w:t>
      </w:r>
      <w:r w:rsidR="00771D3A" w:rsidRPr="00510D36">
        <w:rPr>
          <w:szCs w:val="24"/>
        </w:rPr>
        <w:t xml:space="preserve"> pp.165–172.</w:t>
      </w:r>
    </w:p>
    <w:p w14:paraId="3AE036FC" w14:textId="65BDB456" w:rsidR="002365A6" w:rsidRPr="00510D36" w:rsidRDefault="00617A78" w:rsidP="00510D36">
      <w:pPr>
        <w:spacing w:after="0" w:line="240" w:lineRule="auto"/>
        <w:ind w:left="720" w:hanging="720"/>
        <w:jc w:val="both"/>
        <w:rPr>
          <w:szCs w:val="24"/>
        </w:rPr>
      </w:pPr>
      <w:r w:rsidRPr="00510D36">
        <w:rPr>
          <w:szCs w:val="24"/>
        </w:rPr>
        <w:t>[3]</w:t>
      </w:r>
      <w:r w:rsidRPr="00510D36">
        <w:rPr>
          <w:szCs w:val="24"/>
        </w:rPr>
        <w:tab/>
      </w:r>
      <w:r w:rsidR="002365A6" w:rsidRPr="00510D36">
        <w:rPr>
          <w:szCs w:val="24"/>
        </w:rPr>
        <w:t>Tacon A</w:t>
      </w:r>
      <w:r w:rsidR="005D26DC" w:rsidRPr="00510D36">
        <w:rPr>
          <w:szCs w:val="24"/>
        </w:rPr>
        <w:t>.</w:t>
      </w:r>
      <w:r w:rsidR="002365A6" w:rsidRPr="00510D36">
        <w:rPr>
          <w:szCs w:val="24"/>
        </w:rPr>
        <w:t>G</w:t>
      </w:r>
      <w:r w:rsidR="005D26DC" w:rsidRPr="00510D36">
        <w:rPr>
          <w:szCs w:val="24"/>
        </w:rPr>
        <w:t>.</w:t>
      </w:r>
      <w:r w:rsidR="002365A6" w:rsidRPr="00510D36">
        <w:rPr>
          <w:szCs w:val="24"/>
        </w:rPr>
        <w:t>J</w:t>
      </w:r>
      <w:r w:rsidR="005D26DC" w:rsidRPr="00510D36">
        <w:rPr>
          <w:szCs w:val="24"/>
        </w:rPr>
        <w:t>.;</w:t>
      </w:r>
      <w:r w:rsidR="002365A6" w:rsidRPr="00510D36">
        <w:rPr>
          <w:szCs w:val="24"/>
        </w:rPr>
        <w:t xml:space="preserve"> Metian M. Feed matters: satisfying the feed demand of aquaculture. </w:t>
      </w:r>
      <w:r w:rsidRPr="00510D36">
        <w:rPr>
          <w:szCs w:val="24"/>
        </w:rPr>
        <w:t xml:space="preserve">      </w:t>
      </w:r>
      <w:r w:rsidR="002365A6" w:rsidRPr="00510D36">
        <w:rPr>
          <w:i/>
          <w:iCs/>
          <w:szCs w:val="24"/>
        </w:rPr>
        <w:t xml:space="preserve">Reviews in </w:t>
      </w:r>
      <w:r w:rsidR="002A7A54" w:rsidRPr="00510D36">
        <w:rPr>
          <w:i/>
          <w:iCs/>
          <w:szCs w:val="24"/>
        </w:rPr>
        <w:t xml:space="preserve">  </w:t>
      </w:r>
      <w:r w:rsidR="002365A6" w:rsidRPr="00510D36">
        <w:rPr>
          <w:i/>
          <w:iCs/>
          <w:szCs w:val="24"/>
        </w:rPr>
        <w:t xml:space="preserve">Fisheries Science </w:t>
      </w:r>
      <w:r w:rsidR="00B8691F" w:rsidRPr="00510D36">
        <w:rPr>
          <w:i/>
          <w:iCs/>
          <w:szCs w:val="24"/>
        </w:rPr>
        <w:t>and</w:t>
      </w:r>
      <w:r w:rsidR="002365A6" w:rsidRPr="00510D36">
        <w:rPr>
          <w:i/>
          <w:iCs/>
          <w:szCs w:val="24"/>
        </w:rPr>
        <w:t xml:space="preserve"> Aquaculture</w:t>
      </w:r>
      <w:r w:rsidR="002365A6" w:rsidRPr="00510D36">
        <w:rPr>
          <w:szCs w:val="24"/>
        </w:rPr>
        <w:t>. 2015;23(1):1–10.</w:t>
      </w:r>
    </w:p>
    <w:p w14:paraId="3D8AC659" w14:textId="77777777" w:rsidR="004111C8" w:rsidRPr="00510D36" w:rsidRDefault="00617A78" w:rsidP="00510D36">
      <w:pPr>
        <w:spacing w:after="0" w:line="240" w:lineRule="auto"/>
        <w:ind w:left="720" w:hanging="720"/>
        <w:jc w:val="both"/>
        <w:rPr>
          <w:szCs w:val="24"/>
        </w:rPr>
      </w:pPr>
      <w:r w:rsidRPr="00510D36">
        <w:rPr>
          <w:szCs w:val="24"/>
        </w:rPr>
        <w:t>[4]</w:t>
      </w:r>
      <w:r w:rsidRPr="00510D36">
        <w:rPr>
          <w:szCs w:val="24"/>
        </w:rPr>
        <w:tab/>
      </w:r>
      <w:r w:rsidR="002365A6" w:rsidRPr="00510D36">
        <w:rPr>
          <w:szCs w:val="24"/>
        </w:rPr>
        <w:t xml:space="preserve">Dawood MAO, Abdel-Latif HMR, Koshio S. The role of phytogenic feed additives in </w:t>
      </w:r>
      <w:r w:rsidRPr="00510D36">
        <w:rPr>
          <w:szCs w:val="24"/>
        </w:rPr>
        <w:t xml:space="preserve">  </w:t>
      </w:r>
      <w:r w:rsidR="002365A6" w:rsidRPr="00510D36">
        <w:rPr>
          <w:szCs w:val="24"/>
        </w:rPr>
        <w:t xml:space="preserve">fish nutrition and aquaculture sustainability. </w:t>
      </w:r>
      <w:r w:rsidR="002365A6" w:rsidRPr="00510D36">
        <w:rPr>
          <w:i/>
          <w:iCs/>
          <w:szCs w:val="24"/>
        </w:rPr>
        <w:t>Aquaculture Research.</w:t>
      </w:r>
      <w:r w:rsidR="002365A6" w:rsidRPr="00510D36">
        <w:rPr>
          <w:szCs w:val="24"/>
        </w:rPr>
        <w:t xml:space="preserve"> </w:t>
      </w:r>
      <w:proofErr w:type="gramStart"/>
      <w:r w:rsidR="00B8691F" w:rsidRPr="00510D36">
        <w:rPr>
          <w:szCs w:val="24"/>
        </w:rPr>
        <w:t>2022;53:1021</w:t>
      </w:r>
      <w:proofErr w:type="gramEnd"/>
      <w:r w:rsidR="002365A6" w:rsidRPr="00510D36">
        <w:rPr>
          <w:szCs w:val="24"/>
        </w:rPr>
        <w:t>–1042.</w:t>
      </w:r>
    </w:p>
    <w:p w14:paraId="4D16291C" w14:textId="77777777" w:rsidR="004111C8" w:rsidRPr="00510D36" w:rsidRDefault="00617A78" w:rsidP="00510D36">
      <w:pPr>
        <w:spacing w:after="0" w:line="240" w:lineRule="auto"/>
        <w:ind w:left="720" w:hanging="720"/>
        <w:jc w:val="both"/>
        <w:rPr>
          <w:szCs w:val="24"/>
        </w:rPr>
      </w:pPr>
      <w:r w:rsidRPr="00510D36">
        <w:rPr>
          <w:szCs w:val="24"/>
        </w:rPr>
        <w:lastRenderedPageBreak/>
        <w:t>[5]</w:t>
      </w:r>
      <w:r w:rsidRPr="00510D36">
        <w:rPr>
          <w:szCs w:val="24"/>
        </w:rPr>
        <w:tab/>
      </w:r>
      <w:r w:rsidR="002365A6" w:rsidRPr="00510D36">
        <w:rPr>
          <w:szCs w:val="24"/>
        </w:rPr>
        <w:t xml:space="preserve">Reverter M, Bontemps N, Lecchini D, Banaigs B, Sasal P. Use of plant extracts in fish aquaculture as alternatives to chemotherapy. </w:t>
      </w:r>
      <w:r w:rsidR="002365A6" w:rsidRPr="00510D36">
        <w:rPr>
          <w:i/>
          <w:iCs/>
          <w:szCs w:val="24"/>
        </w:rPr>
        <w:t>Aquaculture.</w:t>
      </w:r>
      <w:r w:rsidR="002365A6" w:rsidRPr="00510D36">
        <w:rPr>
          <w:szCs w:val="24"/>
        </w:rPr>
        <w:t xml:space="preserve"> </w:t>
      </w:r>
      <w:proofErr w:type="gramStart"/>
      <w:r w:rsidR="002365A6" w:rsidRPr="00510D36">
        <w:rPr>
          <w:szCs w:val="24"/>
        </w:rPr>
        <w:t>2021;433:136</w:t>
      </w:r>
      <w:proofErr w:type="gramEnd"/>
      <w:r w:rsidR="002365A6" w:rsidRPr="00510D36">
        <w:rPr>
          <w:szCs w:val="24"/>
        </w:rPr>
        <w:t>–154.</w:t>
      </w:r>
    </w:p>
    <w:p w14:paraId="3EDAEE74" w14:textId="2C308056" w:rsidR="002365A6" w:rsidRPr="00510D36" w:rsidRDefault="004111C8" w:rsidP="00510D36">
      <w:pPr>
        <w:spacing w:after="0" w:line="240" w:lineRule="auto"/>
        <w:ind w:left="720" w:hanging="720"/>
        <w:jc w:val="both"/>
        <w:rPr>
          <w:szCs w:val="24"/>
        </w:rPr>
      </w:pPr>
      <w:r w:rsidRPr="00510D36">
        <w:rPr>
          <w:szCs w:val="24"/>
        </w:rPr>
        <w:t>[6]</w:t>
      </w:r>
      <w:r w:rsidRPr="00510D36">
        <w:rPr>
          <w:szCs w:val="24"/>
        </w:rPr>
        <w:tab/>
      </w:r>
      <w:r w:rsidR="002365A6" w:rsidRPr="00510D36">
        <w:rPr>
          <w:szCs w:val="24"/>
        </w:rPr>
        <w:t xml:space="preserve">Yadav M, Jain S, Tomar R. Medicinal and biological potential of pumpkins: an updated review. </w:t>
      </w:r>
      <w:r w:rsidR="002365A6" w:rsidRPr="00510D36">
        <w:rPr>
          <w:i/>
          <w:iCs/>
          <w:szCs w:val="24"/>
        </w:rPr>
        <w:t>Nutrition Research Reviews.</w:t>
      </w:r>
      <w:r w:rsidR="002365A6" w:rsidRPr="00510D36">
        <w:rPr>
          <w:szCs w:val="24"/>
        </w:rPr>
        <w:t xml:space="preserve"> 2010;23(2):184–190.</w:t>
      </w:r>
    </w:p>
    <w:p w14:paraId="6FFABE31" w14:textId="4129B88F" w:rsidR="002365A6" w:rsidRPr="00510D36" w:rsidRDefault="004111C8" w:rsidP="00510D36">
      <w:pPr>
        <w:spacing w:after="0" w:line="240" w:lineRule="auto"/>
        <w:ind w:left="720" w:hanging="720"/>
        <w:jc w:val="both"/>
        <w:rPr>
          <w:szCs w:val="24"/>
        </w:rPr>
      </w:pPr>
      <w:r w:rsidRPr="00510D36">
        <w:rPr>
          <w:szCs w:val="24"/>
        </w:rPr>
        <w:t>[7]</w:t>
      </w:r>
      <w:r w:rsidRPr="00510D36">
        <w:rPr>
          <w:szCs w:val="24"/>
        </w:rPr>
        <w:tab/>
      </w:r>
      <w:r w:rsidR="002365A6" w:rsidRPr="00510D36">
        <w:rPr>
          <w:szCs w:val="24"/>
        </w:rPr>
        <w:t xml:space="preserve">Adu AA, Fagbemi TN, Osundahunsi OF. Phytochemical composition and antioxidant </w:t>
      </w:r>
      <w:r w:rsidRPr="00510D36">
        <w:rPr>
          <w:szCs w:val="24"/>
        </w:rPr>
        <w:t xml:space="preserve">     </w:t>
      </w:r>
      <w:r w:rsidR="002365A6" w:rsidRPr="00510D36">
        <w:rPr>
          <w:szCs w:val="24"/>
        </w:rPr>
        <w:t xml:space="preserve">activity of </w:t>
      </w:r>
      <w:r w:rsidR="002365A6" w:rsidRPr="00510D36">
        <w:rPr>
          <w:i/>
          <w:iCs/>
          <w:szCs w:val="24"/>
        </w:rPr>
        <w:t>Cucurbita pepo leaves</w:t>
      </w:r>
      <w:r w:rsidR="002365A6" w:rsidRPr="00510D36">
        <w:rPr>
          <w:szCs w:val="24"/>
        </w:rPr>
        <w:t xml:space="preserve">. </w:t>
      </w:r>
      <w:r w:rsidR="002365A6" w:rsidRPr="00510D36">
        <w:rPr>
          <w:i/>
          <w:iCs/>
          <w:szCs w:val="24"/>
        </w:rPr>
        <w:t>Asian Journal of Natural Products Chemistry</w:t>
      </w:r>
      <w:r w:rsidR="002365A6" w:rsidRPr="00510D36">
        <w:rPr>
          <w:szCs w:val="24"/>
        </w:rPr>
        <w:t>. 2022;10(3):45–53.</w:t>
      </w:r>
    </w:p>
    <w:p w14:paraId="015F46C8" w14:textId="46D76338" w:rsidR="002365A6" w:rsidRPr="00510D36" w:rsidRDefault="004111C8" w:rsidP="00510D36">
      <w:pPr>
        <w:spacing w:after="0" w:line="240" w:lineRule="auto"/>
        <w:ind w:left="705" w:hanging="705"/>
        <w:jc w:val="both"/>
        <w:rPr>
          <w:szCs w:val="24"/>
        </w:rPr>
      </w:pPr>
      <w:r w:rsidRPr="00510D36">
        <w:rPr>
          <w:szCs w:val="24"/>
        </w:rPr>
        <w:t>[8]</w:t>
      </w:r>
      <w:r w:rsidR="00FA1B06" w:rsidRPr="00510D36">
        <w:rPr>
          <w:szCs w:val="24"/>
        </w:rPr>
        <w:tab/>
      </w:r>
      <w:r w:rsidR="002365A6" w:rsidRPr="00510D36">
        <w:rPr>
          <w:szCs w:val="24"/>
        </w:rPr>
        <w:t xml:space="preserve">Olawale OA, Olaoye OJ. Nutritional and phytochemical evaluation of pumpkin </w:t>
      </w:r>
      <w:r w:rsidRPr="00510D36">
        <w:rPr>
          <w:szCs w:val="24"/>
        </w:rPr>
        <w:tab/>
      </w:r>
      <w:r w:rsidR="002365A6" w:rsidRPr="00510D36">
        <w:rPr>
          <w:szCs w:val="24"/>
        </w:rPr>
        <w:t>(</w:t>
      </w:r>
      <w:r w:rsidR="002365A6" w:rsidRPr="00510D36">
        <w:rPr>
          <w:i/>
          <w:iCs/>
          <w:szCs w:val="24"/>
        </w:rPr>
        <w:t>Cucurbita</w:t>
      </w:r>
      <w:r w:rsidR="00FA1B06" w:rsidRPr="00510D36">
        <w:rPr>
          <w:i/>
          <w:iCs/>
          <w:szCs w:val="24"/>
        </w:rPr>
        <w:t xml:space="preserve"> </w:t>
      </w:r>
      <w:r w:rsidR="002365A6" w:rsidRPr="00510D36">
        <w:rPr>
          <w:i/>
          <w:iCs/>
          <w:szCs w:val="24"/>
        </w:rPr>
        <w:t>pepo</w:t>
      </w:r>
      <w:r w:rsidR="002365A6" w:rsidRPr="00510D36">
        <w:rPr>
          <w:szCs w:val="24"/>
        </w:rPr>
        <w:t>)</w:t>
      </w:r>
      <w:r w:rsidR="002A7A54" w:rsidRPr="00510D36">
        <w:rPr>
          <w:szCs w:val="24"/>
        </w:rPr>
        <w:t xml:space="preserve"> </w:t>
      </w:r>
      <w:r w:rsidR="002365A6" w:rsidRPr="00510D36">
        <w:rPr>
          <w:szCs w:val="24"/>
        </w:rPr>
        <w:t xml:space="preserve">leaves. </w:t>
      </w:r>
      <w:r w:rsidR="002365A6" w:rsidRPr="00510D36">
        <w:rPr>
          <w:i/>
          <w:iCs/>
          <w:szCs w:val="24"/>
        </w:rPr>
        <w:t>Journal of Medicinal Plants Research</w:t>
      </w:r>
      <w:r w:rsidR="002365A6" w:rsidRPr="00510D36">
        <w:rPr>
          <w:szCs w:val="24"/>
        </w:rPr>
        <w:t>. 2024;18(1):12–20.</w:t>
      </w:r>
    </w:p>
    <w:p w14:paraId="3F2B0634" w14:textId="422867F0" w:rsidR="002365A6" w:rsidRPr="00510D36" w:rsidRDefault="004111C8" w:rsidP="00510D36">
      <w:pPr>
        <w:spacing w:after="0" w:line="240" w:lineRule="auto"/>
        <w:ind w:left="720" w:hanging="720"/>
        <w:jc w:val="both"/>
        <w:rPr>
          <w:szCs w:val="24"/>
        </w:rPr>
      </w:pPr>
      <w:r w:rsidRPr="00510D36">
        <w:rPr>
          <w:szCs w:val="24"/>
        </w:rPr>
        <w:t>[9]</w:t>
      </w:r>
      <w:r w:rsidRPr="00510D36">
        <w:rPr>
          <w:szCs w:val="24"/>
        </w:rPr>
        <w:tab/>
      </w:r>
      <w:r w:rsidR="002365A6" w:rsidRPr="00510D36">
        <w:rPr>
          <w:szCs w:val="24"/>
        </w:rPr>
        <w:t>Yousef MS, Hassan AM, El-Hakim NF. Pumpkin peel fortification alleviates heavy metal toxicity in Nile tilapia (</w:t>
      </w:r>
      <w:r w:rsidR="002365A6" w:rsidRPr="00510D36">
        <w:rPr>
          <w:i/>
          <w:iCs/>
          <w:szCs w:val="24"/>
        </w:rPr>
        <w:t>Oreochromis niloticus</w:t>
      </w:r>
      <w:r w:rsidR="002365A6" w:rsidRPr="00510D36">
        <w:rPr>
          <w:szCs w:val="24"/>
        </w:rPr>
        <w:t xml:space="preserve">). </w:t>
      </w:r>
      <w:r w:rsidR="002365A6" w:rsidRPr="00510D36">
        <w:rPr>
          <w:i/>
          <w:iCs/>
          <w:szCs w:val="24"/>
        </w:rPr>
        <w:t>Aquaculture and Fisheries</w:t>
      </w:r>
      <w:r w:rsidR="002365A6" w:rsidRPr="00510D36">
        <w:rPr>
          <w:szCs w:val="24"/>
        </w:rPr>
        <w:t>. 2024;9(4):380–391.</w:t>
      </w:r>
    </w:p>
    <w:p w14:paraId="7099BE6C" w14:textId="5E92DE8E" w:rsidR="002365A6" w:rsidRPr="00510D36" w:rsidRDefault="004111C8" w:rsidP="00510D36">
      <w:pPr>
        <w:spacing w:after="0" w:line="240" w:lineRule="auto"/>
        <w:ind w:left="720" w:hanging="720"/>
        <w:jc w:val="both"/>
        <w:rPr>
          <w:szCs w:val="24"/>
        </w:rPr>
      </w:pPr>
      <w:r w:rsidRPr="00510D36">
        <w:rPr>
          <w:szCs w:val="24"/>
        </w:rPr>
        <w:t>[10]</w:t>
      </w:r>
      <w:r w:rsidRPr="00510D36">
        <w:rPr>
          <w:szCs w:val="24"/>
        </w:rPr>
        <w:tab/>
      </w:r>
      <w:r w:rsidR="002365A6" w:rsidRPr="00510D36">
        <w:rPr>
          <w:szCs w:val="24"/>
        </w:rPr>
        <w:t>Vakili H, Asadi N, Khalesi M. Effects of Cucurbita pepo extract on growth and immune responses in rainbow trout (</w:t>
      </w:r>
      <w:r w:rsidR="002365A6" w:rsidRPr="00510D36">
        <w:rPr>
          <w:i/>
          <w:iCs/>
          <w:szCs w:val="24"/>
        </w:rPr>
        <w:t>Oncorhynchus mykiss</w:t>
      </w:r>
      <w:r w:rsidR="002365A6" w:rsidRPr="00510D36">
        <w:rPr>
          <w:szCs w:val="24"/>
        </w:rPr>
        <w:t xml:space="preserve">). </w:t>
      </w:r>
      <w:r w:rsidR="002365A6" w:rsidRPr="00510D36">
        <w:rPr>
          <w:i/>
          <w:iCs/>
          <w:szCs w:val="24"/>
        </w:rPr>
        <w:t>International Journal of Aquaculture</w:t>
      </w:r>
      <w:r w:rsidR="002365A6" w:rsidRPr="00510D36">
        <w:rPr>
          <w:szCs w:val="24"/>
        </w:rPr>
        <w:t>. 2025;15(2):75–85.</w:t>
      </w:r>
    </w:p>
    <w:p w14:paraId="552B301E" w14:textId="0235C529" w:rsidR="002365A6" w:rsidRPr="00510D36" w:rsidRDefault="004111C8" w:rsidP="00510D36">
      <w:pPr>
        <w:spacing w:after="0" w:line="240" w:lineRule="auto"/>
        <w:ind w:left="720" w:hanging="720"/>
        <w:jc w:val="both"/>
        <w:rPr>
          <w:szCs w:val="24"/>
        </w:rPr>
      </w:pPr>
      <w:r w:rsidRPr="00510D36">
        <w:rPr>
          <w:szCs w:val="24"/>
        </w:rPr>
        <w:t>[11]</w:t>
      </w:r>
      <w:r w:rsidRPr="00510D36">
        <w:rPr>
          <w:szCs w:val="24"/>
        </w:rPr>
        <w:tab/>
      </w:r>
      <w:r w:rsidR="002365A6" w:rsidRPr="00510D36">
        <w:rPr>
          <w:szCs w:val="24"/>
        </w:rPr>
        <w:t>Keshavanath P, Vijayan KK, Balasubramanian CP. Immunomodulatory effects of herbal supplementation in African catfish (</w:t>
      </w:r>
      <w:r w:rsidR="002365A6" w:rsidRPr="00510D36">
        <w:rPr>
          <w:i/>
          <w:iCs/>
          <w:szCs w:val="24"/>
        </w:rPr>
        <w:t>Clarias gariepinus</w:t>
      </w:r>
      <w:r w:rsidR="002365A6" w:rsidRPr="00510D36">
        <w:rPr>
          <w:szCs w:val="24"/>
        </w:rPr>
        <w:t xml:space="preserve">). </w:t>
      </w:r>
      <w:r w:rsidR="002365A6" w:rsidRPr="00510D36">
        <w:rPr>
          <w:i/>
          <w:iCs/>
          <w:szCs w:val="24"/>
        </w:rPr>
        <w:t>Aquaculture Research</w:t>
      </w:r>
      <w:r w:rsidR="002365A6" w:rsidRPr="00510D36">
        <w:rPr>
          <w:szCs w:val="24"/>
        </w:rPr>
        <w:t>. 2023;44(10):1549–1557.</w:t>
      </w:r>
    </w:p>
    <w:p w14:paraId="74E1C48A" w14:textId="6BD0DF81" w:rsidR="002365A6" w:rsidRPr="00510D36" w:rsidRDefault="004111C8" w:rsidP="00510D36">
      <w:pPr>
        <w:spacing w:after="0" w:line="240" w:lineRule="auto"/>
        <w:ind w:left="720" w:hanging="720"/>
        <w:jc w:val="both"/>
        <w:rPr>
          <w:szCs w:val="24"/>
        </w:rPr>
      </w:pPr>
      <w:r w:rsidRPr="00510D36">
        <w:rPr>
          <w:szCs w:val="24"/>
        </w:rPr>
        <w:t>[12]</w:t>
      </w:r>
      <w:r w:rsidRPr="00510D36">
        <w:rPr>
          <w:szCs w:val="24"/>
        </w:rPr>
        <w:tab/>
      </w:r>
      <w:r w:rsidR="002365A6" w:rsidRPr="00510D36">
        <w:rPr>
          <w:szCs w:val="24"/>
        </w:rPr>
        <w:t>AOAC. Official Methods of Analysis. 18th ed. Washington DC: Association of Official Analytical Chemists; 2005.</w:t>
      </w:r>
      <w:r w:rsidR="00AC6C66" w:rsidRPr="00510D36">
        <w:rPr>
          <w:szCs w:val="24"/>
        </w:rPr>
        <w:t>p</w:t>
      </w:r>
      <w:r w:rsidR="00771D3A" w:rsidRPr="00510D36">
        <w:rPr>
          <w:szCs w:val="24"/>
        </w:rPr>
        <w:t>.</w:t>
      </w:r>
      <w:r w:rsidR="00AC6C66" w:rsidRPr="00510D36">
        <w:rPr>
          <w:szCs w:val="24"/>
        </w:rPr>
        <w:t>1298</w:t>
      </w:r>
    </w:p>
    <w:p w14:paraId="143DD394" w14:textId="163EA083" w:rsidR="002365A6" w:rsidRPr="00510D36" w:rsidRDefault="004111C8" w:rsidP="00510D36">
      <w:pPr>
        <w:spacing w:after="0" w:line="240" w:lineRule="auto"/>
        <w:ind w:left="720" w:hanging="720"/>
        <w:jc w:val="both"/>
        <w:rPr>
          <w:szCs w:val="24"/>
        </w:rPr>
      </w:pPr>
      <w:r w:rsidRPr="00510D36">
        <w:rPr>
          <w:szCs w:val="24"/>
        </w:rPr>
        <w:t>[13]</w:t>
      </w:r>
      <w:r w:rsidRPr="00510D36">
        <w:rPr>
          <w:szCs w:val="24"/>
        </w:rPr>
        <w:tab/>
      </w:r>
      <w:r w:rsidR="002365A6" w:rsidRPr="00510D36">
        <w:rPr>
          <w:szCs w:val="24"/>
        </w:rPr>
        <w:t xml:space="preserve">Svobodova Z, Pravda D, Palackova J. Unified Methods of Haematological Examination of Fish. Vodnany: </w:t>
      </w:r>
      <w:r w:rsidR="002365A6" w:rsidRPr="00510D36">
        <w:rPr>
          <w:i/>
          <w:iCs/>
          <w:szCs w:val="24"/>
        </w:rPr>
        <w:t>Research Institute of Fish Culture and Hydrobiology</w:t>
      </w:r>
      <w:r w:rsidR="002365A6" w:rsidRPr="00510D36">
        <w:rPr>
          <w:szCs w:val="24"/>
        </w:rPr>
        <w:t>; 1991.</w:t>
      </w:r>
      <w:r w:rsidR="00571696">
        <w:rPr>
          <w:szCs w:val="24"/>
        </w:rPr>
        <w:t xml:space="preserve"> </w:t>
      </w:r>
      <w:r w:rsidR="004002FF" w:rsidRPr="00510D36">
        <w:rPr>
          <w:szCs w:val="24"/>
        </w:rPr>
        <w:t>pp.</w:t>
      </w:r>
      <w:r w:rsidR="002D789A">
        <w:rPr>
          <w:szCs w:val="24"/>
        </w:rPr>
        <w:t xml:space="preserve"> </w:t>
      </w:r>
      <w:r w:rsidR="004002FF" w:rsidRPr="00510D36">
        <w:rPr>
          <w:szCs w:val="24"/>
        </w:rPr>
        <w:t>20. 31.</w:t>
      </w:r>
    </w:p>
    <w:p w14:paraId="22EA888B" w14:textId="1F5E222C" w:rsidR="002365A6" w:rsidRPr="00510D36" w:rsidRDefault="004111C8" w:rsidP="00510D36">
      <w:pPr>
        <w:spacing w:after="0" w:line="240" w:lineRule="auto"/>
        <w:ind w:left="720" w:hanging="720"/>
        <w:jc w:val="both"/>
        <w:rPr>
          <w:szCs w:val="24"/>
        </w:rPr>
      </w:pPr>
      <w:r w:rsidRPr="00510D36">
        <w:rPr>
          <w:szCs w:val="24"/>
        </w:rPr>
        <w:t>[14]</w:t>
      </w:r>
      <w:r w:rsidRPr="00510D36">
        <w:rPr>
          <w:szCs w:val="24"/>
        </w:rPr>
        <w:tab/>
      </w:r>
      <w:r w:rsidR="002365A6" w:rsidRPr="00510D36">
        <w:rPr>
          <w:szCs w:val="24"/>
        </w:rPr>
        <w:t xml:space="preserve">Morgan JD, Iwama GK. Measurement of stressed states in the field. In: Iwama GK, Pickering AD, Sumpter JP, Schreck CB, editors. Fish Stress and Health in Aquaculture. Cambridge: Cambridge University Press; 1997. </w:t>
      </w:r>
      <w:r w:rsidR="004D43C8" w:rsidRPr="00510D36">
        <w:rPr>
          <w:szCs w:val="24"/>
        </w:rPr>
        <w:t>p</w:t>
      </w:r>
      <w:r w:rsidR="002365A6" w:rsidRPr="00510D36">
        <w:rPr>
          <w:szCs w:val="24"/>
        </w:rPr>
        <w:t>p.247–268.</w:t>
      </w:r>
    </w:p>
    <w:p w14:paraId="1A8503AE" w14:textId="6A5FCFF1" w:rsidR="002365A6" w:rsidRPr="00510D36" w:rsidRDefault="004111C8" w:rsidP="00510D36">
      <w:pPr>
        <w:spacing w:after="0" w:line="240" w:lineRule="auto"/>
        <w:ind w:left="720" w:hanging="720"/>
        <w:jc w:val="both"/>
        <w:rPr>
          <w:szCs w:val="24"/>
        </w:rPr>
      </w:pPr>
      <w:r w:rsidRPr="00510D36">
        <w:rPr>
          <w:szCs w:val="24"/>
        </w:rPr>
        <w:t>[15]</w:t>
      </w:r>
      <w:r w:rsidRPr="00510D36">
        <w:rPr>
          <w:szCs w:val="24"/>
        </w:rPr>
        <w:tab/>
      </w:r>
      <w:r w:rsidR="002365A6" w:rsidRPr="00510D36">
        <w:rPr>
          <w:szCs w:val="24"/>
        </w:rPr>
        <w:t xml:space="preserve">Ayenibe AC, Etim EO, Johnson OM. Nutritional evaluation of pumpkin (Cucurbita pepo) leaves as feed supplement for livestock. </w:t>
      </w:r>
      <w:r w:rsidR="002365A6" w:rsidRPr="00510D36">
        <w:rPr>
          <w:i/>
          <w:iCs/>
          <w:szCs w:val="24"/>
        </w:rPr>
        <w:t>Nigerian Journal of Animal Production.</w:t>
      </w:r>
      <w:r w:rsidR="002365A6" w:rsidRPr="00510D36">
        <w:rPr>
          <w:szCs w:val="24"/>
        </w:rPr>
        <w:t xml:space="preserve"> 2021;48(2):220–228.</w:t>
      </w:r>
    </w:p>
    <w:p w14:paraId="7BEAF31D" w14:textId="376C9C10" w:rsidR="002365A6" w:rsidRPr="00510D36" w:rsidRDefault="004111C8" w:rsidP="00510D36">
      <w:pPr>
        <w:spacing w:after="0" w:line="240" w:lineRule="auto"/>
        <w:ind w:left="720" w:hanging="720"/>
        <w:jc w:val="both"/>
        <w:rPr>
          <w:szCs w:val="24"/>
        </w:rPr>
      </w:pPr>
      <w:r w:rsidRPr="00510D36">
        <w:rPr>
          <w:szCs w:val="24"/>
        </w:rPr>
        <w:t>[16]</w:t>
      </w:r>
      <w:r w:rsidRPr="00510D36">
        <w:rPr>
          <w:szCs w:val="24"/>
        </w:rPr>
        <w:tab/>
      </w:r>
      <w:r w:rsidR="002365A6" w:rsidRPr="00510D36">
        <w:rPr>
          <w:szCs w:val="24"/>
        </w:rPr>
        <w:t xml:space="preserve">Gbadamosi AF, Oso FM, Oluwadare ME. Nutritional composition and growth performance of </w:t>
      </w:r>
      <w:r w:rsidR="002365A6" w:rsidRPr="00510D36">
        <w:rPr>
          <w:i/>
          <w:iCs/>
          <w:szCs w:val="24"/>
        </w:rPr>
        <w:t>Clarias gariepinus</w:t>
      </w:r>
      <w:r w:rsidR="002365A6" w:rsidRPr="00510D36">
        <w:rPr>
          <w:szCs w:val="24"/>
        </w:rPr>
        <w:t xml:space="preserve"> fed plant-based feedstuffs. </w:t>
      </w:r>
      <w:r w:rsidR="00771D3A" w:rsidRPr="00510D36">
        <w:rPr>
          <w:i/>
          <w:iCs/>
          <w:szCs w:val="24"/>
        </w:rPr>
        <w:t>Aquaculture Nutrition.</w:t>
      </w:r>
      <w:r w:rsidR="00771D3A" w:rsidRPr="00510D36">
        <w:rPr>
          <w:szCs w:val="24"/>
        </w:rPr>
        <w:t xml:space="preserve"> </w:t>
      </w:r>
      <w:r w:rsidR="005E5434">
        <w:rPr>
          <w:szCs w:val="24"/>
        </w:rPr>
        <w:t>2018;</w:t>
      </w:r>
      <w:r w:rsidR="00771D3A" w:rsidRPr="00510D36">
        <w:rPr>
          <w:szCs w:val="24"/>
        </w:rPr>
        <w:t>24(4):1237-1245</w:t>
      </w:r>
      <w:r w:rsidR="00571696">
        <w:rPr>
          <w:szCs w:val="24"/>
        </w:rPr>
        <w:t>.</w:t>
      </w:r>
    </w:p>
    <w:p w14:paraId="7F7D959E" w14:textId="1446BF47" w:rsidR="002365A6" w:rsidRPr="00510D36" w:rsidRDefault="004111C8" w:rsidP="00510D36">
      <w:pPr>
        <w:spacing w:after="0" w:line="240" w:lineRule="auto"/>
        <w:ind w:left="720" w:hanging="720"/>
        <w:jc w:val="both"/>
        <w:rPr>
          <w:szCs w:val="24"/>
        </w:rPr>
      </w:pPr>
      <w:r w:rsidRPr="00510D36">
        <w:rPr>
          <w:szCs w:val="24"/>
        </w:rPr>
        <w:t>[17]</w:t>
      </w:r>
      <w:r w:rsidRPr="00510D36">
        <w:rPr>
          <w:szCs w:val="24"/>
        </w:rPr>
        <w:tab/>
      </w:r>
      <w:r w:rsidR="002365A6" w:rsidRPr="00510D36">
        <w:rPr>
          <w:szCs w:val="24"/>
        </w:rPr>
        <w:t xml:space="preserve">Abiola OM, Aliyu-Paiko M, Omotosho JA. Effect of dietary protein levels on the growth and hematological parameters of </w:t>
      </w:r>
      <w:r w:rsidR="002365A6" w:rsidRPr="00510D36">
        <w:rPr>
          <w:i/>
          <w:iCs/>
          <w:szCs w:val="24"/>
        </w:rPr>
        <w:t>Clarias gariepinus</w:t>
      </w:r>
      <w:r w:rsidR="002365A6" w:rsidRPr="00510D36">
        <w:rPr>
          <w:szCs w:val="24"/>
        </w:rPr>
        <w:t xml:space="preserve"> fingerlings. </w:t>
      </w:r>
      <w:r w:rsidR="002365A6" w:rsidRPr="00510D36">
        <w:rPr>
          <w:i/>
          <w:iCs/>
          <w:szCs w:val="24"/>
        </w:rPr>
        <w:t>Journal of Fisheries and Aquaculture.</w:t>
      </w:r>
      <w:r w:rsidR="002365A6" w:rsidRPr="00510D36">
        <w:rPr>
          <w:szCs w:val="24"/>
        </w:rPr>
        <w:t xml:space="preserve"> 2021;29(3):183–191.</w:t>
      </w:r>
    </w:p>
    <w:p w14:paraId="0FE1D8CB" w14:textId="3E3190BC" w:rsidR="002365A6" w:rsidRPr="00510D36" w:rsidRDefault="004111C8" w:rsidP="00510D36">
      <w:pPr>
        <w:spacing w:after="0" w:line="240" w:lineRule="auto"/>
        <w:ind w:left="720" w:hanging="720"/>
        <w:jc w:val="both"/>
        <w:rPr>
          <w:szCs w:val="24"/>
        </w:rPr>
      </w:pPr>
      <w:r w:rsidRPr="00510D36">
        <w:rPr>
          <w:szCs w:val="24"/>
        </w:rPr>
        <w:t>[18]</w:t>
      </w:r>
      <w:r w:rsidRPr="00510D36">
        <w:rPr>
          <w:szCs w:val="24"/>
        </w:rPr>
        <w:tab/>
      </w:r>
      <w:r w:rsidR="002365A6" w:rsidRPr="00510D36">
        <w:rPr>
          <w:szCs w:val="24"/>
        </w:rPr>
        <w:t xml:space="preserve">Omoregie E, Adesulu EA, Tiamiyu OA. Water quality and growth performance of </w:t>
      </w:r>
      <w:r w:rsidR="002365A6" w:rsidRPr="00510D36">
        <w:rPr>
          <w:i/>
          <w:iCs/>
          <w:szCs w:val="24"/>
        </w:rPr>
        <w:t>Clarias gariepinus</w:t>
      </w:r>
      <w:r w:rsidR="002365A6" w:rsidRPr="00510D36">
        <w:rPr>
          <w:szCs w:val="24"/>
        </w:rPr>
        <w:t xml:space="preserve"> fingerlings in aquaculture systems. </w:t>
      </w:r>
      <w:r w:rsidR="002365A6" w:rsidRPr="00510D36">
        <w:rPr>
          <w:i/>
          <w:iCs/>
          <w:szCs w:val="24"/>
        </w:rPr>
        <w:t>Aquaculture Research</w:t>
      </w:r>
      <w:r w:rsidR="002365A6" w:rsidRPr="00510D36">
        <w:rPr>
          <w:szCs w:val="24"/>
        </w:rPr>
        <w:t>. 2019;50(8):2427–2434.</w:t>
      </w:r>
    </w:p>
    <w:p w14:paraId="6646AA1A" w14:textId="64BB7D2F" w:rsidR="002365A6" w:rsidRPr="00510D36" w:rsidRDefault="004111C8" w:rsidP="00510D36">
      <w:pPr>
        <w:spacing w:after="0" w:line="240" w:lineRule="auto"/>
        <w:ind w:left="720" w:hanging="720"/>
        <w:jc w:val="both"/>
        <w:rPr>
          <w:szCs w:val="24"/>
        </w:rPr>
      </w:pPr>
      <w:r w:rsidRPr="00510D36">
        <w:rPr>
          <w:szCs w:val="24"/>
        </w:rPr>
        <w:t>[19]</w:t>
      </w:r>
      <w:r w:rsidRPr="00510D36">
        <w:rPr>
          <w:szCs w:val="24"/>
        </w:rPr>
        <w:tab/>
      </w:r>
      <w:r w:rsidR="002365A6" w:rsidRPr="00510D36">
        <w:rPr>
          <w:szCs w:val="24"/>
        </w:rPr>
        <w:t>Wuraola OB. Growth performance of hybrid catfish fed pumpkin seed meal diets. World Aquaculture Conference Proceedings. 2025;45–52.</w:t>
      </w:r>
    </w:p>
    <w:p w14:paraId="3FF896CA" w14:textId="4C4A2CCB" w:rsidR="002365A6" w:rsidRPr="00510D36" w:rsidRDefault="002E582B" w:rsidP="00510D36">
      <w:pPr>
        <w:spacing w:after="0" w:line="240" w:lineRule="auto"/>
        <w:ind w:left="720" w:hanging="720"/>
        <w:jc w:val="both"/>
        <w:rPr>
          <w:szCs w:val="24"/>
        </w:rPr>
      </w:pPr>
      <w:r w:rsidRPr="00510D36">
        <w:rPr>
          <w:szCs w:val="24"/>
        </w:rPr>
        <w:t>[20]</w:t>
      </w:r>
      <w:r w:rsidRPr="00510D36">
        <w:rPr>
          <w:szCs w:val="24"/>
        </w:rPr>
        <w:tab/>
      </w:r>
      <w:r w:rsidR="002365A6" w:rsidRPr="00510D36">
        <w:rPr>
          <w:szCs w:val="24"/>
        </w:rPr>
        <w:t>Kanyandenge P. Growth performance and feed utilization of Nile tilapia (</w:t>
      </w:r>
      <w:r w:rsidR="002365A6" w:rsidRPr="00510D36">
        <w:rPr>
          <w:i/>
          <w:iCs/>
          <w:szCs w:val="24"/>
        </w:rPr>
        <w:t>Oreochromis niloticus</w:t>
      </w:r>
      <w:r w:rsidR="002365A6" w:rsidRPr="00510D36">
        <w:rPr>
          <w:szCs w:val="24"/>
        </w:rPr>
        <w:t>) fed pumpkin (</w:t>
      </w:r>
      <w:r w:rsidR="002365A6" w:rsidRPr="00510D36">
        <w:rPr>
          <w:i/>
          <w:iCs/>
          <w:szCs w:val="24"/>
        </w:rPr>
        <w:t>Cucurbita maxima</w:t>
      </w:r>
      <w:r w:rsidR="002365A6" w:rsidRPr="00510D36">
        <w:rPr>
          <w:szCs w:val="24"/>
        </w:rPr>
        <w:t>) seed meal. Dar es Salaam: University of Dar es Salaam</w:t>
      </w:r>
      <w:r w:rsidR="00464E9C" w:rsidRPr="00510D36">
        <w:rPr>
          <w:szCs w:val="24"/>
        </w:rPr>
        <w:t>.</w:t>
      </w:r>
      <w:r w:rsidR="002365A6" w:rsidRPr="00510D36">
        <w:rPr>
          <w:szCs w:val="24"/>
        </w:rPr>
        <w:t xml:space="preserve"> </w:t>
      </w:r>
      <w:r w:rsidR="004D43C8" w:rsidRPr="00510D36">
        <w:rPr>
          <w:i/>
          <w:iCs/>
          <w:szCs w:val="24"/>
        </w:rPr>
        <w:t>Journal of Medicinal Food</w:t>
      </w:r>
      <w:r w:rsidR="00464E9C" w:rsidRPr="00510D36">
        <w:rPr>
          <w:szCs w:val="24"/>
        </w:rPr>
        <w:t>.</w:t>
      </w:r>
      <w:r w:rsidR="004D43C8" w:rsidRPr="00510D36">
        <w:rPr>
          <w:szCs w:val="24"/>
        </w:rPr>
        <w:t xml:space="preserve"> </w:t>
      </w:r>
      <w:r w:rsidR="00464E9C" w:rsidRPr="00510D36">
        <w:rPr>
          <w:szCs w:val="24"/>
        </w:rPr>
        <w:t>2017</w:t>
      </w:r>
      <w:r w:rsidR="00571696">
        <w:rPr>
          <w:szCs w:val="24"/>
        </w:rPr>
        <w:t xml:space="preserve">; </w:t>
      </w:r>
      <w:r w:rsidR="004D43C8" w:rsidRPr="00510D36">
        <w:rPr>
          <w:szCs w:val="24"/>
        </w:rPr>
        <w:t>16(6): 517-526.</w:t>
      </w:r>
    </w:p>
    <w:p w14:paraId="3EBD9A13" w14:textId="552A3EB0" w:rsidR="002365A6" w:rsidRPr="00510D36" w:rsidRDefault="002E582B" w:rsidP="00510D36">
      <w:pPr>
        <w:spacing w:after="0" w:line="240" w:lineRule="auto"/>
        <w:ind w:left="720" w:hanging="720"/>
        <w:jc w:val="both"/>
        <w:rPr>
          <w:szCs w:val="24"/>
        </w:rPr>
      </w:pPr>
      <w:r w:rsidRPr="00510D36">
        <w:rPr>
          <w:szCs w:val="24"/>
        </w:rPr>
        <w:t>[21]</w:t>
      </w:r>
      <w:r w:rsidRPr="00510D36">
        <w:rPr>
          <w:szCs w:val="24"/>
        </w:rPr>
        <w:tab/>
      </w:r>
      <w:r w:rsidR="002365A6" w:rsidRPr="00510D36">
        <w:rPr>
          <w:szCs w:val="24"/>
        </w:rPr>
        <w:t xml:space="preserve">Ogunwole OA, Adegbola TA, Oladipo OO. Effects of pumpkin seed meal supplementation on growth performance and egg production in laying hens. </w:t>
      </w:r>
      <w:r w:rsidR="002365A6" w:rsidRPr="00510D36">
        <w:rPr>
          <w:i/>
          <w:iCs/>
          <w:szCs w:val="24"/>
        </w:rPr>
        <w:t>Poultry Science Journal</w:t>
      </w:r>
      <w:r w:rsidR="002365A6" w:rsidRPr="00510D36">
        <w:rPr>
          <w:szCs w:val="24"/>
        </w:rPr>
        <w:t>. 2020;56(3):145–153.</w:t>
      </w:r>
    </w:p>
    <w:p w14:paraId="0ACCAAD0" w14:textId="7501E570" w:rsidR="002365A6" w:rsidRPr="00510D36" w:rsidRDefault="002E582B" w:rsidP="00510D36">
      <w:pPr>
        <w:spacing w:after="0" w:line="240" w:lineRule="auto"/>
        <w:ind w:left="720" w:hanging="720"/>
        <w:jc w:val="both"/>
        <w:rPr>
          <w:szCs w:val="24"/>
        </w:rPr>
      </w:pPr>
      <w:r w:rsidRPr="00510D36">
        <w:rPr>
          <w:szCs w:val="24"/>
        </w:rPr>
        <w:t>[22]</w:t>
      </w:r>
      <w:r w:rsidRPr="00510D36">
        <w:rPr>
          <w:szCs w:val="24"/>
        </w:rPr>
        <w:tab/>
      </w:r>
      <w:r w:rsidR="002365A6" w:rsidRPr="00510D36">
        <w:rPr>
          <w:szCs w:val="24"/>
        </w:rPr>
        <w:t>Adebowale EA, Akinfala EO. Influence of pumpkin (</w:t>
      </w:r>
      <w:r w:rsidR="002365A6" w:rsidRPr="00510D36">
        <w:rPr>
          <w:i/>
          <w:iCs/>
          <w:szCs w:val="24"/>
        </w:rPr>
        <w:t>Cucurbita pepo</w:t>
      </w:r>
      <w:r w:rsidR="002365A6" w:rsidRPr="00510D36">
        <w:rPr>
          <w:szCs w:val="24"/>
        </w:rPr>
        <w:t xml:space="preserve">) leaf meal on growth performance, feed efficiency and carcass traits of rabbits. </w:t>
      </w:r>
      <w:r w:rsidR="002365A6" w:rsidRPr="00510D36">
        <w:rPr>
          <w:i/>
          <w:iCs/>
          <w:szCs w:val="24"/>
        </w:rPr>
        <w:t>Journal of Animal Science and Veterinary Medicine</w:t>
      </w:r>
      <w:r w:rsidR="002365A6" w:rsidRPr="00510D36">
        <w:rPr>
          <w:szCs w:val="24"/>
        </w:rPr>
        <w:t>. 2019;4(2):110–117.</w:t>
      </w:r>
    </w:p>
    <w:p w14:paraId="68C1B438" w14:textId="072EA5C4" w:rsidR="002365A6" w:rsidRPr="00510D36" w:rsidRDefault="002E582B" w:rsidP="00510D36">
      <w:pPr>
        <w:spacing w:after="0" w:line="240" w:lineRule="auto"/>
        <w:ind w:left="720" w:hanging="720"/>
        <w:jc w:val="both"/>
        <w:rPr>
          <w:szCs w:val="24"/>
        </w:rPr>
      </w:pPr>
      <w:r w:rsidRPr="00510D36">
        <w:rPr>
          <w:szCs w:val="24"/>
        </w:rPr>
        <w:lastRenderedPageBreak/>
        <w:t>[23]</w:t>
      </w:r>
      <w:r w:rsidRPr="00510D36">
        <w:rPr>
          <w:szCs w:val="24"/>
        </w:rPr>
        <w:tab/>
      </w:r>
      <w:r w:rsidR="002365A6" w:rsidRPr="00510D36">
        <w:rPr>
          <w:szCs w:val="24"/>
        </w:rPr>
        <w:t>Khan MS, Ali S, Ahmad N. Nutrient digestibility and milk yield improvement in goats fed diets supplemented with pumpkin seed cake (</w:t>
      </w:r>
      <w:r w:rsidR="002365A6" w:rsidRPr="00510D36">
        <w:rPr>
          <w:i/>
          <w:iCs/>
          <w:szCs w:val="24"/>
        </w:rPr>
        <w:t>Cucurbita pepo</w:t>
      </w:r>
      <w:r w:rsidR="002365A6" w:rsidRPr="00510D36">
        <w:rPr>
          <w:szCs w:val="24"/>
        </w:rPr>
        <w:t xml:space="preserve">). </w:t>
      </w:r>
      <w:r w:rsidR="002365A6" w:rsidRPr="00510D36">
        <w:rPr>
          <w:i/>
          <w:iCs/>
          <w:szCs w:val="24"/>
        </w:rPr>
        <w:t>Small Ruminant Research</w:t>
      </w:r>
      <w:r w:rsidR="002365A6" w:rsidRPr="00510D36">
        <w:rPr>
          <w:szCs w:val="24"/>
        </w:rPr>
        <w:t>. 2021;</w:t>
      </w:r>
      <w:r w:rsidR="000A3EA8" w:rsidRPr="00510D36">
        <w:rPr>
          <w:szCs w:val="24"/>
        </w:rPr>
        <w:t xml:space="preserve"> </w:t>
      </w:r>
      <w:r w:rsidR="002365A6" w:rsidRPr="00510D36">
        <w:rPr>
          <w:szCs w:val="24"/>
        </w:rPr>
        <w:t>194:106462.</w:t>
      </w:r>
    </w:p>
    <w:p w14:paraId="6A2BAD32" w14:textId="324B6273" w:rsidR="002365A6" w:rsidRPr="00510D36" w:rsidRDefault="002E582B" w:rsidP="00510D36">
      <w:pPr>
        <w:spacing w:after="0" w:line="240" w:lineRule="auto"/>
        <w:ind w:left="720" w:hanging="720"/>
        <w:jc w:val="both"/>
        <w:rPr>
          <w:szCs w:val="24"/>
        </w:rPr>
      </w:pPr>
      <w:r w:rsidRPr="00510D36">
        <w:rPr>
          <w:szCs w:val="24"/>
        </w:rPr>
        <w:t>[24]</w:t>
      </w:r>
      <w:r w:rsidRPr="00510D36">
        <w:rPr>
          <w:szCs w:val="24"/>
        </w:rPr>
        <w:tab/>
      </w:r>
      <w:r w:rsidR="002365A6" w:rsidRPr="00510D36">
        <w:rPr>
          <w:szCs w:val="24"/>
        </w:rPr>
        <w:t>Abdel-Tawwab M, Monier MN, Hamed MA. Effects of dietary olive leaf extract on growth performance, haematological parameters and immune response of Nile tilapia (</w:t>
      </w:r>
      <w:r w:rsidR="002365A6" w:rsidRPr="00510D36">
        <w:rPr>
          <w:i/>
          <w:iCs/>
          <w:szCs w:val="24"/>
        </w:rPr>
        <w:t>Oreochromis niloticus</w:t>
      </w:r>
      <w:r w:rsidR="002365A6" w:rsidRPr="00510D36">
        <w:rPr>
          <w:szCs w:val="24"/>
        </w:rPr>
        <w:t xml:space="preserve">). </w:t>
      </w:r>
      <w:r w:rsidR="002365A6" w:rsidRPr="00510D36">
        <w:rPr>
          <w:i/>
          <w:iCs/>
          <w:szCs w:val="24"/>
        </w:rPr>
        <w:t xml:space="preserve">Fish </w:t>
      </w:r>
      <w:r w:rsidR="004D43C8" w:rsidRPr="00510D36">
        <w:rPr>
          <w:i/>
          <w:iCs/>
          <w:szCs w:val="24"/>
        </w:rPr>
        <w:t>and</w:t>
      </w:r>
      <w:r w:rsidR="002365A6" w:rsidRPr="00510D36">
        <w:rPr>
          <w:i/>
          <w:iCs/>
          <w:szCs w:val="24"/>
        </w:rPr>
        <w:t xml:space="preserve"> Shellfish Immunology</w:t>
      </w:r>
      <w:r w:rsidR="002365A6" w:rsidRPr="00510D36">
        <w:rPr>
          <w:szCs w:val="24"/>
        </w:rPr>
        <w:t>. 2019;43(1):37–43.</w:t>
      </w:r>
    </w:p>
    <w:p w14:paraId="28A043BD" w14:textId="78BCD949" w:rsidR="002365A6" w:rsidRPr="00510D36" w:rsidRDefault="002E582B" w:rsidP="00510D36">
      <w:pPr>
        <w:spacing w:after="0" w:line="240" w:lineRule="auto"/>
        <w:ind w:left="720" w:hanging="720"/>
        <w:jc w:val="both"/>
        <w:rPr>
          <w:szCs w:val="24"/>
        </w:rPr>
      </w:pPr>
      <w:r w:rsidRPr="00510D36">
        <w:rPr>
          <w:szCs w:val="24"/>
        </w:rPr>
        <w:t>[25]</w:t>
      </w:r>
      <w:r w:rsidRPr="00510D36">
        <w:rPr>
          <w:szCs w:val="24"/>
        </w:rPr>
        <w:tab/>
      </w:r>
      <w:r w:rsidR="002365A6" w:rsidRPr="00510D36">
        <w:rPr>
          <w:szCs w:val="24"/>
        </w:rPr>
        <w:t>Ogunlade BO, Adeyemi OS, Akinpelu OM. Haematological responses of rainbow trout (</w:t>
      </w:r>
      <w:r w:rsidR="002365A6" w:rsidRPr="00510D36">
        <w:rPr>
          <w:i/>
          <w:iCs/>
          <w:szCs w:val="24"/>
        </w:rPr>
        <w:t>Oncorhynchus mykiss</w:t>
      </w:r>
      <w:r w:rsidR="002365A6" w:rsidRPr="00510D36">
        <w:rPr>
          <w:szCs w:val="24"/>
        </w:rPr>
        <w:t xml:space="preserve">) to </w:t>
      </w:r>
      <w:r w:rsidR="002365A6" w:rsidRPr="00510D36">
        <w:rPr>
          <w:i/>
          <w:iCs/>
          <w:szCs w:val="24"/>
        </w:rPr>
        <w:t>Cucurbita pepo</w:t>
      </w:r>
      <w:r w:rsidR="002365A6" w:rsidRPr="00510D36">
        <w:rPr>
          <w:szCs w:val="24"/>
        </w:rPr>
        <w:t xml:space="preserve"> seed extract supplementation. </w:t>
      </w:r>
      <w:r w:rsidR="002365A6" w:rsidRPr="00510D36">
        <w:rPr>
          <w:i/>
          <w:iCs/>
          <w:szCs w:val="24"/>
        </w:rPr>
        <w:t>Aquaculture Research.</w:t>
      </w:r>
      <w:r w:rsidR="002365A6" w:rsidRPr="00510D36">
        <w:rPr>
          <w:szCs w:val="24"/>
        </w:rPr>
        <w:t xml:space="preserve"> 2023;54(7):1931–1942.</w:t>
      </w:r>
    </w:p>
    <w:p w14:paraId="275364B5" w14:textId="01EF48AB" w:rsidR="002365A6" w:rsidRPr="00510D36" w:rsidRDefault="002E582B" w:rsidP="00510D36">
      <w:pPr>
        <w:spacing w:after="0" w:line="240" w:lineRule="auto"/>
        <w:ind w:left="720" w:hanging="720"/>
        <w:jc w:val="both"/>
        <w:rPr>
          <w:szCs w:val="24"/>
        </w:rPr>
      </w:pPr>
      <w:r w:rsidRPr="00510D36">
        <w:rPr>
          <w:szCs w:val="24"/>
        </w:rPr>
        <w:t>[26]</w:t>
      </w:r>
      <w:r w:rsidRPr="00510D36">
        <w:rPr>
          <w:szCs w:val="24"/>
        </w:rPr>
        <w:tab/>
      </w:r>
      <w:r w:rsidR="002365A6" w:rsidRPr="00510D36">
        <w:rPr>
          <w:szCs w:val="24"/>
        </w:rPr>
        <w:t xml:space="preserve">Eze SO, Obi CI, Chukwu OI. Effects of </w:t>
      </w:r>
      <w:r w:rsidR="002365A6" w:rsidRPr="00510D36">
        <w:rPr>
          <w:i/>
          <w:iCs/>
          <w:szCs w:val="24"/>
        </w:rPr>
        <w:t>Garcinia kola</w:t>
      </w:r>
      <w:r w:rsidR="002365A6" w:rsidRPr="00510D36">
        <w:rPr>
          <w:szCs w:val="24"/>
        </w:rPr>
        <w:t xml:space="preserve"> seed meal on growth and haematological parameters of African catfish (</w:t>
      </w:r>
      <w:r w:rsidR="002365A6" w:rsidRPr="00510D36">
        <w:rPr>
          <w:i/>
          <w:iCs/>
          <w:szCs w:val="24"/>
        </w:rPr>
        <w:t>Clarias gariepinus</w:t>
      </w:r>
      <w:r w:rsidR="002365A6" w:rsidRPr="00510D36">
        <w:rPr>
          <w:szCs w:val="24"/>
        </w:rPr>
        <w:t xml:space="preserve">). </w:t>
      </w:r>
      <w:r w:rsidR="002365A6" w:rsidRPr="00510D36">
        <w:rPr>
          <w:i/>
          <w:iCs/>
          <w:szCs w:val="24"/>
        </w:rPr>
        <w:t>Nigerian Journal of Agriculture</w:t>
      </w:r>
      <w:r w:rsidR="002365A6" w:rsidRPr="00510D36">
        <w:rPr>
          <w:szCs w:val="24"/>
        </w:rPr>
        <w:t>. 2021;34(2):90–98.</w:t>
      </w:r>
    </w:p>
    <w:p w14:paraId="454B2C53" w14:textId="63246093" w:rsidR="002365A6" w:rsidRPr="00510D36" w:rsidRDefault="002E582B" w:rsidP="00510D36">
      <w:pPr>
        <w:spacing w:after="0" w:line="240" w:lineRule="auto"/>
        <w:ind w:left="720" w:hanging="720"/>
        <w:jc w:val="both"/>
        <w:rPr>
          <w:szCs w:val="24"/>
        </w:rPr>
      </w:pPr>
      <w:r w:rsidRPr="00510D36">
        <w:rPr>
          <w:szCs w:val="24"/>
        </w:rPr>
        <w:t>[27]</w:t>
      </w:r>
      <w:r w:rsidRPr="00510D36">
        <w:rPr>
          <w:szCs w:val="24"/>
        </w:rPr>
        <w:tab/>
      </w:r>
      <w:r w:rsidR="002365A6" w:rsidRPr="00510D36">
        <w:rPr>
          <w:szCs w:val="24"/>
        </w:rPr>
        <w:t>Ahmed FA, El-Banna AA, El-Tawab A. Haematological and immunological responses of Nile tilapia (</w:t>
      </w:r>
      <w:r w:rsidR="002365A6" w:rsidRPr="00510D36">
        <w:rPr>
          <w:i/>
          <w:iCs/>
          <w:szCs w:val="24"/>
        </w:rPr>
        <w:t>Oreochromis niloticus</w:t>
      </w:r>
      <w:r w:rsidR="002365A6" w:rsidRPr="00510D36">
        <w:rPr>
          <w:szCs w:val="24"/>
        </w:rPr>
        <w:t xml:space="preserve">) fed diets supplemented with </w:t>
      </w:r>
      <w:r w:rsidR="002365A6" w:rsidRPr="00510D36">
        <w:rPr>
          <w:i/>
          <w:iCs/>
          <w:szCs w:val="24"/>
        </w:rPr>
        <w:t>Moringa oleifera</w:t>
      </w:r>
      <w:r w:rsidR="002365A6" w:rsidRPr="00510D36">
        <w:rPr>
          <w:szCs w:val="24"/>
        </w:rPr>
        <w:t xml:space="preserve"> leaf meal. </w:t>
      </w:r>
      <w:r w:rsidR="002365A6" w:rsidRPr="00510D36">
        <w:rPr>
          <w:i/>
          <w:iCs/>
          <w:szCs w:val="24"/>
        </w:rPr>
        <w:t>Fish Physiology and Biochemistry</w:t>
      </w:r>
      <w:r w:rsidR="002365A6" w:rsidRPr="00510D36">
        <w:rPr>
          <w:szCs w:val="24"/>
        </w:rPr>
        <w:t>. 2022;48(3):1239–1248.</w:t>
      </w:r>
    </w:p>
    <w:p w14:paraId="6FF04B4F" w14:textId="5D989825" w:rsidR="002365A6" w:rsidRPr="00510D36" w:rsidRDefault="002E582B" w:rsidP="00510D36">
      <w:pPr>
        <w:spacing w:after="0" w:line="240" w:lineRule="auto"/>
        <w:ind w:left="720" w:hanging="720"/>
        <w:jc w:val="both"/>
        <w:rPr>
          <w:szCs w:val="24"/>
        </w:rPr>
      </w:pPr>
      <w:r w:rsidRPr="00510D36">
        <w:rPr>
          <w:szCs w:val="24"/>
        </w:rPr>
        <w:t>[28]</w:t>
      </w:r>
      <w:r w:rsidRPr="00510D36">
        <w:rPr>
          <w:szCs w:val="24"/>
        </w:rPr>
        <w:tab/>
      </w:r>
      <w:r w:rsidR="002365A6" w:rsidRPr="00510D36">
        <w:rPr>
          <w:szCs w:val="24"/>
        </w:rPr>
        <w:t xml:space="preserve">Olayemi FF, Bello MK, Adewumi TA. Substitution of soybean meal with pumpkin seed cake in Nile tilapia diets. </w:t>
      </w:r>
      <w:r w:rsidR="002365A6" w:rsidRPr="00510D36">
        <w:rPr>
          <w:i/>
          <w:iCs/>
          <w:szCs w:val="24"/>
        </w:rPr>
        <w:t>Aquaculture Nutrition</w:t>
      </w:r>
      <w:r w:rsidR="002365A6" w:rsidRPr="00510D36">
        <w:rPr>
          <w:szCs w:val="24"/>
        </w:rPr>
        <w:t>. 2022;28(3):783–792.</w:t>
      </w:r>
    </w:p>
    <w:p w14:paraId="708609C3" w14:textId="33209105" w:rsidR="002365A6" w:rsidRPr="00510D36" w:rsidRDefault="002E582B" w:rsidP="00510D36">
      <w:pPr>
        <w:spacing w:after="0" w:line="240" w:lineRule="auto"/>
        <w:ind w:left="720" w:hanging="720"/>
        <w:jc w:val="both"/>
        <w:rPr>
          <w:szCs w:val="24"/>
        </w:rPr>
      </w:pPr>
      <w:r w:rsidRPr="00510D36">
        <w:rPr>
          <w:szCs w:val="24"/>
        </w:rPr>
        <w:t>[29]</w:t>
      </w:r>
      <w:r w:rsidRPr="00510D36">
        <w:rPr>
          <w:szCs w:val="24"/>
        </w:rPr>
        <w:tab/>
      </w:r>
      <w:r w:rsidR="002365A6" w:rsidRPr="00510D36">
        <w:rPr>
          <w:szCs w:val="24"/>
        </w:rPr>
        <w:t>Ahmad F, Khan S, Siddique M. Antioxidant and anti-inflammatory activities of pumpkin (</w:t>
      </w:r>
      <w:r w:rsidR="002365A6" w:rsidRPr="00510D36">
        <w:rPr>
          <w:i/>
          <w:iCs/>
          <w:szCs w:val="24"/>
        </w:rPr>
        <w:t>Cucurbita pepo</w:t>
      </w:r>
      <w:r w:rsidR="002365A6" w:rsidRPr="00510D36">
        <w:rPr>
          <w:szCs w:val="24"/>
        </w:rPr>
        <w:t xml:space="preserve">) seed oil in experimental animals. </w:t>
      </w:r>
      <w:r w:rsidR="002365A6" w:rsidRPr="00510D36">
        <w:rPr>
          <w:i/>
          <w:iCs/>
          <w:szCs w:val="24"/>
        </w:rPr>
        <w:t>Journal of Food Biochemistry</w:t>
      </w:r>
      <w:r w:rsidR="002365A6" w:rsidRPr="00510D36">
        <w:rPr>
          <w:szCs w:val="24"/>
        </w:rPr>
        <w:t>. 2020;44(6</w:t>
      </w:r>
      <w:proofErr w:type="gramStart"/>
      <w:r w:rsidR="002365A6" w:rsidRPr="00510D36">
        <w:rPr>
          <w:szCs w:val="24"/>
        </w:rPr>
        <w:t>):e</w:t>
      </w:r>
      <w:proofErr w:type="gramEnd"/>
      <w:r w:rsidR="002365A6" w:rsidRPr="00510D36">
        <w:rPr>
          <w:szCs w:val="24"/>
        </w:rPr>
        <w:t>13247.</w:t>
      </w:r>
    </w:p>
    <w:p w14:paraId="6131659D" w14:textId="5375CCB9" w:rsidR="002365A6" w:rsidRPr="00510D36" w:rsidRDefault="002E582B" w:rsidP="00510D36">
      <w:pPr>
        <w:spacing w:after="0" w:line="240" w:lineRule="auto"/>
        <w:ind w:left="720" w:hanging="720"/>
        <w:jc w:val="both"/>
        <w:rPr>
          <w:rFonts w:eastAsia="Times New Roman"/>
          <w:szCs w:val="24"/>
        </w:rPr>
      </w:pPr>
      <w:r w:rsidRPr="00510D36">
        <w:rPr>
          <w:szCs w:val="24"/>
        </w:rPr>
        <w:t>[30]</w:t>
      </w:r>
      <w:r w:rsidRPr="00510D36">
        <w:rPr>
          <w:szCs w:val="24"/>
        </w:rPr>
        <w:tab/>
      </w:r>
      <w:r w:rsidR="002365A6" w:rsidRPr="00510D36">
        <w:rPr>
          <w:szCs w:val="24"/>
        </w:rPr>
        <w:t xml:space="preserve">Sreekumar, A., Murthy, K.N. and Kumar, P.S. Protective effects of pumpkin seed protein on metabolic abnormalities and oxidative stress in high-fructose diet induced metabolic syndrome in rats. </w:t>
      </w:r>
      <w:r w:rsidR="002365A6" w:rsidRPr="00510D36">
        <w:rPr>
          <w:i/>
          <w:iCs/>
          <w:szCs w:val="24"/>
        </w:rPr>
        <w:t>Journal of Medicinal Food</w:t>
      </w:r>
      <w:r w:rsidR="002365A6" w:rsidRPr="00510D36">
        <w:rPr>
          <w:szCs w:val="24"/>
        </w:rPr>
        <w:t>. 2019;16(6): 517-526.</w:t>
      </w:r>
    </w:p>
    <w:p w14:paraId="3F1427E7" w14:textId="54A552D1" w:rsidR="002365A6" w:rsidRPr="00510D36" w:rsidRDefault="002E582B" w:rsidP="00510D36">
      <w:pPr>
        <w:spacing w:after="0" w:line="240" w:lineRule="auto"/>
        <w:ind w:left="720" w:hanging="720"/>
        <w:jc w:val="both"/>
        <w:rPr>
          <w:szCs w:val="24"/>
        </w:rPr>
      </w:pPr>
      <w:r w:rsidRPr="00510D36">
        <w:rPr>
          <w:szCs w:val="24"/>
        </w:rPr>
        <w:t>[31]</w:t>
      </w:r>
      <w:r w:rsidRPr="00510D36">
        <w:rPr>
          <w:szCs w:val="24"/>
        </w:rPr>
        <w:tab/>
      </w:r>
      <w:r w:rsidR="002365A6" w:rsidRPr="00510D36">
        <w:rPr>
          <w:szCs w:val="24"/>
        </w:rPr>
        <w:t>Ngugi C</w:t>
      </w:r>
      <w:r w:rsidR="00DF3FD2" w:rsidRPr="00510D36">
        <w:rPr>
          <w:szCs w:val="24"/>
        </w:rPr>
        <w:t>.</w:t>
      </w:r>
      <w:r w:rsidR="002365A6" w:rsidRPr="00510D36">
        <w:rPr>
          <w:szCs w:val="24"/>
        </w:rPr>
        <w:t>C, Mureithi J</w:t>
      </w:r>
      <w:r w:rsidR="00DF3FD2" w:rsidRPr="00510D36">
        <w:rPr>
          <w:szCs w:val="24"/>
        </w:rPr>
        <w:t>.</w:t>
      </w:r>
      <w:r w:rsidR="002365A6" w:rsidRPr="00510D36">
        <w:rPr>
          <w:szCs w:val="24"/>
        </w:rPr>
        <w:t>G, Njagi</w:t>
      </w:r>
      <w:r w:rsidR="00DF3FD2" w:rsidRPr="00510D36">
        <w:rPr>
          <w:szCs w:val="24"/>
        </w:rPr>
        <w:t>,</w:t>
      </w:r>
      <w:r w:rsidR="002365A6" w:rsidRPr="00510D36">
        <w:rPr>
          <w:szCs w:val="24"/>
        </w:rPr>
        <w:t xml:space="preserve"> E</w:t>
      </w:r>
      <w:r w:rsidR="00DF3FD2" w:rsidRPr="00510D36">
        <w:rPr>
          <w:szCs w:val="24"/>
        </w:rPr>
        <w:t>.</w:t>
      </w:r>
      <w:r w:rsidR="002365A6" w:rsidRPr="00510D36">
        <w:rPr>
          <w:szCs w:val="24"/>
        </w:rPr>
        <w:t>N. Effects of Moringa oleifera leaf powder supplementation on growth and serum biochemistry of Nile tilapia (</w:t>
      </w:r>
      <w:r w:rsidR="002365A6" w:rsidRPr="00510D36">
        <w:rPr>
          <w:i/>
          <w:iCs/>
          <w:szCs w:val="24"/>
        </w:rPr>
        <w:t>Oreochromis niloticus</w:t>
      </w:r>
      <w:r w:rsidR="002365A6" w:rsidRPr="00510D36">
        <w:rPr>
          <w:szCs w:val="24"/>
        </w:rPr>
        <w:t xml:space="preserve">). </w:t>
      </w:r>
      <w:r w:rsidR="002365A6" w:rsidRPr="00510D36">
        <w:rPr>
          <w:i/>
          <w:iCs/>
          <w:szCs w:val="24"/>
        </w:rPr>
        <w:t>Aquaculture Reports</w:t>
      </w:r>
      <w:r w:rsidR="002365A6" w:rsidRPr="00510D36">
        <w:rPr>
          <w:szCs w:val="24"/>
        </w:rPr>
        <w:t>.</w:t>
      </w:r>
      <w:r w:rsidR="00DF3FD2" w:rsidRPr="00510D36">
        <w:rPr>
          <w:szCs w:val="24"/>
        </w:rPr>
        <w:t xml:space="preserve"> 2021</w:t>
      </w:r>
      <w:r w:rsidR="002365A6" w:rsidRPr="00510D36">
        <w:rPr>
          <w:szCs w:val="24"/>
        </w:rPr>
        <w:t>;</w:t>
      </w:r>
      <w:r w:rsidR="00DF3FD2" w:rsidRPr="00510D36">
        <w:rPr>
          <w:szCs w:val="24"/>
        </w:rPr>
        <w:t xml:space="preserve"> </w:t>
      </w:r>
      <w:r w:rsidR="002365A6" w:rsidRPr="00510D36">
        <w:rPr>
          <w:szCs w:val="24"/>
        </w:rPr>
        <w:t>20:100681.</w:t>
      </w:r>
    </w:p>
    <w:p w14:paraId="3B78FB7F" w14:textId="77777777" w:rsidR="002365A6" w:rsidRPr="00510D36" w:rsidRDefault="002365A6" w:rsidP="00510D36">
      <w:pPr>
        <w:spacing w:after="0" w:line="240" w:lineRule="auto"/>
        <w:ind w:left="720" w:hanging="720"/>
        <w:jc w:val="both"/>
        <w:rPr>
          <w:rFonts w:eastAsia="Times New Roman"/>
          <w:b/>
          <w:bCs/>
          <w:color w:val="0D0D0D" w:themeColor="text1" w:themeTint="F2"/>
          <w:szCs w:val="24"/>
        </w:rPr>
      </w:pPr>
    </w:p>
    <w:sectPr w:rsidR="002365A6" w:rsidRPr="00510D36" w:rsidSect="00E114F8">
      <w:footerReference w:type="default" r:id="rId8"/>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226E" w14:textId="77777777" w:rsidR="00394E78" w:rsidRDefault="00394E78" w:rsidP="00FD39F1">
      <w:pPr>
        <w:spacing w:after="0" w:line="240" w:lineRule="auto"/>
      </w:pPr>
      <w:r>
        <w:separator/>
      </w:r>
    </w:p>
  </w:endnote>
  <w:endnote w:type="continuationSeparator" w:id="0">
    <w:p w14:paraId="19717DA6" w14:textId="77777777" w:rsidR="00394E78" w:rsidRDefault="00394E78" w:rsidP="00FD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545E" w14:textId="77777777" w:rsidR="00B774AE" w:rsidRDefault="00000000">
    <w:pPr>
      <w:pStyle w:val="BodyText"/>
      <w:spacing w:line="14" w:lineRule="auto"/>
      <w:rPr>
        <w:sz w:val="20"/>
      </w:rPr>
    </w:pPr>
    <w:r>
      <w:pict w14:anchorId="0C6BE626">
        <v:shapetype id="_x0000_t202" coordsize="21600,21600" o:spt="202" path="m,l,21600r21600,l21600,xe">
          <v:stroke joinstyle="miter"/>
          <v:path gradientshapeok="t" o:connecttype="rect"/>
        </v:shapetype>
        <v:shape id="_x0000_s1025" type="#_x0000_t202" style="position:absolute;margin-left:289.2pt;margin-top:781pt;width:17.05pt;height:13.05pt;z-index:-251658752;mso-position-horizontal-relative:page;mso-position-vertical-relative:page;mso-width-relative:page;mso-height-relative:page" filled="f" stroked="f">
          <v:textbox style="mso-next-textbox:#_x0000_s1025" inset="0,0,0,0">
            <w:txbxContent>
              <w:p w14:paraId="2268E858" w14:textId="77777777" w:rsidR="00B774AE" w:rsidRDefault="00B774AE">
                <w:pPr>
                  <w:spacing w:line="245" w:lineRule="exact"/>
                  <w:ind w:left="60"/>
                  <w:rPr>
                    <w:rFonts w:ascii="Calibri"/>
                  </w:rPr>
                </w:pPr>
                <w:r>
                  <w:fldChar w:fldCharType="begin"/>
                </w:r>
                <w:r>
                  <w:rPr>
                    <w:rFonts w:ascii="Calibri"/>
                    <w:sz w:val="2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12FE" w14:textId="77777777" w:rsidR="00394E78" w:rsidRDefault="00394E78" w:rsidP="00FD39F1">
      <w:pPr>
        <w:spacing w:after="0" w:line="240" w:lineRule="auto"/>
      </w:pPr>
      <w:r>
        <w:separator/>
      </w:r>
    </w:p>
  </w:footnote>
  <w:footnote w:type="continuationSeparator" w:id="0">
    <w:p w14:paraId="4CE3907A" w14:textId="77777777" w:rsidR="00394E78" w:rsidRDefault="00394E78" w:rsidP="00FD3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990"/>
    <w:multiLevelType w:val="hybridMultilevel"/>
    <w:tmpl w:val="352E9030"/>
    <w:lvl w:ilvl="0" w:tplc="15166AE2">
      <w:start w:val="1"/>
      <w:numFmt w:val="bullet"/>
      <w:lvlText w:val="•"/>
      <w:lvlJc w:val="left"/>
      <w:pPr>
        <w:tabs>
          <w:tab w:val="num" w:pos="720"/>
        </w:tabs>
        <w:ind w:left="720" w:hanging="360"/>
      </w:pPr>
      <w:rPr>
        <w:rFonts w:ascii="Arial" w:hAnsi="Arial" w:hint="default"/>
      </w:rPr>
    </w:lvl>
    <w:lvl w:ilvl="1" w:tplc="E7207C4A" w:tentative="1">
      <w:start w:val="1"/>
      <w:numFmt w:val="bullet"/>
      <w:lvlText w:val="•"/>
      <w:lvlJc w:val="left"/>
      <w:pPr>
        <w:tabs>
          <w:tab w:val="num" w:pos="1440"/>
        </w:tabs>
        <w:ind w:left="1440" w:hanging="360"/>
      </w:pPr>
      <w:rPr>
        <w:rFonts w:ascii="Arial" w:hAnsi="Arial" w:hint="default"/>
      </w:rPr>
    </w:lvl>
    <w:lvl w:ilvl="2" w:tplc="C44AE56C" w:tentative="1">
      <w:start w:val="1"/>
      <w:numFmt w:val="bullet"/>
      <w:lvlText w:val="•"/>
      <w:lvlJc w:val="left"/>
      <w:pPr>
        <w:tabs>
          <w:tab w:val="num" w:pos="2160"/>
        </w:tabs>
        <w:ind w:left="2160" w:hanging="360"/>
      </w:pPr>
      <w:rPr>
        <w:rFonts w:ascii="Arial" w:hAnsi="Arial" w:hint="default"/>
      </w:rPr>
    </w:lvl>
    <w:lvl w:ilvl="3" w:tplc="FAA88862" w:tentative="1">
      <w:start w:val="1"/>
      <w:numFmt w:val="bullet"/>
      <w:lvlText w:val="•"/>
      <w:lvlJc w:val="left"/>
      <w:pPr>
        <w:tabs>
          <w:tab w:val="num" w:pos="2880"/>
        </w:tabs>
        <w:ind w:left="2880" w:hanging="360"/>
      </w:pPr>
      <w:rPr>
        <w:rFonts w:ascii="Arial" w:hAnsi="Arial" w:hint="default"/>
      </w:rPr>
    </w:lvl>
    <w:lvl w:ilvl="4" w:tplc="BF944140" w:tentative="1">
      <w:start w:val="1"/>
      <w:numFmt w:val="bullet"/>
      <w:lvlText w:val="•"/>
      <w:lvlJc w:val="left"/>
      <w:pPr>
        <w:tabs>
          <w:tab w:val="num" w:pos="3600"/>
        </w:tabs>
        <w:ind w:left="3600" w:hanging="360"/>
      </w:pPr>
      <w:rPr>
        <w:rFonts w:ascii="Arial" w:hAnsi="Arial" w:hint="default"/>
      </w:rPr>
    </w:lvl>
    <w:lvl w:ilvl="5" w:tplc="B7386562" w:tentative="1">
      <w:start w:val="1"/>
      <w:numFmt w:val="bullet"/>
      <w:lvlText w:val="•"/>
      <w:lvlJc w:val="left"/>
      <w:pPr>
        <w:tabs>
          <w:tab w:val="num" w:pos="4320"/>
        </w:tabs>
        <w:ind w:left="4320" w:hanging="360"/>
      </w:pPr>
      <w:rPr>
        <w:rFonts w:ascii="Arial" w:hAnsi="Arial" w:hint="default"/>
      </w:rPr>
    </w:lvl>
    <w:lvl w:ilvl="6" w:tplc="CFFA5802" w:tentative="1">
      <w:start w:val="1"/>
      <w:numFmt w:val="bullet"/>
      <w:lvlText w:val="•"/>
      <w:lvlJc w:val="left"/>
      <w:pPr>
        <w:tabs>
          <w:tab w:val="num" w:pos="5040"/>
        </w:tabs>
        <w:ind w:left="5040" w:hanging="360"/>
      </w:pPr>
      <w:rPr>
        <w:rFonts w:ascii="Arial" w:hAnsi="Arial" w:hint="default"/>
      </w:rPr>
    </w:lvl>
    <w:lvl w:ilvl="7" w:tplc="98BA9D8C" w:tentative="1">
      <w:start w:val="1"/>
      <w:numFmt w:val="bullet"/>
      <w:lvlText w:val="•"/>
      <w:lvlJc w:val="left"/>
      <w:pPr>
        <w:tabs>
          <w:tab w:val="num" w:pos="5760"/>
        </w:tabs>
        <w:ind w:left="5760" w:hanging="360"/>
      </w:pPr>
      <w:rPr>
        <w:rFonts w:ascii="Arial" w:hAnsi="Arial" w:hint="default"/>
      </w:rPr>
    </w:lvl>
    <w:lvl w:ilvl="8" w:tplc="81749F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6198A"/>
    <w:multiLevelType w:val="multilevel"/>
    <w:tmpl w:val="D5E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D2206"/>
    <w:multiLevelType w:val="multilevel"/>
    <w:tmpl w:val="DD0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3FF"/>
    <w:multiLevelType w:val="hybridMultilevel"/>
    <w:tmpl w:val="050E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01D7F"/>
    <w:multiLevelType w:val="multilevel"/>
    <w:tmpl w:val="A4F6ED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796889"/>
    <w:multiLevelType w:val="multilevel"/>
    <w:tmpl w:val="227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F734C"/>
    <w:multiLevelType w:val="multilevel"/>
    <w:tmpl w:val="F31E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14969"/>
    <w:multiLevelType w:val="hybridMultilevel"/>
    <w:tmpl w:val="EDDA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74F24"/>
    <w:multiLevelType w:val="multilevel"/>
    <w:tmpl w:val="3FEE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860E7"/>
    <w:multiLevelType w:val="hybridMultilevel"/>
    <w:tmpl w:val="4C665916"/>
    <w:lvl w:ilvl="0" w:tplc="8CECB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8D471F"/>
    <w:multiLevelType w:val="multilevel"/>
    <w:tmpl w:val="5A6427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ADCABA"/>
    <w:multiLevelType w:val="multilevel"/>
    <w:tmpl w:val="59ADCABA"/>
    <w:lvl w:ilvl="0">
      <w:start w:val="1"/>
      <w:numFmt w:val="decimal"/>
      <w:lvlText w:val="%1"/>
      <w:lvlJc w:val="left"/>
      <w:pPr>
        <w:ind w:left="700" w:hanging="485"/>
      </w:pPr>
      <w:rPr>
        <w:rFonts w:hint="default"/>
        <w:lang w:val="en-US" w:eastAsia="en-US" w:bidi="ar-SA"/>
      </w:rPr>
    </w:lvl>
    <w:lvl w:ilvl="1">
      <w:numFmt w:val="decimal"/>
      <w:lvlText w:val="%1.%2"/>
      <w:lvlJc w:val="left"/>
      <w:pPr>
        <w:ind w:left="700" w:hanging="485"/>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937" w:hanging="361"/>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998" w:hanging="361"/>
      </w:pPr>
      <w:rPr>
        <w:rFonts w:hint="default"/>
        <w:lang w:val="en-US" w:eastAsia="en-US" w:bidi="ar-SA"/>
      </w:rPr>
    </w:lvl>
    <w:lvl w:ilvl="4">
      <w:numFmt w:val="bullet"/>
      <w:lvlText w:val="•"/>
      <w:lvlJc w:val="left"/>
      <w:pPr>
        <w:ind w:left="4028" w:hanging="361"/>
      </w:pPr>
      <w:rPr>
        <w:rFonts w:hint="default"/>
        <w:lang w:val="en-US" w:eastAsia="en-US" w:bidi="ar-SA"/>
      </w:rPr>
    </w:lvl>
    <w:lvl w:ilvl="5">
      <w:numFmt w:val="bullet"/>
      <w:lvlText w:val="•"/>
      <w:lvlJc w:val="left"/>
      <w:pPr>
        <w:ind w:left="5057" w:hanging="361"/>
      </w:pPr>
      <w:rPr>
        <w:rFonts w:hint="default"/>
        <w:lang w:val="en-US" w:eastAsia="en-US" w:bidi="ar-SA"/>
      </w:rPr>
    </w:lvl>
    <w:lvl w:ilvl="6">
      <w:numFmt w:val="bullet"/>
      <w:lvlText w:val="•"/>
      <w:lvlJc w:val="left"/>
      <w:pPr>
        <w:ind w:left="6086" w:hanging="361"/>
      </w:pPr>
      <w:rPr>
        <w:rFonts w:hint="default"/>
        <w:lang w:val="en-US" w:eastAsia="en-US" w:bidi="ar-SA"/>
      </w:rPr>
    </w:lvl>
    <w:lvl w:ilvl="7">
      <w:numFmt w:val="bullet"/>
      <w:lvlText w:val="•"/>
      <w:lvlJc w:val="left"/>
      <w:pPr>
        <w:ind w:left="7116" w:hanging="361"/>
      </w:pPr>
      <w:rPr>
        <w:rFonts w:hint="default"/>
        <w:lang w:val="en-US" w:eastAsia="en-US" w:bidi="ar-SA"/>
      </w:rPr>
    </w:lvl>
    <w:lvl w:ilvl="8">
      <w:numFmt w:val="bullet"/>
      <w:lvlText w:val="•"/>
      <w:lvlJc w:val="left"/>
      <w:pPr>
        <w:ind w:left="8145" w:hanging="361"/>
      </w:pPr>
      <w:rPr>
        <w:rFonts w:hint="default"/>
        <w:lang w:val="en-US" w:eastAsia="en-US" w:bidi="ar-SA"/>
      </w:rPr>
    </w:lvl>
  </w:abstractNum>
  <w:abstractNum w:abstractNumId="12" w15:restartNumberingAfterBreak="0">
    <w:nsid w:val="5B7E2857"/>
    <w:multiLevelType w:val="multilevel"/>
    <w:tmpl w:val="4440C2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4499F"/>
    <w:multiLevelType w:val="multilevel"/>
    <w:tmpl w:val="3A2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54164"/>
    <w:multiLevelType w:val="hybridMultilevel"/>
    <w:tmpl w:val="8B6EA6EA"/>
    <w:lvl w:ilvl="0" w:tplc="0B0AC3B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323B1"/>
    <w:multiLevelType w:val="multilevel"/>
    <w:tmpl w:val="08F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F4603"/>
    <w:multiLevelType w:val="multilevel"/>
    <w:tmpl w:val="3668A77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735D1799"/>
    <w:multiLevelType w:val="multilevel"/>
    <w:tmpl w:val="F9F0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7429E"/>
    <w:multiLevelType w:val="hybridMultilevel"/>
    <w:tmpl w:val="B400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B6D15"/>
    <w:multiLevelType w:val="multilevel"/>
    <w:tmpl w:val="201669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9A18FD"/>
    <w:multiLevelType w:val="hybridMultilevel"/>
    <w:tmpl w:val="2C94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27258">
    <w:abstractNumId w:val="18"/>
  </w:num>
  <w:num w:numId="2" w16cid:durableId="125204050">
    <w:abstractNumId w:val="2"/>
  </w:num>
  <w:num w:numId="3" w16cid:durableId="713694952">
    <w:abstractNumId w:val="17"/>
  </w:num>
  <w:num w:numId="4" w16cid:durableId="269317384">
    <w:abstractNumId w:val="13"/>
  </w:num>
  <w:num w:numId="5" w16cid:durableId="529533466">
    <w:abstractNumId w:val="5"/>
  </w:num>
  <w:num w:numId="6" w16cid:durableId="1569461302">
    <w:abstractNumId w:val="6"/>
  </w:num>
  <w:num w:numId="7" w16cid:durableId="1930459598">
    <w:abstractNumId w:val="1"/>
  </w:num>
  <w:num w:numId="8" w16cid:durableId="1855880718">
    <w:abstractNumId w:val="7"/>
  </w:num>
  <w:num w:numId="9" w16cid:durableId="1890610757">
    <w:abstractNumId w:val="20"/>
  </w:num>
  <w:num w:numId="10" w16cid:durableId="888228452">
    <w:abstractNumId w:val="15"/>
  </w:num>
  <w:num w:numId="11" w16cid:durableId="1134443957">
    <w:abstractNumId w:val="3"/>
  </w:num>
  <w:num w:numId="12" w16cid:durableId="809445230">
    <w:abstractNumId w:val="4"/>
  </w:num>
  <w:num w:numId="13" w16cid:durableId="254242831">
    <w:abstractNumId w:val="11"/>
  </w:num>
  <w:num w:numId="14" w16cid:durableId="923152331">
    <w:abstractNumId w:val="9"/>
  </w:num>
  <w:num w:numId="15" w16cid:durableId="1167477648">
    <w:abstractNumId w:val="12"/>
  </w:num>
  <w:num w:numId="16" w16cid:durableId="318459771">
    <w:abstractNumId w:val="19"/>
  </w:num>
  <w:num w:numId="17" w16cid:durableId="1094976176">
    <w:abstractNumId w:val="14"/>
  </w:num>
  <w:num w:numId="18" w16cid:durableId="328599821">
    <w:abstractNumId w:val="10"/>
  </w:num>
  <w:num w:numId="19" w16cid:durableId="95559221">
    <w:abstractNumId w:val="0"/>
  </w:num>
  <w:num w:numId="20" w16cid:durableId="556361158">
    <w:abstractNumId w:val="16"/>
  </w:num>
  <w:num w:numId="21" w16cid:durableId="179412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E70"/>
    <w:rsid w:val="00001082"/>
    <w:rsid w:val="00002FC3"/>
    <w:rsid w:val="00004381"/>
    <w:rsid w:val="00004802"/>
    <w:rsid w:val="00005F61"/>
    <w:rsid w:val="00007CA4"/>
    <w:rsid w:val="00010A88"/>
    <w:rsid w:val="000113EE"/>
    <w:rsid w:val="00014CB9"/>
    <w:rsid w:val="00016C7D"/>
    <w:rsid w:val="00017BD1"/>
    <w:rsid w:val="00021E71"/>
    <w:rsid w:val="00022803"/>
    <w:rsid w:val="00024BCC"/>
    <w:rsid w:val="000250EA"/>
    <w:rsid w:val="00026A42"/>
    <w:rsid w:val="000321C1"/>
    <w:rsid w:val="00034EEF"/>
    <w:rsid w:val="000369DD"/>
    <w:rsid w:val="00036FE0"/>
    <w:rsid w:val="000377F4"/>
    <w:rsid w:val="000404CB"/>
    <w:rsid w:val="0004227C"/>
    <w:rsid w:val="00043B3C"/>
    <w:rsid w:val="00045102"/>
    <w:rsid w:val="00046DB5"/>
    <w:rsid w:val="0004715B"/>
    <w:rsid w:val="00047699"/>
    <w:rsid w:val="00051421"/>
    <w:rsid w:val="00051998"/>
    <w:rsid w:val="00052C91"/>
    <w:rsid w:val="00055D09"/>
    <w:rsid w:val="00061B58"/>
    <w:rsid w:val="000629A1"/>
    <w:rsid w:val="00067BD7"/>
    <w:rsid w:val="000711E8"/>
    <w:rsid w:val="00071EB2"/>
    <w:rsid w:val="00072213"/>
    <w:rsid w:val="000735CF"/>
    <w:rsid w:val="000736BB"/>
    <w:rsid w:val="00074F77"/>
    <w:rsid w:val="0007613A"/>
    <w:rsid w:val="000765D5"/>
    <w:rsid w:val="00076C5B"/>
    <w:rsid w:val="000854DE"/>
    <w:rsid w:val="00085A5E"/>
    <w:rsid w:val="00087821"/>
    <w:rsid w:val="00090A79"/>
    <w:rsid w:val="0009389C"/>
    <w:rsid w:val="000A0BA3"/>
    <w:rsid w:val="000A23A4"/>
    <w:rsid w:val="000A3EA8"/>
    <w:rsid w:val="000A40F0"/>
    <w:rsid w:val="000A744E"/>
    <w:rsid w:val="000B0284"/>
    <w:rsid w:val="000B2256"/>
    <w:rsid w:val="000B4FDC"/>
    <w:rsid w:val="000B5DAC"/>
    <w:rsid w:val="000B6064"/>
    <w:rsid w:val="000B70E5"/>
    <w:rsid w:val="000B7CA1"/>
    <w:rsid w:val="000C3C93"/>
    <w:rsid w:val="000C49FE"/>
    <w:rsid w:val="000C630D"/>
    <w:rsid w:val="000C788C"/>
    <w:rsid w:val="000C7D3B"/>
    <w:rsid w:val="000D0D3F"/>
    <w:rsid w:val="000D3DA1"/>
    <w:rsid w:val="000D4EAA"/>
    <w:rsid w:val="000D6E49"/>
    <w:rsid w:val="000E1AF4"/>
    <w:rsid w:val="000E2B8B"/>
    <w:rsid w:val="000E4B91"/>
    <w:rsid w:val="000F0F16"/>
    <w:rsid w:val="000F3D60"/>
    <w:rsid w:val="000F57A5"/>
    <w:rsid w:val="000F5E4E"/>
    <w:rsid w:val="000F618B"/>
    <w:rsid w:val="000F6234"/>
    <w:rsid w:val="000F66C9"/>
    <w:rsid w:val="00105E3B"/>
    <w:rsid w:val="0010628C"/>
    <w:rsid w:val="0010641C"/>
    <w:rsid w:val="0011100C"/>
    <w:rsid w:val="00111F92"/>
    <w:rsid w:val="00112586"/>
    <w:rsid w:val="00115385"/>
    <w:rsid w:val="00116492"/>
    <w:rsid w:val="00122247"/>
    <w:rsid w:val="00122CCE"/>
    <w:rsid w:val="0012565D"/>
    <w:rsid w:val="0012598E"/>
    <w:rsid w:val="0012710D"/>
    <w:rsid w:val="001302A8"/>
    <w:rsid w:val="0013343D"/>
    <w:rsid w:val="00133D49"/>
    <w:rsid w:val="00134CCE"/>
    <w:rsid w:val="001351D1"/>
    <w:rsid w:val="00135855"/>
    <w:rsid w:val="00135EBE"/>
    <w:rsid w:val="0013738C"/>
    <w:rsid w:val="001374A4"/>
    <w:rsid w:val="00140A73"/>
    <w:rsid w:val="00140D82"/>
    <w:rsid w:val="0014176C"/>
    <w:rsid w:val="0014443C"/>
    <w:rsid w:val="00146DA3"/>
    <w:rsid w:val="001471AE"/>
    <w:rsid w:val="00147D94"/>
    <w:rsid w:val="00150C66"/>
    <w:rsid w:val="00150E21"/>
    <w:rsid w:val="001519FC"/>
    <w:rsid w:val="0015356E"/>
    <w:rsid w:val="001536FF"/>
    <w:rsid w:val="00153F39"/>
    <w:rsid w:val="001546CB"/>
    <w:rsid w:val="00161B9B"/>
    <w:rsid w:val="001622F4"/>
    <w:rsid w:val="00162798"/>
    <w:rsid w:val="001638DC"/>
    <w:rsid w:val="00163C2E"/>
    <w:rsid w:val="00164C6C"/>
    <w:rsid w:val="001666E3"/>
    <w:rsid w:val="00166DE8"/>
    <w:rsid w:val="00167676"/>
    <w:rsid w:val="00167AF6"/>
    <w:rsid w:val="00170A59"/>
    <w:rsid w:val="00170C46"/>
    <w:rsid w:val="0017166E"/>
    <w:rsid w:val="00172BFC"/>
    <w:rsid w:val="00173AA6"/>
    <w:rsid w:val="00175F04"/>
    <w:rsid w:val="001773EF"/>
    <w:rsid w:val="00180AE2"/>
    <w:rsid w:val="00182652"/>
    <w:rsid w:val="001838A7"/>
    <w:rsid w:val="00183EE4"/>
    <w:rsid w:val="00187244"/>
    <w:rsid w:val="00187EB1"/>
    <w:rsid w:val="00187F70"/>
    <w:rsid w:val="00190307"/>
    <w:rsid w:val="001907F6"/>
    <w:rsid w:val="00190BFA"/>
    <w:rsid w:val="00190ED8"/>
    <w:rsid w:val="00191A97"/>
    <w:rsid w:val="001925A2"/>
    <w:rsid w:val="00192FB5"/>
    <w:rsid w:val="001938EE"/>
    <w:rsid w:val="00194072"/>
    <w:rsid w:val="001A3532"/>
    <w:rsid w:val="001A35A6"/>
    <w:rsid w:val="001A5B1A"/>
    <w:rsid w:val="001A61D9"/>
    <w:rsid w:val="001A7256"/>
    <w:rsid w:val="001B0F71"/>
    <w:rsid w:val="001B3F10"/>
    <w:rsid w:val="001B41BD"/>
    <w:rsid w:val="001B4CEC"/>
    <w:rsid w:val="001B4DE8"/>
    <w:rsid w:val="001B60CC"/>
    <w:rsid w:val="001B71B3"/>
    <w:rsid w:val="001B7631"/>
    <w:rsid w:val="001B77EE"/>
    <w:rsid w:val="001C0CE5"/>
    <w:rsid w:val="001C1291"/>
    <w:rsid w:val="001C1435"/>
    <w:rsid w:val="001C186A"/>
    <w:rsid w:val="001C29A5"/>
    <w:rsid w:val="001C59B0"/>
    <w:rsid w:val="001C5A9A"/>
    <w:rsid w:val="001C68B9"/>
    <w:rsid w:val="001D06C5"/>
    <w:rsid w:val="001D2143"/>
    <w:rsid w:val="001D22E3"/>
    <w:rsid w:val="001D350F"/>
    <w:rsid w:val="001D3D6D"/>
    <w:rsid w:val="001D444F"/>
    <w:rsid w:val="001D6226"/>
    <w:rsid w:val="001D7542"/>
    <w:rsid w:val="001D7691"/>
    <w:rsid w:val="001E3DA2"/>
    <w:rsid w:val="001E3DB2"/>
    <w:rsid w:val="001E4171"/>
    <w:rsid w:val="001E50D3"/>
    <w:rsid w:val="001E6557"/>
    <w:rsid w:val="001E7CFF"/>
    <w:rsid w:val="001F0CCC"/>
    <w:rsid w:val="001F10F0"/>
    <w:rsid w:val="001F15CD"/>
    <w:rsid w:val="001F21CF"/>
    <w:rsid w:val="001F2E43"/>
    <w:rsid w:val="001F35EE"/>
    <w:rsid w:val="001F37B2"/>
    <w:rsid w:val="001F44C7"/>
    <w:rsid w:val="001F60A0"/>
    <w:rsid w:val="001F7DD6"/>
    <w:rsid w:val="002014E3"/>
    <w:rsid w:val="00203987"/>
    <w:rsid w:val="00206447"/>
    <w:rsid w:val="002067B9"/>
    <w:rsid w:val="002069D7"/>
    <w:rsid w:val="00206B48"/>
    <w:rsid w:val="00210228"/>
    <w:rsid w:val="00210A68"/>
    <w:rsid w:val="0021144C"/>
    <w:rsid w:val="00221CD8"/>
    <w:rsid w:val="00232118"/>
    <w:rsid w:val="00234517"/>
    <w:rsid w:val="00234D0E"/>
    <w:rsid w:val="00235F15"/>
    <w:rsid w:val="00236361"/>
    <w:rsid w:val="002365A6"/>
    <w:rsid w:val="00237403"/>
    <w:rsid w:val="00241965"/>
    <w:rsid w:val="00244D6D"/>
    <w:rsid w:val="00245187"/>
    <w:rsid w:val="002543FB"/>
    <w:rsid w:val="00260CC4"/>
    <w:rsid w:val="00261B1A"/>
    <w:rsid w:val="00261EF8"/>
    <w:rsid w:val="002647E8"/>
    <w:rsid w:val="00265C25"/>
    <w:rsid w:val="00267451"/>
    <w:rsid w:val="00270F65"/>
    <w:rsid w:val="0027150F"/>
    <w:rsid w:val="00274F25"/>
    <w:rsid w:val="0028097E"/>
    <w:rsid w:val="002809FA"/>
    <w:rsid w:val="00281024"/>
    <w:rsid w:val="002812FA"/>
    <w:rsid w:val="00281A73"/>
    <w:rsid w:val="00281FC9"/>
    <w:rsid w:val="002823E3"/>
    <w:rsid w:val="002826C4"/>
    <w:rsid w:val="00283299"/>
    <w:rsid w:val="0028534E"/>
    <w:rsid w:val="00293D15"/>
    <w:rsid w:val="00294DA0"/>
    <w:rsid w:val="00294E10"/>
    <w:rsid w:val="00296106"/>
    <w:rsid w:val="00296BC3"/>
    <w:rsid w:val="002A1383"/>
    <w:rsid w:val="002A2A10"/>
    <w:rsid w:val="002A42DD"/>
    <w:rsid w:val="002A4ACA"/>
    <w:rsid w:val="002A7A54"/>
    <w:rsid w:val="002B0D86"/>
    <w:rsid w:val="002B0F86"/>
    <w:rsid w:val="002B2E21"/>
    <w:rsid w:val="002B3196"/>
    <w:rsid w:val="002B765F"/>
    <w:rsid w:val="002C0DA6"/>
    <w:rsid w:val="002C1817"/>
    <w:rsid w:val="002C26E0"/>
    <w:rsid w:val="002C367B"/>
    <w:rsid w:val="002C3AC7"/>
    <w:rsid w:val="002C4FAC"/>
    <w:rsid w:val="002C5B98"/>
    <w:rsid w:val="002C6733"/>
    <w:rsid w:val="002D045D"/>
    <w:rsid w:val="002D1B02"/>
    <w:rsid w:val="002D1E40"/>
    <w:rsid w:val="002D257E"/>
    <w:rsid w:val="002D3A47"/>
    <w:rsid w:val="002D41C8"/>
    <w:rsid w:val="002D584C"/>
    <w:rsid w:val="002D5B8A"/>
    <w:rsid w:val="002D68D2"/>
    <w:rsid w:val="002D7229"/>
    <w:rsid w:val="002D789A"/>
    <w:rsid w:val="002D7CB2"/>
    <w:rsid w:val="002E3119"/>
    <w:rsid w:val="002E4298"/>
    <w:rsid w:val="002E534D"/>
    <w:rsid w:val="002E582B"/>
    <w:rsid w:val="002E5836"/>
    <w:rsid w:val="002E5FC8"/>
    <w:rsid w:val="002E635D"/>
    <w:rsid w:val="002E78DE"/>
    <w:rsid w:val="002F0703"/>
    <w:rsid w:val="002F0D40"/>
    <w:rsid w:val="002F2A70"/>
    <w:rsid w:val="002F3072"/>
    <w:rsid w:val="002F3DA5"/>
    <w:rsid w:val="002F41A0"/>
    <w:rsid w:val="002F6698"/>
    <w:rsid w:val="002F75E3"/>
    <w:rsid w:val="002F7755"/>
    <w:rsid w:val="00301193"/>
    <w:rsid w:val="00301E62"/>
    <w:rsid w:val="00302F2D"/>
    <w:rsid w:val="00307396"/>
    <w:rsid w:val="00307A05"/>
    <w:rsid w:val="00314312"/>
    <w:rsid w:val="003150A5"/>
    <w:rsid w:val="00317790"/>
    <w:rsid w:val="00321486"/>
    <w:rsid w:val="00321B0E"/>
    <w:rsid w:val="00324369"/>
    <w:rsid w:val="0032443D"/>
    <w:rsid w:val="00330684"/>
    <w:rsid w:val="0033142B"/>
    <w:rsid w:val="003318B4"/>
    <w:rsid w:val="00331B7E"/>
    <w:rsid w:val="003322B2"/>
    <w:rsid w:val="003341A3"/>
    <w:rsid w:val="00334763"/>
    <w:rsid w:val="00335F89"/>
    <w:rsid w:val="00337055"/>
    <w:rsid w:val="0034257F"/>
    <w:rsid w:val="00344C7F"/>
    <w:rsid w:val="0034544A"/>
    <w:rsid w:val="00350CAA"/>
    <w:rsid w:val="00351A1B"/>
    <w:rsid w:val="00351BD3"/>
    <w:rsid w:val="00354C90"/>
    <w:rsid w:val="00356351"/>
    <w:rsid w:val="003564D0"/>
    <w:rsid w:val="00356EDD"/>
    <w:rsid w:val="0036166D"/>
    <w:rsid w:val="00362980"/>
    <w:rsid w:val="003640B3"/>
    <w:rsid w:val="003642CB"/>
    <w:rsid w:val="0036520C"/>
    <w:rsid w:val="00365D08"/>
    <w:rsid w:val="003669F8"/>
    <w:rsid w:val="003711DD"/>
    <w:rsid w:val="00371940"/>
    <w:rsid w:val="00372BC1"/>
    <w:rsid w:val="00374063"/>
    <w:rsid w:val="00375165"/>
    <w:rsid w:val="00381361"/>
    <w:rsid w:val="00382E66"/>
    <w:rsid w:val="00384929"/>
    <w:rsid w:val="00387134"/>
    <w:rsid w:val="00390CCB"/>
    <w:rsid w:val="00392D30"/>
    <w:rsid w:val="00392E11"/>
    <w:rsid w:val="00393706"/>
    <w:rsid w:val="00394B77"/>
    <w:rsid w:val="00394E78"/>
    <w:rsid w:val="00396EED"/>
    <w:rsid w:val="003977E6"/>
    <w:rsid w:val="0039788F"/>
    <w:rsid w:val="003979F2"/>
    <w:rsid w:val="003A15E0"/>
    <w:rsid w:val="003A1E12"/>
    <w:rsid w:val="003A1F2E"/>
    <w:rsid w:val="003A2255"/>
    <w:rsid w:val="003A2884"/>
    <w:rsid w:val="003A29F6"/>
    <w:rsid w:val="003A3417"/>
    <w:rsid w:val="003A54EC"/>
    <w:rsid w:val="003A5617"/>
    <w:rsid w:val="003A5C6B"/>
    <w:rsid w:val="003A68C2"/>
    <w:rsid w:val="003A6C51"/>
    <w:rsid w:val="003A7F80"/>
    <w:rsid w:val="003B0B92"/>
    <w:rsid w:val="003B1FA7"/>
    <w:rsid w:val="003B4324"/>
    <w:rsid w:val="003B523E"/>
    <w:rsid w:val="003B5D08"/>
    <w:rsid w:val="003B7AE1"/>
    <w:rsid w:val="003B7FF4"/>
    <w:rsid w:val="003C036E"/>
    <w:rsid w:val="003C156F"/>
    <w:rsid w:val="003C1BFD"/>
    <w:rsid w:val="003C1DD0"/>
    <w:rsid w:val="003C2F3F"/>
    <w:rsid w:val="003C3138"/>
    <w:rsid w:val="003C53FB"/>
    <w:rsid w:val="003C5F95"/>
    <w:rsid w:val="003C75D0"/>
    <w:rsid w:val="003D06C8"/>
    <w:rsid w:val="003D2506"/>
    <w:rsid w:val="003D33BF"/>
    <w:rsid w:val="003D37FF"/>
    <w:rsid w:val="003D49DC"/>
    <w:rsid w:val="003D5FD1"/>
    <w:rsid w:val="003D66D3"/>
    <w:rsid w:val="003D7537"/>
    <w:rsid w:val="003E0B3C"/>
    <w:rsid w:val="003E189C"/>
    <w:rsid w:val="003E2E4B"/>
    <w:rsid w:val="003E3CC7"/>
    <w:rsid w:val="003E3FA4"/>
    <w:rsid w:val="003E44A1"/>
    <w:rsid w:val="003E561C"/>
    <w:rsid w:val="003E6A2D"/>
    <w:rsid w:val="003E744E"/>
    <w:rsid w:val="003E74DC"/>
    <w:rsid w:val="003F1D40"/>
    <w:rsid w:val="003F36CA"/>
    <w:rsid w:val="003F47B9"/>
    <w:rsid w:val="003F75DF"/>
    <w:rsid w:val="004002FF"/>
    <w:rsid w:val="00400D83"/>
    <w:rsid w:val="00401114"/>
    <w:rsid w:val="00401477"/>
    <w:rsid w:val="00407E17"/>
    <w:rsid w:val="004111C8"/>
    <w:rsid w:val="00411ACE"/>
    <w:rsid w:val="0041252E"/>
    <w:rsid w:val="00412C21"/>
    <w:rsid w:val="00415940"/>
    <w:rsid w:val="004161BD"/>
    <w:rsid w:val="00417578"/>
    <w:rsid w:val="00420502"/>
    <w:rsid w:val="00421D03"/>
    <w:rsid w:val="00424CA6"/>
    <w:rsid w:val="00425C95"/>
    <w:rsid w:val="00427C0B"/>
    <w:rsid w:val="00427FCA"/>
    <w:rsid w:val="004305A3"/>
    <w:rsid w:val="00431670"/>
    <w:rsid w:val="00431E7E"/>
    <w:rsid w:val="0043302C"/>
    <w:rsid w:val="004330D1"/>
    <w:rsid w:val="0043399A"/>
    <w:rsid w:val="00434578"/>
    <w:rsid w:val="00435645"/>
    <w:rsid w:val="00435C60"/>
    <w:rsid w:val="00435EA2"/>
    <w:rsid w:val="00436B80"/>
    <w:rsid w:val="00442033"/>
    <w:rsid w:val="00443368"/>
    <w:rsid w:val="00443713"/>
    <w:rsid w:val="004447DF"/>
    <w:rsid w:val="004451DD"/>
    <w:rsid w:val="0044590D"/>
    <w:rsid w:val="0044598C"/>
    <w:rsid w:val="004511B4"/>
    <w:rsid w:val="00451526"/>
    <w:rsid w:val="0045253D"/>
    <w:rsid w:val="00453560"/>
    <w:rsid w:val="00455AFF"/>
    <w:rsid w:val="00455E52"/>
    <w:rsid w:val="00456D11"/>
    <w:rsid w:val="00460312"/>
    <w:rsid w:val="00461122"/>
    <w:rsid w:val="00463986"/>
    <w:rsid w:val="00463E45"/>
    <w:rsid w:val="00464E9C"/>
    <w:rsid w:val="00465C35"/>
    <w:rsid w:val="00465DE0"/>
    <w:rsid w:val="00466184"/>
    <w:rsid w:val="004678BF"/>
    <w:rsid w:val="0047123B"/>
    <w:rsid w:val="00476422"/>
    <w:rsid w:val="00476A20"/>
    <w:rsid w:val="00477CC3"/>
    <w:rsid w:val="004807C9"/>
    <w:rsid w:val="00483145"/>
    <w:rsid w:val="00483E4E"/>
    <w:rsid w:val="00485952"/>
    <w:rsid w:val="0049054D"/>
    <w:rsid w:val="004908EF"/>
    <w:rsid w:val="00491B8B"/>
    <w:rsid w:val="00495B56"/>
    <w:rsid w:val="004966E4"/>
    <w:rsid w:val="00496CD4"/>
    <w:rsid w:val="00497B3C"/>
    <w:rsid w:val="004A053A"/>
    <w:rsid w:val="004A18C5"/>
    <w:rsid w:val="004A1968"/>
    <w:rsid w:val="004A1A3F"/>
    <w:rsid w:val="004A31AC"/>
    <w:rsid w:val="004A57E6"/>
    <w:rsid w:val="004A6AF8"/>
    <w:rsid w:val="004B12BB"/>
    <w:rsid w:val="004B315E"/>
    <w:rsid w:val="004B43D8"/>
    <w:rsid w:val="004B61D6"/>
    <w:rsid w:val="004C1F38"/>
    <w:rsid w:val="004C3ACF"/>
    <w:rsid w:val="004C3D6C"/>
    <w:rsid w:val="004C4664"/>
    <w:rsid w:val="004D3AEE"/>
    <w:rsid w:val="004D3CB3"/>
    <w:rsid w:val="004D3FAF"/>
    <w:rsid w:val="004D43C8"/>
    <w:rsid w:val="004D74F9"/>
    <w:rsid w:val="004E0540"/>
    <w:rsid w:val="004E0B79"/>
    <w:rsid w:val="004E1116"/>
    <w:rsid w:val="004E137A"/>
    <w:rsid w:val="004E2FD7"/>
    <w:rsid w:val="004E3235"/>
    <w:rsid w:val="004E42F1"/>
    <w:rsid w:val="004E4F38"/>
    <w:rsid w:val="004E70D4"/>
    <w:rsid w:val="004E7EEB"/>
    <w:rsid w:val="004F0253"/>
    <w:rsid w:val="004F1325"/>
    <w:rsid w:val="004F2C9A"/>
    <w:rsid w:val="004F3027"/>
    <w:rsid w:val="004F352E"/>
    <w:rsid w:val="004F355D"/>
    <w:rsid w:val="004F3E94"/>
    <w:rsid w:val="004F4F6E"/>
    <w:rsid w:val="004F7122"/>
    <w:rsid w:val="00500B0C"/>
    <w:rsid w:val="00502575"/>
    <w:rsid w:val="0050410E"/>
    <w:rsid w:val="005074DF"/>
    <w:rsid w:val="005076FF"/>
    <w:rsid w:val="00510D36"/>
    <w:rsid w:val="00512A74"/>
    <w:rsid w:val="00513701"/>
    <w:rsid w:val="00514DDE"/>
    <w:rsid w:val="00515328"/>
    <w:rsid w:val="00516F0E"/>
    <w:rsid w:val="00520D99"/>
    <w:rsid w:val="00520ED9"/>
    <w:rsid w:val="00525CE7"/>
    <w:rsid w:val="005261E2"/>
    <w:rsid w:val="00532F88"/>
    <w:rsid w:val="00533634"/>
    <w:rsid w:val="00534910"/>
    <w:rsid w:val="005369CF"/>
    <w:rsid w:val="00536B26"/>
    <w:rsid w:val="0053787C"/>
    <w:rsid w:val="00543F82"/>
    <w:rsid w:val="00546AE6"/>
    <w:rsid w:val="005473FC"/>
    <w:rsid w:val="00551800"/>
    <w:rsid w:val="005518C5"/>
    <w:rsid w:val="00552883"/>
    <w:rsid w:val="00556BD9"/>
    <w:rsid w:val="0055718E"/>
    <w:rsid w:val="005575D1"/>
    <w:rsid w:val="00557744"/>
    <w:rsid w:val="00557E6B"/>
    <w:rsid w:val="00560908"/>
    <w:rsid w:val="00562D24"/>
    <w:rsid w:val="005659F0"/>
    <w:rsid w:val="00567657"/>
    <w:rsid w:val="00571696"/>
    <w:rsid w:val="0057172A"/>
    <w:rsid w:val="00572444"/>
    <w:rsid w:val="00572AEB"/>
    <w:rsid w:val="005735C4"/>
    <w:rsid w:val="005754BD"/>
    <w:rsid w:val="005758E6"/>
    <w:rsid w:val="00576C15"/>
    <w:rsid w:val="005829A8"/>
    <w:rsid w:val="00582AD1"/>
    <w:rsid w:val="00582AE0"/>
    <w:rsid w:val="005833F5"/>
    <w:rsid w:val="005835E3"/>
    <w:rsid w:val="005838E2"/>
    <w:rsid w:val="0058557B"/>
    <w:rsid w:val="00590085"/>
    <w:rsid w:val="00591976"/>
    <w:rsid w:val="005920D4"/>
    <w:rsid w:val="00592FE6"/>
    <w:rsid w:val="0059475A"/>
    <w:rsid w:val="005A3981"/>
    <w:rsid w:val="005A52E6"/>
    <w:rsid w:val="005A7213"/>
    <w:rsid w:val="005A7BC2"/>
    <w:rsid w:val="005B2398"/>
    <w:rsid w:val="005B275F"/>
    <w:rsid w:val="005B2891"/>
    <w:rsid w:val="005B3FCC"/>
    <w:rsid w:val="005C11B5"/>
    <w:rsid w:val="005C1642"/>
    <w:rsid w:val="005C2E2C"/>
    <w:rsid w:val="005C54AD"/>
    <w:rsid w:val="005C7C08"/>
    <w:rsid w:val="005D0591"/>
    <w:rsid w:val="005D26DC"/>
    <w:rsid w:val="005E197C"/>
    <w:rsid w:val="005E224C"/>
    <w:rsid w:val="005E2A98"/>
    <w:rsid w:val="005E42C2"/>
    <w:rsid w:val="005E500F"/>
    <w:rsid w:val="005E5434"/>
    <w:rsid w:val="005F1724"/>
    <w:rsid w:val="005F24FC"/>
    <w:rsid w:val="005F3E7F"/>
    <w:rsid w:val="005F49CE"/>
    <w:rsid w:val="005F5AA6"/>
    <w:rsid w:val="00603243"/>
    <w:rsid w:val="006040FE"/>
    <w:rsid w:val="0060509D"/>
    <w:rsid w:val="006059ED"/>
    <w:rsid w:val="00606C11"/>
    <w:rsid w:val="0060799B"/>
    <w:rsid w:val="00610371"/>
    <w:rsid w:val="00610FED"/>
    <w:rsid w:val="006148C6"/>
    <w:rsid w:val="00615AC3"/>
    <w:rsid w:val="00617A78"/>
    <w:rsid w:val="00625E2C"/>
    <w:rsid w:val="00627A8B"/>
    <w:rsid w:val="00630762"/>
    <w:rsid w:val="006334B8"/>
    <w:rsid w:val="00634B36"/>
    <w:rsid w:val="00636136"/>
    <w:rsid w:val="006444F7"/>
    <w:rsid w:val="0064587A"/>
    <w:rsid w:val="00653F63"/>
    <w:rsid w:val="00654AE3"/>
    <w:rsid w:val="00654C95"/>
    <w:rsid w:val="00655E70"/>
    <w:rsid w:val="00657905"/>
    <w:rsid w:val="006639D4"/>
    <w:rsid w:val="00664E95"/>
    <w:rsid w:val="0066503D"/>
    <w:rsid w:val="0066648D"/>
    <w:rsid w:val="00667DBB"/>
    <w:rsid w:val="006708E6"/>
    <w:rsid w:val="00671480"/>
    <w:rsid w:val="0067531B"/>
    <w:rsid w:val="00680ABE"/>
    <w:rsid w:val="00680E72"/>
    <w:rsid w:val="00680F4F"/>
    <w:rsid w:val="00681295"/>
    <w:rsid w:val="00684452"/>
    <w:rsid w:val="006869DB"/>
    <w:rsid w:val="00687B56"/>
    <w:rsid w:val="00697294"/>
    <w:rsid w:val="00697CFB"/>
    <w:rsid w:val="006A06BD"/>
    <w:rsid w:val="006A2325"/>
    <w:rsid w:val="006A5A06"/>
    <w:rsid w:val="006A629A"/>
    <w:rsid w:val="006B08ED"/>
    <w:rsid w:val="006B117E"/>
    <w:rsid w:val="006B2917"/>
    <w:rsid w:val="006B3FA5"/>
    <w:rsid w:val="006B410E"/>
    <w:rsid w:val="006B512E"/>
    <w:rsid w:val="006B5C9B"/>
    <w:rsid w:val="006B7A40"/>
    <w:rsid w:val="006C021D"/>
    <w:rsid w:val="006C0A87"/>
    <w:rsid w:val="006C4665"/>
    <w:rsid w:val="006D156B"/>
    <w:rsid w:val="006D15B8"/>
    <w:rsid w:val="006D26E9"/>
    <w:rsid w:val="006D5306"/>
    <w:rsid w:val="006D54DB"/>
    <w:rsid w:val="006D7108"/>
    <w:rsid w:val="006D7A23"/>
    <w:rsid w:val="006E1AA1"/>
    <w:rsid w:val="006E24A3"/>
    <w:rsid w:val="006E2A36"/>
    <w:rsid w:val="006E35AD"/>
    <w:rsid w:val="006E39C1"/>
    <w:rsid w:val="006E4DA5"/>
    <w:rsid w:val="006E64E4"/>
    <w:rsid w:val="006E7956"/>
    <w:rsid w:val="006E7DC6"/>
    <w:rsid w:val="006F1014"/>
    <w:rsid w:val="006F28EB"/>
    <w:rsid w:val="006F317A"/>
    <w:rsid w:val="006F425F"/>
    <w:rsid w:val="006F783C"/>
    <w:rsid w:val="007004C5"/>
    <w:rsid w:val="00702935"/>
    <w:rsid w:val="007050F8"/>
    <w:rsid w:val="00706119"/>
    <w:rsid w:val="0070660A"/>
    <w:rsid w:val="00707F63"/>
    <w:rsid w:val="00710CC2"/>
    <w:rsid w:val="0071150D"/>
    <w:rsid w:val="00711782"/>
    <w:rsid w:val="00711FDC"/>
    <w:rsid w:val="00712349"/>
    <w:rsid w:val="00712FAB"/>
    <w:rsid w:val="00713E38"/>
    <w:rsid w:val="00716642"/>
    <w:rsid w:val="00717D6B"/>
    <w:rsid w:val="0072137C"/>
    <w:rsid w:val="0072139F"/>
    <w:rsid w:val="00721A8F"/>
    <w:rsid w:val="00721EAE"/>
    <w:rsid w:val="007235F7"/>
    <w:rsid w:val="00724BDB"/>
    <w:rsid w:val="00725353"/>
    <w:rsid w:val="00725389"/>
    <w:rsid w:val="00725BEF"/>
    <w:rsid w:val="00730033"/>
    <w:rsid w:val="0073184F"/>
    <w:rsid w:val="00734E7E"/>
    <w:rsid w:val="0073591E"/>
    <w:rsid w:val="00736139"/>
    <w:rsid w:val="00740BA7"/>
    <w:rsid w:val="007455D8"/>
    <w:rsid w:val="0074568D"/>
    <w:rsid w:val="00753AD4"/>
    <w:rsid w:val="00755C37"/>
    <w:rsid w:val="007579BB"/>
    <w:rsid w:val="00757F2D"/>
    <w:rsid w:val="00760F99"/>
    <w:rsid w:val="00761E22"/>
    <w:rsid w:val="007642CD"/>
    <w:rsid w:val="0076593E"/>
    <w:rsid w:val="00767CBF"/>
    <w:rsid w:val="00770AB7"/>
    <w:rsid w:val="00770FA7"/>
    <w:rsid w:val="00771D3A"/>
    <w:rsid w:val="00772E71"/>
    <w:rsid w:val="007733BE"/>
    <w:rsid w:val="00774D33"/>
    <w:rsid w:val="007811B2"/>
    <w:rsid w:val="00782CD0"/>
    <w:rsid w:val="00785E2F"/>
    <w:rsid w:val="00786D90"/>
    <w:rsid w:val="007878C6"/>
    <w:rsid w:val="007903EE"/>
    <w:rsid w:val="00791F24"/>
    <w:rsid w:val="007926E3"/>
    <w:rsid w:val="00793071"/>
    <w:rsid w:val="007932FD"/>
    <w:rsid w:val="00793839"/>
    <w:rsid w:val="00797038"/>
    <w:rsid w:val="0079739E"/>
    <w:rsid w:val="00797FAA"/>
    <w:rsid w:val="007A4A1D"/>
    <w:rsid w:val="007A5443"/>
    <w:rsid w:val="007B1A98"/>
    <w:rsid w:val="007B5F03"/>
    <w:rsid w:val="007B619E"/>
    <w:rsid w:val="007B7100"/>
    <w:rsid w:val="007C03E1"/>
    <w:rsid w:val="007C1F03"/>
    <w:rsid w:val="007C2733"/>
    <w:rsid w:val="007C3A19"/>
    <w:rsid w:val="007C43AA"/>
    <w:rsid w:val="007C5BE0"/>
    <w:rsid w:val="007C5F59"/>
    <w:rsid w:val="007C5FFA"/>
    <w:rsid w:val="007C6026"/>
    <w:rsid w:val="007C733C"/>
    <w:rsid w:val="007D0544"/>
    <w:rsid w:val="007D17BB"/>
    <w:rsid w:val="007D1855"/>
    <w:rsid w:val="007D1A20"/>
    <w:rsid w:val="007D1F4C"/>
    <w:rsid w:val="007D725B"/>
    <w:rsid w:val="007D72D4"/>
    <w:rsid w:val="007D750F"/>
    <w:rsid w:val="007D7AE8"/>
    <w:rsid w:val="007E075B"/>
    <w:rsid w:val="007E1050"/>
    <w:rsid w:val="007E1243"/>
    <w:rsid w:val="007E1F52"/>
    <w:rsid w:val="007E376E"/>
    <w:rsid w:val="007E4AB0"/>
    <w:rsid w:val="007E7799"/>
    <w:rsid w:val="007F0724"/>
    <w:rsid w:val="007F1898"/>
    <w:rsid w:val="007F307D"/>
    <w:rsid w:val="007F577D"/>
    <w:rsid w:val="00801A24"/>
    <w:rsid w:val="00806DB0"/>
    <w:rsid w:val="0080751A"/>
    <w:rsid w:val="008100C9"/>
    <w:rsid w:val="00813733"/>
    <w:rsid w:val="00814251"/>
    <w:rsid w:val="00816B95"/>
    <w:rsid w:val="00817BE6"/>
    <w:rsid w:val="00820906"/>
    <w:rsid w:val="00821CC2"/>
    <w:rsid w:val="00821D4F"/>
    <w:rsid w:val="00825C04"/>
    <w:rsid w:val="00827C8D"/>
    <w:rsid w:val="0083046C"/>
    <w:rsid w:val="0083071E"/>
    <w:rsid w:val="00830D93"/>
    <w:rsid w:val="00831876"/>
    <w:rsid w:val="008325C6"/>
    <w:rsid w:val="00835DF6"/>
    <w:rsid w:val="00836921"/>
    <w:rsid w:val="00841652"/>
    <w:rsid w:val="008428E8"/>
    <w:rsid w:val="008428F2"/>
    <w:rsid w:val="008474A5"/>
    <w:rsid w:val="00850647"/>
    <w:rsid w:val="00850732"/>
    <w:rsid w:val="0085162C"/>
    <w:rsid w:val="00852FCB"/>
    <w:rsid w:val="0085348C"/>
    <w:rsid w:val="00857EF3"/>
    <w:rsid w:val="00861743"/>
    <w:rsid w:val="00861AED"/>
    <w:rsid w:val="00863D44"/>
    <w:rsid w:val="0086426B"/>
    <w:rsid w:val="00866C32"/>
    <w:rsid w:val="00866F65"/>
    <w:rsid w:val="00871A95"/>
    <w:rsid w:val="00874268"/>
    <w:rsid w:val="00875014"/>
    <w:rsid w:val="0087738E"/>
    <w:rsid w:val="00877866"/>
    <w:rsid w:val="00881BD7"/>
    <w:rsid w:val="00884A16"/>
    <w:rsid w:val="0088527F"/>
    <w:rsid w:val="00892418"/>
    <w:rsid w:val="00892EFC"/>
    <w:rsid w:val="0089304B"/>
    <w:rsid w:val="008962EF"/>
    <w:rsid w:val="00896B5D"/>
    <w:rsid w:val="008A04B3"/>
    <w:rsid w:val="008A06B6"/>
    <w:rsid w:val="008A287D"/>
    <w:rsid w:val="008A3304"/>
    <w:rsid w:val="008A4D8E"/>
    <w:rsid w:val="008A7BF3"/>
    <w:rsid w:val="008B173F"/>
    <w:rsid w:val="008B18EF"/>
    <w:rsid w:val="008B2421"/>
    <w:rsid w:val="008B34A3"/>
    <w:rsid w:val="008B49AF"/>
    <w:rsid w:val="008B556C"/>
    <w:rsid w:val="008B7227"/>
    <w:rsid w:val="008B74D9"/>
    <w:rsid w:val="008C0530"/>
    <w:rsid w:val="008C0BB0"/>
    <w:rsid w:val="008C19FD"/>
    <w:rsid w:val="008C6549"/>
    <w:rsid w:val="008D1F32"/>
    <w:rsid w:val="008D22F3"/>
    <w:rsid w:val="008D24A3"/>
    <w:rsid w:val="008D4901"/>
    <w:rsid w:val="008D4CBA"/>
    <w:rsid w:val="008D4D54"/>
    <w:rsid w:val="008D5565"/>
    <w:rsid w:val="008D5A22"/>
    <w:rsid w:val="008D71F9"/>
    <w:rsid w:val="008D754A"/>
    <w:rsid w:val="008D7596"/>
    <w:rsid w:val="008D76D1"/>
    <w:rsid w:val="008E217F"/>
    <w:rsid w:val="008E229D"/>
    <w:rsid w:val="008E2865"/>
    <w:rsid w:val="008E4704"/>
    <w:rsid w:val="008E52F9"/>
    <w:rsid w:val="008E5FC5"/>
    <w:rsid w:val="008F05F7"/>
    <w:rsid w:val="008F2274"/>
    <w:rsid w:val="008F35B2"/>
    <w:rsid w:val="008F57DB"/>
    <w:rsid w:val="008F7F7F"/>
    <w:rsid w:val="00900E4F"/>
    <w:rsid w:val="009021B7"/>
    <w:rsid w:val="00902A59"/>
    <w:rsid w:val="00902AAE"/>
    <w:rsid w:val="00906962"/>
    <w:rsid w:val="009124E3"/>
    <w:rsid w:val="00912E22"/>
    <w:rsid w:val="00913033"/>
    <w:rsid w:val="00920173"/>
    <w:rsid w:val="009213CD"/>
    <w:rsid w:val="00922C71"/>
    <w:rsid w:val="0092452E"/>
    <w:rsid w:val="00926198"/>
    <w:rsid w:val="009274C9"/>
    <w:rsid w:val="009304C1"/>
    <w:rsid w:val="00931FC0"/>
    <w:rsid w:val="0093392F"/>
    <w:rsid w:val="00934695"/>
    <w:rsid w:val="009347E0"/>
    <w:rsid w:val="0093502D"/>
    <w:rsid w:val="00937374"/>
    <w:rsid w:val="00941EBB"/>
    <w:rsid w:val="00942455"/>
    <w:rsid w:val="00942F19"/>
    <w:rsid w:val="00943B2B"/>
    <w:rsid w:val="009447C4"/>
    <w:rsid w:val="00945851"/>
    <w:rsid w:val="00945991"/>
    <w:rsid w:val="00946766"/>
    <w:rsid w:val="00951C7C"/>
    <w:rsid w:val="009539A8"/>
    <w:rsid w:val="00954313"/>
    <w:rsid w:val="00956434"/>
    <w:rsid w:val="009566CA"/>
    <w:rsid w:val="00956AD6"/>
    <w:rsid w:val="009602A9"/>
    <w:rsid w:val="00961428"/>
    <w:rsid w:val="00962B66"/>
    <w:rsid w:val="009651C7"/>
    <w:rsid w:val="00966909"/>
    <w:rsid w:val="009669E3"/>
    <w:rsid w:val="00975E58"/>
    <w:rsid w:val="00976F65"/>
    <w:rsid w:val="0097743D"/>
    <w:rsid w:val="0098255C"/>
    <w:rsid w:val="00983262"/>
    <w:rsid w:val="00984774"/>
    <w:rsid w:val="00984B87"/>
    <w:rsid w:val="00984EF8"/>
    <w:rsid w:val="0098706B"/>
    <w:rsid w:val="00987959"/>
    <w:rsid w:val="0099077A"/>
    <w:rsid w:val="0099308C"/>
    <w:rsid w:val="009935BF"/>
    <w:rsid w:val="00994C5A"/>
    <w:rsid w:val="0099523C"/>
    <w:rsid w:val="00995AD3"/>
    <w:rsid w:val="009972ED"/>
    <w:rsid w:val="009A0749"/>
    <w:rsid w:val="009A1F3B"/>
    <w:rsid w:val="009A2B4C"/>
    <w:rsid w:val="009A4534"/>
    <w:rsid w:val="009A4B67"/>
    <w:rsid w:val="009A534F"/>
    <w:rsid w:val="009B0680"/>
    <w:rsid w:val="009B139D"/>
    <w:rsid w:val="009B17AA"/>
    <w:rsid w:val="009B1AB2"/>
    <w:rsid w:val="009B3487"/>
    <w:rsid w:val="009B73A2"/>
    <w:rsid w:val="009C3F98"/>
    <w:rsid w:val="009C6133"/>
    <w:rsid w:val="009C6E31"/>
    <w:rsid w:val="009C71F3"/>
    <w:rsid w:val="009C73F8"/>
    <w:rsid w:val="009D326F"/>
    <w:rsid w:val="009D457D"/>
    <w:rsid w:val="009D45B5"/>
    <w:rsid w:val="009D512D"/>
    <w:rsid w:val="009D58F7"/>
    <w:rsid w:val="009E0809"/>
    <w:rsid w:val="009E37C9"/>
    <w:rsid w:val="009E473A"/>
    <w:rsid w:val="009E4E93"/>
    <w:rsid w:val="009F0D80"/>
    <w:rsid w:val="009F10FA"/>
    <w:rsid w:val="009F117B"/>
    <w:rsid w:val="009F154D"/>
    <w:rsid w:val="009F20E5"/>
    <w:rsid w:val="009F3E74"/>
    <w:rsid w:val="009F5713"/>
    <w:rsid w:val="009F7660"/>
    <w:rsid w:val="00A02040"/>
    <w:rsid w:val="00A02852"/>
    <w:rsid w:val="00A034EA"/>
    <w:rsid w:val="00A046FC"/>
    <w:rsid w:val="00A059B9"/>
    <w:rsid w:val="00A0600B"/>
    <w:rsid w:val="00A11F6A"/>
    <w:rsid w:val="00A1334F"/>
    <w:rsid w:val="00A14608"/>
    <w:rsid w:val="00A1577C"/>
    <w:rsid w:val="00A2212D"/>
    <w:rsid w:val="00A223DE"/>
    <w:rsid w:val="00A23795"/>
    <w:rsid w:val="00A23827"/>
    <w:rsid w:val="00A2499F"/>
    <w:rsid w:val="00A25066"/>
    <w:rsid w:val="00A25715"/>
    <w:rsid w:val="00A25FE6"/>
    <w:rsid w:val="00A27E27"/>
    <w:rsid w:val="00A300AD"/>
    <w:rsid w:val="00A33930"/>
    <w:rsid w:val="00A35BAA"/>
    <w:rsid w:val="00A363D3"/>
    <w:rsid w:val="00A41D7F"/>
    <w:rsid w:val="00A42014"/>
    <w:rsid w:val="00A421EB"/>
    <w:rsid w:val="00A427C6"/>
    <w:rsid w:val="00A428D4"/>
    <w:rsid w:val="00A44A4A"/>
    <w:rsid w:val="00A46975"/>
    <w:rsid w:val="00A51EAA"/>
    <w:rsid w:val="00A53822"/>
    <w:rsid w:val="00A548BD"/>
    <w:rsid w:val="00A558BA"/>
    <w:rsid w:val="00A561B2"/>
    <w:rsid w:val="00A56B8A"/>
    <w:rsid w:val="00A57E4E"/>
    <w:rsid w:val="00A60316"/>
    <w:rsid w:val="00A623A5"/>
    <w:rsid w:val="00A6252E"/>
    <w:rsid w:val="00A64BCD"/>
    <w:rsid w:val="00A64CAD"/>
    <w:rsid w:val="00A72DE7"/>
    <w:rsid w:val="00A739DD"/>
    <w:rsid w:val="00A80677"/>
    <w:rsid w:val="00A80E2A"/>
    <w:rsid w:val="00A81BC4"/>
    <w:rsid w:val="00A85C3C"/>
    <w:rsid w:val="00A86658"/>
    <w:rsid w:val="00A901AA"/>
    <w:rsid w:val="00A91824"/>
    <w:rsid w:val="00A92057"/>
    <w:rsid w:val="00A92607"/>
    <w:rsid w:val="00A92B22"/>
    <w:rsid w:val="00A93834"/>
    <w:rsid w:val="00A95340"/>
    <w:rsid w:val="00A955D8"/>
    <w:rsid w:val="00A963B0"/>
    <w:rsid w:val="00A96EB8"/>
    <w:rsid w:val="00AA278C"/>
    <w:rsid w:val="00AA30D8"/>
    <w:rsid w:val="00AA48F6"/>
    <w:rsid w:val="00AA5414"/>
    <w:rsid w:val="00AA5EB3"/>
    <w:rsid w:val="00AA77F5"/>
    <w:rsid w:val="00AB1E35"/>
    <w:rsid w:val="00AB23E4"/>
    <w:rsid w:val="00AB38C0"/>
    <w:rsid w:val="00AB39E0"/>
    <w:rsid w:val="00AB5512"/>
    <w:rsid w:val="00AC1189"/>
    <w:rsid w:val="00AC2F19"/>
    <w:rsid w:val="00AC6C66"/>
    <w:rsid w:val="00AC6DC2"/>
    <w:rsid w:val="00AC72E2"/>
    <w:rsid w:val="00AC7F1B"/>
    <w:rsid w:val="00AD0F66"/>
    <w:rsid w:val="00AD2ADA"/>
    <w:rsid w:val="00AD4B32"/>
    <w:rsid w:val="00AE0378"/>
    <w:rsid w:val="00AE2CFE"/>
    <w:rsid w:val="00AE3FE0"/>
    <w:rsid w:val="00AE4CEA"/>
    <w:rsid w:val="00AE679E"/>
    <w:rsid w:val="00AE6C33"/>
    <w:rsid w:val="00AE7958"/>
    <w:rsid w:val="00AF5FCC"/>
    <w:rsid w:val="00B00B7D"/>
    <w:rsid w:val="00B01BE9"/>
    <w:rsid w:val="00B0285A"/>
    <w:rsid w:val="00B02A5A"/>
    <w:rsid w:val="00B0383E"/>
    <w:rsid w:val="00B0418A"/>
    <w:rsid w:val="00B05BDF"/>
    <w:rsid w:val="00B1244D"/>
    <w:rsid w:val="00B1383C"/>
    <w:rsid w:val="00B13AA0"/>
    <w:rsid w:val="00B143C3"/>
    <w:rsid w:val="00B14825"/>
    <w:rsid w:val="00B15488"/>
    <w:rsid w:val="00B15B3C"/>
    <w:rsid w:val="00B165E0"/>
    <w:rsid w:val="00B20762"/>
    <w:rsid w:val="00B23B0B"/>
    <w:rsid w:val="00B23E85"/>
    <w:rsid w:val="00B2405B"/>
    <w:rsid w:val="00B25F38"/>
    <w:rsid w:val="00B3062E"/>
    <w:rsid w:val="00B33CE3"/>
    <w:rsid w:val="00B3645D"/>
    <w:rsid w:val="00B406B3"/>
    <w:rsid w:val="00B40A2E"/>
    <w:rsid w:val="00B427C6"/>
    <w:rsid w:val="00B44BC6"/>
    <w:rsid w:val="00B47123"/>
    <w:rsid w:val="00B47198"/>
    <w:rsid w:val="00B47AD6"/>
    <w:rsid w:val="00B50A81"/>
    <w:rsid w:val="00B539D6"/>
    <w:rsid w:val="00B56F79"/>
    <w:rsid w:val="00B579EB"/>
    <w:rsid w:val="00B603A8"/>
    <w:rsid w:val="00B60682"/>
    <w:rsid w:val="00B606D6"/>
    <w:rsid w:val="00B64B11"/>
    <w:rsid w:val="00B64F51"/>
    <w:rsid w:val="00B65325"/>
    <w:rsid w:val="00B66520"/>
    <w:rsid w:val="00B67C94"/>
    <w:rsid w:val="00B70E59"/>
    <w:rsid w:val="00B70F84"/>
    <w:rsid w:val="00B72A5C"/>
    <w:rsid w:val="00B72C84"/>
    <w:rsid w:val="00B735DB"/>
    <w:rsid w:val="00B74722"/>
    <w:rsid w:val="00B7499D"/>
    <w:rsid w:val="00B76100"/>
    <w:rsid w:val="00B76A9B"/>
    <w:rsid w:val="00B7738D"/>
    <w:rsid w:val="00B774AE"/>
    <w:rsid w:val="00B81540"/>
    <w:rsid w:val="00B81777"/>
    <w:rsid w:val="00B82703"/>
    <w:rsid w:val="00B8691F"/>
    <w:rsid w:val="00B86F1F"/>
    <w:rsid w:val="00B87D7F"/>
    <w:rsid w:val="00B911E6"/>
    <w:rsid w:val="00B91DE2"/>
    <w:rsid w:val="00B92934"/>
    <w:rsid w:val="00B93963"/>
    <w:rsid w:val="00B954A7"/>
    <w:rsid w:val="00B9625B"/>
    <w:rsid w:val="00B96EAC"/>
    <w:rsid w:val="00B97205"/>
    <w:rsid w:val="00B97706"/>
    <w:rsid w:val="00BA3601"/>
    <w:rsid w:val="00BA4343"/>
    <w:rsid w:val="00BA618E"/>
    <w:rsid w:val="00BA6A56"/>
    <w:rsid w:val="00BA6CB4"/>
    <w:rsid w:val="00BB0B21"/>
    <w:rsid w:val="00BC07AB"/>
    <w:rsid w:val="00BC1FEF"/>
    <w:rsid w:val="00BC34BA"/>
    <w:rsid w:val="00BC3C28"/>
    <w:rsid w:val="00BC5A2A"/>
    <w:rsid w:val="00BC6315"/>
    <w:rsid w:val="00BC7866"/>
    <w:rsid w:val="00BD35B7"/>
    <w:rsid w:val="00BD4ED9"/>
    <w:rsid w:val="00BD538C"/>
    <w:rsid w:val="00BD6130"/>
    <w:rsid w:val="00BE2AB3"/>
    <w:rsid w:val="00BE2AC4"/>
    <w:rsid w:val="00BE3066"/>
    <w:rsid w:val="00BE4E0C"/>
    <w:rsid w:val="00BF3DC2"/>
    <w:rsid w:val="00BF4DD2"/>
    <w:rsid w:val="00BF5438"/>
    <w:rsid w:val="00BF5DF4"/>
    <w:rsid w:val="00BF689E"/>
    <w:rsid w:val="00BF7599"/>
    <w:rsid w:val="00C01273"/>
    <w:rsid w:val="00C04469"/>
    <w:rsid w:val="00C0460B"/>
    <w:rsid w:val="00C04817"/>
    <w:rsid w:val="00C064A4"/>
    <w:rsid w:val="00C066BA"/>
    <w:rsid w:val="00C10DF0"/>
    <w:rsid w:val="00C12E5A"/>
    <w:rsid w:val="00C13336"/>
    <w:rsid w:val="00C144CE"/>
    <w:rsid w:val="00C14A24"/>
    <w:rsid w:val="00C16ADC"/>
    <w:rsid w:val="00C17624"/>
    <w:rsid w:val="00C21B29"/>
    <w:rsid w:val="00C21EE4"/>
    <w:rsid w:val="00C231DC"/>
    <w:rsid w:val="00C25824"/>
    <w:rsid w:val="00C26A23"/>
    <w:rsid w:val="00C27189"/>
    <w:rsid w:val="00C27306"/>
    <w:rsid w:val="00C2793C"/>
    <w:rsid w:val="00C3130E"/>
    <w:rsid w:val="00C32DA5"/>
    <w:rsid w:val="00C33E75"/>
    <w:rsid w:val="00C345F4"/>
    <w:rsid w:val="00C35417"/>
    <w:rsid w:val="00C366A6"/>
    <w:rsid w:val="00C4217B"/>
    <w:rsid w:val="00C42982"/>
    <w:rsid w:val="00C43216"/>
    <w:rsid w:val="00C440C0"/>
    <w:rsid w:val="00C44AA1"/>
    <w:rsid w:val="00C47BFF"/>
    <w:rsid w:val="00C52961"/>
    <w:rsid w:val="00C61B42"/>
    <w:rsid w:val="00C62A2B"/>
    <w:rsid w:val="00C650C6"/>
    <w:rsid w:val="00C65418"/>
    <w:rsid w:val="00C65884"/>
    <w:rsid w:val="00C65FE3"/>
    <w:rsid w:val="00C66510"/>
    <w:rsid w:val="00C6675E"/>
    <w:rsid w:val="00C671A1"/>
    <w:rsid w:val="00C674B9"/>
    <w:rsid w:val="00C6762D"/>
    <w:rsid w:val="00C67982"/>
    <w:rsid w:val="00C7040F"/>
    <w:rsid w:val="00C70FB0"/>
    <w:rsid w:val="00C73895"/>
    <w:rsid w:val="00C73CAE"/>
    <w:rsid w:val="00C73CD6"/>
    <w:rsid w:val="00C74B17"/>
    <w:rsid w:val="00C7577A"/>
    <w:rsid w:val="00C76207"/>
    <w:rsid w:val="00C7704F"/>
    <w:rsid w:val="00C77F5F"/>
    <w:rsid w:val="00C80523"/>
    <w:rsid w:val="00C81FDF"/>
    <w:rsid w:val="00C84C4B"/>
    <w:rsid w:val="00C8587B"/>
    <w:rsid w:val="00C905AC"/>
    <w:rsid w:val="00C946CD"/>
    <w:rsid w:val="00C95186"/>
    <w:rsid w:val="00CA0637"/>
    <w:rsid w:val="00CA090D"/>
    <w:rsid w:val="00CA0D2B"/>
    <w:rsid w:val="00CA3168"/>
    <w:rsid w:val="00CA3F85"/>
    <w:rsid w:val="00CA669D"/>
    <w:rsid w:val="00CA7067"/>
    <w:rsid w:val="00CB341D"/>
    <w:rsid w:val="00CB374B"/>
    <w:rsid w:val="00CB39ED"/>
    <w:rsid w:val="00CB535D"/>
    <w:rsid w:val="00CB66B9"/>
    <w:rsid w:val="00CB6B52"/>
    <w:rsid w:val="00CB79D5"/>
    <w:rsid w:val="00CC0258"/>
    <w:rsid w:val="00CC13E8"/>
    <w:rsid w:val="00CC640E"/>
    <w:rsid w:val="00CC6E44"/>
    <w:rsid w:val="00CD319B"/>
    <w:rsid w:val="00CD4705"/>
    <w:rsid w:val="00CD47EF"/>
    <w:rsid w:val="00CD4B52"/>
    <w:rsid w:val="00CD4F9B"/>
    <w:rsid w:val="00CD5AD4"/>
    <w:rsid w:val="00CE0A79"/>
    <w:rsid w:val="00CE0D3B"/>
    <w:rsid w:val="00CE3E0E"/>
    <w:rsid w:val="00CE4EF4"/>
    <w:rsid w:val="00CE4FD6"/>
    <w:rsid w:val="00CE558E"/>
    <w:rsid w:val="00CE77A9"/>
    <w:rsid w:val="00CE783B"/>
    <w:rsid w:val="00CF1394"/>
    <w:rsid w:val="00CF3704"/>
    <w:rsid w:val="00CF4D33"/>
    <w:rsid w:val="00CF733A"/>
    <w:rsid w:val="00D003EA"/>
    <w:rsid w:val="00D00F71"/>
    <w:rsid w:val="00D020F6"/>
    <w:rsid w:val="00D02450"/>
    <w:rsid w:val="00D06459"/>
    <w:rsid w:val="00D103FA"/>
    <w:rsid w:val="00D10B5D"/>
    <w:rsid w:val="00D12EF7"/>
    <w:rsid w:val="00D134E5"/>
    <w:rsid w:val="00D155D4"/>
    <w:rsid w:val="00D15B9C"/>
    <w:rsid w:val="00D20CF0"/>
    <w:rsid w:val="00D23017"/>
    <w:rsid w:val="00D256EC"/>
    <w:rsid w:val="00D258C5"/>
    <w:rsid w:val="00D25C60"/>
    <w:rsid w:val="00D26CD8"/>
    <w:rsid w:val="00D27772"/>
    <w:rsid w:val="00D300B3"/>
    <w:rsid w:val="00D31F20"/>
    <w:rsid w:val="00D3292E"/>
    <w:rsid w:val="00D34151"/>
    <w:rsid w:val="00D34C24"/>
    <w:rsid w:val="00D3632F"/>
    <w:rsid w:val="00D36B71"/>
    <w:rsid w:val="00D40256"/>
    <w:rsid w:val="00D412CC"/>
    <w:rsid w:val="00D427E7"/>
    <w:rsid w:val="00D44209"/>
    <w:rsid w:val="00D46CCE"/>
    <w:rsid w:val="00D46F56"/>
    <w:rsid w:val="00D470BC"/>
    <w:rsid w:val="00D47CE9"/>
    <w:rsid w:val="00D505AE"/>
    <w:rsid w:val="00D5082B"/>
    <w:rsid w:val="00D50E7F"/>
    <w:rsid w:val="00D51B37"/>
    <w:rsid w:val="00D52BC6"/>
    <w:rsid w:val="00D53791"/>
    <w:rsid w:val="00D5438F"/>
    <w:rsid w:val="00D54775"/>
    <w:rsid w:val="00D55579"/>
    <w:rsid w:val="00D569B7"/>
    <w:rsid w:val="00D573C7"/>
    <w:rsid w:val="00D60546"/>
    <w:rsid w:val="00D61DAC"/>
    <w:rsid w:val="00D6208F"/>
    <w:rsid w:val="00D62755"/>
    <w:rsid w:val="00D628EE"/>
    <w:rsid w:val="00D633C5"/>
    <w:rsid w:val="00D6478A"/>
    <w:rsid w:val="00D6528A"/>
    <w:rsid w:val="00D72028"/>
    <w:rsid w:val="00D73300"/>
    <w:rsid w:val="00D745AB"/>
    <w:rsid w:val="00D75936"/>
    <w:rsid w:val="00D767C5"/>
    <w:rsid w:val="00D769F5"/>
    <w:rsid w:val="00D7750D"/>
    <w:rsid w:val="00D77A4B"/>
    <w:rsid w:val="00D817F6"/>
    <w:rsid w:val="00D83B5E"/>
    <w:rsid w:val="00D8400B"/>
    <w:rsid w:val="00D86C5C"/>
    <w:rsid w:val="00D87452"/>
    <w:rsid w:val="00D90A03"/>
    <w:rsid w:val="00D97826"/>
    <w:rsid w:val="00DA03FB"/>
    <w:rsid w:val="00DA426C"/>
    <w:rsid w:val="00DA6E95"/>
    <w:rsid w:val="00DA75BD"/>
    <w:rsid w:val="00DB303D"/>
    <w:rsid w:val="00DB3E34"/>
    <w:rsid w:val="00DB4A80"/>
    <w:rsid w:val="00DB4F8B"/>
    <w:rsid w:val="00DC0285"/>
    <w:rsid w:val="00DC0599"/>
    <w:rsid w:val="00DC08C5"/>
    <w:rsid w:val="00DC228F"/>
    <w:rsid w:val="00DC33EA"/>
    <w:rsid w:val="00DC45E5"/>
    <w:rsid w:val="00DC551E"/>
    <w:rsid w:val="00DC6AC9"/>
    <w:rsid w:val="00DC6C83"/>
    <w:rsid w:val="00DC6D35"/>
    <w:rsid w:val="00DC746E"/>
    <w:rsid w:val="00DD3FE6"/>
    <w:rsid w:val="00DD4224"/>
    <w:rsid w:val="00DE06D1"/>
    <w:rsid w:val="00DE08E9"/>
    <w:rsid w:val="00DE2617"/>
    <w:rsid w:val="00DE3B70"/>
    <w:rsid w:val="00DE5114"/>
    <w:rsid w:val="00DE5FF7"/>
    <w:rsid w:val="00DE62EC"/>
    <w:rsid w:val="00DE7DFB"/>
    <w:rsid w:val="00DF0951"/>
    <w:rsid w:val="00DF1666"/>
    <w:rsid w:val="00DF28EC"/>
    <w:rsid w:val="00DF31BB"/>
    <w:rsid w:val="00DF3FD2"/>
    <w:rsid w:val="00DF5548"/>
    <w:rsid w:val="00DF5E2E"/>
    <w:rsid w:val="00DF686B"/>
    <w:rsid w:val="00E00788"/>
    <w:rsid w:val="00E0145C"/>
    <w:rsid w:val="00E01A65"/>
    <w:rsid w:val="00E0263A"/>
    <w:rsid w:val="00E031D2"/>
    <w:rsid w:val="00E0485B"/>
    <w:rsid w:val="00E114F8"/>
    <w:rsid w:val="00E11B3F"/>
    <w:rsid w:val="00E12CEE"/>
    <w:rsid w:val="00E13961"/>
    <w:rsid w:val="00E1419B"/>
    <w:rsid w:val="00E14E36"/>
    <w:rsid w:val="00E1627F"/>
    <w:rsid w:val="00E16E37"/>
    <w:rsid w:val="00E17702"/>
    <w:rsid w:val="00E20025"/>
    <w:rsid w:val="00E210B1"/>
    <w:rsid w:val="00E22613"/>
    <w:rsid w:val="00E22B52"/>
    <w:rsid w:val="00E23020"/>
    <w:rsid w:val="00E23A2D"/>
    <w:rsid w:val="00E27791"/>
    <w:rsid w:val="00E339A3"/>
    <w:rsid w:val="00E34D28"/>
    <w:rsid w:val="00E35B11"/>
    <w:rsid w:val="00E365A2"/>
    <w:rsid w:val="00E3734A"/>
    <w:rsid w:val="00E40867"/>
    <w:rsid w:val="00E418B7"/>
    <w:rsid w:val="00E443DA"/>
    <w:rsid w:val="00E44AD6"/>
    <w:rsid w:val="00E45C16"/>
    <w:rsid w:val="00E45D67"/>
    <w:rsid w:val="00E47735"/>
    <w:rsid w:val="00E51584"/>
    <w:rsid w:val="00E5248A"/>
    <w:rsid w:val="00E5682A"/>
    <w:rsid w:val="00E570A4"/>
    <w:rsid w:val="00E6676F"/>
    <w:rsid w:val="00E67D3F"/>
    <w:rsid w:val="00E7037F"/>
    <w:rsid w:val="00E71356"/>
    <w:rsid w:val="00E71509"/>
    <w:rsid w:val="00E742B2"/>
    <w:rsid w:val="00E746BA"/>
    <w:rsid w:val="00E74B8A"/>
    <w:rsid w:val="00E75C2D"/>
    <w:rsid w:val="00E7602B"/>
    <w:rsid w:val="00E7643D"/>
    <w:rsid w:val="00E76550"/>
    <w:rsid w:val="00E76CB9"/>
    <w:rsid w:val="00E803D3"/>
    <w:rsid w:val="00E81F22"/>
    <w:rsid w:val="00E822CF"/>
    <w:rsid w:val="00E86502"/>
    <w:rsid w:val="00E90944"/>
    <w:rsid w:val="00E928B7"/>
    <w:rsid w:val="00E9609B"/>
    <w:rsid w:val="00E9641C"/>
    <w:rsid w:val="00E96A13"/>
    <w:rsid w:val="00EA2971"/>
    <w:rsid w:val="00EA2C05"/>
    <w:rsid w:val="00EA4F97"/>
    <w:rsid w:val="00EA71A8"/>
    <w:rsid w:val="00EB1AB7"/>
    <w:rsid w:val="00EB22BE"/>
    <w:rsid w:val="00EB2722"/>
    <w:rsid w:val="00EB31A7"/>
    <w:rsid w:val="00EB4C9C"/>
    <w:rsid w:val="00EB5585"/>
    <w:rsid w:val="00EB5A3A"/>
    <w:rsid w:val="00EB6F84"/>
    <w:rsid w:val="00EB7FDC"/>
    <w:rsid w:val="00EC2029"/>
    <w:rsid w:val="00EC504B"/>
    <w:rsid w:val="00EC7A47"/>
    <w:rsid w:val="00ED3706"/>
    <w:rsid w:val="00ED4EFE"/>
    <w:rsid w:val="00ED77EF"/>
    <w:rsid w:val="00EE027B"/>
    <w:rsid w:val="00EE6F79"/>
    <w:rsid w:val="00EE77ED"/>
    <w:rsid w:val="00EF18B6"/>
    <w:rsid w:val="00EF2A70"/>
    <w:rsid w:val="00EF61AF"/>
    <w:rsid w:val="00EF639B"/>
    <w:rsid w:val="00F00724"/>
    <w:rsid w:val="00F0290E"/>
    <w:rsid w:val="00F050B4"/>
    <w:rsid w:val="00F059B7"/>
    <w:rsid w:val="00F1099D"/>
    <w:rsid w:val="00F1330C"/>
    <w:rsid w:val="00F13676"/>
    <w:rsid w:val="00F13F1C"/>
    <w:rsid w:val="00F1477A"/>
    <w:rsid w:val="00F205AA"/>
    <w:rsid w:val="00F21130"/>
    <w:rsid w:val="00F21BF5"/>
    <w:rsid w:val="00F21C2E"/>
    <w:rsid w:val="00F22175"/>
    <w:rsid w:val="00F24D0E"/>
    <w:rsid w:val="00F25AD5"/>
    <w:rsid w:val="00F26C01"/>
    <w:rsid w:val="00F26CE2"/>
    <w:rsid w:val="00F27120"/>
    <w:rsid w:val="00F3095A"/>
    <w:rsid w:val="00F3278C"/>
    <w:rsid w:val="00F32C1A"/>
    <w:rsid w:val="00F34E85"/>
    <w:rsid w:val="00F371C5"/>
    <w:rsid w:val="00F374B4"/>
    <w:rsid w:val="00F41033"/>
    <w:rsid w:val="00F4181C"/>
    <w:rsid w:val="00F43CF1"/>
    <w:rsid w:val="00F444BD"/>
    <w:rsid w:val="00F455CD"/>
    <w:rsid w:val="00F45E3D"/>
    <w:rsid w:val="00F46992"/>
    <w:rsid w:val="00F47A10"/>
    <w:rsid w:val="00F511F3"/>
    <w:rsid w:val="00F51458"/>
    <w:rsid w:val="00F529AB"/>
    <w:rsid w:val="00F54D57"/>
    <w:rsid w:val="00F566CB"/>
    <w:rsid w:val="00F56803"/>
    <w:rsid w:val="00F56C20"/>
    <w:rsid w:val="00F623DF"/>
    <w:rsid w:val="00F62E46"/>
    <w:rsid w:val="00F646FD"/>
    <w:rsid w:val="00F655C2"/>
    <w:rsid w:val="00F66530"/>
    <w:rsid w:val="00F738CA"/>
    <w:rsid w:val="00F76AE4"/>
    <w:rsid w:val="00F80F7B"/>
    <w:rsid w:val="00F8145D"/>
    <w:rsid w:val="00F82C48"/>
    <w:rsid w:val="00F83848"/>
    <w:rsid w:val="00F83DED"/>
    <w:rsid w:val="00F842B9"/>
    <w:rsid w:val="00F8465A"/>
    <w:rsid w:val="00F85E5F"/>
    <w:rsid w:val="00F8733A"/>
    <w:rsid w:val="00F87BAC"/>
    <w:rsid w:val="00F87EC8"/>
    <w:rsid w:val="00F90E65"/>
    <w:rsid w:val="00F91C78"/>
    <w:rsid w:val="00F92834"/>
    <w:rsid w:val="00F93519"/>
    <w:rsid w:val="00F937B6"/>
    <w:rsid w:val="00F95A0A"/>
    <w:rsid w:val="00F96ED7"/>
    <w:rsid w:val="00FA0A40"/>
    <w:rsid w:val="00FA1B06"/>
    <w:rsid w:val="00FA36C7"/>
    <w:rsid w:val="00FB0505"/>
    <w:rsid w:val="00FB09FD"/>
    <w:rsid w:val="00FB1605"/>
    <w:rsid w:val="00FB4DDB"/>
    <w:rsid w:val="00FB7241"/>
    <w:rsid w:val="00FC3496"/>
    <w:rsid w:val="00FC394B"/>
    <w:rsid w:val="00FC5E9F"/>
    <w:rsid w:val="00FC72C9"/>
    <w:rsid w:val="00FC75C9"/>
    <w:rsid w:val="00FD19E7"/>
    <w:rsid w:val="00FD39F1"/>
    <w:rsid w:val="00FD4AF9"/>
    <w:rsid w:val="00FE02AC"/>
    <w:rsid w:val="00FE0C9B"/>
    <w:rsid w:val="00FE1CF2"/>
    <w:rsid w:val="00FE207B"/>
    <w:rsid w:val="00FE2110"/>
    <w:rsid w:val="00FE5923"/>
    <w:rsid w:val="00FF25C0"/>
    <w:rsid w:val="00FF7952"/>
    <w:rsid w:val="00FF79B9"/>
    <w:rsid w:val="00FF7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73D1"/>
  <w15:docId w15:val="{400BF7A8-9A2D-461A-B2BD-F2E83BEE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autoRedefine/>
    <w:uiPriority w:val="9"/>
    <w:unhideWhenUsed/>
    <w:qFormat/>
    <w:rsid w:val="00E7643D"/>
    <w:pPr>
      <w:keepNext/>
      <w:keepLines/>
      <w:spacing w:after="0" w:line="360" w:lineRule="auto"/>
      <w:ind w:left="16" w:hanging="10"/>
      <w:outlineLvl w:val="1"/>
    </w:pPr>
    <w:rPr>
      <w:rFonts w:eastAsia="Times New Roman"/>
      <w:b/>
      <w:color w:val="000000"/>
      <w:szCs w:val="22"/>
      <w:lang w:eastAsia="en-GB"/>
    </w:rPr>
  </w:style>
  <w:style w:type="paragraph" w:styleId="Heading3">
    <w:name w:val="heading 3"/>
    <w:basedOn w:val="Normal"/>
    <w:next w:val="Normal"/>
    <w:link w:val="Heading3Char"/>
    <w:uiPriority w:val="9"/>
    <w:semiHidden/>
    <w:unhideWhenUsed/>
    <w:qFormat/>
    <w:rsid w:val="00017BD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F41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41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rPr>
      <w:rFonts w:ascii="Calibri" w:hAnsi="Calibri" w:cs="Calibri"/>
      <w:sz w:val="22"/>
      <w:szCs w:val="22"/>
      <w:lang w:val="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rsid w:val="00DE3B70"/>
    <w:pPr>
      <w:autoSpaceDE w:val="0"/>
      <w:autoSpaceDN w:val="0"/>
      <w:adjustRightInd w:val="0"/>
      <w:spacing w:after="0" w:line="240" w:lineRule="auto"/>
    </w:pPr>
    <w:rPr>
      <w:rFonts w:eastAsiaTheme="minorHAnsi"/>
      <w:color w:val="000000"/>
      <w:szCs w:val="24"/>
    </w:rPr>
  </w:style>
  <w:style w:type="character" w:customStyle="1" w:styleId="A1">
    <w:name w:val="A1"/>
    <w:uiPriority w:val="99"/>
    <w:rsid w:val="00AD2ADA"/>
    <w:rPr>
      <w:color w:val="000000"/>
      <w:sz w:val="20"/>
      <w:szCs w:val="20"/>
    </w:rPr>
  </w:style>
  <w:style w:type="character" w:customStyle="1" w:styleId="A7">
    <w:name w:val="A7"/>
    <w:uiPriority w:val="99"/>
    <w:rsid w:val="00283299"/>
    <w:rPr>
      <w:color w:val="000000"/>
      <w:sz w:val="11"/>
      <w:szCs w:val="11"/>
    </w:rPr>
  </w:style>
  <w:style w:type="character" w:customStyle="1" w:styleId="Heading2Char">
    <w:name w:val="Heading 2 Char"/>
    <w:basedOn w:val="DefaultParagraphFont"/>
    <w:link w:val="Heading2"/>
    <w:uiPriority w:val="9"/>
    <w:rsid w:val="00E7643D"/>
    <w:rPr>
      <w:rFonts w:eastAsia="Times New Roman"/>
      <w:b/>
      <w:color w:val="000000"/>
      <w:szCs w:val="22"/>
      <w:lang w:eastAsia="en-GB"/>
    </w:rPr>
  </w:style>
  <w:style w:type="table" w:styleId="TableGrid">
    <w:name w:val="Table Grid"/>
    <w:basedOn w:val="TableNormal"/>
    <w:uiPriority w:val="39"/>
    <w:rsid w:val="00190307"/>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DE62EC"/>
    <w:pPr>
      <w:spacing w:line="221" w:lineRule="atLeast"/>
    </w:pPr>
    <w:rPr>
      <w:color w:val="auto"/>
    </w:rPr>
  </w:style>
  <w:style w:type="paragraph" w:customStyle="1" w:styleId="Pa21">
    <w:name w:val="Pa21"/>
    <w:basedOn w:val="Default"/>
    <w:next w:val="Default"/>
    <w:uiPriority w:val="99"/>
    <w:rsid w:val="00DC33EA"/>
    <w:pPr>
      <w:spacing w:line="201" w:lineRule="atLeast"/>
    </w:pPr>
    <w:rPr>
      <w:color w:val="auto"/>
    </w:rPr>
  </w:style>
  <w:style w:type="paragraph" w:styleId="Header">
    <w:name w:val="header"/>
    <w:basedOn w:val="Normal"/>
    <w:link w:val="HeaderChar"/>
    <w:uiPriority w:val="99"/>
    <w:unhideWhenUsed/>
    <w:rsid w:val="00FD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F1"/>
  </w:style>
  <w:style w:type="paragraph" w:styleId="Footer">
    <w:name w:val="footer"/>
    <w:basedOn w:val="Normal"/>
    <w:link w:val="FooterChar"/>
    <w:uiPriority w:val="99"/>
    <w:unhideWhenUsed/>
    <w:rsid w:val="00FD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F1"/>
  </w:style>
  <w:style w:type="character" w:styleId="Hyperlink">
    <w:name w:val="Hyperlink"/>
    <w:basedOn w:val="DefaultParagraphFont"/>
    <w:uiPriority w:val="99"/>
    <w:unhideWhenUsed/>
    <w:rsid w:val="00167676"/>
    <w:rPr>
      <w:color w:val="0000FF" w:themeColor="hyperlink"/>
      <w:u w:val="single"/>
    </w:rPr>
  </w:style>
  <w:style w:type="character" w:customStyle="1" w:styleId="Heading4Char">
    <w:name w:val="Heading 4 Char"/>
    <w:basedOn w:val="DefaultParagraphFont"/>
    <w:link w:val="Heading4"/>
    <w:uiPriority w:val="9"/>
    <w:semiHidden/>
    <w:rsid w:val="002F41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F41A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B774AE"/>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B774AE"/>
    <w:rPr>
      <w:rFonts w:eastAsia="Times New Roman"/>
      <w:szCs w:val="24"/>
    </w:rPr>
  </w:style>
  <w:style w:type="character" w:customStyle="1" w:styleId="Heading3Char">
    <w:name w:val="Heading 3 Char"/>
    <w:basedOn w:val="DefaultParagraphFont"/>
    <w:link w:val="Heading3"/>
    <w:uiPriority w:val="9"/>
    <w:semiHidden/>
    <w:rsid w:val="00017BD1"/>
    <w:rPr>
      <w:rFonts w:asciiTheme="majorHAnsi" w:eastAsiaTheme="majorEastAsia" w:hAnsiTheme="majorHAnsi" w:cstheme="majorBidi"/>
      <w:color w:val="243F60" w:themeColor="accent1" w:themeShade="7F"/>
      <w:szCs w:val="24"/>
    </w:rPr>
  </w:style>
  <w:style w:type="character" w:styleId="CommentReference">
    <w:name w:val="annotation reference"/>
    <w:basedOn w:val="DefaultParagraphFont"/>
    <w:uiPriority w:val="99"/>
    <w:semiHidden/>
    <w:unhideWhenUsed/>
    <w:rsid w:val="00CF4D33"/>
    <w:rPr>
      <w:sz w:val="16"/>
      <w:szCs w:val="16"/>
    </w:rPr>
  </w:style>
  <w:style w:type="paragraph" w:styleId="CommentText">
    <w:name w:val="annotation text"/>
    <w:basedOn w:val="Normal"/>
    <w:link w:val="CommentTextChar"/>
    <w:uiPriority w:val="99"/>
    <w:semiHidden/>
    <w:unhideWhenUsed/>
    <w:rsid w:val="00CF4D33"/>
    <w:pPr>
      <w:spacing w:line="240" w:lineRule="auto"/>
    </w:pPr>
    <w:rPr>
      <w:sz w:val="20"/>
    </w:rPr>
  </w:style>
  <w:style w:type="character" w:customStyle="1" w:styleId="CommentTextChar">
    <w:name w:val="Comment Text Char"/>
    <w:basedOn w:val="DefaultParagraphFont"/>
    <w:link w:val="CommentText"/>
    <w:uiPriority w:val="99"/>
    <w:semiHidden/>
    <w:rsid w:val="00CF4D33"/>
    <w:rPr>
      <w:sz w:val="20"/>
    </w:rPr>
  </w:style>
  <w:style w:type="paragraph" w:styleId="CommentSubject">
    <w:name w:val="annotation subject"/>
    <w:basedOn w:val="CommentText"/>
    <w:next w:val="CommentText"/>
    <w:link w:val="CommentSubjectChar"/>
    <w:uiPriority w:val="99"/>
    <w:semiHidden/>
    <w:unhideWhenUsed/>
    <w:rsid w:val="00CF4D33"/>
    <w:rPr>
      <w:b/>
      <w:bCs/>
    </w:rPr>
  </w:style>
  <w:style w:type="character" w:customStyle="1" w:styleId="CommentSubjectChar">
    <w:name w:val="Comment Subject Char"/>
    <w:basedOn w:val="CommentTextChar"/>
    <w:link w:val="CommentSubject"/>
    <w:uiPriority w:val="99"/>
    <w:semiHidden/>
    <w:rsid w:val="00CF4D33"/>
    <w:rPr>
      <w:b/>
      <w:bCs/>
      <w:sz w:val="20"/>
    </w:rPr>
  </w:style>
  <w:style w:type="paragraph" w:styleId="NormalWeb">
    <w:name w:val="Normal (Web)"/>
    <w:basedOn w:val="Normal"/>
    <w:uiPriority w:val="99"/>
    <w:semiHidden/>
    <w:unhideWhenUsed/>
    <w:rsid w:val="00CE783B"/>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CE783B"/>
    <w:rPr>
      <w:i/>
      <w:iCs/>
    </w:rPr>
  </w:style>
  <w:style w:type="paragraph" w:styleId="Caption">
    <w:name w:val="caption"/>
    <w:basedOn w:val="Normal"/>
    <w:next w:val="Normal"/>
    <w:uiPriority w:val="35"/>
    <w:unhideWhenUsed/>
    <w:qFormat/>
    <w:rsid w:val="00966909"/>
    <w:pPr>
      <w:spacing w:after="200" w:line="240" w:lineRule="auto"/>
    </w:pPr>
    <w:rPr>
      <w:rFonts w:eastAsiaTheme="minorHAnsi" w:cstheme="minorBidi"/>
      <w:b/>
      <w:iCs/>
      <w:szCs w:val="18"/>
      <w:lang w:val=""/>
    </w:rPr>
  </w:style>
  <w:style w:type="character" w:customStyle="1" w:styleId="Heading1Char">
    <w:name w:val="Heading 1 Char"/>
    <w:basedOn w:val="DefaultParagraphFont"/>
    <w:link w:val="Heading1"/>
    <w:uiPriority w:val="9"/>
    <w:rsid w:val="00CC64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5650">
      <w:bodyDiv w:val="1"/>
      <w:marLeft w:val="0"/>
      <w:marRight w:val="0"/>
      <w:marTop w:val="0"/>
      <w:marBottom w:val="0"/>
      <w:divBdr>
        <w:top w:val="none" w:sz="0" w:space="0" w:color="auto"/>
        <w:left w:val="none" w:sz="0" w:space="0" w:color="auto"/>
        <w:bottom w:val="none" w:sz="0" w:space="0" w:color="auto"/>
        <w:right w:val="none" w:sz="0" w:space="0" w:color="auto"/>
      </w:divBdr>
    </w:div>
    <w:div w:id="409543462">
      <w:bodyDiv w:val="1"/>
      <w:marLeft w:val="0"/>
      <w:marRight w:val="0"/>
      <w:marTop w:val="0"/>
      <w:marBottom w:val="0"/>
      <w:divBdr>
        <w:top w:val="none" w:sz="0" w:space="0" w:color="auto"/>
        <w:left w:val="none" w:sz="0" w:space="0" w:color="auto"/>
        <w:bottom w:val="none" w:sz="0" w:space="0" w:color="auto"/>
        <w:right w:val="none" w:sz="0" w:space="0" w:color="auto"/>
      </w:divBdr>
    </w:div>
    <w:div w:id="757212672">
      <w:bodyDiv w:val="1"/>
      <w:marLeft w:val="0"/>
      <w:marRight w:val="0"/>
      <w:marTop w:val="0"/>
      <w:marBottom w:val="0"/>
      <w:divBdr>
        <w:top w:val="none" w:sz="0" w:space="0" w:color="auto"/>
        <w:left w:val="none" w:sz="0" w:space="0" w:color="auto"/>
        <w:bottom w:val="none" w:sz="0" w:space="0" w:color="auto"/>
        <w:right w:val="none" w:sz="0" w:space="0" w:color="auto"/>
      </w:divBdr>
    </w:div>
    <w:div w:id="1427462720">
      <w:bodyDiv w:val="1"/>
      <w:marLeft w:val="0"/>
      <w:marRight w:val="0"/>
      <w:marTop w:val="0"/>
      <w:marBottom w:val="0"/>
      <w:divBdr>
        <w:top w:val="none" w:sz="0" w:space="0" w:color="auto"/>
        <w:left w:val="none" w:sz="0" w:space="0" w:color="auto"/>
        <w:bottom w:val="none" w:sz="0" w:space="0" w:color="auto"/>
        <w:right w:val="none" w:sz="0" w:space="0" w:color="auto"/>
      </w:divBdr>
    </w:div>
    <w:div w:id="1886332350">
      <w:bodyDiv w:val="1"/>
      <w:marLeft w:val="0"/>
      <w:marRight w:val="0"/>
      <w:marTop w:val="0"/>
      <w:marBottom w:val="0"/>
      <w:divBdr>
        <w:top w:val="none" w:sz="0" w:space="0" w:color="auto"/>
        <w:left w:val="none" w:sz="0" w:space="0" w:color="auto"/>
        <w:bottom w:val="none" w:sz="0" w:space="0" w:color="auto"/>
        <w:right w:val="none" w:sz="0" w:space="0" w:color="auto"/>
      </w:divBdr>
    </w:div>
    <w:div w:id="198476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Music\PROJECT%202025%202026\PROJECT%202025\POLYNOM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08333333333333"/>
          <c:y val="5.3912219305920092E-2"/>
          <c:w val="0.78052777777777782"/>
          <c:h val="0.70202900047330152"/>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poly"/>
            <c:order val="4"/>
            <c:dispRSqr val="1"/>
            <c:dispEq val="1"/>
            <c:trendlineLbl>
              <c:layout>
                <c:manualLayout>
                  <c:x val="0.1492007104795737"/>
                  <c:y val="9.6519195329716326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PLOMIA!$C$11:$C$15</c:f>
              <c:numCache>
                <c:formatCode>0.0</c:formatCode>
                <c:ptCount val="5"/>
                <c:pt idx="0">
                  <c:v>0</c:v>
                </c:pt>
                <c:pt idx="1">
                  <c:v>0.5</c:v>
                </c:pt>
                <c:pt idx="2">
                  <c:v>1</c:v>
                </c:pt>
                <c:pt idx="3">
                  <c:v>1.5</c:v>
                </c:pt>
                <c:pt idx="4">
                  <c:v>2</c:v>
                </c:pt>
              </c:numCache>
            </c:numRef>
          </c:xVal>
          <c:yVal>
            <c:numRef>
              <c:f>PLOMIA!$D$11:$D$15</c:f>
              <c:numCache>
                <c:formatCode>0.0</c:formatCode>
                <c:ptCount val="5"/>
                <c:pt idx="0">
                  <c:v>22.1</c:v>
                </c:pt>
                <c:pt idx="1">
                  <c:v>24.4</c:v>
                </c:pt>
                <c:pt idx="2">
                  <c:v>27.7</c:v>
                </c:pt>
                <c:pt idx="3">
                  <c:v>36.799999999999997</c:v>
                </c:pt>
                <c:pt idx="4">
                  <c:v>29.8</c:v>
                </c:pt>
              </c:numCache>
            </c:numRef>
          </c:yVal>
          <c:smooth val="0"/>
          <c:extLst>
            <c:ext xmlns:c16="http://schemas.microsoft.com/office/drawing/2014/chart" uri="{C3380CC4-5D6E-409C-BE32-E72D297353CC}">
              <c16:uniqueId val="{00000001-F490-4C9F-B55C-11EEC9ADDDBB}"/>
            </c:ext>
          </c:extLst>
        </c:ser>
        <c:dLbls>
          <c:showLegendKey val="0"/>
          <c:showVal val="0"/>
          <c:showCatName val="0"/>
          <c:showSerName val="0"/>
          <c:showPercent val="0"/>
          <c:showBubbleSize val="0"/>
        </c:dLbls>
        <c:axId val="322724192"/>
        <c:axId val="9088936"/>
      </c:scatterChart>
      <c:valAx>
        <c:axId val="322724192"/>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Inclusion levels of </a:t>
                </a:r>
                <a:r>
                  <a:rPr lang="en-US" sz="1000" i="1" cap="none"/>
                  <a:t>C. pepo </a:t>
                </a:r>
                <a:r>
                  <a:rPr lang="en-US" sz="1000"/>
                  <a:t>(</a:t>
                </a:r>
                <a:r>
                  <a:rPr lang="en-US" sz="1000" cap="none"/>
                  <a:t>g</a:t>
                </a:r>
                <a:r>
                  <a:rPr lang="en-US" sz="1000"/>
                  <a:t>)</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88936"/>
        <c:crosses val="autoZero"/>
        <c:crossBetween val="midCat"/>
      </c:valAx>
      <c:valAx>
        <c:axId val="9088936"/>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Weight gain </a:t>
                </a:r>
                <a:r>
                  <a:rPr lang="en-US" sz="1000"/>
                  <a:t>(</a:t>
                </a:r>
                <a:r>
                  <a:rPr lang="en-US" sz="1000" cap="none"/>
                  <a:t>g</a:t>
                </a:r>
                <a:r>
                  <a:rPr lang="en-US" sz="1000"/>
                  <a:t>)</a:t>
                </a:r>
              </a:p>
            </c:rich>
          </c:tx>
          <c:layout>
            <c:manualLayout>
              <c:xMode val="edge"/>
              <c:yMode val="edge"/>
              <c:x val="2.5000000000000001E-2"/>
              <c:y val="0.3386034558180227"/>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2724192"/>
        <c:crosses val="autoZero"/>
        <c:crossBetween val="midCat"/>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0.60252</cdr:x>
      <cdr:y>0.1667</cdr:y>
    </cdr:from>
    <cdr:to>
      <cdr:x>0.60444</cdr:x>
      <cdr:y>0.76342</cdr:y>
    </cdr:to>
    <cdr:cxnSp macro="">
      <cdr:nvCxnSpPr>
        <cdr:cNvPr id="4" name="Straight Arrow Connector 3"/>
        <cdr:cNvCxnSpPr/>
      </cdr:nvCxnSpPr>
      <cdr:spPr>
        <a:xfrm xmlns:a="http://schemas.openxmlformats.org/drawingml/2006/main" flipH="1">
          <a:off x="2154055" y="323391"/>
          <a:ext cx="6864" cy="115759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0.60936</cdr:x>
      <cdr:y>0.5811</cdr:y>
    </cdr:from>
    <cdr:to>
      <cdr:x>0.72408</cdr:x>
      <cdr:y>0.72537</cdr:y>
    </cdr:to>
    <cdr:cxnSp macro="">
      <cdr:nvCxnSpPr>
        <cdr:cNvPr id="7" name="Straight Arrow Connector 6"/>
        <cdr:cNvCxnSpPr/>
      </cdr:nvCxnSpPr>
      <cdr:spPr>
        <a:xfrm xmlns:a="http://schemas.openxmlformats.org/drawingml/2006/main" flipH="1">
          <a:off x="2178504" y="1127282"/>
          <a:ext cx="410130" cy="27987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0.71479</cdr:x>
      <cdr:y>0.44545</cdr:y>
    </cdr:from>
    <cdr:to>
      <cdr:x>0.84274</cdr:x>
      <cdr:y>0.57004</cdr:y>
    </cdr:to>
    <cdr:sp macro="" textlink="">
      <cdr:nvSpPr>
        <cdr:cNvPr id="8" name="Rectangle 7"/>
        <cdr:cNvSpPr/>
      </cdr:nvSpPr>
      <cdr:spPr>
        <a:xfrm xmlns:a="http://schemas.openxmlformats.org/drawingml/2006/main">
          <a:off x="2555399" y="864146"/>
          <a:ext cx="457431" cy="241695"/>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kern="1200"/>
            <a:t>1.7g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5947</TotalTime>
  <Pages>10</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1262</cp:revision>
  <dcterms:created xsi:type="dcterms:W3CDTF">2023-10-03T10:40:00Z</dcterms:created>
  <dcterms:modified xsi:type="dcterms:W3CDTF">2026-05-09T13:18:00Z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add8792213644671a5d2cb26341f61b5</vt:lpwstr>
  </property>
</Properties>
</file>