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CF04" w14:textId="7A0EDC9C" w:rsidR="00F54864" w:rsidRDefault="003D39C9" w:rsidP="00481E7E">
      <w:pPr>
        <w:jc w:val="center"/>
        <w:rPr>
          <w:rFonts w:ascii="Times New Roman" w:hAnsi="Times New Roman" w:cs="Times New Roman"/>
          <w:b/>
          <w:bCs/>
          <w:lang w:val="en-US"/>
        </w:rPr>
      </w:pPr>
      <w:r>
        <w:rPr>
          <w:rFonts w:ascii="Times New Roman" w:hAnsi="Times New Roman" w:cs="Times New Roman"/>
          <w:b/>
          <w:bCs/>
          <w:lang w:val="en-US"/>
        </w:rPr>
        <w:t>A STUDY ON THE IMPACT OF DIVIDEND POLICY ON SHAREHOLDERS' WEALTH: A COMPARATIVE ANALYSIS</w:t>
      </w:r>
    </w:p>
    <w:p w14:paraId="0806DD73" w14:textId="7F57CB88" w:rsidR="00481E7E" w:rsidRDefault="00773486" w:rsidP="00B2095D">
      <w:pPr>
        <w:jc w:val="center"/>
        <w:rPr>
          <w:rFonts w:ascii="Times New Roman" w:hAnsi="Times New Roman" w:cs="Times New Roman"/>
          <w:b/>
          <w:bCs/>
          <w:lang w:val="en-US"/>
        </w:rPr>
      </w:pPr>
      <w:r>
        <w:rPr>
          <w:rFonts w:ascii="Times New Roman" w:hAnsi="Times New Roman" w:cs="Times New Roman"/>
          <w:b/>
          <w:bCs/>
          <w:lang w:val="en-US"/>
        </w:rPr>
        <w:t>Syeda Maseera Fathima</w:t>
      </w:r>
    </w:p>
    <w:p w14:paraId="6731C761" w14:textId="1E75A766" w:rsidR="00F32B42" w:rsidRPr="00B2095D" w:rsidRDefault="00B2095D" w:rsidP="00B2095D">
      <w:pPr>
        <w:jc w:val="center"/>
        <w:rPr>
          <w:rFonts w:ascii="Times New Roman" w:hAnsi="Times New Roman" w:cs="Times New Roman"/>
          <w:lang w:val="en-US"/>
        </w:rPr>
      </w:pPr>
      <w:r w:rsidRPr="00B2095D">
        <w:rPr>
          <w:rFonts w:ascii="Times New Roman" w:hAnsi="Times New Roman" w:cs="Times New Roman"/>
          <w:lang w:val="en-US"/>
        </w:rPr>
        <w:t xml:space="preserve">Master of Commerce, </w:t>
      </w:r>
      <w:r w:rsidR="00F32B42" w:rsidRPr="00B2095D">
        <w:rPr>
          <w:rFonts w:ascii="Times New Roman" w:hAnsi="Times New Roman" w:cs="Times New Roman"/>
          <w:lang w:val="en-US"/>
        </w:rPr>
        <w:t xml:space="preserve">School of </w:t>
      </w:r>
      <w:r w:rsidR="008F3815" w:rsidRPr="00B2095D">
        <w:rPr>
          <w:rFonts w:ascii="Times New Roman" w:hAnsi="Times New Roman" w:cs="Times New Roman"/>
          <w:lang w:val="en-US"/>
        </w:rPr>
        <w:t>Commerce</w:t>
      </w:r>
      <w:r w:rsidR="00F32B42" w:rsidRPr="00B2095D">
        <w:rPr>
          <w:rFonts w:ascii="Times New Roman" w:hAnsi="Times New Roman" w:cs="Times New Roman"/>
          <w:lang w:val="en-US"/>
        </w:rPr>
        <w:t>, R</w:t>
      </w:r>
      <w:r w:rsidR="00C57CA4">
        <w:rPr>
          <w:rFonts w:ascii="Times New Roman" w:hAnsi="Times New Roman" w:cs="Times New Roman"/>
          <w:lang w:val="en-US"/>
        </w:rPr>
        <w:t>EVA</w:t>
      </w:r>
      <w:r w:rsidR="00F32B42" w:rsidRPr="00B2095D">
        <w:rPr>
          <w:rFonts w:ascii="Times New Roman" w:hAnsi="Times New Roman" w:cs="Times New Roman"/>
          <w:lang w:val="en-US"/>
        </w:rPr>
        <w:t xml:space="preserve"> </w:t>
      </w:r>
      <w:r w:rsidR="00C80D2A" w:rsidRPr="00B2095D">
        <w:rPr>
          <w:rFonts w:ascii="Times New Roman" w:hAnsi="Times New Roman" w:cs="Times New Roman"/>
          <w:lang w:val="en-US"/>
        </w:rPr>
        <w:t>University, Bengaluru,</w:t>
      </w:r>
      <w:r w:rsidR="008F3815" w:rsidRPr="00B2095D">
        <w:rPr>
          <w:rFonts w:ascii="Times New Roman" w:hAnsi="Times New Roman" w:cs="Times New Roman"/>
          <w:lang w:val="en-US"/>
        </w:rPr>
        <w:t xml:space="preserve"> Karnataka</w:t>
      </w:r>
    </w:p>
    <w:p w14:paraId="419CF880" w14:textId="77777777" w:rsidR="00F54864" w:rsidRPr="00B2095D" w:rsidRDefault="00F54864" w:rsidP="0083495F">
      <w:pPr>
        <w:jc w:val="both"/>
        <w:rPr>
          <w:rFonts w:ascii="Times New Roman" w:hAnsi="Times New Roman" w:cs="Times New Roman"/>
          <w:lang w:val="en-US"/>
        </w:rPr>
      </w:pPr>
    </w:p>
    <w:p w14:paraId="2560657F" w14:textId="77777777" w:rsidR="00F54864" w:rsidRPr="00246CCF" w:rsidRDefault="00F54864" w:rsidP="0083495F">
      <w:pPr>
        <w:jc w:val="both"/>
        <w:rPr>
          <w:rFonts w:ascii="Times New Roman" w:hAnsi="Times New Roman" w:cs="Times New Roman"/>
          <w:lang w:val="en-US"/>
        </w:rPr>
      </w:pPr>
    </w:p>
    <w:p w14:paraId="5E47EC47" w14:textId="77777777" w:rsidR="00477AC5" w:rsidRPr="00932A69" w:rsidRDefault="00F54864" w:rsidP="00932A69">
      <w:pPr>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14:paraId="0C681549" w14:textId="26A3357E" w:rsidR="00F54864" w:rsidRPr="00246CCF" w:rsidRDefault="00F54864" w:rsidP="0083495F">
      <w:pPr>
        <w:jc w:val="both"/>
        <w:rPr>
          <w:rFonts w:ascii="Times New Roman" w:hAnsi="Times New Roman" w:cs="Times New Roman"/>
          <w:lang w:val="en-US"/>
        </w:rPr>
      </w:pPr>
      <w:r>
        <w:rPr>
          <w:rFonts w:ascii="Times New Roman" w:hAnsi="Times New Roman" w:cs="Times New Roman"/>
          <w:b/>
          <w:bCs/>
          <w:lang w:val="en-US"/>
        </w:rPr>
        <w:t xml:space="preserve"> </w:t>
      </w:r>
      <w:r>
        <w:rPr>
          <w:rFonts w:ascii="Times New Roman" w:hAnsi="Times New Roman" w:cs="Times New Roman"/>
          <w:lang w:val="en-US"/>
        </w:rPr>
        <w:t>Impact of dividend policy of State Bank of India (SBI) on shareholder wealth creation during the time frame FY2021-FY2025 is being analysed in this research. The correlation analysis of several variables like DPS (Dividend Per Share), EPS (Earnings Per Share), DPR (Dividend Payout Ratio), MPS (Market Price Per Share), ROE (Return on Equity), and Dividend Yield using statistical tools like Pearson correlation and regression analysis was carried out by employing secondary data from the annual report and stock exchange database (National Stock Exchange – NSE) through the use of SPSS. Through the regression analysis, an R² of 0.948 was achieved, meaning that 94.8% of the variation in the market price of SBI shares can be explained by DPS and that for each one unit increase in DPS, the share price will increase 37 times. This proves that the main cause for the wealth creation is because of the progressive and earnings-based dividend policy of the company, thus supporting the "Bird-in-Hand" theory, Signalling Theory and Walter Model of dividends. Hypothesis H1 (Alternative Hypothesis) showing the significance of the relation between DPS and MPS is accepted at 1% level of significance.</w:t>
      </w:r>
    </w:p>
    <w:p w14:paraId="28704269" w14:textId="76454FBE" w:rsidR="00F54864" w:rsidRPr="00246CCF" w:rsidRDefault="00F54864" w:rsidP="0083495F">
      <w:pPr>
        <w:jc w:val="both"/>
        <w:rPr>
          <w:rFonts w:ascii="Times New Roman" w:hAnsi="Times New Roman" w:cs="Times New Roman"/>
          <w:lang w:val="en-US"/>
        </w:rPr>
      </w:pPr>
      <w:r>
        <w:rPr>
          <w:rFonts w:ascii="Times New Roman" w:hAnsi="Times New Roman" w:cs="Times New Roman"/>
          <w:b/>
          <w:bCs/>
          <w:lang w:val="en-US"/>
        </w:rPr>
        <w:t xml:space="preserve">Keywords: </w:t>
      </w:r>
      <w:r>
        <w:rPr>
          <w:rFonts w:ascii="Times New Roman" w:hAnsi="Times New Roman" w:cs="Times New Roman"/>
          <w:lang w:val="en-US"/>
        </w:rPr>
        <w:t>Dividend Policy, Shareholders' Wealth, State Bank of India, Dividend Per Share, Market Price Per Share</w:t>
      </w:r>
    </w:p>
    <w:p w14:paraId="2E028DCF" w14:textId="77777777" w:rsidR="00F54864" w:rsidRPr="00246CCF" w:rsidRDefault="00F54864" w:rsidP="0083495F">
      <w:pPr>
        <w:jc w:val="both"/>
        <w:rPr>
          <w:rFonts w:ascii="Times New Roman" w:hAnsi="Times New Roman" w:cs="Times New Roman"/>
          <w:lang w:val="en-US"/>
        </w:rPr>
      </w:pPr>
    </w:p>
    <w:p w14:paraId="349DCF24" w14:textId="3CA2EC2F" w:rsidR="00F54864" w:rsidRPr="00845D4E" w:rsidRDefault="00F54864" w:rsidP="00231A14">
      <w:pPr>
        <w:spacing w:before="240"/>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INTRODUCTION</w:t>
      </w:r>
    </w:p>
    <w:p w14:paraId="4648FBC2" w14:textId="546BF8FE" w:rsidR="000A3350" w:rsidRPr="003025F8" w:rsidRDefault="00DE74E7" w:rsidP="0083495F">
      <w:pPr>
        <w:jc w:val="both"/>
        <w:rPr>
          <w:rFonts w:ascii="Times New Roman" w:hAnsi="Times New Roman" w:cs="Times New Roman"/>
          <w:lang w:val="en-US"/>
        </w:rPr>
      </w:pPr>
      <w:r>
        <w:rPr>
          <w:rFonts w:ascii="Times New Roman" w:hAnsi="Times New Roman" w:cs="Times New Roman"/>
          <w:lang w:val="en-US"/>
        </w:rPr>
        <w:t>The dividend policy is one of the most essential and disputable aspects of the activity of the enterprise, particularly for those operating in the field of banking</w:t>
      </w:r>
      <w:r w:rsidR="0084417A">
        <w:rPr>
          <w:rFonts w:ascii="Times New Roman" w:hAnsi="Times New Roman" w:cs="Times New Roman"/>
          <w:lang w:val="en-US"/>
        </w:rPr>
        <w:t>(Walter, 1960)</w:t>
      </w:r>
      <w:r>
        <w:rPr>
          <w:rFonts w:ascii="Times New Roman" w:hAnsi="Times New Roman" w:cs="Times New Roman"/>
          <w:lang w:val="en-US"/>
        </w:rPr>
        <w:t>. It raises a problem as to what the enterprise should do with its profits—whether distribute them among shareholders in the form of dividends or retain them in order to invest in the future and thus increase their revenue. Dividends paid out by firms reflect a number of factors, including performance, financial health, and managerial confidence. Moreover, each bank has its particular approach to dividends</w:t>
      </w:r>
      <w:r w:rsidR="0084417A">
        <w:rPr>
          <w:rFonts w:ascii="Times New Roman" w:hAnsi="Times New Roman" w:cs="Times New Roman"/>
          <w:lang w:val="en-US"/>
        </w:rPr>
        <w:t>(Zafar et al., 2012).</w:t>
      </w:r>
    </w:p>
    <w:p w14:paraId="04553F41" w14:textId="2E8A872E" w:rsidR="000A3350" w:rsidRPr="003025F8" w:rsidRDefault="000A3350" w:rsidP="00A9219E">
      <w:pPr>
        <w:spacing w:before="240"/>
        <w:jc w:val="both"/>
        <w:rPr>
          <w:rFonts w:ascii="Times New Roman" w:hAnsi="Times New Roman" w:cs="Times New Roman"/>
          <w:lang w:val="en-US"/>
        </w:rPr>
      </w:pPr>
      <w:r>
        <w:rPr>
          <w:rFonts w:ascii="Times New Roman" w:hAnsi="Times New Roman" w:cs="Times New Roman"/>
          <w:lang w:val="en-US"/>
        </w:rPr>
        <w:t>The case of the banking industry in India provides a highly intriguing example of the relationship between dividends and shareholder wealth for two important reasons. First, all commercial banks in India operate within the jurisdiction of the Reserve Bank of India (RBI) in relation to such criteria as capital adequacy, asset quality, and profitability before they can declare any dividends. Second, public sector banks, which are largely owned by the government, have yet another stakeholder to consider on account of the dual nature of dividends as an income source for the government and as a sign of good financials</w:t>
      </w:r>
      <w:r w:rsidR="0084417A">
        <w:rPr>
          <w:rFonts w:ascii="Times New Roman" w:hAnsi="Times New Roman" w:cs="Times New Roman"/>
          <w:lang w:val="en-US"/>
        </w:rPr>
        <w:t>(Zafar et al., 2012)</w:t>
      </w:r>
    </w:p>
    <w:p w14:paraId="082429B7" w14:textId="1302CEE4" w:rsidR="00343A42" w:rsidRPr="00246CCF" w:rsidRDefault="00343A42" w:rsidP="00343A42">
      <w:pPr>
        <w:jc w:val="both"/>
        <w:rPr>
          <w:rFonts w:ascii="Times New Roman" w:hAnsi="Times New Roman" w:cs="Times New Roman"/>
        </w:rPr>
      </w:pPr>
      <w:r>
        <w:rPr>
          <w:rFonts w:ascii="Times New Roman" w:hAnsi="Times New Roman" w:cs="Times New Roman"/>
        </w:rPr>
        <w:t>State Bank of India (SBI), the largest government-owned commercial bank in India, serves as an excellent subject to analyse this relationship</w:t>
      </w:r>
      <w:r w:rsidR="0084417A">
        <w:rPr>
          <w:rFonts w:ascii="Times New Roman" w:hAnsi="Times New Roman" w:cs="Times New Roman"/>
        </w:rPr>
        <w:t>(Bhalla,2023)</w:t>
      </w:r>
      <w:r>
        <w:rPr>
          <w:rFonts w:ascii="Times New Roman" w:hAnsi="Times New Roman" w:cs="Times New Roman"/>
        </w:rPr>
        <w:t>. The State Bank of India, which has more than 23,000 branches across the country, a market value of almost ₹10.55 lakh crore, and a net profit of ₹70,900.63 crore during FY2025, offers an interesting analysis of growth and performance since FY2021, reflecting its recovery, improvements in earnings, and rewarding shareholders progressively. The dividend per share (DPS) increased from ₹4.00 in FY2021 to ₹15.90 in FY2025, that is, by 297.5%, while the stock price increased from ₹451 to ₹910</w:t>
      </w:r>
      <w:r w:rsidR="0084417A">
        <w:rPr>
          <w:rFonts w:ascii="Times New Roman" w:hAnsi="Times New Roman" w:cs="Times New Roman"/>
        </w:rPr>
        <w:t>(State Bank of India, 2025)</w:t>
      </w:r>
      <w:r>
        <w:rPr>
          <w:rFonts w:ascii="Times New Roman" w:hAnsi="Times New Roman" w:cs="Times New Roman"/>
        </w:rPr>
        <w:t>.</w:t>
      </w:r>
    </w:p>
    <w:p w14:paraId="6E60F9A4" w14:textId="77777777" w:rsidR="00343A42" w:rsidRPr="00246CCF" w:rsidRDefault="00343A42" w:rsidP="00343A42">
      <w:pPr>
        <w:jc w:val="both"/>
        <w:rPr>
          <w:rFonts w:ascii="Times New Roman" w:hAnsi="Times New Roman" w:cs="Times New Roman"/>
        </w:rPr>
      </w:pPr>
      <w:r>
        <w:rPr>
          <w:rFonts w:ascii="Times New Roman" w:hAnsi="Times New Roman" w:cs="Times New Roman"/>
        </w:rPr>
        <w:t>Though there is abundant literature on the analysis of dividends and shareholder wealth in overall banking research as well as individual sectors, there is still a lack in the literature regarding individual banks’ research, with a long span of time covering the extent to which dividends affect shareholders' wealth at the bank level. This research will fill the void by investigating how dividends affect shareholders' wealth at the individual bank level over a period ranging from FY2021 to FY2025.</w:t>
      </w:r>
    </w:p>
    <w:p w14:paraId="25AC2D02" w14:textId="77777777" w:rsidR="008C6862" w:rsidRPr="00246CCF" w:rsidRDefault="008C6862" w:rsidP="0083495F">
      <w:pPr>
        <w:jc w:val="both"/>
        <w:rPr>
          <w:rFonts w:ascii="Times New Roman" w:hAnsi="Times New Roman" w:cs="Times New Roman"/>
          <w:b/>
          <w:bCs/>
          <w:lang w:val="en-US"/>
        </w:rPr>
      </w:pPr>
      <w:r>
        <w:rPr>
          <w:rFonts w:ascii="Times New Roman" w:hAnsi="Times New Roman" w:cs="Times New Roman"/>
          <w:b/>
          <w:bCs/>
          <w:lang w:val="en-US"/>
        </w:rPr>
        <w:t>Statement of the Problem</w:t>
      </w:r>
    </w:p>
    <w:p w14:paraId="6A8D1B57" w14:textId="7145AC04" w:rsidR="008C6862" w:rsidRPr="00246CCF" w:rsidRDefault="008C6862" w:rsidP="0083495F">
      <w:pPr>
        <w:jc w:val="both"/>
        <w:rPr>
          <w:rFonts w:ascii="Times New Roman" w:hAnsi="Times New Roman" w:cs="Times New Roman"/>
          <w:lang w:val="en-US"/>
        </w:rPr>
      </w:pPr>
      <w:r>
        <w:rPr>
          <w:rFonts w:ascii="Times New Roman" w:hAnsi="Times New Roman" w:cs="Times New Roman"/>
          <w:lang w:val="en-US"/>
        </w:rPr>
        <w:t>The decision-making regarding dividends within the banking industry is a function of the complicated interaction between profitability, capital adequacy ratio, quality of assets, ownership, and investor expectations. On the one hand, banks such as SBI are supposed to ensure that their shareholders benefit from their profits by paying regular dividends to them. On the other hand, they need to have a sufficient capital cushion along with RBI recommendations.</w:t>
      </w:r>
    </w:p>
    <w:p w14:paraId="39F7BA4F" w14:textId="58EFAAB2" w:rsidR="00B601F4" w:rsidRPr="00246CCF" w:rsidRDefault="00B601F4" w:rsidP="0083495F">
      <w:pPr>
        <w:jc w:val="both"/>
        <w:rPr>
          <w:rFonts w:ascii="Times New Roman" w:hAnsi="Times New Roman" w:cs="Times New Roman"/>
          <w:lang w:val="en-US"/>
        </w:rPr>
      </w:pPr>
      <w:r>
        <w:rPr>
          <w:rFonts w:ascii="Times New Roman" w:hAnsi="Times New Roman" w:cs="Times New Roman"/>
          <w:lang w:val="en-US"/>
        </w:rPr>
        <w:t>The problem addressed specifically in this study is: How much can the dividend policies of SBI, based on measures such as DPS, DPR, and others, explain the fluctuations in wealth created as represented by Market Price per Share? In addition, how does SBI perform in dividend payments compared to other public-sector banks directly competing with it?</w:t>
      </w:r>
    </w:p>
    <w:p w14:paraId="1007C3D7" w14:textId="3FD20C8E" w:rsidR="005638C7" w:rsidRPr="00231A14" w:rsidRDefault="005638C7" w:rsidP="0083495F">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REVIEW OF THE LITERATURE AND RESEARCH GAP</w:t>
      </w:r>
    </w:p>
    <w:p w14:paraId="14F0BD7D" w14:textId="7C4317BA" w:rsidR="005638C7" w:rsidRPr="00246CCF" w:rsidRDefault="005638C7" w:rsidP="0083495F">
      <w:pPr>
        <w:jc w:val="both"/>
        <w:rPr>
          <w:rFonts w:ascii="Times New Roman" w:hAnsi="Times New Roman" w:cs="Times New Roman"/>
          <w:b/>
          <w:bCs/>
          <w:lang w:val="en-US"/>
        </w:rPr>
      </w:pPr>
      <w:r>
        <w:rPr>
          <w:rFonts w:ascii="Times New Roman" w:hAnsi="Times New Roman" w:cs="Times New Roman"/>
          <w:b/>
          <w:bCs/>
          <w:lang w:val="en-US"/>
        </w:rPr>
        <w:t xml:space="preserve"> Literature Review</w:t>
      </w:r>
    </w:p>
    <w:p w14:paraId="4359500A" w14:textId="2C8894AD" w:rsidR="004729E1" w:rsidRPr="00246CCF" w:rsidRDefault="00461655" w:rsidP="0083495F">
      <w:pPr>
        <w:jc w:val="both"/>
        <w:rPr>
          <w:rFonts w:ascii="Times New Roman" w:hAnsi="Times New Roman" w:cs="Times New Roman"/>
          <w:lang w:val="en-US"/>
        </w:rPr>
      </w:pPr>
      <w:r>
        <w:rPr>
          <w:rFonts w:ascii="Times New Roman" w:hAnsi="Times New Roman" w:cs="Times New Roman"/>
          <w:lang w:val="en-US"/>
        </w:rPr>
        <w:t>The impact of dividend policy on shareholder wealth has been extensively examined in previous literature. The summary below highlights several significant studies in this field.</w:t>
      </w:r>
    </w:p>
    <w:p w14:paraId="54605A09" w14:textId="32A1E69E" w:rsidR="004729E1" w:rsidRPr="00246CCF" w:rsidRDefault="004729E1" w:rsidP="0083495F">
      <w:pPr>
        <w:jc w:val="both"/>
        <w:rPr>
          <w:rFonts w:ascii="Times New Roman" w:hAnsi="Times New Roman" w:cs="Times New Roman"/>
          <w:lang w:val="en-US"/>
        </w:rPr>
      </w:pPr>
      <w:r>
        <w:rPr>
          <w:rFonts w:ascii="Times New Roman" w:hAnsi="Times New Roman" w:cs="Times New Roman"/>
          <w:lang w:val="en-US"/>
        </w:rPr>
        <w:t>Tahir (2014) measured the proportion of explained variance in shareholder wealth by utilising the coefficient of determination with the help of F-tests, setting examples of regression-based dividend analysis studies.</w:t>
      </w:r>
    </w:p>
    <w:p w14:paraId="18DE7C01" w14:textId="15037C67" w:rsidR="004729E1" w:rsidRPr="00246CCF" w:rsidRDefault="004729E1" w:rsidP="0083495F">
      <w:pPr>
        <w:jc w:val="both"/>
        <w:rPr>
          <w:rFonts w:ascii="Times New Roman" w:hAnsi="Times New Roman" w:cs="Times New Roman"/>
          <w:lang w:val="en-US"/>
        </w:rPr>
      </w:pPr>
      <w:r>
        <w:rPr>
          <w:rFonts w:ascii="Times New Roman" w:hAnsi="Times New Roman" w:cs="Times New Roman"/>
          <w:lang w:val="en-US"/>
        </w:rPr>
        <w:t>Zafar, Chaubey &amp; Khalid (2012) investigated the impact of retained earnings, price earnings ratio, and prior market value on shareholder wealth, stating that dividend policy affects shareholder wealth in certain Indian banking firms.</w:t>
      </w:r>
    </w:p>
    <w:p w14:paraId="578B9557" w14:textId="77777777" w:rsidR="0055097A" w:rsidRPr="00246CCF" w:rsidRDefault="0055097A" w:rsidP="0083495F">
      <w:pPr>
        <w:jc w:val="both"/>
        <w:rPr>
          <w:rFonts w:ascii="Times New Roman" w:hAnsi="Times New Roman" w:cs="Times New Roman"/>
          <w:lang w:val="en-US"/>
        </w:rPr>
      </w:pPr>
      <w:r>
        <w:rPr>
          <w:rFonts w:ascii="Times New Roman" w:hAnsi="Times New Roman" w:cs="Times New Roman"/>
          <w:lang w:val="en-US"/>
        </w:rPr>
        <w:t>Bawa &amp; Kaur (2013) contended that while dividend policy is important but cannot alone be decisive, it is more effective when used in conjunction with other factors. According to their study, excessive dividends lower the firm’s ability to make new investments, thus making it imperative to strike an optimum balance between dividend payout.</w:t>
      </w:r>
    </w:p>
    <w:p w14:paraId="20ED1E5F" w14:textId="77777777" w:rsidR="0055097A" w:rsidRPr="00246CCF" w:rsidRDefault="0055097A" w:rsidP="0083495F">
      <w:pPr>
        <w:jc w:val="both"/>
        <w:rPr>
          <w:rFonts w:ascii="Times New Roman" w:hAnsi="Times New Roman" w:cs="Times New Roman"/>
          <w:lang w:val="en-US"/>
        </w:rPr>
      </w:pPr>
    </w:p>
    <w:p w14:paraId="43B2EE57" w14:textId="77777777" w:rsidR="0055097A" w:rsidRPr="00246CCF" w:rsidRDefault="0055097A" w:rsidP="0083495F">
      <w:pPr>
        <w:jc w:val="both"/>
        <w:rPr>
          <w:rFonts w:ascii="Times New Roman" w:hAnsi="Times New Roman" w:cs="Times New Roman"/>
          <w:lang w:val="en-US"/>
        </w:rPr>
      </w:pPr>
      <w:r>
        <w:rPr>
          <w:rFonts w:ascii="Times New Roman" w:hAnsi="Times New Roman" w:cs="Times New Roman"/>
          <w:lang w:val="en-US"/>
        </w:rPr>
        <w:t>Masum (2014) studied the effect of dividend payout on stock prices of commercial banks trading on the Dhaka stock exchange, and it was discovered that DPS correlated positively (r = 0.960) and most strongly with stock prices. This shows that DPS is an important factor in market valuation.</w:t>
      </w:r>
    </w:p>
    <w:p w14:paraId="1D61C7FC" w14:textId="77777777" w:rsidR="0055097A" w:rsidRPr="00246CCF" w:rsidRDefault="0055097A" w:rsidP="0083495F">
      <w:pPr>
        <w:jc w:val="both"/>
        <w:rPr>
          <w:rFonts w:ascii="Times New Roman" w:hAnsi="Times New Roman" w:cs="Times New Roman"/>
          <w:lang w:val="en-US"/>
        </w:rPr>
      </w:pPr>
      <w:r>
        <w:rPr>
          <w:rFonts w:ascii="Times New Roman" w:hAnsi="Times New Roman" w:cs="Times New Roman"/>
          <w:lang w:val="en-US"/>
        </w:rPr>
        <w:t>Hunjra, Ijaz, Chani, and Mustafa (2014) reported that dividend yield was positively and significantly related to the dividend payout ratio and ROE, where relationships were significant at the 5% level.</w:t>
      </w:r>
    </w:p>
    <w:p w14:paraId="582CAEBE" w14:textId="167C3C3D" w:rsidR="0055097A" w:rsidRPr="00246CCF" w:rsidRDefault="0055097A" w:rsidP="0083495F">
      <w:pPr>
        <w:jc w:val="both"/>
        <w:rPr>
          <w:rFonts w:ascii="Times New Roman" w:hAnsi="Times New Roman" w:cs="Times New Roman"/>
          <w:lang w:val="en-US"/>
        </w:rPr>
      </w:pPr>
      <w:r>
        <w:rPr>
          <w:rFonts w:ascii="Times New Roman" w:hAnsi="Times New Roman" w:cs="Times New Roman"/>
          <w:lang w:val="en-US"/>
        </w:rPr>
        <w:t>Kumar &amp; Khatik (2021) carried out a comparative analysis of EPS between five nationalised banks, and the findings revealed significant differences in EPS among the selected banks. Dividend policy and EPS have been found to be directly connected.</w:t>
      </w:r>
    </w:p>
    <w:p w14:paraId="0F881FB0" w14:textId="313206C9" w:rsidR="003612A5" w:rsidRPr="00246CCF" w:rsidRDefault="003612A5" w:rsidP="0083495F">
      <w:pPr>
        <w:jc w:val="both"/>
        <w:rPr>
          <w:rFonts w:ascii="Times New Roman" w:hAnsi="Times New Roman" w:cs="Times New Roman"/>
          <w:lang w:val="en-US"/>
        </w:rPr>
      </w:pPr>
      <w:r>
        <w:rPr>
          <w:rFonts w:ascii="Times New Roman" w:hAnsi="Times New Roman" w:cs="Times New Roman"/>
          <w:lang w:val="en-US"/>
        </w:rPr>
        <w:t>The findings of Bhalla (2023) reveal that there is no relationship between the dividend policies of the firms in NIFTY 100 and share price volatility, although this overall trend may conceal individual trends at the bank level.</w:t>
      </w:r>
    </w:p>
    <w:p w14:paraId="191478F7" w14:textId="77777777" w:rsidR="003612A5" w:rsidRPr="00246CCF" w:rsidRDefault="003612A5" w:rsidP="0083495F">
      <w:pPr>
        <w:jc w:val="both"/>
        <w:rPr>
          <w:rFonts w:ascii="Times New Roman" w:hAnsi="Times New Roman" w:cs="Times New Roman"/>
          <w:lang w:val="en-US"/>
        </w:rPr>
      </w:pPr>
      <w:r>
        <w:rPr>
          <w:rFonts w:ascii="Times New Roman" w:hAnsi="Times New Roman" w:cs="Times New Roman"/>
          <w:lang w:val="en-US"/>
        </w:rPr>
        <w:t>Arangi, Babu, Vasu &amp; Krishna (2023) conducted an empirical study on the effect of dividend announcements of twelve companies from the NIFTY index and discovered that the investors did not gain or lose any value from the announcement of the dividends, supporting the M&amp;M theorem of dividend irrelevance.</w:t>
      </w:r>
    </w:p>
    <w:p w14:paraId="3337B315" w14:textId="77777777" w:rsidR="003612A5" w:rsidRPr="00246CCF" w:rsidRDefault="003612A5" w:rsidP="0083495F">
      <w:pPr>
        <w:jc w:val="both"/>
        <w:rPr>
          <w:rFonts w:ascii="Times New Roman" w:hAnsi="Times New Roman" w:cs="Times New Roman"/>
          <w:lang w:val="en-US"/>
        </w:rPr>
      </w:pPr>
      <w:r>
        <w:rPr>
          <w:rFonts w:ascii="Times New Roman" w:hAnsi="Times New Roman" w:cs="Times New Roman"/>
          <w:lang w:val="en-US"/>
        </w:rPr>
        <w:t>Nambukara-Gamage &amp; Peries (2020) revealed that there was a positive relationship between the dividend policies of Australian retail firms and shareholders’ wealth in Australia, indicating that dividends matter when there is significant information asymmetry.</w:t>
      </w:r>
    </w:p>
    <w:p w14:paraId="79475F45" w14:textId="30831419" w:rsidR="003612A5" w:rsidRPr="00246CCF" w:rsidRDefault="003612A5" w:rsidP="0083495F">
      <w:pPr>
        <w:jc w:val="both"/>
        <w:rPr>
          <w:rFonts w:ascii="Times New Roman" w:hAnsi="Times New Roman" w:cs="Times New Roman"/>
          <w:lang w:val="en-US"/>
        </w:rPr>
      </w:pPr>
      <w:r>
        <w:rPr>
          <w:rFonts w:ascii="Times New Roman" w:hAnsi="Times New Roman" w:cs="Times New Roman"/>
          <w:lang w:val="en-US"/>
        </w:rPr>
        <w:t>According to Mangla (2019), there is a negative correlation between financial leverage and dividends in both private and nationalised banks and a positive relationship between earnings and dividends in India.</w:t>
      </w:r>
    </w:p>
    <w:p w14:paraId="7C1EA277" w14:textId="031FACCF" w:rsidR="00485DBA" w:rsidRPr="00246CCF" w:rsidRDefault="00485DBA" w:rsidP="0083495F">
      <w:pPr>
        <w:jc w:val="both"/>
        <w:rPr>
          <w:rFonts w:ascii="Times New Roman" w:hAnsi="Times New Roman" w:cs="Times New Roman"/>
          <w:b/>
          <w:bCs/>
          <w:lang w:val="en-US"/>
        </w:rPr>
      </w:pPr>
      <w:r>
        <w:rPr>
          <w:rFonts w:ascii="Times New Roman" w:hAnsi="Times New Roman" w:cs="Times New Roman"/>
          <w:b/>
          <w:bCs/>
          <w:lang w:val="en-US"/>
        </w:rPr>
        <w:t xml:space="preserve"> Research Gap</w:t>
      </w:r>
    </w:p>
    <w:p w14:paraId="7B2E6644" w14:textId="291903E7" w:rsidR="00F46130" w:rsidRPr="00246CCF" w:rsidRDefault="00F46130" w:rsidP="00F46130">
      <w:pPr>
        <w:jc w:val="both"/>
        <w:rPr>
          <w:rFonts w:ascii="Times New Roman" w:hAnsi="Times New Roman" w:cs="Times New Roman"/>
        </w:rPr>
      </w:pPr>
      <w:r>
        <w:rPr>
          <w:rFonts w:ascii="Times New Roman" w:hAnsi="Times New Roman" w:cs="Times New Roman"/>
        </w:rPr>
        <w:t>From the above literature review, it is evident that even though several studies have been conducted on dividend policy and shareholder wealth with regard to aggregate banking studies, international comparative studies, and industrial sectoral studies (information technology, retailing, manufacturing)</w:t>
      </w:r>
      <w:r w:rsidR="00676063">
        <w:rPr>
          <w:rFonts w:ascii="Times New Roman" w:hAnsi="Times New Roman" w:cs="Times New Roman"/>
        </w:rPr>
        <w:t>(Bhalla,2023), there</w:t>
      </w:r>
      <w:r>
        <w:rPr>
          <w:rFonts w:ascii="Times New Roman" w:hAnsi="Times New Roman" w:cs="Times New Roman"/>
        </w:rPr>
        <w:t xml:space="preserve"> has not been enough research into:</w:t>
      </w:r>
    </w:p>
    <w:p w14:paraId="3E163730" w14:textId="77777777" w:rsidR="00F46130" w:rsidRPr="00246CCF" w:rsidRDefault="00F46130" w:rsidP="00F46130">
      <w:pPr>
        <w:jc w:val="both"/>
        <w:rPr>
          <w:rFonts w:ascii="Times New Roman" w:hAnsi="Times New Roman" w:cs="Times New Roman"/>
        </w:rPr>
      </w:pPr>
      <w:r>
        <w:rPr>
          <w:rFonts w:ascii="Times New Roman" w:hAnsi="Times New Roman" w:cs="Times New Roman"/>
        </w:rPr>
        <w:t>(a) The study of a single large public sector bank in India for an extended duration of time;</w:t>
      </w:r>
    </w:p>
    <w:p w14:paraId="75500945" w14:textId="77777777" w:rsidR="00F46130" w:rsidRPr="00246CCF" w:rsidRDefault="00F46130" w:rsidP="00F46130">
      <w:pPr>
        <w:jc w:val="both"/>
        <w:rPr>
          <w:rFonts w:ascii="Times New Roman" w:hAnsi="Times New Roman" w:cs="Times New Roman"/>
        </w:rPr>
      </w:pPr>
      <w:r>
        <w:rPr>
          <w:rFonts w:ascii="Times New Roman" w:hAnsi="Times New Roman" w:cs="Times New Roman"/>
        </w:rPr>
        <w:t>(b) using a recent dataset after the pandemic era, that is, from FY2021–FY2025;</w:t>
      </w:r>
    </w:p>
    <w:p w14:paraId="1A809E4B" w14:textId="77777777" w:rsidR="00F46130" w:rsidRPr="00246CCF" w:rsidRDefault="00F46130" w:rsidP="00F46130">
      <w:pPr>
        <w:jc w:val="both"/>
        <w:rPr>
          <w:rFonts w:ascii="Times New Roman" w:hAnsi="Times New Roman" w:cs="Times New Roman"/>
        </w:rPr>
      </w:pPr>
      <w:r>
        <w:rPr>
          <w:rFonts w:ascii="Times New Roman" w:hAnsi="Times New Roman" w:cs="Times New Roman"/>
        </w:rPr>
        <w:t>(c) The application of descriptive statistics, correlation analysis, and regression analysis using SPSS to accurately measure the extent of the relationship between dividends and shareholder wealth; and</w:t>
      </w:r>
    </w:p>
    <w:p w14:paraId="53457165" w14:textId="47E0E2B9" w:rsidR="00F46130" w:rsidRPr="00246CCF" w:rsidRDefault="00F46130" w:rsidP="00F46130">
      <w:pPr>
        <w:jc w:val="both"/>
        <w:rPr>
          <w:rFonts w:ascii="Times New Roman" w:hAnsi="Times New Roman" w:cs="Times New Roman"/>
          <w:b/>
          <w:bCs/>
        </w:rPr>
      </w:pPr>
      <w:r>
        <w:rPr>
          <w:rFonts w:ascii="Times New Roman" w:hAnsi="Times New Roman" w:cs="Times New Roman"/>
        </w:rPr>
        <w:t>(d) comparing one single large public sector bank with other large public sector banks on the basis of DPS and MPS</w:t>
      </w:r>
      <w:r>
        <w:rPr>
          <w:rFonts w:ascii="Times New Roman" w:hAnsi="Times New Roman" w:cs="Times New Roman"/>
          <w:color w:val="000000" w:themeColor="text1"/>
        </w:rPr>
        <w:t>.</w:t>
      </w:r>
      <w:r w:rsidR="00676063">
        <w:rPr>
          <w:rFonts w:ascii="Times New Roman" w:hAnsi="Times New Roman" w:cs="Times New Roman"/>
          <w:color w:val="000000" w:themeColor="text1"/>
        </w:rPr>
        <w:t>(Zafar et al.,2012)</w:t>
      </w:r>
    </w:p>
    <w:p w14:paraId="2A1C1AD7" w14:textId="77777777" w:rsidR="00F46130" w:rsidRPr="00246CCF" w:rsidRDefault="00F46130" w:rsidP="00F46130">
      <w:pPr>
        <w:jc w:val="both"/>
        <w:rPr>
          <w:rFonts w:ascii="Times New Roman" w:hAnsi="Times New Roman" w:cs="Times New Roman"/>
        </w:rPr>
      </w:pPr>
      <w:r>
        <w:rPr>
          <w:rFonts w:ascii="Times New Roman" w:hAnsi="Times New Roman" w:cs="Times New Roman"/>
        </w:rPr>
        <w:t> </w:t>
      </w:r>
    </w:p>
    <w:p w14:paraId="133E7A35" w14:textId="77777777" w:rsidR="00F46130" w:rsidRPr="00246CCF" w:rsidRDefault="00F46130" w:rsidP="00F46130">
      <w:pPr>
        <w:jc w:val="both"/>
        <w:rPr>
          <w:rFonts w:ascii="Times New Roman" w:hAnsi="Times New Roman" w:cs="Times New Roman"/>
        </w:rPr>
      </w:pPr>
      <w:r>
        <w:rPr>
          <w:rFonts w:ascii="Times New Roman" w:hAnsi="Times New Roman" w:cs="Times New Roman"/>
        </w:rPr>
        <w:t>This study aims to fill these research gaps.</w:t>
      </w:r>
    </w:p>
    <w:p w14:paraId="039F1C0D" w14:textId="292926C1" w:rsidR="007C7F53" w:rsidRPr="00CD66E1" w:rsidRDefault="007C7F53" w:rsidP="00CD66E1">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RESEARCH METHODOLOGY</w:t>
      </w:r>
    </w:p>
    <w:p w14:paraId="0A03CBAF" w14:textId="1C652601" w:rsidR="007C7F53" w:rsidRPr="00246CCF" w:rsidRDefault="007C7F53" w:rsidP="00CD66E1">
      <w:pPr>
        <w:jc w:val="both"/>
        <w:rPr>
          <w:rFonts w:ascii="Times New Roman" w:hAnsi="Times New Roman" w:cs="Times New Roman"/>
          <w:b/>
          <w:bCs/>
          <w:lang w:val="en-US"/>
        </w:rPr>
      </w:pPr>
      <w:r>
        <w:rPr>
          <w:rFonts w:ascii="Times New Roman" w:hAnsi="Times New Roman" w:cs="Times New Roman"/>
          <w:b/>
          <w:bCs/>
          <w:lang w:val="en-US"/>
        </w:rPr>
        <w:t xml:space="preserve"> Research Questions</w:t>
      </w:r>
    </w:p>
    <w:p w14:paraId="4EA9AB73" w14:textId="77777777" w:rsidR="007C7F53" w:rsidRPr="00246CCF" w:rsidRDefault="007C7F53" w:rsidP="0083495F">
      <w:pPr>
        <w:jc w:val="both"/>
        <w:rPr>
          <w:rFonts w:ascii="Times New Roman" w:hAnsi="Times New Roman" w:cs="Times New Roman"/>
          <w:lang w:val="en-US"/>
        </w:rPr>
      </w:pPr>
      <w:r>
        <w:rPr>
          <w:rFonts w:ascii="Times New Roman" w:hAnsi="Times New Roman" w:cs="Times New Roman"/>
          <w:lang w:val="en-US"/>
        </w:rPr>
        <w:t>The proposed study will attempt to address the following research questions:</w:t>
      </w:r>
    </w:p>
    <w:p w14:paraId="5E23416D" w14:textId="224BB1C0" w:rsidR="007C7F53" w:rsidRPr="00246CCF" w:rsidRDefault="007C7F53" w:rsidP="0083495F">
      <w:pPr>
        <w:jc w:val="both"/>
        <w:rPr>
          <w:rFonts w:ascii="Times New Roman" w:hAnsi="Times New Roman" w:cs="Times New Roman"/>
          <w:lang w:val="en-US"/>
        </w:rPr>
      </w:pPr>
      <w:r>
        <w:rPr>
          <w:rFonts w:ascii="Times New Roman" w:hAnsi="Times New Roman" w:cs="Times New Roman"/>
          <w:lang w:val="en-US"/>
        </w:rPr>
        <w:t>RQ1: Is there any statistically significant effect of SBI's dividend policy (DPS) on its wealth creation potential (MPS)?</w:t>
      </w:r>
    </w:p>
    <w:p w14:paraId="0991ECF6" w14:textId="77777777" w:rsidR="007C7F53" w:rsidRPr="00246CCF" w:rsidRDefault="007C7F53" w:rsidP="0083495F">
      <w:pPr>
        <w:jc w:val="both"/>
        <w:rPr>
          <w:rFonts w:ascii="Times New Roman" w:hAnsi="Times New Roman" w:cs="Times New Roman"/>
          <w:lang w:val="en-US"/>
        </w:rPr>
      </w:pPr>
      <w:r>
        <w:rPr>
          <w:rFonts w:ascii="Times New Roman" w:hAnsi="Times New Roman" w:cs="Times New Roman"/>
          <w:lang w:val="en-US"/>
        </w:rPr>
        <w:t>RQ2: What is the extent of the association between DPS and MPS, and how much can be attributed to DPS in the determination of MPS?</w:t>
      </w:r>
    </w:p>
    <w:p w14:paraId="7B4C16DB" w14:textId="3E3C3E3B" w:rsidR="007C7F53" w:rsidRPr="00246CCF" w:rsidRDefault="007C7F53" w:rsidP="0083495F">
      <w:pPr>
        <w:jc w:val="both"/>
        <w:rPr>
          <w:rFonts w:ascii="Times New Roman" w:hAnsi="Times New Roman" w:cs="Times New Roman"/>
          <w:lang w:val="en-US"/>
        </w:rPr>
      </w:pPr>
      <w:r>
        <w:rPr>
          <w:rFonts w:ascii="Times New Roman" w:hAnsi="Times New Roman" w:cs="Times New Roman"/>
          <w:lang w:val="en-US"/>
        </w:rPr>
        <w:t>RQ3: How does the performance of SBI's dividend policies fare against those of other direct public sector banks (BOB, PNB, Union Bank) over FY2021-2025?</w:t>
      </w:r>
    </w:p>
    <w:p w14:paraId="1DBACDC2" w14:textId="03E9878A" w:rsidR="00D91F62" w:rsidRPr="00246CCF" w:rsidRDefault="00D91F62" w:rsidP="0083495F">
      <w:pPr>
        <w:jc w:val="both"/>
        <w:rPr>
          <w:rFonts w:ascii="Times New Roman" w:hAnsi="Times New Roman" w:cs="Times New Roman"/>
          <w:b/>
          <w:bCs/>
          <w:lang w:val="en-US"/>
        </w:rPr>
      </w:pPr>
      <w:r>
        <w:rPr>
          <w:rFonts w:ascii="Times New Roman" w:hAnsi="Times New Roman" w:cs="Times New Roman"/>
          <w:b/>
          <w:bCs/>
          <w:lang w:val="en-US"/>
        </w:rPr>
        <w:t xml:space="preserve"> Objective of the Study</w:t>
      </w:r>
    </w:p>
    <w:p w14:paraId="22745C1A" w14:textId="77777777" w:rsidR="00D91F62" w:rsidRPr="00246CCF" w:rsidRDefault="00D91F62" w:rsidP="0083495F">
      <w:pPr>
        <w:jc w:val="both"/>
        <w:rPr>
          <w:rFonts w:ascii="Times New Roman" w:hAnsi="Times New Roman" w:cs="Times New Roman"/>
          <w:lang w:val="en-US"/>
        </w:rPr>
      </w:pPr>
      <w:r>
        <w:rPr>
          <w:rFonts w:ascii="Times New Roman" w:hAnsi="Times New Roman" w:cs="Times New Roman"/>
          <w:lang w:val="en-US"/>
        </w:rPr>
        <w:t>1. To determine the effect of the dividend policy of SBI on shareholder wealth from the fiscal years 2021 to 2025.</w:t>
      </w:r>
    </w:p>
    <w:p w14:paraId="64FE1601" w14:textId="05130B08" w:rsidR="00D91F62" w:rsidRPr="00246CCF" w:rsidRDefault="00D91F62" w:rsidP="0083495F">
      <w:pPr>
        <w:jc w:val="both"/>
        <w:rPr>
          <w:rFonts w:ascii="Times New Roman" w:hAnsi="Times New Roman" w:cs="Times New Roman"/>
          <w:lang w:val="en-US"/>
        </w:rPr>
      </w:pPr>
      <w:r>
        <w:rPr>
          <w:rFonts w:ascii="Times New Roman" w:hAnsi="Times New Roman" w:cs="Times New Roman"/>
          <w:lang w:val="en-US"/>
        </w:rPr>
        <w:t>2. To determine and analyse the correlation among DPS, EPS, DPR, MPS, ROE, and Dividend Yield using statistical methods of data analysis.</w:t>
      </w:r>
    </w:p>
    <w:p w14:paraId="5F040F8C" w14:textId="02722B15" w:rsidR="00D91F62" w:rsidRPr="00246CCF" w:rsidRDefault="00D91F62" w:rsidP="0083495F">
      <w:pPr>
        <w:jc w:val="both"/>
        <w:rPr>
          <w:rFonts w:ascii="Times New Roman" w:hAnsi="Times New Roman" w:cs="Times New Roman"/>
          <w:lang w:val="en-US"/>
        </w:rPr>
      </w:pPr>
      <w:r>
        <w:rPr>
          <w:rFonts w:ascii="Times New Roman" w:hAnsi="Times New Roman" w:cs="Times New Roman"/>
          <w:lang w:val="en-US"/>
        </w:rPr>
        <w:t>3. To benchmark the dividend performance and share price appreciation of SBI against its peers, BOB, PNB, and Union Bank of India.</w:t>
      </w:r>
    </w:p>
    <w:p w14:paraId="43DF64A0" w14:textId="4FCBE3F5" w:rsidR="009F61EB" w:rsidRPr="00246CCF" w:rsidRDefault="009F61EB" w:rsidP="0083495F">
      <w:pPr>
        <w:jc w:val="both"/>
        <w:rPr>
          <w:rFonts w:ascii="Times New Roman" w:hAnsi="Times New Roman" w:cs="Times New Roman"/>
          <w:b/>
          <w:bCs/>
          <w:lang w:val="en-US"/>
        </w:rPr>
      </w:pPr>
      <w:r>
        <w:rPr>
          <w:rFonts w:ascii="Times New Roman" w:hAnsi="Times New Roman" w:cs="Times New Roman"/>
          <w:b/>
          <w:bCs/>
          <w:lang w:val="en-US"/>
        </w:rPr>
        <w:t>Hypotheses</w:t>
      </w:r>
    </w:p>
    <w:p w14:paraId="6C242F28" w14:textId="77777777" w:rsidR="009F61EB" w:rsidRPr="00246CCF" w:rsidRDefault="009F61EB" w:rsidP="0083495F">
      <w:pPr>
        <w:jc w:val="both"/>
        <w:rPr>
          <w:rFonts w:ascii="Times New Roman" w:hAnsi="Times New Roman" w:cs="Times New Roman"/>
          <w:lang w:val="en-US"/>
        </w:rPr>
      </w:pPr>
      <w:r>
        <w:rPr>
          <w:rFonts w:ascii="Times New Roman" w:hAnsi="Times New Roman" w:cs="Times New Roman"/>
          <w:lang w:val="en-US"/>
        </w:rPr>
        <w:t>H0 (Null Hypothesis): There is no statistically significant relationship between Dividend Policy (DPS) and Shareholders' Wealth (MPS).</w:t>
      </w:r>
    </w:p>
    <w:p w14:paraId="4331F3FD" w14:textId="77777777" w:rsidR="009F61EB" w:rsidRPr="00246CCF" w:rsidRDefault="009F61EB" w:rsidP="0083495F">
      <w:pPr>
        <w:jc w:val="both"/>
        <w:rPr>
          <w:rFonts w:ascii="Times New Roman" w:hAnsi="Times New Roman" w:cs="Times New Roman"/>
          <w:lang w:val="en-US"/>
        </w:rPr>
      </w:pPr>
      <w:r>
        <w:rPr>
          <w:rFonts w:ascii="Times New Roman" w:hAnsi="Times New Roman" w:cs="Times New Roman"/>
          <w:lang w:val="en-US"/>
        </w:rPr>
        <w:t>H1 (Alternate Hypothesis): There is a statistically significant relationship between Dividend Policy (DPS) and Shareholders' Wealth (MPS).</w:t>
      </w:r>
    </w:p>
    <w:p w14:paraId="6E69FE75" w14:textId="77777777" w:rsidR="009F61EB" w:rsidRPr="00246CCF" w:rsidRDefault="009F61EB" w:rsidP="0083495F">
      <w:pPr>
        <w:jc w:val="both"/>
        <w:rPr>
          <w:rFonts w:ascii="Times New Roman" w:hAnsi="Times New Roman" w:cs="Times New Roman"/>
          <w:lang w:val="en-US"/>
        </w:rPr>
      </w:pPr>
    </w:p>
    <w:p w14:paraId="7353CEA1" w14:textId="7C949E61" w:rsidR="009F61EB" w:rsidRPr="00246CCF" w:rsidRDefault="009F61EB" w:rsidP="0083495F">
      <w:pPr>
        <w:jc w:val="both"/>
        <w:rPr>
          <w:rFonts w:ascii="Times New Roman" w:hAnsi="Times New Roman" w:cs="Times New Roman"/>
          <w:b/>
          <w:bCs/>
          <w:lang w:val="en-US"/>
        </w:rPr>
      </w:pPr>
      <w:r>
        <w:rPr>
          <w:rFonts w:ascii="Times New Roman" w:hAnsi="Times New Roman" w:cs="Times New Roman"/>
          <w:b/>
          <w:bCs/>
          <w:lang w:val="en-US"/>
        </w:rPr>
        <w:t xml:space="preserve"> Research Design</w:t>
      </w:r>
    </w:p>
    <w:p w14:paraId="712AE7B4" w14:textId="280752F7" w:rsidR="009F61EB" w:rsidRDefault="009F61EB" w:rsidP="0083495F">
      <w:pPr>
        <w:jc w:val="both"/>
        <w:rPr>
          <w:rFonts w:ascii="Times New Roman" w:hAnsi="Times New Roman" w:cs="Times New Roman"/>
          <w:lang w:val="en-US"/>
        </w:rPr>
      </w:pPr>
      <w:r>
        <w:rPr>
          <w:rFonts w:ascii="Times New Roman" w:hAnsi="Times New Roman" w:cs="Times New Roman"/>
          <w:lang w:val="en-US"/>
        </w:rPr>
        <w:t>This study makes use of the descriptive-analytical approach to research, which is quantitative and non-experimental in nature. This means that secondary financial information will be used to study past relationships between variables. The study will cover five years from FY2021 to FY2025, taking into consideration post-pandemic recovery and current levels of profitability in India’s banking sector.</w:t>
      </w:r>
    </w:p>
    <w:p w14:paraId="426768C2" w14:textId="53B908A1" w:rsidR="00A63CF3" w:rsidRPr="00C3197D" w:rsidRDefault="0035527D" w:rsidP="0083495F">
      <w:pPr>
        <w:jc w:val="both"/>
        <w:rPr>
          <w:rFonts w:ascii="Times New Roman" w:hAnsi="Times New Roman" w:cs="Times New Roman"/>
          <w:b/>
          <w:bCs/>
        </w:rPr>
      </w:pPr>
      <w:r w:rsidRPr="00C3197D">
        <w:rPr>
          <w:rFonts w:ascii="Times New Roman" w:hAnsi="Times New Roman" w:cs="Times New Roman"/>
          <w:b/>
          <w:bCs/>
        </w:rPr>
        <w:t>Limitations of Data and Methodology</w:t>
      </w:r>
    </w:p>
    <w:p w14:paraId="00C1A755" w14:textId="57050372" w:rsidR="00BB7241" w:rsidRPr="00BB7241" w:rsidRDefault="00BB7241" w:rsidP="00BB7241">
      <w:pPr>
        <w:jc w:val="both"/>
        <w:rPr>
          <w:rFonts w:ascii="Times New Roman" w:hAnsi="Times New Roman" w:cs="Times New Roman"/>
          <w:lang w:val="en-US"/>
        </w:rPr>
      </w:pPr>
      <w:r w:rsidRPr="00BB7241">
        <w:rPr>
          <w:rFonts w:ascii="Times New Roman" w:hAnsi="Times New Roman" w:cs="Times New Roman"/>
          <w:lang w:val="en-US"/>
        </w:rPr>
        <w:t xml:space="preserve">The current study attempts to </w:t>
      </w:r>
      <w:r w:rsidR="00C3197D">
        <w:rPr>
          <w:rFonts w:ascii="Times New Roman" w:hAnsi="Times New Roman" w:cs="Times New Roman"/>
          <w:lang w:val="en-US"/>
        </w:rPr>
        <w:t>analyse</w:t>
      </w:r>
      <w:r w:rsidRPr="00BB7241">
        <w:rPr>
          <w:rFonts w:ascii="Times New Roman" w:hAnsi="Times New Roman" w:cs="Times New Roman"/>
          <w:lang w:val="en-US"/>
        </w:rPr>
        <w:t xml:space="preserve"> the influence of dividend policy on shareholder wealth by </w:t>
      </w:r>
      <w:r w:rsidR="00C3197D">
        <w:rPr>
          <w:rFonts w:ascii="Times New Roman" w:hAnsi="Times New Roman" w:cs="Times New Roman"/>
          <w:lang w:val="en-US"/>
        </w:rPr>
        <w:t>analysing</w:t>
      </w:r>
      <w:r w:rsidRPr="00BB7241">
        <w:rPr>
          <w:rFonts w:ascii="Times New Roman" w:hAnsi="Times New Roman" w:cs="Times New Roman"/>
          <w:lang w:val="en-US"/>
        </w:rPr>
        <w:t xml:space="preserve"> the annual data of SBI for FY2021-FY2025. These five fiscal years fall into the post-COVID era and highlight the recent trends of dividend payments and performance of the firm.</w:t>
      </w:r>
    </w:p>
    <w:p w14:paraId="203D2A0B" w14:textId="77777777" w:rsidR="00BB7241" w:rsidRPr="00BB7241" w:rsidRDefault="00BB7241" w:rsidP="00BB7241">
      <w:pPr>
        <w:jc w:val="both"/>
        <w:rPr>
          <w:rFonts w:ascii="Times New Roman" w:hAnsi="Times New Roman" w:cs="Times New Roman"/>
          <w:lang w:val="en-US"/>
        </w:rPr>
      </w:pPr>
    </w:p>
    <w:p w14:paraId="10A27BFD" w14:textId="6B433B8C" w:rsidR="0035527D" w:rsidRDefault="00BB7241" w:rsidP="00BB7241">
      <w:pPr>
        <w:jc w:val="both"/>
        <w:rPr>
          <w:rFonts w:ascii="Times New Roman" w:hAnsi="Times New Roman" w:cs="Times New Roman"/>
          <w:lang w:val="en-US"/>
        </w:rPr>
      </w:pPr>
      <w:r w:rsidRPr="00BB7241">
        <w:rPr>
          <w:rFonts w:ascii="Times New Roman" w:hAnsi="Times New Roman" w:cs="Times New Roman"/>
          <w:lang w:val="en-US"/>
        </w:rPr>
        <w:t xml:space="preserve">Nevertheless, some limitations apply to this study. One of these limitations is that this study is based on just five annual observations, making the sample size small. Hence, when applying statistical methods such as correlation and regression analysis to such a small set of observations, these results need to be </w:t>
      </w:r>
      <w:r w:rsidR="00C3197D">
        <w:rPr>
          <w:rFonts w:ascii="Times New Roman" w:hAnsi="Times New Roman" w:cs="Times New Roman"/>
          <w:lang w:val="en-US"/>
        </w:rPr>
        <w:t>analysed</w:t>
      </w:r>
      <w:r w:rsidRPr="00BB7241">
        <w:rPr>
          <w:rFonts w:ascii="Times New Roman" w:hAnsi="Times New Roman" w:cs="Times New Roman"/>
          <w:lang w:val="en-US"/>
        </w:rPr>
        <w:t xml:space="preserve"> carefully.</w:t>
      </w:r>
    </w:p>
    <w:p w14:paraId="4F51D57C" w14:textId="77777777" w:rsidR="00C3197D" w:rsidRPr="00C3197D" w:rsidRDefault="00C3197D" w:rsidP="00C3197D">
      <w:pPr>
        <w:jc w:val="both"/>
        <w:rPr>
          <w:rFonts w:ascii="Times New Roman" w:hAnsi="Times New Roman" w:cs="Times New Roman"/>
          <w:lang w:val="en-US"/>
        </w:rPr>
      </w:pPr>
      <w:r w:rsidRPr="00C3197D">
        <w:rPr>
          <w:rFonts w:ascii="Times New Roman" w:hAnsi="Times New Roman" w:cs="Times New Roman"/>
          <w:lang w:val="en-US"/>
        </w:rPr>
        <w:t>Secondly, the research methodology applied by the researchers uses a limited analytical approach that concentrates mainly on the factors affecting dividends. There are many other firm-level and economic factors that affect shareholder value but have been left out from the model used by the researchers.</w:t>
      </w:r>
    </w:p>
    <w:p w14:paraId="1177E192" w14:textId="77777777" w:rsidR="00C3197D" w:rsidRPr="00C3197D" w:rsidRDefault="00C3197D" w:rsidP="00C3197D">
      <w:pPr>
        <w:jc w:val="both"/>
        <w:rPr>
          <w:rFonts w:ascii="Times New Roman" w:hAnsi="Times New Roman" w:cs="Times New Roman"/>
          <w:lang w:val="en-US"/>
        </w:rPr>
      </w:pPr>
    </w:p>
    <w:p w14:paraId="17A63DE3" w14:textId="43307CB4" w:rsidR="00C3197D" w:rsidRPr="00246CCF" w:rsidRDefault="00C3197D" w:rsidP="00C3197D">
      <w:pPr>
        <w:jc w:val="both"/>
        <w:rPr>
          <w:rFonts w:ascii="Times New Roman" w:hAnsi="Times New Roman" w:cs="Times New Roman"/>
          <w:lang w:val="en-US"/>
        </w:rPr>
      </w:pPr>
      <w:r w:rsidRPr="00C3197D">
        <w:rPr>
          <w:rFonts w:ascii="Times New Roman" w:hAnsi="Times New Roman" w:cs="Times New Roman"/>
          <w:lang w:val="en-US"/>
        </w:rPr>
        <w:t>Thirdly, the results of the study suggest that there are linkages between the chosen factors during the period of analysis</w:t>
      </w:r>
      <w:r>
        <w:rPr>
          <w:rFonts w:ascii="Times New Roman" w:hAnsi="Times New Roman" w:cs="Times New Roman"/>
          <w:lang w:val="en-US"/>
        </w:rPr>
        <w:t>,</w:t>
      </w:r>
      <w:r w:rsidRPr="00C3197D">
        <w:rPr>
          <w:rFonts w:ascii="Times New Roman" w:hAnsi="Times New Roman" w:cs="Times New Roman"/>
          <w:lang w:val="en-US"/>
        </w:rPr>
        <w:t xml:space="preserve"> but cannot be taken to represent any causal relationships. However, in spite of the limitations mentioned above, the study contributes positively to the area of inquiry.</w:t>
      </w:r>
    </w:p>
    <w:p w14:paraId="44C010A9" w14:textId="319BBB75" w:rsidR="009F61EB" w:rsidRPr="00246CCF" w:rsidRDefault="009F61EB" w:rsidP="0083495F">
      <w:pPr>
        <w:jc w:val="both"/>
        <w:rPr>
          <w:rFonts w:ascii="Times New Roman" w:hAnsi="Times New Roman" w:cs="Times New Roman"/>
          <w:b/>
          <w:bCs/>
          <w:lang w:val="en-US"/>
        </w:rPr>
      </w:pPr>
      <w:r>
        <w:rPr>
          <w:rFonts w:ascii="Times New Roman" w:hAnsi="Times New Roman" w:cs="Times New Roman"/>
          <w:b/>
          <w:bCs/>
          <w:lang w:val="en-US"/>
        </w:rPr>
        <w:t>Data Sources</w:t>
      </w:r>
    </w:p>
    <w:p w14:paraId="1D49B21D" w14:textId="62DF1B8E" w:rsidR="009F61EB" w:rsidRPr="00246CCF" w:rsidRDefault="009F61EB" w:rsidP="0083495F">
      <w:pPr>
        <w:jc w:val="both"/>
        <w:rPr>
          <w:rFonts w:ascii="Times New Roman" w:hAnsi="Times New Roman" w:cs="Times New Roman"/>
          <w:lang w:val="en-US"/>
        </w:rPr>
      </w:pPr>
      <w:r>
        <w:rPr>
          <w:rFonts w:ascii="Times New Roman" w:hAnsi="Times New Roman" w:cs="Times New Roman"/>
          <w:lang w:val="en-US"/>
        </w:rPr>
        <w:t>The study will utilize only secondary data, which will be sourced from the following places: (i) Annual Reports of SBI (FY2021-FY2025) for data related to DPS, EPS, Net Profit, and DPR;</w:t>
      </w:r>
      <w:r w:rsidR="00FA5C97">
        <w:rPr>
          <w:rFonts w:ascii="Times New Roman" w:hAnsi="Times New Roman" w:cs="Times New Roman"/>
          <w:lang w:val="en-US"/>
        </w:rPr>
        <w:t>(State Bank of India,2025)</w:t>
      </w:r>
      <w:r>
        <w:rPr>
          <w:rFonts w:ascii="Times New Roman" w:hAnsi="Times New Roman" w:cs="Times New Roman"/>
          <w:lang w:val="en-US"/>
        </w:rPr>
        <w:t xml:space="preserve"> (ii) NSE records for historical stock prices (MPS) and comparative performance of peer banks;</w:t>
      </w:r>
      <w:r w:rsidR="00FA5C97">
        <w:rPr>
          <w:rFonts w:ascii="Times New Roman" w:hAnsi="Times New Roman" w:cs="Times New Roman"/>
          <w:lang w:val="en-US"/>
        </w:rPr>
        <w:t>(National Stock Exchange of India,2025)</w:t>
      </w:r>
      <w:r>
        <w:rPr>
          <w:rFonts w:ascii="Times New Roman" w:hAnsi="Times New Roman" w:cs="Times New Roman"/>
          <w:lang w:val="en-US"/>
        </w:rPr>
        <w:t xml:space="preserve"> (iii) Moneycontrol and other financial resources for financial ratio calculations</w:t>
      </w:r>
      <w:r w:rsidR="00FA5C97">
        <w:rPr>
          <w:rFonts w:ascii="Times New Roman" w:hAnsi="Times New Roman" w:cs="Times New Roman"/>
          <w:lang w:val="en-US"/>
        </w:rPr>
        <w:t>(Money Control,2025)</w:t>
      </w:r>
      <w:r>
        <w:rPr>
          <w:rFonts w:ascii="Times New Roman" w:hAnsi="Times New Roman" w:cs="Times New Roman"/>
          <w:lang w:val="en-US"/>
        </w:rPr>
        <w:t>; and (iv) academic journals and published studies for theory support.</w:t>
      </w:r>
    </w:p>
    <w:p w14:paraId="35C0B1C2" w14:textId="787DA560" w:rsidR="00BA0738" w:rsidRPr="00246CCF" w:rsidRDefault="00BA0738" w:rsidP="0083495F">
      <w:pPr>
        <w:jc w:val="both"/>
        <w:rPr>
          <w:rFonts w:ascii="Times New Roman" w:hAnsi="Times New Roman" w:cs="Times New Roman"/>
          <w:b/>
          <w:bCs/>
          <w:lang w:val="en-US"/>
        </w:rPr>
      </w:pPr>
      <w:r>
        <w:rPr>
          <w:rFonts w:ascii="Times New Roman" w:hAnsi="Times New Roman" w:cs="Times New Roman"/>
          <w:b/>
          <w:bCs/>
          <w:lang w:val="en-US"/>
        </w:rPr>
        <w:t xml:space="preserve"> Statistical Tools Used</w:t>
      </w:r>
    </w:p>
    <w:p w14:paraId="3C701F77" w14:textId="77777777" w:rsidR="00BA0738" w:rsidRPr="00246CCF" w:rsidRDefault="00BA0738" w:rsidP="0083495F">
      <w:pPr>
        <w:jc w:val="both"/>
        <w:rPr>
          <w:rFonts w:ascii="Times New Roman" w:hAnsi="Times New Roman" w:cs="Times New Roman"/>
          <w:lang w:val="en-US"/>
        </w:rPr>
      </w:pPr>
      <w:r>
        <w:rPr>
          <w:rFonts w:ascii="Times New Roman" w:hAnsi="Times New Roman" w:cs="Times New Roman"/>
          <w:lang w:val="en-US"/>
        </w:rPr>
        <w:t>The following statistical tools were used through SPSS (Statistical Package for the Social Sciences):</w:t>
      </w:r>
    </w:p>
    <w:p w14:paraId="3473F6B7" w14:textId="77777777" w:rsidR="00BA0738" w:rsidRPr="00246CCF" w:rsidRDefault="00BA0738" w:rsidP="0083495F">
      <w:pPr>
        <w:jc w:val="both"/>
        <w:rPr>
          <w:rFonts w:ascii="Times New Roman" w:hAnsi="Times New Roman" w:cs="Times New Roman"/>
          <w:lang w:val="en-US"/>
        </w:rPr>
      </w:pPr>
      <w:r>
        <w:rPr>
          <w:rFonts w:ascii="Times New Roman" w:hAnsi="Times New Roman" w:cs="Times New Roman"/>
          <w:lang w:val="en-US"/>
        </w:rPr>
        <w:t>i. Descriptive Statistics: This included the use of mean, standard deviation, skewness, and kurtosis to determine the distribution characteristics of each variable.</w:t>
      </w:r>
    </w:p>
    <w:p w14:paraId="5FCCA631" w14:textId="77777777" w:rsidR="00BA0738" w:rsidRPr="00246CCF" w:rsidRDefault="00BA0738" w:rsidP="0083495F">
      <w:pPr>
        <w:jc w:val="both"/>
        <w:rPr>
          <w:rFonts w:ascii="Times New Roman" w:hAnsi="Times New Roman" w:cs="Times New Roman"/>
          <w:lang w:val="en-US"/>
        </w:rPr>
      </w:pPr>
      <w:r>
        <w:rPr>
          <w:rFonts w:ascii="Times New Roman" w:hAnsi="Times New Roman" w:cs="Times New Roman"/>
          <w:lang w:val="en-US"/>
        </w:rPr>
        <w:t>ii. Pearson Correlation Analysis: Used to find out the direction and strength of the linear association between all pairs of research variables.</w:t>
      </w:r>
    </w:p>
    <w:p w14:paraId="49108C3A" w14:textId="77777777" w:rsidR="00BA0738" w:rsidRPr="00246CCF" w:rsidRDefault="00BA0738" w:rsidP="0083495F">
      <w:pPr>
        <w:jc w:val="both"/>
        <w:rPr>
          <w:rFonts w:ascii="Times New Roman" w:hAnsi="Times New Roman" w:cs="Times New Roman"/>
          <w:lang w:val="en-US"/>
        </w:rPr>
      </w:pPr>
      <w:r>
        <w:rPr>
          <w:rFonts w:ascii="Times New Roman" w:hAnsi="Times New Roman" w:cs="Times New Roman"/>
          <w:lang w:val="en-US"/>
        </w:rPr>
        <w:t>iii. Linear Regression Analysis: Used to measure the predictive relationship between DPS (independent variable) and MPS (dependent variable) by finding R² and regression coefficient.</w:t>
      </w:r>
    </w:p>
    <w:p w14:paraId="083DC690" w14:textId="1AE07287" w:rsidR="00BA0738" w:rsidRPr="00246CCF" w:rsidRDefault="00BA0738" w:rsidP="0083495F">
      <w:pPr>
        <w:jc w:val="both"/>
        <w:rPr>
          <w:rFonts w:ascii="Times New Roman" w:hAnsi="Times New Roman" w:cs="Times New Roman"/>
          <w:lang w:val="en-US"/>
        </w:rPr>
      </w:pPr>
      <w:r>
        <w:rPr>
          <w:rFonts w:ascii="Times New Roman" w:hAnsi="Times New Roman" w:cs="Times New Roman"/>
          <w:lang w:val="en-US"/>
        </w:rPr>
        <w:t>iv. Trend Analysis &amp; Peer Benchmarking: Used to evaluate trends in DPS and MPS and comparing SBI's performance with other peers, namely BOB, PNB, and Union Bank.</w:t>
      </w:r>
    </w:p>
    <w:p w14:paraId="653A8185" w14:textId="197EE023" w:rsidR="000C20AC" w:rsidRPr="00CD66E1" w:rsidRDefault="000C20AC" w:rsidP="0083495F">
      <w:pPr>
        <w:spacing w:before="240" w:after="120"/>
        <w:jc w:val="both"/>
        <w:rPr>
          <w:rFonts w:ascii="Times New Roman" w:hAnsi="Times New Roman" w:cs="Times New Roman"/>
          <w:sz w:val="28"/>
          <w:szCs w:val="28"/>
        </w:rPr>
      </w:pPr>
      <w:r>
        <w:rPr>
          <w:rFonts w:ascii="Times New Roman" w:hAnsi="Times New Roman" w:cs="Times New Roman"/>
          <w:b/>
          <w:bCs/>
          <w:sz w:val="28"/>
          <w:szCs w:val="28"/>
        </w:rPr>
        <w:t xml:space="preserve"> DATA ANALYSIS AND INTERPRETATION</w:t>
      </w:r>
    </w:p>
    <w:p w14:paraId="12E21898" w14:textId="028B22B6" w:rsidR="00D63EDD" w:rsidRPr="00246CCF" w:rsidRDefault="00D63EDD" w:rsidP="00D63EDD">
      <w:pPr>
        <w:spacing w:before="180" w:after="80"/>
        <w:rPr>
          <w:rFonts w:ascii="Times New Roman" w:hAnsi="Times New Roman" w:cs="Times New Roman"/>
        </w:rPr>
      </w:pPr>
      <w:r>
        <w:rPr>
          <w:rFonts w:ascii="Times New Roman" w:hAnsi="Times New Roman" w:cs="Times New Roman"/>
          <w:b/>
          <w:bCs/>
        </w:rPr>
        <w:t>Dividend Analysis of SBI (FY2021–FY2025)</w:t>
      </w:r>
    </w:p>
    <w:p w14:paraId="06D64834" w14:textId="77777777" w:rsidR="00D63EDD" w:rsidRPr="00246CCF" w:rsidRDefault="00D63EDD" w:rsidP="00D63EDD">
      <w:pPr>
        <w:spacing w:before="80" w:after="80" w:line="360" w:lineRule="auto"/>
        <w:ind w:firstLine="720"/>
        <w:jc w:val="both"/>
        <w:rPr>
          <w:rFonts w:ascii="Times New Roman" w:hAnsi="Times New Roman" w:cs="Times New Roman"/>
        </w:rPr>
      </w:pPr>
      <w:r>
        <w:rPr>
          <w:rFonts w:ascii="Times New Roman" w:hAnsi="Times New Roman" w:cs="Times New Roman"/>
        </w:rPr>
        <w:t>Table 4.1 presents the core dividend and financial data for SBI over the five-year study period.</w:t>
      </w:r>
    </w:p>
    <w:tbl>
      <w:tblPr>
        <w:tblW w:w="9087" w:type="dxa"/>
        <w:tblLook w:val="04A0" w:firstRow="1" w:lastRow="0" w:firstColumn="1" w:lastColumn="0" w:noHBand="0" w:noVBand="1"/>
      </w:tblPr>
      <w:tblGrid>
        <w:gridCol w:w="897"/>
        <w:gridCol w:w="1369"/>
        <w:gridCol w:w="853"/>
        <w:gridCol w:w="1617"/>
        <w:gridCol w:w="853"/>
        <w:gridCol w:w="1296"/>
        <w:gridCol w:w="2364"/>
      </w:tblGrid>
      <w:tr w:rsidR="001B2491" w:rsidRPr="00246CCF" w14:paraId="60A2F4CC" w14:textId="77777777" w:rsidTr="009F794B">
        <w:trPr>
          <w:trHeight w:val="342"/>
        </w:trPr>
        <w:tc>
          <w:tcPr>
            <w:tcW w:w="831" w:type="dxa"/>
            <w:tcBorders>
              <w:top w:val="single" w:sz="4" w:space="0" w:color="auto"/>
              <w:left w:val="single" w:sz="4" w:space="0" w:color="auto"/>
              <w:bottom w:val="single" w:sz="4" w:space="0" w:color="auto"/>
              <w:right w:val="single" w:sz="4" w:space="0" w:color="auto"/>
            </w:tcBorders>
            <w:noWrap/>
            <w:vAlign w:val="bottom"/>
            <w:hideMark/>
          </w:tcPr>
          <w:p w14:paraId="702A0E78"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YEAR</w:t>
            </w:r>
          </w:p>
        </w:tc>
        <w:tc>
          <w:tcPr>
            <w:tcW w:w="1369" w:type="dxa"/>
            <w:tcBorders>
              <w:top w:val="single" w:sz="4" w:space="0" w:color="auto"/>
              <w:left w:val="nil"/>
              <w:bottom w:val="single" w:sz="4" w:space="0" w:color="auto"/>
              <w:right w:val="single" w:sz="4" w:space="0" w:color="auto"/>
            </w:tcBorders>
            <w:noWrap/>
            <w:vAlign w:val="bottom"/>
            <w:hideMark/>
          </w:tcPr>
          <w:p w14:paraId="187A03B6"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NET  PROFIT</w:t>
            </w:r>
          </w:p>
        </w:tc>
        <w:tc>
          <w:tcPr>
            <w:tcW w:w="853" w:type="dxa"/>
            <w:tcBorders>
              <w:top w:val="single" w:sz="4" w:space="0" w:color="auto"/>
              <w:left w:val="nil"/>
              <w:bottom w:val="single" w:sz="4" w:space="0" w:color="auto"/>
              <w:right w:val="single" w:sz="4" w:space="0" w:color="auto"/>
            </w:tcBorders>
            <w:noWrap/>
            <w:vAlign w:val="bottom"/>
            <w:hideMark/>
          </w:tcPr>
          <w:p w14:paraId="1BED292C"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EPS</w:t>
            </w:r>
          </w:p>
        </w:tc>
        <w:tc>
          <w:tcPr>
            <w:tcW w:w="1617" w:type="dxa"/>
            <w:tcBorders>
              <w:top w:val="single" w:sz="4" w:space="0" w:color="auto"/>
              <w:left w:val="nil"/>
              <w:bottom w:val="single" w:sz="4" w:space="0" w:color="auto"/>
              <w:right w:val="single" w:sz="4" w:space="0" w:color="auto"/>
            </w:tcBorders>
            <w:noWrap/>
            <w:vAlign w:val="bottom"/>
            <w:hideMark/>
          </w:tcPr>
          <w:p w14:paraId="74513E78"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TOTAL ASSETS</w:t>
            </w:r>
          </w:p>
        </w:tc>
        <w:tc>
          <w:tcPr>
            <w:tcW w:w="853" w:type="dxa"/>
            <w:tcBorders>
              <w:top w:val="single" w:sz="4" w:space="0" w:color="auto"/>
              <w:left w:val="nil"/>
              <w:bottom w:val="single" w:sz="4" w:space="0" w:color="auto"/>
              <w:right w:val="single" w:sz="4" w:space="0" w:color="auto"/>
            </w:tcBorders>
            <w:noWrap/>
            <w:vAlign w:val="bottom"/>
            <w:hideMark/>
          </w:tcPr>
          <w:p w14:paraId="6BD6785A"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DPS</w:t>
            </w:r>
          </w:p>
        </w:tc>
        <w:tc>
          <w:tcPr>
            <w:tcW w:w="1200" w:type="dxa"/>
            <w:tcBorders>
              <w:top w:val="single" w:sz="4" w:space="0" w:color="auto"/>
              <w:left w:val="nil"/>
              <w:bottom w:val="single" w:sz="4" w:space="0" w:color="auto"/>
              <w:right w:val="single" w:sz="4" w:space="0" w:color="auto"/>
            </w:tcBorders>
            <w:noWrap/>
            <w:vAlign w:val="bottom"/>
            <w:hideMark/>
          </w:tcPr>
          <w:p w14:paraId="1DD41127"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MPS(Avg)</w:t>
            </w:r>
          </w:p>
        </w:tc>
        <w:tc>
          <w:tcPr>
            <w:tcW w:w="2364" w:type="dxa"/>
            <w:tcBorders>
              <w:top w:val="single" w:sz="4" w:space="0" w:color="auto"/>
              <w:left w:val="nil"/>
              <w:bottom w:val="single" w:sz="4" w:space="0" w:color="auto"/>
              <w:right w:val="single" w:sz="4" w:space="0" w:color="auto"/>
            </w:tcBorders>
            <w:noWrap/>
            <w:vAlign w:val="bottom"/>
            <w:hideMark/>
          </w:tcPr>
          <w:p w14:paraId="6BA2D3C4" w14:textId="77777777" w:rsidR="001B2491" w:rsidRPr="00246CCF" w:rsidRDefault="001B2491" w:rsidP="009F794B">
            <w:pPr>
              <w:spacing w:after="0" w:line="360" w:lineRule="auto"/>
              <w:jc w:val="center"/>
              <w:rPr>
                <w:rFonts w:ascii="Times New Roman" w:eastAsia="Times New Roman" w:hAnsi="Times New Roman" w:cs="Times New Roman"/>
                <w:b/>
                <w:bCs/>
                <w:color w:val="000000"/>
                <w:kern w:val="0"/>
                <w:lang w:eastAsia="en-IN"/>
                <w14:ligatures w14:val="none"/>
              </w:rPr>
            </w:pPr>
            <w:r>
              <w:rPr>
                <w:rFonts w:ascii="Times New Roman" w:eastAsia="Times New Roman" w:hAnsi="Times New Roman" w:cs="Times New Roman"/>
                <w:b/>
                <w:bCs/>
                <w:color w:val="000000"/>
                <w:kern w:val="0"/>
                <w:lang w:eastAsia="en-IN"/>
                <w14:ligatures w14:val="none"/>
              </w:rPr>
              <w:t>DIVIDEND YIELD</w:t>
            </w:r>
          </w:p>
        </w:tc>
      </w:tr>
      <w:tr w:rsidR="001B2491" w:rsidRPr="00246CCF" w14:paraId="36DA9957"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669613D8"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2021</w:t>
            </w:r>
          </w:p>
        </w:tc>
        <w:tc>
          <w:tcPr>
            <w:tcW w:w="1369" w:type="dxa"/>
            <w:tcBorders>
              <w:top w:val="nil"/>
              <w:left w:val="nil"/>
              <w:bottom w:val="single" w:sz="4" w:space="0" w:color="auto"/>
              <w:right w:val="single" w:sz="4" w:space="0" w:color="auto"/>
            </w:tcBorders>
            <w:noWrap/>
            <w:vAlign w:val="bottom"/>
            <w:hideMark/>
          </w:tcPr>
          <w:p w14:paraId="2684283A"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20410.47</w:t>
            </w:r>
          </w:p>
        </w:tc>
        <w:tc>
          <w:tcPr>
            <w:tcW w:w="853" w:type="dxa"/>
            <w:tcBorders>
              <w:top w:val="nil"/>
              <w:left w:val="nil"/>
              <w:bottom w:val="single" w:sz="4" w:space="0" w:color="auto"/>
              <w:right w:val="single" w:sz="4" w:space="0" w:color="auto"/>
            </w:tcBorders>
            <w:noWrap/>
            <w:vAlign w:val="bottom"/>
            <w:hideMark/>
          </w:tcPr>
          <w:p w14:paraId="3707FBFB"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22.87</w:t>
            </w:r>
          </w:p>
        </w:tc>
        <w:tc>
          <w:tcPr>
            <w:tcW w:w="1617" w:type="dxa"/>
            <w:tcBorders>
              <w:top w:val="nil"/>
              <w:left w:val="nil"/>
              <w:bottom w:val="single" w:sz="4" w:space="0" w:color="auto"/>
              <w:right w:val="single" w:sz="4" w:space="0" w:color="auto"/>
            </w:tcBorders>
            <w:noWrap/>
            <w:vAlign w:val="bottom"/>
            <w:hideMark/>
          </w:tcPr>
          <w:p w14:paraId="485AADE4"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4845618</w:t>
            </w:r>
          </w:p>
        </w:tc>
        <w:tc>
          <w:tcPr>
            <w:tcW w:w="853" w:type="dxa"/>
            <w:tcBorders>
              <w:top w:val="nil"/>
              <w:left w:val="nil"/>
              <w:bottom w:val="single" w:sz="4" w:space="0" w:color="auto"/>
              <w:right w:val="single" w:sz="4" w:space="0" w:color="auto"/>
            </w:tcBorders>
            <w:noWrap/>
            <w:vAlign w:val="bottom"/>
            <w:hideMark/>
          </w:tcPr>
          <w:p w14:paraId="59CDD845"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w:t>
            </w:r>
          </w:p>
        </w:tc>
        <w:tc>
          <w:tcPr>
            <w:tcW w:w="1200" w:type="dxa"/>
            <w:tcBorders>
              <w:top w:val="nil"/>
              <w:left w:val="nil"/>
              <w:bottom w:val="single" w:sz="4" w:space="0" w:color="auto"/>
              <w:right w:val="single" w:sz="4" w:space="0" w:color="auto"/>
            </w:tcBorders>
            <w:noWrap/>
            <w:vAlign w:val="bottom"/>
            <w:hideMark/>
          </w:tcPr>
          <w:p w14:paraId="48EEC41B"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451.369</w:t>
            </w:r>
          </w:p>
        </w:tc>
        <w:tc>
          <w:tcPr>
            <w:tcW w:w="2364" w:type="dxa"/>
            <w:tcBorders>
              <w:top w:val="nil"/>
              <w:left w:val="nil"/>
              <w:bottom w:val="single" w:sz="4" w:space="0" w:color="auto"/>
              <w:right w:val="single" w:sz="4" w:space="0" w:color="auto"/>
            </w:tcBorders>
            <w:noWrap/>
            <w:vAlign w:val="bottom"/>
            <w:hideMark/>
          </w:tcPr>
          <w:p w14:paraId="0AE60F03"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0.88%</w:t>
            </w:r>
          </w:p>
        </w:tc>
      </w:tr>
      <w:tr w:rsidR="001B2491" w:rsidRPr="00246CCF" w14:paraId="1936850A"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7B3981BB"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2022</w:t>
            </w:r>
          </w:p>
        </w:tc>
        <w:tc>
          <w:tcPr>
            <w:tcW w:w="1369" w:type="dxa"/>
            <w:tcBorders>
              <w:top w:val="nil"/>
              <w:left w:val="nil"/>
              <w:bottom w:val="single" w:sz="4" w:space="0" w:color="auto"/>
              <w:right w:val="single" w:sz="4" w:space="0" w:color="auto"/>
            </w:tcBorders>
            <w:noWrap/>
            <w:vAlign w:val="bottom"/>
            <w:hideMark/>
          </w:tcPr>
          <w:p w14:paraId="6832EF0C"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31675.98</w:t>
            </w:r>
          </w:p>
        </w:tc>
        <w:tc>
          <w:tcPr>
            <w:tcW w:w="853" w:type="dxa"/>
            <w:tcBorders>
              <w:top w:val="nil"/>
              <w:left w:val="nil"/>
              <w:bottom w:val="single" w:sz="4" w:space="0" w:color="auto"/>
              <w:right w:val="single" w:sz="4" w:space="0" w:color="auto"/>
            </w:tcBorders>
            <w:noWrap/>
            <w:vAlign w:val="bottom"/>
            <w:hideMark/>
          </w:tcPr>
          <w:p w14:paraId="050992FA"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35.49</w:t>
            </w:r>
          </w:p>
        </w:tc>
        <w:tc>
          <w:tcPr>
            <w:tcW w:w="1617" w:type="dxa"/>
            <w:tcBorders>
              <w:top w:val="nil"/>
              <w:left w:val="nil"/>
              <w:bottom w:val="single" w:sz="4" w:space="0" w:color="auto"/>
              <w:right w:val="single" w:sz="4" w:space="0" w:color="auto"/>
            </w:tcBorders>
            <w:noWrap/>
            <w:vAlign w:val="bottom"/>
            <w:hideMark/>
          </w:tcPr>
          <w:p w14:paraId="5B583EB6"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5360883</w:t>
            </w:r>
          </w:p>
        </w:tc>
        <w:tc>
          <w:tcPr>
            <w:tcW w:w="853" w:type="dxa"/>
            <w:tcBorders>
              <w:top w:val="nil"/>
              <w:left w:val="nil"/>
              <w:bottom w:val="single" w:sz="4" w:space="0" w:color="auto"/>
              <w:right w:val="single" w:sz="4" w:space="0" w:color="auto"/>
            </w:tcBorders>
            <w:noWrap/>
            <w:vAlign w:val="bottom"/>
            <w:hideMark/>
          </w:tcPr>
          <w:p w14:paraId="636AA74E"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7.1</w:t>
            </w:r>
          </w:p>
        </w:tc>
        <w:tc>
          <w:tcPr>
            <w:tcW w:w="1200" w:type="dxa"/>
            <w:tcBorders>
              <w:top w:val="nil"/>
              <w:left w:val="nil"/>
              <w:bottom w:val="single" w:sz="4" w:space="0" w:color="auto"/>
              <w:right w:val="single" w:sz="4" w:space="0" w:color="auto"/>
            </w:tcBorders>
            <w:noWrap/>
            <w:vAlign w:val="bottom"/>
            <w:hideMark/>
          </w:tcPr>
          <w:p w14:paraId="0DA1375A"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534.741</w:t>
            </w:r>
          </w:p>
        </w:tc>
        <w:tc>
          <w:tcPr>
            <w:tcW w:w="2364" w:type="dxa"/>
            <w:tcBorders>
              <w:top w:val="nil"/>
              <w:left w:val="nil"/>
              <w:bottom w:val="single" w:sz="4" w:space="0" w:color="auto"/>
              <w:right w:val="single" w:sz="4" w:space="0" w:color="auto"/>
            </w:tcBorders>
            <w:noWrap/>
            <w:vAlign w:val="bottom"/>
            <w:hideMark/>
          </w:tcPr>
          <w:p w14:paraId="7CD52D44"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1.32%</w:t>
            </w:r>
          </w:p>
        </w:tc>
      </w:tr>
      <w:tr w:rsidR="001B2491" w:rsidRPr="00246CCF" w14:paraId="60FA1537"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5B9A8382"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2023</w:t>
            </w:r>
          </w:p>
        </w:tc>
        <w:tc>
          <w:tcPr>
            <w:tcW w:w="1369" w:type="dxa"/>
            <w:tcBorders>
              <w:top w:val="nil"/>
              <w:left w:val="nil"/>
              <w:bottom w:val="single" w:sz="4" w:space="0" w:color="auto"/>
              <w:right w:val="single" w:sz="4" w:space="0" w:color="auto"/>
            </w:tcBorders>
            <w:noWrap/>
            <w:vAlign w:val="bottom"/>
            <w:hideMark/>
          </w:tcPr>
          <w:p w14:paraId="51B3F8E1"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50232.45</w:t>
            </w:r>
          </w:p>
        </w:tc>
        <w:tc>
          <w:tcPr>
            <w:tcW w:w="853" w:type="dxa"/>
            <w:tcBorders>
              <w:top w:val="nil"/>
              <w:left w:val="nil"/>
              <w:bottom w:val="single" w:sz="4" w:space="0" w:color="auto"/>
              <w:right w:val="single" w:sz="4" w:space="0" w:color="auto"/>
            </w:tcBorders>
            <w:noWrap/>
            <w:vAlign w:val="bottom"/>
            <w:hideMark/>
          </w:tcPr>
          <w:p w14:paraId="005FA3BD"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56.29</w:t>
            </w:r>
          </w:p>
        </w:tc>
        <w:tc>
          <w:tcPr>
            <w:tcW w:w="1617" w:type="dxa"/>
            <w:tcBorders>
              <w:top w:val="nil"/>
              <w:left w:val="nil"/>
              <w:bottom w:val="single" w:sz="4" w:space="0" w:color="auto"/>
              <w:right w:val="single" w:sz="4" w:space="0" w:color="auto"/>
            </w:tcBorders>
            <w:noWrap/>
            <w:vAlign w:val="bottom"/>
            <w:hideMark/>
          </w:tcPr>
          <w:p w14:paraId="70192E86"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5954418</w:t>
            </w:r>
          </w:p>
        </w:tc>
        <w:tc>
          <w:tcPr>
            <w:tcW w:w="853" w:type="dxa"/>
            <w:tcBorders>
              <w:top w:val="nil"/>
              <w:left w:val="nil"/>
              <w:bottom w:val="single" w:sz="4" w:space="0" w:color="auto"/>
              <w:right w:val="single" w:sz="4" w:space="0" w:color="auto"/>
            </w:tcBorders>
            <w:noWrap/>
            <w:vAlign w:val="bottom"/>
            <w:hideMark/>
          </w:tcPr>
          <w:p w14:paraId="111AB29C"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11.3</w:t>
            </w:r>
          </w:p>
        </w:tc>
        <w:tc>
          <w:tcPr>
            <w:tcW w:w="1200" w:type="dxa"/>
            <w:tcBorders>
              <w:top w:val="nil"/>
              <w:left w:val="nil"/>
              <w:bottom w:val="single" w:sz="4" w:space="0" w:color="auto"/>
              <w:right w:val="single" w:sz="4" w:space="0" w:color="auto"/>
            </w:tcBorders>
            <w:noWrap/>
            <w:vAlign w:val="bottom"/>
            <w:hideMark/>
          </w:tcPr>
          <w:p w14:paraId="4842CA23"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611.839</w:t>
            </w:r>
          </w:p>
        </w:tc>
        <w:tc>
          <w:tcPr>
            <w:tcW w:w="2364" w:type="dxa"/>
            <w:tcBorders>
              <w:top w:val="nil"/>
              <w:left w:val="nil"/>
              <w:bottom w:val="single" w:sz="4" w:space="0" w:color="auto"/>
              <w:right w:val="single" w:sz="4" w:space="0" w:color="auto"/>
            </w:tcBorders>
            <w:noWrap/>
            <w:vAlign w:val="bottom"/>
            <w:hideMark/>
          </w:tcPr>
          <w:p w14:paraId="455174C9"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1.84%</w:t>
            </w:r>
          </w:p>
        </w:tc>
      </w:tr>
      <w:tr w:rsidR="001B2491" w:rsidRPr="00246CCF" w14:paraId="21D5A834"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750CC2C8"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2024</w:t>
            </w:r>
          </w:p>
        </w:tc>
        <w:tc>
          <w:tcPr>
            <w:tcW w:w="1369" w:type="dxa"/>
            <w:tcBorders>
              <w:top w:val="nil"/>
              <w:left w:val="nil"/>
              <w:bottom w:val="single" w:sz="4" w:space="0" w:color="auto"/>
              <w:right w:val="single" w:sz="4" w:space="0" w:color="auto"/>
            </w:tcBorders>
            <w:noWrap/>
            <w:vAlign w:val="bottom"/>
            <w:hideMark/>
          </w:tcPr>
          <w:p w14:paraId="059970C4"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61076.62</w:t>
            </w:r>
          </w:p>
        </w:tc>
        <w:tc>
          <w:tcPr>
            <w:tcW w:w="853" w:type="dxa"/>
            <w:tcBorders>
              <w:top w:val="nil"/>
              <w:left w:val="nil"/>
              <w:bottom w:val="single" w:sz="4" w:space="0" w:color="auto"/>
              <w:right w:val="single" w:sz="4" w:space="0" w:color="auto"/>
            </w:tcBorders>
            <w:noWrap/>
            <w:vAlign w:val="bottom"/>
            <w:hideMark/>
          </w:tcPr>
          <w:p w14:paraId="6A87B74A"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68.44</w:t>
            </w:r>
          </w:p>
        </w:tc>
        <w:tc>
          <w:tcPr>
            <w:tcW w:w="1617" w:type="dxa"/>
            <w:tcBorders>
              <w:top w:val="nil"/>
              <w:left w:val="nil"/>
              <w:bottom w:val="single" w:sz="4" w:space="0" w:color="auto"/>
              <w:right w:val="single" w:sz="4" w:space="0" w:color="auto"/>
            </w:tcBorders>
            <w:noWrap/>
            <w:vAlign w:val="bottom"/>
            <w:hideMark/>
          </w:tcPr>
          <w:p w14:paraId="738F728A"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6733778</w:t>
            </w:r>
          </w:p>
        </w:tc>
        <w:tc>
          <w:tcPr>
            <w:tcW w:w="853" w:type="dxa"/>
            <w:tcBorders>
              <w:top w:val="nil"/>
              <w:left w:val="nil"/>
              <w:bottom w:val="single" w:sz="4" w:space="0" w:color="auto"/>
              <w:right w:val="single" w:sz="4" w:space="0" w:color="auto"/>
            </w:tcBorders>
            <w:noWrap/>
            <w:vAlign w:val="bottom"/>
            <w:hideMark/>
          </w:tcPr>
          <w:p w14:paraId="6129FE1C"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13.7</w:t>
            </w:r>
          </w:p>
        </w:tc>
        <w:tc>
          <w:tcPr>
            <w:tcW w:w="1200" w:type="dxa"/>
            <w:tcBorders>
              <w:top w:val="nil"/>
              <w:left w:val="nil"/>
              <w:bottom w:val="single" w:sz="4" w:space="0" w:color="auto"/>
              <w:right w:val="single" w:sz="4" w:space="0" w:color="auto"/>
            </w:tcBorders>
            <w:noWrap/>
            <w:vAlign w:val="bottom"/>
            <w:hideMark/>
          </w:tcPr>
          <w:p w14:paraId="23065A41"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801.305</w:t>
            </w:r>
          </w:p>
        </w:tc>
        <w:tc>
          <w:tcPr>
            <w:tcW w:w="2364" w:type="dxa"/>
            <w:tcBorders>
              <w:top w:val="nil"/>
              <w:left w:val="nil"/>
              <w:bottom w:val="single" w:sz="4" w:space="0" w:color="auto"/>
              <w:right w:val="single" w:sz="4" w:space="0" w:color="auto"/>
            </w:tcBorders>
            <w:noWrap/>
            <w:vAlign w:val="bottom"/>
            <w:hideMark/>
          </w:tcPr>
          <w:p w14:paraId="45C14089"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1.70%</w:t>
            </w:r>
          </w:p>
        </w:tc>
      </w:tr>
      <w:tr w:rsidR="001B2491" w:rsidRPr="00246CCF" w14:paraId="68EC05BE" w14:textId="77777777" w:rsidTr="009F794B">
        <w:trPr>
          <w:trHeight w:val="342"/>
        </w:trPr>
        <w:tc>
          <w:tcPr>
            <w:tcW w:w="831" w:type="dxa"/>
            <w:tcBorders>
              <w:top w:val="nil"/>
              <w:left w:val="single" w:sz="4" w:space="0" w:color="auto"/>
              <w:bottom w:val="single" w:sz="4" w:space="0" w:color="auto"/>
              <w:right w:val="single" w:sz="4" w:space="0" w:color="auto"/>
            </w:tcBorders>
            <w:noWrap/>
            <w:vAlign w:val="bottom"/>
            <w:hideMark/>
          </w:tcPr>
          <w:p w14:paraId="1CA2A3F7"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2025</w:t>
            </w:r>
          </w:p>
        </w:tc>
        <w:tc>
          <w:tcPr>
            <w:tcW w:w="1369" w:type="dxa"/>
            <w:tcBorders>
              <w:top w:val="nil"/>
              <w:left w:val="nil"/>
              <w:bottom w:val="single" w:sz="4" w:space="0" w:color="auto"/>
              <w:right w:val="single" w:sz="4" w:space="0" w:color="auto"/>
            </w:tcBorders>
            <w:noWrap/>
            <w:vAlign w:val="bottom"/>
            <w:hideMark/>
          </w:tcPr>
          <w:p w14:paraId="267902BD"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70900.63</w:t>
            </w:r>
          </w:p>
        </w:tc>
        <w:tc>
          <w:tcPr>
            <w:tcW w:w="853" w:type="dxa"/>
            <w:tcBorders>
              <w:top w:val="nil"/>
              <w:left w:val="nil"/>
              <w:bottom w:val="single" w:sz="4" w:space="0" w:color="auto"/>
              <w:right w:val="single" w:sz="4" w:space="0" w:color="auto"/>
            </w:tcBorders>
            <w:noWrap/>
            <w:vAlign w:val="bottom"/>
            <w:hideMark/>
          </w:tcPr>
          <w:p w14:paraId="0B6AD57E"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79.44</w:t>
            </w:r>
          </w:p>
        </w:tc>
        <w:tc>
          <w:tcPr>
            <w:tcW w:w="1617" w:type="dxa"/>
            <w:tcBorders>
              <w:top w:val="nil"/>
              <w:left w:val="nil"/>
              <w:bottom w:val="single" w:sz="4" w:space="0" w:color="auto"/>
              <w:right w:val="single" w:sz="4" w:space="0" w:color="auto"/>
            </w:tcBorders>
            <w:noWrap/>
            <w:vAlign w:val="bottom"/>
            <w:hideMark/>
          </w:tcPr>
          <w:p w14:paraId="1C8D0B88"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7314185</w:t>
            </w:r>
          </w:p>
        </w:tc>
        <w:tc>
          <w:tcPr>
            <w:tcW w:w="853" w:type="dxa"/>
            <w:tcBorders>
              <w:top w:val="nil"/>
              <w:left w:val="nil"/>
              <w:bottom w:val="single" w:sz="4" w:space="0" w:color="auto"/>
              <w:right w:val="single" w:sz="4" w:space="0" w:color="auto"/>
            </w:tcBorders>
            <w:noWrap/>
            <w:vAlign w:val="bottom"/>
            <w:hideMark/>
          </w:tcPr>
          <w:p w14:paraId="6A002231"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15.9</w:t>
            </w:r>
          </w:p>
        </w:tc>
        <w:tc>
          <w:tcPr>
            <w:tcW w:w="1200" w:type="dxa"/>
            <w:tcBorders>
              <w:top w:val="nil"/>
              <w:left w:val="nil"/>
              <w:bottom w:val="single" w:sz="4" w:space="0" w:color="auto"/>
              <w:right w:val="single" w:sz="4" w:space="0" w:color="auto"/>
            </w:tcBorders>
            <w:noWrap/>
            <w:vAlign w:val="bottom"/>
            <w:hideMark/>
          </w:tcPr>
          <w:p w14:paraId="222C9E13"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910.231</w:t>
            </w:r>
          </w:p>
        </w:tc>
        <w:tc>
          <w:tcPr>
            <w:tcW w:w="2364" w:type="dxa"/>
            <w:tcBorders>
              <w:top w:val="nil"/>
              <w:left w:val="nil"/>
              <w:bottom w:val="single" w:sz="4" w:space="0" w:color="auto"/>
              <w:right w:val="single" w:sz="4" w:space="0" w:color="auto"/>
            </w:tcBorders>
            <w:noWrap/>
            <w:vAlign w:val="bottom"/>
            <w:hideMark/>
          </w:tcPr>
          <w:p w14:paraId="24B90470" w14:textId="77777777" w:rsidR="001B2491" w:rsidRPr="00246CCF" w:rsidRDefault="001B2491" w:rsidP="009F794B">
            <w:pPr>
              <w:spacing w:after="0" w:line="360" w:lineRule="auto"/>
              <w:jc w:val="center"/>
              <w:rPr>
                <w:rFonts w:ascii="Times New Roman" w:eastAsia="Times New Roman" w:hAnsi="Times New Roman" w:cs="Times New Roman"/>
                <w:color w:val="000000"/>
                <w:kern w:val="0"/>
                <w:lang w:eastAsia="en-IN"/>
                <w14:ligatures w14:val="none"/>
              </w:rPr>
            </w:pPr>
            <w:r>
              <w:rPr>
                <w:rFonts w:ascii="Times New Roman" w:eastAsia="Times New Roman" w:hAnsi="Times New Roman" w:cs="Times New Roman"/>
                <w:color w:val="000000"/>
                <w:kern w:val="0"/>
                <w:lang w:eastAsia="en-IN"/>
                <w14:ligatures w14:val="none"/>
              </w:rPr>
              <w:t>1.74%</w:t>
            </w:r>
          </w:p>
        </w:tc>
      </w:tr>
    </w:tbl>
    <w:p w14:paraId="41A527AF" w14:textId="77777777" w:rsidR="001B2491" w:rsidRPr="00246CCF" w:rsidRDefault="001B2491" w:rsidP="001B2491">
      <w:pPr>
        <w:spacing w:line="360" w:lineRule="auto"/>
        <w:jc w:val="right"/>
        <w:rPr>
          <w:rFonts w:ascii="Times New Roman" w:hAnsi="Times New Roman" w:cs="Times New Roman"/>
        </w:rPr>
      </w:pPr>
      <w:r>
        <w:rPr>
          <w:rFonts w:ascii="Times New Roman" w:hAnsi="Times New Roman" w:cs="Times New Roman"/>
          <w:i/>
          <w:iCs/>
        </w:rPr>
        <w:t xml:space="preserve">  Table 4.1-Dividend analysis of SBI</w:t>
      </w:r>
      <w:r>
        <w:rPr>
          <w:rFonts w:ascii="Times New Roman" w:hAnsi="Times New Roman" w:cs="Times New Roman"/>
        </w:rPr>
        <w:t xml:space="preserve">                                                       Source-Money Control</w:t>
      </w:r>
    </w:p>
    <w:p w14:paraId="47350701" w14:textId="76949544" w:rsidR="00D63EDD" w:rsidRPr="00246CCF" w:rsidRDefault="00141FE2" w:rsidP="00D63EDD">
      <w:pPr>
        <w:spacing w:before="80" w:after="80" w:line="360" w:lineRule="auto"/>
        <w:jc w:val="both"/>
        <w:rPr>
          <w:rFonts w:ascii="Times New Roman" w:hAnsi="Times New Roman" w:cs="Times New Roman"/>
        </w:rPr>
      </w:pPr>
      <w:r>
        <w:rPr>
          <w:rFonts w:ascii="Times New Roman" w:hAnsi="Times New Roman" w:cs="Times New Roman"/>
        </w:rPr>
        <w:t>The net profit of SBI increased from ₹20,410.47 crore in FY2021 to ₹70,900.63 crore in FY2025, with an increase of 247%. The DPS has grown on a progressive basis from ₹4.00 to ₹15.90, registering an increase of 297.5% with the increase in the average MPS from ₹451.37 to ₹910.23. The Dividend Payout Ratio has remained constant at around 20% from FY2022, indicating a prudent approach to dividend payments based on earnings.</w:t>
      </w:r>
    </w:p>
    <w:p w14:paraId="3ED041EE" w14:textId="4DA0638C" w:rsidR="00E83D52" w:rsidRPr="00246CCF" w:rsidRDefault="00E83D52" w:rsidP="00E83D52">
      <w:pPr>
        <w:spacing w:before="180" w:after="80"/>
        <w:rPr>
          <w:rFonts w:ascii="Times New Roman" w:hAnsi="Times New Roman" w:cs="Times New Roman"/>
        </w:rPr>
      </w:pPr>
      <w:r>
        <w:rPr>
          <w:rFonts w:ascii="Times New Roman" w:hAnsi="Times New Roman" w:cs="Times New Roman"/>
          <w:b/>
          <w:bCs/>
        </w:rPr>
        <w:t>Descriptive Statistics</w:t>
      </w:r>
    </w:p>
    <w:p w14:paraId="567E14B6" w14:textId="61E73F5B" w:rsidR="00E83D52" w:rsidRPr="00246CCF" w:rsidRDefault="00E83D52" w:rsidP="00E83D52">
      <w:pPr>
        <w:spacing w:before="80" w:after="80" w:line="360" w:lineRule="auto"/>
        <w:ind w:firstLine="720"/>
        <w:jc w:val="both"/>
        <w:rPr>
          <w:rFonts w:ascii="Times New Roman" w:hAnsi="Times New Roman" w:cs="Times New Roman"/>
        </w:rPr>
      </w:pPr>
      <w:r>
        <w:rPr>
          <w:rFonts w:ascii="Times New Roman" w:hAnsi="Times New Roman" w:cs="Times New Roman"/>
        </w:rPr>
        <w:t>Table 4.2 presents the SPSS descriptive statistics for all study variables.</w:t>
      </w:r>
    </w:p>
    <w:p w14:paraId="28F5E1BB" w14:textId="77777777" w:rsidR="00B202E4" w:rsidRPr="00246CCF" w:rsidRDefault="00B202E4" w:rsidP="00E83D52">
      <w:pPr>
        <w:spacing w:before="80" w:after="80" w:line="360" w:lineRule="auto"/>
        <w:ind w:firstLine="720"/>
        <w:jc w:val="both"/>
        <w:rPr>
          <w:rFonts w:ascii="Times New Roman" w:hAnsi="Times New Roman" w:cs="Times New Roman"/>
        </w:rPr>
      </w:pPr>
    </w:p>
    <w:p w14:paraId="778B0100" w14:textId="77777777" w:rsidR="004E3BFC" w:rsidRPr="00246CCF" w:rsidRDefault="004E3BFC" w:rsidP="004E3BFC">
      <w:pPr>
        <w:spacing w:before="80" w:after="80" w:line="360" w:lineRule="auto"/>
        <w:jc w:val="both"/>
        <w:rPr>
          <w:rFonts w:ascii="Times New Roman" w:hAnsi="Times New Roman" w:cs="Times New Roman"/>
        </w:rPr>
      </w:pPr>
    </w:p>
    <w:tbl>
      <w:tblPr>
        <w:tblStyle w:val="TableGrid"/>
        <w:tblW w:w="9325" w:type="dxa"/>
        <w:tblLook w:val="04A0" w:firstRow="1" w:lastRow="0" w:firstColumn="1" w:lastColumn="0" w:noHBand="0" w:noVBand="1"/>
      </w:tblPr>
      <w:tblGrid>
        <w:gridCol w:w="1117"/>
        <w:gridCol w:w="1077"/>
        <w:gridCol w:w="1104"/>
        <w:gridCol w:w="1104"/>
        <w:gridCol w:w="1104"/>
        <w:gridCol w:w="1163"/>
        <w:gridCol w:w="1121"/>
        <w:gridCol w:w="1535"/>
      </w:tblGrid>
      <w:tr w:rsidR="00B434DF" w:rsidRPr="00246CCF" w14:paraId="03549C01" w14:textId="0B21B6A8" w:rsidTr="008B27F6">
        <w:trPr>
          <w:trHeight w:val="574"/>
        </w:trPr>
        <w:tc>
          <w:tcPr>
            <w:tcW w:w="1117" w:type="dxa"/>
          </w:tcPr>
          <w:p w14:paraId="336D860F" w14:textId="7EBBC69F" w:rsidR="00B434DF" w:rsidRPr="00246CCF" w:rsidRDefault="006B3C13" w:rsidP="00B434DF">
            <w:pPr>
              <w:spacing w:before="80" w:after="80" w:line="360" w:lineRule="auto"/>
              <w:jc w:val="both"/>
              <w:rPr>
                <w:rFonts w:ascii="Times New Roman" w:hAnsi="Times New Roman" w:cs="Times New Roman"/>
              </w:rPr>
            </w:pPr>
            <w:r>
              <w:rPr>
                <w:rFonts w:ascii="Times New Roman" w:hAnsi="Times New Roman" w:cs="Times New Roman"/>
              </w:rPr>
              <w:t>Variable</w:t>
            </w:r>
          </w:p>
        </w:tc>
        <w:tc>
          <w:tcPr>
            <w:tcW w:w="1077" w:type="dxa"/>
          </w:tcPr>
          <w:p w14:paraId="0BBCC618" w14:textId="19843790"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N</w:t>
            </w:r>
          </w:p>
        </w:tc>
        <w:tc>
          <w:tcPr>
            <w:tcW w:w="1104" w:type="dxa"/>
          </w:tcPr>
          <w:p w14:paraId="6408359F" w14:textId="0393DBE7"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Min</w:t>
            </w:r>
          </w:p>
        </w:tc>
        <w:tc>
          <w:tcPr>
            <w:tcW w:w="1104" w:type="dxa"/>
          </w:tcPr>
          <w:p w14:paraId="29FE09BA" w14:textId="51202927"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Max</w:t>
            </w:r>
          </w:p>
        </w:tc>
        <w:tc>
          <w:tcPr>
            <w:tcW w:w="1104" w:type="dxa"/>
          </w:tcPr>
          <w:p w14:paraId="11C7ECCE" w14:textId="53782310"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Mean</w:t>
            </w:r>
          </w:p>
        </w:tc>
        <w:tc>
          <w:tcPr>
            <w:tcW w:w="1163" w:type="dxa"/>
          </w:tcPr>
          <w:p w14:paraId="3DD45235" w14:textId="3541C9C3"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Skewness</w:t>
            </w:r>
          </w:p>
        </w:tc>
        <w:tc>
          <w:tcPr>
            <w:tcW w:w="1121" w:type="dxa"/>
          </w:tcPr>
          <w:p w14:paraId="15629E03" w14:textId="4F7B3113"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rPr>
              <w:t>Kurtosis</w:t>
            </w:r>
          </w:p>
        </w:tc>
        <w:tc>
          <w:tcPr>
            <w:tcW w:w="1535" w:type="dxa"/>
          </w:tcPr>
          <w:p w14:paraId="276905C7" w14:textId="62E70499" w:rsidR="00B434DF" w:rsidRPr="00246CCF" w:rsidRDefault="009B5980" w:rsidP="00B434DF">
            <w:pPr>
              <w:rPr>
                <w:rFonts w:ascii="Times New Roman" w:hAnsi="Times New Roman" w:cs="Times New Roman"/>
              </w:rPr>
            </w:pPr>
            <w:r>
              <w:rPr>
                <w:rFonts w:ascii="Times New Roman" w:hAnsi="Times New Roman" w:cs="Times New Roman"/>
              </w:rPr>
              <w:t>Interpretation</w:t>
            </w:r>
          </w:p>
        </w:tc>
      </w:tr>
      <w:tr w:rsidR="00B434DF" w:rsidRPr="00246CCF" w14:paraId="379DAA3F" w14:textId="6CA07C73" w:rsidTr="008B27F6">
        <w:trPr>
          <w:trHeight w:val="563"/>
        </w:trPr>
        <w:tc>
          <w:tcPr>
            <w:tcW w:w="1117" w:type="dxa"/>
          </w:tcPr>
          <w:p w14:paraId="5FF18DB4" w14:textId="2232DA0F"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DPS (₹)</w:t>
            </w:r>
          </w:p>
        </w:tc>
        <w:tc>
          <w:tcPr>
            <w:tcW w:w="1077" w:type="dxa"/>
          </w:tcPr>
          <w:p w14:paraId="50D62D33" w14:textId="2A69971B"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5</w:t>
            </w:r>
          </w:p>
        </w:tc>
        <w:tc>
          <w:tcPr>
            <w:tcW w:w="1104" w:type="dxa"/>
          </w:tcPr>
          <w:p w14:paraId="4390E335" w14:textId="52821F81"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4.00</w:t>
            </w:r>
          </w:p>
        </w:tc>
        <w:tc>
          <w:tcPr>
            <w:tcW w:w="1104" w:type="dxa"/>
          </w:tcPr>
          <w:p w14:paraId="28692E63" w14:textId="6C970E52"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15.90</w:t>
            </w:r>
          </w:p>
        </w:tc>
        <w:tc>
          <w:tcPr>
            <w:tcW w:w="1104" w:type="dxa"/>
          </w:tcPr>
          <w:p w14:paraId="66256667" w14:textId="28FAE79C"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10.40</w:t>
            </w:r>
          </w:p>
        </w:tc>
        <w:tc>
          <w:tcPr>
            <w:tcW w:w="1163" w:type="dxa"/>
          </w:tcPr>
          <w:p w14:paraId="43D66079" w14:textId="26373D3C"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−0.275</w:t>
            </w:r>
          </w:p>
        </w:tc>
        <w:tc>
          <w:tcPr>
            <w:tcW w:w="1121" w:type="dxa"/>
          </w:tcPr>
          <w:p w14:paraId="123FE0BF" w14:textId="1E217538" w:rsidR="00B434DF" w:rsidRPr="00246CCF" w:rsidRDefault="00B434DF" w:rsidP="00B434DF">
            <w:pPr>
              <w:spacing w:before="80" w:after="80" w:line="360" w:lineRule="auto"/>
              <w:jc w:val="both"/>
              <w:rPr>
                <w:rFonts w:ascii="Times New Roman" w:hAnsi="Times New Roman" w:cs="Times New Roman"/>
                <w:color w:val="000000"/>
              </w:rPr>
            </w:pPr>
            <w:r>
              <w:rPr>
                <w:rFonts w:ascii="Times New Roman" w:hAnsi="Times New Roman" w:cs="Times New Roman"/>
                <w:color w:val="000000"/>
              </w:rPr>
              <w:t xml:space="preserve">−1.728             </w:t>
            </w:r>
          </w:p>
        </w:tc>
        <w:tc>
          <w:tcPr>
            <w:tcW w:w="1535" w:type="dxa"/>
          </w:tcPr>
          <w:p w14:paraId="63D3328C" w14:textId="38471EEB" w:rsidR="00B434DF" w:rsidRPr="00246CCF" w:rsidRDefault="00B434DF" w:rsidP="00B434DF">
            <w:pPr>
              <w:rPr>
                <w:rFonts w:ascii="Times New Roman" w:hAnsi="Times New Roman" w:cs="Times New Roman"/>
              </w:rPr>
            </w:pPr>
            <w:r>
              <w:rPr>
                <w:rFonts w:ascii="Times New Roman" w:hAnsi="Times New Roman" w:cs="Times New Roman"/>
                <w:color w:val="000000"/>
              </w:rPr>
              <w:t>Consistent upward growth</w:t>
            </w:r>
          </w:p>
        </w:tc>
      </w:tr>
      <w:tr w:rsidR="00B434DF" w:rsidRPr="00246CCF" w14:paraId="7AAEF6F5" w14:textId="1B79F317" w:rsidTr="008B27F6">
        <w:trPr>
          <w:trHeight w:val="574"/>
        </w:trPr>
        <w:tc>
          <w:tcPr>
            <w:tcW w:w="1117" w:type="dxa"/>
          </w:tcPr>
          <w:p w14:paraId="369908D5" w14:textId="13E42959"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EPS (₹)</w:t>
            </w:r>
          </w:p>
        </w:tc>
        <w:tc>
          <w:tcPr>
            <w:tcW w:w="1077" w:type="dxa"/>
          </w:tcPr>
          <w:p w14:paraId="27F493F8" w14:textId="2FD6A79F"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5</w:t>
            </w:r>
          </w:p>
        </w:tc>
        <w:tc>
          <w:tcPr>
            <w:tcW w:w="1104" w:type="dxa"/>
          </w:tcPr>
          <w:p w14:paraId="6CDD5A99" w14:textId="64FF6D48"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22.87</w:t>
            </w:r>
          </w:p>
        </w:tc>
        <w:tc>
          <w:tcPr>
            <w:tcW w:w="1104" w:type="dxa"/>
          </w:tcPr>
          <w:p w14:paraId="02E980B1" w14:textId="7A0D464A"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79.44</w:t>
            </w:r>
          </w:p>
        </w:tc>
        <w:tc>
          <w:tcPr>
            <w:tcW w:w="1104" w:type="dxa"/>
          </w:tcPr>
          <w:p w14:paraId="52FAC95C" w14:textId="3C940D62"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52.20</w:t>
            </w:r>
          </w:p>
        </w:tc>
        <w:tc>
          <w:tcPr>
            <w:tcW w:w="1163" w:type="dxa"/>
          </w:tcPr>
          <w:p w14:paraId="7A0BBE10" w14:textId="3034EC42"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−0.228</w:t>
            </w:r>
          </w:p>
        </w:tc>
        <w:tc>
          <w:tcPr>
            <w:tcW w:w="1121" w:type="dxa"/>
          </w:tcPr>
          <w:p w14:paraId="2F877562" w14:textId="30431111"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−1.864</w:t>
            </w:r>
          </w:p>
        </w:tc>
        <w:tc>
          <w:tcPr>
            <w:tcW w:w="1535" w:type="dxa"/>
          </w:tcPr>
          <w:p w14:paraId="306F8B67" w14:textId="4243C449" w:rsidR="00B434DF" w:rsidRPr="00246CCF" w:rsidRDefault="00B434DF" w:rsidP="00B434DF">
            <w:pPr>
              <w:rPr>
                <w:rFonts w:ascii="Times New Roman" w:hAnsi="Times New Roman" w:cs="Times New Roman"/>
              </w:rPr>
            </w:pPr>
            <w:r>
              <w:rPr>
                <w:rFonts w:ascii="Times New Roman" w:hAnsi="Times New Roman" w:cs="Times New Roman"/>
                <w:color w:val="000000"/>
              </w:rPr>
              <w:t>Rapid earnings expansion</w:t>
            </w:r>
          </w:p>
        </w:tc>
      </w:tr>
      <w:tr w:rsidR="00B434DF" w:rsidRPr="00246CCF" w14:paraId="4F08CA5D" w14:textId="3CCE0481" w:rsidTr="008B27F6">
        <w:trPr>
          <w:trHeight w:val="563"/>
        </w:trPr>
        <w:tc>
          <w:tcPr>
            <w:tcW w:w="1117" w:type="dxa"/>
          </w:tcPr>
          <w:p w14:paraId="25450459" w14:textId="33130224"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DPR (%)</w:t>
            </w:r>
          </w:p>
        </w:tc>
        <w:tc>
          <w:tcPr>
            <w:tcW w:w="1077" w:type="dxa"/>
          </w:tcPr>
          <w:p w14:paraId="63C4A12C" w14:textId="58E95D2C"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5</w:t>
            </w:r>
          </w:p>
        </w:tc>
        <w:tc>
          <w:tcPr>
            <w:tcW w:w="1104" w:type="dxa"/>
          </w:tcPr>
          <w:p w14:paraId="096802D5" w14:textId="36103FB2"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17.49</w:t>
            </w:r>
          </w:p>
        </w:tc>
        <w:tc>
          <w:tcPr>
            <w:tcW w:w="1104" w:type="dxa"/>
          </w:tcPr>
          <w:p w14:paraId="764163CB" w14:textId="6A4E714D"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20.07</w:t>
            </w:r>
          </w:p>
        </w:tc>
        <w:tc>
          <w:tcPr>
            <w:tcW w:w="1104" w:type="dxa"/>
          </w:tcPr>
          <w:p w14:paraId="459E4859" w14:textId="16D24DE8"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19.61</w:t>
            </w:r>
          </w:p>
        </w:tc>
        <w:tc>
          <w:tcPr>
            <w:tcW w:w="1163" w:type="dxa"/>
          </w:tcPr>
          <w:p w14:paraId="644A63DC" w14:textId="7958620F"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−2.231</w:t>
            </w:r>
          </w:p>
        </w:tc>
        <w:tc>
          <w:tcPr>
            <w:tcW w:w="1121" w:type="dxa"/>
          </w:tcPr>
          <w:p w14:paraId="14E5CD7C" w14:textId="17F282C2"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4.983</w:t>
            </w:r>
          </w:p>
        </w:tc>
        <w:tc>
          <w:tcPr>
            <w:tcW w:w="1535" w:type="dxa"/>
          </w:tcPr>
          <w:p w14:paraId="468F967D" w14:textId="0D8D1A25" w:rsidR="00B434DF" w:rsidRPr="00246CCF" w:rsidRDefault="00B434DF" w:rsidP="00B434DF">
            <w:pPr>
              <w:rPr>
                <w:rFonts w:ascii="Times New Roman" w:hAnsi="Times New Roman" w:cs="Times New Roman"/>
              </w:rPr>
            </w:pPr>
            <w:r>
              <w:rPr>
                <w:rFonts w:ascii="Times New Roman" w:hAnsi="Times New Roman" w:cs="Times New Roman"/>
                <w:color w:val="000000"/>
              </w:rPr>
              <w:t>Stable ~20% payout</w:t>
            </w:r>
          </w:p>
        </w:tc>
      </w:tr>
      <w:tr w:rsidR="00B434DF" w:rsidRPr="00246CCF" w14:paraId="423D75D7" w14:textId="7930C405" w:rsidTr="008B27F6">
        <w:trPr>
          <w:trHeight w:val="574"/>
        </w:trPr>
        <w:tc>
          <w:tcPr>
            <w:tcW w:w="1117" w:type="dxa"/>
          </w:tcPr>
          <w:p w14:paraId="1F483418" w14:textId="7B45EB80"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MPS (₹)</w:t>
            </w:r>
          </w:p>
        </w:tc>
        <w:tc>
          <w:tcPr>
            <w:tcW w:w="1077" w:type="dxa"/>
          </w:tcPr>
          <w:p w14:paraId="30033C2F" w14:textId="0BA835BB"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5</w:t>
            </w:r>
          </w:p>
        </w:tc>
        <w:tc>
          <w:tcPr>
            <w:tcW w:w="1104" w:type="dxa"/>
          </w:tcPr>
          <w:p w14:paraId="0728AB26" w14:textId="28684FA8"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451.00</w:t>
            </w:r>
          </w:p>
        </w:tc>
        <w:tc>
          <w:tcPr>
            <w:tcW w:w="1104" w:type="dxa"/>
          </w:tcPr>
          <w:p w14:paraId="3E3A7CA3" w14:textId="5E5D90E1"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910.00</w:t>
            </w:r>
          </w:p>
        </w:tc>
        <w:tc>
          <w:tcPr>
            <w:tcW w:w="1104" w:type="dxa"/>
          </w:tcPr>
          <w:p w14:paraId="64CC5D04" w14:textId="1D0386F0"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661.80</w:t>
            </w:r>
          </w:p>
        </w:tc>
        <w:tc>
          <w:tcPr>
            <w:tcW w:w="1163" w:type="dxa"/>
          </w:tcPr>
          <w:p w14:paraId="0F196090" w14:textId="4EB6E198"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+0.394</w:t>
            </w:r>
          </w:p>
        </w:tc>
        <w:tc>
          <w:tcPr>
            <w:tcW w:w="1121" w:type="dxa"/>
          </w:tcPr>
          <w:p w14:paraId="5B9A1C53" w14:textId="4D8F0E30"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−1.816</w:t>
            </w:r>
          </w:p>
        </w:tc>
        <w:tc>
          <w:tcPr>
            <w:tcW w:w="1535" w:type="dxa"/>
          </w:tcPr>
          <w:p w14:paraId="5EDCF810" w14:textId="5E256E94" w:rsidR="00B434DF" w:rsidRPr="00246CCF" w:rsidRDefault="00B434DF" w:rsidP="00B434DF">
            <w:pPr>
              <w:rPr>
                <w:rFonts w:ascii="Times New Roman" w:hAnsi="Times New Roman" w:cs="Times New Roman"/>
              </w:rPr>
            </w:pPr>
            <w:r>
              <w:rPr>
                <w:rFonts w:ascii="Times New Roman" w:hAnsi="Times New Roman" w:cs="Times New Roman"/>
                <w:color w:val="000000"/>
              </w:rPr>
              <w:t>Strong appreciation</w:t>
            </w:r>
          </w:p>
        </w:tc>
      </w:tr>
      <w:tr w:rsidR="00B434DF" w:rsidRPr="00246CCF" w14:paraId="08D75D72" w14:textId="5D100BC4" w:rsidTr="008B27F6">
        <w:trPr>
          <w:trHeight w:val="563"/>
        </w:trPr>
        <w:tc>
          <w:tcPr>
            <w:tcW w:w="1117" w:type="dxa"/>
          </w:tcPr>
          <w:p w14:paraId="4ADEA334" w14:textId="44689831"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ROE (%)</w:t>
            </w:r>
          </w:p>
        </w:tc>
        <w:tc>
          <w:tcPr>
            <w:tcW w:w="1077" w:type="dxa"/>
          </w:tcPr>
          <w:p w14:paraId="5A27E385" w14:textId="4F220B1E"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5</w:t>
            </w:r>
          </w:p>
        </w:tc>
        <w:tc>
          <w:tcPr>
            <w:tcW w:w="1104" w:type="dxa"/>
          </w:tcPr>
          <w:p w14:paraId="47505928" w14:textId="44C49827"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8.89</w:t>
            </w:r>
          </w:p>
        </w:tc>
        <w:tc>
          <w:tcPr>
            <w:tcW w:w="1104" w:type="dxa"/>
          </w:tcPr>
          <w:p w14:paraId="70792653" w14:textId="468BF5E2"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17.31</w:t>
            </w:r>
          </w:p>
        </w:tc>
        <w:tc>
          <w:tcPr>
            <w:tcW w:w="1104" w:type="dxa"/>
          </w:tcPr>
          <w:p w14:paraId="72C03356" w14:textId="2B5C6DDF"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14.48</w:t>
            </w:r>
          </w:p>
        </w:tc>
        <w:tc>
          <w:tcPr>
            <w:tcW w:w="1163" w:type="dxa"/>
          </w:tcPr>
          <w:p w14:paraId="527E6DBE" w14:textId="58F95FB4"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−1.115</w:t>
            </w:r>
          </w:p>
        </w:tc>
        <w:tc>
          <w:tcPr>
            <w:tcW w:w="1121" w:type="dxa"/>
          </w:tcPr>
          <w:p w14:paraId="5744E378" w14:textId="04202CBF" w:rsidR="00B434DF" w:rsidRPr="00246CCF" w:rsidRDefault="00B434DF" w:rsidP="00B434DF">
            <w:pPr>
              <w:spacing w:before="80" w:after="80" w:line="360" w:lineRule="auto"/>
              <w:jc w:val="both"/>
              <w:rPr>
                <w:rFonts w:ascii="Times New Roman" w:hAnsi="Times New Roman" w:cs="Times New Roman"/>
              </w:rPr>
            </w:pPr>
            <w:r>
              <w:rPr>
                <w:rFonts w:ascii="Times New Roman" w:hAnsi="Times New Roman" w:cs="Times New Roman"/>
                <w:color w:val="000000"/>
              </w:rPr>
              <w:t>−0.385</w:t>
            </w:r>
          </w:p>
        </w:tc>
        <w:tc>
          <w:tcPr>
            <w:tcW w:w="1535" w:type="dxa"/>
          </w:tcPr>
          <w:p w14:paraId="4BA03C8A" w14:textId="5D3F47E8" w:rsidR="00B434DF" w:rsidRPr="00246CCF" w:rsidRDefault="00B434DF" w:rsidP="00B434DF">
            <w:pPr>
              <w:rPr>
                <w:rFonts w:ascii="Times New Roman" w:hAnsi="Times New Roman" w:cs="Times New Roman"/>
              </w:rPr>
            </w:pPr>
            <w:r>
              <w:rPr>
                <w:rFonts w:ascii="Times New Roman" w:hAnsi="Times New Roman" w:cs="Times New Roman"/>
                <w:color w:val="000000"/>
              </w:rPr>
              <w:t>Improving return</w:t>
            </w:r>
          </w:p>
        </w:tc>
      </w:tr>
    </w:tbl>
    <w:p w14:paraId="416AF1EF" w14:textId="48061EF1" w:rsidR="00E83D52" w:rsidRPr="00246CCF" w:rsidRDefault="008B27F6" w:rsidP="00D63EDD">
      <w:pPr>
        <w:spacing w:before="80" w:after="80" w:line="360" w:lineRule="auto"/>
        <w:jc w:val="both"/>
        <w:rPr>
          <w:rFonts w:ascii="Times New Roman" w:hAnsi="Times New Roman" w:cs="Times New Roman"/>
          <w:i/>
          <w:iCs/>
        </w:rPr>
      </w:pPr>
      <w:r>
        <w:rPr>
          <w:rFonts w:ascii="Times New Roman" w:hAnsi="Times New Roman" w:cs="Times New Roman"/>
          <w:i/>
          <w:iCs/>
        </w:rPr>
        <w:t>Table 4.2: Descriptive Statistics (SPSS Output)</w:t>
      </w:r>
    </w:p>
    <w:p w14:paraId="49B5072B" w14:textId="5976711E" w:rsidR="006B3C13" w:rsidRPr="00246CCF" w:rsidRDefault="00D352ED" w:rsidP="00D63EDD">
      <w:pPr>
        <w:spacing w:before="80" w:after="80" w:line="360" w:lineRule="auto"/>
        <w:jc w:val="both"/>
        <w:rPr>
          <w:rFonts w:ascii="Times New Roman" w:hAnsi="Times New Roman" w:cs="Times New Roman"/>
        </w:rPr>
      </w:pPr>
      <w:r>
        <w:rPr>
          <w:rFonts w:ascii="Times New Roman" w:hAnsi="Times New Roman" w:cs="Times New Roman"/>
        </w:rPr>
        <w:t>From the descriptive statistics, we can observe that DPS had a mean of ₹10.40 and an almost symmetric distribution with skewness equal to −0.275, thus indicating dividend progression without any extreme values. EPS has a mean of ₹52.20 and very high variability with SD of ₹23.08, representing the swift rise in profitability at SBI. The DPR indicator indicated extremely low variability with a standard deviation equal to 0.93%, while having positive kurtosis (kurtosis = 4.983), which is an indication of a strict ~20% target since FY2022. MPS had extremely high variability with SD equal to ₹189.72.</w:t>
      </w:r>
    </w:p>
    <w:p w14:paraId="253C3531" w14:textId="652B1895" w:rsidR="00555508" w:rsidRPr="00246CCF" w:rsidRDefault="00555508" w:rsidP="00555508">
      <w:pPr>
        <w:spacing w:before="180" w:after="80"/>
        <w:rPr>
          <w:rFonts w:ascii="Times New Roman" w:hAnsi="Times New Roman" w:cs="Times New Roman"/>
        </w:rPr>
      </w:pPr>
      <w:r>
        <w:rPr>
          <w:rFonts w:ascii="Times New Roman" w:hAnsi="Times New Roman" w:cs="Times New Roman"/>
          <w:b/>
          <w:bCs/>
        </w:rPr>
        <w:t>Correlation Analysis</w:t>
      </w:r>
    </w:p>
    <w:p w14:paraId="11D166A8" w14:textId="77777777" w:rsidR="00555508" w:rsidRPr="00246CCF" w:rsidRDefault="00555508" w:rsidP="00555508">
      <w:pPr>
        <w:spacing w:before="80" w:after="80" w:line="360" w:lineRule="auto"/>
        <w:ind w:firstLine="720"/>
        <w:jc w:val="both"/>
        <w:rPr>
          <w:rFonts w:ascii="Times New Roman" w:hAnsi="Times New Roman" w:cs="Times New Roman"/>
        </w:rPr>
      </w:pPr>
      <w:r>
        <w:rPr>
          <w:rFonts w:ascii="Times New Roman" w:hAnsi="Times New Roman" w:cs="Times New Roman"/>
        </w:rPr>
        <w:t>Table 4.3 presents the Pearson Correlation Matrix for all study variables.</w:t>
      </w:r>
    </w:p>
    <w:p w14:paraId="44D25C4C" w14:textId="57873448" w:rsidR="00C61D9D" w:rsidRPr="00246CCF" w:rsidRDefault="00C61D9D" w:rsidP="00C61D9D">
      <w:pPr>
        <w:spacing w:after="120"/>
        <w:jc w:val="center"/>
        <w:rPr>
          <w:rFonts w:ascii="Times New Roman" w:hAnsi="Times New Roman" w:cs="Times New Roman"/>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75232E" w:rsidRPr="00246CCF" w14:paraId="648CE440" w14:textId="77777777" w:rsidTr="0075232E">
        <w:tc>
          <w:tcPr>
            <w:tcW w:w="1288" w:type="dxa"/>
          </w:tcPr>
          <w:p w14:paraId="75D0DD53" w14:textId="77777777" w:rsidR="0075232E" w:rsidRPr="00246CCF" w:rsidRDefault="0075232E" w:rsidP="00D63EDD">
            <w:pPr>
              <w:spacing w:before="80" w:after="80" w:line="360" w:lineRule="auto"/>
              <w:jc w:val="both"/>
              <w:rPr>
                <w:rFonts w:ascii="Times New Roman" w:hAnsi="Times New Roman" w:cs="Times New Roman"/>
              </w:rPr>
            </w:pPr>
          </w:p>
        </w:tc>
        <w:tc>
          <w:tcPr>
            <w:tcW w:w="1288" w:type="dxa"/>
          </w:tcPr>
          <w:p w14:paraId="68C7C0B2" w14:textId="17A9D74F" w:rsidR="0075232E" w:rsidRPr="00246CCF" w:rsidRDefault="0025274E" w:rsidP="00D63EDD">
            <w:pPr>
              <w:spacing w:before="80" w:after="80" w:line="360" w:lineRule="auto"/>
              <w:jc w:val="both"/>
              <w:rPr>
                <w:rFonts w:ascii="Times New Roman" w:hAnsi="Times New Roman" w:cs="Times New Roman"/>
                <w:b/>
                <w:bCs/>
              </w:rPr>
            </w:pPr>
            <w:r>
              <w:rPr>
                <w:rFonts w:ascii="Times New Roman" w:hAnsi="Times New Roman" w:cs="Times New Roman"/>
                <w:b/>
                <w:bCs/>
              </w:rPr>
              <w:t>EPS</w:t>
            </w:r>
          </w:p>
        </w:tc>
        <w:tc>
          <w:tcPr>
            <w:tcW w:w="1288" w:type="dxa"/>
          </w:tcPr>
          <w:p w14:paraId="52385D21" w14:textId="1F92EF36" w:rsidR="0075232E" w:rsidRPr="00246CCF" w:rsidRDefault="0025274E" w:rsidP="00D63EDD">
            <w:pPr>
              <w:spacing w:before="80" w:after="80" w:line="360" w:lineRule="auto"/>
              <w:jc w:val="both"/>
              <w:rPr>
                <w:rFonts w:ascii="Times New Roman" w:hAnsi="Times New Roman" w:cs="Times New Roman"/>
                <w:b/>
                <w:bCs/>
              </w:rPr>
            </w:pPr>
            <w:r>
              <w:rPr>
                <w:rFonts w:ascii="Times New Roman" w:hAnsi="Times New Roman" w:cs="Times New Roman"/>
                <w:b/>
                <w:bCs/>
              </w:rPr>
              <w:t>DPS</w:t>
            </w:r>
          </w:p>
        </w:tc>
        <w:tc>
          <w:tcPr>
            <w:tcW w:w="1288" w:type="dxa"/>
          </w:tcPr>
          <w:p w14:paraId="5759AD7A" w14:textId="59400F91" w:rsidR="0075232E" w:rsidRPr="00246CCF" w:rsidRDefault="0025274E" w:rsidP="00D63EDD">
            <w:pPr>
              <w:spacing w:before="80" w:after="80" w:line="360" w:lineRule="auto"/>
              <w:jc w:val="both"/>
              <w:rPr>
                <w:rFonts w:ascii="Times New Roman" w:hAnsi="Times New Roman" w:cs="Times New Roman"/>
                <w:b/>
                <w:bCs/>
              </w:rPr>
            </w:pPr>
            <w:r>
              <w:rPr>
                <w:rFonts w:ascii="Times New Roman" w:hAnsi="Times New Roman" w:cs="Times New Roman"/>
                <w:b/>
                <w:bCs/>
              </w:rPr>
              <w:t>MPS</w:t>
            </w:r>
          </w:p>
        </w:tc>
        <w:tc>
          <w:tcPr>
            <w:tcW w:w="1288" w:type="dxa"/>
          </w:tcPr>
          <w:p w14:paraId="26611024" w14:textId="6BEA53B1" w:rsidR="0075232E" w:rsidRPr="00246CCF" w:rsidRDefault="0025274E" w:rsidP="00D63EDD">
            <w:pPr>
              <w:spacing w:before="80" w:after="80" w:line="360" w:lineRule="auto"/>
              <w:jc w:val="both"/>
              <w:rPr>
                <w:rFonts w:ascii="Times New Roman" w:hAnsi="Times New Roman" w:cs="Times New Roman"/>
                <w:b/>
                <w:bCs/>
              </w:rPr>
            </w:pPr>
            <w:r>
              <w:rPr>
                <w:rFonts w:ascii="Times New Roman" w:hAnsi="Times New Roman" w:cs="Times New Roman"/>
                <w:b/>
                <w:bCs/>
              </w:rPr>
              <w:t>DPR</w:t>
            </w:r>
          </w:p>
        </w:tc>
        <w:tc>
          <w:tcPr>
            <w:tcW w:w="1288" w:type="dxa"/>
          </w:tcPr>
          <w:p w14:paraId="74B5015A" w14:textId="7EB953D3" w:rsidR="0075232E" w:rsidRPr="00246CCF" w:rsidRDefault="0025274E" w:rsidP="00D63EDD">
            <w:pPr>
              <w:spacing w:before="80" w:after="80" w:line="360" w:lineRule="auto"/>
              <w:jc w:val="both"/>
              <w:rPr>
                <w:rFonts w:ascii="Times New Roman" w:hAnsi="Times New Roman" w:cs="Times New Roman"/>
                <w:b/>
                <w:bCs/>
              </w:rPr>
            </w:pPr>
            <w:r>
              <w:rPr>
                <w:rFonts w:ascii="Times New Roman" w:hAnsi="Times New Roman" w:cs="Times New Roman"/>
                <w:b/>
                <w:bCs/>
              </w:rPr>
              <w:t>ROE</w:t>
            </w:r>
          </w:p>
        </w:tc>
        <w:tc>
          <w:tcPr>
            <w:tcW w:w="1288" w:type="dxa"/>
          </w:tcPr>
          <w:p w14:paraId="5F01D673" w14:textId="7C61C8C3" w:rsidR="0075232E" w:rsidRPr="00246CCF" w:rsidRDefault="00DD2174" w:rsidP="00D63EDD">
            <w:pPr>
              <w:spacing w:before="80" w:after="80" w:line="360" w:lineRule="auto"/>
              <w:jc w:val="both"/>
              <w:rPr>
                <w:rFonts w:ascii="Times New Roman" w:hAnsi="Times New Roman" w:cs="Times New Roman"/>
                <w:b/>
                <w:bCs/>
              </w:rPr>
            </w:pPr>
            <w:r>
              <w:rPr>
                <w:rFonts w:ascii="Times New Roman" w:hAnsi="Times New Roman" w:cs="Times New Roman"/>
                <w:b/>
                <w:bCs/>
              </w:rPr>
              <w:t>Div. Yield</w:t>
            </w:r>
          </w:p>
        </w:tc>
      </w:tr>
      <w:tr w:rsidR="00DD2174" w:rsidRPr="00246CCF" w14:paraId="70DEF029" w14:textId="77777777" w:rsidTr="0075232E">
        <w:tc>
          <w:tcPr>
            <w:tcW w:w="1288" w:type="dxa"/>
          </w:tcPr>
          <w:p w14:paraId="0C1D495D" w14:textId="38727E78"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b/>
                <w:bCs/>
                <w:color w:val="000000"/>
              </w:rPr>
              <w:t>EPS</w:t>
            </w:r>
          </w:p>
        </w:tc>
        <w:tc>
          <w:tcPr>
            <w:tcW w:w="1288" w:type="dxa"/>
          </w:tcPr>
          <w:p w14:paraId="5A942DA8" w14:textId="42C0E618"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1.000</w:t>
            </w:r>
          </w:p>
        </w:tc>
        <w:tc>
          <w:tcPr>
            <w:tcW w:w="1288" w:type="dxa"/>
          </w:tcPr>
          <w:p w14:paraId="01A85AB4" w14:textId="1744B7FA"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.999**</w:t>
            </w:r>
          </w:p>
        </w:tc>
        <w:tc>
          <w:tcPr>
            <w:tcW w:w="1288" w:type="dxa"/>
          </w:tcPr>
          <w:p w14:paraId="32AC689C" w14:textId="3098DEFF"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.970**</w:t>
            </w:r>
          </w:p>
        </w:tc>
        <w:tc>
          <w:tcPr>
            <w:tcW w:w="1288" w:type="dxa"/>
          </w:tcPr>
          <w:p w14:paraId="1B35EB83" w14:textId="46312265"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.707</w:t>
            </w:r>
          </w:p>
        </w:tc>
        <w:tc>
          <w:tcPr>
            <w:tcW w:w="1288" w:type="dxa"/>
          </w:tcPr>
          <w:p w14:paraId="7E98C076" w14:textId="3134B91F"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−.855</w:t>
            </w:r>
          </w:p>
        </w:tc>
        <w:tc>
          <w:tcPr>
            <w:tcW w:w="1288" w:type="dxa"/>
          </w:tcPr>
          <w:p w14:paraId="451C7C72" w14:textId="60CCDB4A"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.876</w:t>
            </w:r>
          </w:p>
        </w:tc>
      </w:tr>
      <w:tr w:rsidR="00DD2174" w:rsidRPr="00246CCF" w14:paraId="2A9F96BD" w14:textId="77777777" w:rsidTr="0075232E">
        <w:tc>
          <w:tcPr>
            <w:tcW w:w="1288" w:type="dxa"/>
          </w:tcPr>
          <w:p w14:paraId="33B0516D" w14:textId="1B6A92AB"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b/>
                <w:bCs/>
                <w:color w:val="000000"/>
              </w:rPr>
              <w:t>DPS</w:t>
            </w:r>
          </w:p>
        </w:tc>
        <w:tc>
          <w:tcPr>
            <w:tcW w:w="1288" w:type="dxa"/>
          </w:tcPr>
          <w:p w14:paraId="0E30983E" w14:textId="7D47FE4E"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.999**</w:t>
            </w:r>
          </w:p>
        </w:tc>
        <w:tc>
          <w:tcPr>
            <w:tcW w:w="1288" w:type="dxa"/>
          </w:tcPr>
          <w:p w14:paraId="794D4D99" w14:textId="4252A66C"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1.000</w:t>
            </w:r>
          </w:p>
        </w:tc>
        <w:tc>
          <w:tcPr>
            <w:tcW w:w="1288" w:type="dxa"/>
          </w:tcPr>
          <w:p w14:paraId="25A6E6F0" w14:textId="73AF991A"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.973**</w:t>
            </w:r>
          </w:p>
        </w:tc>
        <w:tc>
          <w:tcPr>
            <w:tcW w:w="1288" w:type="dxa"/>
          </w:tcPr>
          <w:p w14:paraId="0EF63E83" w14:textId="660164EA"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.725</w:t>
            </w:r>
          </w:p>
        </w:tc>
        <w:tc>
          <w:tcPr>
            <w:tcW w:w="1288" w:type="dxa"/>
          </w:tcPr>
          <w:p w14:paraId="17C8D958" w14:textId="4EAEB3CD"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−.852</w:t>
            </w:r>
          </w:p>
        </w:tc>
        <w:tc>
          <w:tcPr>
            <w:tcW w:w="1288" w:type="dxa"/>
          </w:tcPr>
          <w:p w14:paraId="0F46CFD3" w14:textId="2E057DA0"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.875</w:t>
            </w:r>
          </w:p>
        </w:tc>
      </w:tr>
      <w:tr w:rsidR="00DD2174" w:rsidRPr="00246CCF" w14:paraId="67B7B28E" w14:textId="77777777" w:rsidTr="0075232E">
        <w:tc>
          <w:tcPr>
            <w:tcW w:w="1288" w:type="dxa"/>
          </w:tcPr>
          <w:p w14:paraId="47669645" w14:textId="62897220"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b/>
                <w:bCs/>
                <w:color w:val="000000"/>
              </w:rPr>
              <w:t>MPS</w:t>
            </w:r>
          </w:p>
        </w:tc>
        <w:tc>
          <w:tcPr>
            <w:tcW w:w="1288" w:type="dxa"/>
          </w:tcPr>
          <w:p w14:paraId="459FA517" w14:textId="4DF40380"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.970**</w:t>
            </w:r>
          </w:p>
        </w:tc>
        <w:tc>
          <w:tcPr>
            <w:tcW w:w="1288" w:type="dxa"/>
          </w:tcPr>
          <w:p w14:paraId="188D3CE6" w14:textId="77C74457"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.973**</w:t>
            </w:r>
          </w:p>
        </w:tc>
        <w:tc>
          <w:tcPr>
            <w:tcW w:w="1288" w:type="dxa"/>
          </w:tcPr>
          <w:p w14:paraId="7D65F95A" w14:textId="32916AB0"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1.000</w:t>
            </w:r>
          </w:p>
        </w:tc>
        <w:tc>
          <w:tcPr>
            <w:tcW w:w="1288" w:type="dxa"/>
          </w:tcPr>
          <w:p w14:paraId="4C1BDB92" w14:textId="5E89583F"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.615</w:t>
            </w:r>
          </w:p>
        </w:tc>
        <w:tc>
          <w:tcPr>
            <w:tcW w:w="1288" w:type="dxa"/>
          </w:tcPr>
          <w:p w14:paraId="63C33CD7" w14:textId="1F349BA3"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−.944*</w:t>
            </w:r>
          </w:p>
        </w:tc>
        <w:tc>
          <w:tcPr>
            <w:tcW w:w="1288" w:type="dxa"/>
          </w:tcPr>
          <w:p w14:paraId="5401E4E9" w14:textId="23B13181"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.744</w:t>
            </w:r>
          </w:p>
        </w:tc>
      </w:tr>
      <w:tr w:rsidR="00DD2174" w:rsidRPr="00246CCF" w14:paraId="368EAC0E" w14:textId="77777777" w:rsidTr="0075232E">
        <w:tc>
          <w:tcPr>
            <w:tcW w:w="1288" w:type="dxa"/>
          </w:tcPr>
          <w:p w14:paraId="0D49F1B7" w14:textId="4DEC24D1"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b/>
                <w:bCs/>
                <w:color w:val="000000"/>
              </w:rPr>
              <w:t>DPR</w:t>
            </w:r>
          </w:p>
        </w:tc>
        <w:tc>
          <w:tcPr>
            <w:tcW w:w="1288" w:type="dxa"/>
          </w:tcPr>
          <w:p w14:paraId="68CAC42F" w14:textId="2537276F"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.707</w:t>
            </w:r>
          </w:p>
        </w:tc>
        <w:tc>
          <w:tcPr>
            <w:tcW w:w="1288" w:type="dxa"/>
          </w:tcPr>
          <w:p w14:paraId="45D51C96" w14:textId="3295A5E8"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.725</w:t>
            </w:r>
          </w:p>
        </w:tc>
        <w:tc>
          <w:tcPr>
            <w:tcW w:w="1288" w:type="dxa"/>
          </w:tcPr>
          <w:p w14:paraId="1BB67458" w14:textId="0FB6BFAD"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.615</w:t>
            </w:r>
          </w:p>
        </w:tc>
        <w:tc>
          <w:tcPr>
            <w:tcW w:w="1288" w:type="dxa"/>
          </w:tcPr>
          <w:p w14:paraId="419A233E" w14:textId="560B50A9"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1.000</w:t>
            </w:r>
          </w:p>
        </w:tc>
        <w:tc>
          <w:tcPr>
            <w:tcW w:w="1288" w:type="dxa"/>
          </w:tcPr>
          <w:p w14:paraId="5146E21B" w14:textId="40437FBA"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−.353</w:t>
            </w:r>
          </w:p>
        </w:tc>
        <w:tc>
          <w:tcPr>
            <w:tcW w:w="1288" w:type="dxa"/>
          </w:tcPr>
          <w:p w14:paraId="275D04D2" w14:textId="5FC4D530"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.877</w:t>
            </w:r>
          </w:p>
        </w:tc>
      </w:tr>
      <w:tr w:rsidR="00DD2174" w:rsidRPr="00246CCF" w14:paraId="7731D588" w14:textId="77777777" w:rsidTr="0075232E">
        <w:tc>
          <w:tcPr>
            <w:tcW w:w="1288" w:type="dxa"/>
          </w:tcPr>
          <w:p w14:paraId="1A6B5EAB" w14:textId="774D550B"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b/>
                <w:bCs/>
                <w:color w:val="000000"/>
              </w:rPr>
              <w:t>ROE</w:t>
            </w:r>
          </w:p>
        </w:tc>
        <w:tc>
          <w:tcPr>
            <w:tcW w:w="1288" w:type="dxa"/>
          </w:tcPr>
          <w:p w14:paraId="241B87D6" w14:textId="4FF0904F"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−.855</w:t>
            </w:r>
          </w:p>
        </w:tc>
        <w:tc>
          <w:tcPr>
            <w:tcW w:w="1288" w:type="dxa"/>
          </w:tcPr>
          <w:p w14:paraId="4F36DBAE" w14:textId="320A8921"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−.852</w:t>
            </w:r>
          </w:p>
        </w:tc>
        <w:tc>
          <w:tcPr>
            <w:tcW w:w="1288" w:type="dxa"/>
          </w:tcPr>
          <w:p w14:paraId="0696923C" w14:textId="70E40C3D"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−.944*</w:t>
            </w:r>
          </w:p>
        </w:tc>
        <w:tc>
          <w:tcPr>
            <w:tcW w:w="1288" w:type="dxa"/>
          </w:tcPr>
          <w:p w14:paraId="5974AA1D" w14:textId="0B225331"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−.353</w:t>
            </w:r>
          </w:p>
        </w:tc>
        <w:tc>
          <w:tcPr>
            <w:tcW w:w="1288" w:type="dxa"/>
          </w:tcPr>
          <w:p w14:paraId="6BAEFBB7" w14:textId="7887CF4B"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1.000</w:t>
            </w:r>
          </w:p>
        </w:tc>
        <w:tc>
          <w:tcPr>
            <w:tcW w:w="1288" w:type="dxa"/>
          </w:tcPr>
          <w:p w14:paraId="32FB8BE0" w14:textId="1D337C8A"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−.502</w:t>
            </w:r>
          </w:p>
        </w:tc>
      </w:tr>
      <w:tr w:rsidR="00DD2174" w:rsidRPr="00246CCF" w14:paraId="29ED5F09" w14:textId="77777777" w:rsidTr="0075232E">
        <w:tc>
          <w:tcPr>
            <w:tcW w:w="1288" w:type="dxa"/>
          </w:tcPr>
          <w:p w14:paraId="56CE50A3" w14:textId="1263AC39" w:rsidR="00DD2174" w:rsidRPr="00246CCF" w:rsidRDefault="00DD2174" w:rsidP="00DD2174">
            <w:pPr>
              <w:spacing w:before="80" w:after="80" w:line="360" w:lineRule="auto"/>
              <w:jc w:val="both"/>
              <w:rPr>
                <w:rFonts w:ascii="Times New Roman" w:hAnsi="Times New Roman" w:cs="Times New Roman"/>
                <w:b/>
                <w:bCs/>
                <w:color w:val="000000"/>
              </w:rPr>
            </w:pPr>
            <w:r>
              <w:rPr>
                <w:rFonts w:ascii="Times New Roman" w:hAnsi="Times New Roman" w:cs="Times New Roman"/>
                <w:b/>
                <w:bCs/>
                <w:color w:val="000000"/>
              </w:rPr>
              <w:t>Div. Yield</w:t>
            </w:r>
          </w:p>
        </w:tc>
        <w:tc>
          <w:tcPr>
            <w:tcW w:w="1288" w:type="dxa"/>
          </w:tcPr>
          <w:p w14:paraId="43F861FE" w14:textId="5ADD0F5F"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.876</w:t>
            </w:r>
          </w:p>
        </w:tc>
        <w:tc>
          <w:tcPr>
            <w:tcW w:w="1288" w:type="dxa"/>
          </w:tcPr>
          <w:p w14:paraId="2AD432E1" w14:textId="593B7447"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.875</w:t>
            </w:r>
          </w:p>
        </w:tc>
        <w:tc>
          <w:tcPr>
            <w:tcW w:w="1288" w:type="dxa"/>
          </w:tcPr>
          <w:p w14:paraId="29B0A0E8" w14:textId="77B6696E"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.744</w:t>
            </w:r>
          </w:p>
        </w:tc>
        <w:tc>
          <w:tcPr>
            <w:tcW w:w="1288" w:type="dxa"/>
          </w:tcPr>
          <w:p w14:paraId="78199C79" w14:textId="3EDE3294"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.877</w:t>
            </w:r>
          </w:p>
        </w:tc>
        <w:tc>
          <w:tcPr>
            <w:tcW w:w="1288" w:type="dxa"/>
          </w:tcPr>
          <w:p w14:paraId="0994D701" w14:textId="0D287074"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−.502</w:t>
            </w:r>
          </w:p>
        </w:tc>
        <w:tc>
          <w:tcPr>
            <w:tcW w:w="1288" w:type="dxa"/>
          </w:tcPr>
          <w:p w14:paraId="2E08FD62" w14:textId="5B3D7566" w:rsidR="00DD2174" w:rsidRPr="00246CCF" w:rsidRDefault="00DD2174" w:rsidP="00DD2174">
            <w:pPr>
              <w:spacing w:before="80" w:after="80" w:line="360" w:lineRule="auto"/>
              <w:jc w:val="both"/>
              <w:rPr>
                <w:rFonts w:ascii="Times New Roman" w:hAnsi="Times New Roman" w:cs="Times New Roman"/>
              </w:rPr>
            </w:pPr>
            <w:r>
              <w:rPr>
                <w:rFonts w:ascii="Times New Roman" w:hAnsi="Times New Roman" w:cs="Times New Roman"/>
                <w:color w:val="000000"/>
              </w:rPr>
              <w:t>1.000</w:t>
            </w:r>
          </w:p>
        </w:tc>
      </w:tr>
    </w:tbl>
    <w:p w14:paraId="41702349" w14:textId="78ED8B84" w:rsidR="006E5EA7" w:rsidRPr="00246CCF" w:rsidRDefault="00DD2174" w:rsidP="00D63EDD">
      <w:pPr>
        <w:spacing w:before="80" w:after="80" w:line="360" w:lineRule="auto"/>
        <w:jc w:val="both"/>
        <w:rPr>
          <w:rFonts w:ascii="Times New Roman" w:hAnsi="Times New Roman" w:cs="Times New Roman"/>
        </w:rPr>
      </w:pPr>
      <w:r>
        <w:rPr>
          <w:rFonts w:ascii="Times New Roman" w:hAnsi="Times New Roman" w:cs="Times New Roman"/>
          <w:i/>
          <w:iCs/>
        </w:rPr>
        <w:t>Table 4.3: Pearson Correlation Matrix  |  ** Significant at 0.01 level;  * Significant at 0.05 level</w:t>
      </w:r>
    </w:p>
    <w:p w14:paraId="5B45FBE0" w14:textId="77777777" w:rsidR="0054400D" w:rsidRPr="00246CCF" w:rsidRDefault="0054400D" w:rsidP="0054400D">
      <w:pPr>
        <w:spacing w:before="80" w:after="80" w:line="360" w:lineRule="auto"/>
        <w:jc w:val="both"/>
        <w:rPr>
          <w:rFonts w:ascii="Times New Roman" w:hAnsi="Times New Roman" w:cs="Times New Roman"/>
        </w:rPr>
      </w:pPr>
      <w:r>
        <w:rPr>
          <w:rFonts w:ascii="Times New Roman" w:hAnsi="Times New Roman" w:cs="Times New Roman"/>
        </w:rPr>
        <w:t>These correlation results are both academically and practically significant in several ways. Firstly, the nearly perfect positive correlation coefficient (r = 0.999, p = 0.000) between DPS and EPS clearly shows that dividend payments by SBI are entirely earnings-based. The most important outcome of the study can be found in the very strong positive correlation between DPS and MPS (r = 0.973, p = 0.005). This result clearly provides empirical support to the fundamental proposition that the increase in dividend payments is positively linked with higher stock prices and therefore greater wealth for shareholders.</w:t>
      </w:r>
    </w:p>
    <w:p w14:paraId="26DC9C77" w14:textId="77777777" w:rsidR="0054400D" w:rsidRPr="00246CCF" w:rsidRDefault="0054400D" w:rsidP="0054400D">
      <w:pPr>
        <w:spacing w:before="80" w:after="80" w:line="360" w:lineRule="auto"/>
        <w:jc w:val="both"/>
        <w:rPr>
          <w:rFonts w:ascii="Times New Roman" w:hAnsi="Times New Roman" w:cs="Times New Roman"/>
        </w:rPr>
      </w:pPr>
    </w:p>
    <w:p w14:paraId="22158871" w14:textId="3873E8EF" w:rsidR="006B3C13" w:rsidRPr="00246CCF" w:rsidRDefault="0054400D" w:rsidP="0054400D">
      <w:pPr>
        <w:spacing w:before="80" w:after="80" w:line="360" w:lineRule="auto"/>
        <w:jc w:val="both"/>
        <w:rPr>
          <w:rFonts w:ascii="Times New Roman" w:hAnsi="Times New Roman" w:cs="Times New Roman"/>
        </w:rPr>
      </w:pPr>
      <w:r>
        <w:rPr>
          <w:rFonts w:ascii="Times New Roman" w:hAnsi="Times New Roman" w:cs="Times New Roman"/>
        </w:rPr>
        <w:t>There is also a very strong positive correlation between EPS and MPS (r = 0.970, p = 0.006). DPR is positively correlated with EPS, DPS, and MPS, but its correlation values do not meet the significance level. These findings are consistent with Miller &amp; Modigliani's (1961) view, in which absolute dividend payments (DPS) rather than dividend policies matter more to investors and stakeholders.</w:t>
      </w:r>
    </w:p>
    <w:p w14:paraId="512DFA85" w14:textId="16043611" w:rsidR="00685B44" w:rsidRPr="00246CCF" w:rsidRDefault="00685B44" w:rsidP="0054400D">
      <w:pPr>
        <w:spacing w:before="80" w:after="80" w:line="360" w:lineRule="auto"/>
        <w:jc w:val="both"/>
        <w:rPr>
          <w:rFonts w:ascii="Times New Roman" w:hAnsi="Times New Roman" w:cs="Times New Roman"/>
        </w:rPr>
      </w:pPr>
      <w:r>
        <w:rPr>
          <w:rFonts w:ascii="Times New Roman" w:hAnsi="Times New Roman" w:cs="Times New Roman"/>
        </w:rPr>
        <w:t>The correlation between ROE and MPS being negative (r = -0.944, p=0.016) needs careful analysis since the results have been obtained from a very small sample size (N=5). In fact, this has been attributed to non-linear behaviour, which occurs in specific phases. In particular, MPS grew at an even faster rate than ROE when SBI was growing.</w:t>
      </w:r>
    </w:p>
    <w:p w14:paraId="70333E1A" w14:textId="5EA78026" w:rsidR="00C94BF7" w:rsidRPr="00246CCF" w:rsidRDefault="00C94BF7" w:rsidP="00C94BF7">
      <w:pPr>
        <w:spacing w:before="180" w:after="80"/>
        <w:rPr>
          <w:rFonts w:ascii="Times New Roman" w:hAnsi="Times New Roman" w:cs="Times New Roman"/>
        </w:rPr>
      </w:pPr>
      <w:r>
        <w:rPr>
          <w:rFonts w:ascii="Times New Roman" w:hAnsi="Times New Roman" w:cs="Times New Roman"/>
          <w:b/>
          <w:bCs/>
        </w:rPr>
        <w:t xml:space="preserve"> Regression Analysis</w:t>
      </w:r>
    </w:p>
    <w:p w14:paraId="78D3E948" w14:textId="3791BC26" w:rsidR="00685B44" w:rsidRPr="00246CCF" w:rsidRDefault="00747425" w:rsidP="0054400D">
      <w:pPr>
        <w:spacing w:before="80" w:after="80" w:line="360" w:lineRule="auto"/>
        <w:jc w:val="both"/>
        <w:rPr>
          <w:rFonts w:ascii="Times New Roman" w:hAnsi="Times New Roman" w:cs="Times New Roman"/>
        </w:rPr>
      </w:pPr>
      <w:r>
        <w:rPr>
          <w:rFonts w:ascii="Times New Roman" w:hAnsi="Times New Roman" w:cs="Times New Roman"/>
        </w:rPr>
        <w:t>Regression analysis between DPS and MPS as the independent and dependent variables, respectively, was performed. Table 4.4 shows the result of the regression analysis performed using DPS and MPS.</w:t>
      </w:r>
    </w:p>
    <w:tbl>
      <w:tblPr>
        <w:tblStyle w:val="TableGrid"/>
        <w:tblW w:w="0" w:type="auto"/>
        <w:tblLook w:val="04A0" w:firstRow="1" w:lastRow="0" w:firstColumn="1" w:lastColumn="0" w:noHBand="0" w:noVBand="1"/>
      </w:tblPr>
      <w:tblGrid>
        <w:gridCol w:w="1803"/>
        <w:gridCol w:w="1803"/>
        <w:gridCol w:w="1803"/>
        <w:gridCol w:w="1803"/>
        <w:gridCol w:w="1804"/>
      </w:tblGrid>
      <w:tr w:rsidR="00EC5A63" w:rsidRPr="00246CCF" w14:paraId="2FBBDD1F" w14:textId="77777777" w:rsidTr="00EC5A63">
        <w:tc>
          <w:tcPr>
            <w:tcW w:w="1803" w:type="dxa"/>
          </w:tcPr>
          <w:p w14:paraId="039DFDD4" w14:textId="7DAE9C30" w:rsidR="00EC5A63" w:rsidRPr="00246CCF" w:rsidRDefault="00EC5A63" w:rsidP="0054400D">
            <w:pPr>
              <w:spacing w:before="80" w:after="80" w:line="360" w:lineRule="auto"/>
              <w:jc w:val="both"/>
              <w:rPr>
                <w:rFonts w:ascii="Times New Roman" w:hAnsi="Times New Roman" w:cs="Times New Roman"/>
              </w:rPr>
            </w:pPr>
          </w:p>
        </w:tc>
        <w:tc>
          <w:tcPr>
            <w:tcW w:w="1803" w:type="dxa"/>
          </w:tcPr>
          <w:p w14:paraId="5F1F5773" w14:textId="55F4C0C2" w:rsidR="00EC5A63" w:rsidRPr="00246CCF" w:rsidRDefault="00D26AD2" w:rsidP="0054400D">
            <w:pPr>
              <w:spacing w:before="80" w:after="80" w:line="360" w:lineRule="auto"/>
              <w:jc w:val="both"/>
              <w:rPr>
                <w:rFonts w:ascii="Times New Roman" w:hAnsi="Times New Roman" w:cs="Times New Roman"/>
              </w:rPr>
            </w:pPr>
            <w:r>
              <w:rPr>
                <w:rFonts w:ascii="Times New Roman" w:hAnsi="Times New Roman" w:cs="Times New Roman"/>
              </w:rPr>
              <w:t>value</w:t>
            </w:r>
          </w:p>
        </w:tc>
        <w:tc>
          <w:tcPr>
            <w:tcW w:w="1803" w:type="dxa"/>
          </w:tcPr>
          <w:p w14:paraId="506AC1C6" w14:textId="2BA5E5CA" w:rsidR="00EC5A63" w:rsidRPr="00246CCF" w:rsidRDefault="005B7B07" w:rsidP="0054400D">
            <w:pPr>
              <w:spacing w:before="80" w:after="80" w:line="360" w:lineRule="auto"/>
              <w:jc w:val="both"/>
              <w:rPr>
                <w:rFonts w:ascii="Times New Roman" w:hAnsi="Times New Roman" w:cs="Times New Roman"/>
              </w:rPr>
            </w:pPr>
            <w:r>
              <w:rPr>
                <w:rFonts w:ascii="Times New Roman" w:hAnsi="Times New Roman" w:cs="Times New Roman"/>
              </w:rPr>
              <w:t>F Statistic</w:t>
            </w:r>
          </w:p>
        </w:tc>
        <w:tc>
          <w:tcPr>
            <w:tcW w:w="1803" w:type="dxa"/>
          </w:tcPr>
          <w:p w14:paraId="2A98B175" w14:textId="4539E2E0" w:rsidR="00EC5A63" w:rsidRPr="00246CCF" w:rsidRDefault="005B7B07" w:rsidP="0054400D">
            <w:pPr>
              <w:spacing w:before="80" w:after="80" w:line="360" w:lineRule="auto"/>
              <w:jc w:val="both"/>
              <w:rPr>
                <w:rFonts w:ascii="Times New Roman" w:hAnsi="Times New Roman" w:cs="Times New Roman"/>
              </w:rPr>
            </w:pPr>
            <w:r>
              <w:rPr>
                <w:rFonts w:ascii="Times New Roman" w:hAnsi="Times New Roman" w:cs="Times New Roman"/>
              </w:rPr>
              <w:t>Significance</w:t>
            </w:r>
          </w:p>
        </w:tc>
        <w:tc>
          <w:tcPr>
            <w:tcW w:w="1804" w:type="dxa"/>
          </w:tcPr>
          <w:p w14:paraId="3EDC97E4" w14:textId="0F9DD08A" w:rsidR="00EC5A63" w:rsidRPr="00246CCF" w:rsidRDefault="00276016" w:rsidP="0054400D">
            <w:pPr>
              <w:spacing w:before="80" w:after="80" w:line="360" w:lineRule="auto"/>
              <w:jc w:val="both"/>
              <w:rPr>
                <w:rFonts w:ascii="Times New Roman" w:hAnsi="Times New Roman" w:cs="Times New Roman"/>
              </w:rPr>
            </w:pPr>
            <w:r>
              <w:rPr>
                <w:rFonts w:ascii="Times New Roman" w:hAnsi="Times New Roman" w:cs="Times New Roman"/>
              </w:rPr>
              <w:t>Interpretation</w:t>
            </w:r>
          </w:p>
        </w:tc>
      </w:tr>
      <w:tr w:rsidR="00F03367" w:rsidRPr="00246CCF" w14:paraId="19FF2A91" w14:textId="77777777" w:rsidTr="00EC5A63">
        <w:tc>
          <w:tcPr>
            <w:tcW w:w="1803" w:type="dxa"/>
          </w:tcPr>
          <w:p w14:paraId="551EB930" w14:textId="7350961E"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R (Pearson Correlation)</w:t>
            </w:r>
          </w:p>
        </w:tc>
        <w:tc>
          <w:tcPr>
            <w:tcW w:w="1803" w:type="dxa"/>
          </w:tcPr>
          <w:p w14:paraId="16B358DB" w14:textId="62EE06F4"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0.973</w:t>
            </w:r>
          </w:p>
        </w:tc>
        <w:tc>
          <w:tcPr>
            <w:tcW w:w="1803" w:type="dxa"/>
          </w:tcPr>
          <w:p w14:paraId="79648B0B" w14:textId="5F85296C"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3" w:type="dxa"/>
          </w:tcPr>
          <w:p w14:paraId="21371BC2" w14:textId="0AB9F822"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4" w:type="dxa"/>
          </w:tcPr>
          <w:p w14:paraId="5A30B791" w14:textId="5CD334E4"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Near-perfect fit</w:t>
            </w:r>
          </w:p>
        </w:tc>
      </w:tr>
      <w:tr w:rsidR="00F03367" w:rsidRPr="00246CCF" w14:paraId="48C6644D" w14:textId="77777777" w:rsidTr="00EC5A63">
        <w:tc>
          <w:tcPr>
            <w:tcW w:w="1803" w:type="dxa"/>
          </w:tcPr>
          <w:p w14:paraId="6D10BDF0" w14:textId="759BEA71"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R² (Coefficient of Determination)</w:t>
            </w:r>
          </w:p>
        </w:tc>
        <w:tc>
          <w:tcPr>
            <w:tcW w:w="1803" w:type="dxa"/>
          </w:tcPr>
          <w:p w14:paraId="3653820B" w14:textId="608DA66A"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0.948</w:t>
            </w:r>
          </w:p>
        </w:tc>
        <w:tc>
          <w:tcPr>
            <w:tcW w:w="1803" w:type="dxa"/>
          </w:tcPr>
          <w:p w14:paraId="3CB0C287" w14:textId="1292F75E"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3" w:type="dxa"/>
          </w:tcPr>
          <w:p w14:paraId="64238969" w14:textId="1B70F13E"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4" w:type="dxa"/>
          </w:tcPr>
          <w:p w14:paraId="425B6F37" w14:textId="2DA0EC0A"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94.8% variance explained</w:t>
            </w:r>
          </w:p>
        </w:tc>
      </w:tr>
      <w:tr w:rsidR="00F03367" w:rsidRPr="00246CCF" w14:paraId="07A369BA" w14:textId="77777777" w:rsidTr="00EC5A63">
        <w:tc>
          <w:tcPr>
            <w:tcW w:w="1803" w:type="dxa"/>
          </w:tcPr>
          <w:p w14:paraId="7E02B735" w14:textId="797DE077"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Adjusted R²</w:t>
            </w:r>
          </w:p>
        </w:tc>
        <w:tc>
          <w:tcPr>
            <w:tcW w:w="1803" w:type="dxa"/>
          </w:tcPr>
          <w:p w14:paraId="493B7945" w14:textId="3536204D"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0.930</w:t>
            </w:r>
          </w:p>
        </w:tc>
        <w:tc>
          <w:tcPr>
            <w:tcW w:w="1803" w:type="dxa"/>
          </w:tcPr>
          <w:p w14:paraId="09A82037" w14:textId="2B28908A"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3" w:type="dxa"/>
          </w:tcPr>
          <w:p w14:paraId="11E890C9" w14:textId="56E3A431"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4" w:type="dxa"/>
          </w:tcPr>
          <w:p w14:paraId="22072858" w14:textId="118C13FA"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93% after correction</w:t>
            </w:r>
          </w:p>
        </w:tc>
      </w:tr>
      <w:tr w:rsidR="00F03367" w:rsidRPr="00246CCF" w14:paraId="3BB84CB8" w14:textId="77777777" w:rsidTr="00EC5A63">
        <w:tc>
          <w:tcPr>
            <w:tcW w:w="1803" w:type="dxa"/>
          </w:tcPr>
          <w:p w14:paraId="231BA910" w14:textId="6D193954"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Std. Error of Estimate</w:t>
            </w:r>
          </w:p>
        </w:tc>
        <w:tc>
          <w:tcPr>
            <w:tcW w:w="1803" w:type="dxa"/>
          </w:tcPr>
          <w:p w14:paraId="77318FE5" w14:textId="7882041C"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₹50.19</w:t>
            </w:r>
          </w:p>
        </w:tc>
        <w:tc>
          <w:tcPr>
            <w:tcW w:w="1803" w:type="dxa"/>
          </w:tcPr>
          <w:p w14:paraId="436A302A" w14:textId="4E3DCB3C"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3" w:type="dxa"/>
          </w:tcPr>
          <w:p w14:paraId="5BC68B5B" w14:textId="761EDD2A"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4" w:type="dxa"/>
          </w:tcPr>
          <w:p w14:paraId="6ADD0290" w14:textId="45E71737"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High model accuracy</w:t>
            </w:r>
          </w:p>
        </w:tc>
      </w:tr>
      <w:tr w:rsidR="00F03367" w:rsidRPr="00246CCF" w14:paraId="79A63255" w14:textId="77777777" w:rsidTr="00EC5A63">
        <w:tc>
          <w:tcPr>
            <w:tcW w:w="1803" w:type="dxa"/>
          </w:tcPr>
          <w:p w14:paraId="2863F2CE" w14:textId="7BB92E58"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ANOVA F-Statistic</w:t>
            </w:r>
          </w:p>
        </w:tc>
        <w:tc>
          <w:tcPr>
            <w:tcW w:w="1803" w:type="dxa"/>
          </w:tcPr>
          <w:p w14:paraId="1D669903" w14:textId="2EE493B8"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3" w:type="dxa"/>
          </w:tcPr>
          <w:p w14:paraId="0408C935" w14:textId="33AA931E"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54.154</w:t>
            </w:r>
          </w:p>
        </w:tc>
        <w:tc>
          <w:tcPr>
            <w:tcW w:w="1803" w:type="dxa"/>
          </w:tcPr>
          <w:p w14:paraId="601BA3CF" w14:textId="19178DA5"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0.005 (&lt;0.01)</w:t>
            </w:r>
          </w:p>
        </w:tc>
        <w:tc>
          <w:tcPr>
            <w:tcW w:w="1804" w:type="dxa"/>
          </w:tcPr>
          <w:p w14:paraId="1F6826D3" w14:textId="4D727810"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Model highly significant</w:t>
            </w:r>
          </w:p>
        </w:tc>
      </w:tr>
      <w:tr w:rsidR="00F03367" w:rsidRPr="00246CCF" w14:paraId="34C0FD7A" w14:textId="77777777" w:rsidTr="00EC5A63">
        <w:tc>
          <w:tcPr>
            <w:tcW w:w="1803" w:type="dxa"/>
          </w:tcPr>
          <w:p w14:paraId="1FBC433E" w14:textId="6AC8FCD9" w:rsidR="00F03367" w:rsidRPr="00246CCF" w:rsidRDefault="00F03367" w:rsidP="00F03367">
            <w:pPr>
              <w:spacing w:before="80" w:after="80" w:line="360" w:lineRule="auto"/>
              <w:jc w:val="both"/>
              <w:rPr>
                <w:rFonts w:ascii="Times New Roman" w:hAnsi="Times New Roman" w:cs="Times New Roman"/>
                <w:color w:val="000000"/>
              </w:rPr>
            </w:pPr>
            <w:r>
              <w:rPr>
                <w:rFonts w:ascii="Times New Roman" w:hAnsi="Times New Roman" w:cs="Times New Roman"/>
                <w:color w:val="000000"/>
              </w:rPr>
              <w:t>Constant (β₀)</w:t>
            </w:r>
          </w:p>
        </w:tc>
        <w:tc>
          <w:tcPr>
            <w:tcW w:w="1803" w:type="dxa"/>
          </w:tcPr>
          <w:p w14:paraId="146C6124" w14:textId="1203C2E7"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272.185</w:t>
            </w:r>
          </w:p>
        </w:tc>
        <w:tc>
          <w:tcPr>
            <w:tcW w:w="1803" w:type="dxa"/>
          </w:tcPr>
          <w:p w14:paraId="1CD75DB9" w14:textId="31DAA2F7"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w:t>
            </w:r>
          </w:p>
        </w:tc>
        <w:tc>
          <w:tcPr>
            <w:tcW w:w="1803" w:type="dxa"/>
          </w:tcPr>
          <w:p w14:paraId="0D334C2A" w14:textId="37A1B04F"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0.018 (&lt;0.05)</w:t>
            </w:r>
          </w:p>
        </w:tc>
        <w:tc>
          <w:tcPr>
            <w:tcW w:w="1804" w:type="dxa"/>
          </w:tcPr>
          <w:p w14:paraId="03FDA574" w14:textId="3B74EAE9"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Statistically significant</w:t>
            </w:r>
          </w:p>
        </w:tc>
      </w:tr>
      <w:tr w:rsidR="00F03367" w:rsidRPr="00246CCF" w14:paraId="6A3DCC37" w14:textId="77777777" w:rsidTr="00EC5A63">
        <w:tc>
          <w:tcPr>
            <w:tcW w:w="1803" w:type="dxa"/>
          </w:tcPr>
          <w:p w14:paraId="7985BD0C" w14:textId="5FD05516" w:rsidR="00F03367" w:rsidRPr="00246CCF" w:rsidRDefault="00F03367" w:rsidP="00F03367">
            <w:pPr>
              <w:spacing w:before="80" w:after="80" w:line="360" w:lineRule="auto"/>
              <w:jc w:val="both"/>
              <w:rPr>
                <w:rFonts w:ascii="Times New Roman" w:hAnsi="Times New Roman" w:cs="Times New Roman"/>
                <w:color w:val="000000"/>
              </w:rPr>
            </w:pPr>
            <w:r>
              <w:rPr>
                <w:rFonts w:ascii="Times New Roman" w:hAnsi="Times New Roman" w:cs="Times New Roman"/>
                <w:color w:val="000000"/>
              </w:rPr>
              <w:t>DPS Coefficient (β₁)</w:t>
            </w:r>
          </w:p>
        </w:tc>
        <w:tc>
          <w:tcPr>
            <w:tcW w:w="1803" w:type="dxa"/>
          </w:tcPr>
          <w:p w14:paraId="1AB25D83" w14:textId="3558CF37"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37.463</w:t>
            </w:r>
          </w:p>
        </w:tc>
        <w:tc>
          <w:tcPr>
            <w:tcW w:w="1803" w:type="dxa"/>
          </w:tcPr>
          <w:p w14:paraId="47BA30A6" w14:textId="2BAAB8FF"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7.359 (t)</w:t>
            </w:r>
          </w:p>
        </w:tc>
        <w:tc>
          <w:tcPr>
            <w:tcW w:w="1803" w:type="dxa"/>
          </w:tcPr>
          <w:p w14:paraId="4CE923C6" w14:textId="50F59779"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0.005 (&lt;0.01)</w:t>
            </w:r>
          </w:p>
        </w:tc>
        <w:tc>
          <w:tcPr>
            <w:tcW w:w="1804" w:type="dxa"/>
          </w:tcPr>
          <w:p w14:paraId="270E4A1C" w14:textId="0F64B21B" w:rsidR="00F03367" w:rsidRPr="00246CCF" w:rsidRDefault="00F03367" w:rsidP="00F03367">
            <w:pPr>
              <w:spacing w:before="80" w:after="80" w:line="360" w:lineRule="auto"/>
              <w:jc w:val="both"/>
              <w:rPr>
                <w:rFonts w:ascii="Times New Roman" w:hAnsi="Times New Roman" w:cs="Times New Roman"/>
              </w:rPr>
            </w:pPr>
            <w:r>
              <w:rPr>
                <w:rFonts w:ascii="Times New Roman" w:hAnsi="Times New Roman" w:cs="Times New Roman"/>
                <w:color w:val="000000"/>
              </w:rPr>
              <w:t>37x wealth multiplier</w:t>
            </w:r>
          </w:p>
        </w:tc>
      </w:tr>
    </w:tbl>
    <w:p w14:paraId="6F3CBC75" w14:textId="77777777" w:rsidR="00C06C2E" w:rsidRPr="00246CCF" w:rsidRDefault="00C06C2E" w:rsidP="0054400D">
      <w:pPr>
        <w:spacing w:before="80" w:after="80" w:line="360" w:lineRule="auto"/>
        <w:jc w:val="both"/>
        <w:rPr>
          <w:rFonts w:ascii="Times New Roman" w:hAnsi="Times New Roman" w:cs="Times New Roman"/>
        </w:rPr>
      </w:pPr>
    </w:p>
    <w:p w14:paraId="3729B22E" w14:textId="726296B0" w:rsidR="002B2192" w:rsidRPr="00246CCF" w:rsidRDefault="002B2192" w:rsidP="0054400D">
      <w:pPr>
        <w:spacing w:before="80" w:after="80" w:line="360" w:lineRule="auto"/>
        <w:jc w:val="both"/>
        <w:rPr>
          <w:rFonts w:ascii="Times New Roman" w:hAnsi="Times New Roman" w:cs="Times New Roman"/>
        </w:rPr>
      </w:pPr>
      <w:r>
        <w:rPr>
          <w:rFonts w:ascii="Times New Roman" w:hAnsi="Times New Roman" w:cs="Times New Roman"/>
        </w:rPr>
        <w:t xml:space="preserve">An extremely high value of R² at 0.948 suggests that DPS alone explains the change in the market price per share of the company up to 94.8%. After making adjustments to compensate for sample size, the adjusted R² of 0.930 reiterates the high explanatory power. In addition, the ANOVA F-statistic of 54.154 (p-value = 0.005) rejects the null hypothesis </w:t>
      </w:r>
      <w:sdt>
        <w:sdtPr>
          <w:rPr>
            <w:rFonts w:ascii="Times New Roman" w:hAnsi="Times New Roman" w:cs="Times New Roman"/>
          </w:rPr>
          <w:id w:val="1306740561"/>
          <w:citation/>
        </w:sdtPr>
        <w:sdtEndPr/>
        <w:sdtContent>
          <w:r>
            <w:rPr>
              <w:rFonts w:ascii="Times New Roman" w:hAnsi="Times New Roman" w:cs="Times New Roman"/>
            </w:rPr>
            <w:fldChar w:fldCharType="begin"/>
          </w:r>
          <w:r>
            <w:rPr>
              <w:rFonts w:ascii="Times New Roman" w:hAnsi="Times New Roman" w:cs="Times New Roman"/>
              <w:lang w:val="en-US"/>
            </w:rPr>
            <w:instrText xml:space="preserve"> CITATION Asm141 \l 1033 </w:instrText>
          </w:r>
          <w:r>
            <w:rPr>
              <w:rFonts w:ascii="Times New Roman" w:hAnsi="Times New Roman" w:cs="Times New Roman"/>
            </w:rPr>
            <w:fldChar w:fldCharType="separate"/>
          </w:r>
          <w:r>
            <w:rPr>
              <w:rFonts w:ascii="Times New Roman" w:hAnsi="Times New Roman" w:cs="Times New Roman"/>
              <w:noProof/>
              <w:lang w:val="en-US"/>
            </w:rPr>
            <w:t>(AsmaTahir, (2014).)</w:t>
          </w:r>
          <w:r>
            <w:rPr>
              <w:rFonts w:ascii="Times New Roman" w:hAnsi="Times New Roman" w:cs="Times New Roman"/>
            </w:rPr>
            <w:fldChar w:fldCharType="end"/>
          </w:r>
        </w:sdtContent>
      </w:sdt>
      <w:r>
        <w:rPr>
          <w:rFonts w:ascii="Times New Roman" w:hAnsi="Times New Roman" w:cs="Times New Roman"/>
        </w:rPr>
        <w:t>.</w:t>
      </w:r>
    </w:p>
    <w:p w14:paraId="70EAF461" w14:textId="77777777" w:rsidR="00CD66E1" w:rsidRDefault="00D51FF4" w:rsidP="00EE146D">
      <w:pPr>
        <w:spacing w:before="80" w:after="80" w:line="360" w:lineRule="auto"/>
        <w:jc w:val="both"/>
        <w:rPr>
          <w:rFonts w:ascii="Times New Roman" w:hAnsi="Times New Roman" w:cs="Times New Roman"/>
        </w:rPr>
      </w:pPr>
      <w:r>
        <w:rPr>
          <w:rFonts w:ascii="Times New Roman" w:hAnsi="Times New Roman" w:cs="Times New Roman"/>
        </w:rPr>
        <w:t>It is the value of 37.463 (p = 0.005), which is more relevant and significant as it implies that every additional ₹1 paid by the company as dividend per share increases the market price per share of the firm by approximately ₹37.46. In this way, there exists a 37x leverage of wealth created through dividends. Model validation shows the accuracy of the prediction: for FY2025, where DPS is estimated to be ₹15.90, MPS = 272.185 + (37.463 × 15.90) = ₹867.85, while actual value is ₹910.2</w:t>
      </w:r>
    </w:p>
    <w:p w14:paraId="109160B4" w14:textId="432B5865" w:rsidR="00EE146D" w:rsidRPr="00CD66E1" w:rsidRDefault="00EE146D" w:rsidP="00EE146D">
      <w:pPr>
        <w:spacing w:before="80" w:after="80" w:line="360" w:lineRule="auto"/>
        <w:jc w:val="both"/>
        <w:rPr>
          <w:rFonts w:ascii="Times New Roman" w:hAnsi="Times New Roman" w:cs="Times New Roman"/>
        </w:rPr>
      </w:pPr>
      <w:r>
        <w:rPr>
          <w:rFonts w:ascii="Times New Roman" w:hAnsi="Times New Roman" w:cs="Times New Roman"/>
          <w:b/>
          <w:bCs/>
        </w:rPr>
        <w:t xml:space="preserve"> Trend Analysis</w:t>
      </w:r>
    </w:p>
    <w:p w14:paraId="50DC2E2C" w14:textId="60DEB096" w:rsidR="00D51FF4" w:rsidRPr="00246CCF" w:rsidRDefault="00EE146D" w:rsidP="00EE146D">
      <w:pPr>
        <w:spacing w:before="80" w:after="80" w:line="360" w:lineRule="auto"/>
        <w:jc w:val="both"/>
        <w:rPr>
          <w:rFonts w:ascii="Times New Roman" w:hAnsi="Times New Roman" w:cs="Times New Roman"/>
        </w:rPr>
      </w:pPr>
      <w:r>
        <w:rPr>
          <w:rFonts w:ascii="Times New Roman" w:hAnsi="Times New Roman" w:cs="Times New Roman"/>
        </w:rPr>
        <w:t>DPS increased from ₹4.00 in FY2021 to ₹15.90 in FY2025 with a CAGR of around 41.2% that is significantly higher than the expected rate of increase for dividends paid by companies in the stock markets. The fastest growth of dividends was during the FY2021-FY2023 period (₹4.00 -&gt; ₹11.30), which coincided with the SBI profit recovery following the post-COVID recession. Growth moderation during FY2023-FY2025 (₹11.30 -&gt; ₹15.90) was because of financial prudence, where the company retained a consistent 20% DPR rather than paying out excessive amounts of profits. This follows the same pattern as the MPS trend (₹451 -&gt; ₹910).</w:t>
      </w:r>
    </w:p>
    <w:p w14:paraId="0F3F5967" w14:textId="7F4DA1D9" w:rsidR="00F74793" w:rsidRPr="00246CCF" w:rsidRDefault="00F74793" w:rsidP="00F74793">
      <w:pPr>
        <w:spacing w:before="180" w:after="80"/>
        <w:rPr>
          <w:rFonts w:ascii="Times New Roman" w:hAnsi="Times New Roman" w:cs="Times New Roman"/>
        </w:rPr>
      </w:pPr>
      <w:r>
        <w:rPr>
          <w:rFonts w:ascii="Times New Roman" w:hAnsi="Times New Roman" w:cs="Times New Roman"/>
          <w:b/>
          <w:bCs/>
        </w:rPr>
        <w:t xml:space="preserve"> Peers Comparison</w:t>
      </w:r>
    </w:p>
    <w:p w14:paraId="0C556CBC" w14:textId="77777777" w:rsidR="00F74793" w:rsidRPr="00246CCF" w:rsidRDefault="00F74793" w:rsidP="00F74793">
      <w:pPr>
        <w:spacing w:before="80" w:after="80" w:line="360" w:lineRule="auto"/>
        <w:ind w:firstLine="720"/>
        <w:jc w:val="both"/>
        <w:rPr>
          <w:rFonts w:ascii="Times New Roman" w:hAnsi="Times New Roman" w:cs="Times New Roman"/>
        </w:rPr>
      </w:pPr>
      <w:r>
        <w:rPr>
          <w:rFonts w:ascii="Times New Roman" w:hAnsi="Times New Roman" w:cs="Times New Roman"/>
        </w:rPr>
        <w:t>Table 4.5 presents DPS data for SBI and its three direct public sector banking peers.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74742" w:rsidRPr="00246CCF" w14:paraId="17790C24" w14:textId="77777777" w:rsidTr="00C74742">
        <w:tc>
          <w:tcPr>
            <w:tcW w:w="1502" w:type="dxa"/>
          </w:tcPr>
          <w:p w14:paraId="5D07204B" w14:textId="256B27AC" w:rsidR="00C74742" w:rsidRPr="00246CCF" w:rsidRDefault="00C74742" w:rsidP="00F74793">
            <w:pPr>
              <w:spacing w:before="80" w:after="80" w:line="360" w:lineRule="auto"/>
              <w:jc w:val="both"/>
              <w:rPr>
                <w:rFonts w:ascii="Times New Roman" w:hAnsi="Times New Roman" w:cs="Times New Roman"/>
                <w:b/>
                <w:bCs/>
              </w:rPr>
            </w:pPr>
            <w:r>
              <w:rPr>
                <w:rFonts w:ascii="Times New Roman" w:hAnsi="Times New Roman" w:cs="Times New Roman"/>
                <w:b/>
                <w:bCs/>
              </w:rPr>
              <w:t>Bank</w:t>
            </w:r>
          </w:p>
        </w:tc>
        <w:tc>
          <w:tcPr>
            <w:tcW w:w="1502" w:type="dxa"/>
          </w:tcPr>
          <w:p w14:paraId="756EC372" w14:textId="38896AAA" w:rsidR="00C74742" w:rsidRPr="00246CCF" w:rsidRDefault="00C74742" w:rsidP="00F74793">
            <w:pPr>
              <w:spacing w:before="80" w:after="80" w:line="360" w:lineRule="auto"/>
              <w:jc w:val="both"/>
              <w:rPr>
                <w:rFonts w:ascii="Times New Roman" w:hAnsi="Times New Roman" w:cs="Times New Roman"/>
                <w:b/>
                <w:bCs/>
              </w:rPr>
            </w:pPr>
            <w:r>
              <w:rPr>
                <w:rFonts w:ascii="Times New Roman" w:hAnsi="Times New Roman" w:cs="Times New Roman"/>
                <w:b/>
                <w:bCs/>
              </w:rPr>
              <w:t>FY2021</w:t>
            </w:r>
          </w:p>
        </w:tc>
        <w:tc>
          <w:tcPr>
            <w:tcW w:w="1503" w:type="dxa"/>
          </w:tcPr>
          <w:p w14:paraId="354CE354" w14:textId="44EAAC7B" w:rsidR="00C74742" w:rsidRPr="00246CCF" w:rsidRDefault="00C74742" w:rsidP="00F74793">
            <w:pPr>
              <w:spacing w:before="80" w:after="80" w:line="360" w:lineRule="auto"/>
              <w:jc w:val="both"/>
              <w:rPr>
                <w:rFonts w:ascii="Times New Roman" w:hAnsi="Times New Roman" w:cs="Times New Roman"/>
                <w:b/>
                <w:bCs/>
              </w:rPr>
            </w:pPr>
            <w:r>
              <w:rPr>
                <w:rFonts w:ascii="Times New Roman" w:hAnsi="Times New Roman" w:cs="Times New Roman"/>
                <w:b/>
                <w:bCs/>
              </w:rPr>
              <w:t>FY2022</w:t>
            </w:r>
          </w:p>
        </w:tc>
        <w:tc>
          <w:tcPr>
            <w:tcW w:w="1503" w:type="dxa"/>
          </w:tcPr>
          <w:p w14:paraId="61B9CB2E" w14:textId="0687D5F8" w:rsidR="00C74742" w:rsidRPr="00246CCF" w:rsidRDefault="00C74742" w:rsidP="00F74793">
            <w:pPr>
              <w:spacing w:before="80" w:after="80" w:line="360" w:lineRule="auto"/>
              <w:jc w:val="both"/>
              <w:rPr>
                <w:rFonts w:ascii="Times New Roman" w:hAnsi="Times New Roman" w:cs="Times New Roman"/>
                <w:b/>
                <w:bCs/>
              </w:rPr>
            </w:pPr>
            <w:r>
              <w:rPr>
                <w:rFonts w:ascii="Times New Roman" w:hAnsi="Times New Roman" w:cs="Times New Roman"/>
                <w:b/>
                <w:bCs/>
              </w:rPr>
              <w:t>FY2023</w:t>
            </w:r>
          </w:p>
        </w:tc>
        <w:tc>
          <w:tcPr>
            <w:tcW w:w="1503" w:type="dxa"/>
          </w:tcPr>
          <w:p w14:paraId="2FB4905C" w14:textId="7234C002" w:rsidR="00C74742" w:rsidRPr="00246CCF" w:rsidRDefault="00C74742" w:rsidP="00F74793">
            <w:pPr>
              <w:spacing w:before="80" w:after="80" w:line="360" w:lineRule="auto"/>
              <w:jc w:val="both"/>
              <w:rPr>
                <w:rFonts w:ascii="Times New Roman" w:hAnsi="Times New Roman" w:cs="Times New Roman"/>
                <w:b/>
                <w:bCs/>
              </w:rPr>
            </w:pPr>
            <w:r>
              <w:rPr>
                <w:rFonts w:ascii="Times New Roman" w:hAnsi="Times New Roman" w:cs="Times New Roman"/>
                <w:b/>
                <w:bCs/>
              </w:rPr>
              <w:t>FY2024</w:t>
            </w:r>
          </w:p>
        </w:tc>
        <w:tc>
          <w:tcPr>
            <w:tcW w:w="1503" w:type="dxa"/>
          </w:tcPr>
          <w:p w14:paraId="3D12DB6F" w14:textId="1F0DC8CD" w:rsidR="00C74742" w:rsidRPr="00246CCF" w:rsidRDefault="00C74742" w:rsidP="00F74793">
            <w:pPr>
              <w:spacing w:before="80" w:after="80" w:line="360" w:lineRule="auto"/>
              <w:jc w:val="both"/>
              <w:rPr>
                <w:rFonts w:ascii="Times New Roman" w:hAnsi="Times New Roman" w:cs="Times New Roman"/>
                <w:b/>
                <w:bCs/>
              </w:rPr>
            </w:pPr>
            <w:r>
              <w:rPr>
                <w:rFonts w:ascii="Times New Roman" w:hAnsi="Times New Roman" w:cs="Times New Roman"/>
                <w:b/>
                <w:bCs/>
              </w:rPr>
              <w:t>FY2025</w:t>
            </w:r>
          </w:p>
        </w:tc>
      </w:tr>
      <w:tr w:rsidR="004A5905" w:rsidRPr="00246CCF" w14:paraId="401BD5DA" w14:textId="77777777" w:rsidTr="00C74742">
        <w:tc>
          <w:tcPr>
            <w:tcW w:w="1502" w:type="dxa"/>
          </w:tcPr>
          <w:p w14:paraId="19D37A40" w14:textId="29953A8F"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b/>
                <w:bCs/>
                <w:color w:val="000000"/>
              </w:rPr>
              <w:t>SBI</w:t>
            </w:r>
          </w:p>
        </w:tc>
        <w:tc>
          <w:tcPr>
            <w:tcW w:w="1502" w:type="dxa"/>
          </w:tcPr>
          <w:p w14:paraId="6105B36D" w14:textId="016D327C"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b/>
                <w:bCs/>
                <w:color w:val="000000"/>
              </w:rPr>
              <w:t>₹4.00</w:t>
            </w:r>
          </w:p>
        </w:tc>
        <w:tc>
          <w:tcPr>
            <w:tcW w:w="1503" w:type="dxa"/>
          </w:tcPr>
          <w:p w14:paraId="32C1560F" w14:textId="6CB24F88"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b/>
                <w:bCs/>
                <w:color w:val="000000"/>
              </w:rPr>
              <w:t>₹7.10</w:t>
            </w:r>
          </w:p>
        </w:tc>
        <w:tc>
          <w:tcPr>
            <w:tcW w:w="1503" w:type="dxa"/>
          </w:tcPr>
          <w:p w14:paraId="3E0F41C9" w14:textId="129BA463"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b/>
                <w:bCs/>
                <w:color w:val="000000"/>
              </w:rPr>
              <w:t>₹11.30</w:t>
            </w:r>
          </w:p>
        </w:tc>
        <w:tc>
          <w:tcPr>
            <w:tcW w:w="1503" w:type="dxa"/>
          </w:tcPr>
          <w:p w14:paraId="6A5B88AB" w14:textId="67B02EB3"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b/>
                <w:bCs/>
                <w:color w:val="000000"/>
              </w:rPr>
              <w:t>₹13.70</w:t>
            </w:r>
          </w:p>
        </w:tc>
        <w:tc>
          <w:tcPr>
            <w:tcW w:w="1503" w:type="dxa"/>
          </w:tcPr>
          <w:p w14:paraId="5497015B" w14:textId="488BC2A6"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b/>
                <w:bCs/>
                <w:color w:val="000000"/>
              </w:rPr>
              <w:t>₹15.90</w:t>
            </w:r>
          </w:p>
        </w:tc>
      </w:tr>
      <w:tr w:rsidR="004A5905" w:rsidRPr="00246CCF" w14:paraId="28288D6D" w14:textId="77777777" w:rsidTr="00C74742">
        <w:tc>
          <w:tcPr>
            <w:tcW w:w="1502" w:type="dxa"/>
          </w:tcPr>
          <w:p w14:paraId="06E7E537" w14:textId="5CF4518B"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Bank of Baroda</w:t>
            </w:r>
          </w:p>
        </w:tc>
        <w:tc>
          <w:tcPr>
            <w:tcW w:w="1502" w:type="dxa"/>
          </w:tcPr>
          <w:p w14:paraId="09511A5E" w14:textId="55367E96"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₹0.00</w:t>
            </w:r>
          </w:p>
        </w:tc>
        <w:tc>
          <w:tcPr>
            <w:tcW w:w="1503" w:type="dxa"/>
          </w:tcPr>
          <w:p w14:paraId="076D4226" w14:textId="0FA1FE82"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₹2.85</w:t>
            </w:r>
          </w:p>
        </w:tc>
        <w:tc>
          <w:tcPr>
            <w:tcW w:w="1503" w:type="dxa"/>
          </w:tcPr>
          <w:p w14:paraId="058F4F8D" w14:textId="77FE34E4"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₹5.50</w:t>
            </w:r>
          </w:p>
        </w:tc>
        <w:tc>
          <w:tcPr>
            <w:tcW w:w="1503" w:type="dxa"/>
          </w:tcPr>
          <w:p w14:paraId="65EB79FC" w14:textId="6CFC7CA4"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₹7.60</w:t>
            </w:r>
          </w:p>
        </w:tc>
        <w:tc>
          <w:tcPr>
            <w:tcW w:w="1503" w:type="dxa"/>
          </w:tcPr>
          <w:p w14:paraId="15B3A75E" w14:textId="34B72383"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₹8.35</w:t>
            </w:r>
          </w:p>
        </w:tc>
      </w:tr>
      <w:tr w:rsidR="004A5905" w:rsidRPr="00246CCF" w14:paraId="21D00448" w14:textId="77777777" w:rsidTr="00C74742">
        <w:tc>
          <w:tcPr>
            <w:tcW w:w="1502" w:type="dxa"/>
          </w:tcPr>
          <w:p w14:paraId="36C664FE" w14:textId="23E93A48"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PNB</w:t>
            </w:r>
          </w:p>
        </w:tc>
        <w:tc>
          <w:tcPr>
            <w:tcW w:w="1502" w:type="dxa"/>
          </w:tcPr>
          <w:p w14:paraId="741D284E" w14:textId="26A31B88"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₹0.00</w:t>
            </w:r>
          </w:p>
        </w:tc>
        <w:tc>
          <w:tcPr>
            <w:tcW w:w="1503" w:type="dxa"/>
          </w:tcPr>
          <w:p w14:paraId="1DA035D8" w14:textId="54AD7C7E"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₹0.64</w:t>
            </w:r>
          </w:p>
        </w:tc>
        <w:tc>
          <w:tcPr>
            <w:tcW w:w="1503" w:type="dxa"/>
          </w:tcPr>
          <w:p w14:paraId="263E5C8A" w14:textId="6E40013E"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₹0.65</w:t>
            </w:r>
          </w:p>
        </w:tc>
        <w:tc>
          <w:tcPr>
            <w:tcW w:w="1503" w:type="dxa"/>
          </w:tcPr>
          <w:p w14:paraId="4170CF08" w14:textId="2D4683D5"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₹1.50</w:t>
            </w:r>
          </w:p>
        </w:tc>
        <w:tc>
          <w:tcPr>
            <w:tcW w:w="1503" w:type="dxa"/>
          </w:tcPr>
          <w:p w14:paraId="1FC348E4" w14:textId="70DA1DD2"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₹2.90</w:t>
            </w:r>
          </w:p>
        </w:tc>
      </w:tr>
      <w:tr w:rsidR="004A5905" w:rsidRPr="00246CCF" w14:paraId="0C4E66C1" w14:textId="77777777" w:rsidTr="00C74742">
        <w:tc>
          <w:tcPr>
            <w:tcW w:w="1502" w:type="dxa"/>
          </w:tcPr>
          <w:p w14:paraId="44411380" w14:textId="456DAE81"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Union Bank</w:t>
            </w:r>
          </w:p>
        </w:tc>
        <w:tc>
          <w:tcPr>
            <w:tcW w:w="1502" w:type="dxa"/>
          </w:tcPr>
          <w:p w14:paraId="0F95EB12" w14:textId="5A6409F2"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₹0.00</w:t>
            </w:r>
          </w:p>
        </w:tc>
        <w:tc>
          <w:tcPr>
            <w:tcW w:w="1503" w:type="dxa"/>
          </w:tcPr>
          <w:p w14:paraId="0567D5A7" w14:textId="1E8DE19D"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₹1.90</w:t>
            </w:r>
          </w:p>
        </w:tc>
        <w:tc>
          <w:tcPr>
            <w:tcW w:w="1503" w:type="dxa"/>
          </w:tcPr>
          <w:p w14:paraId="7B7C1F69" w14:textId="287C8F73"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₹3.00</w:t>
            </w:r>
          </w:p>
        </w:tc>
        <w:tc>
          <w:tcPr>
            <w:tcW w:w="1503" w:type="dxa"/>
          </w:tcPr>
          <w:p w14:paraId="63CE04BD" w14:textId="053C5DB8"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₹3.60</w:t>
            </w:r>
          </w:p>
        </w:tc>
        <w:tc>
          <w:tcPr>
            <w:tcW w:w="1503" w:type="dxa"/>
          </w:tcPr>
          <w:p w14:paraId="7198C1C4" w14:textId="7AB6FB32" w:rsidR="004A5905" w:rsidRPr="00246CCF" w:rsidRDefault="004A5905" w:rsidP="004A5905">
            <w:pPr>
              <w:spacing w:before="80" w:after="80" w:line="360" w:lineRule="auto"/>
              <w:jc w:val="both"/>
              <w:rPr>
                <w:rFonts w:ascii="Times New Roman" w:hAnsi="Times New Roman" w:cs="Times New Roman"/>
              </w:rPr>
            </w:pPr>
            <w:r>
              <w:rPr>
                <w:rFonts w:ascii="Times New Roman" w:hAnsi="Times New Roman" w:cs="Times New Roman"/>
                <w:color w:val="000000"/>
              </w:rPr>
              <w:t>₹4.75</w:t>
            </w:r>
          </w:p>
        </w:tc>
      </w:tr>
    </w:tbl>
    <w:p w14:paraId="134610A8" w14:textId="77777777" w:rsidR="00111F57" w:rsidRPr="00246CCF" w:rsidRDefault="00111F57" w:rsidP="00111F57">
      <w:pPr>
        <w:spacing w:after="80"/>
        <w:jc w:val="center"/>
        <w:rPr>
          <w:rFonts w:ascii="Times New Roman" w:hAnsi="Times New Roman" w:cs="Times New Roman"/>
        </w:rPr>
      </w:pPr>
      <w:r>
        <w:rPr>
          <w:rFonts w:ascii="Times New Roman" w:hAnsi="Times New Roman" w:cs="Times New Roman"/>
          <w:i/>
          <w:iCs/>
        </w:rPr>
        <w:t>Table 4.5: Dividend Per Share – Peers Comparison (Source: NSE)</w:t>
      </w:r>
    </w:p>
    <w:p w14:paraId="4FF712B0" w14:textId="6108634C" w:rsidR="00F74793" w:rsidRPr="00246CCF" w:rsidRDefault="00224159" w:rsidP="00033C4C">
      <w:pPr>
        <w:spacing w:before="80" w:after="80" w:line="360" w:lineRule="auto"/>
        <w:jc w:val="both"/>
        <w:rPr>
          <w:rFonts w:ascii="Times New Roman" w:hAnsi="Times New Roman" w:cs="Times New Roman"/>
        </w:rPr>
      </w:pPr>
      <w:r>
        <w:rPr>
          <w:rFonts w:ascii="Times New Roman" w:hAnsi="Times New Roman" w:cs="Times New Roman"/>
        </w:rPr>
        <w:t>SBI remained the sole bank to make dividends in FY2021, the most affected year by the Coronavirus pandemic. It should be noted that SBI remained the most successful bank in DPS for all the years studied. BOB showed the second-best result in dividend payments, whereas PNB and Union Bank had a lower magnitude growth rate. Regarding the MPS, SBI showed a huge increase from ₹265 (FY2021) to ₹765 (FY2025). Hence, from the above comparative study, it can be stated that there exists a correlation between superior dividends and better shareholder wealth creation in SBI.</w:t>
      </w:r>
    </w:p>
    <w:p w14:paraId="23612DDA" w14:textId="77777777" w:rsidR="001C55DB" w:rsidRPr="00246CCF" w:rsidRDefault="001C55DB" w:rsidP="00033C4C">
      <w:pPr>
        <w:spacing w:before="80" w:after="80" w:line="360" w:lineRule="auto"/>
        <w:jc w:val="both"/>
        <w:rPr>
          <w:rFonts w:ascii="Times New Roman" w:hAnsi="Times New Roman" w:cs="Times New Roman"/>
        </w:rPr>
      </w:pPr>
      <w:r>
        <w:rPr>
          <w:rFonts w:ascii="Times New Roman" w:hAnsi="Times New Roman" w:cs="Times New Roman"/>
        </w:rPr>
        <w:t>4.7 Testing Hypothesis Results</w:t>
      </w:r>
    </w:p>
    <w:p w14:paraId="6228D438" w14:textId="77777777" w:rsidR="001C55DB" w:rsidRPr="00246CCF" w:rsidRDefault="001C55DB" w:rsidP="00033C4C">
      <w:pPr>
        <w:spacing w:before="80" w:after="80" w:line="360" w:lineRule="auto"/>
        <w:jc w:val="both"/>
        <w:rPr>
          <w:rFonts w:ascii="Times New Roman" w:hAnsi="Times New Roman" w:cs="Times New Roman"/>
        </w:rPr>
      </w:pPr>
      <w:r>
        <w:rPr>
          <w:rFonts w:ascii="Times New Roman" w:hAnsi="Times New Roman" w:cs="Times New Roman"/>
        </w:rPr>
        <w:t>H0: No statistically significant relationship exists between DPS and MPS. Null hypothesis is rejected after regression analysis (p-value = 0.005 &lt; 0.01) and correlation analysis (r = 0.973; p-value = 0.005 &lt; 0.01).</w:t>
      </w:r>
    </w:p>
    <w:p w14:paraId="4CEE7D7F" w14:textId="239E8851" w:rsidR="00063572" w:rsidRPr="00246CCF" w:rsidRDefault="001C55DB" w:rsidP="00033C4C">
      <w:pPr>
        <w:spacing w:before="80" w:after="80" w:line="360" w:lineRule="auto"/>
        <w:jc w:val="both"/>
        <w:rPr>
          <w:rFonts w:ascii="Times New Roman" w:hAnsi="Times New Roman" w:cs="Times New Roman"/>
        </w:rPr>
      </w:pPr>
      <w:r>
        <w:rPr>
          <w:rFonts w:ascii="Times New Roman" w:hAnsi="Times New Roman" w:cs="Times New Roman"/>
        </w:rPr>
        <w:t>H1: A statistically significant relationship exists between DPS and MPS. The alternate hypothesis is supported because there is a statistically significant and economically robust relationship between dividend policy and the wealth of shareholders (R² = 0.948, F = 54.154; p-value = 0.005).</w:t>
      </w:r>
    </w:p>
    <w:p w14:paraId="505C7D15" w14:textId="2D2EB73E" w:rsidR="00BE49CD" w:rsidRPr="00246CCF" w:rsidRDefault="00BE49CD" w:rsidP="00033C4C">
      <w:pPr>
        <w:spacing w:before="80" w:after="80" w:line="360" w:lineRule="auto"/>
        <w:jc w:val="both"/>
        <w:rPr>
          <w:rFonts w:ascii="Times New Roman" w:hAnsi="Times New Roman" w:cs="Times New Roman"/>
          <w:b/>
          <w:bCs/>
        </w:rPr>
      </w:pPr>
      <w:r>
        <w:rPr>
          <w:rFonts w:ascii="Times New Roman" w:hAnsi="Times New Roman" w:cs="Times New Roman"/>
          <w:b/>
          <w:bCs/>
        </w:rPr>
        <w:t xml:space="preserve"> Consistency with Theories</w:t>
      </w:r>
    </w:p>
    <w:p w14:paraId="0D904B72" w14:textId="74CBF89B" w:rsidR="00BE49CD" w:rsidRPr="00246CCF" w:rsidRDefault="00BE49CD" w:rsidP="00033C4C">
      <w:pPr>
        <w:spacing w:before="80" w:after="80" w:line="360" w:lineRule="auto"/>
        <w:jc w:val="both"/>
        <w:rPr>
          <w:rFonts w:ascii="Times New Roman" w:hAnsi="Times New Roman" w:cs="Times New Roman"/>
        </w:rPr>
      </w:pPr>
      <w:r>
        <w:rPr>
          <w:rFonts w:ascii="Times New Roman" w:hAnsi="Times New Roman" w:cs="Times New Roman"/>
        </w:rPr>
        <w:t>The findings of this study have proven to be consistent with many dividend theories. The significant association between DPS and MPS (r = 0.973) is a confirmation of the Bird-in-Hand theory ; this shows that investors reward dividends with high valuation. The nearly perfect association between EPS and DPS (r = 0.999) corroborates the Signalling theory developed by Ross in 1977</w:t>
      </w:r>
      <w:sdt>
        <w:sdtPr>
          <w:rPr>
            <w:rFonts w:ascii="Times New Roman" w:hAnsi="Times New Roman" w:cs="Times New Roman"/>
          </w:rPr>
          <w:id w:val="2042475340"/>
          <w:citation/>
        </w:sdtPr>
        <w:sdtEndPr/>
        <w:sdtContent>
          <w:r>
            <w:rPr>
              <w:rFonts w:ascii="Times New Roman" w:hAnsi="Times New Roman" w:cs="Times New Roman"/>
            </w:rPr>
            <w:fldChar w:fldCharType="begin"/>
          </w:r>
          <w:r>
            <w:rPr>
              <w:rFonts w:ascii="Times New Roman" w:hAnsi="Times New Roman" w:cs="Times New Roman"/>
              <w:lang w:val="en-US"/>
            </w:rPr>
            <w:instrText xml:space="preserve"> CITATION Ste77 \l 1033 </w:instrText>
          </w:r>
          <w:r>
            <w:rPr>
              <w:rFonts w:ascii="Times New Roman" w:hAnsi="Times New Roman" w:cs="Times New Roman"/>
            </w:rPr>
            <w:fldChar w:fldCharType="separate"/>
          </w:r>
          <w:r>
            <w:rPr>
              <w:rFonts w:ascii="Times New Roman" w:hAnsi="Times New Roman" w:cs="Times New Roman"/>
              <w:noProof/>
              <w:lang w:val="en-US"/>
            </w:rPr>
            <w:t xml:space="preserve"> (Ross, 1977)</w:t>
          </w:r>
          <w:r>
            <w:rPr>
              <w:rFonts w:ascii="Times New Roman" w:hAnsi="Times New Roman" w:cs="Times New Roman"/>
            </w:rPr>
            <w:fldChar w:fldCharType="end"/>
          </w:r>
        </w:sdtContent>
      </w:sdt>
      <w:r>
        <w:rPr>
          <w:rFonts w:ascii="Times New Roman" w:hAnsi="Times New Roman" w:cs="Times New Roman"/>
        </w:rPr>
        <w:t xml:space="preserve">; an increase in dividend payments is seen to positively affect stock prices since it signals improved earnings. The 37x leverage and R² of 0.948 indicate consistency with Walter's model </w:t>
      </w:r>
      <w:r w:rsidR="0084417A">
        <w:rPr>
          <w:rFonts w:ascii="Times New Roman" w:hAnsi="Times New Roman" w:cs="Times New Roman"/>
        </w:rPr>
        <w:t>(Walter,1960)</w:t>
      </w:r>
      <w:r>
        <w:rPr>
          <w:rFonts w:ascii="Times New Roman" w:hAnsi="Times New Roman" w:cs="Times New Roman"/>
        </w:rPr>
        <w:t>and the notion that dividend decision-making is a vital factor in determining share prices</w:t>
      </w:r>
      <w:r w:rsidR="0084417A">
        <w:rPr>
          <w:rFonts w:ascii="Times New Roman" w:hAnsi="Times New Roman" w:cs="Times New Roman"/>
        </w:rPr>
        <w:t>(Walter,1960).</w:t>
      </w:r>
    </w:p>
    <w:p w14:paraId="3EC8BE28" w14:textId="693E6D8B" w:rsidR="00E95A07" w:rsidRPr="004C5857" w:rsidRDefault="00E95A07" w:rsidP="00033C4C">
      <w:pPr>
        <w:spacing w:before="80" w:after="80" w:line="360" w:lineRule="auto"/>
        <w:jc w:val="both"/>
        <w:rPr>
          <w:rFonts w:ascii="Times New Roman" w:hAnsi="Times New Roman" w:cs="Times New Roman"/>
          <w:b/>
          <w:bCs/>
          <w:sz w:val="28"/>
          <w:szCs w:val="28"/>
        </w:rPr>
      </w:pPr>
      <w:r>
        <w:rPr>
          <w:rFonts w:ascii="Times New Roman" w:hAnsi="Times New Roman" w:cs="Times New Roman"/>
          <w:b/>
          <w:bCs/>
          <w:sz w:val="28"/>
          <w:szCs w:val="28"/>
        </w:rPr>
        <w:t>FINDINGS, RECOMMENDATIONS AND CONCLUSION</w:t>
      </w:r>
    </w:p>
    <w:p w14:paraId="3633E976" w14:textId="3AD17258" w:rsidR="00E95A07" w:rsidRPr="00246CCF" w:rsidRDefault="00E95A07" w:rsidP="00033C4C">
      <w:pPr>
        <w:spacing w:before="80" w:after="80" w:line="360" w:lineRule="auto"/>
        <w:jc w:val="both"/>
        <w:rPr>
          <w:rFonts w:ascii="Times New Roman" w:hAnsi="Times New Roman" w:cs="Times New Roman"/>
          <w:b/>
          <w:bCs/>
        </w:rPr>
      </w:pPr>
      <w:r>
        <w:rPr>
          <w:rFonts w:ascii="Times New Roman" w:hAnsi="Times New Roman" w:cs="Times New Roman"/>
          <w:b/>
          <w:bCs/>
        </w:rPr>
        <w:t>Key Findings</w:t>
      </w:r>
    </w:p>
    <w:p w14:paraId="0090210C" w14:textId="77777777" w:rsidR="00E95A07" w:rsidRPr="00246CCF" w:rsidRDefault="00E95A07" w:rsidP="00033C4C">
      <w:pPr>
        <w:spacing w:before="80" w:after="80" w:line="360" w:lineRule="auto"/>
        <w:jc w:val="both"/>
        <w:rPr>
          <w:rFonts w:ascii="Times New Roman" w:hAnsi="Times New Roman" w:cs="Times New Roman"/>
        </w:rPr>
      </w:pPr>
      <w:r>
        <w:rPr>
          <w:rFonts w:ascii="Times New Roman" w:hAnsi="Times New Roman" w:cs="Times New Roman"/>
        </w:rPr>
        <w:t>1. Progressive Dividend Policy: SBI maintained its DPS from ₹4.00 (FY2021) to ₹15.90 (FY2025), resulting in a CAGR of 41.2% and thus reflecting a steadfast dedication towards raising dividends along with profitability.</w:t>
      </w:r>
    </w:p>
    <w:p w14:paraId="34508048" w14:textId="77777777" w:rsidR="00E95A07" w:rsidRPr="00246CCF" w:rsidRDefault="00E95A07" w:rsidP="00033C4C">
      <w:pPr>
        <w:spacing w:before="80" w:after="80" w:line="360" w:lineRule="auto"/>
        <w:jc w:val="both"/>
        <w:rPr>
          <w:rFonts w:ascii="Times New Roman" w:hAnsi="Times New Roman" w:cs="Times New Roman"/>
        </w:rPr>
      </w:pPr>
    </w:p>
    <w:p w14:paraId="0F562978" w14:textId="77777777" w:rsidR="00E95A07" w:rsidRPr="00246CCF" w:rsidRDefault="00E95A07" w:rsidP="00033C4C">
      <w:pPr>
        <w:spacing w:before="80" w:after="80" w:line="360" w:lineRule="auto"/>
        <w:jc w:val="both"/>
        <w:rPr>
          <w:rFonts w:ascii="Times New Roman" w:hAnsi="Times New Roman" w:cs="Times New Roman"/>
        </w:rPr>
      </w:pPr>
      <w:r>
        <w:rPr>
          <w:rFonts w:ascii="Times New Roman" w:hAnsi="Times New Roman" w:cs="Times New Roman"/>
        </w:rPr>
        <w:t>2. Statistically and Economically Significant Positive Relation between Dividends and Wealth: The Pearson correlation coefficient r = 0.973 (p = 0.005) between DPS and MPS denotes an exceedingly strong positive relation between the dividend policy of a company and the wealth of the shareholders.</w:t>
      </w:r>
    </w:p>
    <w:p w14:paraId="7781A15E" w14:textId="77777777" w:rsidR="00E95A07" w:rsidRPr="00246CCF" w:rsidRDefault="00E95A07" w:rsidP="00033C4C">
      <w:pPr>
        <w:spacing w:before="80" w:after="80" w:line="360" w:lineRule="auto"/>
        <w:jc w:val="both"/>
        <w:rPr>
          <w:rFonts w:ascii="Times New Roman" w:hAnsi="Times New Roman" w:cs="Times New Roman"/>
        </w:rPr>
      </w:pPr>
    </w:p>
    <w:p w14:paraId="43188141" w14:textId="649AE7E7" w:rsidR="00E95A07" w:rsidRPr="00246CCF" w:rsidRDefault="00E95A07" w:rsidP="00033C4C">
      <w:pPr>
        <w:spacing w:before="80" w:after="80" w:line="360" w:lineRule="auto"/>
        <w:jc w:val="both"/>
        <w:rPr>
          <w:rFonts w:ascii="Times New Roman" w:hAnsi="Times New Roman" w:cs="Times New Roman"/>
        </w:rPr>
      </w:pPr>
      <w:r>
        <w:rPr>
          <w:rFonts w:ascii="Times New Roman" w:hAnsi="Times New Roman" w:cs="Times New Roman"/>
        </w:rPr>
        <w:t>3. Explanatory Power of DPS: Since the R² value of the regression model is 0.948, which means that 94.8% variations in SBI share prices can be explained by the DPS, a very powerful explanatory power in the case of a one-factor model.</w:t>
      </w:r>
    </w:p>
    <w:p w14:paraId="1E2384A4" w14:textId="77777777" w:rsidR="00E95A07" w:rsidRPr="00246CCF" w:rsidRDefault="00E95A07" w:rsidP="00033C4C">
      <w:pPr>
        <w:spacing w:before="80" w:after="80" w:line="360" w:lineRule="auto"/>
        <w:jc w:val="both"/>
        <w:rPr>
          <w:rFonts w:ascii="Times New Roman" w:hAnsi="Times New Roman" w:cs="Times New Roman"/>
        </w:rPr>
      </w:pPr>
    </w:p>
    <w:p w14:paraId="53A43BE1" w14:textId="25BF64B5" w:rsidR="00E95A07" w:rsidRPr="00246CCF" w:rsidRDefault="00E95A07" w:rsidP="00033C4C">
      <w:pPr>
        <w:spacing w:before="80" w:after="80" w:line="360" w:lineRule="auto"/>
        <w:jc w:val="both"/>
        <w:rPr>
          <w:rFonts w:ascii="Times New Roman" w:hAnsi="Times New Roman" w:cs="Times New Roman"/>
        </w:rPr>
      </w:pPr>
      <w:r>
        <w:rPr>
          <w:rFonts w:ascii="Times New Roman" w:hAnsi="Times New Roman" w:cs="Times New Roman"/>
        </w:rPr>
        <w:t>4. Wealth Multiplier of 37x: For every ₹1 increase in DPS, there is an increment of ₹37.46 in MPS, denoting the great leverage of wealth creation through dividends.</w:t>
      </w:r>
    </w:p>
    <w:p w14:paraId="5E99F855" w14:textId="77777777" w:rsidR="00E95A07" w:rsidRPr="00246CCF" w:rsidRDefault="00E95A07" w:rsidP="00033C4C">
      <w:pPr>
        <w:spacing w:before="80" w:after="80" w:line="360" w:lineRule="auto"/>
        <w:jc w:val="both"/>
        <w:rPr>
          <w:rFonts w:ascii="Times New Roman" w:hAnsi="Times New Roman" w:cs="Times New Roman"/>
        </w:rPr>
      </w:pPr>
    </w:p>
    <w:p w14:paraId="5C27913E" w14:textId="07E5DCD4" w:rsidR="00E95A07" w:rsidRPr="00246CCF" w:rsidRDefault="00E95A07" w:rsidP="00033C4C">
      <w:pPr>
        <w:spacing w:before="80" w:after="80" w:line="360" w:lineRule="auto"/>
        <w:jc w:val="both"/>
        <w:rPr>
          <w:rFonts w:ascii="Times New Roman" w:hAnsi="Times New Roman" w:cs="Times New Roman"/>
        </w:rPr>
      </w:pPr>
      <w:r>
        <w:rPr>
          <w:rFonts w:ascii="Times New Roman" w:hAnsi="Times New Roman" w:cs="Times New Roman"/>
        </w:rPr>
        <w:t>5. Real-Earning-Based Dividend Policy: As shown in the near-perfect EPS-DPS correlation (r = 0.999, p = 0.000), the dividends of SBI have been paid out of real earnings increases.</w:t>
      </w:r>
    </w:p>
    <w:p w14:paraId="682873D8" w14:textId="77777777" w:rsidR="00C0184C" w:rsidRPr="00246CCF" w:rsidRDefault="00C0184C" w:rsidP="00033C4C">
      <w:pPr>
        <w:spacing w:before="80" w:after="80" w:line="360" w:lineRule="auto"/>
        <w:jc w:val="both"/>
        <w:rPr>
          <w:rFonts w:ascii="Times New Roman" w:hAnsi="Times New Roman" w:cs="Times New Roman"/>
        </w:rPr>
      </w:pPr>
      <w:r>
        <w:rPr>
          <w:rFonts w:ascii="Times New Roman" w:hAnsi="Times New Roman" w:cs="Times New Roman"/>
        </w:rPr>
        <w:t>6. Constant Dividend Payout Ratio: The DPR remained stable at around 20% starting FY2022 (SD = 0.93%). It indicated a stable and consistent payout strategy by the company.</w:t>
      </w:r>
    </w:p>
    <w:p w14:paraId="72F107FF" w14:textId="77777777" w:rsidR="00C0184C" w:rsidRPr="00246CCF" w:rsidRDefault="00C0184C" w:rsidP="00033C4C">
      <w:pPr>
        <w:spacing w:before="80" w:after="80" w:line="360" w:lineRule="auto"/>
        <w:jc w:val="both"/>
        <w:rPr>
          <w:rFonts w:ascii="Times New Roman" w:hAnsi="Times New Roman" w:cs="Times New Roman"/>
        </w:rPr>
      </w:pPr>
    </w:p>
    <w:p w14:paraId="23CCBC5F" w14:textId="77777777" w:rsidR="00C0184C" w:rsidRPr="00246CCF" w:rsidRDefault="00C0184C" w:rsidP="00033C4C">
      <w:pPr>
        <w:spacing w:before="80" w:after="80" w:line="360" w:lineRule="auto"/>
        <w:jc w:val="both"/>
        <w:rPr>
          <w:rFonts w:ascii="Times New Roman" w:hAnsi="Times New Roman" w:cs="Times New Roman"/>
        </w:rPr>
      </w:pPr>
      <w:r>
        <w:rPr>
          <w:rFonts w:ascii="Times New Roman" w:hAnsi="Times New Roman" w:cs="Times New Roman"/>
        </w:rPr>
        <w:t>7. Leadership Among Peers: SBI was the sole peer that paid out dividends in FY2021 and maintained the highest DPS and best MPS appreciation rates among the four PSBs.</w:t>
      </w:r>
    </w:p>
    <w:p w14:paraId="0063505F" w14:textId="77777777" w:rsidR="00C0184C" w:rsidRPr="00246CCF" w:rsidRDefault="00C0184C" w:rsidP="00033C4C">
      <w:pPr>
        <w:spacing w:before="80" w:after="80" w:line="360" w:lineRule="auto"/>
        <w:jc w:val="both"/>
        <w:rPr>
          <w:rFonts w:ascii="Times New Roman" w:hAnsi="Times New Roman" w:cs="Times New Roman"/>
        </w:rPr>
      </w:pPr>
    </w:p>
    <w:p w14:paraId="1282C94D" w14:textId="7D0F0767" w:rsidR="00C0184C" w:rsidRDefault="00C0184C" w:rsidP="00033C4C">
      <w:pPr>
        <w:spacing w:before="80" w:after="80" w:line="360" w:lineRule="auto"/>
        <w:jc w:val="both"/>
        <w:rPr>
          <w:rFonts w:ascii="Times New Roman" w:hAnsi="Times New Roman" w:cs="Times New Roman"/>
        </w:rPr>
      </w:pPr>
      <w:r>
        <w:rPr>
          <w:rFonts w:ascii="Times New Roman" w:hAnsi="Times New Roman" w:cs="Times New Roman"/>
        </w:rPr>
        <w:t>8. Hypothesis Testing: H0 can be rejected at the 1% level of significance. On the other hand, the alternative hypothesis (H1) can be accepted because of the significant relationship between DPS and MPS.</w:t>
      </w:r>
    </w:p>
    <w:p w14:paraId="7487F689" w14:textId="7684F920" w:rsidR="00F57488" w:rsidRPr="001461D2" w:rsidRDefault="00F57488" w:rsidP="00033C4C">
      <w:pPr>
        <w:spacing w:before="80" w:after="80" w:line="360" w:lineRule="auto"/>
        <w:jc w:val="both"/>
        <w:rPr>
          <w:rFonts w:ascii="Times New Roman" w:hAnsi="Times New Roman" w:cs="Times New Roman"/>
          <w:b/>
          <w:bCs/>
        </w:rPr>
      </w:pPr>
      <w:r w:rsidRPr="001461D2">
        <w:rPr>
          <w:rFonts w:ascii="Times New Roman" w:hAnsi="Times New Roman" w:cs="Times New Roman"/>
          <w:b/>
          <w:bCs/>
        </w:rPr>
        <w:t>Limitations and Scope for Future Research</w:t>
      </w:r>
    </w:p>
    <w:p w14:paraId="32D225B0" w14:textId="77777777" w:rsidR="00FE284C" w:rsidRPr="00FE284C" w:rsidRDefault="00FE284C" w:rsidP="00FE284C">
      <w:pPr>
        <w:spacing w:before="80" w:after="80" w:line="360" w:lineRule="auto"/>
        <w:jc w:val="both"/>
        <w:rPr>
          <w:rFonts w:ascii="Times New Roman" w:hAnsi="Times New Roman" w:cs="Times New Roman"/>
        </w:rPr>
      </w:pPr>
      <w:r w:rsidRPr="00FE284C">
        <w:rPr>
          <w:rFonts w:ascii="Times New Roman" w:hAnsi="Times New Roman" w:cs="Times New Roman"/>
        </w:rPr>
        <w:t>This study offers significant contributions regarding the connection between dividend policy and shareholder wealth in the SBI after the pandemic outbreak. However, some limitations must be mentioned.</w:t>
      </w:r>
    </w:p>
    <w:p w14:paraId="42FC9725" w14:textId="77777777" w:rsidR="00FE284C" w:rsidRPr="00FE284C" w:rsidRDefault="00FE284C" w:rsidP="00FE284C">
      <w:pPr>
        <w:spacing w:before="80" w:after="80" w:line="360" w:lineRule="auto"/>
        <w:jc w:val="both"/>
        <w:rPr>
          <w:rFonts w:ascii="Times New Roman" w:hAnsi="Times New Roman" w:cs="Times New Roman"/>
        </w:rPr>
      </w:pPr>
    </w:p>
    <w:p w14:paraId="6F3F47D8" w14:textId="77777777" w:rsidR="00FE284C" w:rsidRPr="00FE284C" w:rsidRDefault="00FE284C" w:rsidP="00FE284C">
      <w:pPr>
        <w:spacing w:before="80" w:after="80" w:line="360" w:lineRule="auto"/>
        <w:jc w:val="both"/>
        <w:rPr>
          <w:rFonts w:ascii="Times New Roman" w:hAnsi="Times New Roman" w:cs="Times New Roman"/>
        </w:rPr>
      </w:pPr>
      <w:r w:rsidRPr="00FE284C">
        <w:rPr>
          <w:rFonts w:ascii="Times New Roman" w:hAnsi="Times New Roman" w:cs="Times New Roman"/>
        </w:rPr>
        <w:t>Firstly, the study focuses only on one public sector bank, and the study period is quite short, including five financial years. Moreover, the insufficient number of observations might affect the reliability and validity of the findings.</w:t>
      </w:r>
    </w:p>
    <w:p w14:paraId="69B42EC4" w14:textId="77777777" w:rsidR="00FE284C" w:rsidRPr="00FE284C" w:rsidRDefault="00FE284C" w:rsidP="00FE284C">
      <w:pPr>
        <w:spacing w:before="80" w:after="80" w:line="360" w:lineRule="auto"/>
        <w:jc w:val="both"/>
        <w:rPr>
          <w:rFonts w:ascii="Times New Roman" w:hAnsi="Times New Roman" w:cs="Times New Roman"/>
        </w:rPr>
      </w:pPr>
    </w:p>
    <w:p w14:paraId="3F1359AD" w14:textId="4072F470" w:rsidR="00FE284C" w:rsidRDefault="00FE284C" w:rsidP="00FE284C">
      <w:pPr>
        <w:spacing w:before="80" w:after="80" w:line="360" w:lineRule="auto"/>
        <w:jc w:val="both"/>
        <w:rPr>
          <w:rFonts w:ascii="Times New Roman" w:hAnsi="Times New Roman" w:cs="Times New Roman"/>
        </w:rPr>
      </w:pPr>
      <w:r w:rsidRPr="00FE284C">
        <w:rPr>
          <w:rFonts w:ascii="Times New Roman" w:hAnsi="Times New Roman" w:cs="Times New Roman"/>
        </w:rPr>
        <w:t>Future research may consider extending the period under consideration to 10 to 15 years to make findings more reliable and valid. Future researchers may also consider quarterly observations to have more observations within the research sample. Other explanatory variables such as EPS, ROE, capital adequacy ratio, asset quality measures, inflation rate, interest rates, and others can be considered in future studies.</w:t>
      </w:r>
    </w:p>
    <w:p w14:paraId="108C0915" w14:textId="77777777" w:rsidR="00A23F79" w:rsidRPr="00A23F79" w:rsidRDefault="00A23F79" w:rsidP="00A23F79">
      <w:pPr>
        <w:spacing w:before="80" w:after="80" w:line="360" w:lineRule="auto"/>
        <w:jc w:val="both"/>
        <w:rPr>
          <w:rFonts w:ascii="Times New Roman" w:hAnsi="Times New Roman" w:cs="Times New Roman"/>
        </w:rPr>
      </w:pPr>
      <w:r w:rsidRPr="00A23F79">
        <w:rPr>
          <w:rFonts w:ascii="Times New Roman" w:hAnsi="Times New Roman" w:cs="Times New Roman"/>
        </w:rPr>
        <w:t>Further research might be conducted with the help of comparative analysis of other commercial banks and different public sector banks in order to get more meaningful information about dividend payout behavior among banks. Researchers might use multivariate regression analysis, panel data approach, diagnostics tests, and robustness tests in future research works in order to make their results more reliable and valid.</w:t>
      </w:r>
    </w:p>
    <w:p w14:paraId="674511F7" w14:textId="77777777" w:rsidR="00A23F79" w:rsidRPr="00A23F79" w:rsidRDefault="00A23F79" w:rsidP="00A23F79">
      <w:pPr>
        <w:spacing w:before="80" w:after="80" w:line="360" w:lineRule="auto"/>
        <w:jc w:val="both"/>
        <w:rPr>
          <w:rFonts w:ascii="Times New Roman" w:hAnsi="Times New Roman" w:cs="Times New Roman"/>
        </w:rPr>
      </w:pPr>
    </w:p>
    <w:p w14:paraId="5BC3F328" w14:textId="5FCF186E" w:rsidR="00A23F79" w:rsidRPr="00246CCF" w:rsidRDefault="00A23F79" w:rsidP="00A23F79">
      <w:pPr>
        <w:spacing w:before="80" w:after="80" w:line="360" w:lineRule="auto"/>
        <w:jc w:val="both"/>
        <w:rPr>
          <w:rFonts w:ascii="Times New Roman" w:hAnsi="Times New Roman" w:cs="Times New Roman"/>
        </w:rPr>
      </w:pPr>
      <w:r w:rsidRPr="00A23F79">
        <w:rPr>
          <w:rFonts w:ascii="Times New Roman" w:hAnsi="Times New Roman" w:cs="Times New Roman"/>
        </w:rPr>
        <w:t>In this respect, the results obtained in this paper are only preliminary, which means that they might be used for further empirical studies.</w:t>
      </w:r>
    </w:p>
    <w:p w14:paraId="76F50D9F" w14:textId="75D0F997" w:rsidR="002C360E" w:rsidRPr="00246CCF" w:rsidRDefault="002C360E" w:rsidP="00033C4C">
      <w:pPr>
        <w:spacing w:before="80" w:after="80" w:line="360" w:lineRule="auto"/>
        <w:jc w:val="both"/>
        <w:rPr>
          <w:rFonts w:ascii="Times New Roman" w:hAnsi="Times New Roman" w:cs="Times New Roman"/>
          <w:b/>
          <w:bCs/>
        </w:rPr>
      </w:pPr>
      <w:r>
        <w:rPr>
          <w:rFonts w:ascii="Times New Roman" w:hAnsi="Times New Roman" w:cs="Times New Roman"/>
          <w:b/>
          <w:bCs/>
        </w:rPr>
        <w:t xml:space="preserve"> Recommendations</w:t>
      </w:r>
    </w:p>
    <w:p w14:paraId="3218834D" w14:textId="77777777" w:rsidR="002C360E" w:rsidRPr="00246CCF" w:rsidRDefault="002C360E" w:rsidP="00033C4C">
      <w:pPr>
        <w:spacing w:before="80" w:after="80" w:line="360" w:lineRule="auto"/>
        <w:jc w:val="both"/>
        <w:rPr>
          <w:rFonts w:ascii="Times New Roman" w:hAnsi="Times New Roman" w:cs="Times New Roman"/>
        </w:rPr>
      </w:pPr>
      <w:r>
        <w:rPr>
          <w:rFonts w:ascii="Times New Roman" w:hAnsi="Times New Roman" w:cs="Times New Roman"/>
        </w:rPr>
        <w:t>To the bank management: SBI’s current progressive dividend policy of around 20% DPR is sustainable and effective. It should be formalised through a written dividend policy statement included in their annual communication as a measure of alleviating information asymmetry. As SBI’s profitability is continually improving, the DPR target can slowly be raised (e.g., to 22-25%).</w:t>
      </w:r>
    </w:p>
    <w:p w14:paraId="7171E23C" w14:textId="77777777" w:rsidR="002C360E" w:rsidRPr="00246CCF" w:rsidRDefault="002C360E" w:rsidP="00033C4C">
      <w:pPr>
        <w:spacing w:before="80" w:after="80" w:line="360" w:lineRule="auto"/>
        <w:jc w:val="both"/>
        <w:rPr>
          <w:rFonts w:ascii="Times New Roman" w:hAnsi="Times New Roman" w:cs="Times New Roman"/>
        </w:rPr>
      </w:pPr>
    </w:p>
    <w:p w14:paraId="3900F9A7" w14:textId="40249F3F" w:rsidR="002C360E" w:rsidRPr="00246CCF" w:rsidRDefault="002C360E" w:rsidP="00033C4C">
      <w:pPr>
        <w:spacing w:before="80" w:after="80" w:line="360" w:lineRule="auto"/>
        <w:jc w:val="both"/>
        <w:rPr>
          <w:rFonts w:ascii="Times New Roman" w:hAnsi="Times New Roman" w:cs="Times New Roman"/>
        </w:rPr>
      </w:pPr>
      <w:r>
        <w:rPr>
          <w:rFonts w:ascii="Times New Roman" w:hAnsi="Times New Roman" w:cs="Times New Roman"/>
        </w:rPr>
        <w:t>To peer banks (PNB, Union Bank): From this comparative analysis, it is evident that there is a huge difference in the dividend payout performance of SBI and PNB and Union Bank. For these two banks, priority should be given to improve the quality of assets and profitability in order to enable them to pay dividends, a task that is shown in this study to result in a stock price increase.</w:t>
      </w:r>
    </w:p>
    <w:p w14:paraId="75765E32" w14:textId="77777777" w:rsidR="002C360E" w:rsidRPr="00246CCF" w:rsidRDefault="002C360E" w:rsidP="00033C4C">
      <w:pPr>
        <w:spacing w:before="80" w:after="80" w:line="360" w:lineRule="auto"/>
        <w:jc w:val="both"/>
        <w:rPr>
          <w:rFonts w:ascii="Times New Roman" w:hAnsi="Times New Roman" w:cs="Times New Roman"/>
        </w:rPr>
      </w:pPr>
    </w:p>
    <w:p w14:paraId="54C60703" w14:textId="59089EE5" w:rsidR="002C360E" w:rsidRPr="00246CCF" w:rsidRDefault="002C360E" w:rsidP="00033C4C">
      <w:pPr>
        <w:spacing w:before="80" w:after="80" w:line="360" w:lineRule="auto"/>
        <w:jc w:val="both"/>
        <w:rPr>
          <w:rFonts w:ascii="Times New Roman" w:hAnsi="Times New Roman" w:cs="Times New Roman"/>
        </w:rPr>
      </w:pPr>
      <w:r>
        <w:rPr>
          <w:rFonts w:ascii="Times New Roman" w:hAnsi="Times New Roman" w:cs="Times New Roman"/>
        </w:rPr>
        <w:t>To investors: There should be an inclusion of dividend policies in their selection criteria for investments in the public banking sector. Based on this research, SBI is a profitable investment for income as well as growth investors due to its consistent growth in its dividend payouts.</w:t>
      </w:r>
    </w:p>
    <w:p w14:paraId="15E530CC" w14:textId="402C5492" w:rsidR="00E41186" w:rsidRPr="00246CCF" w:rsidRDefault="00E41186" w:rsidP="00033C4C">
      <w:pPr>
        <w:spacing w:before="80" w:after="80" w:line="360" w:lineRule="auto"/>
        <w:jc w:val="both"/>
        <w:rPr>
          <w:rFonts w:ascii="Times New Roman" w:hAnsi="Times New Roman" w:cs="Times New Roman"/>
        </w:rPr>
      </w:pPr>
      <w:r>
        <w:rPr>
          <w:rFonts w:ascii="Times New Roman" w:hAnsi="Times New Roman" w:cs="Times New Roman"/>
        </w:rPr>
        <w:t>Regulators: It seems that the existing guidelines by RBI with regard to declaration of dividends by the banks have achieved the intended goal of balancing the rewards of shareholders with stability. Future research could involve giving some guidelines to policymakers on appropriate ranges of DPR for public sector banks at various points in their business cycles.</w:t>
      </w:r>
    </w:p>
    <w:p w14:paraId="148DB357" w14:textId="77777777" w:rsidR="00E41186" w:rsidRPr="00246CCF" w:rsidRDefault="00E41186" w:rsidP="00033C4C">
      <w:pPr>
        <w:spacing w:before="80" w:after="80" w:line="360" w:lineRule="auto"/>
        <w:jc w:val="both"/>
        <w:rPr>
          <w:rFonts w:ascii="Times New Roman" w:hAnsi="Times New Roman" w:cs="Times New Roman"/>
        </w:rPr>
      </w:pPr>
    </w:p>
    <w:p w14:paraId="676AAB67" w14:textId="7617047C" w:rsidR="00E41186" w:rsidRPr="00246CCF" w:rsidRDefault="00E41186" w:rsidP="00033C4C">
      <w:pPr>
        <w:spacing w:before="80" w:after="80" w:line="360" w:lineRule="auto"/>
        <w:jc w:val="both"/>
        <w:rPr>
          <w:rFonts w:ascii="Times New Roman" w:hAnsi="Times New Roman" w:cs="Times New Roman"/>
        </w:rPr>
      </w:pPr>
      <w:r>
        <w:rPr>
          <w:rFonts w:ascii="Times New Roman" w:hAnsi="Times New Roman" w:cs="Times New Roman"/>
        </w:rPr>
        <w:t>Researchers: Findings of this study can be verified by replicating this analysis with a bigger sample of banks, including private and foreign banks, as well as extending the period and using some more control variables.</w:t>
      </w:r>
    </w:p>
    <w:p w14:paraId="7F1AC683" w14:textId="07B4B363" w:rsidR="000C1BF7" w:rsidRPr="004C5857" w:rsidRDefault="000C1BF7" w:rsidP="00033C4C">
      <w:pPr>
        <w:spacing w:before="80" w:after="80"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7A4D4F73" w14:textId="1A025DAD" w:rsidR="001461D2" w:rsidRPr="001461D2" w:rsidRDefault="001461D2" w:rsidP="00033C4C">
      <w:pPr>
        <w:spacing w:before="80" w:after="80" w:line="360" w:lineRule="auto"/>
        <w:jc w:val="both"/>
        <w:rPr>
          <w:rFonts w:ascii="Times New Roman" w:hAnsi="Times New Roman" w:cs="Times New Roman"/>
        </w:rPr>
      </w:pPr>
      <w:r w:rsidRPr="001461D2">
        <w:rPr>
          <w:rFonts w:ascii="Times New Roman" w:hAnsi="Times New Roman" w:cs="Times New Roman"/>
        </w:rPr>
        <w:t xml:space="preserve">The current study attempted to find out the impact of dividend policy on shareholder wealth through SBI for FY2021 to FY2025. With the use of descriptive statistics, correlation, and regression analysis, it was observed that there is a significant positive relationship between dividends per share and market price, thus indicating the possible effect of dividend policy on shareholder wealth. The conclusions drawn from this study are in line with well-known theories on dividends, namely </w:t>
      </w:r>
      <w:r>
        <w:rPr>
          <w:rFonts w:ascii="Times New Roman" w:hAnsi="Times New Roman" w:cs="Times New Roman"/>
        </w:rPr>
        <w:t xml:space="preserve">the </w:t>
      </w:r>
      <w:r w:rsidRPr="001461D2">
        <w:rPr>
          <w:rFonts w:ascii="Times New Roman" w:hAnsi="Times New Roman" w:cs="Times New Roman"/>
        </w:rPr>
        <w:t xml:space="preserve">Bird-in-the-Hand Theory and </w:t>
      </w:r>
      <w:r>
        <w:rPr>
          <w:rFonts w:ascii="Times New Roman" w:hAnsi="Times New Roman" w:cs="Times New Roman"/>
        </w:rPr>
        <w:t>the Signalling</w:t>
      </w:r>
      <w:r w:rsidRPr="001461D2">
        <w:rPr>
          <w:rFonts w:ascii="Times New Roman" w:hAnsi="Times New Roman" w:cs="Times New Roman"/>
        </w:rPr>
        <w:t xml:space="preserve"> Theory, which place strong emphasis on the importance of </w:t>
      </w:r>
      <w:r>
        <w:rPr>
          <w:rFonts w:ascii="Times New Roman" w:hAnsi="Times New Roman" w:cs="Times New Roman"/>
        </w:rPr>
        <w:t>decisions</w:t>
      </w:r>
      <w:r w:rsidRPr="001461D2">
        <w:rPr>
          <w:rFonts w:ascii="Times New Roman" w:hAnsi="Times New Roman" w:cs="Times New Roman"/>
        </w:rPr>
        <w:t xml:space="preserve"> regarding dividends. It should be noted, however, that these conclusions have to be treated carefully, given the small number of samples considered, as well as the lack of control over other variables, which might have had a considerable effect on share prices, such as profitability, economic situation, and market mood.</w:t>
      </w:r>
    </w:p>
    <w:p w14:paraId="6424502D" w14:textId="4C8736C7" w:rsidR="005B0C21" w:rsidRPr="00246CCF" w:rsidRDefault="007E7E51" w:rsidP="00033C4C">
      <w:pPr>
        <w:spacing w:before="80" w:after="80" w:line="360" w:lineRule="auto"/>
        <w:jc w:val="both"/>
        <w:rPr>
          <w:rFonts w:ascii="Times New Roman" w:hAnsi="Times New Roman" w:cs="Times New Roman"/>
          <w:b/>
          <w:bCs/>
        </w:rPr>
      </w:pPr>
      <w:r>
        <w:rPr>
          <w:rFonts w:ascii="Times New Roman" w:hAnsi="Times New Roman" w:cs="Times New Roman"/>
          <w:b/>
          <w:bCs/>
        </w:rPr>
        <w:t>References</w:t>
      </w:r>
    </w:p>
    <w:p w14:paraId="6FB25C23"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Arangi, V., Babu, N. K., Vasu, V., &amp; Krishna, S. J. S. (2023). The impact of share prices before and after the dividend announcement with regard to Bank Nifty companies. </w:t>
      </w:r>
      <w:r>
        <w:rPr>
          <w:rFonts w:ascii="Times New Roman" w:eastAsia="Times New Roman" w:hAnsi="Times New Roman" w:cs="Times New Roman"/>
          <w:i/>
          <w:iCs/>
        </w:rPr>
        <w:t>Journal of Finance and Banking Studies</w:t>
      </w:r>
      <w:r>
        <w:rPr>
          <w:rFonts w:ascii="Times New Roman" w:eastAsia="Times New Roman" w:hAnsi="Times New Roman" w:cs="Times New Roman"/>
        </w:rPr>
        <w:t xml:space="preserve">, </w:t>
      </w:r>
      <w:r>
        <w:rPr>
          <w:rFonts w:ascii="Times New Roman" w:eastAsia="Times New Roman" w:hAnsi="Times New Roman" w:cs="Times New Roman"/>
          <w:i/>
          <w:iCs/>
        </w:rPr>
        <w:t>12</w:t>
      </w:r>
      <w:r>
        <w:rPr>
          <w:rFonts w:ascii="Times New Roman" w:eastAsia="Times New Roman" w:hAnsi="Times New Roman" w:cs="Times New Roman"/>
        </w:rPr>
        <w:t>(2), 45–58.</w:t>
      </w:r>
    </w:p>
    <w:p w14:paraId="2885A872"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Bawa, S. K., &amp; Kaur, P. (2013). Impact of dividend policy on shareholders' wealth: An empirical analysis of the Indian Information Technology Sector. </w:t>
      </w:r>
      <w:r>
        <w:rPr>
          <w:rFonts w:ascii="Times New Roman" w:eastAsia="Times New Roman" w:hAnsi="Times New Roman" w:cs="Times New Roman"/>
          <w:i/>
          <w:iCs/>
        </w:rPr>
        <w:t>Asia-Pacific Finance and Accounting Review</w:t>
      </w:r>
      <w:r>
        <w:rPr>
          <w:rFonts w:ascii="Times New Roman" w:eastAsia="Times New Roman" w:hAnsi="Times New Roman" w:cs="Times New Roman"/>
        </w:rPr>
        <w:t xml:space="preserve">, </w:t>
      </w:r>
      <w:r>
        <w:rPr>
          <w:rFonts w:ascii="Times New Roman" w:eastAsia="Times New Roman" w:hAnsi="Times New Roman" w:cs="Times New Roman"/>
          <w:i/>
          <w:iCs/>
        </w:rPr>
        <w:t>1</w:t>
      </w:r>
      <w:r>
        <w:rPr>
          <w:rFonts w:ascii="Times New Roman" w:eastAsia="Times New Roman" w:hAnsi="Times New Roman" w:cs="Times New Roman"/>
        </w:rPr>
        <w:t>(3), 17–28.</w:t>
      </w:r>
    </w:p>
    <w:p w14:paraId="2A9BEF76" w14:textId="5EE6D19E"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Bhalla, A. (2023). Impact of dividend policy on stock prices for NIFTY 100 index in NSE India. </w:t>
      </w:r>
      <w:r>
        <w:rPr>
          <w:rFonts w:ascii="Times New Roman" w:eastAsia="Times New Roman" w:hAnsi="Times New Roman" w:cs="Times New Roman"/>
          <w:i/>
          <w:iCs/>
        </w:rPr>
        <w:t>Journal of Emerging Economies and Islamic Research</w:t>
      </w:r>
      <w:r>
        <w:rPr>
          <w:rFonts w:ascii="Times New Roman" w:eastAsia="Times New Roman" w:hAnsi="Times New Roman" w:cs="Times New Roman"/>
        </w:rPr>
        <w:t xml:space="preserve">, </w:t>
      </w:r>
      <w:r>
        <w:rPr>
          <w:rFonts w:ascii="Times New Roman" w:eastAsia="Times New Roman" w:hAnsi="Times New Roman" w:cs="Times New Roman"/>
          <w:i/>
          <w:iCs/>
        </w:rPr>
        <w:t>11</w:t>
      </w:r>
      <w:r>
        <w:rPr>
          <w:rFonts w:ascii="Times New Roman" w:eastAsia="Times New Roman" w:hAnsi="Times New Roman" w:cs="Times New Roman"/>
        </w:rPr>
        <w:t>(1), 1–12.</w:t>
      </w:r>
    </w:p>
    <w:p w14:paraId="196CD364"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Hunjra, A. I., Ijaz, M. S., Chani, M. I., &amp; Mustafa, U. (2014). Impact of dividend policy, earnings per share, return on equity, profit after tax on stock prices. </w:t>
      </w:r>
      <w:r>
        <w:rPr>
          <w:rFonts w:ascii="Times New Roman" w:eastAsia="Times New Roman" w:hAnsi="Times New Roman" w:cs="Times New Roman"/>
          <w:i/>
          <w:iCs/>
        </w:rPr>
        <w:t>Basic Research Journal of Business Management and Accounts</w:t>
      </w:r>
      <w:r>
        <w:rPr>
          <w:rFonts w:ascii="Times New Roman" w:eastAsia="Times New Roman" w:hAnsi="Times New Roman" w:cs="Times New Roman"/>
        </w:rPr>
        <w:t xml:space="preserve">, </w:t>
      </w:r>
      <w:r>
        <w:rPr>
          <w:rFonts w:ascii="Times New Roman" w:eastAsia="Times New Roman" w:hAnsi="Times New Roman" w:cs="Times New Roman"/>
          <w:i/>
          <w:iCs/>
        </w:rPr>
        <w:t>3</w:t>
      </w:r>
      <w:r>
        <w:rPr>
          <w:rFonts w:ascii="Times New Roman" w:eastAsia="Times New Roman" w:hAnsi="Times New Roman" w:cs="Times New Roman"/>
        </w:rPr>
        <w:t>(3), 40–48.</w:t>
      </w:r>
    </w:p>
    <w:p w14:paraId="419EA133"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Kumar, M., &amp; Khatik, R. K. (2021). A comparative study on dividend policy of nationalised banks (with special reference to EPS). </w:t>
      </w:r>
      <w:r>
        <w:rPr>
          <w:rFonts w:ascii="Times New Roman" w:eastAsia="Times New Roman" w:hAnsi="Times New Roman" w:cs="Times New Roman"/>
          <w:i/>
          <w:iCs/>
        </w:rPr>
        <w:t>International Journal of Research in Finance and Management</w:t>
      </w:r>
      <w:r>
        <w:rPr>
          <w:rFonts w:ascii="Times New Roman" w:eastAsia="Times New Roman" w:hAnsi="Times New Roman" w:cs="Times New Roman"/>
        </w:rPr>
        <w:t xml:space="preserve">, </w:t>
      </w:r>
      <w:r>
        <w:rPr>
          <w:rFonts w:ascii="Times New Roman" w:eastAsia="Times New Roman" w:hAnsi="Times New Roman" w:cs="Times New Roman"/>
          <w:i/>
          <w:iCs/>
        </w:rPr>
        <w:t>4</w:t>
      </w:r>
      <w:r>
        <w:rPr>
          <w:rFonts w:ascii="Times New Roman" w:eastAsia="Times New Roman" w:hAnsi="Times New Roman" w:cs="Times New Roman"/>
        </w:rPr>
        <w:t>(2), 51–56.</w:t>
      </w:r>
    </w:p>
    <w:p w14:paraId="19BB2145"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Mangla, R. (2019). The impact of financial leverage on dividend policy: A comparison of nationalized and private banks in India. </w:t>
      </w:r>
      <w:r>
        <w:rPr>
          <w:rFonts w:ascii="Times New Roman" w:eastAsia="Times New Roman" w:hAnsi="Times New Roman" w:cs="Times New Roman"/>
          <w:i/>
          <w:iCs/>
        </w:rPr>
        <w:t>International Journal of Financial Management</w:t>
      </w:r>
      <w:r>
        <w:rPr>
          <w:rFonts w:ascii="Times New Roman" w:eastAsia="Times New Roman" w:hAnsi="Times New Roman" w:cs="Times New Roman"/>
        </w:rPr>
        <w:t xml:space="preserve">, </w:t>
      </w:r>
      <w:r>
        <w:rPr>
          <w:rFonts w:ascii="Times New Roman" w:eastAsia="Times New Roman" w:hAnsi="Times New Roman" w:cs="Times New Roman"/>
          <w:i/>
          <w:iCs/>
        </w:rPr>
        <w:t>9</w:t>
      </w:r>
      <w:r>
        <w:rPr>
          <w:rFonts w:ascii="Times New Roman" w:eastAsia="Times New Roman" w:hAnsi="Times New Roman" w:cs="Times New Roman"/>
        </w:rPr>
        <w:t>(2), 22–30.</w:t>
      </w:r>
    </w:p>
    <w:p w14:paraId="3AF82058"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Masum, A. (2014). Dividend policy and its impact on stock price: A study on commercial banks listed in Dhaka Stock Exchange. </w:t>
      </w:r>
      <w:r>
        <w:rPr>
          <w:rFonts w:ascii="Times New Roman" w:eastAsia="Times New Roman" w:hAnsi="Times New Roman" w:cs="Times New Roman"/>
          <w:i/>
          <w:iCs/>
        </w:rPr>
        <w:t>Global Disclosure of Economics and Business</w:t>
      </w:r>
      <w:r>
        <w:rPr>
          <w:rFonts w:ascii="Times New Roman" w:eastAsia="Times New Roman" w:hAnsi="Times New Roman" w:cs="Times New Roman"/>
        </w:rPr>
        <w:t xml:space="preserve">, </w:t>
      </w:r>
      <w:r>
        <w:rPr>
          <w:rFonts w:ascii="Times New Roman" w:eastAsia="Times New Roman" w:hAnsi="Times New Roman" w:cs="Times New Roman"/>
          <w:i/>
          <w:iCs/>
        </w:rPr>
        <w:t>3</w:t>
      </w:r>
      <w:r>
        <w:rPr>
          <w:rFonts w:ascii="Times New Roman" w:eastAsia="Times New Roman" w:hAnsi="Times New Roman" w:cs="Times New Roman"/>
        </w:rPr>
        <w:t>(1), 9–21.</w:t>
      </w:r>
    </w:p>
    <w:p w14:paraId="4226AC6E"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Nambukara-Gamage, B., &amp; Peries, S. T. (2020). The impact of dividend policy on shareholder wealth: A study on the retailing industry of Australia. </w:t>
      </w:r>
      <w:r>
        <w:rPr>
          <w:rFonts w:ascii="Times New Roman" w:eastAsia="Times New Roman" w:hAnsi="Times New Roman" w:cs="Times New Roman"/>
          <w:i/>
          <w:iCs/>
        </w:rPr>
        <w:t>Review of Integrative Business and Economics Research</w:t>
      </w:r>
      <w:r>
        <w:rPr>
          <w:rFonts w:ascii="Times New Roman" w:eastAsia="Times New Roman" w:hAnsi="Times New Roman" w:cs="Times New Roman"/>
        </w:rPr>
        <w:t xml:space="preserve">, </w:t>
      </w:r>
      <w:r>
        <w:rPr>
          <w:rFonts w:ascii="Times New Roman" w:eastAsia="Times New Roman" w:hAnsi="Times New Roman" w:cs="Times New Roman"/>
          <w:i/>
          <w:iCs/>
        </w:rPr>
        <w:t>9</w:t>
      </w:r>
      <w:r>
        <w:rPr>
          <w:rFonts w:ascii="Times New Roman" w:eastAsia="Times New Roman" w:hAnsi="Times New Roman" w:cs="Times New Roman"/>
        </w:rPr>
        <w:t>(1), 38–50.</w:t>
      </w:r>
    </w:p>
    <w:p w14:paraId="223786B9"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Ross, S. A. (1977). The determination of financial structure: The incentive-signalling approach. </w:t>
      </w:r>
      <w:r>
        <w:rPr>
          <w:rFonts w:ascii="Times New Roman" w:eastAsia="Times New Roman" w:hAnsi="Times New Roman" w:cs="Times New Roman"/>
          <w:i/>
          <w:iCs/>
        </w:rPr>
        <w:t>The Bell Journal of Economics</w:t>
      </w:r>
      <w:r>
        <w:rPr>
          <w:rFonts w:ascii="Times New Roman" w:eastAsia="Times New Roman" w:hAnsi="Times New Roman" w:cs="Times New Roman"/>
        </w:rPr>
        <w:t xml:space="preserve">, </w:t>
      </w:r>
      <w:r>
        <w:rPr>
          <w:rFonts w:ascii="Times New Roman" w:eastAsia="Times New Roman" w:hAnsi="Times New Roman" w:cs="Times New Roman"/>
          <w:i/>
          <w:iCs/>
        </w:rPr>
        <w:t>8</w:t>
      </w:r>
      <w:r>
        <w:rPr>
          <w:rFonts w:ascii="Times New Roman" w:eastAsia="Times New Roman" w:hAnsi="Times New Roman" w:cs="Times New Roman"/>
        </w:rPr>
        <w:t>(1), 23–40. https://doi.org/10.2307/3003485</w:t>
      </w:r>
    </w:p>
    <w:p w14:paraId="5061465B"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Tahir, A. (2014). Impact of dividend policy on shareholder wealth. </w:t>
      </w:r>
      <w:r>
        <w:rPr>
          <w:rFonts w:ascii="Times New Roman" w:eastAsia="Times New Roman" w:hAnsi="Times New Roman" w:cs="Times New Roman"/>
          <w:i/>
          <w:iCs/>
        </w:rPr>
        <w:t>Journal of Business and Management</w:t>
      </w:r>
      <w:r>
        <w:rPr>
          <w:rFonts w:ascii="Times New Roman" w:eastAsia="Times New Roman" w:hAnsi="Times New Roman" w:cs="Times New Roman"/>
        </w:rPr>
        <w:t xml:space="preserve">, </w:t>
      </w:r>
      <w:r>
        <w:rPr>
          <w:rFonts w:ascii="Times New Roman" w:eastAsia="Times New Roman" w:hAnsi="Times New Roman" w:cs="Times New Roman"/>
          <w:i/>
          <w:iCs/>
        </w:rPr>
        <w:t>16</w:t>
      </w:r>
      <w:r>
        <w:rPr>
          <w:rFonts w:ascii="Times New Roman" w:eastAsia="Times New Roman" w:hAnsi="Times New Roman" w:cs="Times New Roman"/>
        </w:rPr>
        <w:t>(1), 24–33.</w:t>
      </w:r>
    </w:p>
    <w:p w14:paraId="208B6F75"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Walter, J. E. (1960). Dividend policy and common stock prices. </w:t>
      </w:r>
      <w:r>
        <w:rPr>
          <w:rFonts w:ascii="Times New Roman" w:eastAsia="Times New Roman" w:hAnsi="Times New Roman" w:cs="Times New Roman"/>
          <w:i/>
          <w:iCs/>
        </w:rPr>
        <w:t>The Journal of Finance</w:t>
      </w:r>
      <w:r>
        <w:rPr>
          <w:rFonts w:ascii="Times New Roman" w:eastAsia="Times New Roman" w:hAnsi="Times New Roman" w:cs="Times New Roman"/>
        </w:rPr>
        <w:t xml:space="preserve">, </w:t>
      </w:r>
      <w:r>
        <w:rPr>
          <w:rFonts w:ascii="Times New Roman" w:eastAsia="Times New Roman" w:hAnsi="Times New Roman" w:cs="Times New Roman"/>
          <w:i/>
          <w:iCs/>
        </w:rPr>
        <w:t>15</w:t>
      </w:r>
      <w:r>
        <w:rPr>
          <w:rFonts w:ascii="Times New Roman" w:eastAsia="Times New Roman" w:hAnsi="Times New Roman" w:cs="Times New Roman"/>
        </w:rPr>
        <w:t>(1), 29–41. https://doi.org/10.1111/j.1540-6261.1960.tb04790.x</w:t>
      </w:r>
    </w:p>
    <w:p w14:paraId="203FAEAE" w14:textId="77777777" w:rsidR="00E736FA" w:rsidRPr="00FF33C6"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Zafar, S. T., Chaubey, D. S., &amp; Khalid, S. M. (2012). A study on dividend policy and its impact on the shareholders' wealth in selected banking companies in India. </w:t>
      </w:r>
      <w:r>
        <w:rPr>
          <w:rFonts w:ascii="Times New Roman" w:eastAsia="Times New Roman" w:hAnsi="Times New Roman" w:cs="Times New Roman"/>
          <w:i/>
          <w:iCs/>
        </w:rPr>
        <w:t>International Journal of Financial Management</w:t>
      </w:r>
      <w:r>
        <w:rPr>
          <w:rFonts w:ascii="Times New Roman" w:eastAsia="Times New Roman" w:hAnsi="Times New Roman" w:cs="Times New Roman"/>
        </w:rPr>
        <w:t xml:space="preserve">, </w:t>
      </w:r>
      <w:r>
        <w:rPr>
          <w:rFonts w:ascii="Times New Roman" w:eastAsia="Times New Roman" w:hAnsi="Times New Roman" w:cs="Times New Roman"/>
          <w:i/>
          <w:iCs/>
        </w:rPr>
        <w:t>2</w:t>
      </w:r>
      <w:r>
        <w:rPr>
          <w:rFonts w:ascii="Times New Roman" w:eastAsia="Times New Roman" w:hAnsi="Times New Roman" w:cs="Times New Roman"/>
        </w:rPr>
        <w:t>(3), 79–94.</w:t>
      </w:r>
    </w:p>
    <w:p w14:paraId="1B010001" w14:textId="77777777" w:rsidR="00E736FA"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Moneycontrol. (2025). </w:t>
      </w:r>
      <w:r>
        <w:rPr>
          <w:rFonts w:ascii="Times New Roman" w:eastAsia="Times New Roman" w:hAnsi="Times New Roman" w:cs="Times New Roman"/>
          <w:i/>
          <w:iCs/>
        </w:rPr>
        <w:t>State Bank of India financial data FY2021–FY2025</w:t>
      </w:r>
      <w:r>
        <w:rPr>
          <w:rFonts w:ascii="Times New Roman" w:eastAsia="Times New Roman" w:hAnsi="Times New Roman" w:cs="Times New Roman"/>
        </w:rPr>
        <w:t>. Retrieved from https://www.moneycontrol.com</w:t>
      </w:r>
    </w:p>
    <w:p w14:paraId="1B010002" w14:textId="77777777" w:rsidR="00E736FA"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National Stock Exchange of India. (2025). </w:t>
      </w:r>
      <w:r>
        <w:rPr>
          <w:rFonts w:ascii="Times New Roman" w:eastAsia="Times New Roman" w:hAnsi="Times New Roman" w:cs="Times New Roman"/>
          <w:i/>
          <w:iCs/>
        </w:rPr>
        <w:t>Historical stock price and dividend data</w:t>
      </w:r>
      <w:r>
        <w:rPr>
          <w:rFonts w:ascii="Times New Roman" w:eastAsia="Times New Roman" w:hAnsi="Times New Roman" w:cs="Times New Roman"/>
        </w:rPr>
        <w:t>. Retrieved from https://www.nseindia.com</w:t>
      </w:r>
    </w:p>
    <w:p w14:paraId="1B010003" w14:textId="77777777" w:rsidR="00E736FA" w:rsidRDefault="00E736FA" w:rsidP="00FF33C6">
      <w:pPr>
        <w:pStyle w:val="ListParagraph"/>
        <w:numPr>
          <w:ilvl w:val="0"/>
          <w:numId w:val="1"/>
        </w:numPr>
        <w:spacing w:line="276" w:lineRule="auto"/>
        <w:ind w:left="1080"/>
        <w:jc w:val="both"/>
        <w:rPr>
          <w:rFonts w:ascii="Times New Roman" w:hAnsi="Times New Roman" w:cs="Times New Roman"/>
        </w:rPr>
      </w:pPr>
      <w:r>
        <w:rPr>
          <w:rFonts w:ascii="Times New Roman" w:eastAsia="Times New Roman" w:hAnsi="Times New Roman" w:cs="Times New Roman"/>
        </w:rPr>
        <w:t xml:space="preserve">State Bank of India. (2021–2025). </w:t>
      </w:r>
      <w:r>
        <w:rPr>
          <w:rFonts w:ascii="Times New Roman" w:eastAsia="Times New Roman" w:hAnsi="Times New Roman" w:cs="Times New Roman"/>
          <w:i/>
          <w:iCs/>
        </w:rPr>
        <w:t>Annual reports FY2021–FY2025</w:t>
      </w:r>
      <w:r>
        <w:rPr>
          <w:rFonts w:ascii="Times New Roman" w:eastAsia="Times New Roman" w:hAnsi="Times New Roman" w:cs="Times New Roman"/>
        </w:rPr>
        <w:t>. Retrieved from https://www.sbi.co.in/web/investor-relations/annual-reports</w:t>
      </w:r>
    </w:p>
    <w:p w14:paraId="5102B3A3" w14:textId="6A1A235B" w:rsidR="00E736FA" w:rsidRPr="00246CCF" w:rsidRDefault="00E736FA" w:rsidP="00FF33C6">
      <w:pPr>
        <w:spacing w:before="80" w:after="80" w:line="360" w:lineRule="auto"/>
        <w:ind w:left="360"/>
        <w:jc w:val="both"/>
        <w:rPr>
          <w:rFonts w:ascii="Times New Roman" w:hAnsi="Times New Roman" w:cs="Times New Roman"/>
          <w:b/>
          <w:bCs/>
        </w:rPr>
      </w:pPr>
    </w:p>
    <w:sectPr w:rsidR="00E736FA" w:rsidRPr="00246CC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DF3D8" w14:textId="77777777" w:rsidR="003A7D2D" w:rsidRDefault="003A7D2D" w:rsidP="00D013E0">
      <w:pPr>
        <w:spacing w:after="0" w:line="240" w:lineRule="auto"/>
      </w:pPr>
      <w:r>
        <w:separator/>
      </w:r>
    </w:p>
  </w:endnote>
  <w:endnote w:type="continuationSeparator" w:id="0">
    <w:p w14:paraId="44058E1A" w14:textId="77777777" w:rsidR="003A7D2D" w:rsidRDefault="003A7D2D" w:rsidP="00D0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086C" w14:textId="77777777" w:rsidR="00D013E0" w:rsidRDefault="00D01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62323"/>
      <w:docPartObj>
        <w:docPartGallery w:val="Page Numbers (Bottom of Page)"/>
        <w:docPartUnique/>
      </w:docPartObj>
    </w:sdtPr>
    <w:sdtEndPr>
      <w:rPr>
        <w:noProof/>
      </w:rPr>
    </w:sdtEndPr>
    <w:sdtContent>
      <w:p w14:paraId="2D2952DB" w14:textId="648F9890" w:rsidR="00D013E0" w:rsidRDefault="00D013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653794" w14:textId="77777777" w:rsidR="00D013E0" w:rsidRDefault="00D01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1799" w14:textId="77777777" w:rsidR="00D013E0" w:rsidRDefault="00D01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AC19" w14:textId="77777777" w:rsidR="003A7D2D" w:rsidRDefault="003A7D2D" w:rsidP="00D013E0">
      <w:pPr>
        <w:spacing w:after="0" w:line="240" w:lineRule="auto"/>
      </w:pPr>
      <w:r>
        <w:separator/>
      </w:r>
    </w:p>
  </w:footnote>
  <w:footnote w:type="continuationSeparator" w:id="0">
    <w:p w14:paraId="2B7BCF7D" w14:textId="77777777" w:rsidR="003A7D2D" w:rsidRDefault="003A7D2D" w:rsidP="00D0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C83F" w14:textId="77777777" w:rsidR="00D013E0" w:rsidRDefault="00D01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1BC3" w14:textId="77777777" w:rsidR="00D013E0" w:rsidRDefault="00D01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C8F9" w14:textId="77777777" w:rsidR="00D013E0" w:rsidRDefault="00D01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D059A"/>
    <w:multiLevelType w:val="hybridMultilevel"/>
    <w:tmpl w:val="44B4FA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899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64"/>
    <w:rsid w:val="00024FEA"/>
    <w:rsid w:val="00033C4C"/>
    <w:rsid w:val="00045860"/>
    <w:rsid w:val="00063572"/>
    <w:rsid w:val="00066567"/>
    <w:rsid w:val="00094640"/>
    <w:rsid w:val="000A3350"/>
    <w:rsid w:val="000C1BF7"/>
    <w:rsid w:val="000C20AC"/>
    <w:rsid w:val="000F1484"/>
    <w:rsid w:val="00111F57"/>
    <w:rsid w:val="00113166"/>
    <w:rsid w:val="00141FE2"/>
    <w:rsid w:val="001461D2"/>
    <w:rsid w:val="00183E44"/>
    <w:rsid w:val="0019006E"/>
    <w:rsid w:val="00191C89"/>
    <w:rsid w:val="001B2491"/>
    <w:rsid w:val="001C55DB"/>
    <w:rsid w:val="001E1FB3"/>
    <w:rsid w:val="001E2DAB"/>
    <w:rsid w:val="001F3AA0"/>
    <w:rsid w:val="00214CF5"/>
    <w:rsid w:val="00224159"/>
    <w:rsid w:val="002252E4"/>
    <w:rsid w:val="00231A14"/>
    <w:rsid w:val="00246CCF"/>
    <w:rsid w:val="0025274E"/>
    <w:rsid w:val="00255529"/>
    <w:rsid w:val="00265217"/>
    <w:rsid w:val="002731E6"/>
    <w:rsid w:val="00276016"/>
    <w:rsid w:val="002A7809"/>
    <w:rsid w:val="002B2192"/>
    <w:rsid w:val="002C360E"/>
    <w:rsid w:val="002E38D7"/>
    <w:rsid w:val="002E7E5D"/>
    <w:rsid w:val="003025F8"/>
    <w:rsid w:val="003146AD"/>
    <w:rsid w:val="00324E59"/>
    <w:rsid w:val="00325A4D"/>
    <w:rsid w:val="00343A42"/>
    <w:rsid w:val="0035527D"/>
    <w:rsid w:val="003612A5"/>
    <w:rsid w:val="0037625F"/>
    <w:rsid w:val="0038465C"/>
    <w:rsid w:val="003A5C19"/>
    <w:rsid w:val="003A7D2D"/>
    <w:rsid w:val="003B1784"/>
    <w:rsid w:val="003B3C8B"/>
    <w:rsid w:val="003B4445"/>
    <w:rsid w:val="003B53BA"/>
    <w:rsid w:val="003C2B78"/>
    <w:rsid w:val="003D39C9"/>
    <w:rsid w:val="003E5942"/>
    <w:rsid w:val="004005FF"/>
    <w:rsid w:val="00461655"/>
    <w:rsid w:val="00466846"/>
    <w:rsid w:val="004729E1"/>
    <w:rsid w:val="00477AC5"/>
    <w:rsid w:val="00481E7E"/>
    <w:rsid w:val="00485DBA"/>
    <w:rsid w:val="004A5905"/>
    <w:rsid w:val="004A7782"/>
    <w:rsid w:val="004B456F"/>
    <w:rsid w:val="004C5857"/>
    <w:rsid w:val="004E3BFC"/>
    <w:rsid w:val="004F02E7"/>
    <w:rsid w:val="0050125E"/>
    <w:rsid w:val="00515DDE"/>
    <w:rsid w:val="00520049"/>
    <w:rsid w:val="0054400D"/>
    <w:rsid w:val="0055097A"/>
    <w:rsid w:val="00555508"/>
    <w:rsid w:val="005638C7"/>
    <w:rsid w:val="00574A78"/>
    <w:rsid w:val="00590B96"/>
    <w:rsid w:val="005945C3"/>
    <w:rsid w:val="005975AF"/>
    <w:rsid w:val="005B0ACE"/>
    <w:rsid w:val="005B0C21"/>
    <w:rsid w:val="005B1207"/>
    <w:rsid w:val="005B7B07"/>
    <w:rsid w:val="006409F8"/>
    <w:rsid w:val="00676063"/>
    <w:rsid w:val="00685B44"/>
    <w:rsid w:val="006A3896"/>
    <w:rsid w:val="006A683C"/>
    <w:rsid w:val="006B3C13"/>
    <w:rsid w:val="006D2DCA"/>
    <w:rsid w:val="006E4329"/>
    <w:rsid w:val="006E5EA7"/>
    <w:rsid w:val="00723722"/>
    <w:rsid w:val="0073407A"/>
    <w:rsid w:val="00747425"/>
    <w:rsid w:val="0075232E"/>
    <w:rsid w:val="00763EFB"/>
    <w:rsid w:val="00767559"/>
    <w:rsid w:val="00771E7B"/>
    <w:rsid w:val="00773486"/>
    <w:rsid w:val="007966ED"/>
    <w:rsid w:val="007A3582"/>
    <w:rsid w:val="007C7F53"/>
    <w:rsid w:val="007E7E51"/>
    <w:rsid w:val="007E7F81"/>
    <w:rsid w:val="00805ED6"/>
    <w:rsid w:val="00821C7A"/>
    <w:rsid w:val="00825A9B"/>
    <w:rsid w:val="0083495F"/>
    <w:rsid w:val="0084417A"/>
    <w:rsid w:val="00845D4E"/>
    <w:rsid w:val="00854EBE"/>
    <w:rsid w:val="00885DFC"/>
    <w:rsid w:val="008B27F6"/>
    <w:rsid w:val="008B419E"/>
    <w:rsid w:val="008C6862"/>
    <w:rsid w:val="008D7560"/>
    <w:rsid w:val="008F3815"/>
    <w:rsid w:val="0090111E"/>
    <w:rsid w:val="00914FE0"/>
    <w:rsid w:val="0092398C"/>
    <w:rsid w:val="009276D8"/>
    <w:rsid w:val="00932A69"/>
    <w:rsid w:val="00961A9F"/>
    <w:rsid w:val="009678C8"/>
    <w:rsid w:val="00994005"/>
    <w:rsid w:val="009B5980"/>
    <w:rsid w:val="009C0FCB"/>
    <w:rsid w:val="009F61EB"/>
    <w:rsid w:val="00A23F79"/>
    <w:rsid w:val="00A50481"/>
    <w:rsid w:val="00A63CF3"/>
    <w:rsid w:val="00A9219E"/>
    <w:rsid w:val="00A9396B"/>
    <w:rsid w:val="00AE192E"/>
    <w:rsid w:val="00B202E4"/>
    <w:rsid w:val="00B2095D"/>
    <w:rsid w:val="00B21B6D"/>
    <w:rsid w:val="00B312D6"/>
    <w:rsid w:val="00B35426"/>
    <w:rsid w:val="00B434DF"/>
    <w:rsid w:val="00B479F7"/>
    <w:rsid w:val="00B550E8"/>
    <w:rsid w:val="00B601F4"/>
    <w:rsid w:val="00B73A34"/>
    <w:rsid w:val="00B766D9"/>
    <w:rsid w:val="00BA0738"/>
    <w:rsid w:val="00BB7241"/>
    <w:rsid w:val="00BE49CD"/>
    <w:rsid w:val="00C00437"/>
    <w:rsid w:val="00C0184C"/>
    <w:rsid w:val="00C06C2E"/>
    <w:rsid w:val="00C3197D"/>
    <w:rsid w:val="00C56B88"/>
    <w:rsid w:val="00C57CA4"/>
    <w:rsid w:val="00C61D9D"/>
    <w:rsid w:val="00C70C1D"/>
    <w:rsid w:val="00C74742"/>
    <w:rsid w:val="00C7711E"/>
    <w:rsid w:val="00C80D2A"/>
    <w:rsid w:val="00C94BF7"/>
    <w:rsid w:val="00CC7A96"/>
    <w:rsid w:val="00CD66E1"/>
    <w:rsid w:val="00CF497B"/>
    <w:rsid w:val="00D013E0"/>
    <w:rsid w:val="00D25EFE"/>
    <w:rsid w:val="00D26AD2"/>
    <w:rsid w:val="00D2704A"/>
    <w:rsid w:val="00D352ED"/>
    <w:rsid w:val="00D51FF4"/>
    <w:rsid w:val="00D63EDD"/>
    <w:rsid w:val="00D80DF4"/>
    <w:rsid w:val="00D91F62"/>
    <w:rsid w:val="00DB5B20"/>
    <w:rsid w:val="00DD2174"/>
    <w:rsid w:val="00DE74E7"/>
    <w:rsid w:val="00E41186"/>
    <w:rsid w:val="00E736FA"/>
    <w:rsid w:val="00E747F7"/>
    <w:rsid w:val="00E83D52"/>
    <w:rsid w:val="00E95A07"/>
    <w:rsid w:val="00E977C1"/>
    <w:rsid w:val="00EC4965"/>
    <w:rsid w:val="00EC5A63"/>
    <w:rsid w:val="00ED7C66"/>
    <w:rsid w:val="00EE146D"/>
    <w:rsid w:val="00F03367"/>
    <w:rsid w:val="00F32B42"/>
    <w:rsid w:val="00F46130"/>
    <w:rsid w:val="00F54864"/>
    <w:rsid w:val="00F57488"/>
    <w:rsid w:val="00F74793"/>
    <w:rsid w:val="00F91056"/>
    <w:rsid w:val="00FA0253"/>
    <w:rsid w:val="00FA5C97"/>
    <w:rsid w:val="00FD557B"/>
    <w:rsid w:val="00FE284C"/>
    <w:rsid w:val="00FE7BD3"/>
    <w:rsid w:val="00FF3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2942"/>
  <w15:chartTrackingRefBased/>
  <w15:docId w15:val="{FD321CE5-A3D1-49EC-B0CC-7356080D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8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8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8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8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8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864"/>
    <w:rPr>
      <w:rFonts w:eastAsiaTheme="majorEastAsia" w:cstheme="majorBidi"/>
      <w:color w:val="272727" w:themeColor="text1" w:themeTint="D8"/>
    </w:rPr>
  </w:style>
  <w:style w:type="paragraph" w:styleId="Title">
    <w:name w:val="Title"/>
    <w:basedOn w:val="Normal"/>
    <w:next w:val="Normal"/>
    <w:link w:val="TitleChar"/>
    <w:uiPriority w:val="10"/>
    <w:qFormat/>
    <w:rsid w:val="00F5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864"/>
    <w:pPr>
      <w:spacing w:before="160"/>
      <w:jc w:val="center"/>
    </w:pPr>
    <w:rPr>
      <w:i/>
      <w:iCs/>
      <w:color w:val="404040" w:themeColor="text1" w:themeTint="BF"/>
    </w:rPr>
  </w:style>
  <w:style w:type="character" w:customStyle="1" w:styleId="QuoteChar">
    <w:name w:val="Quote Char"/>
    <w:basedOn w:val="DefaultParagraphFont"/>
    <w:link w:val="Quote"/>
    <w:uiPriority w:val="29"/>
    <w:rsid w:val="00F54864"/>
    <w:rPr>
      <w:i/>
      <w:iCs/>
      <w:color w:val="404040" w:themeColor="text1" w:themeTint="BF"/>
    </w:rPr>
  </w:style>
  <w:style w:type="paragraph" w:styleId="ListParagraph">
    <w:name w:val="List Paragraph"/>
    <w:basedOn w:val="Normal"/>
    <w:uiPriority w:val="34"/>
    <w:qFormat/>
    <w:rsid w:val="00F54864"/>
    <w:pPr>
      <w:ind w:left="720"/>
      <w:contextualSpacing/>
    </w:pPr>
  </w:style>
  <w:style w:type="character" w:styleId="IntenseEmphasis">
    <w:name w:val="Intense Emphasis"/>
    <w:basedOn w:val="DefaultParagraphFont"/>
    <w:uiPriority w:val="21"/>
    <w:qFormat/>
    <w:rsid w:val="00F54864"/>
    <w:rPr>
      <w:i/>
      <w:iCs/>
      <w:color w:val="2F5496" w:themeColor="accent1" w:themeShade="BF"/>
    </w:rPr>
  </w:style>
  <w:style w:type="paragraph" w:styleId="IntenseQuote">
    <w:name w:val="Intense Quote"/>
    <w:basedOn w:val="Normal"/>
    <w:next w:val="Normal"/>
    <w:link w:val="IntenseQuoteChar"/>
    <w:uiPriority w:val="30"/>
    <w:qFormat/>
    <w:rsid w:val="00F54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864"/>
    <w:rPr>
      <w:i/>
      <w:iCs/>
      <w:color w:val="2F5496" w:themeColor="accent1" w:themeShade="BF"/>
    </w:rPr>
  </w:style>
  <w:style w:type="character" w:styleId="IntenseReference">
    <w:name w:val="Intense Reference"/>
    <w:basedOn w:val="DefaultParagraphFont"/>
    <w:uiPriority w:val="32"/>
    <w:qFormat/>
    <w:rsid w:val="00F54864"/>
    <w:rPr>
      <w:b/>
      <w:bCs/>
      <w:smallCaps/>
      <w:color w:val="2F5496" w:themeColor="accent1" w:themeShade="BF"/>
      <w:spacing w:val="5"/>
    </w:rPr>
  </w:style>
  <w:style w:type="table" w:styleId="TableGrid">
    <w:name w:val="Table Grid"/>
    <w:basedOn w:val="TableNormal"/>
    <w:uiPriority w:val="39"/>
    <w:rsid w:val="0051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3A42"/>
    <w:rPr>
      <w:color w:val="0563C1" w:themeColor="hyperlink"/>
      <w:u w:val="single"/>
    </w:rPr>
  </w:style>
  <w:style w:type="character" w:styleId="UnresolvedMention">
    <w:name w:val="Unresolved Mention"/>
    <w:basedOn w:val="DefaultParagraphFont"/>
    <w:uiPriority w:val="99"/>
    <w:semiHidden/>
    <w:unhideWhenUsed/>
    <w:rsid w:val="00343A42"/>
    <w:rPr>
      <w:color w:val="605E5C"/>
      <w:shd w:val="clear" w:color="auto" w:fill="E1DFDD"/>
    </w:rPr>
  </w:style>
  <w:style w:type="paragraph" w:styleId="Header">
    <w:name w:val="header"/>
    <w:basedOn w:val="Normal"/>
    <w:link w:val="HeaderChar"/>
    <w:uiPriority w:val="99"/>
    <w:unhideWhenUsed/>
    <w:rsid w:val="00D0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3E0"/>
  </w:style>
  <w:style w:type="paragraph" w:styleId="Footer">
    <w:name w:val="footer"/>
    <w:basedOn w:val="Normal"/>
    <w:link w:val="FooterChar"/>
    <w:uiPriority w:val="99"/>
    <w:unhideWhenUsed/>
    <w:rsid w:val="00D01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60962">
      <w:bodyDiv w:val="1"/>
      <w:marLeft w:val="0"/>
      <w:marRight w:val="0"/>
      <w:marTop w:val="0"/>
      <w:marBottom w:val="0"/>
      <w:divBdr>
        <w:top w:val="none" w:sz="0" w:space="0" w:color="auto"/>
        <w:left w:val="none" w:sz="0" w:space="0" w:color="auto"/>
        <w:bottom w:val="none" w:sz="0" w:space="0" w:color="auto"/>
        <w:right w:val="none" w:sz="0" w:space="0" w:color="auto"/>
      </w:divBdr>
    </w:div>
    <w:div w:id="267661812">
      <w:bodyDiv w:val="1"/>
      <w:marLeft w:val="0"/>
      <w:marRight w:val="0"/>
      <w:marTop w:val="0"/>
      <w:marBottom w:val="0"/>
      <w:divBdr>
        <w:top w:val="none" w:sz="0" w:space="0" w:color="auto"/>
        <w:left w:val="none" w:sz="0" w:space="0" w:color="auto"/>
        <w:bottom w:val="none" w:sz="0" w:space="0" w:color="auto"/>
        <w:right w:val="none" w:sz="0" w:space="0" w:color="auto"/>
      </w:divBdr>
    </w:div>
    <w:div w:id="301234183">
      <w:bodyDiv w:val="1"/>
      <w:marLeft w:val="0"/>
      <w:marRight w:val="0"/>
      <w:marTop w:val="0"/>
      <w:marBottom w:val="0"/>
      <w:divBdr>
        <w:top w:val="none" w:sz="0" w:space="0" w:color="auto"/>
        <w:left w:val="none" w:sz="0" w:space="0" w:color="auto"/>
        <w:bottom w:val="none" w:sz="0" w:space="0" w:color="auto"/>
        <w:right w:val="none" w:sz="0" w:space="0" w:color="auto"/>
      </w:divBdr>
    </w:div>
    <w:div w:id="606012720">
      <w:bodyDiv w:val="1"/>
      <w:marLeft w:val="0"/>
      <w:marRight w:val="0"/>
      <w:marTop w:val="0"/>
      <w:marBottom w:val="0"/>
      <w:divBdr>
        <w:top w:val="none" w:sz="0" w:space="0" w:color="auto"/>
        <w:left w:val="none" w:sz="0" w:space="0" w:color="auto"/>
        <w:bottom w:val="none" w:sz="0" w:space="0" w:color="auto"/>
        <w:right w:val="none" w:sz="0" w:space="0" w:color="auto"/>
      </w:divBdr>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759720724">
      <w:bodyDiv w:val="1"/>
      <w:marLeft w:val="0"/>
      <w:marRight w:val="0"/>
      <w:marTop w:val="0"/>
      <w:marBottom w:val="0"/>
      <w:divBdr>
        <w:top w:val="none" w:sz="0" w:space="0" w:color="auto"/>
        <w:left w:val="none" w:sz="0" w:space="0" w:color="auto"/>
        <w:bottom w:val="none" w:sz="0" w:space="0" w:color="auto"/>
        <w:right w:val="none" w:sz="0" w:space="0" w:color="auto"/>
      </w:divBdr>
    </w:div>
    <w:div w:id="974213257">
      <w:bodyDiv w:val="1"/>
      <w:marLeft w:val="0"/>
      <w:marRight w:val="0"/>
      <w:marTop w:val="0"/>
      <w:marBottom w:val="0"/>
      <w:divBdr>
        <w:top w:val="none" w:sz="0" w:space="0" w:color="auto"/>
        <w:left w:val="none" w:sz="0" w:space="0" w:color="auto"/>
        <w:bottom w:val="none" w:sz="0" w:space="0" w:color="auto"/>
        <w:right w:val="none" w:sz="0" w:space="0" w:color="auto"/>
      </w:divBdr>
    </w:div>
    <w:div w:id="1220439053">
      <w:bodyDiv w:val="1"/>
      <w:marLeft w:val="0"/>
      <w:marRight w:val="0"/>
      <w:marTop w:val="0"/>
      <w:marBottom w:val="0"/>
      <w:divBdr>
        <w:top w:val="none" w:sz="0" w:space="0" w:color="auto"/>
        <w:left w:val="none" w:sz="0" w:space="0" w:color="auto"/>
        <w:bottom w:val="none" w:sz="0" w:space="0" w:color="auto"/>
        <w:right w:val="none" w:sz="0" w:space="0" w:color="auto"/>
      </w:divBdr>
    </w:div>
    <w:div w:id="1237057670">
      <w:bodyDiv w:val="1"/>
      <w:marLeft w:val="0"/>
      <w:marRight w:val="0"/>
      <w:marTop w:val="0"/>
      <w:marBottom w:val="0"/>
      <w:divBdr>
        <w:top w:val="none" w:sz="0" w:space="0" w:color="auto"/>
        <w:left w:val="none" w:sz="0" w:space="0" w:color="auto"/>
        <w:bottom w:val="none" w:sz="0" w:space="0" w:color="auto"/>
        <w:right w:val="none" w:sz="0" w:space="0" w:color="auto"/>
      </w:divBdr>
    </w:div>
    <w:div w:id="1280645619">
      <w:bodyDiv w:val="1"/>
      <w:marLeft w:val="0"/>
      <w:marRight w:val="0"/>
      <w:marTop w:val="0"/>
      <w:marBottom w:val="0"/>
      <w:divBdr>
        <w:top w:val="none" w:sz="0" w:space="0" w:color="auto"/>
        <w:left w:val="none" w:sz="0" w:space="0" w:color="auto"/>
        <w:bottom w:val="none" w:sz="0" w:space="0" w:color="auto"/>
        <w:right w:val="none" w:sz="0" w:space="0" w:color="auto"/>
      </w:divBdr>
    </w:div>
    <w:div w:id="1396584951">
      <w:bodyDiv w:val="1"/>
      <w:marLeft w:val="0"/>
      <w:marRight w:val="0"/>
      <w:marTop w:val="0"/>
      <w:marBottom w:val="0"/>
      <w:divBdr>
        <w:top w:val="none" w:sz="0" w:space="0" w:color="auto"/>
        <w:left w:val="none" w:sz="0" w:space="0" w:color="auto"/>
        <w:bottom w:val="none" w:sz="0" w:space="0" w:color="auto"/>
        <w:right w:val="none" w:sz="0" w:space="0" w:color="auto"/>
      </w:divBdr>
    </w:div>
    <w:div w:id="1594127959">
      <w:bodyDiv w:val="1"/>
      <w:marLeft w:val="0"/>
      <w:marRight w:val="0"/>
      <w:marTop w:val="0"/>
      <w:marBottom w:val="0"/>
      <w:divBdr>
        <w:top w:val="none" w:sz="0" w:space="0" w:color="auto"/>
        <w:left w:val="none" w:sz="0" w:space="0" w:color="auto"/>
        <w:bottom w:val="none" w:sz="0" w:space="0" w:color="auto"/>
        <w:right w:val="none" w:sz="0" w:space="0" w:color="auto"/>
      </w:divBdr>
    </w:div>
    <w:div w:id="1749500690">
      <w:bodyDiv w:val="1"/>
      <w:marLeft w:val="0"/>
      <w:marRight w:val="0"/>
      <w:marTop w:val="0"/>
      <w:marBottom w:val="0"/>
      <w:divBdr>
        <w:top w:val="none" w:sz="0" w:space="0" w:color="auto"/>
        <w:left w:val="none" w:sz="0" w:space="0" w:color="auto"/>
        <w:bottom w:val="none" w:sz="0" w:space="0" w:color="auto"/>
        <w:right w:val="none" w:sz="0" w:space="0" w:color="auto"/>
      </w:divBdr>
    </w:div>
    <w:div w:id="1987389156">
      <w:bodyDiv w:val="1"/>
      <w:marLeft w:val="0"/>
      <w:marRight w:val="0"/>
      <w:marTop w:val="0"/>
      <w:marBottom w:val="0"/>
      <w:divBdr>
        <w:top w:val="none" w:sz="0" w:space="0" w:color="auto"/>
        <w:left w:val="none" w:sz="0" w:space="0" w:color="auto"/>
        <w:bottom w:val="none" w:sz="0" w:space="0" w:color="auto"/>
        <w:right w:val="none" w:sz="0" w:space="0" w:color="auto"/>
      </w:divBdr>
    </w:div>
    <w:div w:id="204447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Wal60</b:Tag>
    <b:SourceType>JournalArticle</b:SourceType>
    <b:Guid>{A566BE88-938C-4AA5-8DFE-F3EFACDAD18C}</b:Guid>
    <b:Author>
      <b:Author>
        <b:NameList>
          <b:Person>
            <b:Last>Walter</b:Last>
            <b:First>James</b:First>
            <b:Middle>E.</b:Middle>
          </b:Person>
        </b:NameList>
      </b:Author>
    </b:Author>
    <b:Title> "Dividend Policy and Common Stock Prices",</b:Title>
    <b:JournalName>Journal of Finance</b:JournalName>
    <b:Year> (1960), </b:Year>
    <b:RefOrder>1</b:RefOrder>
  </b:Source>
  <b:Source>
    <b:Tag>Ste77</b:Tag>
    <b:SourceType>JournalArticle</b:SourceType>
    <b:Guid>{75C64A0A-4372-4582-8BFA-C3E453B1C5DE}</b:Guid>
    <b:Author>
      <b:Author>
        <b:NameList>
          <b:Person>
            <b:Last>Ezra.</b:Last>
            <b:First>Stephen</b:First>
            <b:Middle>Ross and Solomon</b:Middle>
          </b:Person>
        </b:NameList>
      </b:Author>
    </b:Author>
    <b:Year>(1977).</b:Year>
    <b:RefOrder>5</b:RefOrder>
  </b:Source>
  <b:Source>
    <b:Tag>Asm141</b:Tag>
    <b:SourceType>JournalArticle</b:SourceType>
    <b:Guid>{F502FFF4-DEB5-461A-8682-5E918C9F9207}</b:Guid>
    <b:Author>
      <b:Author>
        <b:NameList>
          <b:Person>
            <b:Last>AsmaTahir</b:Last>
            <b:First>N.</b:First>
            <b:Middle>R.</b:Middle>
          </b:Person>
        </b:NameList>
      </b:Author>
    </b:Author>
    <b:Title>Impact of Dividend Policy on Shareholder Wealth.</b:Title>
    <b:JournalName>ournal of Business and Management, </b:JournalName>
    <b:Year>(2014).</b:Year>
    <b:Pages>  J16(1), 24-33.  </b:Pages>
    <b:RefOrder>4</b:RefOrder>
  </b:Source>
  <b:Source>
    <b:Tag>Zaf121</b:Tag>
    <b:SourceType>JournalArticle</b:SourceType>
    <b:Guid>{0623F6BF-D2B9-49DB-8043-E55CFE9A0C94}</b:Guid>
    <b:Author>
      <b:Author>
        <b:NameList>
          <b:Person>
            <b:Last>Zafar</b:Last>
            <b:First>S.</b:First>
            <b:Middle>T., Chaubey, D. S., &amp; Khalid, S. M.</b:Middle>
          </b:Person>
        </b:NameList>
      </b:Author>
    </b:Author>
    <b:Title>A study on dividend policy and its impact on the shareholders' wealth in selected banking companies in India. </b:Title>
    <b:JournalName>International Journal of Financial Management,</b:JournalName>
    <b:Year>(2012). </b:Year>
    <b:Pages>2(3), 79–94.</b:Pages>
    <b:RefOrder>2</b:RefOrder>
  </b:Source>
  <b:Source>
    <b:Tag>Bha231</b:Tag>
    <b:SourceType>JournalArticle</b:SourceType>
    <b:Guid>{184237D2-B6A5-40DA-830E-2C81AB3FC2F3}</b:Guid>
    <b:Author>
      <b:Author>
        <b:NameList>
          <b:Person>
            <b:Last>Bhalla</b:Last>
            <b:First>A.</b:First>
          </b:Person>
        </b:NameList>
      </b:Author>
    </b:Author>
    <b:Title>Impact of dividend policy on stock prices for NIFTY 100 index in NSE India.</b:Title>
    <b:JournalName>Journal of Emerging Economies and Islamic Research, </b:JournalName>
    <b:Year>(2023). </b:Year>
    <b:Pages>11(1), 1–12.</b:Pages>
    <b:RefOrder>3</b:RefOrder>
  </b:Source>
</b:Sources>
</file>

<file path=customXml/itemProps1.xml><?xml version="1.0" encoding="utf-8"?>
<ds:datastoreItem xmlns:ds="http://schemas.openxmlformats.org/officeDocument/2006/customXml" ds:itemID="{6AA07F26-11B2-48CA-A318-B44A5B6B0DD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Musfira Fathima</dc:creator>
  <cp:keywords/>
  <dc:description/>
  <cp:lastModifiedBy>Syeda Maseera Fathima</cp:lastModifiedBy>
  <cp:revision>2</cp:revision>
  <dcterms:created xsi:type="dcterms:W3CDTF">2026-06-18T07:53:00Z</dcterms:created>
  <dcterms:modified xsi:type="dcterms:W3CDTF">2026-06-18T07:53:00Z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6a67942e-3e5a-4eed-9b1c-4ad7d8b105da</vt:lpwstr>
  </property>
</Properties>
</file>