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3"/>
        <w:rPr>
          <w:sz w:val="48"/>
          <w:szCs w:val="48"/>
        </w:rPr>
      </w:pPr>
      <w:r>
        <w:t xml:space="preserve">Synthesis and Characterization of Methanolic Root Extract of </w:t>
      </w:r>
      <w:r>
        <w:rPr>
          <w:rStyle w:val="style88"/>
        </w:rPr>
        <w:t>Imperata cylindrica</w:t>
      </w:r>
      <w:r>
        <w:t xml:space="preserve"> and Its Nanoencapsulation with Chitosan</w:t>
      </w:r>
    </w:p>
    <w:p>
      <w:pPr>
        <w:pStyle w:val="style3"/>
        <w:rPr/>
      </w:pPr>
      <w:r>
        <w:t>P. O. Okwuego</w:t>
      </w:r>
      <w:r>
        <w:rPr>
          <w:vertAlign w:val="superscript"/>
        </w:rPr>
        <w:t>1</w:t>
      </w:r>
      <w:r>
        <w:t>*, V. O. Offiah</w:t>
      </w:r>
      <w:r>
        <w:rPr>
          <w:vertAlign w:val="superscript"/>
        </w:rPr>
        <w:t>1</w:t>
      </w:r>
      <w:r>
        <w:t>, C. M. Okey</w:t>
      </w:r>
      <w:r>
        <w:noBreakHyphen/>
      </w:r>
      <w:r>
        <w:t>Nzekwe</w:t>
      </w:r>
      <w:r>
        <w:rPr>
          <w:vertAlign w:val="superscript"/>
        </w:rPr>
        <w:t>1</w:t>
      </w:r>
    </w:p>
    <w:p>
      <w:pPr>
        <w:pStyle w:val="style0"/>
        <w:rPr>
          <w:rStyle w:val="style85"/>
        </w:rPr>
      </w:pPr>
      <w:r>
        <w:t>¹ Department of Pure and Industrial Chemist</w:t>
      </w:r>
      <w:r>
        <w:t xml:space="preserve">ry, Chukwuemeka Odumegwu Ojukwu </w:t>
      </w:r>
      <w:r>
        <w:t>University, Anambra State, Nigeria</w:t>
      </w:r>
      <w:r>
        <w:br/>
      </w:r>
      <w:r>
        <w:rPr/>
        <w:fldChar w:fldCharType="begin"/>
      </w:r>
      <w:r>
        <w:instrText xml:space="preserve"> HYPERLINK "mailto:Po.okwuego@coou.edu,ng" </w:instrText>
      </w:r>
      <w:r>
        <w:rPr/>
        <w:fldChar w:fldCharType="separate"/>
      </w:r>
      <w:r>
        <w:rPr>
          <w:rStyle w:val="style85"/>
        </w:rPr>
        <w:t>Po.okwuego@coou.edu,ng</w:t>
      </w:r>
      <w:r>
        <w:rPr/>
        <w:fldChar w:fldCharType="end"/>
      </w:r>
      <w:r>
        <w:t xml:space="preserve"> OR  </w:t>
      </w:r>
      <w:r>
        <w:rPr/>
        <w:fldChar w:fldCharType="begin"/>
      </w:r>
      <w:r>
        <w:instrText xml:space="preserve"> HYPERLINK "mailto:obipetlab@gmail.com" </w:instrText>
      </w:r>
      <w:r>
        <w:rPr/>
        <w:fldChar w:fldCharType="separate"/>
      </w:r>
      <w:r>
        <w:rPr>
          <w:rStyle w:val="style85"/>
        </w:rPr>
        <w:t>obipetlab@gmail.com</w:t>
      </w:r>
      <w:r>
        <w:rPr/>
        <w:fldChar w:fldCharType="end"/>
      </w:r>
    </w:p>
    <w:p>
      <w:pPr>
        <w:pStyle w:val="style0"/>
        <w:rPr>
          <w:rStyle w:val="style85"/>
        </w:rPr>
      </w:pPr>
      <w:r>
        <w:rPr>
          <w:rStyle w:val="style85"/>
        </w:rPr>
        <w:t>Vo.ezigbo@</w:t>
      </w:r>
      <w:r>
        <w:t xml:space="preserve"> </w:t>
      </w:r>
      <w:r>
        <w:rPr>
          <w:rStyle w:val="style85"/>
        </w:rPr>
        <w:t>coou.edu,ng</w:t>
      </w:r>
    </w:p>
    <w:p>
      <w:pPr>
        <w:pStyle w:val="style0"/>
        <w:rPr/>
      </w:pPr>
      <w:r>
        <w:t>nzekwechinyere2@gmail.com</w:t>
      </w:r>
    </w:p>
    <w:p>
      <w:pPr>
        <w:pStyle w:val="style0"/>
        <w:rPr/>
      </w:pPr>
      <w:r>
        <w:t xml:space="preserve">Corresponding author: </w:t>
      </w:r>
      <w:r>
        <w:rPr/>
        <w:fldChar w:fldCharType="begin"/>
      </w:r>
      <w:r>
        <w:instrText xml:space="preserve"> HYPERLINK "mailto:Po.okwuego@coou.edu,ng" </w:instrText>
      </w:r>
      <w:r>
        <w:rPr/>
        <w:fldChar w:fldCharType="separate"/>
      </w:r>
      <w:r>
        <w:rPr>
          <w:rStyle w:val="style85"/>
        </w:rPr>
        <w:t>Po.okwuego@coou.edu,ng</w:t>
      </w:r>
      <w:r>
        <w:rPr/>
        <w:fldChar w:fldCharType="end"/>
      </w:r>
      <w:bookmarkStart w:id="0" w:name="_GoBack"/>
      <w:bookmarkEnd w:id="0"/>
    </w:p>
    <w:p>
      <w:pPr>
        <w:spacing w:lineRule="auto" w:line="240"/>
        <w:jc w:val="left"/>
        <w:rPr/>
      </w:pPr>
      <w:r>
        <w:rPr>
          <w:rFonts w:ascii="Times New Roman" w:cs="宋体" w:eastAsia="Calibri" w:hAnsi="Times New Roman" w:hint="default"/>
          <w:b w:val="false"/>
          <w:bCs w:val="false"/>
          <w:i w:val="false"/>
          <w:iCs w:val="false"/>
          <w:color w:val="auto"/>
          <w:sz w:val="24"/>
          <w:szCs w:val="24"/>
          <w:highlight w:val="none"/>
          <w:vertAlign w:val="baseline"/>
          <w:em w:val="none"/>
          <w:lang w:val="en-US" w:eastAsia="en-US"/>
        </w:rPr>
        <w:t>ORCID</w:t>
      </w:r>
      <w:r>
        <w:rPr>
          <w:rFonts w:ascii="Times New Roman" w:cs="宋体"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宋体" w:eastAsia="Calibri" w:hAnsi="Times New Roman" w:hint="default"/>
          <w:b w:val="false"/>
          <w:bCs w:val="false"/>
          <w:i w:val="false"/>
          <w:iCs w:val="false"/>
          <w:color w:val="auto"/>
          <w:sz w:val="24"/>
          <w:szCs w:val="24"/>
          <w:highlight w:val="none"/>
          <w:vertAlign w:val="baseline"/>
          <w:em w:val="none"/>
          <w:lang w:val="en-US" w:eastAsia="en-US"/>
        </w:rPr>
        <w:t>ID:</w:t>
      </w:r>
      <w:r>
        <w:rPr>
          <w:rFonts w:ascii="Times New Roman" w:cs="宋体"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宋体" w:eastAsia="Calibri" w:hAnsi="Times New Roman" w:hint="default"/>
          <w:b w:val="false"/>
          <w:bCs w:val="false"/>
          <w:i w:val="false"/>
          <w:iCs w:val="false"/>
          <w:color w:val="auto"/>
          <w:sz w:val="24"/>
          <w:szCs w:val="24"/>
          <w:highlight w:val="none"/>
          <w:vertAlign w:val="baseline"/>
          <w:em w:val="none"/>
          <w:lang w:val="en-US" w:eastAsia="en-US"/>
        </w:rPr>
        <w:t>0009000823892087</w:t>
      </w:r>
    </w:p>
    <w:p>
      <w:pPr>
        <w:pStyle w:val="style3"/>
        <w:rPr/>
      </w:pPr>
      <w:r>
        <w:t>Abstract</w:t>
      </w:r>
    </w:p>
    <w:p>
      <w:pPr>
        <w:pStyle w:val="style94"/>
        <w:rPr/>
      </w:pPr>
      <w:r>
        <w:t>The development of efficient nano</w:t>
      </w:r>
      <w:r>
        <w:noBreakHyphen/>
      </w:r>
      <w:r>
        <w:t>based drug delivery systems remains a critical strategy for improving the stability, bioavailability, and therapeutic performance of plant</w:t>
      </w:r>
      <w:r>
        <w:noBreakHyphen/>
      </w:r>
      <w:r>
        <w:t xml:space="preserve">derived bioactive compounds. In this study, methanolic root extract of </w:t>
      </w:r>
      <w:r>
        <w:rPr>
          <w:rStyle w:val="style88"/>
        </w:rPr>
        <w:t>Imperata cylindrica</w:t>
      </w:r>
      <w:r>
        <w:t xml:space="preserve"> was synthesized, characterized, and nanoencapsulated using chitosan as a biodegradable and biocompatible polymeric carrier, with the objective of enhancing its suitability for wound</w:t>
      </w:r>
      <w:r>
        <w:noBreakHyphen/>
      </w:r>
      <w:r>
        <w:t>healing and hemostatic drug delivery applications. Qualitative and quantitative phytochemical analyses revealed the presence of alkaloids (5.4%), tannins (5.7%), flavonoids (10.3%), saponins (2.25%), and terpenoids (43.3%), which are compounds commonly associated with anti</w:t>
      </w:r>
      <w:r>
        <w:noBreakHyphen/>
      </w:r>
      <w:r>
        <w:t>inflammatory, antimicrobial, and tissue</w:t>
      </w:r>
      <w:r>
        <w:noBreakHyphen/>
      </w:r>
      <w:r>
        <w:t>repair activities. Nanoencapsulation was achieved via chitosan</w:t>
      </w:r>
      <w:r>
        <w:noBreakHyphen/>
      </w:r>
      <w:r>
        <w:t>assisted precipitation, and the resulting nanoparticles were characterized using Fourier transform infrared spectroscopy (FTIR), ultraviolet–visible (UV–Vis) spectroscopy, transmission electron microscopy (TEM), and X</w:t>
      </w:r>
      <w:r>
        <w:noBreakHyphen/>
      </w:r>
      <w:r>
        <w:t>ray diffraction (XRD). FTIR spectra confirmed the successful incorporation of the extract within the chitosan matrix through the presence of characteristic O–H, N–H, and C=O functional groups without structural degradation. TEM analysis revealed predominantly spherical, mesoporous nanoparticles with particle sizes ranging from 2 to 50 nm and average diameters between 12.66 and 17.98 nm. UV–Vis spectroscopy demonstrated a hypsochromic shift in absorption maxima from 550 nm for the free extract to 375 nm for the nanoencapsulated formulation, indicating improved molecular dispersion and an encapsulation efficiency of 31.81%. XRD analysis revealed crystalline phases containing mineral oxides relevant to biological and pharmaceutical applications. Overall, the chitosan</w:t>
      </w:r>
      <w:r>
        <w:noBreakHyphen/>
      </w:r>
      <w:r>
        <w:t xml:space="preserve">based nanoencapsulation of </w:t>
      </w:r>
      <w:r>
        <w:rPr>
          <w:rStyle w:val="style88"/>
        </w:rPr>
        <w:t>Imperata cylindrica</w:t>
      </w:r>
      <w:r>
        <w:t xml:space="preserve"> root extract demonstrates significant potential as a natural product</w:t>
      </w:r>
      <w:r>
        <w:noBreakHyphen/>
      </w:r>
      <w:r>
        <w:t>derived drug delivery system for topical wound</w:t>
      </w:r>
      <w:r>
        <w:noBreakHyphen/>
      </w:r>
      <w:r>
        <w:t>healing and hemostatic applications, aligning with current advances in polymeric nanoparticle</w:t>
      </w:r>
      <w:r>
        <w:noBreakHyphen/>
      </w:r>
      <w:r>
        <w:t>mediated drug delivery.</w:t>
      </w:r>
    </w:p>
    <w:p>
      <w:pPr>
        <w:pStyle w:val="style94"/>
        <w:rPr/>
      </w:pPr>
      <w:r>
        <w:rPr>
          <w:rStyle w:val="style87"/>
          <w:rFonts w:eastAsia="宋体"/>
        </w:rPr>
        <w:t>Keywords:</w:t>
      </w:r>
      <w:r>
        <w:t xml:space="preserve"> </w:t>
      </w:r>
      <w:r>
        <w:rPr>
          <w:rStyle w:val="style88"/>
        </w:rPr>
        <w:t>Imperata cylindrica</w:t>
      </w:r>
      <w:r>
        <w:t>; chitosan nanoparticles; drug delivery system; nanoencapsulation; wound healing; hemostatic agents</w:t>
      </w:r>
    </w:p>
    <w:p>
      <w:pPr>
        <w:pStyle w:val="style3"/>
        <w:rPr/>
      </w:pPr>
      <w:r>
        <w:t>1. Introduction</w:t>
      </w:r>
    </w:p>
    <w:p>
      <w:pPr>
        <w:pStyle w:val="style94"/>
        <w:rPr/>
      </w:pPr>
      <w:r>
        <w:t>Efficient drug delivery remains a major challenge in pharmaceutical science, particularly for bioactive compounds derived from medicinal plants that often suffer from poor stability, low aqueous solubility, and limited bioavailability. Nano</w:t>
      </w:r>
      <w:r>
        <w:noBreakHyphen/>
      </w:r>
      <w:r>
        <w:t>enabled drug delivery systems have emerged as effective tools for overcoming these limitations by enhancing drug protection, controlled release, and targeted delivery to diseased tissues. Polymeric nanoparticles, especially those derived from natural polymers, are of increasing interest due to their favorable safety profiles and tunable physicochemical properties</w:t>
      </w:r>
      <w:r>
        <w:t xml:space="preserve"> Agnihotri </w:t>
      </w:r>
      <w:r>
        <w:rPr>
          <w:i/>
        </w:rPr>
        <w:t>et</w:t>
      </w:r>
      <w:r>
        <w:t xml:space="preserve"> </w:t>
      </w:r>
      <w:r>
        <w:rPr>
          <w:i/>
        </w:rPr>
        <w:t>al</w:t>
      </w:r>
      <w:r>
        <w:t xml:space="preserve"> (2004).</w:t>
      </w:r>
    </w:p>
    <w:p>
      <w:pPr>
        <w:pStyle w:val="style94"/>
        <w:rPr/>
      </w:pPr>
      <w:r>
        <w:rPr>
          <w:rStyle w:val="style88"/>
        </w:rPr>
        <w:t>Imperata cylindrica</w:t>
      </w:r>
      <w:r>
        <w:t xml:space="preserve"> is a perennial rhizomatous grass widely distributed across tropical and subtropical regions and extensively used in traditional medicine for wound healing, hemostatic activity, anti</w:t>
      </w:r>
      <w:r>
        <w:noBreakHyphen/>
      </w:r>
      <w:r>
        <w:t>inflammatory effects, and treatment of liver disorders. Phytochemical studies have shown that the plant contains flavonoids, terpenoids, alkaloids, tannins, and glycosides, which contribute to its pharmacological activities. However, the direct application of crude plant extracts is often limited by instability, rapid degradation, and uncontrolled release at the site of action</w:t>
      </w:r>
      <w:r>
        <w:t xml:space="preserve"> </w:t>
      </w:r>
      <w:r>
        <w:t xml:space="preserve">Alonso </w:t>
      </w:r>
      <w:r>
        <w:rPr>
          <w:i/>
        </w:rPr>
        <w:t xml:space="preserve">et al </w:t>
      </w:r>
      <w:r>
        <w:t>(2003)</w:t>
      </w:r>
      <w:r>
        <w:t>;</w:t>
      </w:r>
      <w:r>
        <w:t xml:space="preserve"> </w:t>
      </w:r>
      <w:r>
        <w:t>Cui et</w:t>
      </w:r>
      <w:r>
        <w:rPr>
          <w:i/>
        </w:rPr>
        <w:t xml:space="preserve"> al</w:t>
      </w:r>
      <w:r>
        <w:t xml:space="preserve"> (2012);</w:t>
      </w:r>
      <w:r>
        <w:t xml:space="preserve"> </w:t>
      </w:r>
      <w:r>
        <w:t xml:space="preserve">Chen </w:t>
      </w:r>
      <w:r>
        <w:rPr>
          <w:i/>
        </w:rPr>
        <w:t>et al.</w:t>
      </w:r>
      <w:r>
        <w:t xml:space="preserve"> (</w:t>
      </w:r>
      <w:r>
        <w:t>2016</w:t>
      </w:r>
      <w:r>
        <w:t>)</w:t>
      </w:r>
      <w:r>
        <w:t>;</w:t>
      </w:r>
      <w:r>
        <w:t xml:space="preserve"> </w:t>
      </w:r>
      <w:r>
        <w:t xml:space="preserve">Chen </w:t>
      </w:r>
      <w:r>
        <w:rPr>
          <w:i/>
        </w:rPr>
        <w:t>et al.</w:t>
      </w:r>
      <w:r>
        <w:t xml:space="preserve"> (2015).</w:t>
      </w:r>
    </w:p>
    <w:p>
      <w:pPr>
        <w:pStyle w:val="style94"/>
        <w:rPr/>
      </w:pPr>
      <w:r>
        <w:t>Chitosan, a cationic polysaccharide obtained through the deacetylation of chitin, has gained prominence in drug delivery science due to its biocompatibility, biodegradability, low toxicity, mucoadhesive behavior, and inherent antimicrobial properties. Chitosan</w:t>
      </w:r>
      <w:r>
        <w:noBreakHyphen/>
      </w:r>
      <w:r>
        <w:t>based nanoparticles are particularly attractive for topical and transdermal drug delivery owing to their ability to enhance drug retention, promote tissue interaction, and facilitate sustained release</w:t>
      </w:r>
      <w:r>
        <w:t xml:space="preserve"> </w:t>
      </w:r>
      <w:r>
        <w:t xml:space="preserve">Ahmed </w:t>
      </w:r>
      <w:r>
        <w:rPr>
          <w:i/>
        </w:rPr>
        <w:t>et al</w:t>
      </w:r>
      <w:r>
        <w:t xml:space="preserve"> (2016)</w:t>
      </w:r>
      <w:r>
        <w:t>.</w:t>
      </w:r>
    </w:p>
    <w:p>
      <w:pPr>
        <w:pStyle w:val="style94"/>
        <w:rPr/>
      </w:pPr>
      <w:r>
        <w:t>The present study focuses on the development of a chitosan</w:t>
      </w:r>
      <w:r>
        <w:noBreakHyphen/>
      </w:r>
      <w:r>
        <w:t xml:space="preserve">based nanoencapsulated formulation of methanolic root extract of </w:t>
      </w:r>
      <w:r>
        <w:rPr>
          <w:rStyle w:val="style88"/>
        </w:rPr>
        <w:t>Imperata cylindrica</w:t>
      </w:r>
      <w:r>
        <w:t>. The work emphasizes nanoparticle synthesis, physicochemical characterization, phytochemical profiling, and structural evaluation in the context of drug delivery science. By integrating traditional medicinal knowledge with modern nanotechnology, this study aims to provide a scientifically validated nano</w:t>
      </w:r>
      <w:r>
        <w:noBreakHyphen/>
      </w:r>
      <w:r>
        <w:t>drug delivery platform suitable for wound</w:t>
      </w:r>
      <w:r>
        <w:noBreakHyphen/>
      </w:r>
      <w:r>
        <w:t>healing and hemostatic applications</w:t>
      </w:r>
      <w:r>
        <w:t xml:space="preserve"> </w:t>
      </w:r>
      <w:r>
        <w:t xml:space="preserve">Ali </w:t>
      </w:r>
      <w:r>
        <w:rPr>
          <w:i/>
        </w:rPr>
        <w:t>et al</w:t>
      </w:r>
      <w:r>
        <w:t xml:space="preserve"> (2018)</w:t>
      </w:r>
      <w:r>
        <w:t>.</w:t>
      </w:r>
    </w:p>
    <w:p>
      <w:pPr>
        <w:pStyle w:val="style3"/>
        <w:rPr/>
      </w:pPr>
      <w:r>
        <w:t>2. Materials and Methods</w:t>
      </w:r>
    </w:p>
    <w:p>
      <w:pPr>
        <w:pStyle w:val="style3"/>
        <w:rPr/>
      </w:pPr>
      <w:r>
        <w:t>2.1 Sample Collection and Preparation</w:t>
      </w:r>
    </w:p>
    <w:p>
      <w:pPr>
        <w:pStyle w:val="style94"/>
        <w:rPr/>
      </w:pPr>
      <w:r>
        <w:t xml:space="preserve">Fresh roots of </w:t>
      </w:r>
      <w:r>
        <w:rPr>
          <w:rStyle w:val="style88"/>
        </w:rPr>
        <w:t>Imperata cylindrica</w:t>
      </w:r>
      <w:r>
        <w:t xml:space="preserve"> were collected from Umuenechi Village, Nibo, Anambra State, Nigeria. The plant was authenticated at the National Root Crops Research Institute Herbarium, Umudike, Abia State. The roots were washed, air</w:t>
      </w:r>
      <w:r>
        <w:noBreakHyphen/>
      </w:r>
      <w:r>
        <w:t>dried at room temperature for seven days, pulverized, and stored in airtight containers for subsequent analysis.</w:t>
      </w:r>
    </w:p>
    <w:p>
      <w:pPr>
        <w:pStyle w:val="style3"/>
        <w:rPr/>
      </w:pPr>
      <w:r>
        <w:t>2.2 Extraction of Root Sample</w:t>
      </w:r>
    </w:p>
    <w:p>
      <w:pPr>
        <w:pStyle w:val="style94"/>
        <w:rPr/>
      </w:pPr>
      <w:r>
        <w:t>One hundred and fifty grams (150 g) of the powdered root sample was macerated in 250 mL of methanol for 24 h. The extract was filtered using muslin cloth and concentrated to near dryness using a water bath at 70 °C. The concentrated extract was cooled and stored under refrigeration.</w:t>
      </w:r>
    </w:p>
    <w:p>
      <w:pPr>
        <w:pStyle w:val="style3"/>
        <w:rPr/>
      </w:pPr>
      <w:r>
        <w:t>2.3 Synthesis of Chitosan</w:t>
      </w:r>
    </w:p>
    <w:p>
      <w:pPr>
        <w:pStyle w:val="style94"/>
        <w:rPr/>
      </w:pPr>
      <w:r>
        <w:t>Chitosan was prepared via alkaline deacetylation of chitin obtained from carbonated periwinkle shells. The shells were activated using 0.5 M phosphoric acid, washed to neutral pH, oven</w:t>
      </w:r>
      <w:r>
        <w:noBreakHyphen/>
      </w:r>
      <w:r>
        <w:t>dried at 70 °C, and stored for nanoparticle synthesis.</w:t>
      </w:r>
    </w:p>
    <w:p>
      <w:pPr>
        <w:pStyle w:val="style3"/>
        <w:rPr/>
      </w:pPr>
      <w:r>
        <w:t>2.4 Preparation of Nanoencapsulated Extract</w:t>
      </w:r>
    </w:p>
    <w:p>
      <w:pPr>
        <w:pStyle w:val="style94"/>
        <w:rPr/>
      </w:pPr>
      <w:r>
        <w:t>One gram (1 g) of the methanol extract was dissolved in 150 mL of deionized water and added dropwise to 250 mL of 0.5 M ferric nitrate under continuous stirring. Chitosan (10 g per 100 mL of mixture) was subsequently introduced, and the mixture was stirred until gelation occurred. The product was concentrated at 65 °C, oven</w:t>
      </w:r>
      <w:r>
        <w:noBreakHyphen/>
      </w:r>
      <w:r>
        <w:t>dried, and stored for characterization.</w:t>
      </w:r>
    </w:p>
    <w:p>
      <w:pPr>
        <w:pStyle w:val="style3"/>
        <w:rPr/>
      </w:pPr>
      <w:r>
        <w:t>3. Results and Discussion</w:t>
      </w:r>
    </w:p>
    <w:p>
      <w:pPr>
        <w:pStyle w:val="style3"/>
        <w:rPr/>
      </w:pPr>
      <w:r>
        <w:t>3.1 Organoleptic and Formulation Stability Assessment</w:t>
      </w:r>
    </w:p>
    <w:p>
      <w:pPr>
        <w:pStyle w:val="style0"/>
        <w:spacing w:lineRule="auto" w:line="240"/>
        <w:jc w:val="both"/>
        <w:rPr/>
      </w:pPr>
      <w:r>
        <w:t xml:space="preserve">The organoleptic evaluation of </w:t>
      </w:r>
      <w:r>
        <w:rPr>
          <w:rStyle w:val="style88"/>
        </w:rPr>
        <w:t>Imperata cylindrica</w:t>
      </w:r>
      <w:r>
        <w:t xml:space="preserve"> root, chitosan, and the encapsulated particles revealed distinct differences in colour, texture, taste, and odour, reflecting their intrinsic properties and the effects of nanoencapsulation (Table 1). The root of </w:t>
      </w:r>
      <w:r>
        <w:rPr>
          <w:rStyle w:val="style88"/>
        </w:rPr>
        <w:t>I. cylindrica</w:t>
      </w:r>
      <w:r>
        <w:t xml:space="preserve"> exhibited a milky colour, fine texture, mildly sweet taste, and mild odour, consistent with its natural plant composition and high phytochemical content. Chitosan appeared ash-coloured, powdery, with a shelly taste and soapy odour, typical of its polysaccharide structure. The encapsulated particles displayed a brown colour, prickly texture, sour taste, and pungent but non-choking odour, indicating successful integration of the extract into the polymer matrix. Importantly, the organoleptic properties of the nanoencapsulated formulation showed no observable deterioration in colour, odour, texture, or consistency throughout the analysis period. This stability highlights the protective role of the chitosan matrix, which preserves the bioactive constituents, maintains uniform sensory attributes, and </w:t>
      </w:r>
      <w:r>
        <w:t xml:space="preserve">enhances formulation robustness </w:t>
      </w:r>
      <w:r>
        <w:t>a critical factor for topical or oral drug delivery systems where consistency influences physicochemical stability and patient compliance</w:t>
      </w:r>
      <w:r>
        <w:t xml:space="preserve"> </w:t>
      </w:r>
      <w:r>
        <w:t xml:space="preserve">Nkachukwu. </w:t>
      </w:r>
      <w:r>
        <w:rPr>
          <w:i/>
        </w:rPr>
        <w:t>et al</w:t>
      </w:r>
      <w:r>
        <w:t xml:space="preserve"> (2025);</w:t>
      </w:r>
      <w:r>
        <w:t xml:space="preserve"> </w:t>
      </w:r>
      <w:r>
        <w:t xml:space="preserve">Mmuo </w:t>
      </w:r>
      <w:r>
        <w:rPr>
          <w:i/>
        </w:rPr>
        <w:t>et al</w:t>
      </w:r>
      <w:r>
        <w:t xml:space="preserve"> (2024);</w:t>
      </w:r>
      <w:r>
        <w:t xml:space="preserve"> </w:t>
      </w:r>
      <w:r>
        <w:t xml:space="preserve">Okwuego, </w:t>
      </w:r>
      <w:r>
        <w:rPr>
          <w:i/>
        </w:rPr>
        <w:t>et al</w:t>
      </w:r>
      <w:r>
        <w:rPr>
          <w:rStyle w:val="style87"/>
          <w:b w:val="false"/>
        </w:rPr>
        <w:t xml:space="preserve"> (2025)</w:t>
      </w:r>
      <w:r>
        <w:t>.</w:t>
      </w:r>
    </w:p>
    <w:p>
      <w:pPr>
        <w:pStyle w:val="style0"/>
        <w:spacing w:before="100" w:beforeAutospacing="true" w:after="100" w:afterAutospacing="true" w:lineRule="auto" w:line="240"/>
        <w:rPr>
          <w:rFonts w:eastAsia="Times New Roman"/>
          <w:lang w:val="en-US"/>
        </w:rPr>
      </w:pPr>
      <w:r>
        <w:rPr>
          <w:rFonts w:eastAsia="Times New Roman"/>
          <w:b/>
          <w:bCs/>
          <w:lang w:val="en-US"/>
        </w:rPr>
        <w:t xml:space="preserve">Table 1. Organoleptic Properties of </w:t>
      </w:r>
      <w:r>
        <w:rPr>
          <w:rFonts w:eastAsia="Times New Roman"/>
          <w:b/>
          <w:bCs/>
          <w:i/>
          <w:iCs/>
          <w:lang w:val="en-US"/>
        </w:rPr>
        <w:t>Imperata cylindrica</w:t>
      </w:r>
      <w:r>
        <w:rPr>
          <w:rFonts w:eastAsia="Times New Roman"/>
          <w:b/>
          <w:bCs/>
          <w:lang w:val="en-US"/>
        </w:rPr>
        <w:t>, Chitosan, and Encapsulated Particles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70"/>
        <w:gridCol w:w="2675"/>
        <w:gridCol w:w="997"/>
        <w:gridCol w:w="2632"/>
      </w:tblGrid>
      <w:tr>
        <w:trPr>
          <w:tblHeader/>
          <w:tblCellSpacing w:w="15" w:type="dxa"/>
        </w:trPr>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Parameter</w:t>
            </w:r>
          </w:p>
        </w:tc>
        <w:tc>
          <w:tcPr>
            <w:tcW w:w="0" w:type="auto"/>
            <w:tcBorders/>
            <w:vAlign w:val="center"/>
            <w:hideMark/>
          </w:tcPr>
          <w:p>
            <w:pPr>
              <w:pStyle w:val="style0"/>
              <w:spacing w:lineRule="auto" w:line="240"/>
              <w:jc w:val="center"/>
              <w:rPr>
                <w:rFonts w:eastAsia="Times New Roman"/>
                <w:b/>
                <w:bCs/>
                <w:lang w:val="en-US"/>
              </w:rPr>
            </w:pPr>
            <w:r>
              <w:rPr>
                <w:rFonts w:eastAsia="Times New Roman"/>
                <w:b/>
                <w:bCs/>
                <w:i/>
                <w:iCs/>
                <w:lang w:val="en-US"/>
              </w:rPr>
              <w:t>Imperata cylindrica</w:t>
            </w:r>
            <w:r>
              <w:rPr>
                <w:rFonts w:eastAsia="Times New Roman"/>
                <w:b/>
                <w:bCs/>
                <w:lang w:val="en-US"/>
              </w:rPr>
              <w:t xml:space="preserve"> Root</w:t>
            </w:r>
          </w:p>
        </w:tc>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Chitosan</w:t>
            </w:r>
          </w:p>
        </w:tc>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Encapsulated Particles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Colour</w:t>
            </w:r>
          </w:p>
        </w:tc>
        <w:tc>
          <w:tcPr>
            <w:tcW w:w="0" w:type="auto"/>
            <w:tcBorders/>
            <w:vAlign w:val="center"/>
            <w:hideMark/>
          </w:tcPr>
          <w:p>
            <w:pPr>
              <w:pStyle w:val="style0"/>
              <w:spacing w:lineRule="auto" w:line="240"/>
              <w:rPr>
                <w:rFonts w:eastAsia="Times New Roman"/>
                <w:lang w:val="en-US"/>
              </w:rPr>
            </w:pPr>
            <w:r>
              <w:rPr>
                <w:rFonts w:eastAsia="Times New Roman"/>
                <w:lang w:val="en-US"/>
              </w:rPr>
              <w:t>Milk</w:t>
            </w:r>
          </w:p>
        </w:tc>
        <w:tc>
          <w:tcPr>
            <w:tcW w:w="0" w:type="auto"/>
            <w:tcBorders/>
            <w:vAlign w:val="center"/>
            <w:hideMark/>
          </w:tcPr>
          <w:p>
            <w:pPr>
              <w:pStyle w:val="style0"/>
              <w:spacing w:lineRule="auto" w:line="240"/>
              <w:rPr>
                <w:rFonts w:eastAsia="Times New Roman"/>
                <w:lang w:val="en-US"/>
              </w:rPr>
            </w:pPr>
            <w:r>
              <w:rPr>
                <w:rFonts w:eastAsia="Times New Roman"/>
                <w:lang w:val="en-US"/>
              </w:rPr>
              <w:t>Ash</w:t>
            </w:r>
          </w:p>
        </w:tc>
        <w:tc>
          <w:tcPr>
            <w:tcW w:w="0" w:type="auto"/>
            <w:tcBorders/>
            <w:vAlign w:val="center"/>
            <w:hideMark/>
          </w:tcPr>
          <w:p>
            <w:pPr>
              <w:pStyle w:val="style0"/>
              <w:spacing w:lineRule="auto" w:line="240"/>
              <w:rPr>
                <w:rFonts w:eastAsia="Times New Roman"/>
                <w:lang w:val="en-US"/>
              </w:rPr>
            </w:pPr>
            <w:r>
              <w:rPr>
                <w:rFonts w:eastAsia="Times New Roman"/>
                <w:lang w:val="en-US"/>
              </w:rPr>
              <w:t>Brown</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Texture</w:t>
            </w:r>
          </w:p>
        </w:tc>
        <w:tc>
          <w:tcPr>
            <w:tcW w:w="0" w:type="auto"/>
            <w:tcBorders/>
            <w:vAlign w:val="center"/>
            <w:hideMark/>
          </w:tcPr>
          <w:p>
            <w:pPr>
              <w:pStyle w:val="style0"/>
              <w:spacing w:lineRule="auto" w:line="240"/>
              <w:rPr>
                <w:rFonts w:eastAsia="Times New Roman"/>
                <w:lang w:val="en-US"/>
              </w:rPr>
            </w:pPr>
            <w:r>
              <w:rPr>
                <w:rFonts w:eastAsia="Times New Roman"/>
                <w:lang w:val="en-US"/>
              </w:rPr>
              <w:t>Fine</w:t>
            </w:r>
          </w:p>
        </w:tc>
        <w:tc>
          <w:tcPr>
            <w:tcW w:w="0" w:type="auto"/>
            <w:tcBorders/>
            <w:vAlign w:val="center"/>
            <w:hideMark/>
          </w:tcPr>
          <w:p>
            <w:pPr>
              <w:pStyle w:val="style0"/>
              <w:spacing w:lineRule="auto" w:line="240"/>
              <w:rPr>
                <w:rFonts w:eastAsia="Times New Roman"/>
                <w:lang w:val="en-US"/>
              </w:rPr>
            </w:pPr>
            <w:r>
              <w:rPr>
                <w:rFonts w:eastAsia="Times New Roman"/>
                <w:lang w:val="en-US"/>
              </w:rPr>
              <w:t>Powdery</w:t>
            </w:r>
          </w:p>
        </w:tc>
        <w:tc>
          <w:tcPr>
            <w:tcW w:w="0" w:type="auto"/>
            <w:tcBorders/>
            <w:vAlign w:val="center"/>
            <w:hideMark/>
          </w:tcPr>
          <w:p>
            <w:pPr>
              <w:pStyle w:val="style0"/>
              <w:spacing w:lineRule="auto" w:line="240"/>
              <w:rPr>
                <w:rFonts w:eastAsia="Times New Roman"/>
                <w:lang w:val="en-US"/>
              </w:rPr>
            </w:pPr>
            <w:r>
              <w:rPr>
                <w:rFonts w:eastAsia="Times New Roman"/>
                <w:lang w:val="en-US"/>
              </w:rPr>
              <w:t>Prickly</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Taste</w:t>
            </w:r>
          </w:p>
        </w:tc>
        <w:tc>
          <w:tcPr>
            <w:tcW w:w="0" w:type="auto"/>
            <w:tcBorders/>
            <w:vAlign w:val="center"/>
            <w:hideMark/>
          </w:tcPr>
          <w:p>
            <w:pPr>
              <w:pStyle w:val="style0"/>
              <w:spacing w:lineRule="auto" w:line="240"/>
              <w:rPr>
                <w:rFonts w:eastAsia="Times New Roman"/>
                <w:lang w:val="en-US"/>
              </w:rPr>
            </w:pPr>
            <w:r>
              <w:rPr>
                <w:rFonts w:eastAsia="Times New Roman"/>
                <w:lang w:val="en-US"/>
              </w:rPr>
              <w:t>Sugary</w:t>
            </w:r>
          </w:p>
        </w:tc>
        <w:tc>
          <w:tcPr>
            <w:tcW w:w="0" w:type="auto"/>
            <w:tcBorders/>
            <w:vAlign w:val="center"/>
            <w:hideMark/>
          </w:tcPr>
          <w:p>
            <w:pPr>
              <w:pStyle w:val="style0"/>
              <w:spacing w:lineRule="auto" w:line="240"/>
              <w:rPr>
                <w:rFonts w:eastAsia="Times New Roman"/>
                <w:lang w:val="en-US"/>
              </w:rPr>
            </w:pPr>
            <w:r>
              <w:rPr>
                <w:rFonts w:eastAsia="Times New Roman"/>
                <w:lang w:val="en-US"/>
              </w:rPr>
              <w:t>Shelly</w:t>
            </w:r>
          </w:p>
        </w:tc>
        <w:tc>
          <w:tcPr>
            <w:tcW w:w="0" w:type="auto"/>
            <w:tcBorders/>
            <w:vAlign w:val="center"/>
            <w:hideMark/>
          </w:tcPr>
          <w:p>
            <w:pPr>
              <w:pStyle w:val="style0"/>
              <w:spacing w:lineRule="auto" w:line="240"/>
              <w:rPr>
                <w:rFonts w:eastAsia="Times New Roman"/>
                <w:lang w:val="en-US"/>
              </w:rPr>
            </w:pPr>
            <w:r>
              <w:rPr>
                <w:rFonts w:eastAsia="Times New Roman"/>
                <w:lang w:val="en-US"/>
              </w:rPr>
              <w:t>Sour</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Odour</w:t>
            </w:r>
          </w:p>
        </w:tc>
        <w:tc>
          <w:tcPr>
            <w:tcW w:w="0" w:type="auto"/>
            <w:tcBorders/>
            <w:vAlign w:val="center"/>
            <w:hideMark/>
          </w:tcPr>
          <w:p>
            <w:pPr>
              <w:pStyle w:val="style0"/>
              <w:spacing w:lineRule="auto" w:line="240"/>
              <w:rPr>
                <w:rFonts w:eastAsia="Times New Roman"/>
                <w:lang w:val="en-US"/>
              </w:rPr>
            </w:pPr>
            <w:r>
              <w:rPr>
                <w:rFonts w:eastAsia="Times New Roman"/>
                <w:lang w:val="en-US"/>
              </w:rPr>
              <w:t>Mild</w:t>
            </w:r>
          </w:p>
        </w:tc>
        <w:tc>
          <w:tcPr>
            <w:tcW w:w="0" w:type="auto"/>
            <w:tcBorders/>
            <w:vAlign w:val="center"/>
            <w:hideMark/>
          </w:tcPr>
          <w:p>
            <w:pPr>
              <w:pStyle w:val="style0"/>
              <w:spacing w:lineRule="auto" w:line="240"/>
              <w:rPr>
                <w:rFonts w:eastAsia="Times New Roman"/>
                <w:lang w:val="en-US"/>
              </w:rPr>
            </w:pPr>
            <w:r>
              <w:rPr>
                <w:rFonts w:eastAsia="Times New Roman"/>
                <w:lang w:val="en-US"/>
              </w:rPr>
              <w:t>Soapy</w:t>
            </w:r>
          </w:p>
        </w:tc>
        <w:tc>
          <w:tcPr>
            <w:tcW w:w="0" w:type="auto"/>
            <w:tcBorders/>
            <w:vAlign w:val="center"/>
            <w:hideMark/>
          </w:tcPr>
          <w:p>
            <w:pPr>
              <w:pStyle w:val="style0"/>
              <w:spacing w:lineRule="auto" w:line="240"/>
              <w:rPr>
                <w:rFonts w:eastAsia="Times New Roman"/>
                <w:lang w:val="en-US"/>
              </w:rPr>
            </w:pPr>
            <w:r>
              <w:rPr>
                <w:rFonts w:eastAsia="Times New Roman"/>
                <w:lang w:val="en-US"/>
              </w:rPr>
              <w:t>Pungent but not choking</w:t>
            </w:r>
          </w:p>
        </w:tc>
      </w:tr>
    </w:tbl>
    <w:p>
      <w:pPr>
        <w:pStyle w:val="style3"/>
        <w:rPr/>
      </w:pPr>
      <w:r>
        <w:t>3.2 Morphological Characteristics and Particle Size Distribution</w:t>
      </w:r>
    </w:p>
    <w:p>
      <w:pPr>
        <w:pStyle w:val="style0"/>
        <w:tabs>
          <w:tab w:val="left" w:leader="none" w:pos="2960"/>
        </w:tabs>
        <w:spacing w:lineRule="auto" w:line="240"/>
        <w:ind w:left="720" w:hanging="720"/>
        <w:contextualSpacing/>
        <w:rPr/>
      </w:pPr>
      <w:r>
        <w:t>Transmission electron microscopy (TEM) analysis demonst</w:t>
      </w:r>
      <w:r>
        <w:t xml:space="preserve">rated that the nanoencapsulated </w:t>
      </w:r>
    </w:p>
    <w:p>
      <w:pPr>
        <w:pStyle w:val="style0"/>
        <w:tabs>
          <w:tab w:val="left" w:leader="none" w:pos="2960"/>
        </w:tabs>
        <w:spacing w:lineRule="auto" w:line="240"/>
        <w:ind w:left="720" w:hanging="720"/>
        <w:contextualSpacing/>
        <w:rPr/>
      </w:pPr>
      <w:r>
        <w:rPr>
          <w:rStyle w:val="style88"/>
        </w:rPr>
        <w:t>Imperata cylindrica</w:t>
      </w:r>
      <w:r>
        <w:t xml:space="preserve"> extract consisted predominantly of spherical nanoparticles with </w:t>
      </w:r>
    </w:p>
    <w:p>
      <w:pPr>
        <w:pStyle w:val="style0"/>
        <w:tabs>
          <w:tab w:val="left" w:leader="none" w:pos="2960"/>
        </w:tabs>
        <w:spacing w:lineRule="auto" w:line="240"/>
        <w:ind w:left="720" w:hanging="720"/>
        <w:contextualSpacing/>
        <w:rPr/>
      </w:pPr>
      <w:r>
        <w:t xml:space="preserve">mesoporous structures and particle sizes ranging from 2 to 50 nm. The average particle sizes </w:t>
      </w:r>
    </w:p>
    <w:p>
      <w:pPr>
        <w:pStyle w:val="style0"/>
        <w:tabs>
          <w:tab w:val="left" w:leader="none" w:pos="2960"/>
        </w:tabs>
        <w:spacing w:lineRule="auto" w:line="240"/>
        <w:ind w:left="720" w:hanging="720"/>
        <w:contextualSpacing/>
        <w:rPr/>
      </w:pPr>
      <w:r>
        <w:t xml:space="preserve">(12.66–17.98 nm) fall within the optimal range reported for polymeric nanoparticles </w:t>
      </w:r>
    </w:p>
    <w:p>
      <w:pPr>
        <w:pStyle w:val="style0"/>
        <w:tabs>
          <w:tab w:val="left" w:leader="none" w:pos="2960"/>
        </w:tabs>
        <w:spacing w:lineRule="auto" w:line="240"/>
        <w:ind w:left="720" w:hanging="720"/>
        <w:contextualSpacing/>
        <w:rPr/>
      </w:pPr>
      <w:r>
        <w:t>intended for drug delivery applications</w:t>
      </w:r>
      <w:r>
        <w:t xml:space="preserve"> </w:t>
      </w:r>
      <w:r>
        <w:t xml:space="preserve">Okwuego </w:t>
      </w:r>
      <w:r>
        <w:rPr>
          <w:i/>
        </w:rPr>
        <w:t>et al</w:t>
      </w:r>
      <w:r>
        <w:t xml:space="preserve"> (2021)</w:t>
      </w:r>
      <w:r>
        <w:t>;</w:t>
      </w:r>
      <w:r>
        <w:t xml:space="preserve"> </w:t>
      </w:r>
      <w:r>
        <w:t xml:space="preserve">Ochie </w:t>
      </w:r>
      <w:r>
        <w:rPr>
          <w:i/>
        </w:rPr>
        <w:t>et al</w:t>
      </w:r>
      <w:r>
        <w:t xml:space="preserve"> (</w:t>
      </w:r>
      <w:r>
        <w:rPr>
          <w:shd w:val="clear" w:color="auto" w:fill="ffffff"/>
        </w:rPr>
        <w:t>2025);</w:t>
      </w:r>
      <w:r>
        <w:t xml:space="preserve"> </w:t>
      </w:r>
      <w:r>
        <w:t xml:space="preserve">Okwuego </w:t>
      </w:r>
    </w:p>
    <w:p>
      <w:pPr>
        <w:pStyle w:val="style0"/>
        <w:tabs>
          <w:tab w:val="left" w:leader="none" w:pos="2960"/>
        </w:tabs>
        <w:spacing w:lineRule="auto" w:line="240"/>
        <w:ind w:left="720" w:hanging="720"/>
        <w:contextualSpacing/>
        <w:rPr/>
      </w:pPr>
      <w:r>
        <w:t>(2025)</w:t>
      </w:r>
      <w:r>
        <w:t xml:space="preserve">. Nanoparticles within this size regime are known to exhibit enhanced surface area, </w:t>
      </w:r>
    </w:p>
    <w:p>
      <w:pPr>
        <w:pStyle w:val="style0"/>
        <w:tabs>
          <w:tab w:val="left" w:leader="none" w:pos="2960"/>
        </w:tabs>
        <w:spacing w:lineRule="auto" w:line="240"/>
        <w:ind w:left="720" w:hanging="720"/>
        <w:contextualSpacing/>
        <w:rPr/>
      </w:pPr>
      <w:r>
        <w:t xml:space="preserve">improved tissue interaction, and prolonged retention at the site of application, particularly in </w:t>
      </w:r>
    </w:p>
    <w:p>
      <w:pPr>
        <w:pStyle w:val="style0"/>
        <w:tabs>
          <w:tab w:val="left" w:leader="none" w:pos="2960"/>
        </w:tabs>
        <w:spacing w:lineRule="auto" w:line="240"/>
        <w:ind w:left="720" w:hanging="720"/>
        <w:contextualSpacing/>
        <w:rPr/>
      </w:pPr>
      <w:r>
        <w:t>topical and wound-healing formulations.</w:t>
      </w:r>
    </w:p>
    <w:p>
      <w:pPr>
        <w:pStyle w:val="style0"/>
        <w:tabs>
          <w:tab w:val="left" w:leader="none" w:pos="1843"/>
        </w:tabs>
        <w:jc w:val="both"/>
        <w:rPr>
          <w:b/>
        </w:rPr>
      </w:pPr>
      <w:r>
        <w:rPr>
          <w:b/>
          <w:noProof/>
          <w:lang w:val="en-US"/>
        </w:rPr>
        <w:drawing>
          <wp:inline distL="0" distT="0" distB="0" distR="0">
            <wp:extent cx="5655183" cy="2453005"/>
            <wp:effectExtent l="0" t="0" r="3175" b="4445"/>
            <wp:docPr id="1026" name="Picture 31" descr="C:\Users\CHINYERE\Documents\AUNTY CHINYRERE\Methanol Extract  100nm.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 cstate="print"/>
                    <a:srcRect l="0" t="0" r="0" b="0"/>
                    <a:stretch/>
                  </pic:blipFill>
                  <pic:spPr>
                    <a:xfrm rot="0">
                      <a:off x="0" y="0"/>
                      <a:ext cx="5655183" cy="2453005"/>
                    </a:xfrm>
                    <a:prstGeom prst="rect"/>
                    <a:ln>
                      <a:noFill/>
                    </a:ln>
                  </pic:spPr>
                </pic:pic>
              </a:graphicData>
            </a:graphic>
          </wp:inline>
        </w:drawing>
      </w:r>
    </w:p>
    <w:p>
      <w:pPr>
        <w:pStyle w:val="style0"/>
        <w:tabs>
          <w:tab w:val="left" w:leader="none" w:pos="1843"/>
        </w:tabs>
        <w:jc w:val="both"/>
        <w:rPr>
          <w:b/>
        </w:rPr>
      </w:pPr>
      <w:r>
        <w:rPr>
          <w:b/>
        </w:rPr>
        <w:t>Figure 1</w:t>
      </w:r>
      <w:r>
        <w:rPr>
          <w:b/>
        </w:rPr>
        <w:t xml:space="preserve"> Transmission of Electron</w:t>
      </w:r>
      <w:r>
        <w:rPr>
          <w:b/>
        </w:rPr>
        <w:t xml:space="preserve"> Microscope of Methanol Extract</w:t>
      </w:r>
    </w:p>
    <w:p>
      <w:pPr>
        <w:pStyle w:val="style0"/>
        <w:jc w:val="both"/>
        <w:rPr>
          <w:b/>
        </w:rPr>
      </w:pPr>
      <w:r>
        <w:rPr>
          <w:b/>
          <w:noProof/>
          <w:lang w:val="en-US"/>
        </w:rPr>
        <w:drawing>
          <wp:inline distL="0" distT="0" distB="0" distR="0">
            <wp:extent cx="5654977" cy="1866900"/>
            <wp:effectExtent l="0" t="0" r="3175" b="0"/>
            <wp:docPr id="1027" name="Picture 4" descr="C:\Users\CHINYERE\Documents\AUNTY CHINYRERE\CHITOSAN 100nm.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3" cstate="print"/>
                    <a:srcRect l="0" t="0" r="0" b="0"/>
                    <a:stretch/>
                  </pic:blipFill>
                  <pic:spPr>
                    <a:xfrm rot="0">
                      <a:off x="0" y="0"/>
                      <a:ext cx="5654977" cy="1866900"/>
                    </a:xfrm>
                    <a:prstGeom prst="rect"/>
                    <a:ln>
                      <a:noFill/>
                    </a:ln>
                  </pic:spPr>
                </pic:pic>
              </a:graphicData>
            </a:graphic>
          </wp:inline>
        </w:drawing>
      </w:r>
    </w:p>
    <w:p>
      <w:pPr>
        <w:pStyle w:val="style0"/>
        <w:jc w:val="both"/>
        <w:rPr>
          <w:b/>
        </w:rPr>
      </w:pPr>
    </w:p>
    <w:p>
      <w:pPr>
        <w:pStyle w:val="style0"/>
        <w:jc w:val="both"/>
        <w:rPr>
          <w:b/>
        </w:rPr>
      </w:pPr>
      <w:r>
        <w:rPr>
          <w:b/>
        </w:rPr>
        <w:t>Figure 2</w:t>
      </w:r>
      <w:r>
        <w:rPr>
          <w:b/>
        </w:rPr>
        <w:t xml:space="preserve"> Transmission Electron Microscope of Chitosan</w:t>
      </w:r>
    </w:p>
    <w:p>
      <w:pPr>
        <w:pStyle w:val="style0"/>
        <w:jc w:val="both"/>
        <w:rPr>
          <w:b/>
        </w:rPr>
      </w:pPr>
      <w:r>
        <w:rPr>
          <w:b/>
          <w:noProof/>
          <w:lang w:val="en-US"/>
        </w:rPr>
        <w:drawing>
          <wp:inline distL="0" distT="0" distB="0" distR="0">
            <wp:extent cx="5448300" cy="2276475"/>
            <wp:effectExtent l="0" t="0" r="0" b="9525"/>
            <wp:docPr id="1028"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4"/>
                    <pic:cNvPicPr/>
                  </pic:nvPicPr>
                  <pic:blipFill>
                    <a:blip r:embed="rId4" cstate="print"/>
                    <a:srcRect l="0" t="0" r="0" b="0"/>
                    <a:stretch/>
                  </pic:blipFill>
                  <pic:spPr>
                    <a:xfrm rot="0">
                      <a:off x="0" y="0"/>
                      <a:ext cx="5448300" cy="2276475"/>
                    </a:xfrm>
                    <a:prstGeom prst="rect"/>
                    <a:ln>
                      <a:noFill/>
                    </a:ln>
                  </pic:spPr>
                </pic:pic>
              </a:graphicData>
            </a:graphic>
          </wp:inline>
        </w:drawing>
      </w:r>
    </w:p>
    <w:p>
      <w:pPr>
        <w:pStyle w:val="style0"/>
        <w:spacing w:lineRule="auto" w:line="240"/>
        <w:jc w:val="both"/>
        <w:rPr>
          <w:b/>
        </w:rPr>
      </w:pPr>
      <w:r>
        <w:rPr>
          <w:b/>
        </w:rPr>
        <w:t>Figure 3</w:t>
      </w:r>
      <w:r>
        <w:rPr>
          <w:b/>
        </w:rPr>
        <w:t xml:space="preserve"> Transmission Electron Microscope of Encap</w:t>
      </w:r>
      <w:r>
        <w:rPr>
          <w:b/>
        </w:rPr>
        <w:t>sulated particle</w:t>
      </w:r>
      <w:r>
        <w:rPr>
          <w:b/>
        </w:rPr>
        <w:tab/>
      </w:r>
      <w:r>
        <w:rPr>
          <w:b/>
        </w:rPr>
        <w:t xml:space="preserve">            </w:t>
      </w:r>
      <w:r>
        <w:t>Compared with larger micro-scale carriers, the observed nanoscale dimensions are advantageous for facilitating intimate contact with damaged tissue surfaces and for promoting uniform drug distribution. Mild particle agglomeration observed in some regions is consistent with previous reports on chitosan-based nanoparticles and may be attributed to intermolecular hydrogen bonding; however, the extent of agglomeration observed is unlikely to compromise delivery efficiency.</w:t>
      </w:r>
    </w:p>
    <w:p>
      <w:pPr>
        <w:pStyle w:val="style3"/>
        <w:rPr/>
      </w:pPr>
      <w:r>
        <w:t>3.3 FTIR Analysis and Encapsulation Confirmation</w:t>
      </w:r>
    </w:p>
    <w:p>
      <w:pPr>
        <w:pStyle w:val="style0"/>
        <w:tabs>
          <w:tab w:val="left" w:leader="none" w:pos="2970"/>
        </w:tabs>
        <w:spacing w:lineRule="auto" w:line="240"/>
        <w:ind w:left="720" w:hanging="720"/>
        <w:contextualSpacing/>
        <w:rPr/>
      </w:pPr>
      <w:r>
        <w:t xml:space="preserve">FTIR analysis of </w:t>
      </w:r>
      <w:r>
        <w:rPr>
          <w:rStyle w:val="style88"/>
        </w:rPr>
        <w:t>Imperata cylindrica</w:t>
      </w:r>
      <w:r>
        <w:t xml:space="preserve"> methanol extract (Table 2</w:t>
      </w:r>
      <w:r>
        <w:t>), c</w:t>
      </w:r>
      <w:r>
        <w:t>hitosan (Table 3</w:t>
      </w:r>
      <w:r>
        <w:t>), and the</w:t>
      </w:r>
      <w:r>
        <w:t xml:space="preserve"> </w:t>
      </w:r>
    </w:p>
    <w:p>
      <w:pPr>
        <w:pStyle w:val="style0"/>
        <w:tabs>
          <w:tab w:val="left" w:leader="none" w:pos="2970"/>
        </w:tabs>
        <w:spacing w:lineRule="auto" w:line="240"/>
        <w:ind w:left="720" w:hanging="720"/>
        <w:contextualSpacing/>
        <w:rPr/>
      </w:pPr>
      <w:r>
        <w:t>encapsulated particles (Table 4</w:t>
      </w:r>
      <w:r>
        <w:t>) revealed the presence and</w:t>
      </w:r>
      <w:r>
        <w:t xml:space="preserve"> preservation of key functional </w:t>
      </w:r>
    </w:p>
    <w:p>
      <w:pPr>
        <w:pStyle w:val="style0"/>
        <w:tabs>
          <w:tab w:val="left" w:leader="none" w:pos="2970"/>
        </w:tabs>
        <w:spacing w:lineRule="auto" w:line="240"/>
        <w:ind w:left="720" w:hanging="720"/>
        <w:contextualSpacing/>
        <w:rPr>
          <w:rStyle w:val="style87"/>
        </w:rPr>
      </w:pPr>
      <w:r>
        <w:t xml:space="preserve">groups throughout the formulation process. The extract exhibited characteristic </w:t>
      </w:r>
      <w:r>
        <w:rPr>
          <w:rStyle w:val="style87"/>
        </w:rPr>
        <w:t xml:space="preserve">O–H and </w:t>
      </w:r>
    </w:p>
    <w:p>
      <w:pPr>
        <w:pStyle w:val="style0"/>
        <w:tabs>
          <w:tab w:val="left" w:leader="none" w:pos="2970"/>
        </w:tabs>
        <w:spacing w:lineRule="auto" w:line="240"/>
        <w:ind w:left="720" w:hanging="720"/>
        <w:contextualSpacing/>
        <w:rPr/>
      </w:pPr>
      <w:r>
        <w:rPr>
          <w:rStyle w:val="style87"/>
        </w:rPr>
        <w:t>N–H stretches</w:t>
      </w:r>
      <w:r>
        <w:t xml:space="preserve"> (3218–3498 cm⁻¹), </w:t>
      </w:r>
      <w:r>
        <w:rPr>
          <w:rStyle w:val="style87"/>
        </w:rPr>
        <w:t>C=O stretches</w:t>
      </w:r>
      <w:r>
        <w:t xml:space="preserve"> (1618–1863 cm⁻¹), </w:t>
      </w:r>
      <w:r>
        <w:rPr>
          <w:rStyle w:val="style87"/>
        </w:rPr>
        <w:t>C–O stretches</w:t>
      </w:r>
      <w:r>
        <w:t xml:space="preserve"> </w:t>
      </w:r>
    </w:p>
    <w:p>
      <w:pPr>
        <w:pStyle w:val="style0"/>
        <w:tabs>
          <w:tab w:val="left" w:leader="none" w:pos="2970"/>
        </w:tabs>
        <w:spacing w:lineRule="auto" w:line="240"/>
        <w:ind w:left="720" w:hanging="720"/>
        <w:contextualSpacing/>
        <w:rPr/>
      </w:pPr>
      <w:r>
        <w:t xml:space="preserve">(1135–1295 cm⁻¹), </w:t>
      </w:r>
      <w:r>
        <w:rPr>
          <w:rStyle w:val="style87"/>
        </w:rPr>
        <w:t>C–H stretches</w:t>
      </w:r>
      <w:r>
        <w:t xml:space="preserve"> (3013 cm⁻¹), and minor </w:t>
      </w:r>
      <w:r>
        <w:rPr>
          <w:rStyle w:val="style87"/>
        </w:rPr>
        <w:t>C≡N peaks</w:t>
      </w:r>
      <w:r>
        <w:t xml:space="preserve"> (2016–2798 cm⁻¹), </w:t>
      </w:r>
    </w:p>
    <w:p>
      <w:pPr>
        <w:pStyle w:val="style0"/>
        <w:tabs>
          <w:tab w:val="left" w:leader="none" w:pos="2970"/>
        </w:tabs>
        <w:spacing w:lineRule="auto" w:line="240"/>
        <w:ind w:left="720" w:hanging="720"/>
        <w:contextualSpacing/>
        <w:rPr/>
      </w:pPr>
      <w:r>
        <w:t>consistent with alkaloids, flavonoids, tannins, and terpenoids. Chitosan displayed broad O–</w:t>
      </w:r>
    </w:p>
    <w:p>
      <w:pPr>
        <w:pStyle w:val="style0"/>
        <w:tabs>
          <w:tab w:val="left" w:leader="none" w:pos="2970"/>
        </w:tabs>
        <w:spacing w:lineRule="auto" w:line="240"/>
        <w:ind w:left="720" w:hanging="720"/>
        <w:contextualSpacing/>
        <w:rPr/>
      </w:pPr>
      <w:r>
        <w:t xml:space="preserve">H and amide N–H stretches (3245–3426 cm⁻¹), C=O stretches (1613–1884 cm⁻¹), and C–O </w:t>
      </w:r>
    </w:p>
    <w:p>
      <w:pPr>
        <w:pStyle w:val="style0"/>
        <w:tabs>
          <w:tab w:val="left" w:leader="none" w:pos="2970"/>
        </w:tabs>
        <w:spacing w:lineRule="auto" w:line="240"/>
        <w:ind w:left="720" w:hanging="720"/>
        <w:contextualSpacing/>
        <w:rPr/>
      </w:pPr>
      <w:r>
        <w:t xml:space="preserve">stretches (1277–1415 cm⁻¹), reflecting its polysaccharide structure capable of hydrogen </w:t>
      </w:r>
    </w:p>
    <w:p>
      <w:pPr>
        <w:pStyle w:val="style0"/>
        <w:tabs>
          <w:tab w:val="left" w:leader="none" w:pos="2970"/>
        </w:tabs>
        <w:spacing w:lineRule="auto" w:line="240"/>
        <w:ind w:left="720" w:hanging="720"/>
        <w:contextualSpacing/>
        <w:rPr/>
      </w:pPr>
      <w:r>
        <w:t xml:space="preserve">bonding. The encapsulated particles retained all major extract and polymer peaks, with </w:t>
      </w:r>
    </w:p>
    <w:p>
      <w:pPr>
        <w:pStyle w:val="style0"/>
        <w:tabs>
          <w:tab w:val="left" w:leader="none" w:pos="2970"/>
        </w:tabs>
        <w:spacing w:lineRule="auto" w:line="240"/>
        <w:ind w:left="720" w:hanging="720"/>
        <w:contextualSpacing/>
        <w:rPr/>
      </w:pPr>
      <w:r>
        <w:t xml:space="preserve">slight shifts in O–H and N–H bands (3141–3548 cm⁻¹) indicative of hydrogen bonding </w:t>
      </w:r>
    </w:p>
    <w:p>
      <w:pPr>
        <w:pStyle w:val="style0"/>
        <w:tabs>
          <w:tab w:val="left" w:leader="none" w:pos="2970"/>
        </w:tabs>
        <w:spacing w:lineRule="auto" w:line="240"/>
        <w:ind w:left="720" w:hanging="720"/>
        <w:contextualSpacing/>
        <w:rPr/>
      </w:pPr>
      <w:r>
        <w:t xml:space="preserve">between the extract and chitosan matrix. Preservation of C=O, C–O, and C–H vibrations </w:t>
      </w:r>
    </w:p>
    <w:p>
      <w:pPr>
        <w:pStyle w:val="style0"/>
        <w:spacing w:lineRule="auto" w:line="240"/>
        <w:ind w:left="540" w:hanging="540"/>
        <w:rPr/>
      </w:pPr>
      <w:r>
        <w:t>confirms that the bioactive compounds remain chemically intact after encapsulation</w:t>
      </w:r>
      <w:r>
        <w:t xml:space="preserve"> </w:t>
      </w:r>
    </w:p>
    <w:p>
      <w:pPr>
        <w:pStyle w:val="style0"/>
        <w:spacing w:lineRule="auto" w:line="240"/>
        <w:ind w:left="540" w:hanging="540"/>
        <w:rPr>
          <w:rFonts w:ascii="Calibri" w:hAnsi="Calibri"/>
          <w:i/>
          <w:color w:val="333333"/>
          <w:sz w:val="22"/>
          <w:szCs w:val="22"/>
        </w:rPr>
      </w:pPr>
      <w:r>
        <w:t>Okwuego (2023);</w:t>
      </w:r>
      <w:r>
        <w:rPr>
          <w:color w:val="0563c1"/>
          <w:u w:val="single"/>
        </w:rPr>
        <w:t xml:space="preserve"> </w:t>
      </w:r>
      <w:r>
        <w:t xml:space="preserve">Ochie </w:t>
      </w:r>
      <w:r>
        <w:rPr>
          <w:i/>
        </w:rPr>
        <w:t>et al</w:t>
      </w:r>
      <w:r>
        <w:t xml:space="preserve"> (</w:t>
      </w:r>
      <w:r>
        <w:rPr>
          <w:shd w:val="clear" w:color="auto" w:fill="ffffff"/>
        </w:rPr>
        <w:t>2025)</w:t>
      </w:r>
      <w:r>
        <w:rPr>
          <w:shd w:val="clear" w:color="auto" w:fill="ffffff"/>
        </w:rPr>
        <w:t>;</w:t>
      </w:r>
      <w:r>
        <w:t xml:space="preserve"> </w:t>
      </w:r>
      <w:r>
        <w:t xml:space="preserve">Okwuego </w:t>
      </w:r>
      <w:r>
        <w:rPr>
          <w:i/>
        </w:rPr>
        <w:t>et al</w:t>
      </w:r>
      <w:r>
        <w:t xml:space="preserve"> (2021)</w:t>
      </w:r>
      <w:r>
        <w:t>;</w:t>
      </w:r>
      <w:r>
        <w:t xml:space="preserve"> </w:t>
      </w:r>
      <w:r>
        <w:t xml:space="preserve">Okwuego </w:t>
      </w:r>
      <w:r>
        <w:rPr>
          <w:i/>
        </w:rPr>
        <w:t>et al</w:t>
      </w:r>
      <w:r>
        <w:t xml:space="preserve"> (2025)</w:t>
      </w:r>
    </w:p>
    <w:p>
      <w:pPr>
        <w:pStyle w:val="style0"/>
        <w:spacing w:lineRule="auto" w:line="240"/>
        <w:ind w:left="720" w:hanging="720"/>
        <w:rPr/>
      </w:pPr>
      <w:r>
        <w:t>T</w:t>
      </w:r>
      <w:r>
        <w:t xml:space="preserve">he FTIR results demonstrate successful incorporation of the </w:t>
      </w:r>
      <w:r>
        <w:t xml:space="preserve">extract into chitosan particles </w:t>
      </w:r>
    </w:p>
    <w:p>
      <w:pPr>
        <w:pStyle w:val="style0"/>
        <w:spacing w:lineRule="auto" w:line="240"/>
        <w:ind w:left="720" w:hanging="720"/>
        <w:rPr/>
      </w:pPr>
      <w:r>
        <w:t xml:space="preserve">without chemical degradation, supporting the formulation’s potential as a stable, natural </w:t>
      </w:r>
    </w:p>
    <w:p>
      <w:pPr>
        <w:pStyle w:val="style0"/>
        <w:spacing w:lineRule="auto" w:line="240"/>
        <w:ind w:left="720" w:hanging="720"/>
        <w:rPr/>
      </w:pPr>
      <w:r>
        <w:t>product-based drug delivery system</w:t>
      </w:r>
      <w:r>
        <w:t xml:space="preserve"> </w:t>
      </w:r>
      <w:r>
        <w:t xml:space="preserve">Ochie </w:t>
      </w:r>
      <w:r>
        <w:rPr>
          <w:i/>
        </w:rPr>
        <w:t>et al</w:t>
      </w:r>
      <w:r>
        <w:t xml:space="preserve"> (</w:t>
      </w:r>
      <w:r>
        <w:rPr>
          <w:shd w:val="clear" w:color="auto" w:fill="ffffff"/>
        </w:rPr>
        <w:t>2025)</w:t>
      </w:r>
      <w:r>
        <w:rPr>
          <w:shd w:val="clear" w:color="auto" w:fill="ffffff"/>
        </w:rPr>
        <w:t>;</w:t>
      </w:r>
      <w:r>
        <w:rPr>
          <w:bCs/>
          <w:color w:val="131314"/>
          <w:shd w:val="clear" w:color="auto" w:fill="ffffff"/>
        </w:rPr>
        <w:t xml:space="preserve"> </w:t>
      </w:r>
      <w:r>
        <w:rPr>
          <w:bCs/>
          <w:color w:val="131314"/>
          <w:shd w:val="clear" w:color="auto" w:fill="ffffff"/>
        </w:rPr>
        <w:t xml:space="preserve">Okorie </w:t>
      </w:r>
      <w:r>
        <w:rPr>
          <w:bCs/>
          <w:i/>
          <w:color w:val="131314"/>
          <w:shd w:val="clear" w:color="auto" w:fill="ffffff"/>
        </w:rPr>
        <w:t>et al</w:t>
      </w:r>
      <w:r>
        <w:rPr>
          <w:bCs/>
          <w:color w:val="131314"/>
          <w:shd w:val="clear" w:color="auto" w:fill="ffffff"/>
        </w:rPr>
        <w:t xml:space="preserve"> (2025)</w:t>
      </w:r>
    </w:p>
    <w:p>
      <w:pPr>
        <w:pStyle w:val="style0"/>
        <w:spacing w:before="100" w:beforeAutospacing="true" w:after="100" w:afterAutospacing="true" w:lineRule="auto" w:line="240"/>
        <w:rPr>
          <w:rFonts w:eastAsia="Times New Roman"/>
          <w:lang w:val="en-US"/>
        </w:rPr>
      </w:pPr>
      <w:r>
        <w:rPr>
          <w:rFonts w:eastAsia="Times New Roman"/>
          <w:b/>
          <w:bCs/>
          <w:lang w:val="en-US"/>
        </w:rPr>
        <w:t>Table 2</w:t>
      </w:r>
      <w:r>
        <w:rPr>
          <w:rFonts w:eastAsia="Times New Roman"/>
          <w:b/>
          <w:bCs/>
          <w:lang w:val="en-US"/>
        </w:rPr>
        <w:t xml:space="preserve">. FTIR Spectral Data for </w:t>
      </w:r>
      <w:r>
        <w:rPr>
          <w:rFonts w:eastAsia="Times New Roman"/>
          <w:b/>
          <w:bCs/>
          <w:i/>
          <w:iCs/>
          <w:lang w:val="en-US"/>
        </w:rPr>
        <w:t>Imperata cylindrica</w:t>
      </w:r>
      <w:r>
        <w:rPr>
          <w:rFonts w:eastAsia="Times New Roman"/>
          <w:b/>
          <w:bCs/>
          <w:lang w:val="en-US"/>
        </w:rPr>
        <w:t xml:space="preserve"> Methanol Extract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12"/>
        <w:gridCol w:w="6138"/>
      </w:tblGrid>
      <w:tr>
        <w:trPr>
          <w:tblHeader/>
          <w:tblCellSpacing w:w="15" w:type="dxa"/>
        </w:trPr>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Frequency (cm⁻¹)</w:t>
            </w:r>
          </w:p>
        </w:tc>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Functional Group / Assignment</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804.51</w:t>
            </w:r>
          </w:p>
        </w:tc>
        <w:tc>
          <w:tcPr>
            <w:tcW w:w="0" w:type="auto"/>
            <w:tcBorders/>
            <w:vAlign w:val="center"/>
            <w:hideMark/>
          </w:tcPr>
          <w:p>
            <w:pPr>
              <w:pStyle w:val="style0"/>
              <w:spacing w:lineRule="auto" w:line="240"/>
              <w:rPr>
                <w:rFonts w:eastAsia="Times New Roman"/>
                <w:lang w:val="en-US"/>
              </w:rPr>
            </w:pPr>
            <w:r>
              <w:rPr>
                <w:rFonts w:eastAsia="Times New Roman"/>
                <w:lang w:val="en-US"/>
              </w:rPr>
              <w:t>C–O, C–H deformation bonds for alkyl and methyl groups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892.10</w:t>
            </w:r>
          </w:p>
        </w:tc>
        <w:tc>
          <w:tcPr>
            <w:tcW w:w="0" w:type="auto"/>
            <w:tcBorders/>
            <w:vAlign w:val="center"/>
            <w:hideMark/>
          </w:tcPr>
          <w:p>
            <w:pPr>
              <w:pStyle w:val="style0"/>
              <w:spacing w:lineRule="auto" w:line="240"/>
              <w:rPr>
                <w:rFonts w:eastAsia="Times New Roman"/>
                <w:lang w:val="en-US"/>
              </w:rPr>
            </w:pPr>
            <w:r>
              <w:rPr>
                <w:rFonts w:eastAsia="Times New Roman"/>
                <w:lang w:val="en-US"/>
              </w:rPr>
              <w:t>C–O, C–H deformation bonds for alkyl and methyl groups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1039.88</w:t>
            </w:r>
          </w:p>
        </w:tc>
        <w:tc>
          <w:tcPr>
            <w:tcW w:w="0" w:type="auto"/>
            <w:tcBorders/>
            <w:vAlign w:val="center"/>
            <w:hideMark/>
          </w:tcPr>
          <w:p>
            <w:pPr>
              <w:pStyle w:val="style0"/>
              <w:spacing w:lineRule="auto" w:line="240"/>
              <w:rPr>
                <w:rFonts w:eastAsia="Times New Roman"/>
                <w:lang w:val="en-US"/>
              </w:rPr>
            </w:pPr>
            <w:r>
              <w:rPr>
                <w:rFonts w:eastAsia="Times New Roman"/>
                <w:lang w:val="en-US"/>
              </w:rPr>
              <w:t>C–H, C–O deformation bonds for alkyl groups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1134.69</w:t>
            </w:r>
          </w:p>
        </w:tc>
        <w:tc>
          <w:tcPr>
            <w:tcW w:w="0" w:type="auto"/>
            <w:tcBorders/>
            <w:vAlign w:val="center"/>
            <w:hideMark/>
          </w:tcPr>
          <w:p>
            <w:pPr>
              <w:pStyle w:val="style0"/>
              <w:spacing w:lineRule="auto" w:line="240"/>
              <w:rPr>
                <w:rFonts w:eastAsia="Times New Roman"/>
                <w:lang w:val="en-US"/>
              </w:rPr>
            </w:pPr>
            <w:r>
              <w:rPr>
                <w:rFonts w:eastAsia="Times New Roman"/>
                <w:b/>
                <w:bCs/>
                <w:lang w:val="en-US"/>
              </w:rPr>
              <w:t>C–O deformation bonds for ketones and acids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1294.83</w:t>
            </w:r>
          </w:p>
        </w:tc>
        <w:tc>
          <w:tcPr>
            <w:tcW w:w="0" w:type="auto"/>
            <w:tcBorders/>
            <w:vAlign w:val="center"/>
            <w:hideMark/>
          </w:tcPr>
          <w:p>
            <w:pPr>
              <w:pStyle w:val="style0"/>
              <w:spacing w:lineRule="auto" w:line="240"/>
              <w:rPr>
                <w:rFonts w:eastAsia="Times New Roman"/>
                <w:lang w:val="en-US"/>
              </w:rPr>
            </w:pPr>
            <w:r>
              <w:rPr>
                <w:rFonts w:eastAsia="Times New Roman"/>
                <w:b/>
                <w:bCs/>
                <w:lang w:val="en-US"/>
              </w:rPr>
              <w:t>C–O stretch for ketones and alcohols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1618.09</w:t>
            </w:r>
          </w:p>
        </w:tc>
        <w:tc>
          <w:tcPr>
            <w:tcW w:w="0" w:type="auto"/>
            <w:tcBorders/>
            <w:vAlign w:val="center"/>
            <w:hideMark/>
          </w:tcPr>
          <w:p>
            <w:pPr>
              <w:pStyle w:val="style0"/>
              <w:spacing w:lineRule="auto" w:line="240"/>
              <w:rPr>
                <w:rFonts w:eastAsia="Times New Roman"/>
                <w:lang w:val="en-US"/>
              </w:rPr>
            </w:pPr>
            <w:r>
              <w:rPr>
                <w:rFonts w:eastAsia="Times New Roman"/>
                <w:b/>
                <w:bCs/>
                <w:lang w:val="en-US"/>
              </w:rPr>
              <w:t>C=O stretch for ketones, acids, and amides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1863.65</w:t>
            </w:r>
          </w:p>
        </w:tc>
        <w:tc>
          <w:tcPr>
            <w:tcW w:w="0" w:type="auto"/>
            <w:tcBorders/>
            <w:vAlign w:val="center"/>
            <w:hideMark/>
          </w:tcPr>
          <w:p>
            <w:pPr>
              <w:pStyle w:val="style0"/>
              <w:spacing w:lineRule="auto" w:line="240"/>
              <w:rPr>
                <w:rFonts w:eastAsia="Times New Roman"/>
                <w:lang w:val="en-US"/>
              </w:rPr>
            </w:pPr>
            <w:r>
              <w:rPr>
                <w:rFonts w:eastAsia="Times New Roman"/>
                <w:lang w:val="en-US"/>
              </w:rPr>
              <w:t>C=O stretch for ketones, acids, and amides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2016.14</w:t>
            </w:r>
          </w:p>
        </w:tc>
        <w:tc>
          <w:tcPr>
            <w:tcW w:w="0" w:type="auto"/>
            <w:tcBorders/>
            <w:vAlign w:val="center"/>
            <w:hideMark/>
          </w:tcPr>
          <w:p>
            <w:pPr>
              <w:pStyle w:val="style0"/>
              <w:spacing w:lineRule="auto" w:line="240"/>
              <w:rPr>
                <w:rFonts w:eastAsia="Times New Roman"/>
                <w:lang w:val="en-US"/>
              </w:rPr>
            </w:pPr>
            <w:r>
              <w:rPr>
                <w:rFonts w:eastAsia="Times New Roman"/>
                <w:lang w:val="en-US"/>
              </w:rPr>
              <w:t>C≡N stretch for nitriles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2114.99</w:t>
            </w:r>
          </w:p>
        </w:tc>
        <w:tc>
          <w:tcPr>
            <w:tcW w:w="0" w:type="auto"/>
            <w:tcBorders/>
            <w:vAlign w:val="center"/>
            <w:hideMark/>
          </w:tcPr>
          <w:p>
            <w:pPr>
              <w:pStyle w:val="style0"/>
              <w:spacing w:lineRule="auto" w:line="240"/>
              <w:rPr>
                <w:rFonts w:eastAsia="Times New Roman"/>
                <w:lang w:val="en-US"/>
              </w:rPr>
            </w:pPr>
            <w:r>
              <w:rPr>
                <w:rFonts w:eastAsia="Times New Roman"/>
                <w:lang w:val="en-US"/>
              </w:rPr>
              <w:t>C≡N stretch for nitriles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2457.32</w:t>
            </w:r>
          </w:p>
        </w:tc>
        <w:tc>
          <w:tcPr>
            <w:tcW w:w="0" w:type="auto"/>
            <w:tcBorders/>
            <w:vAlign w:val="center"/>
            <w:hideMark/>
          </w:tcPr>
          <w:p>
            <w:pPr>
              <w:pStyle w:val="style0"/>
              <w:spacing w:lineRule="auto" w:line="240"/>
              <w:rPr>
                <w:rFonts w:eastAsia="Times New Roman"/>
                <w:lang w:val="en-US"/>
              </w:rPr>
            </w:pPr>
            <w:r>
              <w:rPr>
                <w:rFonts w:eastAsia="Times New Roman"/>
                <w:lang w:val="en-US"/>
              </w:rPr>
              <w:t>C≡N stretch for nitriles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2639.50</w:t>
            </w:r>
          </w:p>
        </w:tc>
        <w:tc>
          <w:tcPr>
            <w:tcW w:w="0" w:type="auto"/>
            <w:tcBorders/>
            <w:vAlign w:val="center"/>
            <w:hideMark/>
          </w:tcPr>
          <w:p>
            <w:pPr>
              <w:pStyle w:val="style0"/>
              <w:spacing w:lineRule="auto" w:line="240"/>
              <w:rPr>
                <w:rFonts w:eastAsia="Times New Roman"/>
                <w:lang w:val="en-US"/>
              </w:rPr>
            </w:pPr>
            <w:r>
              <w:rPr>
                <w:rFonts w:eastAsia="Times New Roman"/>
                <w:lang w:val="en-US"/>
              </w:rPr>
              <w:t>C≡N stretch for nitriles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2798.64</w:t>
            </w:r>
          </w:p>
        </w:tc>
        <w:tc>
          <w:tcPr>
            <w:tcW w:w="0" w:type="auto"/>
            <w:tcBorders/>
            <w:vAlign w:val="center"/>
            <w:hideMark/>
          </w:tcPr>
          <w:p>
            <w:pPr>
              <w:pStyle w:val="style0"/>
              <w:spacing w:lineRule="auto" w:line="240"/>
              <w:rPr>
                <w:rFonts w:eastAsia="Times New Roman"/>
                <w:lang w:val="en-US"/>
              </w:rPr>
            </w:pPr>
            <w:r>
              <w:rPr>
                <w:rFonts w:eastAsia="Times New Roman"/>
                <w:lang w:val="en-US"/>
              </w:rPr>
              <w:t>C≡N stretch for nitriles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3012.92</w:t>
            </w:r>
          </w:p>
        </w:tc>
        <w:tc>
          <w:tcPr>
            <w:tcW w:w="0" w:type="auto"/>
            <w:tcBorders/>
            <w:vAlign w:val="center"/>
            <w:hideMark/>
          </w:tcPr>
          <w:p>
            <w:pPr>
              <w:pStyle w:val="style0"/>
              <w:spacing w:lineRule="auto" w:line="240"/>
              <w:rPr>
                <w:rFonts w:eastAsia="Times New Roman"/>
                <w:lang w:val="en-US"/>
              </w:rPr>
            </w:pPr>
            <w:r>
              <w:rPr>
                <w:rFonts w:eastAsia="Times New Roman"/>
                <w:lang w:val="en-US"/>
              </w:rPr>
              <w:t>C–H stretch for alkenes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3218.10</w:t>
            </w:r>
          </w:p>
        </w:tc>
        <w:tc>
          <w:tcPr>
            <w:tcW w:w="0" w:type="auto"/>
            <w:tcBorders/>
            <w:vAlign w:val="center"/>
            <w:hideMark/>
          </w:tcPr>
          <w:p>
            <w:pPr>
              <w:pStyle w:val="style0"/>
              <w:spacing w:lineRule="auto" w:line="240"/>
              <w:rPr>
                <w:rFonts w:eastAsia="Times New Roman"/>
                <w:lang w:val="en-US"/>
              </w:rPr>
            </w:pPr>
            <w:r>
              <w:rPr>
                <w:rFonts w:eastAsia="Times New Roman"/>
                <w:b/>
                <w:bCs/>
                <w:lang w:val="en-US"/>
              </w:rPr>
              <w:t>O–H stretch for alcohols, amides, and acids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3313.14</w:t>
            </w:r>
          </w:p>
        </w:tc>
        <w:tc>
          <w:tcPr>
            <w:tcW w:w="0" w:type="auto"/>
            <w:tcBorders/>
            <w:vAlign w:val="center"/>
            <w:hideMark/>
          </w:tcPr>
          <w:p>
            <w:pPr>
              <w:pStyle w:val="style0"/>
              <w:spacing w:lineRule="auto" w:line="240"/>
              <w:rPr>
                <w:rFonts w:eastAsia="Times New Roman"/>
                <w:lang w:val="en-US"/>
              </w:rPr>
            </w:pPr>
            <w:r>
              <w:rPr>
                <w:rFonts w:eastAsia="Times New Roman"/>
                <w:b/>
                <w:bCs/>
                <w:lang w:val="en-US"/>
              </w:rPr>
              <w:t>N–H and O–H stretch for amines, alcohols, and phenols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3498.28</w:t>
            </w:r>
          </w:p>
        </w:tc>
        <w:tc>
          <w:tcPr>
            <w:tcW w:w="0" w:type="auto"/>
            <w:tcBorders/>
            <w:vAlign w:val="center"/>
            <w:hideMark/>
          </w:tcPr>
          <w:p>
            <w:pPr>
              <w:pStyle w:val="style0"/>
              <w:spacing w:lineRule="auto" w:line="240"/>
              <w:rPr>
                <w:rFonts w:eastAsia="Times New Roman"/>
                <w:lang w:val="en-US"/>
              </w:rPr>
            </w:pPr>
            <w:r>
              <w:rPr>
                <w:rFonts w:eastAsia="Times New Roman"/>
                <w:b/>
                <w:bCs/>
                <w:lang w:val="en-US"/>
              </w:rPr>
              <w:t>O–H stretch for alcohols, acids, and amides</w:t>
            </w:r>
          </w:p>
        </w:tc>
      </w:tr>
    </w:tbl>
    <w:p>
      <w:pPr>
        <w:pStyle w:val="style0"/>
        <w:jc w:val="both"/>
        <w:rPr>
          <w:b/>
        </w:rPr>
      </w:pPr>
    </w:p>
    <w:p>
      <w:pPr>
        <w:pStyle w:val="style0"/>
        <w:jc w:val="both"/>
        <w:rPr/>
      </w:pPr>
      <w:r>
        <w:rPr>
          <w:noProof/>
          <w:lang w:val="en-US"/>
        </w:rPr>
        <w:drawing>
          <wp:inline distL="0" distT="0" distB="0" distR="0">
            <wp:extent cx="5257800" cy="2266950"/>
            <wp:effectExtent l="0" t="0" r="0" b="0"/>
            <wp:docPr id="1029"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0"/>
                    <pic:cNvPicPr/>
                  </pic:nvPicPr>
                  <pic:blipFill>
                    <a:blip r:embed="rId5" cstate="print"/>
                    <a:srcRect l="0" t="0" r="0" b="0"/>
                    <a:stretch/>
                  </pic:blipFill>
                  <pic:spPr>
                    <a:xfrm rot="0">
                      <a:off x="0" y="0"/>
                      <a:ext cx="5257800" cy="2266950"/>
                    </a:xfrm>
                    <a:prstGeom prst="rect"/>
                    <a:ln>
                      <a:noFill/>
                    </a:ln>
                  </pic:spPr>
                </pic:pic>
              </a:graphicData>
            </a:graphic>
          </wp:inline>
        </w:drawing>
      </w:r>
    </w:p>
    <w:p>
      <w:pPr>
        <w:pStyle w:val="style0"/>
        <w:jc w:val="both"/>
        <w:rPr>
          <w:b/>
        </w:rPr>
      </w:pPr>
      <w:r>
        <w:rPr>
          <w:b/>
        </w:rPr>
        <w:t xml:space="preserve">Figure 4 </w:t>
      </w:r>
      <w:r>
        <w:rPr>
          <w:b/>
        </w:rPr>
        <w:t>F</w:t>
      </w:r>
      <w:r>
        <w:rPr>
          <w:b/>
        </w:rPr>
        <w:t>TIR Spectra of Methanol extract</w:t>
      </w:r>
    </w:p>
    <w:p>
      <w:pPr>
        <w:pStyle w:val="style0"/>
        <w:spacing w:before="100" w:beforeAutospacing="true" w:after="100" w:afterAutospacing="true" w:lineRule="auto" w:line="240"/>
        <w:rPr>
          <w:rFonts w:eastAsia="Times New Roman"/>
          <w:lang w:val="en-US"/>
        </w:rPr>
      </w:pPr>
      <w:r>
        <w:rPr>
          <w:rFonts w:eastAsia="Times New Roman"/>
          <w:b/>
          <w:bCs/>
          <w:lang w:val="en-US"/>
        </w:rPr>
        <w:t>Table 3</w:t>
      </w:r>
      <w:r>
        <w:rPr>
          <w:rFonts w:eastAsia="Times New Roman"/>
          <w:b/>
          <w:bCs/>
          <w:lang w:val="en-US"/>
        </w:rPr>
        <w:t>. FTIR Spectral Data for Chitosan Extract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12"/>
        <w:gridCol w:w="6268"/>
      </w:tblGrid>
      <w:tr>
        <w:trPr>
          <w:tblHeader/>
          <w:tblCellSpacing w:w="15" w:type="dxa"/>
        </w:trPr>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Frequency (cm⁻¹)</w:t>
            </w:r>
          </w:p>
        </w:tc>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Functional Group / Assignment</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745.89</w:t>
            </w:r>
          </w:p>
        </w:tc>
        <w:tc>
          <w:tcPr>
            <w:tcW w:w="0" w:type="auto"/>
            <w:tcBorders/>
            <w:vAlign w:val="center"/>
            <w:hideMark/>
          </w:tcPr>
          <w:p>
            <w:pPr>
              <w:pStyle w:val="style0"/>
              <w:spacing w:lineRule="auto" w:line="240"/>
              <w:rPr>
                <w:rFonts w:eastAsia="Times New Roman"/>
                <w:lang w:val="en-US"/>
              </w:rPr>
            </w:pPr>
            <w:r>
              <w:rPr>
                <w:rFonts w:eastAsia="Times New Roman"/>
                <w:lang w:val="en-US"/>
              </w:rPr>
              <w:t>C–O, C–H deformation bonds for alkyl and methyl groups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872.51</w:t>
            </w:r>
          </w:p>
        </w:tc>
        <w:tc>
          <w:tcPr>
            <w:tcW w:w="0" w:type="auto"/>
            <w:tcBorders/>
            <w:vAlign w:val="center"/>
            <w:hideMark/>
          </w:tcPr>
          <w:p>
            <w:pPr>
              <w:pStyle w:val="style0"/>
              <w:spacing w:lineRule="auto" w:line="240"/>
              <w:rPr>
                <w:rFonts w:eastAsia="Times New Roman"/>
                <w:lang w:val="en-US"/>
              </w:rPr>
            </w:pPr>
            <w:r>
              <w:rPr>
                <w:rFonts w:eastAsia="Times New Roman"/>
                <w:lang w:val="en-US"/>
              </w:rPr>
              <w:t>C–O, C–H deformation bonds for alkyl and methyl groups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1002.23</w:t>
            </w:r>
          </w:p>
        </w:tc>
        <w:tc>
          <w:tcPr>
            <w:tcW w:w="0" w:type="auto"/>
            <w:tcBorders/>
            <w:vAlign w:val="center"/>
            <w:hideMark/>
          </w:tcPr>
          <w:p>
            <w:pPr>
              <w:pStyle w:val="style0"/>
              <w:spacing w:lineRule="auto" w:line="240"/>
              <w:rPr>
                <w:rFonts w:eastAsia="Times New Roman"/>
                <w:lang w:val="en-US"/>
              </w:rPr>
            </w:pPr>
            <w:r>
              <w:rPr>
                <w:rFonts w:eastAsia="Times New Roman"/>
                <w:lang w:val="en-US"/>
              </w:rPr>
              <w:t>C–H, C–O deformation bonds for alkyl groups and ketones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1277.11</w:t>
            </w:r>
          </w:p>
        </w:tc>
        <w:tc>
          <w:tcPr>
            <w:tcW w:w="0" w:type="auto"/>
            <w:tcBorders/>
            <w:vAlign w:val="center"/>
            <w:hideMark/>
          </w:tcPr>
          <w:p>
            <w:pPr>
              <w:pStyle w:val="style0"/>
              <w:spacing w:lineRule="auto" w:line="240"/>
              <w:rPr>
                <w:rFonts w:eastAsia="Times New Roman"/>
                <w:lang w:val="en-US"/>
              </w:rPr>
            </w:pPr>
            <w:r>
              <w:rPr>
                <w:rFonts w:eastAsia="Times New Roman"/>
                <w:b/>
                <w:bCs/>
                <w:lang w:val="en-US"/>
              </w:rPr>
              <w:t>C–O stretch for ketones and alcohols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1414.91</w:t>
            </w:r>
          </w:p>
        </w:tc>
        <w:tc>
          <w:tcPr>
            <w:tcW w:w="0" w:type="auto"/>
            <w:tcBorders/>
            <w:vAlign w:val="center"/>
            <w:hideMark/>
          </w:tcPr>
          <w:p>
            <w:pPr>
              <w:pStyle w:val="style0"/>
              <w:spacing w:lineRule="auto" w:line="240"/>
              <w:rPr>
                <w:rFonts w:eastAsia="Times New Roman"/>
                <w:lang w:val="en-US"/>
              </w:rPr>
            </w:pPr>
            <w:r>
              <w:rPr>
                <w:rFonts w:eastAsia="Times New Roman"/>
                <w:b/>
                <w:bCs/>
                <w:lang w:val="en-US"/>
              </w:rPr>
              <w:t>C–O stretch for ketones and alcohols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1613.17</w:t>
            </w:r>
          </w:p>
        </w:tc>
        <w:tc>
          <w:tcPr>
            <w:tcW w:w="0" w:type="auto"/>
            <w:tcBorders/>
            <w:vAlign w:val="center"/>
            <w:hideMark/>
          </w:tcPr>
          <w:p>
            <w:pPr>
              <w:pStyle w:val="style0"/>
              <w:spacing w:lineRule="auto" w:line="240"/>
              <w:rPr>
                <w:rFonts w:eastAsia="Times New Roman"/>
                <w:lang w:val="en-US"/>
              </w:rPr>
            </w:pPr>
            <w:r>
              <w:rPr>
                <w:rFonts w:eastAsia="Times New Roman"/>
                <w:b/>
                <w:bCs/>
                <w:lang w:val="en-US"/>
              </w:rPr>
              <w:t>C=O stretch for ketones, acids, and amides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1752.35</w:t>
            </w:r>
          </w:p>
        </w:tc>
        <w:tc>
          <w:tcPr>
            <w:tcW w:w="0" w:type="auto"/>
            <w:tcBorders/>
            <w:vAlign w:val="center"/>
            <w:hideMark/>
          </w:tcPr>
          <w:p>
            <w:pPr>
              <w:pStyle w:val="style0"/>
              <w:spacing w:lineRule="auto" w:line="240"/>
              <w:rPr>
                <w:rFonts w:eastAsia="Times New Roman"/>
                <w:lang w:val="en-US"/>
              </w:rPr>
            </w:pPr>
            <w:r>
              <w:rPr>
                <w:rFonts w:eastAsia="Times New Roman"/>
                <w:lang w:val="en-US"/>
              </w:rPr>
              <w:t>C=O stretch for ketones, acids, and amides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1883.70</w:t>
            </w:r>
          </w:p>
        </w:tc>
        <w:tc>
          <w:tcPr>
            <w:tcW w:w="0" w:type="auto"/>
            <w:tcBorders/>
            <w:vAlign w:val="center"/>
            <w:hideMark/>
          </w:tcPr>
          <w:p>
            <w:pPr>
              <w:pStyle w:val="style0"/>
              <w:spacing w:lineRule="auto" w:line="240"/>
              <w:rPr>
                <w:rFonts w:eastAsia="Times New Roman"/>
                <w:lang w:val="en-US"/>
              </w:rPr>
            </w:pPr>
            <w:r>
              <w:rPr>
                <w:rFonts w:eastAsia="Times New Roman"/>
                <w:lang w:val="en-US"/>
              </w:rPr>
              <w:t>C=O stretch for ketones, acids, and amides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2106.59</w:t>
            </w:r>
          </w:p>
        </w:tc>
        <w:tc>
          <w:tcPr>
            <w:tcW w:w="0" w:type="auto"/>
            <w:tcBorders/>
            <w:vAlign w:val="center"/>
            <w:hideMark/>
          </w:tcPr>
          <w:p>
            <w:pPr>
              <w:pStyle w:val="style0"/>
              <w:spacing w:lineRule="auto" w:line="240"/>
              <w:rPr>
                <w:rFonts w:eastAsia="Times New Roman"/>
                <w:lang w:val="en-US"/>
              </w:rPr>
            </w:pPr>
            <w:r>
              <w:rPr>
                <w:rFonts w:eastAsia="Times New Roman"/>
                <w:lang w:val="en-US"/>
              </w:rPr>
              <w:t>C≡N stretch for nitriles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2210.17</w:t>
            </w:r>
          </w:p>
        </w:tc>
        <w:tc>
          <w:tcPr>
            <w:tcW w:w="0" w:type="auto"/>
            <w:tcBorders/>
            <w:vAlign w:val="center"/>
            <w:hideMark/>
          </w:tcPr>
          <w:p>
            <w:pPr>
              <w:pStyle w:val="style0"/>
              <w:spacing w:lineRule="auto" w:line="240"/>
              <w:rPr>
                <w:rFonts w:eastAsia="Times New Roman"/>
                <w:lang w:val="en-US"/>
              </w:rPr>
            </w:pPr>
            <w:r>
              <w:rPr>
                <w:rFonts w:eastAsia="Times New Roman"/>
                <w:lang w:val="en-US"/>
              </w:rPr>
              <w:t>C≡N stretch for nitriles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2450.63</w:t>
            </w:r>
          </w:p>
        </w:tc>
        <w:tc>
          <w:tcPr>
            <w:tcW w:w="0" w:type="auto"/>
            <w:tcBorders/>
            <w:vAlign w:val="center"/>
            <w:hideMark/>
          </w:tcPr>
          <w:p>
            <w:pPr>
              <w:pStyle w:val="style0"/>
              <w:spacing w:lineRule="auto" w:line="240"/>
              <w:rPr>
                <w:rFonts w:eastAsia="Times New Roman"/>
                <w:lang w:val="en-US"/>
              </w:rPr>
            </w:pPr>
            <w:r>
              <w:rPr>
                <w:rFonts w:eastAsia="Times New Roman"/>
                <w:lang w:val="en-US"/>
              </w:rPr>
              <w:t>C≡N stretch for nitriles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2538.17</w:t>
            </w:r>
          </w:p>
        </w:tc>
        <w:tc>
          <w:tcPr>
            <w:tcW w:w="0" w:type="auto"/>
            <w:tcBorders/>
            <w:vAlign w:val="center"/>
            <w:hideMark/>
          </w:tcPr>
          <w:p>
            <w:pPr>
              <w:pStyle w:val="style0"/>
              <w:spacing w:lineRule="auto" w:line="240"/>
              <w:rPr>
                <w:rFonts w:eastAsia="Times New Roman"/>
                <w:lang w:val="en-US"/>
              </w:rPr>
            </w:pPr>
            <w:r>
              <w:rPr>
                <w:rFonts w:eastAsia="Times New Roman"/>
                <w:lang w:val="en-US"/>
              </w:rPr>
              <w:t>O–H stretch for acids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2660.28</w:t>
            </w:r>
          </w:p>
        </w:tc>
        <w:tc>
          <w:tcPr>
            <w:tcW w:w="0" w:type="auto"/>
            <w:tcBorders/>
            <w:vAlign w:val="center"/>
            <w:hideMark/>
          </w:tcPr>
          <w:p>
            <w:pPr>
              <w:pStyle w:val="style0"/>
              <w:spacing w:lineRule="auto" w:line="240"/>
              <w:rPr>
                <w:rFonts w:eastAsia="Times New Roman"/>
                <w:lang w:val="en-US"/>
              </w:rPr>
            </w:pPr>
            <w:r>
              <w:rPr>
                <w:rFonts w:eastAsia="Times New Roman"/>
                <w:lang w:val="en-US"/>
              </w:rPr>
              <w:t>O–H stretch for acids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2761.99</w:t>
            </w:r>
          </w:p>
        </w:tc>
        <w:tc>
          <w:tcPr>
            <w:tcW w:w="0" w:type="auto"/>
            <w:tcBorders/>
            <w:vAlign w:val="center"/>
            <w:hideMark/>
          </w:tcPr>
          <w:p>
            <w:pPr>
              <w:pStyle w:val="style0"/>
              <w:spacing w:lineRule="auto" w:line="240"/>
              <w:rPr>
                <w:rFonts w:eastAsia="Times New Roman"/>
                <w:lang w:val="en-US"/>
              </w:rPr>
            </w:pPr>
            <w:r>
              <w:rPr>
                <w:rFonts w:eastAsia="Times New Roman"/>
                <w:lang w:val="en-US"/>
              </w:rPr>
              <w:t>C–H stretch for alkanes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2975.52</w:t>
            </w:r>
          </w:p>
        </w:tc>
        <w:tc>
          <w:tcPr>
            <w:tcW w:w="0" w:type="auto"/>
            <w:tcBorders/>
            <w:vAlign w:val="center"/>
            <w:hideMark/>
          </w:tcPr>
          <w:p>
            <w:pPr>
              <w:pStyle w:val="style0"/>
              <w:spacing w:lineRule="auto" w:line="240"/>
              <w:rPr>
                <w:rFonts w:eastAsia="Times New Roman"/>
                <w:lang w:val="en-US"/>
              </w:rPr>
            </w:pPr>
            <w:r>
              <w:rPr>
                <w:rFonts w:eastAsia="Times New Roman"/>
                <w:lang w:val="en-US"/>
              </w:rPr>
              <w:t>C–H stretch for alkenes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3244.61</w:t>
            </w:r>
          </w:p>
        </w:tc>
        <w:tc>
          <w:tcPr>
            <w:tcW w:w="0" w:type="auto"/>
            <w:tcBorders/>
            <w:vAlign w:val="center"/>
            <w:hideMark/>
          </w:tcPr>
          <w:p>
            <w:pPr>
              <w:pStyle w:val="style0"/>
              <w:spacing w:lineRule="auto" w:line="240"/>
              <w:rPr>
                <w:rFonts w:eastAsia="Times New Roman"/>
                <w:lang w:val="en-US"/>
              </w:rPr>
            </w:pPr>
            <w:r>
              <w:rPr>
                <w:rFonts w:eastAsia="Times New Roman"/>
                <w:b/>
                <w:bCs/>
                <w:lang w:val="en-US"/>
              </w:rPr>
              <w:t>O–H stretch for alcohols, acids, and amides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3426.32</w:t>
            </w:r>
          </w:p>
        </w:tc>
        <w:tc>
          <w:tcPr>
            <w:tcW w:w="0" w:type="auto"/>
            <w:tcBorders/>
            <w:vAlign w:val="center"/>
            <w:hideMark/>
          </w:tcPr>
          <w:p>
            <w:pPr>
              <w:pStyle w:val="style0"/>
              <w:spacing w:lineRule="auto" w:line="240"/>
              <w:rPr>
                <w:rFonts w:eastAsia="Times New Roman"/>
                <w:lang w:val="en-US"/>
              </w:rPr>
            </w:pPr>
            <w:r>
              <w:rPr>
                <w:rFonts w:eastAsia="Times New Roman"/>
                <w:b/>
                <w:bCs/>
                <w:lang w:val="en-US"/>
              </w:rPr>
              <w:t>O–H stretch for alcohols, acids, and amides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3800.54</w:t>
            </w:r>
          </w:p>
        </w:tc>
        <w:tc>
          <w:tcPr>
            <w:tcW w:w="0" w:type="auto"/>
            <w:tcBorders/>
            <w:vAlign w:val="center"/>
            <w:hideMark/>
          </w:tcPr>
          <w:p>
            <w:pPr>
              <w:pStyle w:val="style0"/>
              <w:spacing w:lineRule="auto" w:line="240"/>
              <w:rPr>
                <w:rFonts w:eastAsia="Times New Roman"/>
                <w:lang w:val="en-US"/>
              </w:rPr>
            </w:pPr>
            <w:r>
              <w:rPr>
                <w:rFonts w:eastAsia="Times New Roman"/>
                <w:lang w:val="en-US"/>
              </w:rPr>
              <w:t>O–H (unbound)</w:t>
            </w:r>
          </w:p>
        </w:tc>
      </w:tr>
    </w:tbl>
    <w:p>
      <w:pPr>
        <w:pStyle w:val="style0"/>
        <w:jc w:val="both"/>
        <w:rPr>
          <w:b/>
        </w:rPr>
      </w:pPr>
    </w:p>
    <w:p>
      <w:pPr>
        <w:pStyle w:val="style0"/>
        <w:jc w:val="both"/>
        <w:rPr>
          <w:b/>
        </w:rPr>
      </w:pPr>
      <w:r>
        <w:rPr>
          <w:b/>
          <w:noProof/>
          <w:lang w:val="en-US"/>
        </w:rPr>
        <w:drawing>
          <wp:inline distL="0" distT="0" distB="0" distR="0">
            <wp:extent cx="5229225" cy="2105025"/>
            <wp:effectExtent l="0" t="0" r="9525" b="9525"/>
            <wp:docPr id="1030"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229225" cy="2105025"/>
                    </a:xfrm>
                    <a:prstGeom prst="rect"/>
                    <a:ln>
                      <a:noFill/>
                    </a:ln>
                  </pic:spPr>
                </pic:pic>
              </a:graphicData>
            </a:graphic>
          </wp:inline>
        </w:drawing>
      </w:r>
    </w:p>
    <w:p>
      <w:pPr>
        <w:pStyle w:val="style0"/>
        <w:jc w:val="both"/>
        <w:rPr>
          <w:b/>
        </w:rPr>
      </w:pPr>
      <w:r>
        <w:rPr>
          <w:b/>
        </w:rPr>
        <w:t>Figure .5</w:t>
      </w:r>
      <w:r>
        <w:rPr>
          <w:b/>
        </w:rPr>
        <w:t xml:space="preserve"> FTIR Spectra of Chitosan</w:t>
      </w:r>
    </w:p>
    <w:p>
      <w:pPr>
        <w:pStyle w:val="style0"/>
        <w:spacing w:before="100" w:beforeAutospacing="true" w:after="100" w:afterAutospacing="true" w:lineRule="auto" w:line="240"/>
        <w:rPr>
          <w:rFonts w:eastAsia="Times New Roman"/>
          <w:lang w:val="en-US"/>
        </w:rPr>
      </w:pPr>
      <w:r>
        <w:rPr>
          <w:rFonts w:eastAsia="Times New Roman"/>
          <w:b/>
          <w:bCs/>
          <w:lang w:val="en-US"/>
        </w:rPr>
        <w:t>Table 4</w:t>
      </w:r>
      <w:r>
        <w:rPr>
          <w:rFonts w:eastAsia="Times New Roman"/>
          <w:b/>
          <w:bCs/>
          <w:lang w:val="en-US"/>
        </w:rPr>
        <w:t>. FTIR Spectral Data of Encapsulated Particles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12"/>
        <w:gridCol w:w="6268"/>
      </w:tblGrid>
      <w:tr>
        <w:trPr>
          <w:tblHeader/>
          <w:tblCellSpacing w:w="15" w:type="dxa"/>
        </w:trPr>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Frequency (cm⁻¹)</w:t>
            </w:r>
          </w:p>
        </w:tc>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Functional Group / Assignment</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839.80</w:t>
            </w:r>
          </w:p>
        </w:tc>
        <w:tc>
          <w:tcPr>
            <w:tcW w:w="0" w:type="auto"/>
            <w:tcBorders/>
            <w:vAlign w:val="center"/>
            <w:hideMark/>
          </w:tcPr>
          <w:p>
            <w:pPr>
              <w:pStyle w:val="style0"/>
              <w:spacing w:lineRule="auto" w:line="240"/>
              <w:rPr>
                <w:rFonts w:eastAsia="Times New Roman"/>
                <w:lang w:val="en-US"/>
              </w:rPr>
            </w:pPr>
            <w:r>
              <w:rPr>
                <w:rFonts w:eastAsia="Times New Roman"/>
                <w:lang w:val="en-US"/>
              </w:rPr>
              <w:t>C–O, C–H deformation bonds for alkyl and methyl groups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1016.40</w:t>
            </w:r>
          </w:p>
        </w:tc>
        <w:tc>
          <w:tcPr>
            <w:tcW w:w="0" w:type="auto"/>
            <w:tcBorders/>
            <w:vAlign w:val="center"/>
            <w:hideMark/>
          </w:tcPr>
          <w:p>
            <w:pPr>
              <w:pStyle w:val="style0"/>
              <w:spacing w:lineRule="auto" w:line="240"/>
              <w:rPr>
                <w:rFonts w:eastAsia="Times New Roman"/>
                <w:lang w:val="en-US"/>
              </w:rPr>
            </w:pPr>
            <w:r>
              <w:rPr>
                <w:rFonts w:eastAsia="Times New Roman"/>
                <w:lang w:val="en-US"/>
              </w:rPr>
              <w:t>C–O, C–H deformation bonds for alkyl groups and ketones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1400.32</w:t>
            </w:r>
          </w:p>
        </w:tc>
        <w:tc>
          <w:tcPr>
            <w:tcW w:w="0" w:type="auto"/>
            <w:tcBorders/>
            <w:vAlign w:val="center"/>
            <w:hideMark/>
          </w:tcPr>
          <w:p>
            <w:pPr>
              <w:pStyle w:val="style0"/>
              <w:spacing w:lineRule="auto" w:line="240"/>
              <w:rPr>
                <w:rFonts w:eastAsia="Times New Roman"/>
                <w:lang w:val="en-US"/>
              </w:rPr>
            </w:pPr>
            <w:r>
              <w:rPr>
                <w:rFonts w:eastAsia="Times New Roman"/>
                <w:b/>
                <w:bCs/>
                <w:lang w:val="en-US"/>
              </w:rPr>
              <w:t>C–O stretch for ketones and acids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1633.70</w:t>
            </w:r>
          </w:p>
        </w:tc>
        <w:tc>
          <w:tcPr>
            <w:tcW w:w="0" w:type="auto"/>
            <w:tcBorders/>
            <w:vAlign w:val="center"/>
            <w:hideMark/>
          </w:tcPr>
          <w:p>
            <w:pPr>
              <w:pStyle w:val="style0"/>
              <w:spacing w:lineRule="auto" w:line="240"/>
              <w:rPr>
                <w:rFonts w:eastAsia="Times New Roman"/>
                <w:lang w:val="en-US"/>
              </w:rPr>
            </w:pPr>
            <w:r>
              <w:rPr>
                <w:rFonts w:eastAsia="Times New Roman"/>
                <w:b/>
                <w:bCs/>
                <w:lang w:val="en-US"/>
              </w:rPr>
              <w:t>C=O stretch for ketones and amide groups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1871.38</w:t>
            </w:r>
          </w:p>
        </w:tc>
        <w:tc>
          <w:tcPr>
            <w:tcW w:w="0" w:type="auto"/>
            <w:tcBorders/>
            <w:vAlign w:val="center"/>
            <w:hideMark/>
          </w:tcPr>
          <w:p>
            <w:pPr>
              <w:pStyle w:val="style0"/>
              <w:spacing w:lineRule="auto" w:line="240"/>
              <w:rPr>
                <w:rFonts w:eastAsia="Times New Roman"/>
                <w:lang w:val="en-US"/>
              </w:rPr>
            </w:pPr>
            <w:r>
              <w:rPr>
                <w:rFonts w:eastAsia="Times New Roman"/>
                <w:lang w:val="en-US"/>
              </w:rPr>
              <w:t>C=O stretch for ketones, acids, and amides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2117.08</w:t>
            </w:r>
          </w:p>
        </w:tc>
        <w:tc>
          <w:tcPr>
            <w:tcW w:w="0" w:type="auto"/>
            <w:tcBorders/>
            <w:vAlign w:val="center"/>
            <w:hideMark/>
          </w:tcPr>
          <w:p>
            <w:pPr>
              <w:pStyle w:val="style0"/>
              <w:spacing w:lineRule="auto" w:line="240"/>
              <w:rPr>
                <w:rFonts w:eastAsia="Times New Roman"/>
                <w:lang w:val="en-US"/>
              </w:rPr>
            </w:pPr>
            <w:r>
              <w:rPr>
                <w:rFonts w:eastAsia="Times New Roman"/>
                <w:lang w:val="en-US"/>
              </w:rPr>
              <w:t>C≡N stretch for nitriles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2275.43</w:t>
            </w:r>
          </w:p>
        </w:tc>
        <w:tc>
          <w:tcPr>
            <w:tcW w:w="0" w:type="auto"/>
            <w:tcBorders/>
            <w:vAlign w:val="center"/>
            <w:hideMark/>
          </w:tcPr>
          <w:p>
            <w:pPr>
              <w:pStyle w:val="style0"/>
              <w:spacing w:lineRule="auto" w:line="240"/>
              <w:rPr>
                <w:rFonts w:eastAsia="Times New Roman"/>
                <w:lang w:val="en-US"/>
              </w:rPr>
            </w:pPr>
            <w:r>
              <w:rPr>
                <w:rFonts w:eastAsia="Times New Roman"/>
                <w:lang w:val="en-US"/>
              </w:rPr>
              <w:t>C≡N stretch for nitriles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2450.16</w:t>
            </w:r>
          </w:p>
        </w:tc>
        <w:tc>
          <w:tcPr>
            <w:tcW w:w="0" w:type="auto"/>
            <w:tcBorders/>
            <w:vAlign w:val="center"/>
            <w:hideMark/>
          </w:tcPr>
          <w:p>
            <w:pPr>
              <w:pStyle w:val="style0"/>
              <w:spacing w:lineRule="auto" w:line="240"/>
              <w:rPr>
                <w:rFonts w:eastAsia="Times New Roman"/>
                <w:lang w:val="en-US"/>
              </w:rPr>
            </w:pPr>
            <w:r>
              <w:rPr>
                <w:rFonts w:eastAsia="Times New Roman"/>
                <w:lang w:val="en-US"/>
              </w:rPr>
              <w:t>C≡N stretch for nitriles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2526.01</w:t>
            </w:r>
          </w:p>
        </w:tc>
        <w:tc>
          <w:tcPr>
            <w:tcW w:w="0" w:type="auto"/>
            <w:tcBorders/>
            <w:vAlign w:val="center"/>
            <w:hideMark/>
          </w:tcPr>
          <w:p>
            <w:pPr>
              <w:pStyle w:val="style0"/>
              <w:spacing w:lineRule="auto" w:line="240"/>
              <w:rPr>
                <w:rFonts w:eastAsia="Times New Roman"/>
                <w:lang w:val="en-US"/>
              </w:rPr>
            </w:pPr>
            <w:r>
              <w:rPr>
                <w:rFonts w:eastAsia="Times New Roman"/>
                <w:lang w:val="en-US"/>
              </w:rPr>
              <w:t>C≡N stretch for nitriles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2631.72</w:t>
            </w:r>
          </w:p>
        </w:tc>
        <w:tc>
          <w:tcPr>
            <w:tcW w:w="0" w:type="auto"/>
            <w:tcBorders/>
            <w:vAlign w:val="center"/>
            <w:hideMark/>
          </w:tcPr>
          <w:p>
            <w:pPr>
              <w:pStyle w:val="style0"/>
              <w:spacing w:lineRule="auto" w:line="240"/>
              <w:rPr>
                <w:rFonts w:eastAsia="Times New Roman"/>
                <w:lang w:val="en-US"/>
              </w:rPr>
            </w:pPr>
            <w:r>
              <w:rPr>
                <w:rFonts w:eastAsia="Times New Roman"/>
                <w:lang w:val="en-US"/>
              </w:rPr>
              <w:t>C–H stretch for alkenes and aromatic groups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2830.92</w:t>
            </w:r>
          </w:p>
        </w:tc>
        <w:tc>
          <w:tcPr>
            <w:tcW w:w="0" w:type="auto"/>
            <w:tcBorders/>
            <w:vAlign w:val="center"/>
            <w:hideMark/>
          </w:tcPr>
          <w:p>
            <w:pPr>
              <w:pStyle w:val="style0"/>
              <w:spacing w:lineRule="auto" w:line="240"/>
              <w:rPr>
                <w:rFonts w:eastAsia="Times New Roman"/>
                <w:lang w:val="en-US"/>
              </w:rPr>
            </w:pPr>
            <w:r>
              <w:rPr>
                <w:rFonts w:eastAsia="Times New Roman"/>
                <w:lang w:val="en-US"/>
              </w:rPr>
              <w:t>C–H stretch for alkenes and aromatic groups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2954.72</w:t>
            </w:r>
          </w:p>
        </w:tc>
        <w:tc>
          <w:tcPr>
            <w:tcW w:w="0" w:type="auto"/>
            <w:tcBorders/>
            <w:vAlign w:val="center"/>
            <w:hideMark/>
          </w:tcPr>
          <w:p>
            <w:pPr>
              <w:pStyle w:val="style0"/>
              <w:spacing w:lineRule="auto" w:line="240"/>
              <w:rPr>
                <w:rFonts w:eastAsia="Times New Roman"/>
                <w:lang w:val="en-US"/>
              </w:rPr>
            </w:pPr>
            <w:r>
              <w:rPr>
                <w:rFonts w:eastAsia="Times New Roman"/>
                <w:lang w:val="en-US"/>
              </w:rPr>
              <w:t>C–H stretch for alkanes, alkenes, acids, and aromatics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3045.69</w:t>
            </w:r>
          </w:p>
        </w:tc>
        <w:tc>
          <w:tcPr>
            <w:tcW w:w="0" w:type="auto"/>
            <w:tcBorders/>
            <w:vAlign w:val="center"/>
            <w:hideMark/>
          </w:tcPr>
          <w:p>
            <w:pPr>
              <w:pStyle w:val="style0"/>
              <w:spacing w:lineRule="auto" w:line="240"/>
              <w:rPr>
                <w:rFonts w:eastAsia="Times New Roman"/>
                <w:lang w:val="en-US"/>
              </w:rPr>
            </w:pPr>
            <w:r>
              <w:rPr>
                <w:rFonts w:eastAsia="Times New Roman"/>
                <w:lang w:val="en-US"/>
              </w:rPr>
              <w:t>C–H stretch for alkenes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3140.57</w:t>
            </w:r>
          </w:p>
        </w:tc>
        <w:tc>
          <w:tcPr>
            <w:tcW w:w="0" w:type="auto"/>
            <w:tcBorders/>
            <w:vAlign w:val="center"/>
            <w:hideMark/>
          </w:tcPr>
          <w:p>
            <w:pPr>
              <w:pStyle w:val="style0"/>
              <w:spacing w:lineRule="auto" w:line="240"/>
              <w:rPr>
                <w:rFonts w:eastAsia="Times New Roman"/>
                <w:lang w:val="en-US"/>
              </w:rPr>
            </w:pPr>
            <w:r>
              <w:rPr>
                <w:rFonts w:eastAsia="Times New Roman"/>
                <w:b/>
                <w:bCs/>
                <w:lang w:val="en-US"/>
              </w:rPr>
              <w:t>N–H and O–H stretch for amines, alcohols, and phenols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3261.19</w:t>
            </w:r>
          </w:p>
        </w:tc>
        <w:tc>
          <w:tcPr>
            <w:tcW w:w="0" w:type="auto"/>
            <w:tcBorders/>
            <w:vAlign w:val="center"/>
            <w:hideMark/>
          </w:tcPr>
          <w:p>
            <w:pPr>
              <w:pStyle w:val="style0"/>
              <w:spacing w:lineRule="auto" w:line="240"/>
              <w:rPr>
                <w:rFonts w:eastAsia="Times New Roman"/>
                <w:lang w:val="en-US"/>
              </w:rPr>
            </w:pPr>
            <w:r>
              <w:rPr>
                <w:rFonts w:eastAsia="Times New Roman"/>
                <w:b/>
                <w:bCs/>
                <w:lang w:val="en-US"/>
              </w:rPr>
              <w:t>O–H stretch for alcohols, amides, and acids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3548.20</w:t>
            </w:r>
          </w:p>
        </w:tc>
        <w:tc>
          <w:tcPr>
            <w:tcW w:w="0" w:type="auto"/>
            <w:tcBorders/>
            <w:vAlign w:val="center"/>
            <w:hideMark/>
          </w:tcPr>
          <w:p>
            <w:pPr>
              <w:pStyle w:val="style0"/>
              <w:spacing w:lineRule="auto" w:line="240"/>
              <w:rPr>
                <w:rFonts w:eastAsia="Times New Roman"/>
                <w:lang w:val="en-US"/>
              </w:rPr>
            </w:pPr>
            <w:r>
              <w:rPr>
                <w:rFonts w:eastAsia="Times New Roman"/>
                <w:b/>
                <w:bCs/>
                <w:lang w:val="en-US"/>
              </w:rPr>
              <w:t>O–H stretch for alcohols, acids, and amides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3698.69</w:t>
            </w:r>
          </w:p>
        </w:tc>
        <w:tc>
          <w:tcPr>
            <w:tcW w:w="0" w:type="auto"/>
            <w:tcBorders/>
            <w:vAlign w:val="center"/>
            <w:hideMark/>
          </w:tcPr>
          <w:p>
            <w:pPr>
              <w:pStyle w:val="style0"/>
              <w:spacing w:lineRule="auto" w:line="240"/>
              <w:rPr>
                <w:rFonts w:eastAsia="Times New Roman"/>
                <w:lang w:val="en-US"/>
              </w:rPr>
            </w:pPr>
            <w:r>
              <w:rPr>
                <w:rFonts w:eastAsia="Times New Roman"/>
                <w:lang w:val="en-US"/>
              </w:rPr>
              <w:t>O–H unbound for alcohols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3828.11</w:t>
            </w:r>
          </w:p>
        </w:tc>
        <w:tc>
          <w:tcPr>
            <w:tcW w:w="0" w:type="auto"/>
            <w:tcBorders/>
            <w:vAlign w:val="center"/>
            <w:hideMark/>
          </w:tcPr>
          <w:p>
            <w:pPr>
              <w:pStyle w:val="style0"/>
              <w:spacing w:lineRule="auto" w:line="240"/>
              <w:rPr>
                <w:rFonts w:eastAsia="Times New Roman"/>
                <w:lang w:val="en-US"/>
              </w:rPr>
            </w:pPr>
            <w:r>
              <w:rPr>
                <w:rFonts w:eastAsia="Times New Roman"/>
                <w:lang w:val="en-US"/>
              </w:rPr>
              <w:t>O–H unbound</w:t>
            </w:r>
          </w:p>
        </w:tc>
      </w:tr>
    </w:tbl>
    <w:p>
      <w:pPr>
        <w:pStyle w:val="style0"/>
        <w:jc w:val="both"/>
        <w:rPr/>
      </w:pPr>
    </w:p>
    <w:p>
      <w:pPr>
        <w:pStyle w:val="style0"/>
        <w:jc w:val="both"/>
        <w:rPr/>
      </w:pPr>
      <w:r>
        <w:rPr>
          <w:noProof/>
          <w:lang w:val="en-US"/>
        </w:rPr>
        <w:drawing>
          <wp:inline distL="0" distT="0" distB="0" distR="0">
            <wp:extent cx="5419725" cy="2200275"/>
            <wp:effectExtent l="0" t="0" r="9525" b="9525"/>
            <wp:docPr id="1031"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7" cstate="print"/>
                    <a:srcRect l="0" t="0" r="0" b="0"/>
                    <a:stretch/>
                  </pic:blipFill>
                  <pic:spPr>
                    <a:xfrm rot="0">
                      <a:off x="0" y="0"/>
                      <a:ext cx="5419725" cy="2200275"/>
                    </a:xfrm>
                    <a:prstGeom prst="rect"/>
                    <a:ln>
                      <a:noFill/>
                    </a:ln>
                  </pic:spPr>
                </pic:pic>
              </a:graphicData>
            </a:graphic>
          </wp:inline>
        </w:drawing>
      </w:r>
    </w:p>
    <w:p>
      <w:pPr>
        <w:pStyle w:val="style0"/>
        <w:jc w:val="both"/>
        <w:rPr>
          <w:b/>
        </w:rPr>
      </w:pPr>
      <w:r>
        <w:rPr>
          <w:b/>
        </w:rPr>
        <w:t>Figure .6</w:t>
      </w:r>
      <w:r>
        <w:rPr>
          <w:b/>
        </w:rPr>
        <w:t xml:space="preserve"> FTIR SP</w:t>
      </w:r>
      <w:r>
        <w:rPr>
          <w:b/>
        </w:rPr>
        <w:t>ECTRA of Encapsulated particle.</w:t>
      </w:r>
    </w:p>
    <w:p>
      <w:pPr>
        <w:pStyle w:val="style0"/>
        <w:spacing w:lineRule="auto" w:line="240"/>
        <w:jc w:val="both"/>
        <w:rPr>
          <w:b/>
        </w:rPr>
      </w:pPr>
      <w:r>
        <w:t>Importantly, no disappearance or excessive shifting of major peaks was observed following encapsulation, indicating that the structural integrity of the bioactive phytochemicals was preserved. This observation is particularly significant for drug delivery systems, as chemical alteration of active compounds during formulation can compromise therapeutic efficacy.</w:t>
      </w:r>
    </w:p>
    <w:p>
      <w:pPr>
        <w:pStyle w:val="style3"/>
        <w:rPr/>
      </w:pPr>
      <w:r>
        <w:t>3.4 UV–Visible Spectroscopy and Encapsulation Efficiency</w:t>
      </w:r>
    </w:p>
    <w:p>
      <w:pPr>
        <w:pStyle w:val="style0"/>
        <w:spacing w:lineRule="auto" w:line="240"/>
        <w:jc w:val="both"/>
        <w:rPr/>
      </w:pPr>
      <w:r>
        <w:t xml:space="preserve">UV-Vis analysis of chitosan, the methanol extract of </w:t>
      </w:r>
      <w:r>
        <w:rPr>
          <w:rStyle w:val="style88"/>
        </w:rPr>
        <w:t>Imperata cylindrica</w:t>
      </w:r>
      <w:r>
        <w:t>, and t</w:t>
      </w:r>
      <w:r>
        <w:t>he encapsulated extract (Table 5</w:t>
      </w:r>
      <w:r>
        <w:t>) revealed distinct absorption patterns and structural interactions within the polymer matrix. Chitosan exhibited low, nearly constant absorbance across 350–850 nm, consistent with its polysaccharide structure and absence of strong chromophores. The methanol extract showed a pronounced peak at 500–600 nm, attributed to π→π* transitions in conjugated systems such as flavonoids, terpenoids, and polyphenols. Upon nanoencapsulation, the extract displayed substantially reduced absorbance across all wavelengths, with a hypsochromic shift of the absorption maximum from 550 nm for the free extract to 375 nm in the encapsulated formulation. This blue shift indicates reduced molecular aggregation and improved dispersion of the bioactive compounds within the chitosan matrix</w:t>
      </w:r>
      <w:r>
        <w:t xml:space="preserve"> Nkachukwu. </w:t>
      </w:r>
      <w:r>
        <w:rPr>
          <w:i/>
        </w:rPr>
        <w:t>et al</w:t>
      </w:r>
      <w:r>
        <w:t xml:space="preserve"> (2025)</w:t>
      </w:r>
      <w:r>
        <w:t>;</w:t>
      </w:r>
      <w:r>
        <w:t xml:space="preserve"> </w:t>
      </w:r>
      <w:r>
        <w:t xml:space="preserve">Mmuo </w:t>
      </w:r>
      <w:r>
        <w:rPr>
          <w:i/>
        </w:rPr>
        <w:t>et al</w:t>
      </w:r>
      <w:r>
        <w:t xml:space="preserve"> (2024);</w:t>
      </w:r>
      <w:r>
        <w:t xml:space="preserve"> </w:t>
      </w:r>
      <w:r>
        <w:t xml:space="preserve">Okwuego, </w:t>
      </w:r>
      <w:r>
        <w:rPr>
          <w:i/>
        </w:rPr>
        <w:t>et al</w:t>
      </w:r>
      <w:r>
        <w:rPr>
          <w:rStyle w:val="style87"/>
          <w:b w:val="false"/>
        </w:rPr>
        <w:t xml:space="preserve"> (2025)</w:t>
      </w:r>
      <w:r>
        <w:t>. The calculated encapsulation efficiency of 31.81% demonstrates effective incorporation of the extract, comparable to other chitosan-based plant bioactive formulations. The diminished optical activity and similarity in absorption behavior between chitosan and the encapsulated particles confirm successful entrapment a</w:t>
      </w:r>
      <w:r>
        <w:t xml:space="preserve">nd compatibility of the polymer </w:t>
      </w:r>
      <w:r>
        <w:t>drug system. From a drug delivery perspective, these spectral features suggest enhanced stability, controlled presentation of active constituents, and potential for improved bioavailability and sustained release at the wound site.</w:t>
      </w:r>
    </w:p>
    <w:p>
      <w:pPr>
        <w:pStyle w:val="style0"/>
        <w:spacing w:before="100" w:beforeAutospacing="true" w:after="100" w:afterAutospacing="true" w:lineRule="auto" w:line="240"/>
        <w:rPr>
          <w:rFonts w:eastAsia="Times New Roman"/>
          <w:lang w:val="en-US"/>
        </w:rPr>
      </w:pPr>
      <w:r>
        <w:rPr>
          <w:rFonts w:eastAsia="Times New Roman"/>
          <w:b/>
          <w:bCs/>
          <w:lang w:val="en-US"/>
        </w:rPr>
        <w:t>Table 5</w:t>
      </w:r>
      <w:r>
        <w:rPr>
          <w:rFonts w:eastAsia="Times New Roman"/>
          <w:b/>
          <w:bCs/>
          <w:lang w:val="en-US"/>
        </w:rPr>
        <w:t xml:space="preserve">. Absorbance per Unit Wavelength of Chitosan, Methanol Extract, and Encapsulated Extract of </w:t>
      </w:r>
      <w:r>
        <w:rPr>
          <w:rFonts w:eastAsia="Times New Roman"/>
          <w:b/>
          <w:bCs/>
          <w:i/>
          <w:iCs/>
          <w:lang w:val="en-US"/>
        </w:rPr>
        <w:t>Imperata cylindrica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5"/>
        <w:gridCol w:w="997"/>
        <w:gridCol w:w="2877"/>
        <w:gridCol w:w="3306"/>
      </w:tblGrid>
      <w:tr>
        <w:trPr>
          <w:tblHeader/>
          <w:tblCellSpacing w:w="15" w:type="dxa"/>
        </w:trPr>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Wavelength (nm)</w:t>
            </w:r>
          </w:p>
        </w:tc>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Chitosan</w:t>
            </w:r>
          </w:p>
        </w:tc>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 xml:space="preserve">Methanol Extract of </w:t>
            </w:r>
            <w:r>
              <w:rPr>
                <w:rFonts w:eastAsia="Times New Roman"/>
                <w:b/>
                <w:bCs/>
                <w:i/>
                <w:iCs/>
                <w:lang w:val="en-US"/>
              </w:rPr>
              <w:t xml:space="preserve">I. </w:t>
            </w:r>
            <w:r>
              <w:rPr>
                <w:rFonts w:eastAsia="Times New Roman"/>
                <w:b/>
                <w:bCs/>
                <w:i/>
                <w:iCs/>
                <w:lang w:val="en-US"/>
              </w:rPr>
              <w:t>cylindrical</w:t>
            </w:r>
          </w:p>
        </w:tc>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 xml:space="preserve">Encapsulated Extract of </w:t>
            </w:r>
            <w:r>
              <w:rPr>
                <w:rFonts w:eastAsia="Times New Roman"/>
                <w:b/>
                <w:bCs/>
                <w:i/>
                <w:iCs/>
                <w:lang w:val="en-US"/>
              </w:rPr>
              <w:t xml:space="preserve">I. </w:t>
            </w:r>
            <w:r>
              <w:rPr>
                <w:rFonts w:eastAsia="Times New Roman"/>
                <w:b/>
                <w:bCs/>
                <w:i/>
                <w:iCs/>
                <w:lang w:val="en-US"/>
              </w:rPr>
              <w:t>cylindrical</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350</w:t>
            </w:r>
          </w:p>
        </w:tc>
        <w:tc>
          <w:tcPr>
            <w:tcW w:w="0" w:type="auto"/>
            <w:tcBorders/>
            <w:vAlign w:val="center"/>
            <w:hideMark/>
          </w:tcPr>
          <w:p>
            <w:pPr>
              <w:pStyle w:val="style0"/>
              <w:spacing w:lineRule="auto" w:line="240"/>
              <w:rPr>
                <w:rFonts w:eastAsia="Times New Roman"/>
                <w:lang w:val="en-US"/>
              </w:rPr>
            </w:pPr>
            <w:r>
              <w:rPr>
                <w:rFonts w:eastAsia="Times New Roman"/>
                <w:lang w:val="en-US"/>
              </w:rPr>
              <w:t>0.344</w:t>
            </w:r>
          </w:p>
        </w:tc>
        <w:tc>
          <w:tcPr>
            <w:tcW w:w="0" w:type="auto"/>
            <w:tcBorders/>
            <w:vAlign w:val="center"/>
            <w:hideMark/>
          </w:tcPr>
          <w:p>
            <w:pPr>
              <w:pStyle w:val="style0"/>
              <w:spacing w:lineRule="auto" w:line="240"/>
              <w:rPr>
                <w:rFonts w:eastAsia="Times New Roman"/>
                <w:lang w:val="en-US"/>
              </w:rPr>
            </w:pPr>
            <w:r>
              <w:rPr>
                <w:rFonts w:eastAsia="Times New Roman"/>
                <w:lang w:val="en-US"/>
              </w:rPr>
              <w:t>1.758</w:t>
            </w:r>
          </w:p>
        </w:tc>
        <w:tc>
          <w:tcPr>
            <w:tcW w:w="0" w:type="auto"/>
            <w:tcBorders/>
            <w:vAlign w:val="center"/>
            <w:hideMark/>
          </w:tcPr>
          <w:p>
            <w:pPr>
              <w:pStyle w:val="style0"/>
              <w:spacing w:lineRule="auto" w:line="240"/>
              <w:rPr>
                <w:rFonts w:eastAsia="Times New Roman"/>
                <w:lang w:val="en-US"/>
              </w:rPr>
            </w:pPr>
            <w:r>
              <w:rPr>
                <w:rFonts w:eastAsia="Times New Roman"/>
                <w:lang w:val="en-US"/>
              </w:rPr>
              <w:t>0.107</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400</w:t>
            </w:r>
          </w:p>
        </w:tc>
        <w:tc>
          <w:tcPr>
            <w:tcW w:w="0" w:type="auto"/>
            <w:tcBorders/>
            <w:vAlign w:val="center"/>
            <w:hideMark/>
          </w:tcPr>
          <w:p>
            <w:pPr>
              <w:pStyle w:val="style0"/>
              <w:spacing w:lineRule="auto" w:line="240"/>
              <w:rPr>
                <w:rFonts w:eastAsia="Times New Roman"/>
                <w:lang w:val="en-US"/>
              </w:rPr>
            </w:pPr>
            <w:r>
              <w:rPr>
                <w:rFonts w:eastAsia="Times New Roman"/>
                <w:lang w:val="en-US"/>
              </w:rPr>
              <w:t>0.344</w:t>
            </w:r>
          </w:p>
        </w:tc>
        <w:tc>
          <w:tcPr>
            <w:tcW w:w="0" w:type="auto"/>
            <w:tcBorders/>
            <w:vAlign w:val="center"/>
            <w:hideMark/>
          </w:tcPr>
          <w:p>
            <w:pPr>
              <w:pStyle w:val="style0"/>
              <w:spacing w:lineRule="auto" w:line="240"/>
              <w:rPr>
                <w:rFonts w:eastAsia="Times New Roman"/>
                <w:lang w:val="en-US"/>
              </w:rPr>
            </w:pPr>
            <w:r>
              <w:rPr>
                <w:rFonts w:eastAsia="Times New Roman"/>
                <w:lang w:val="en-US"/>
              </w:rPr>
              <w:t>1.762</w:t>
            </w:r>
          </w:p>
        </w:tc>
        <w:tc>
          <w:tcPr>
            <w:tcW w:w="0" w:type="auto"/>
            <w:tcBorders/>
            <w:vAlign w:val="center"/>
            <w:hideMark/>
          </w:tcPr>
          <w:p>
            <w:pPr>
              <w:pStyle w:val="style0"/>
              <w:spacing w:lineRule="auto" w:line="240"/>
              <w:rPr>
                <w:rFonts w:eastAsia="Times New Roman"/>
                <w:lang w:val="en-US"/>
              </w:rPr>
            </w:pPr>
            <w:r>
              <w:rPr>
                <w:rFonts w:eastAsia="Times New Roman"/>
                <w:lang w:val="en-US"/>
              </w:rPr>
              <w:t>0.107</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450</w:t>
            </w:r>
          </w:p>
        </w:tc>
        <w:tc>
          <w:tcPr>
            <w:tcW w:w="0" w:type="auto"/>
            <w:tcBorders/>
            <w:vAlign w:val="center"/>
            <w:hideMark/>
          </w:tcPr>
          <w:p>
            <w:pPr>
              <w:pStyle w:val="style0"/>
              <w:spacing w:lineRule="auto" w:line="240"/>
              <w:rPr>
                <w:rFonts w:eastAsia="Times New Roman"/>
                <w:lang w:val="en-US"/>
              </w:rPr>
            </w:pPr>
            <w:r>
              <w:rPr>
                <w:rFonts w:eastAsia="Times New Roman"/>
                <w:lang w:val="en-US"/>
              </w:rPr>
              <w:t>0.274</w:t>
            </w:r>
          </w:p>
        </w:tc>
        <w:tc>
          <w:tcPr>
            <w:tcW w:w="0" w:type="auto"/>
            <w:tcBorders/>
            <w:vAlign w:val="center"/>
            <w:hideMark/>
          </w:tcPr>
          <w:p>
            <w:pPr>
              <w:pStyle w:val="style0"/>
              <w:spacing w:lineRule="auto" w:line="240"/>
              <w:rPr>
                <w:rFonts w:eastAsia="Times New Roman"/>
                <w:lang w:val="en-US"/>
              </w:rPr>
            </w:pPr>
            <w:r>
              <w:rPr>
                <w:rFonts w:eastAsia="Times New Roman"/>
                <w:lang w:val="en-US"/>
              </w:rPr>
              <w:t>2.225</w:t>
            </w:r>
          </w:p>
        </w:tc>
        <w:tc>
          <w:tcPr>
            <w:tcW w:w="0" w:type="auto"/>
            <w:tcBorders/>
            <w:vAlign w:val="center"/>
            <w:hideMark/>
          </w:tcPr>
          <w:p>
            <w:pPr>
              <w:pStyle w:val="style0"/>
              <w:spacing w:lineRule="auto" w:line="240"/>
              <w:rPr>
                <w:rFonts w:eastAsia="Times New Roman"/>
                <w:lang w:val="en-US"/>
              </w:rPr>
            </w:pPr>
            <w:r>
              <w:rPr>
                <w:rFonts w:eastAsia="Times New Roman"/>
                <w:lang w:val="en-US"/>
              </w:rPr>
              <w:t>0.039</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500</w:t>
            </w:r>
          </w:p>
        </w:tc>
        <w:tc>
          <w:tcPr>
            <w:tcW w:w="0" w:type="auto"/>
            <w:tcBorders/>
            <w:vAlign w:val="center"/>
            <w:hideMark/>
          </w:tcPr>
          <w:p>
            <w:pPr>
              <w:pStyle w:val="style0"/>
              <w:spacing w:lineRule="auto" w:line="240"/>
              <w:rPr>
                <w:rFonts w:eastAsia="Times New Roman"/>
                <w:lang w:val="en-US"/>
              </w:rPr>
            </w:pPr>
            <w:r>
              <w:rPr>
                <w:rFonts w:eastAsia="Times New Roman"/>
                <w:lang w:val="en-US"/>
              </w:rPr>
              <w:t>0.250</w:t>
            </w:r>
          </w:p>
        </w:tc>
        <w:tc>
          <w:tcPr>
            <w:tcW w:w="0" w:type="auto"/>
            <w:tcBorders/>
            <w:vAlign w:val="center"/>
            <w:hideMark/>
          </w:tcPr>
          <w:p>
            <w:pPr>
              <w:pStyle w:val="style0"/>
              <w:spacing w:lineRule="auto" w:line="240"/>
              <w:rPr>
                <w:rFonts w:eastAsia="Times New Roman"/>
                <w:lang w:val="en-US"/>
              </w:rPr>
            </w:pPr>
            <w:r>
              <w:rPr>
                <w:rFonts w:eastAsia="Times New Roman"/>
                <w:lang w:val="en-US"/>
              </w:rPr>
              <w:t>6.000</w:t>
            </w:r>
          </w:p>
        </w:tc>
        <w:tc>
          <w:tcPr>
            <w:tcW w:w="0" w:type="auto"/>
            <w:tcBorders/>
            <w:vAlign w:val="center"/>
            <w:hideMark/>
          </w:tcPr>
          <w:p>
            <w:pPr>
              <w:pStyle w:val="style0"/>
              <w:spacing w:lineRule="auto" w:line="240"/>
              <w:rPr>
                <w:rFonts w:eastAsia="Times New Roman"/>
                <w:lang w:val="en-US"/>
              </w:rPr>
            </w:pPr>
            <w:r>
              <w:rPr>
                <w:rFonts w:eastAsia="Times New Roman"/>
                <w:lang w:val="en-US"/>
              </w:rPr>
              <w:t>0.017</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550</w:t>
            </w:r>
          </w:p>
        </w:tc>
        <w:tc>
          <w:tcPr>
            <w:tcW w:w="0" w:type="auto"/>
            <w:tcBorders/>
            <w:vAlign w:val="center"/>
            <w:hideMark/>
          </w:tcPr>
          <w:p>
            <w:pPr>
              <w:pStyle w:val="style0"/>
              <w:spacing w:lineRule="auto" w:line="240"/>
              <w:rPr>
                <w:rFonts w:eastAsia="Times New Roman"/>
                <w:lang w:val="en-US"/>
              </w:rPr>
            </w:pPr>
            <w:r>
              <w:rPr>
                <w:rFonts w:eastAsia="Times New Roman"/>
                <w:lang w:val="en-US"/>
              </w:rPr>
              <w:t>0.202</w:t>
            </w:r>
          </w:p>
        </w:tc>
        <w:tc>
          <w:tcPr>
            <w:tcW w:w="0" w:type="auto"/>
            <w:tcBorders/>
            <w:vAlign w:val="center"/>
            <w:hideMark/>
          </w:tcPr>
          <w:p>
            <w:pPr>
              <w:pStyle w:val="style0"/>
              <w:spacing w:lineRule="auto" w:line="240"/>
              <w:rPr>
                <w:rFonts w:eastAsia="Times New Roman"/>
                <w:lang w:val="en-US"/>
              </w:rPr>
            </w:pPr>
            <w:r>
              <w:rPr>
                <w:rFonts w:eastAsia="Times New Roman"/>
                <w:lang w:val="en-US"/>
              </w:rPr>
              <w:t>6.000</w:t>
            </w:r>
          </w:p>
        </w:tc>
        <w:tc>
          <w:tcPr>
            <w:tcW w:w="0" w:type="auto"/>
            <w:tcBorders/>
            <w:vAlign w:val="center"/>
            <w:hideMark/>
          </w:tcPr>
          <w:p>
            <w:pPr>
              <w:pStyle w:val="style0"/>
              <w:spacing w:lineRule="auto" w:line="240"/>
              <w:rPr>
                <w:rFonts w:eastAsia="Times New Roman"/>
                <w:lang w:val="en-US"/>
              </w:rPr>
            </w:pPr>
            <w:r>
              <w:rPr>
                <w:rFonts w:eastAsia="Times New Roman"/>
                <w:lang w:val="en-US"/>
              </w:rPr>
              <w:t>-0.002</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600</w:t>
            </w:r>
          </w:p>
        </w:tc>
        <w:tc>
          <w:tcPr>
            <w:tcW w:w="0" w:type="auto"/>
            <w:tcBorders/>
            <w:vAlign w:val="center"/>
            <w:hideMark/>
          </w:tcPr>
          <w:p>
            <w:pPr>
              <w:pStyle w:val="style0"/>
              <w:spacing w:lineRule="auto" w:line="240"/>
              <w:rPr>
                <w:rFonts w:eastAsia="Times New Roman"/>
                <w:lang w:val="en-US"/>
              </w:rPr>
            </w:pPr>
            <w:r>
              <w:rPr>
                <w:rFonts w:eastAsia="Times New Roman"/>
                <w:lang w:val="en-US"/>
              </w:rPr>
              <w:t>0.182</w:t>
            </w:r>
          </w:p>
        </w:tc>
        <w:tc>
          <w:tcPr>
            <w:tcW w:w="0" w:type="auto"/>
            <w:tcBorders/>
            <w:vAlign w:val="center"/>
            <w:hideMark/>
          </w:tcPr>
          <w:p>
            <w:pPr>
              <w:pStyle w:val="style0"/>
              <w:spacing w:lineRule="auto" w:line="240"/>
              <w:rPr>
                <w:rFonts w:eastAsia="Times New Roman"/>
                <w:lang w:val="en-US"/>
              </w:rPr>
            </w:pPr>
            <w:r>
              <w:rPr>
                <w:rFonts w:eastAsia="Times New Roman"/>
                <w:lang w:val="en-US"/>
              </w:rPr>
              <w:t>6.000</w:t>
            </w:r>
          </w:p>
        </w:tc>
        <w:tc>
          <w:tcPr>
            <w:tcW w:w="0" w:type="auto"/>
            <w:tcBorders/>
            <w:vAlign w:val="center"/>
            <w:hideMark/>
          </w:tcPr>
          <w:p>
            <w:pPr>
              <w:pStyle w:val="style0"/>
              <w:spacing w:lineRule="auto" w:line="240"/>
              <w:rPr>
                <w:rFonts w:eastAsia="Times New Roman"/>
                <w:lang w:val="en-US"/>
              </w:rPr>
            </w:pPr>
            <w:r>
              <w:rPr>
                <w:rFonts w:eastAsia="Times New Roman"/>
                <w:lang w:val="en-US"/>
              </w:rPr>
              <w:t>-0.008</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650</w:t>
            </w:r>
          </w:p>
        </w:tc>
        <w:tc>
          <w:tcPr>
            <w:tcW w:w="0" w:type="auto"/>
            <w:tcBorders/>
            <w:vAlign w:val="center"/>
            <w:hideMark/>
          </w:tcPr>
          <w:p>
            <w:pPr>
              <w:pStyle w:val="style0"/>
              <w:spacing w:lineRule="auto" w:line="240"/>
              <w:rPr>
                <w:rFonts w:eastAsia="Times New Roman"/>
                <w:lang w:val="en-US"/>
              </w:rPr>
            </w:pPr>
            <w:r>
              <w:rPr>
                <w:rFonts w:eastAsia="Times New Roman"/>
                <w:lang w:val="en-US"/>
              </w:rPr>
              <w:t>0.149</w:t>
            </w:r>
          </w:p>
        </w:tc>
        <w:tc>
          <w:tcPr>
            <w:tcW w:w="0" w:type="auto"/>
            <w:tcBorders/>
            <w:vAlign w:val="center"/>
            <w:hideMark/>
          </w:tcPr>
          <w:p>
            <w:pPr>
              <w:pStyle w:val="style0"/>
              <w:spacing w:lineRule="auto" w:line="240"/>
              <w:rPr>
                <w:rFonts w:eastAsia="Times New Roman"/>
                <w:lang w:val="en-US"/>
              </w:rPr>
            </w:pPr>
            <w:r>
              <w:rPr>
                <w:rFonts w:eastAsia="Times New Roman"/>
                <w:lang w:val="en-US"/>
              </w:rPr>
              <w:t>0.850</w:t>
            </w:r>
          </w:p>
        </w:tc>
        <w:tc>
          <w:tcPr>
            <w:tcW w:w="0" w:type="auto"/>
            <w:tcBorders/>
            <w:vAlign w:val="center"/>
            <w:hideMark/>
          </w:tcPr>
          <w:p>
            <w:pPr>
              <w:pStyle w:val="style0"/>
              <w:spacing w:lineRule="auto" w:line="240"/>
              <w:rPr>
                <w:rFonts w:eastAsia="Times New Roman"/>
                <w:lang w:val="en-US"/>
              </w:rPr>
            </w:pPr>
            <w:r>
              <w:rPr>
                <w:rFonts w:eastAsia="Times New Roman"/>
                <w:lang w:val="en-US"/>
              </w:rPr>
              <w:t>-0.011</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700</w:t>
            </w:r>
          </w:p>
        </w:tc>
        <w:tc>
          <w:tcPr>
            <w:tcW w:w="0" w:type="auto"/>
            <w:tcBorders/>
            <w:vAlign w:val="center"/>
            <w:hideMark/>
          </w:tcPr>
          <w:p>
            <w:pPr>
              <w:pStyle w:val="style0"/>
              <w:spacing w:lineRule="auto" w:line="240"/>
              <w:rPr>
                <w:rFonts w:eastAsia="Times New Roman"/>
                <w:lang w:val="en-US"/>
              </w:rPr>
            </w:pPr>
            <w:r>
              <w:rPr>
                <w:rFonts w:eastAsia="Times New Roman"/>
                <w:lang w:val="en-US"/>
              </w:rPr>
              <w:t>0.133</w:t>
            </w:r>
          </w:p>
        </w:tc>
        <w:tc>
          <w:tcPr>
            <w:tcW w:w="0" w:type="auto"/>
            <w:tcBorders/>
            <w:vAlign w:val="center"/>
            <w:hideMark/>
          </w:tcPr>
          <w:p>
            <w:pPr>
              <w:pStyle w:val="style0"/>
              <w:spacing w:lineRule="auto" w:line="240"/>
              <w:rPr>
                <w:rFonts w:eastAsia="Times New Roman"/>
                <w:lang w:val="en-US"/>
              </w:rPr>
            </w:pPr>
            <w:r>
              <w:rPr>
                <w:rFonts w:eastAsia="Times New Roman"/>
                <w:lang w:val="en-US"/>
              </w:rPr>
              <w:t>0.535</w:t>
            </w:r>
          </w:p>
        </w:tc>
        <w:tc>
          <w:tcPr>
            <w:tcW w:w="0" w:type="auto"/>
            <w:tcBorders/>
            <w:vAlign w:val="center"/>
            <w:hideMark/>
          </w:tcPr>
          <w:p>
            <w:pPr>
              <w:pStyle w:val="style0"/>
              <w:spacing w:lineRule="auto" w:line="240"/>
              <w:rPr>
                <w:rFonts w:eastAsia="Times New Roman"/>
                <w:lang w:val="en-US"/>
              </w:rPr>
            </w:pPr>
            <w:r>
              <w:rPr>
                <w:rFonts w:eastAsia="Times New Roman"/>
                <w:lang w:val="en-US"/>
              </w:rPr>
              <w:t>-0.012</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750</w:t>
            </w:r>
          </w:p>
        </w:tc>
        <w:tc>
          <w:tcPr>
            <w:tcW w:w="0" w:type="auto"/>
            <w:tcBorders/>
            <w:vAlign w:val="center"/>
            <w:hideMark/>
          </w:tcPr>
          <w:p>
            <w:pPr>
              <w:pStyle w:val="style0"/>
              <w:spacing w:lineRule="auto" w:line="240"/>
              <w:rPr>
                <w:rFonts w:eastAsia="Times New Roman"/>
                <w:lang w:val="en-US"/>
              </w:rPr>
            </w:pPr>
            <w:r>
              <w:rPr>
                <w:rFonts w:eastAsia="Times New Roman"/>
                <w:lang w:val="en-US"/>
              </w:rPr>
              <w:t>0.122</w:t>
            </w:r>
          </w:p>
        </w:tc>
        <w:tc>
          <w:tcPr>
            <w:tcW w:w="0" w:type="auto"/>
            <w:tcBorders/>
            <w:vAlign w:val="center"/>
            <w:hideMark/>
          </w:tcPr>
          <w:p>
            <w:pPr>
              <w:pStyle w:val="style0"/>
              <w:spacing w:lineRule="auto" w:line="240"/>
              <w:rPr>
                <w:rFonts w:eastAsia="Times New Roman"/>
                <w:lang w:val="en-US"/>
              </w:rPr>
            </w:pPr>
            <w:r>
              <w:rPr>
                <w:rFonts w:eastAsia="Times New Roman"/>
                <w:lang w:val="en-US"/>
              </w:rPr>
              <w:t>0.345</w:t>
            </w:r>
          </w:p>
        </w:tc>
        <w:tc>
          <w:tcPr>
            <w:tcW w:w="0" w:type="auto"/>
            <w:tcBorders/>
            <w:vAlign w:val="center"/>
            <w:hideMark/>
          </w:tcPr>
          <w:p>
            <w:pPr>
              <w:pStyle w:val="style0"/>
              <w:spacing w:lineRule="auto" w:line="240"/>
              <w:rPr>
                <w:rFonts w:eastAsia="Times New Roman"/>
                <w:lang w:val="en-US"/>
              </w:rPr>
            </w:pPr>
            <w:r>
              <w:rPr>
                <w:rFonts w:eastAsia="Times New Roman"/>
                <w:lang w:val="en-US"/>
              </w:rPr>
              <w:t>-0.014</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800</w:t>
            </w:r>
          </w:p>
        </w:tc>
        <w:tc>
          <w:tcPr>
            <w:tcW w:w="0" w:type="auto"/>
            <w:tcBorders/>
            <w:vAlign w:val="center"/>
            <w:hideMark/>
          </w:tcPr>
          <w:p>
            <w:pPr>
              <w:pStyle w:val="style0"/>
              <w:spacing w:lineRule="auto" w:line="240"/>
              <w:rPr>
                <w:rFonts w:eastAsia="Times New Roman"/>
                <w:lang w:val="en-US"/>
              </w:rPr>
            </w:pPr>
            <w:r>
              <w:rPr>
                <w:rFonts w:eastAsia="Times New Roman"/>
                <w:lang w:val="en-US"/>
              </w:rPr>
              <w:t>0.110</w:t>
            </w:r>
          </w:p>
        </w:tc>
        <w:tc>
          <w:tcPr>
            <w:tcW w:w="0" w:type="auto"/>
            <w:tcBorders/>
            <w:vAlign w:val="center"/>
            <w:hideMark/>
          </w:tcPr>
          <w:p>
            <w:pPr>
              <w:pStyle w:val="style0"/>
              <w:spacing w:lineRule="auto" w:line="240"/>
              <w:rPr>
                <w:rFonts w:eastAsia="Times New Roman"/>
                <w:lang w:val="en-US"/>
              </w:rPr>
            </w:pPr>
            <w:r>
              <w:rPr>
                <w:rFonts w:eastAsia="Times New Roman"/>
                <w:lang w:val="en-US"/>
              </w:rPr>
              <w:t>0.241</w:t>
            </w:r>
          </w:p>
        </w:tc>
        <w:tc>
          <w:tcPr>
            <w:tcW w:w="0" w:type="auto"/>
            <w:tcBorders/>
            <w:vAlign w:val="center"/>
            <w:hideMark/>
          </w:tcPr>
          <w:p>
            <w:pPr>
              <w:pStyle w:val="style0"/>
              <w:spacing w:lineRule="auto" w:line="240"/>
              <w:rPr>
                <w:rFonts w:eastAsia="Times New Roman"/>
                <w:lang w:val="en-US"/>
              </w:rPr>
            </w:pPr>
            <w:r>
              <w:rPr>
                <w:rFonts w:eastAsia="Times New Roman"/>
                <w:lang w:val="en-US"/>
              </w:rPr>
              <w:t>-0.014</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850</w:t>
            </w:r>
          </w:p>
        </w:tc>
        <w:tc>
          <w:tcPr>
            <w:tcW w:w="0" w:type="auto"/>
            <w:tcBorders/>
            <w:vAlign w:val="center"/>
            <w:hideMark/>
          </w:tcPr>
          <w:p>
            <w:pPr>
              <w:pStyle w:val="style0"/>
              <w:spacing w:lineRule="auto" w:line="240"/>
              <w:rPr>
                <w:rFonts w:eastAsia="Times New Roman"/>
                <w:lang w:val="en-US"/>
              </w:rPr>
            </w:pPr>
            <w:r>
              <w:rPr>
                <w:rFonts w:eastAsia="Times New Roman"/>
                <w:lang w:val="en-US"/>
              </w:rPr>
              <w:t>0.100</w:t>
            </w:r>
          </w:p>
        </w:tc>
        <w:tc>
          <w:tcPr>
            <w:tcW w:w="0" w:type="auto"/>
            <w:tcBorders/>
            <w:vAlign w:val="center"/>
            <w:hideMark/>
          </w:tcPr>
          <w:p>
            <w:pPr>
              <w:pStyle w:val="style0"/>
              <w:spacing w:lineRule="auto" w:line="240"/>
              <w:rPr>
                <w:rFonts w:eastAsia="Times New Roman"/>
                <w:lang w:val="en-US"/>
              </w:rPr>
            </w:pPr>
            <w:r>
              <w:rPr>
                <w:rFonts w:eastAsia="Times New Roman"/>
                <w:lang w:val="en-US"/>
              </w:rPr>
              <w:t>0.180</w:t>
            </w:r>
          </w:p>
        </w:tc>
        <w:tc>
          <w:tcPr>
            <w:tcW w:w="0" w:type="auto"/>
            <w:tcBorders/>
            <w:vAlign w:val="center"/>
            <w:hideMark/>
          </w:tcPr>
          <w:p>
            <w:pPr>
              <w:pStyle w:val="style0"/>
              <w:spacing w:lineRule="auto" w:line="240"/>
              <w:rPr>
                <w:rFonts w:eastAsia="Times New Roman"/>
                <w:lang w:val="en-US"/>
              </w:rPr>
            </w:pPr>
            <w:r>
              <w:rPr>
                <w:rFonts w:eastAsia="Times New Roman"/>
                <w:lang w:val="en-US"/>
              </w:rPr>
              <w:t>-0.015</w:t>
            </w:r>
          </w:p>
        </w:tc>
      </w:tr>
    </w:tbl>
    <w:p>
      <w:pPr>
        <w:pStyle w:val="style0"/>
        <w:spacing w:lineRule="auto" w:line="360"/>
        <w:jc w:val="both"/>
        <w:rPr>
          <w:b/>
        </w:rPr>
      </w:pPr>
    </w:p>
    <w:p>
      <w:pPr>
        <w:pStyle w:val="style0"/>
        <w:spacing w:lineRule="auto" w:line="360"/>
        <w:jc w:val="both"/>
        <w:rPr/>
      </w:pPr>
      <w:r>
        <w:rPr>
          <w:noProof/>
          <w:lang w:val="en-US"/>
        </w:rPr>
        <w:drawing>
          <wp:inline distL="0" distT="0" distB="0" distR="0">
            <wp:extent cx="5191125" cy="2524125"/>
            <wp:effectExtent l="0" t="0" r="9525" b="9525"/>
            <wp:docPr id="1032"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5"/>
                    <pic:cNvPicPr/>
                  </pic:nvPicPr>
                  <pic:blipFill>
                    <a:blip r:embed="rId8" cstate="print"/>
                    <a:srcRect l="0" t="0" r="0" b="0"/>
                    <a:stretch/>
                  </pic:blipFill>
                  <pic:spPr>
                    <a:xfrm rot="0">
                      <a:off x="0" y="0"/>
                      <a:ext cx="5191125" cy="2524125"/>
                    </a:xfrm>
                    <a:prstGeom prst="rect"/>
                    <a:ln>
                      <a:noFill/>
                    </a:ln>
                  </pic:spPr>
                </pic:pic>
              </a:graphicData>
            </a:graphic>
          </wp:inline>
        </w:drawing>
      </w:r>
    </w:p>
    <w:p>
      <w:pPr>
        <w:pStyle w:val="style0"/>
        <w:spacing w:lineRule="auto" w:line="360"/>
        <w:jc w:val="both"/>
        <w:rPr>
          <w:b/>
        </w:rPr>
      </w:pPr>
      <w:r>
        <w:rPr>
          <w:b/>
        </w:rPr>
        <w:t>Figure 7</w:t>
      </w:r>
      <w:r>
        <w:rPr>
          <w:b/>
        </w:rPr>
        <w:t>Absorption maxima of the v</w:t>
      </w:r>
      <w:r>
        <w:rPr>
          <w:b/>
        </w:rPr>
        <w:t>arious sample</w:t>
      </w:r>
    </w:p>
    <w:p>
      <w:pPr>
        <w:pStyle w:val="style3"/>
        <w:rPr/>
      </w:pPr>
      <w:r>
        <w:t>3.5 Crystallinity and Mineral Composition Analysis by XRD</w:t>
      </w:r>
    </w:p>
    <w:p>
      <w:pPr>
        <w:pStyle w:val="style0"/>
        <w:spacing w:lineRule="auto" w:line="240"/>
        <w:ind w:left="720" w:hanging="720"/>
        <w:rPr/>
      </w:pPr>
      <w:r>
        <w:t>X-ray diffraction (XRD) analysis of the enca</w:t>
      </w:r>
      <w:r>
        <w:t>psulated nanoparticles (Tables 6 and 7</w:t>
      </w:r>
      <w:r>
        <w:t>)</w:t>
      </w:r>
    </w:p>
    <w:p>
      <w:pPr>
        <w:pStyle w:val="style0"/>
        <w:spacing w:lineRule="auto" w:line="240"/>
        <w:ind w:left="720" w:hanging="720"/>
        <w:rPr/>
      </w:pPr>
      <w:r>
        <w:t>revealed a multi-phase crystalline composition consisti</w:t>
      </w:r>
      <w:r>
        <w:t xml:space="preserve">ng of Barium Terbium Niobium  </w:t>
      </w:r>
    </w:p>
    <w:p>
      <w:pPr>
        <w:pStyle w:val="style0"/>
        <w:spacing w:lineRule="auto" w:line="240"/>
        <w:ind w:left="720" w:hanging="720"/>
        <w:rPr/>
      </w:pPr>
      <w:r>
        <w:t xml:space="preserve">Oxide (Ba₂TbNbO₆), Romarchite (SnO), Ziroite (ZrO₂), Freibergite ((Cu, Ag, Zn)), and </w:t>
      </w:r>
    </w:p>
    <w:p>
      <w:pPr>
        <w:pStyle w:val="style0"/>
        <w:spacing w:lineRule="auto" w:line="240"/>
        <w:ind w:left="720" w:hanging="720"/>
        <w:rPr/>
      </w:pPr>
      <w:r>
        <w:t xml:space="preserve">Osumilite (K–Na–Ca–Mg–Fe–Al–Si). Quantitative analysis showed that Osumilite (32.1%) </w:t>
      </w:r>
    </w:p>
    <w:p>
      <w:pPr>
        <w:pStyle w:val="style0"/>
        <w:spacing w:lineRule="auto" w:line="240"/>
        <w:ind w:left="720" w:hanging="720"/>
        <w:rPr/>
      </w:pPr>
      <w:r>
        <w:t xml:space="preserve">and Barium Terbium Niobium Oxide (31.2%) were the predominant phases, followed by </w:t>
      </w:r>
    </w:p>
    <w:p>
      <w:pPr>
        <w:pStyle w:val="style0"/>
        <w:spacing w:lineRule="auto" w:line="240"/>
        <w:ind w:left="720" w:hanging="720"/>
        <w:rPr/>
      </w:pPr>
      <w:r>
        <w:t xml:space="preserve">Freibergite (19.5%), Romarchite (11.4%), and Ziroite (5.8%). The presence of sharp </w:t>
      </w:r>
    </w:p>
    <w:p>
      <w:pPr>
        <w:pStyle w:val="style0"/>
        <w:spacing w:lineRule="auto" w:line="240"/>
        <w:ind w:left="720" w:hanging="720"/>
        <w:rPr/>
      </w:pPr>
      <w:r>
        <w:t xml:space="preserve">diffraction peaks </w:t>
      </w:r>
      <w:r>
        <w:t>indicate</w:t>
      </w:r>
      <w:r>
        <w:t xml:space="preserve"> partial crystallinity, confirming the structural integrity of the </w:t>
      </w:r>
    </w:p>
    <w:p>
      <w:pPr>
        <w:pStyle w:val="style0"/>
        <w:spacing w:lineRule="auto" w:line="240"/>
        <w:ind w:left="720" w:hanging="720"/>
        <w:rPr>
          <w:rStyle w:val="style87"/>
          <w:b w:val="false"/>
        </w:rPr>
      </w:pPr>
      <w:r>
        <w:t>nanoparticles and suggesting stability during storage and application</w:t>
      </w:r>
      <w:r>
        <w:t xml:space="preserve"> </w:t>
      </w:r>
      <w:r>
        <w:t xml:space="preserve">Okwuego, </w:t>
      </w:r>
      <w:r>
        <w:rPr>
          <w:i/>
        </w:rPr>
        <w:t>et al</w:t>
      </w:r>
      <w:r>
        <w:rPr>
          <w:rStyle w:val="style87"/>
          <w:b w:val="false"/>
        </w:rPr>
        <w:t xml:space="preserve"> (2025)</w:t>
      </w:r>
      <w:r>
        <w:rPr>
          <w:rStyle w:val="style87"/>
          <w:b w:val="false"/>
        </w:rPr>
        <w:t>;</w:t>
      </w:r>
      <w:r>
        <w:rPr>
          <w:rStyle w:val="style87"/>
          <w:b w:val="false"/>
        </w:rPr>
        <w:t xml:space="preserve"> </w:t>
      </w:r>
    </w:p>
    <w:p>
      <w:pPr>
        <w:pStyle w:val="style0"/>
        <w:spacing w:lineRule="auto" w:line="240"/>
        <w:ind w:left="720" w:hanging="720"/>
        <w:rPr/>
      </w:pPr>
      <w:r>
        <w:rPr>
          <w:rStyle w:val="style87"/>
          <w:b w:val="false"/>
        </w:rPr>
        <w:t>Nwankw</w:t>
      </w:r>
      <w:r>
        <w:rPr>
          <w:rStyle w:val="style87"/>
          <w:b w:val="false"/>
        </w:rPr>
        <w:t xml:space="preserve">o </w:t>
      </w:r>
      <w:r>
        <w:rPr>
          <w:rStyle w:val="style87"/>
          <w:b w:val="false"/>
          <w:i/>
        </w:rPr>
        <w:t>et al</w:t>
      </w:r>
      <w:r>
        <w:rPr>
          <w:rStyle w:val="style87"/>
          <w:b w:val="false"/>
        </w:rPr>
        <w:t xml:space="preserve"> (2025)</w:t>
      </w:r>
      <w:r>
        <w:t xml:space="preserve">. Importantly, the identified mineral components may contribute </w:t>
      </w:r>
    </w:p>
    <w:p>
      <w:pPr>
        <w:pStyle w:val="style0"/>
        <w:spacing w:lineRule="auto" w:line="240"/>
        <w:ind w:left="720" w:hanging="720"/>
        <w:rPr/>
      </w:pPr>
      <w:r>
        <w:t xml:space="preserve">physiologically relevant properties, such as blood clotting, tissue regeneration, and </w:t>
      </w:r>
    </w:p>
    <w:p>
      <w:pPr>
        <w:pStyle w:val="style0"/>
        <w:spacing w:lineRule="auto" w:line="240"/>
        <w:ind w:left="720" w:hanging="720"/>
        <w:rPr>
          <w:rStyle w:val="style88"/>
        </w:rPr>
      </w:pPr>
      <w:r>
        <w:t xml:space="preserve">enzymatic activity, which could synergize with the bioactive phytochemicals from </w:t>
      </w:r>
      <w:r>
        <w:rPr>
          <w:rStyle w:val="style88"/>
        </w:rPr>
        <w:t xml:space="preserve">Imperata </w:t>
      </w:r>
    </w:p>
    <w:p>
      <w:pPr>
        <w:pStyle w:val="style0"/>
        <w:spacing w:lineRule="auto" w:line="240"/>
        <w:ind w:left="720" w:hanging="720"/>
        <w:rPr/>
      </w:pPr>
      <w:r>
        <w:rPr>
          <w:rStyle w:val="style88"/>
        </w:rPr>
        <w:t>cylindrica</w:t>
      </w:r>
      <w:r>
        <w:t>. T</w:t>
      </w:r>
      <w:r>
        <w:t xml:space="preserve">he XRD results demonstrate that the nanoencapsulation process </w:t>
      </w:r>
    </w:p>
    <w:p>
      <w:pPr>
        <w:pStyle w:val="style0"/>
        <w:spacing w:lineRule="auto" w:line="240"/>
        <w:ind w:left="720" w:hanging="720"/>
        <w:rPr/>
      </w:pPr>
      <w:r>
        <w:t xml:space="preserve">preserves the crystalline mineral phases while integrating them into a stable polymeric </w:t>
      </w:r>
    </w:p>
    <w:p>
      <w:pPr>
        <w:pStyle w:val="style0"/>
        <w:spacing w:lineRule="auto" w:line="240"/>
        <w:ind w:left="720" w:hanging="720"/>
        <w:rPr/>
      </w:pPr>
      <w:r>
        <w:t xml:space="preserve">delivery system, supporting both structural robustness and potential therapeutic </w:t>
      </w:r>
    </w:p>
    <w:p>
      <w:pPr>
        <w:pStyle w:val="style0"/>
        <w:spacing w:lineRule="auto" w:line="240"/>
        <w:ind w:left="720" w:hanging="720"/>
        <w:rPr/>
      </w:pPr>
      <w:r>
        <w:t>functionality</w:t>
      </w:r>
      <w:r>
        <w:t xml:space="preserve"> </w:t>
      </w:r>
      <w:r>
        <w:t xml:space="preserve">Ochie </w:t>
      </w:r>
      <w:r>
        <w:rPr>
          <w:i/>
        </w:rPr>
        <w:t>et al</w:t>
      </w:r>
      <w:r>
        <w:t xml:space="preserve"> (</w:t>
      </w:r>
      <w:r>
        <w:rPr>
          <w:shd w:val="clear" w:color="auto" w:fill="ffffff"/>
        </w:rPr>
        <w:t>2025)</w:t>
      </w:r>
      <w:r>
        <w:t>.</w:t>
      </w:r>
    </w:p>
    <w:p>
      <w:pPr>
        <w:pStyle w:val="style0"/>
        <w:spacing w:before="100" w:beforeAutospacing="true" w:after="100" w:afterAutospacing="true" w:lineRule="auto" w:line="240"/>
        <w:rPr>
          <w:rFonts w:eastAsia="Times New Roman"/>
          <w:lang w:val="en-US"/>
        </w:rPr>
      </w:pPr>
      <w:r>
        <w:rPr>
          <w:rFonts w:eastAsia="Times New Roman"/>
          <w:b/>
          <w:bCs/>
          <w:lang w:val="en-US"/>
        </w:rPr>
        <w:t>Table 6</w:t>
      </w:r>
      <w:r>
        <w:rPr>
          <w:rFonts w:eastAsia="Times New Roman"/>
          <w:b/>
          <w:bCs/>
          <w:lang w:val="en-US"/>
        </w:rPr>
        <w:t>. Qualitative Analysis of Encapsulated Nanoparticles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64"/>
        <w:gridCol w:w="2732"/>
        <w:gridCol w:w="1518"/>
      </w:tblGrid>
      <w:tr>
        <w:trPr>
          <w:tblHeader/>
          <w:tblCellSpacing w:w="15" w:type="dxa"/>
        </w:trPr>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Phase Name</w:t>
            </w:r>
          </w:p>
        </w:tc>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Formula</w:t>
            </w:r>
          </w:p>
        </w:tc>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Phase Details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Barium Terbium Niobium Oxide</w:t>
            </w:r>
          </w:p>
        </w:tc>
        <w:tc>
          <w:tcPr>
            <w:tcW w:w="0" w:type="auto"/>
            <w:tcBorders/>
            <w:vAlign w:val="center"/>
            <w:hideMark/>
          </w:tcPr>
          <w:p>
            <w:pPr>
              <w:pStyle w:val="style0"/>
              <w:spacing w:lineRule="auto" w:line="240"/>
              <w:rPr>
                <w:rFonts w:eastAsia="Times New Roman"/>
                <w:lang w:val="en-US"/>
              </w:rPr>
            </w:pPr>
            <w:r>
              <w:rPr>
                <w:rFonts w:eastAsia="Times New Roman"/>
                <w:lang w:val="en-US"/>
              </w:rPr>
              <w:t>Ba₂TbNbO₆</w:t>
            </w:r>
          </w:p>
        </w:tc>
        <w:tc>
          <w:tcPr>
            <w:tcW w:w="0" w:type="auto"/>
            <w:tcBorders/>
            <w:vAlign w:val="center"/>
            <w:hideMark/>
          </w:tcPr>
          <w:p>
            <w:pPr>
              <w:pStyle w:val="style0"/>
              <w:spacing w:lineRule="auto" w:line="240"/>
              <w:rPr>
                <w:rFonts w:eastAsia="Times New Roman"/>
                <w:lang w:val="en-US"/>
              </w:rPr>
            </w:pPr>
            <w:r>
              <w:rPr>
                <w:rFonts w:eastAsia="Times New Roman"/>
                <w:lang w:val="en-US"/>
              </w:rPr>
              <w:t>Minerals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Romarchite, syn</w:t>
            </w:r>
          </w:p>
        </w:tc>
        <w:tc>
          <w:tcPr>
            <w:tcW w:w="0" w:type="auto"/>
            <w:tcBorders/>
            <w:vAlign w:val="center"/>
            <w:hideMark/>
          </w:tcPr>
          <w:p>
            <w:pPr>
              <w:pStyle w:val="style0"/>
              <w:spacing w:lineRule="auto" w:line="240"/>
              <w:rPr>
                <w:rFonts w:eastAsia="Times New Roman"/>
                <w:lang w:val="en-US"/>
              </w:rPr>
            </w:pPr>
            <w:r>
              <w:rPr>
                <w:rFonts w:eastAsia="Times New Roman"/>
                <w:lang w:val="en-US"/>
              </w:rPr>
              <w:t>SnO</w:t>
            </w:r>
          </w:p>
        </w:tc>
        <w:tc>
          <w:tcPr>
            <w:tcW w:w="0" w:type="auto"/>
            <w:tcBorders/>
            <w:vAlign w:val="center"/>
            <w:hideMark/>
          </w:tcPr>
          <w:p>
            <w:pPr>
              <w:pStyle w:val="style0"/>
              <w:spacing w:lineRule="auto" w:line="240"/>
              <w:rPr>
                <w:rFonts w:eastAsia="Times New Roman"/>
                <w:lang w:val="en-US"/>
              </w:rPr>
            </w:pPr>
            <w:r>
              <w:rPr>
                <w:rFonts w:eastAsia="Times New Roman"/>
                <w:lang w:val="en-US"/>
              </w:rPr>
              <w:t>Minerals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Ziroite, syn</w:t>
            </w:r>
          </w:p>
        </w:tc>
        <w:tc>
          <w:tcPr>
            <w:tcW w:w="0" w:type="auto"/>
            <w:tcBorders/>
            <w:vAlign w:val="center"/>
            <w:hideMark/>
          </w:tcPr>
          <w:p>
            <w:pPr>
              <w:pStyle w:val="style0"/>
              <w:spacing w:lineRule="auto" w:line="240"/>
              <w:rPr>
                <w:rFonts w:eastAsia="Times New Roman"/>
                <w:lang w:val="en-US"/>
              </w:rPr>
            </w:pPr>
            <w:r>
              <w:rPr>
                <w:rFonts w:eastAsia="Times New Roman"/>
                <w:lang w:val="en-US"/>
              </w:rPr>
              <w:t>ZrO₂</w:t>
            </w:r>
          </w:p>
        </w:tc>
        <w:tc>
          <w:tcPr>
            <w:tcW w:w="0" w:type="auto"/>
            <w:tcBorders/>
            <w:vAlign w:val="center"/>
            <w:hideMark/>
          </w:tcPr>
          <w:p>
            <w:pPr>
              <w:pStyle w:val="style0"/>
              <w:spacing w:lineRule="auto" w:line="240"/>
              <w:rPr>
                <w:rFonts w:eastAsia="Times New Roman"/>
                <w:lang w:val="en-US"/>
              </w:rPr>
            </w:pPr>
            <w:r>
              <w:rPr>
                <w:rFonts w:eastAsia="Times New Roman"/>
                <w:lang w:val="en-US"/>
              </w:rPr>
              <w:t>Minerals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Freibergite, syn</w:t>
            </w:r>
          </w:p>
        </w:tc>
        <w:tc>
          <w:tcPr>
            <w:tcW w:w="0" w:type="auto"/>
            <w:tcBorders/>
            <w:vAlign w:val="center"/>
            <w:hideMark/>
          </w:tcPr>
          <w:p>
            <w:pPr>
              <w:pStyle w:val="style0"/>
              <w:spacing w:lineRule="auto" w:line="240"/>
              <w:rPr>
                <w:rFonts w:eastAsia="Times New Roman"/>
                <w:lang w:val="en-US"/>
              </w:rPr>
            </w:pPr>
            <w:r>
              <w:rPr>
                <w:rFonts w:eastAsia="Times New Roman"/>
                <w:lang w:val="en-US"/>
              </w:rPr>
              <w:t>(Cu, Ag, Zn)</w:t>
            </w:r>
          </w:p>
        </w:tc>
        <w:tc>
          <w:tcPr>
            <w:tcW w:w="0" w:type="auto"/>
            <w:tcBorders/>
            <w:vAlign w:val="center"/>
            <w:hideMark/>
          </w:tcPr>
          <w:p>
            <w:pPr>
              <w:pStyle w:val="style0"/>
              <w:spacing w:lineRule="auto" w:line="240"/>
              <w:rPr>
                <w:rFonts w:eastAsia="Times New Roman"/>
                <w:lang w:val="en-US"/>
              </w:rPr>
            </w:pPr>
            <w:r>
              <w:rPr>
                <w:rFonts w:eastAsia="Times New Roman"/>
                <w:lang w:val="en-US"/>
              </w:rPr>
              <w:t>Minerals</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Osumilite</w:t>
            </w:r>
          </w:p>
        </w:tc>
        <w:tc>
          <w:tcPr>
            <w:tcW w:w="0" w:type="auto"/>
            <w:tcBorders/>
            <w:vAlign w:val="center"/>
            <w:hideMark/>
          </w:tcPr>
          <w:p>
            <w:pPr>
              <w:pStyle w:val="style0"/>
              <w:spacing w:lineRule="auto" w:line="240"/>
              <w:rPr>
                <w:rFonts w:eastAsia="Times New Roman"/>
                <w:lang w:val="en-US"/>
              </w:rPr>
            </w:pPr>
            <w:r>
              <w:rPr>
                <w:rFonts w:eastAsia="Times New Roman"/>
                <w:lang w:val="en-US"/>
              </w:rPr>
              <w:t>K–Na–Ca–Mg–Fe–Al–Si</w:t>
            </w:r>
          </w:p>
        </w:tc>
        <w:tc>
          <w:tcPr>
            <w:tcW w:w="0" w:type="auto"/>
            <w:tcBorders/>
            <w:vAlign w:val="center"/>
            <w:hideMark/>
          </w:tcPr>
          <w:p>
            <w:pPr>
              <w:pStyle w:val="style0"/>
              <w:spacing w:lineRule="auto" w:line="240"/>
              <w:rPr>
                <w:rFonts w:eastAsia="Times New Roman"/>
                <w:lang w:val="en-US"/>
              </w:rPr>
            </w:pPr>
            <w:r>
              <w:rPr>
                <w:rFonts w:eastAsia="Times New Roman"/>
                <w:lang w:val="en-US"/>
              </w:rPr>
              <w:t>Minerals</w:t>
            </w:r>
          </w:p>
        </w:tc>
      </w:tr>
    </w:tbl>
    <w:p>
      <w:pPr>
        <w:pStyle w:val="style0"/>
        <w:spacing w:lineRule="auto" w:line="240"/>
        <w:rPr>
          <w:rFonts w:eastAsia="Times New Roman"/>
          <w:lang w:val="en-US"/>
        </w:rPr>
      </w:pPr>
    </w:p>
    <w:p>
      <w:pPr>
        <w:pStyle w:val="style0"/>
        <w:spacing w:before="100" w:beforeAutospacing="true" w:after="100" w:afterAutospacing="true" w:lineRule="auto" w:line="240"/>
        <w:rPr>
          <w:rFonts w:eastAsia="Times New Roman"/>
          <w:lang w:val="en-US"/>
        </w:rPr>
      </w:pPr>
      <w:r>
        <w:rPr>
          <w:rFonts w:eastAsia="Times New Roman"/>
          <w:b/>
          <w:bCs/>
          <w:lang w:val="en-US"/>
        </w:rPr>
        <w:t>Table 7</w:t>
      </w:r>
      <w:r>
        <w:rPr>
          <w:rFonts w:eastAsia="Times New Roman"/>
          <w:b/>
          <w:bCs/>
          <w:lang w:val="en-US"/>
        </w:rPr>
        <w:t>. Quantitative Analysis of Encapsulated Nanoparticles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64"/>
        <w:gridCol w:w="2149"/>
      </w:tblGrid>
      <w:tr>
        <w:trPr>
          <w:tblHeader/>
          <w:tblCellSpacing w:w="15" w:type="dxa"/>
        </w:trPr>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Parameters</w:t>
            </w:r>
          </w:p>
        </w:tc>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Weight Fraction (%)</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Barium Terbium Niobium Oxide</w:t>
            </w:r>
          </w:p>
        </w:tc>
        <w:tc>
          <w:tcPr>
            <w:tcW w:w="0" w:type="auto"/>
            <w:tcBorders/>
            <w:vAlign w:val="center"/>
            <w:hideMark/>
          </w:tcPr>
          <w:p>
            <w:pPr>
              <w:pStyle w:val="style0"/>
              <w:spacing w:lineRule="auto" w:line="240"/>
              <w:rPr>
                <w:rFonts w:eastAsia="Times New Roman"/>
                <w:lang w:val="en-US"/>
              </w:rPr>
            </w:pPr>
            <w:r>
              <w:rPr>
                <w:rFonts w:eastAsia="Times New Roman"/>
                <w:lang w:val="en-US"/>
              </w:rPr>
              <w:t>31.2 (15)</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Romarchite, syn</w:t>
            </w:r>
          </w:p>
        </w:tc>
        <w:tc>
          <w:tcPr>
            <w:tcW w:w="0" w:type="auto"/>
            <w:tcBorders/>
            <w:vAlign w:val="center"/>
            <w:hideMark/>
          </w:tcPr>
          <w:p>
            <w:pPr>
              <w:pStyle w:val="style0"/>
              <w:spacing w:lineRule="auto" w:line="240"/>
              <w:rPr>
                <w:rFonts w:eastAsia="Times New Roman"/>
                <w:lang w:val="en-US"/>
              </w:rPr>
            </w:pPr>
            <w:r>
              <w:rPr>
                <w:rFonts w:eastAsia="Times New Roman"/>
                <w:lang w:val="en-US"/>
              </w:rPr>
              <w:t>11.4 (7)</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Ziroite, syn</w:t>
            </w:r>
          </w:p>
        </w:tc>
        <w:tc>
          <w:tcPr>
            <w:tcW w:w="0" w:type="auto"/>
            <w:tcBorders/>
            <w:vAlign w:val="center"/>
            <w:hideMark/>
          </w:tcPr>
          <w:p>
            <w:pPr>
              <w:pStyle w:val="style0"/>
              <w:spacing w:lineRule="auto" w:line="240"/>
              <w:rPr>
                <w:rFonts w:eastAsia="Times New Roman"/>
                <w:lang w:val="en-US"/>
              </w:rPr>
            </w:pPr>
            <w:r>
              <w:rPr>
                <w:rFonts w:eastAsia="Times New Roman"/>
                <w:lang w:val="en-US"/>
              </w:rPr>
              <w:t>5.80 (13)</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Freibergite, syn</w:t>
            </w:r>
          </w:p>
        </w:tc>
        <w:tc>
          <w:tcPr>
            <w:tcW w:w="0" w:type="auto"/>
            <w:tcBorders/>
            <w:vAlign w:val="center"/>
            <w:hideMark/>
          </w:tcPr>
          <w:p>
            <w:pPr>
              <w:pStyle w:val="style0"/>
              <w:spacing w:lineRule="auto" w:line="240"/>
              <w:rPr>
                <w:rFonts w:eastAsia="Times New Roman"/>
                <w:lang w:val="en-US"/>
              </w:rPr>
            </w:pPr>
            <w:r>
              <w:rPr>
                <w:rFonts w:eastAsia="Times New Roman"/>
                <w:lang w:val="en-US"/>
              </w:rPr>
              <w:t>19.5 (4)</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Osumilite</w:t>
            </w:r>
          </w:p>
        </w:tc>
        <w:tc>
          <w:tcPr>
            <w:tcW w:w="0" w:type="auto"/>
            <w:tcBorders/>
            <w:vAlign w:val="center"/>
            <w:hideMark/>
          </w:tcPr>
          <w:p>
            <w:pPr>
              <w:pStyle w:val="style0"/>
              <w:spacing w:lineRule="auto" w:line="240"/>
              <w:rPr>
                <w:rFonts w:eastAsia="Times New Roman"/>
                <w:lang w:val="en-US"/>
              </w:rPr>
            </w:pPr>
            <w:r>
              <w:rPr>
                <w:rFonts w:eastAsia="Times New Roman"/>
                <w:lang w:val="en-US"/>
              </w:rPr>
              <w:t>32.1 (7)</w:t>
            </w:r>
          </w:p>
        </w:tc>
      </w:tr>
    </w:tbl>
    <w:p>
      <w:pPr>
        <w:pStyle w:val="style0"/>
        <w:jc w:val="both"/>
        <w:rPr/>
      </w:pPr>
    </w:p>
    <w:p>
      <w:pPr>
        <w:pStyle w:val="style0"/>
        <w:jc w:val="both"/>
        <w:rPr/>
      </w:pPr>
      <w:r>
        <w:rPr>
          <w:noProof/>
          <w:lang w:val="en-US"/>
        </w:rPr>
        <w:drawing>
          <wp:inline distL="0" distT="0" distB="0" distR="0">
            <wp:extent cx="5114925" cy="1619250"/>
            <wp:effectExtent l="0" t="0" r="9525" b="0"/>
            <wp:docPr id="1033" name="Pictur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7"/>
                    <pic:cNvPicPr/>
                  </pic:nvPicPr>
                  <pic:blipFill>
                    <a:blip r:embed="rId9" cstate="print"/>
                    <a:srcRect l="0" t="0" r="0" b="0"/>
                    <a:stretch/>
                  </pic:blipFill>
                  <pic:spPr>
                    <a:xfrm rot="0">
                      <a:off x="0" y="0"/>
                      <a:ext cx="5114925" cy="1619250"/>
                    </a:xfrm>
                    <a:prstGeom prst="rect"/>
                    <a:ln>
                      <a:noFill/>
                    </a:ln>
                  </pic:spPr>
                </pic:pic>
              </a:graphicData>
            </a:graphic>
          </wp:inline>
        </w:drawing>
      </w:r>
    </w:p>
    <w:p>
      <w:pPr>
        <w:pStyle w:val="style0"/>
        <w:jc w:val="both"/>
        <w:rPr/>
      </w:pPr>
      <w:r>
        <w:t>Figure 8 X –ray Diffraction spectral</w:t>
      </w:r>
    </w:p>
    <w:p>
      <w:pPr>
        <w:pStyle w:val="style0"/>
        <w:jc w:val="both"/>
        <w:rPr/>
      </w:pPr>
      <w:r>
        <w:rPr>
          <w:noProof/>
          <w:lang w:val="en-US"/>
        </w:rPr>
        <w:drawing>
          <wp:inline distL="0" distT="0" distB="0" distR="0">
            <wp:extent cx="4962525" cy="1800225"/>
            <wp:effectExtent l="0" t="0" r="9525" b="9525"/>
            <wp:docPr id="1034" name="Pictur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20"/>
                    <pic:cNvPicPr/>
                  </pic:nvPicPr>
                  <pic:blipFill>
                    <a:blip r:embed="rId10" cstate="print"/>
                    <a:srcRect l="0" t="0" r="0" b="0"/>
                    <a:stretch/>
                  </pic:blipFill>
                  <pic:spPr>
                    <a:xfrm rot="0">
                      <a:off x="0" y="0"/>
                      <a:ext cx="4962525" cy="1800225"/>
                    </a:xfrm>
                    <a:prstGeom prst="rect"/>
                    <a:ln>
                      <a:noFill/>
                    </a:ln>
                  </pic:spPr>
                </pic:pic>
              </a:graphicData>
            </a:graphic>
          </wp:inline>
        </w:drawing>
      </w:r>
    </w:p>
    <w:p>
      <w:pPr>
        <w:pStyle w:val="style3"/>
        <w:rPr/>
      </w:pPr>
      <w:r>
        <w:t>3.6 Phytochemical Profile and Therapeutic Relevance</w:t>
      </w:r>
    </w:p>
    <w:p>
      <w:pPr>
        <w:pStyle w:val="style94"/>
        <w:rPr/>
      </w:pPr>
      <w:r>
        <w:t xml:space="preserve">Qualitative and quantitative phytochemical analyses confirmed that terpenoids (43.3%) were the dominant constituents of the methanolic root extract of </w:t>
      </w:r>
      <w:r>
        <w:rPr>
          <w:rStyle w:val="style88"/>
        </w:rPr>
        <w:t>Imperata cylindrica</w:t>
      </w:r>
      <w:r>
        <w:t>, followed by flavonoids (10.3%), tannins (5.7%), alkaloids (5.4%), and saponins (2.25%). These classes of secondary metabolites are well documented for their antioxidant, anti-inflammatory, antimicrobial, and hemostatic activities, which are critical therapeutic attributes for wound-healing applications</w:t>
      </w:r>
      <w:r>
        <w:t xml:space="preserve"> Okwuego, </w:t>
      </w:r>
      <w:r>
        <w:rPr>
          <w:i/>
        </w:rPr>
        <w:t>et al</w:t>
      </w:r>
      <w:r>
        <w:rPr>
          <w:rStyle w:val="style87"/>
          <w:b w:val="false"/>
        </w:rPr>
        <w:t xml:space="preserve"> (2025)</w:t>
      </w:r>
      <w:r>
        <w:t>.</w:t>
      </w:r>
    </w:p>
    <w:p>
      <w:pPr>
        <w:pStyle w:val="style0"/>
        <w:spacing w:before="100" w:beforeAutospacing="true" w:after="100" w:afterAutospacing="true" w:lineRule="auto" w:line="240"/>
        <w:rPr>
          <w:rFonts w:eastAsia="Times New Roman"/>
          <w:lang w:val="en-US"/>
        </w:rPr>
      </w:pPr>
      <w:r>
        <w:rPr>
          <w:rFonts w:eastAsia="Times New Roman"/>
          <w:b/>
          <w:bCs/>
          <w:lang w:val="en-US"/>
        </w:rPr>
        <w:t>Table 8</w:t>
      </w:r>
      <w:r>
        <w:rPr>
          <w:rFonts w:eastAsia="Times New Roman"/>
          <w:lang w:val="en-US"/>
        </w:rPr>
        <w:tab/>
      </w:r>
      <w:r>
        <w:rPr>
          <w:rFonts w:eastAsia="Times New Roman"/>
          <w:i/>
          <w:iCs/>
          <w:lang w:val="en-US"/>
        </w:rPr>
        <w:t>Phytochemical screening results of</w:t>
      </w:r>
      <w:r>
        <w:rPr>
          <w:rFonts w:eastAsia="Times New Roman"/>
          <w:lang w:val="en-US"/>
        </w:rPr>
        <w:t xml:space="preserve"> </w:t>
      </w:r>
      <w:r>
        <w:rPr>
          <w:rFonts w:eastAsia="Times New Roman"/>
          <w:i/>
          <w:iCs/>
          <w:lang w:val="en-US"/>
        </w:rPr>
        <w:t>Imperata cylindrica</w:t>
      </w:r>
      <w:r>
        <w:rPr>
          <w:rFonts w:eastAsia="Times New Roman"/>
          <w:lang w:val="en-US"/>
        </w:rPr>
        <w:t xml:space="preserve"> </w:t>
      </w:r>
      <w:r>
        <w:rPr>
          <w:rFonts w:eastAsia="Times New Roman"/>
          <w:i/>
          <w:iCs/>
          <w:lang w:val="en-US"/>
        </w:rPr>
        <w:t>root extract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9"/>
        <w:gridCol w:w="3223"/>
        <w:gridCol w:w="2869"/>
        <w:gridCol w:w="714"/>
      </w:tblGrid>
      <w:tr>
        <w:trPr>
          <w:tblHeader/>
          <w:tblCellSpacing w:w="15" w:type="dxa"/>
        </w:trPr>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Phytochemical class</w:t>
            </w:r>
          </w:p>
        </w:tc>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Test</w:t>
            </w:r>
          </w:p>
        </w:tc>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Observation</w:t>
            </w:r>
          </w:p>
        </w:tc>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Result</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Alkaloids</w:t>
            </w:r>
          </w:p>
        </w:tc>
        <w:tc>
          <w:tcPr>
            <w:tcW w:w="0" w:type="auto"/>
            <w:tcBorders/>
            <w:vAlign w:val="center"/>
            <w:hideMark/>
          </w:tcPr>
          <w:p>
            <w:pPr>
              <w:pStyle w:val="style0"/>
              <w:spacing w:lineRule="auto" w:line="240"/>
              <w:rPr>
                <w:rFonts w:eastAsia="Times New Roman"/>
                <w:lang w:val="en-US"/>
              </w:rPr>
            </w:pPr>
            <w:r>
              <w:rPr>
                <w:rFonts w:eastAsia="Times New Roman"/>
                <w:lang w:val="en-US"/>
              </w:rPr>
              <w:t>Wagner’s reagent</w:t>
            </w:r>
          </w:p>
        </w:tc>
        <w:tc>
          <w:tcPr>
            <w:tcW w:w="0" w:type="auto"/>
            <w:tcBorders/>
            <w:vAlign w:val="center"/>
            <w:hideMark/>
          </w:tcPr>
          <w:p>
            <w:pPr>
              <w:pStyle w:val="style0"/>
              <w:spacing w:lineRule="auto" w:line="240"/>
              <w:rPr>
                <w:rFonts w:eastAsia="Times New Roman"/>
                <w:lang w:val="en-US"/>
              </w:rPr>
            </w:pPr>
            <w:r>
              <w:rPr>
                <w:rFonts w:eastAsia="Times New Roman"/>
                <w:lang w:val="en-US"/>
              </w:rPr>
              <w:t>White precipitate</w:t>
            </w:r>
          </w:p>
        </w:tc>
        <w:tc>
          <w:tcPr>
            <w:tcW w:w="0" w:type="auto"/>
            <w:tcBorders/>
            <w:vAlign w:val="center"/>
            <w:hideMark/>
          </w:tcPr>
          <w:p>
            <w:pPr>
              <w:pStyle w:val="style0"/>
              <w:spacing w:lineRule="auto" w:line="240"/>
              <w:rPr>
                <w:rFonts w:eastAsia="Times New Roman"/>
                <w:lang w:val="en-US"/>
              </w:rPr>
            </w:pPr>
            <w:r>
              <w:rPr>
                <w:rFonts w:eastAsia="Times New Roman"/>
                <w:lang w:val="en-US"/>
              </w:rPr>
              <w:t>++</w:t>
            </w:r>
          </w:p>
        </w:tc>
      </w:tr>
      <w:tr>
        <w:tblPrEx/>
        <w:trPr>
          <w:tblCellSpacing w:w="15" w:type="dxa"/>
        </w:trPr>
        <w:tc>
          <w:tcPr>
            <w:tcW w:w="0" w:type="auto"/>
            <w:tcBorders/>
            <w:vAlign w:val="center"/>
            <w:hideMark/>
          </w:tcPr>
          <w:p>
            <w:pPr>
              <w:pStyle w:val="style0"/>
              <w:spacing w:lineRule="auto" w:line="240"/>
              <w:rPr>
                <w:rFonts w:eastAsia="Times New Roman"/>
                <w:lang w:val="en-US"/>
              </w:rPr>
            </w:pPr>
          </w:p>
        </w:tc>
        <w:tc>
          <w:tcPr>
            <w:tcW w:w="0" w:type="auto"/>
            <w:tcBorders/>
            <w:vAlign w:val="center"/>
            <w:hideMark/>
          </w:tcPr>
          <w:p>
            <w:pPr>
              <w:pStyle w:val="style0"/>
              <w:spacing w:lineRule="auto" w:line="240"/>
              <w:rPr>
                <w:rFonts w:eastAsia="Times New Roman"/>
                <w:lang w:val="en-US"/>
              </w:rPr>
            </w:pPr>
            <w:r>
              <w:rPr>
                <w:rFonts w:eastAsia="Times New Roman"/>
                <w:lang w:val="en-US"/>
              </w:rPr>
              <w:t>Mayer’s reagent</w:t>
            </w:r>
          </w:p>
        </w:tc>
        <w:tc>
          <w:tcPr>
            <w:tcW w:w="0" w:type="auto"/>
            <w:tcBorders/>
            <w:vAlign w:val="center"/>
            <w:hideMark/>
          </w:tcPr>
          <w:p>
            <w:pPr>
              <w:pStyle w:val="style0"/>
              <w:spacing w:lineRule="auto" w:line="240"/>
              <w:rPr>
                <w:rFonts w:eastAsia="Times New Roman"/>
                <w:lang w:val="en-US"/>
              </w:rPr>
            </w:pPr>
            <w:r>
              <w:rPr>
                <w:rFonts w:eastAsia="Times New Roman"/>
                <w:lang w:val="en-US"/>
              </w:rPr>
              <w:t>Reddish-brown precipitate</w:t>
            </w:r>
          </w:p>
        </w:tc>
        <w:tc>
          <w:tcPr>
            <w:tcW w:w="0" w:type="auto"/>
            <w:tcBorders/>
            <w:vAlign w:val="center"/>
            <w:hideMark/>
          </w:tcPr>
          <w:p>
            <w:pPr>
              <w:pStyle w:val="style0"/>
              <w:spacing w:lineRule="auto" w:line="240"/>
              <w:rPr>
                <w:rFonts w:eastAsia="Times New Roman"/>
                <w:lang w:val="en-US"/>
              </w:rPr>
            </w:pPr>
            <w:r>
              <w:rPr>
                <w:rFonts w:eastAsia="Times New Roman"/>
                <w:lang w:val="en-US"/>
              </w:rPr>
              <w:t>++</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Saponins</w:t>
            </w:r>
          </w:p>
        </w:tc>
        <w:tc>
          <w:tcPr>
            <w:tcW w:w="0" w:type="auto"/>
            <w:tcBorders/>
            <w:vAlign w:val="center"/>
            <w:hideMark/>
          </w:tcPr>
          <w:p>
            <w:pPr>
              <w:pStyle w:val="style0"/>
              <w:spacing w:lineRule="auto" w:line="240"/>
              <w:rPr>
                <w:rFonts w:eastAsia="Times New Roman"/>
                <w:lang w:val="en-US"/>
              </w:rPr>
            </w:pPr>
            <w:r>
              <w:rPr>
                <w:rFonts w:eastAsia="Times New Roman"/>
                <w:lang w:val="en-US"/>
              </w:rPr>
              <w:t>Frothing test</w:t>
            </w:r>
          </w:p>
        </w:tc>
        <w:tc>
          <w:tcPr>
            <w:tcW w:w="0" w:type="auto"/>
            <w:tcBorders/>
            <w:vAlign w:val="center"/>
            <w:hideMark/>
          </w:tcPr>
          <w:p>
            <w:pPr>
              <w:pStyle w:val="style0"/>
              <w:spacing w:lineRule="auto" w:line="240"/>
              <w:rPr>
                <w:rFonts w:eastAsia="Times New Roman"/>
                <w:lang w:val="en-US"/>
              </w:rPr>
            </w:pPr>
            <w:r>
              <w:rPr>
                <w:rFonts w:eastAsia="Times New Roman"/>
                <w:lang w:val="en-US"/>
              </w:rPr>
              <w:t>Persistent frothing</w:t>
            </w:r>
          </w:p>
        </w:tc>
        <w:tc>
          <w:tcPr>
            <w:tcW w:w="0" w:type="auto"/>
            <w:tcBorders/>
            <w:vAlign w:val="center"/>
            <w:hideMark/>
          </w:tcPr>
          <w:p>
            <w:pPr>
              <w:pStyle w:val="style0"/>
              <w:spacing w:lineRule="auto" w:line="240"/>
              <w:rPr>
                <w:rFonts w:eastAsia="Times New Roman"/>
                <w:lang w:val="en-US"/>
              </w:rPr>
            </w:pPr>
            <w:r>
              <w:rPr>
                <w:rFonts w:eastAsia="Times New Roman"/>
                <w:lang w:val="en-US"/>
              </w:rPr>
              <w:t>++</w:t>
            </w:r>
          </w:p>
        </w:tc>
      </w:tr>
      <w:tr>
        <w:tblPrEx/>
        <w:trPr>
          <w:tblCellSpacing w:w="15" w:type="dxa"/>
        </w:trPr>
        <w:tc>
          <w:tcPr>
            <w:tcW w:w="0" w:type="auto"/>
            <w:tcBorders/>
            <w:vAlign w:val="center"/>
            <w:hideMark/>
          </w:tcPr>
          <w:p>
            <w:pPr>
              <w:pStyle w:val="style0"/>
              <w:spacing w:lineRule="auto" w:line="240"/>
              <w:rPr>
                <w:rFonts w:eastAsia="Times New Roman"/>
                <w:lang w:val="en-US"/>
              </w:rPr>
            </w:pPr>
          </w:p>
        </w:tc>
        <w:tc>
          <w:tcPr>
            <w:tcW w:w="0" w:type="auto"/>
            <w:tcBorders/>
            <w:vAlign w:val="center"/>
            <w:hideMark/>
          </w:tcPr>
          <w:p>
            <w:pPr>
              <w:pStyle w:val="style0"/>
              <w:spacing w:lineRule="auto" w:line="240"/>
              <w:rPr>
                <w:rFonts w:eastAsia="Times New Roman"/>
                <w:lang w:val="en-US"/>
              </w:rPr>
            </w:pPr>
            <w:r>
              <w:rPr>
                <w:rFonts w:eastAsia="Times New Roman"/>
                <w:lang w:val="en-US"/>
              </w:rPr>
              <w:t>Emulsion test</w:t>
            </w:r>
          </w:p>
        </w:tc>
        <w:tc>
          <w:tcPr>
            <w:tcW w:w="0" w:type="auto"/>
            <w:tcBorders/>
            <w:vAlign w:val="center"/>
            <w:hideMark/>
          </w:tcPr>
          <w:p>
            <w:pPr>
              <w:pStyle w:val="style0"/>
              <w:spacing w:lineRule="auto" w:line="240"/>
              <w:rPr>
                <w:rFonts w:eastAsia="Times New Roman"/>
                <w:lang w:val="en-US"/>
              </w:rPr>
            </w:pPr>
            <w:r>
              <w:rPr>
                <w:rFonts w:eastAsia="Times New Roman"/>
                <w:lang w:val="en-US"/>
              </w:rPr>
              <w:t>Stable emulsion</w:t>
            </w:r>
          </w:p>
        </w:tc>
        <w:tc>
          <w:tcPr>
            <w:tcW w:w="0" w:type="auto"/>
            <w:tcBorders/>
            <w:vAlign w:val="center"/>
            <w:hideMark/>
          </w:tcPr>
          <w:p>
            <w:pPr>
              <w:pStyle w:val="style0"/>
              <w:spacing w:lineRule="auto" w:line="240"/>
              <w:rPr>
                <w:rFonts w:eastAsia="Times New Roman"/>
                <w:lang w:val="en-US"/>
              </w:rPr>
            </w:pPr>
            <w:r>
              <w:rPr>
                <w:rFonts w:eastAsia="Times New Roman"/>
                <w:lang w:val="en-US"/>
              </w:rPr>
              <w:t>++</w:t>
            </w:r>
          </w:p>
        </w:tc>
      </w:tr>
      <w:tr>
        <w:tblPrEx/>
        <w:trPr>
          <w:tblCellSpacing w:w="15" w:type="dxa"/>
        </w:trPr>
        <w:tc>
          <w:tcPr>
            <w:tcW w:w="0" w:type="auto"/>
            <w:tcBorders/>
            <w:vAlign w:val="center"/>
            <w:hideMark/>
          </w:tcPr>
          <w:p>
            <w:pPr>
              <w:pStyle w:val="style0"/>
              <w:spacing w:lineRule="auto" w:line="240"/>
              <w:rPr>
                <w:rFonts w:eastAsia="Times New Roman"/>
                <w:lang w:val="en-US"/>
              </w:rPr>
            </w:pPr>
          </w:p>
        </w:tc>
        <w:tc>
          <w:tcPr>
            <w:tcW w:w="0" w:type="auto"/>
            <w:tcBorders/>
            <w:vAlign w:val="center"/>
            <w:hideMark/>
          </w:tcPr>
          <w:p>
            <w:pPr>
              <w:pStyle w:val="style0"/>
              <w:spacing w:lineRule="auto" w:line="240"/>
              <w:rPr>
                <w:rFonts w:eastAsia="Times New Roman"/>
                <w:lang w:val="en-US"/>
              </w:rPr>
            </w:pPr>
            <w:r>
              <w:rPr>
                <w:rFonts w:eastAsia="Times New Roman"/>
                <w:lang w:val="en-US"/>
              </w:rPr>
              <w:t>Fehling’s solution test</w:t>
            </w:r>
          </w:p>
        </w:tc>
        <w:tc>
          <w:tcPr>
            <w:tcW w:w="0" w:type="auto"/>
            <w:tcBorders/>
            <w:vAlign w:val="center"/>
            <w:hideMark/>
          </w:tcPr>
          <w:p>
            <w:pPr>
              <w:pStyle w:val="style0"/>
              <w:spacing w:lineRule="auto" w:line="240"/>
              <w:rPr>
                <w:rFonts w:eastAsia="Times New Roman"/>
                <w:lang w:val="en-US"/>
              </w:rPr>
            </w:pPr>
            <w:r>
              <w:rPr>
                <w:rFonts w:eastAsia="Times New Roman"/>
                <w:lang w:val="en-US"/>
              </w:rPr>
              <w:t>Light reddish precipitate</w:t>
            </w:r>
          </w:p>
        </w:tc>
        <w:tc>
          <w:tcPr>
            <w:tcW w:w="0" w:type="auto"/>
            <w:tcBorders/>
            <w:vAlign w:val="center"/>
            <w:hideMark/>
          </w:tcPr>
          <w:p>
            <w:pPr>
              <w:pStyle w:val="style0"/>
              <w:spacing w:lineRule="auto" w:line="240"/>
              <w:rPr>
                <w:rFonts w:eastAsia="Times New Roman"/>
                <w:lang w:val="en-US"/>
              </w:rPr>
            </w:pPr>
            <w:r>
              <w:rPr>
                <w:rFonts w:eastAsia="Times New Roman"/>
                <w:lang w:val="en-US"/>
              </w:rPr>
              <w:t>+</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Flavonoids</w:t>
            </w:r>
          </w:p>
        </w:tc>
        <w:tc>
          <w:tcPr>
            <w:tcW w:w="0" w:type="auto"/>
            <w:tcBorders/>
            <w:vAlign w:val="center"/>
            <w:hideMark/>
          </w:tcPr>
          <w:p>
            <w:pPr>
              <w:pStyle w:val="style0"/>
              <w:spacing w:lineRule="auto" w:line="240"/>
              <w:rPr>
                <w:rFonts w:eastAsia="Times New Roman"/>
                <w:lang w:val="en-US"/>
              </w:rPr>
            </w:pPr>
            <w:r>
              <w:rPr>
                <w:rFonts w:eastAsia="Times New Roman"/>
                <w:lang w:val="en-US"/>
              </w:rPr>
              <w:t>Ammonium test</w:t>
            </w:r>
          </w:p>
        </w:tc>
        <w:tc>
          <w:tcPr>
            <w:tcW w:w="0" w:type="auto"/>
            <w:tcBorders/>
            <w:vAlign w:val="center"/>
            <w:hideMark/>
          </w:tcPr>
          <w:p>
            <w:pPr>
              <w:pStyle w:val="style0"/>
              <w:spacing w:lineRule="auto" w:line="240"/>
              <w:rPr>
                <w:rFonts w:eastAsia="Times New Roman"/>
                <w:lang w:val="en-US"/>
              </w:rPr>
            </w:pPr>
            <w:r>
              <w:rPr>
                <w:rFonts w:eastAsia="Times New Roman"/>
                <w:lang w:val="en-US"/>
              </w:rPr>
              <w:t>Formation of green and light-green layers</w:t>
            </w:r>
          </w:p>
        </w:tc>
        <w:tc>
          <w:tcPr>
            <w:tcW w:w="0" w:type="auto"/>
            <w:tcBorders/>
            <w:vAlign w:val="center"/>
            <w:hideMark/>
          </w:tcPr>
          <w:p>
            <w:pPr>
              <w:pStyle w:val="style0"/>
              <w:spacing w:lineRule="auto" w:line="240"/>
              <w:rPr>
                <w:rFonts w:eastAsia="Times New Roman"/>
                <w:lang w:val="en-US"/>
              </w:rPr>
            </w:pPr>
            <w:r>
              <w:rPr>
                <w:rFonts w:eastAsia="Times New Roman"/>
                <w:lang w:val="en-US"/>
              </w:rPr>
              <w:t>++</w:t>
            </w:r>
          </w:p>
        </w:tc>
      </w:tr>
      <w:tr>
        <w:tblPrEx/>
        <w:trPr>
          <w:tblCellSpacing w:w="15" w:type="dxa"/>
        </w:trPr>
        <w:tc>
          <w:tcPr>
            <w:tcW w:w="0" w:type="auto"/>
            <w:tcBorders/>
            <w:vAlign w:val="center"/>
            <w:hideMark/>
          </w:tcPr>
          <w:p>
            <w:pPr>
              <w:pStyle w:val="style0"/>
              <w:spacing w:lineRule="auto" w:line="240"/>
              <w:rPr>
                <w:rFonts w:eastAsia="Times New Roman"/>
                <w:lang w:val="en-US"/>
              </w:rPr>
            </w:pPr>
          </w:p>
        </w:tc>
        <w:tc>
          <w:tcPr>
            <w:tcW w:w="0" w:type="auto"/>
            <w:tcBorders/>
            <w:vAlign w:val="center"/>
            <w:hideMark/>
          </w:tcPr>
          <w:p>
            <w:pPr>
              <w:pStyle w:val="style0"/>
              <w:spacing w:lineRule="auto" w:line="240"/>
              <w:rPr>
                <w:rFonts w:eastAsia="Times New Roman"/>
                <w:lang w:val="en-US"/>
              </w:rPr>
            </w:pPr>
            <w:r>
              <w:rPr>
                <w:rFonts w:eastAsia="Times New Roman"/>
                <w:lang w:val="en-US"/>
              </w:rPr>
              <w:t>NaOH/Acetic acid test</w:t>
            </w:r>
          </w:p>
        </w:tc>
        <w:tc>
          <w:tcPr>
            <w:tcW w:w="0" w:type="auto"/>
            <w:tcBorders/>
            <w:vAlign w:val="center"/>
            <w:hideMark/>
          </w:tcPr>
          <w:p>
            <w:pPr>
              <w:pStyle w:val="style0"/>
              <w:spacing w:lineRule="auto" w:line="240"/>
              <w:rPr>
                <w:rFonts w:eastAsia="Times New Roman"/>
                <w:lang w:val="en-US"/>
              </w:rPr>
            </w:pPr>
            <w:r>
              <w:rPr>
                <w:rFonts w:eastAsia="Times New Roman"/>
                <w:lang w:val="en-US"/>
              </w:rPr>
              <w:t>Formation of green and light-green layers</w:t>
            </w:r>
          </w:p>
        </w:tc>
        <w:tc>
          <w:tcPr>
            <w:tcW w:w="0" w:type="auto"/>
            <w:tcBorders/>
            <w:vAlign w:val="center"/>
            <w:hideMark/>
          </w:tcPr>
          <w:p>
            <w:pPr>
              <w:pStyle w:val="style0"/>
              <w:spacing w:lineRule="auto" w:line="240"/>
              <w:rPr>
                <w:rFonts w:eastAsia="Times New Roman"/>
                <w:lang w:val="en-US"/>
              </w:rPr>
            </w:pPr>
            <w:r>
              <w:rPr>
                <w:rFonts w:eastAsia="Times New Roman"/>
                <w:lang w:val="en-US"/>
              </w:rPr>
              <w:t>++</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Tannins</w:t>
            </w:r>
          </w:p>
        </w:tc>
        <w:tc>
          <w:tcPr>
            <w:tcW w:w="0" w:type="auto"/>
            <w:tcBorders/>
            <w:vAlign w:val="center"/>
            <w:hideMark/>
          </w:tcPr>
          <w:p>
            <w:pPr>
              <w:pStyle w:val="style0"/>
              <w:spacing w:lineRule="auto" w:line="240"/>
              <w:rPr>
                <w:rFonts w:eastAsia="Times New Roman"/>
                <w:lang w:val="en-US"/>
              </w:rPr>
            </w:pPr>
            <w:r>
              <w:rPr>
                <w:rFonts w:eastAsia="Times New Roman"/>
                <w:lang w:val="en-US"/>
              </w:rPr>
              <w:t>Ferric chloride test</w:t>
            </w:r>
          </w:p>
        </w:tc>
        <w:tc>
          <w:tcPr>
            <w:tcW w:w="0" w:type="auto"/>
            <w:tcBorders/>
            <w:vAlign w:val="center"/>
            <w:hideMark/>
          </w:tcPr>
          <w:p>
            <w:pPr>
              <w:pStyle w:val="style0"/>
              <w:spacing w:lineRule="auto" w:line="240"/>
              <w:rPr>
                <w:rFonts w:eastAsia="Times New Roman"/>
                <w:lang w:val="en-US"/>
              </w:rPr>
            </w:pPr>
            <w:r>
              <w:rPr>
                <w:rFonts w:eastAsia="Times New Roman"/>
                <w:lang w:val="en-US"/>
              </w:rPr>
              <w:t>Greenish-black precipitate</w:t>
            </w:r>
          </w:p>
        </w:tc>
        <w:tc>
          <w:tcPr>
            <w:tcW w:w="0" w:type="auto"/>
            <w:tcBorders/>
            <w:vAlign w:val="center"/>
            <w:hideMark/>
          </w:tcPr>
          <w:p>
            <w:pPr>
              <w:pStyle w:val="style0"/>
              <w:spacing w:lineRule="auto" w:line="240"/>
              <w:rPr>
                <w:rFonts w:eastAsia="Times New Roman"/>
                <w:lang w:val="en-US"/>
              </w:rPr>
            </w:pPr>
            <w:r>
              <w:rPr>
                <w:rFonts w:eastAsia="Times New Roman"/>
                <w:lang w:val="en-US"/>
              </w:rPr>
              <w:t>++</w:t>
            </w:r>
          </w:p>
        </w:tc>
      </w:tr>
      <w:tr>
        <w:tblPrEx/>
        <w:trPr>
          <w:tblCellSpacing w:w="15" w:type="dxa"/>
        </w:trPr>
        <w:tc>
          <w:tcPr>
            <w:tcW w:w="0" w:type="auto"/>
            <w:tcBorders/>
            <w:vAlign w:val="center"/>
            <w:hideMark/>
          </w:tcPr>
          <w:p>
            <w:pPr>
              <w:pStyle w:val="style0"/>
              <w:spacing w:lineRule="auto" w:line="240"/>
              <w:rPr>
                <w:rFonts w:eastAsia="Times New Roman"/>
                <w:lang w:val="en-US"/>
              </w:rPr>
            </w:pPr>
          </w:p>
        </w:tc>
        <w:tc>
          <w:tcPr>
            <w:tcW w:w="0" w:type="auto"/>
            <w:tcBorders/>
            <w:vAlign w:val="center"/>
            <w:hideMark/>
          </w:tcPr>
          <w:p>
            <w:pPr>
              <w:pStyle w:val="style0"/>
              <w:spacing w:lineRule="auto" w:line="240"/>
              <w:rPr>
                <w:rFonts w:eastAsia="Times New Roman"/>
                <w:lang w:val="en-US"/>
              </w:rPr>
            </w:pPr>
            <w:r>
              <w:rPr>
                <w:rFonts w:eastAsia="Times New Roman"/>
                <w:lang w:val="en-US"/>
              </w:rPr>
              <w:t>Lead acetate test</w:t>
            </w:r>
          </w:p>
        </w:tc>
        <w:tc>
          <w:tcPr>
            <w:tcW w:w="0" w:type="auto"/>
            <w:tcBorders/>
            <w:vAlign w:val="center"/>
            <w:hideMark/>
          </w:tcPr>
          <w:p>
            <w:pPr>
              <w:pStyle w:val="style0"/>
              <w:spacing w:lineRule="auto" w:line="240"/>
              <w:rPr>
                <w:rFonts w:eastAsia="Times New Roman"/>
                <w:lang w:val="en-US"/>
              </w:rPr>
            </w:pPr>
            <w:r>
              <w:rPr>
                <w:rFonts w:eastAsia="Times New Roman"/>
                <w:lang w:val="en-US"/>
              </w:rPr>
              <w:t>Cream precipitate</w:t>
            </w:r>
          </w:p>
        </w:tc>
        <w:tc>
          <w:tcPr>
            <w:tcW w:w="0" w:type="auto"/>
            <w:tcBorders/>
            <w:vAlign w:val="center"/>
            <w:hideMark/>
          </w:tcPr>
          <w:p>
            <w:pPr>
              <w:pStyle w:val="style0"/>
              <w:spacing w:lineRule="auto" w:line="240"/>
              <w:rPr>
                <w:rFonts w:eastAsia="Times New Roman"/>
                <w:lang w:val="en-US"/>
              </w:rPr>
            </w:pPr>
            <w:r>
              <w:rPr>
                <w:rFonts w:eastAsia="Times New Roman"/>
                <w:lang w:val="en-US"/>
              </w:rPr>
              <w:t>++</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Steroids and terpenoids</w:t>
            </w:r>
          </w:p>
        </w:tc>
        <w:tc>
          <w:tcPr>
            <w:tcW w:w="0" w:type="auto"/>
            <w:tcBorders/>
            <w:vAlign w:val="center"/>
            <w:hideMark/>
          </w:tcPr>
          <w:p>
            <w:pPr>
              <w:pStyle w:val="style0"/>
              <w:spacing w:lineRule="auto" w:line="240"/>
              <w:rPr>
                <w:rFonts w:eastAsia="Times New Roman"/>
                <w:lang w:val="en-US"/>
              </w:rPr>
            </w:pPr>
            <w:r>
              <w:rPr>
                <w:rFonts w:eastAsia="Times New Roman"/>
                <w:lang w:val="en-US"/>
              </w:rPr>
              <w:t>Ethanol–chloroform–H₂SO₄ test</w:t>
            </w:r>
          </w:p>
        </w:tc>
        <w:tc>
          <w:tcPr>
            <w:tcW w:w="0" w:type="auto"/>
            <w:tcBorders/>
            <w:vAlign w:val="center"/>
            <w:hideMark/>
          </w:tcPr>
          <w:p>
            <w:pPr>
              <w:pStyle w:val="style0"/>
              <w:spacing w:lineRule="auto" w:line="240"/>
              <w:rPr>
                <w:rFonts w:eastAsia="Times New Roman"/>
                <w:lang w:val="en-US"/>
              </w:rPr>
            </w:pPr>
            <w:r>
              <w:rPr>
                <w:rFonts w:eastAsia="Times New Roman"/>
                <w:lang w:val="en-US"/>
              </w:rPr>
              <w:t>Reddish-brown interface layer</w:t>
            </w:r>
          </w:p>
        </w:tc>
        <w:tc>
          <w:tcPr>
            <w:tcW w:w="0" w:type="auto"/>
            <w:tcBorders/>
            <w:vAlign w:val="center"/>
            <w:hideMark/>
          </w:tcPr>
          <w:p>
            <w:pPr>
              <w:pStyle w:val="style0"/>
              <w:spacing w:lineRule="auto" w:line="240"/>
              <w:rPr>
                <w:rFonts w:eastAsia="Times New Roman"/>
                <w:lang w:val="en-US"/>
              </w:rPr>
            </w:pPr>
            <w:r>
              <w:rPr>
                <w:rFonts w:eastAsia="Times New Roman"/>
                <w:lang w:val="en-US"/>
              </w:rPr>
              <w:t>++</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Glycosides</w:t>
            </w:r>
          </w:p>
        </w:tc>
        <w:tc>
          <w:tcPr>
            <w:tcW w:w="0" w:type="auto"/>
            <w:tcBorders/>
            <w:vAlign w:val="center"/>
            <w:hideMark/>
          </w:tcPr>
          <w:p>
            <w:pPr>
              <w:pStyle w:val="style0"/>
              <w:spacing w:lineRule="auto" w:line="240"/>
              <w:rPr>
                <w:rFonts w:eastAsia="Times New Roman"/>
                <w:lang w:val="en-US"/>
              </w:rPr>
            </w:pPr>
            <w:r>
              <w:rPr>
                <w:rFonts w:eastAsia="Times New Roman"/>
                <w:lang w:val="en-US"/>
              </w:rPr>
              <w:t>Fehling’s test</w:t>
            </w:r>
          </w:p>
        </w:tc>
        <w:tc>
          <w:tcPr>
            <w:tcW w:w="0" w:type="auto"/>
            <w:tcBorders/>
            <w:vAlign w:val="center"/>
            <w:hideMark/>
          </w:tcPr>
          <w:p>
            <w:pPr>
              <w:pStyle w:val="style0"/>
              <w:spacing w:lineRule="auto" w:line="240"/>
              <w:rPr>
                <w:rFonts w:eastAsia="Times New Roman"/>
                <w:lang w:val="en-US"/>
              </w:rPr>
            </w:pPr>
            <w:r>
              <w:rPr>
                <w:rFonts w:eastAsia="Times New Roman"/>
                <w:lang w:val="en-US"/>
              </w:rPr>
              <w:t>Opaque brick-red precipitate</w:t>
            </w:r>
          </w:p>
        </w:tc>
        <w:tc>
          <w:tcPr>
            <w:tcW w:w="0" w:type="auto"/>
            <w:tcBorders/>
            <w:vAlign w:val="center"/>
            <w:hideMark/>
          </w:tcPr>
          <w:p>
            <w:pPr>
              <w:pStyle w:val="style0"/>
              <w:spacing w:lineRule="auto" w:line="240"/>
              <w:rPr>
                <w:rFonts w:eastAsia="Times New Roman"/>
                <w:lang w:val="en-US"/>
              </w:rPr>
            </w:pPr>
            <w:r>
              <w:rPr>
                <w:rFonts w:eastAsia="Times New Roman"/>
                <w:lang w:val="en-US"/>
              </w:rPr>
              <w:t>++</w:t>
            </w:r>
          </w:p>
        </w:tc>
      </w:tr>
    </w:tbl>
    <w:p>
      <w:pPr>
        <w:pStyle w:val="style0"/>
        <w:spacing w:before="100" w:beforeAutospacing="true" w:after="100" w:afterAutospacing="true" w:lineRule="auto" w:line="240"/>
        <w:rPr>
          <w:rFonts w:eastAsia="Times New Roman"/>
          <w:lang w:val="en-US"/>
        </w:rPr>
      </w:pPr>
      <w:r>
        <w:rPr>
          <w:rFonts w:eastAsia="Times New Roman"/>
          <w:i/>
          <w:iCs/>
          <w:lang w:val="en-US"/>
        </w:rPr>
        <w:t>+, slightly present; ++, moderately present; +++, present; −, absent.</w:t>
      </w:r>
    </w:p>
    <w:p>
      <w:pPr>
        <w:pStyle w:val="style0"/>
        <w:spacing w:before="100" w:beforeAutospacing="true" w:after="100" w:afterAutospacing="true" w:lineRule="auto" w:line="240"/>
        <w:rPr>
          <w:rFonts w:eastAsia="Times New Roman"/>
          <w:lang w:val="en-US"/>
        </w:rPr>
      </w:pPr>
      <w:r>
        <w:rPr>
          <w:rFonts w:eastAsia="Times New Roman"/>
          <w:b/>
          <w:bCs/>
          <w:lang w:val="en-US"/>
        </w:rPr>
        <w:t>Table 9</w:t>
      </w:r>
      <w:r>
        <w:rPr>
          <w:rFonts w:eastAsia="Times New Roman"/>
          <w:lang w:val="en-US"/>
        </w:rPr>
        <w:tab/>
      </w:r>
      <w:r>
        <w:rPr>
          <w:rFonts w:eastAsia="Times New Roman"/>
          <w:i/>
          <w:iCs/>
          <w:lang w:val="en-US"/>
        </w:rPr>
        <w:t>Quantitative phytochemical composition of</w:t>
      </w:r>
      <w:r>
        <w:rPr>
          <w:rFonts w:eastAsia="Times New Roman"/>
          <w:lang w:val="en-US"/>
        </w:rPr>
        <w:t xml:space="preserve"> </w:t>
      </w:r>
      <w:r>
        <w:rPr>
          <w:rFonts w:eastAsia="Times New Roman"/>
          <w:i/>
          <w:iCs/>
          <w:lang w:val="en-US"/>
        </w:rPr>
        <w:t>Imperata cylindrica</w:t>
      </w:r>
      <w:r>
        <w:rPr>
          <w:rFonts w:eastAsia="Times New Roman"/>
          <w:lang w:val="en-US"/>
        </w:rPr>
        <w:t xml:space="preserve"> </w:t>
      </w:r>
      <w:r>
        <w:rPr>
          <w:rFonts w:eastAsia="Times New Roman"/>
          <w:i/>
          <w:iCs/>
          <w:lang w:val="en-US"/>
        </w:rPr>
        <w:t>root extract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21"/>
        <w:gridCol w:w="2766"/>
        <w:gridCol w:w="1676"/>
      </w:tblGrid>
      <w:tr>
        <w:trPr>
          <w:tblHeader/>
          <w:tblCellSpacing w:w="15" w:type="dxa"/>
        </w:trPr>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Phytochemical parameter</w:t>
            </w:r>
          </w:p>
        </w:tc>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Amount (mg/4 g sample)</w:t>
            </w:r>
          </w:p>
        </w:tc>
        <w:tc>
          <w:tcPr>
            <w:tcW w:w="0" w:type="auto"/>
            <w:tcBorders/>
            <w:vAlign w:val="center"/>
            <w:hideMark/>
          </w:tcPr>
          <w:p>
            <w:pPr>
              <w:pStyle w:val="style0"/>
              <w:spacing w:lineRule="auto" w:line="240"/>
              <w:jc w:val="center"/>
              <w:rPr>
                <w:rFonts w:eastAsia="Times New Roman"/>
                <w:b/>
                <w:bCs/>
                <w:lang w:val="en-US"/>
              </w:rPr>
            </w:pPr>
            <w:r>
              <w:rPr>
                <w:rFonts w:eastAsia="Times New Roman"/>
                <w:b/>
                <w:bCs/>
                <w:lang w:val="en-US"/>
              </w:rPr>
              <w:t>Percentage (%)</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Tannins</w:t>
            </w:r>
          </w:p>
        </w:tc>
        <w:tc>
          <w:tcPr>
            <w:tcW w:w="0" w:type="auto"/>
            <w:tcBorders/>
            <w:vAlign w:val="center"/>
            <w:hideMark/>
          </w:tcPr>
          <w:p>
            <w:pPr>
              <w:pStyle w:val="style0"/>
              <w:spacing w:lineRule="auto" w:line="240"/>
              <w:rPr>
                <w:rFonts w:eastAsia="Times New Roman"/>
                <w:lang w:val="en-US"/>
              </w:rPr>
            </w:pPr>
            <w:r>
              <w:rPr>
                <w:rFonts w:eastAsia="Times New Roman"/>
                <w:lang w:val="en-US"/>
              </w:rPr>
              <w:t>0.057 ± SD</w:t>
            </w:r>
          </w:p>
        </w:tc>
        <w:tc>
          <w:tcPr>
            <w:tcW w:w="0" w:type="auto"/>
            <w:tcBorders/>
            <w:vAlign w:val="center"/>
            <w:hideMark/>
          </w:tcPr>
          <w:p>
            <w:pPr>
              <w:pStyle w:val="style0"/>
              <w:spacing w:lineRule="auto" w:line="240"/>
              <w:rPr>
                <w:rFonts w:eastAsia="Times New Roman"/>
                <w:lang w:val="en-US"/>
              </w:rPr>
            </w:pPr>
            <w:r>
              <w:rPr>
                <w:rFonts w:eastAsia="Times New Roman"/>
                <w:lang w:val="en-US"/>
              </w:rPr>
              <w:t>5.7</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Flavonoids</w:t>
            </w:r>
          </w:p>
        </w:tc>
        <w:tc>
          <w:tcPr>
            <w:tcW w:w="0" w:type="auto"/>
            <w:tcBorders/>
            <w:vAlign w:val="center"/>
            <w:hideMark/>
          </w:tcPr>
          <w:p>
            <w:pPr>
              <w:pStyle w:val="style0"/>
              <w:spacing w:lineRule="auto" w:line="240"/>
              <w:rPr>
                <w:rFonts w:eastAsia="Times New Roman"/>
                <w:lang w:val="en-US"/>
              </w:rPr>
            </w:pPr>
            <w:r>
              <w:rPr>
                <w:rFonts w:eastAsia="Times New Roman"/>
                <w:lang w:val="en-US"/>
              </w:rPr>
              <w:t>0.103 ± SD</w:t>
            </w:r>
          </w:p>
        </w:tc>
        <w:tc>
          <w:tcPr>
            <w:tcW w:w="0" w:type="auto"/>
            <w:tcBorders/>
            <w:vAlign w:val="center"/>
            <w:hideMark/>
          </w:tcPr>
          <w:p>
            <w:pPr>
              <w:pStyle w:val="style0"/>
              <w:spacing w:lineRule="auto" w:line="240"/>
              <w:rPr>
                <w:rFonts w:eastAsia="Times New Roman"/>
                <w:lang w:val="en-US"/>
              </w:rPr>
            </w:pPr>
            <w:r>
              <w:rPr>
                <w:rFonts w:eastAsia="Times New Roman"/>
                <w:lang w:val="en-US"/>
              </w:rPr>
              <w:t>10.3</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Alkaloids</w:t>
            </w:r>
          </w:p>
        </w:tc>
        <w:tc>
          <w:tcPr>
            <w:tcW w:w="0" w:type="auto"/>
            <w:tcBorders/>
            <w:vAlign w:val="center"/>
            <w:hideMark/>
          </w:tcPr>
          <w:p>
            <w:pPr>
              <w:pStyle w:val="style0"/>
              <w:spacing w:lineRule="auto" w:line="240"/>
              <w:rPr>
                <w:rFonts w:eastAsia="Times New Roman"/>
                <w:lang w:val="en-US"/>
              </w:rPr>
            </w:pPr>
            <w:r>
              <w:rPr>
                <w:rFonts w:eastAsia="Times New Roman"/>
                <w:lang w:val="en-US"/>
              </w:rPr>
              <w:t>0.054 ± SD</w:t>
            </w:r>
          </w:p>
        </w:tc>
        <w:tc>
          <w:tcPr>
            <w:tcW w:w="0" w:type="auto"/>
            <w:tcBorders/>
            <w:vAlign w:val="center"/>
            <w:hideMark/>
          </w:tcPr>
          <w:p>
            <w:pPr>
              <w:pStyle w:val="style0"/>
              <w:spacing w:lineRule="auto" w:line="240"/>
              <w:rPr>
                <w:rFonts w:eastAsia="Times New Roman"/>
                <w:lang w:val="en-US"/>
              </w:rPr>
            </w:pPr>
            <w:r>
              <w:rPr>
                <w:rFonts w:eastAsia="Times New Roman"/>
                <w:lang w:val="en-US"/>
              </w:rPr>
              <w:t>5.4</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Saponins</w:t>
            </w:r>
          </w:p>
        </w:tc>
        <w:tc>
          <w:tcPr>
            <w:tcW w:w="0" w:type="auto"/>
            <w:tcBorders/>
            <w:vAlign w:val="center"/>
            <w:hideMark/>
          </w:tcPr>
          <w:p>
            <w:pPr>
              <w:pStyle w:val="style0"/>
              <w:spacing w:lineRule="auto" w:line="240"/>
              <w:rPr>
                <w:rFonts w:eastAsia="Times New Roman"/>
                <w:lang w:val="en-US"/>
              </w:rPr>
            </w:pPr>
            <w:r>
              <w:rPr>
                <w:rFonts w:eastAsia="Times New Roman"/>
                <w:lang w:val="en-US"/>
              </w:rPr>
              <w:t>0.023 ± SD</w:t>
            </w:r>
          </w:p>
        </w:tc>
        <w:tc>
          <w:tcPr>
            <w:tcW w:w="0" w:type="auto"/>
            <w:tcBorders/>
            <w:vAlign w:val="center"/>
            <w:hideMark/>
          </w:tcPr>
          <w:p>
            <w:pPr>
              <w:pStyle w:val="style0"/>
              <w:spacing w:lineRule="auto" w:line="240"/>
              <w:rPr>
                <w:rFonts w:eastAsia="Times New Roman"/>
                <w:lang w:val="en-US"/>
              </w:rPr>
            </w:pPr>
            <w:r>
              <w:rPr>
                <w:rFonts w:eastAsia="Times New Roman"/>
                <w:lang w:val="en-US"/>
              </w:rPr>
              <w:t>2.25</w:t>
            </w:r>
          </w:p>
        </w:tc>
      </w:tr>
      <w:tr>
        <w:tblPrEx/>
        <w:trPr>
          <w:tblCellSpacing w:w="15" w:type="dxa"/>
        </w:trPr>
        <w:tc>
          <w:tcPr>
            <w:tcW w:w="0" w:type="auto"/>
            <w:tcBorders/>
            <w:vAlign w:val="center"/>
            <w:hideMark/>
          </w:tcPr>
          <w:p>
            <w:pPr>
              <w:pStyle w:val="style0"/>
              <w:spacing w:lineRule="auto" w:line="240"/>
              <w:rPr>
                <w:rFonts w:eastAsia="Times New Roman"/>
                <w:lang w:val="en-US"/>
              </w:rPr>
            </w:pPr>
            <w:r>
              <w:rPr>
                <w:rFonts w:eastAsia="Times New Roman"/>
                <w:lang w:val="en-US"/>
              </w:rPr>
              <w:t>Terpenoids</w:t>
            </w:r>
          </w:p>
        </w:tc>
        <w:tc>
          <w:tcPr>
            <w:tcW w:w="0" w:type="auto"/>
            <w:tcBorders/>
            <w:vAlign w:val="center"/>
            <w:hideMark/>
          </w:tcPr>
          <w:p>
            <w:pPr>
              <w:pStyle w:val="style0"/>
              <w:spacing w:lineRule="auto" w:line="240"/>
              <w:rPr>
                <w:rFonts w:eastAsia="Times New Roman"/>
                <w:lang w:val="en-US"/>
              </w:rPr>
            </w:pPr>
            <w:r>
              <w:rPr>
                <w:rFonts w:eastAsia="Times New Roman"/>
                <w:lang w:val="en-US"/>
              </w:rPr>
              <w:t>0.433 ± SD</w:t>
            </w:r>
          </w:p>
        </w:tc>
        <w:tc>
          <w:tcPr>
            <w:tcW w:w="0" w:type="auto"/>
            <w:tcBorders/>
            <w:vAlign w:val="center"/>
            <w:hideMark/>
          </w:tcPr>
          <w:p>
            <w:pPr>
              <w:pStyle w:val="style0"/>
              <w:spacing w:lineRule="auto" w:line="240"/>
              <w:rPr>
                <w:rFonts w:eastAsia="Times New Roman"/>
                <w:lang w:val="en-US"/>
              </w:rPr>
            </w:pPr>
            <w:r>
              <w:rPr>
                <w:rFonts w:eastAsia="Times New Roman"/>
                <w:lang w:val="en-US"/>
              </w:rPr>
              <w:t>43.3</w:t>
            </w:r>
          </w:p>
        </w:tc>
      </w:tr>
    </w:tbl>
    <w:p>
      <w:pPr>
        <w:pStyle w:val="style0"/>
        <w:spacing w:before="100" w:beforeAutospacing="true" w:after="100" w:afterAutospacing="true" w:lineRule="auto" w:line="240"/>
        <w:rPr>
          <w:rFonts w:eastAsia="Times New Roman"/>
          <w:lang w:val="en-US"/>
        </w:rPr>
      </w:pPr>
      <w:r>
        <w:rPr>
          <w:rFonts w:eastAsia="Times New Roman"/>
          <w:i/>
          <w:iCs/>
          <w:lang w:val="en-US"/>
        </w:rPr>
        <w:t>Values are expressed as mean ± standard deviation (SD), where applicable.</w:t>
      </w:r>
    </w:p>
    <w:p>
      <w:pPr>
        <w:pStyle w:val="style94"/>
        <w:rPr/>
      </w:pPr>
      <w:r>
        <w:t xml:space="preserve">Phytochemical analysis of </w:t>
      </w:r>
      <w:r>
        <w:rPr>
          <w:rStyle w:val="style88"/>
        </w:rPr>
        <w:t>Imperata cylindrica</w:t>
      </w:r>
      <w:r>
        <w:t xml:space="preserve"> root extract (Tables 8 and 9</w:t>
      </w:r>
      <w:r>
        <w:t>) revealed alkaloids, flavonoids, tannins, saponins, steroids, terpenoids, and glycosides, with terpenoids being the most abundant (43.3%), followed by flavonoids (10.3%), tannins (5.7%), alkaloids (5.4%), and saponins (2.25%). These findings corroborate previous reports of high terpenoid and phenolic content, supporting the plant’s antioxidant and pharmacological activities</w:t>
      </w:r>
      <w:r>
        <w:t xml:space="preserve"> </w:t>
      </w:r>
      <w:r>
        <w:t xml:space="preserve">Okwuego, </w:t>
      </w:r>
      <w:r>
        <w:rPr>
          <w:i/>
        </w:rPr>
        <w:t>et al</w:t>
      </w:r>
      <w:r>
        <w:rPr>
          <w:rStyle w:val="style87"/>
          <w:b w:val="false"/>
        </w:rPr>
        <w:t xml:space="preserve"> (2025)</w:t>
      </w:r>
      <w:r>
        <w:rPr>
          <w:rStyle w:val="style87"/>
          <w:b w:val="false"/>
        </w:rPr>
        <w:t>;</w:t>
      </w:r>
      <w:r>
        <w:t xml:space="preserve"> </w:t>
      </w:r>
      <w:r>
        <w:t xml:space="preserve">Mmuo </w:t>
      </w:r>
      <w:r>
        <w:rPr>
          <w:i/>
        </w:rPr>
        <w:t>et al</w:t>
      </w:r>
      <w:r>
        <w:t xml:space="preserve"> (2024)</w:t>
      </w:r>
      <w:r>
        <w:t>. The pronounced terpenoid content suggests potential for inflammation modulation and oxidative stress reduction, while flavonoids and tannins may contribute to antimicrobial activity and hemostasis. Alkaloids and saponins further enhance antimicrobial defense and membrane interactions. Nanoencapsulation within chitosan is expected to protect these bioactive constituents from degradation, allow controlled release, and preserve phytochemical integrity, demonstrating the extract’s suitability as a stable, natural product-based drug delivery system with localized therapeutic efficacy.</w:t>
      </w:r>
    </w:p>
    <w:p>
      <w:pPr>
        <w:pStyle w:val="style94"/>
        <w:rPr/>
      </w:pPr>
      <w:r>
        <w:rPr>
          <w:rStyle w:val="style87"/>
        </w:rPr>
        <w:t>4.0</w:t>
      </w:r>
      <w:r>
        <w:rPr>
          <w:rStyle w:val="style87"/>
        </w:rPr>
        <w:tab/>
      </w:r>
      <w:r>
        <w:rPr>
          <w:rStyle w:val="style87"/>
        </w:rPr>
        <w:t>Conclusion</w:t>
      </w:r>
    </w:p>
    <w:p>
      <w:pPr>
        <w:pStyle w:val="style94"/>
        <w:rPr/>
      </w:pPr>
      <w:r>
        <w:t xml:space="preserve">The study successfully developed a chitosan-based nanoencapsulated formulation of </w:t>
      </w:r>
      <w:r>
        <w:rPr>
          <w:rStyle w:val="style88"/>
        </w:rPr>
        <w:t>Imperata cylindrica</w:t>
      </w:r>
      <w:r>
        <w:t xml:space="preserve"> methanolic root extract, demonstrating structural integrity, preserved bioactive constituents, and nanoscale particle size. FTIR, UV-Vis, and XRD analyses confirmed retention of functional groups, improved phytochemical dispersion, and partial crystallinity of mineral phases, indicating stability and structural robustness. The encapsulated particles maintained acceptable organoleptic properties and exhibited potential for controlled release, enhanced tissue interaction, and therapeutic activity, including anti-inflammatory, antimicrobial, and antioxidant effects. These findings highlight the formulation as a promising natural product-derived nanoparticle system for topical wound-healing and hemostatic applications, with potential for further in vitro and in vivo validation.</w:t>
      </w:r>
    </w:p>
    <w:p>
      <w:pPr>
        <w:pStyle w:val="style94"/>
        <w:ind w:left="2880" w:firstLine="720"/>
        <w:rPr>
          <w:sz w:val="28"/>
          <w:szCs w:val="28"/>
        </w:rPr>
      </w:pPr>
      <w:r>
        <w:rPr>
          <w:sz w:val="28"/>
          <w:szCs w:val="28"/>
        </w:rPr>
        <w:t xml:space="preserve">Reference </w:t>
      </w:r>
    </w:p>
    <w:p>
      <w:pPr>
        <w:pStyle w:val="style94"/>
        <w:ind w:left="720" w:hanging="720"/>
        <w:rPr/>
      </w:pPr>
      <w:r>
        <w:t>Agnihotri SA, Mallikarjuna NN, Aminabhavi TM</w:t>
      </w:r>
      <w:r>
        <w:t xml:space="preserve"> (2004)</w:t>
      </w:r>
      <w:r>
        <w:t xml:space="preserve">. Recent advances on chitosan-based micro- and nanoparticles in drug delivery. </w:t>
      </w:r>
      <w:r>
        <w:rPr>
          <w:rStyle w:val="style88"/>
        </w:rPr>
        <w:t>J Control Release</w:t>
      </w:r>
      <w:r>
        <w:t>. 2004;100:5–28. https://doi.org/10.1016/j.jconrel.2004.08.010.</w:t>
      </w:r>
    </w:p>
    <w:p>
      <w:pPr>
        <w:pStyle w:val="style94"/>
        <w:ind w:left="720" w:hanging="720"/>
        <w:rPr/>
      </w:pPr>
      <w:r>
        <w:t>Ahmed T, Aljaeid B</w:t>
      </w:r>
      <w:r>
        <w:t xml:space="preserve"> (2016)</w:t>
      </w:r>
      <w:r>
        <w:t xml:space="preserve">. Preparation, characterization, and potential application of chitosan metal nanoparticles in pharmaceutical drug delivery. </w:t>
      </w:r>
      <w:r>
        <w:rPr>
          <w:rStyle w:val="style88"/>
        </w:rPr>
        <w:t>Drug Des Devel Ther</w:t>
      </w:r>
      <w:r>
        <w:t>. 2016;10:483–507. https://doi.org/10.2147/DDDT.S99651.</w:t>
      </w:r>
    </w:p>
    <w:p>
      <w:pPr>
        <w:pStyle w:val="style94"/>
        <w:ind w:left="720" w:hanging="720"/>
        <w:rPr/>
      </w:pPr>
      <w:r>
        <w:t>Ali A, Ahmed S. A</w:t>
      </w:r>
      <w:r>
        <w:t xml:space="preserve"> (2018)</w:t>
      </w:r>
      <w:r>
        <w:t xml:space="preserve"> review on chitosan and its nanocomposites in drug delivery. </w:t>
      </w:r>
      <w:r>
        <w:rPr>
          <w:rStyle w:val="style88"/>
        </w:rPr>
        <w:t>Int J Biol Macromol</w:t>
      </w:r>
      <w:r>
        <w:t>. 2018;109:273–286. https://doi.org/10.1016/j.ijbiomac.2017.12.078.</w:t>
      </w:r>
    </w:p>
    <w:p>
      <w:pPr>
        <w:pStyle w:val="style94"/>
        <w:ind w:left="720" w:hanging="720"/>
        <w:rPr/>
      </w:pPr>
      <w:r>
        <w:t>Alonso MJ, Sánchez A.</w:t>
      </w:r>
      <w:r>
        <w:t xml:space="preserve"> </w:t>
      </w:r>
      <w:r>
        <w:t>(2003)</w:t>
      </w:r>
      <w:r>
        <w:t xml:space="preserve"> The potential of chitosan in ocular drug delivery. </w:t>
      </w:r>
      <w:r>
        <w:rPr>
          <w:rStyle w:val="style88"/>
        </w:rPr>
        <w:t>J Pharm Pharmacol</w:t>
      </w:r>
      <w:r>
        <w:t>. 2003;55:1451–1463. https://doi.org/10.1211/0022357022476.</w:t>
      </w:r>
    </w:p>
    <w:p>
      <w:pPr>
        <w:pStyle w:val="style94"/>
        <w:spacing w:before="240"/>
        <w:ind w:left="720" w:hanging="720"/>
        <w:rPr/>
      </w:pPr>
      <w:r>
        <w:t>Chen J, Guo Z, Tian H, Chen X.</w:t>
      </w:r>
      <w:r>
        <w:t>(</w:t>
      </w:r>
      <w:r>
        <w:t xml:space="preserve"> </w:t>
      </w:r>
      <w:r>
        <w:t>2016)</w:t>
      </w:r>
      <w:r>
        <w:t xml:space="preserve"> Production and clinical development of nanoparticles for gene delivery. </w:t>
      </w:r>
      <w:r>
        <w:rPr>
          <w:rStyle w:val="style88"/>
        </w:rPr>
        <w:t>Mol Ther Methods Clin Dev</w:t>
      </w:r>
      <w:r>
        <w:t>. 2016;3:16023. https://doi.org/10.1038/mtm.2016.23.</w:t>
      </w:r>
    </w:p>
    <w:p>
      <w:pPr>
        <w:pStyle w:val="style94"/>
        <w:ind w:left="720" w:hanging="720"/>
        <w:rPr/>
      </w:pPr>
      <w:r>
        <w:t xml:space="preserve">Chen LY, Chen Z, Wang CQ, Luo YH, Duan M, Liu RH. </w:t>
      </w:r>
      <w:r>
        <w:t xml:space="preserve">(2015) </w:t>
      </w:r>
      <w:r>
        <w:t xml:space="preserve">Protective effects of different extracts of </w:t>
      </w:r>
      <w:r>
        <w:rPr>
          <w:rStyle w:val="style88"/>
        </w:rPr>
        <w:t>Imperata rhizoma</w:t>
      </w:r>
      <w:r>
        <w:t xml:space="preserve"> in rats with adriamycin nephrosis. </w:t>
      </w:r>
      <w:r>
        <w:rPr>
          <w:rStyle w:val="style88"/>
        </w:rPr>
        <w:t>J Chin Med Mater</w:t>
      </w:r>
      <w:r>
        <w:t>. 2015;38:2342–2346.</w:t>
      </w:r>
    </w:p>
    <w:p>
      <w:pPr>
        <w:pStyle w:val="style94"/>
        <w:ind w:left="720" w:hanging="720"/>
        <w:rPr/>
      </w:pPr>
      <w:r>
        <w:t>Cui J, Chao LL, You J, Xu XD</w:t>
      </w:r>
      <w:r>
        <w:t xml:space="preserve"> (2012)</w:t>
      </w:r>
      <w:r>
        <w:t xml:space="preserve">. Effects of </w:t>
      </w:r>
      <w:r>
        <w:rPr>
          <w:rStyle w:val="style88"/>
        </w:rPr>
        <w:t>Imperata cylindrica</w:t>
      </w:r>
      <w:r>
        <w:t xml:space="preserve"> polysaccharides on glucose and lipid metabolism in diabetic mice. </w:t>
      </w:r>
      <w:r>
        <w:rPr>
          <w:rStyle w:val="style88"/>
        </w:rPr>
        <w:t>Food Sci</w:t>
      </w:r>
      <w:r>
        <w:t>. 2012;33:302–305.</w:t>
      </w:r>
    </w:p>
    <w:p>
      <w:pPr>
        <w:pStyle w:val="style0"/>
        <w:spacing w:lineRule="auto" w:line="240"/>
        <w:ind w:left="720" w:hanging="720"/>
        <w:rPr>
          <w:rStyle w:val="style85"/>
        </w:rPr>
      </w:pPr>
      <w:r>
        <w:t>Mmuo V.E and Okwuego P.O (2024) Spectrophotometric Determination Of Proximate, Vitamin B Complex and Elemental Contents of Pigeon Peas (Cajanus Cajan) Anachem Journal, 15(1), 85-95, DOI:</w:t>
      </w:r>
      <w:r>
        <w:rPr/>
        <w:fldChar w:fldCharType="begin"/>
      </w:r>
      <w:r>
        <w:instrText xml:space="preserve"> HYPERLINK "https://doi.org/10.5281/zenodo.14567423" </w:instrText>
      </w:r>
      <w:r>
        <w:rPr/>
        <w:fldChar w:fldCharType="separate"/>
      </w:r>
      <w:r>
        <w:rPr>
          <w:rStyle w:val="style85"/>
        </w:rPr>
        <w:t>https://doi.org/10.5281/zenodo.14567423</w:t>
      </w:r>
      <w:r>
        <w:rPr/>
        <w:fldChar w:fldCharType="end"/>
      </w:r>
    </w:p>
    <w:p>
      <w:pPr>
        <w:pStyle w:val="style0"/>
        <w:spacing w:lineRule="auto" w:line="240"/>
        <w:ind w:left="720" w:hanging="720"/>
        <w:rPr>
          <w:color w:val="0563c1"/>
          <w:u w:val="single"/>
        </w:rPr>
      </w:pPr>
    </w:p>
    <w:p>
      <w:pPr>
        <w:pStyle w:val="style0"/>
        <w:spacing w:lineRule="auto" w:line="240"/>
        <w:ind w:left="720" w:hanging="720"/>
        <w:rPr/>
      </w:pPr>
      <w:r>
        <w:rPr>
          <w:rStyle w:val="style87"/>
          <w:b w:val="false"/>
        </w:rPr>
        <w:t>Nwankwo V,</w:t>
      </w:r>
      <w:r>
        <w:rPr>
          <w:rStyle w:val="style87"/>
          <w:b w:val="false"/>
        </w:rPr>
        <w:t xml:space="preserve"> Okwuego P.O,</w:t>
      </w:r>
      <w:r>
        <w:rPr>
          <w:rStyle w:val="style87"/>
          <w:b w:val="false"/>
        </w:rPr>
        <w:t xml:space="preserve"> Odika M (2025) Pesticide Levels in Two Fish Species from a Selection of the Niger River, Anambra state Nigeria</w:t>
      </w:r>
      <w:r>
        <w:rPr>
          <w:rStyle w:val="style87"/>
        </w:rPr>
        <w:t xml:space="preserve">. </w:t>
      </w:r>
      <w:r>
        <w:t>Asian Journal of Fisheries and Aquatic Research Volume 27 Issue 4 Pages 45-55</w:t>
      </w:r>
      <w:r>
        <w:t xml:space="preserve">  </w:t>
      </w:r>
    </w:p>
    <w:p>
      <w:pPr>
        <w:pStyle w:val="style0"/>
        <w:spacing w:lineRule="auto" w:line="240"/>
        <w:ind w:left="720" w:hanging="720"/>
        <w:rPr/>
      </w:pPr>
    </w:p>
    <w:p>
      <w:pPr>
        <w:pStyle w:val="style0"/>
        <w:spacing w:lineRule="auto" w:line="240"/>
        <w:ind w:left="540" w:hanging="540"/>
        <w:rPr/>
      </w:pPr>
      <w:r>
        <w:t xml:space="preserve">Nkachukwu. M. B, Okwuego P. O, Ifeakor C. O, Offiah. V. O (2025) Spectroscopic Analysis of Leachables and Extractables from Selected Pharmaceutical Packaging: Assessing Ink </w:t>
      </w:r>
      <w:r>
        <w:t>and Adhesive</w:t>
      </w:r>
      <w:r>
        <w:t xml:space="preserve"> Migration in Drug Labels and Containers in Nigeria. </w:t>
      </w:r>
      <w:r>
        <w:rPr>
          <w:i/>
        </w:rPr>
        <w:t>International Journal of Trend in Scientific Research and Development (IJTSRD) Volume 9 Issue 2, www.ijtsrd.com e-ISSN: 2456 – 6470</w:t>
      </w:r>
      <w:r>
        <w:rPr>
          <w:i/>
        </w:rPr>
        <w:t xml:space="preserve">   </w:t>
      </w:r>
      <w:r>
        <w:t xml:space="preserve">Nkachukwu. </w:t>
      </w:r>
      <w:r>
        <w:rPr>
          <w:i/>
        </w:rPr>
        <w:t>et al</w:t>
      </w:r>
      <w:r>
        <w:t xml:space="preserve"> (2025)</w:t>
      </w:r>
    </w:p>
    <w:p>
      <w:pPr>
        <w:pStyle w:val="style0"/>
        <w:spacing w:lineRule="auto" w:line="240"/>
        <w:ind w:left="540" w:hanging="540"/>
        <w:rPr>
          <w:sz w:val="22"/>
          <w:szCs w:val="22"/>
          <w:lang w:val="en-US"/>
        </w:rPr>
      </w:pPr>
    </w:p>
    <w:p>
      <w:pPr>
        <w:pStyle w:val="style0"/>
        <w:tabs>
          <w:tab w:val="left" w:leader="none" w:pos="2970"/>
        </w:tabs>
        <w:spacing w:lineRule="auto" w:line="240"/>
        <w:ind w:left="720" w:hanging="720"/>
        <w:contextualSpacing/>
        <w:rPr>
          <w:color w:val="0563c1"/>
          <w:u w:val="single"/>
        </w:rPr>
      </w:pPr>
      <w:r>
        <w:t>Ochie O.S., Okonkwo S.I.  P. O. Okwuego (</w:t>
      </w:r>
      <w:r>
        <w:rPr>
          <w:shd w:val="clear" w:color="auto" w:fill="ffffff"/>
        </w:rPr>
        <w:t>2025)</w:t>
      </w:r>
      <w:r>
        <w:rPr>
          <w:b/>
          <w:color w:val="333333"/>
        </w:rPr>
        <w:t xml:space="preserve"> </w:t>
      </w:r>
      <w:r>
        <w:rPr>
          <w:shd w:val="clear" w:color="auto" w:fill="ffffff"/>
        </w:rPr>
        <w:t>Synthesis and Characterization of Nanostructured Sorbents Derived from Rice Husks using FTIR, SEM, TEM and XRD Approaches. International Research Journal of Pure and Applied Chemistry Volume 26, Issue 1, Page 38-48; Article no. IRJPAC.129516ISSN: 2231-3443, NLM ID: 101647669</w:t>
      </w:r>
      <w:r>
        <w:rPr>
          <w:shd w:val="clear" w:color="auto" w:fill="ffffff"/>
        </w:rPr>
        <w:t xml:space="preserve">   </w:t>
      </w:r>
    </w:p>
    <w:p>
      <w:pPr>
        <w:pStyle w:val="style0"/>
        <w:tabs>
          <w:tab w:val="left" w:leader="none" w:pos="2960"/>
        </w:tabs>
        <w:spacing w:lineRule="auto" w:line="240"/>
        <w:ind w:left="720" w:hanging="720"/>
        <w:contextualSpacing/>
        <w:rPr/>
      </w:pPr>
    </w:p>
    <w:p>
      <w:pPr>
        <w:pStyle w:val="style0"/>
        <w:tabs>
          <w:tab w:val="left" w:leader="none" w:pos="2960"/>
        </w:tabs>
        <w:spacing w:lineRule="auto" w:line="240"/>
        <w:ind w:left="720" w:hanging="720"/>
        <w:contextualSpacing/>
        <w:rPr/>
      </w:pPr>
      <w:r>
        <w:t>Okwuego P.O, Okonkwo S.I, Ekwonu A.M, (2021) Analysis of Structured natural sorbent from agricultural waste materials. International Journal of C</w:t>
      </w:r>
      <w:r>
        <w:t>hemistry and Chemical Processes</w:t>
      </w:r>
      <w:r>
        <w:t xml:space="preserve"> E-ISSN 2545-5265 P-ISSN 2695-1916, Vol 7. No. 1 </w:t>
      </w:r>
      <w:r>
        <w:rPr/>
        <w:fldChar w:fldCharType="begin"/>
      </w:r>
      <w:r>
        <w:instrText xml:space="preserve"> HYPERLINK "http://www.iiardpub.org" </w:instrText>
      </w:r>
      <w:r>
        <w:rPr/>
        <w:fldChar w:fldCharType="separate"/>
      </w:r>
      <w:r>
        <w:rPr>
          <w:rStyle w:val="style85"/>
        </w:rPr>
        <w:t>www.iiardpub.org</w:t>
      </w:r>
      <w:r>
        <w:rPr/>
        <w:fldChar w:fldCharType="end"/>
      </w:r>
      <w:r>
        <w:rPr>
          <w:rStyle w:val="style85"/>
        </w:rPr>
        <w:t xml:space="preserve">  </w:t>
      </w:r>
      <w:r>
        <w:t xml:space="preserve">Okwuego </w:t>
      </w:r>
      <w:r>
        <w:rPr>
          <w:i/>
        </w:rPr>
        <w:t>et al</w:t>
      </w:r>
      <w:r>
        <w:t xml:space="preserve"> (2021)</w:t>
      </w:r>
    </w:p>
    <w:p>
      <w:pPr>
        <w:pStyle w:val="style0"/>
        <w:tabs>
          <w:tab w:val="left" w:leader="none" w:pos="2960"/>
        </w:tabs>
        <w:spacing w:lineRule="auto" w:line="240"/>
        <w:ind w:left="720" w:hanging="720"/>
        <w:contextualSpacing/>
        <w:rPr/>
      </w:pPr>
    </w:p>
    <w:p>
      <w:pPr>
        <w:pStyle w:val="style0"/>
        <w:tabs>
          <w:tab w:val="left" w:leader="none" w:pos="1372"/>
        </w:tabs>
        <w:spacing w:lineRule="auto" w:line="240"/>
        <w:ind w:left="720" w:hanging="720"/>
        <w:contextualSpacing/>
        <w:rPr>
          <w:rStyle w:val="style85"/>
        </w:rPr>
      </w:pPr>
      <w:r>
        <w:t xml:space="preserve">Okwuego P. O, (2023) Optimization of oil spill cleanup using composites fibres (ES) modified kola nut pod. International Journal of Chemistry and Chemical Processes E-ISSN 2545-5265 P-ISSN 2695-1916, Vol 9. No.4  </w:t>
      </w:r>
      <w:r>
        <w:rPr/>
        <w:fldChar w:fldCharType="begin"/>
      </w:r>
      <w:r>
        <w:instrText xml:space="preserve"> HYPERLINK "http://www.iiardpub.org" </w:instrText>
      </w:r>
      <w:r>
        <w:rPr/>
        <w:fldChar w:fldCharType="separate"/>
      </w:r>
      <w:r>
        <w:rPr>
          <w:rStyle w:val="style85"/>
        </w:rPr>
        <w:t>www.iiardpub.org</w:t>
      </w:r>
      <w:r>
        <w:rPr/>
        <w:fldChar w:fldCharType="end"/>
      </w:r>
      <w:r>
        <w:rPr>
          <w:rStyle w:val="style85"/>
        </w:rPr>
        <w:t xml:space="preserve">   </w:t>
      </w:r>
    </w:p>
    <w:p>
      <w:pPr>
        <w:pStyle w:val="style0"/>
        <w:tabs>
          <w:tab w:val="left" w:leader="none" w:pos="1372"/>
        </w:tabs>
        <w:spacing w:lineRule="auto" w:line="240"/>
        <w:ind w:left="720" w:hanging="720"/>
        <w:contextualSpacing/>
        <w:rPr>
          <w:color w:val="0563c1"/>
          <w:u w:val="single"/>
        </w:rPr>
      </w:pPr>
    </w:p>
    <w:p>
      <w:pPr>
        <w:pStyle w:val="style0"/>
        <w:spacing w:lineRule="auto" w:line="240"/>
        <w:ind w:left="540" w:hanging="540"/>
        <w:rPr>
          <w:i/>
        </w:rPr>
      </w:pPr>
      <w:r>
        <w:t xml:space="preserve">Okwuego P. O, Chigbo A Opara F.O,Oragwu I.P  and Omoh T.O(2025) Spectral Characterization of Polyvinyl Acetate and It’s Modified Mercury Complex, Exploring It’s Structure and Applications. </w:t>
      </w:r>
      <w:r>
        <w:rPr>
          <w:i/>
        </w:rPr>
        <w:t xml:space="preserve">Research Journal of Pure Science and Technology E-ISSN 2579-0536 P-ISSN 2695-2696 Vol 8. No. 6. </w:t>
      </w:r>
      <w:r>
        <w:rPr/>
        <w:fldChar w:fldCharType="begin"/>
      </w:r>
      <w:r>
        <w:instrText xml:space="preserve"> HYPERLINK "http://www.iiardjournals.org" </w:instrText>
      </w:r>
      <w:r>
        <w:rPr/>
        <w:fldChar w:fldCharType="separate"/>
      </w:r>
      <w:r>
        <w:rPr>
          <w:rStyle w:val="style85"/>
          <w:i/>
        </w:rPr>
        <w:t>www.iiardjournals.org</w:t>
      </w:r>
      <w:r>
        <w:rPr/>
        <w:fldChar w:fldCharType="end"/>
      </w:r>
      <w:r>
        <w:rPr>
          <w:i/>
        </w:rPr>
        <w:t xml:space="preserve">  </w:t>
      </w:r>
    </w:p>
    <w:p>
      <w:pPr>
        <w:pStyle w:val="style0"/>
        <w:spacing w:lineRule="auto" w:line="240"/>
        <w:ind w:left="540" w:hanging="540"/>
        <w:rPr/>
      </w:pPr>
    </w:p>
    <w:p>
      <w:pPr>
        <w:pStyle w:val="style0"/>
        <w:spacing w:lineRule="auto" w:line="240"/>
        <w:ind w:left="540" w:hanging="540"/>
        <w:rPr>
          <w:rStyle w:val="style87"/>
          <w:b w:val="false"/>
          <w:bCs w:val="false"/>
        </w:rPr>
      </w:pPr>
      <w:r>
        <w:t xml:space="preserve">Okwuego P. O, Okafor E.C, Okolo A.J, Anyanwu C.G (2025) </w:t>
      </w:r>
      <w:r>
        <w:rPr>
          <w:rStyle w:val="style87"/>
          <w:b w:val="false"/>
          <w:color w:val="1c1c1c"/>
          <w:spacing w:val="1"/>
        </w:rPr>
        <w:t>Comparative Study of</w:t>
      </w:r>
      <w:r>
        <w:rPr>
          <w:rStyle w:val="style87"/>
          <w:color w:val="1c1c1c"/>
          <w:spacing w:val="1"/>
        </w:rPr>
        <w:t xml:space="preserve"> </w:t>
      </w:r>
      <w:r>
        <w:rPr>
          <w:rStyle w:val="style87"/>
          <w:b w:val="false"/>
          <w:color w:val="1c1c1c"/>
          <w:spacing w:val="1"/>
        </w:rPr>
        <w:t>Engineered Bio-Sorbents Derived from Agricultural Waste.</w:t>
      </w:r>
      <w:r>
        <w:rPr>
          <w:b/>
        </w:rPr>
        <w:t xml:space="preserve"> </w:t>
      </w:r>
      <w:r>
        <w:rPr>
          <w:rStyle w:val="style87"/>
          <w:b w:val="false"/>
          <w:i/>
          <w:color w:val="1c1c1c"/>
          <w:spacing w:val="1"/>
          <w:shd w:val="clear" w:color="auto" w:fill="ffffff"/>
        </w:rPr>
        <w:t>International Journal of Research and Innovation in Applied Science (IJRIIAS) ISSN NO. 2454-6194 doi.org/10.51584/IJRIAS Vol. 5. Issue 4</w:t>
      </w:r>
      <w:r>
        <w:rPr>
          <w:rStyle w:val="style87"/>
          <w:b w:val="false"/>
          <w:i/>
          <w:color w:val="1c1c1c"/>
          <w:spacing w:val="1"/>
          <w:shd w:val="clear" w:color="auto" w:fill="ffffff"/>
        </w:rPr>
        <w:t xml:space="preserve">   </w:t>
      </w:r>
    </w:p>
    <w:p>
      <w:pPr>
        <w:pStyle w:val="style0"/>
        <w:spacing w:lineRule="auto" w:line="240"/>
        <w:ind w:left="720" w:hanging="720"/>
        <w:rPr>
          <w:rStyle w:val="style85"/>
          <w:b/>
          <w:i/>
        </w:rPr>
      </w:pPr>
      <w:r>
        <w:rPr>
          <w:color w:val="333333"/>
        </w:rPr>
        <w:t xml:space="preserve">Okwuego, P.O, Offiah V.O, Nkachukwu, M.B, Ifeakor, C.O. (2025) Comprehensive Analysis of Leachables and Extractables from Pharmaceutical Packaging: Investigating Ink and Adhesive Migration in Selected Drug Products in Nigeria </w:t>
      </w:r>
      <w:r>
        <w:rPr>
          <w:rStyle w:val="style87"/>
          <w:b w:val="false"/>
          <w:i/>
          <w:color w:val="1c1c1c"/>
          <w:spacing w:val="1"/>
          <w:shd w:val="clear" w:color="auto" w:fill="ffffff"/>
        </w:rPr>
        <w:t>International Journal Of Research And Innovation In Applied Science (IJRIIAS) ISSN NO. 2454-6194</w:t>
      </w:r>
      <w:r>
        <w:rPr>
          <w:b/>
          <w:i/>
          <w:color w:val="333333"/>
        </w:rPr>
        <w:t xml:space="preserve"> </w:t>
      </w:r>
      <w:r>
        <w:rPr>
          <w:i/>
          <w:color w:val="333333"/>
        </w:rPr>
        <w:t>DOI</w:t>
      </w:r>
      <w:r>
        <w:rPr>
          <w:i/>
          <w:color w:val="333333"/>
        </w:rPr>
        <w:t xml:space="preserve">   </w:t>
      </w:r>
      <w:r>
        <w:rPr>
          <w:b/>
          <w:i/>
          <w:color w:val="333333"/>
        </w:rPr>
        <w:t xml:space="preserve">: </w:t>
      </w:r>
      <w:r>
        <w:rPr/>
        <w:fldChar w:fldCharType="begin"/>
      </w:r>
      <w:r>
        <w:instrText xml:space="preserve"> HYPERLINK "https://doi.org/10.51584/IJRIASs.10040007" </w:instrText>
      </w:r>
      <w:r>
        <w:rPr/>
        <w:fldChar w:fldCharType="separate"/>
      </w:r>
      <w:r>
        <w:rPr>
          <w:rStyle w:val="style85"/>
          <w:b/>
          <w:i/>
        </w:rPr>
        <w:t>https://doi.org/10.51584/IJRIASs.10040007</w:t>
      </w:r>
      <w:r>
        <w:rPr/>
        <w:fldChar w:fldCharType="end"/>
      </w:r>
    </w:p>
    <w:p>
      <w:pPr>
        <w:pStyle w:val="style0"/>
        <w:spacing w:lineRule="auto" w:line="240"/>
        <w:ind w:left="720" w:hanging="720"/>
        <w:rPr/>
      </w:pPr>
    </w:p>
    <w:p>
      <w:pPr>
        <w:pStyle w:val="style0"/>
        <w:spacing w:lineRule="auto" w:line="240"/>
        <w:ind w:left="720" w:hanging="720"/>
        <w:rPr>
          <w:rStyle w:val="style85"/>
          <w:i/>
        </w:rPr>
      </w:pPr>
      <w:r>
        <w:t>Okwuego, P. O, Momoh, E. R</w:t>
      </w:r>
      <w:r>
        <w:rPr>
          <w:b/>
        </w:rPr>
        <w:t>.</w:t>
      </w:r>
      <w:r>
        <w:rPr>
          <w:rStyle w:val="style87"/>
          <w:b w:val="false"/>
        </w:rPr>
        <w:t xml:space="preserve"> (2025)</w:t>
      </w:r>
      <w:r>
        <w:t xml:space="preserve"> Phytochemical, Antioxidant and Antimicrobial Evaluation of Oil Palm Tree (Elaeis guineensis) Bark for Potential Nutraceutical and Pharmaceutical Applications </w:t>
      </w:r>
      <w:r>
        <w:rPr>
          <w:i/>
        </w:rPr>
        <w:t xml:space="preserve">International Journal of Health and Pharmaceutical Research E-ISSN 2545-5737 P-ISSN 2695-2165 Vol. 10. No. 11 2025 </w:t>
      </w:r>
      <w:r>
        <w:rPr/>
        <w:fldChar w:fldCharType="begin"/>
      </w:r>
      <w:r>
        <w:instrText xml:space="preserve"> HYPERLINK "http://www.iiardjournals.org" </w:instrText>
      </w:r>
      <w:r>
        <w:rPr/>
        <w:fldChar w:fldCharType="separate"/>
      </w:r>
      <w:r>
        <w:rPr>
          <w:rStyle w:val="style85"/>
          <w:i/>
        </w:rPr>
        <w:t>www.iiardjournals.org</w:t>
      </w:r>
      <w:r>
        <w:rPr/>
        <w:fldChar w:fldCharType="end"/>
      </w:r>
      <w:r>
        <w:rPr>
          <w:rStyle w:val="style85"/>
          <w:i/>
        </w:rPr>
        <w:t xml:space="preserve"> </w:t>
      </w:r>
    </w:p>
    <w:p>
      <w:pPr>
        <w:pStyle w:val="style0"/>
        <w:spacing w:lineRule="auto" w:line="240"/>
        <w:ind w:left="720" w:hanging="720"/>
        <w:rPr/>
      </w:pPr>
    </w:p>
    <w:p>
      <w:pPr>
        <w:pStyle w:val="style0"/>
        <w:spacing w:lineRule="auto" w:line="240"/>
        <w:ind w:left="720" w:hanging="720"/>
        <w:rPr/>
      </w:pPr>
      <w:r>
        <w:rPr>
          <w:bCs/>
          <w:color w:val="131314"/>
          <w:shd w:val="clear" w:color="auto" w:fill="ffffff"/>
        </w:rPr>
        <w:t>Okorie E.A, Offiah V,O, Oragwu P.I, Okwuego P.O (2025) Assessment of Heavy Metals and Polycyclic Aromatic Hydrocarbons in Soil and Water in Selected Mining Areas of Ebonyi State, Nigeria. Journal of Global Ecology and Enviroment. Doi: 10.56557/jogee/v21i29123</w:t>
      </w:r>
      <w:r>
        <w:rPr>
          <w:bCs/>
          <w:color w:val="131314"/>
          <w:shd w:val="clear" w:color="auto" w:fill="ffffff"/>
        </w:rPr>
        <w:t xml:space="preserve">.  </w:t>
      </w:r>
    </w:p>
    <w:p>
      <w:pPr>
        <w:pStyle w:val="style179"/>
        <w:tabs>
          <w:tab w:val="left" w:leader="none" w:pos="2960"/>
        </w:tabs>
        <w:ind w:left="180"/>
        <w:rPr>
          <w:rFonts w:ascii="Times New Roman" w:cs="Times New Roman" w:hAnsi="Times New Roman"/>
          <w:sz w:val="24"/>
          <w:szCs w:val="24"/>
        </w:rPr>
      </w:pPr>
    </w:p>
    <w:p>
      <w:pPr>
        <w:pStyle w:val="style0"/>
        <w:spacing w:lineRule="auto" w:line="240"/>
        <w:ind w:left="720" w:hanging="720"/>
        <w:rPr/>
      </w:pPr>
    </w:p>
    <w:sectPr>
      <w:headerReference w:type="default" r:id="rId11"/>
      <w:footerReference w:type="default" r:id="rId12"/>
      <w:pgSz w:w="11906" w:h="16838" w:orient="portrait"/>
      <w:pgMar w:top="1276" w:right="1440" w:bottom="709" w:left="1560" w:header="709" w:footer="709"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4002E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Calibri Light">
    <w:altName w:val="Calibri Light"/>
    <w:panose1 w:val="020f0302020002030204"/>
    <w:charset w:val="00"/>
    <w:family w:val="swiss"/>
    <w:pitch w:val="variable"/>
    <w:sig w:usb0="E4002EFF" w:usb1="C000247B" w:usb2="00000009" w:usb3="00000000" w:csb0="000001FF" w:csb1="00000000"/>
  </w:font>
  <w:font w:name="宋体">
    <w:altName w:val="Wingdings 2"/>
    <w:panose1 w:val="05020102010007070707"/>
    <w:charset w:val="02"/>
    <w:family w:val="roman"/>
    <w:pitch w:val="default"/>
    <w:sig w:usb0="00000000" w:usb1="10000000" w:usb2="00000000" w:usb3="00000000" w:csb0="80000000" w:csb1="00000000"/>
  </w:font>
  <w:font w:name="SimSun">
    <w:altName w:val="Times New Roman"/>
    <w:panose1 w:val="02020603050005020304"/>
    <w:charset w:val="00"/>
    <w:family w:val="roman"/>
    <w:pitch w:val="variable"/>
    <w:sig w:usb0="20007A87" w:usb1="80000000" w:usb2="00000008" w:usb3="00000000" w:csb0="0000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1</w:t>
    </w:r>
    <w:r>
      <w:rPr>
        <w:noProof/>
      </w:rPr>
      <w:fldChar w:fldCharType="end"/>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37BEBF7C"/>
    <w:lvl w:ilvl="0" w:tplc="EA961A3E">
      <w:start w:val="1"/>
      <w:numFmt w:val="lowerRoman"/>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0" w:lineRule="auto" w:line="480"/>
    </w:pPr>
    <w:rPr>
      <w:rFonts w:ascii="Times New Roman" w:cs="Times New Roman" w:hAnsi="Times New Roman"/>
      <w:sz w:val="24"/>
      <w:szCs w:val="24"/>
      <w:lang w:val="en-GB"/>
    </w:rPr>
  </w:style>
  <w:style w:type="paragraph" w:styleId="style3">
    <w:name w:val="heading 3"/>
    <w:basedOn w:val="style0"/>
    <w:next w:val="style3"/>
    <w:link w:val="style4097"/>
    <w:qFormat/>
    <w:uiPriority w:val="9"/>
    <w:pPr>
      <w:spacing w:before="100" w:beforeAutospacing="true" w:after="100" w:afterAutospacing="true" w:lineRule="auto" w:line="240"/>
      <w:outlineLvl w:val="2"/>
    </w:pPr>
    <w:rPr>
      <w:rFonts w:eastAsia="Times New Roman"/>
      <w:b/>
      <w:bCs/>
      <w:sz w:val="27"/>
      <w:szCs w:val="27"/>
      <w:lang w:val="en-US"/>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3 Char_dcbd8804-44d4-4315-b1e5-da6ddbd11c03"/>
    <w:basedOn w:val="style65"/>
    <w:next w:val="style4097"/>
    <w:link w:val="style3"/>
    <w:uiPriority w:val="9"/>
    <w:rPr>
      <w:rFonts w:ascii="Times New Roman" w:cs="Times New Roman" w:eastAsia="Times New Roman" w:hAnsi="Times New Roman"/>
      <w:b/>
      <w:bCs/>
      <w:sz w:val="27"/>
      <w:szCs w:val="27"/>
    </w:rPr>
  </w:style>
  <w:style w:type="character" w:styleId="style88">
    <w:name w:val="Emphasis"/>
    <w:basedOn w:val="style65"/>
    <w:next w:val="style88"/>
    <w:qFormat/>
    <w:uiPriority w:val="20"/>
    <w:rPr>
      <w:i/>
      <w:iCs/>
    </w:rPr>
  </w:style>
  <w:style w:type="paragraph" w:styleId="style157">
    <w:name w:val="No Spacing"/>
    <w:next w:val="style157"/>
    <w:qFormat/>
    <w:uiPriority w:val="1"/>
    <w:pPr>
      <w:spacing w:after="0" w:lineRule="auto" w:line="240"/>
    </w:pPr>
    <w:rPr>
      <w:lang w:val="en-GB"/>
    </w:rPr>
  </w:style>
  <w:style w:type="paragraph" w:styleId="style31">
    <w:name w:val="header"/>
    <w:basedOn w:val="style0"/>
    <w:next w:val="style31"/>
    <w:link w:val="style4098"/>
    <w:uiPriority w:val="99"/>
    <w:pPr>
      <w:tabs>
        <w:tab w:val="center" w:leader="none" w:pos="4513"/>
        <w:tab w:val="right" w:leader="none" w:pos="9026"/>
      </w:tabs>
      <w:spacing w:lineRule="auto" w:line="240"/>
    </w:pPr>
    <w:rPr/>
  </w:style>
  <w:style w:type="character" w:customStyle="1" w:styleId="style4098">
    <w:name w:val="Header Char_8e24830d-0fd1-4764-9f23-f9e92e24373f"/>
    <w:basedOn w:val="style65"/>
    <w:next w:val="style4098"/>
    <w:link w:val="style31"/>
    <w:uiPriority w:val="99"/>
    <w:rPr>
      <w:rFonts w:ascii="Times New Roman" w:cs="Times New Roman" w:hAnsi="Times New Roman"/>
      <w:sz w:val="24"/>
      <w:szCs w:val="24"/>
      <w:lang w:val="en-GB"/>
    </w:rPr>
  </w:style>
  <w:style w:type="paragraph" w:styleId="style32">
    <w:name w:val="footer"/>
    <w:basedOn w:val="style0"/>
    <w:next w:val="style32"/>
    <w:link w:val="style4099"/>
    <w:uiPriority w:val="99"/>
    <w:pPr>
      <w:tabs>
        <w:tab w:val="center" w:leader="none" w:pos="4513"/>
        <w:tab w:val="right" w:leader="none" w:pos="9026"/>
      </w:tabs>
      <w:spacing w:lineRule="auto" w:line="240"/>
    </w:pPr>
    <w:rPr/>
  </w:style>
  <w:style w:type="character" w:customStyle="1" w:styleId="style4099">
    <w:name w:val="Footer Char_0e0a3970-09ae-4ce3-acb3-32ece6b831ab"/>
    <w:basedOn w:val="style65"/>
    <w:next w:val="style4099"/>
    <w:link w:val="style32"/>
    <w:uiPriority w:val="99"/>
    <w:rPr>
      <w:rFonts w:ascii="Times New Roman" w:cs="Times New Roman" w:hAnsi="Times New Roman"/>
      <w:sz w:val="24"/>
      <w:szCs w:val="24"/>
      <w:lang w:val="en-GB"/>
    </w:rPr>
  </w:style>
  <w:style w:type="character" w:styleId="style87">
    <w:name w:val="Strong"/>
    <w:basedOn w:val="style65"/>
    <w:next w:val="style87"/>
    <w:qFormat/>
    <w:uiPriority w:val="22"/>
    <w:rPr>
      <w:b/>
      <w:bCs/>
    </w:rPr>
  </w:style>
  <w:style w:type="paragraph" w:styleId="style94">
    <w:name w:val="Normal (Web)"/>
    <w:basedOn w:val="style0"/>
    <w:next w:val="style94"/>
    <w:uiPriority w:val="99"/>
    <w:pPr>
      <w:spacing w:before="100" w:beforeAutospacing="true" w:after="100" w:afterAutospacing="true" w:lineRule="auto" w:line="240"/>
    </w:pPr>
    <w:rPr>
      <w:rFonts w:eastAsia="Times New Roman"/>
      <w:lang w:val="en-US"/>
    </w:rPr>
  </w:style>
  <w:style w:type="character" w:styleId="style85">
    <w:name w:val="Hyperlink"/>
    <w:basedOn w:val="style65"/>
    <w:next w:val="style85"/>
    <w:uiPriority w:val="99"/>
    <w:rPr>
      <w:color w:val="0563c1"/>
      <w:u w:val="single"/>
    </w:rPr>
  </w:style>
  <w:style w:type="paragraph" w:styleId="style179">
    <w:name w:val="List Paragraph"/>
    <w:basedOn w:val="style0"/>
    <w:next w:val="style179"/>
    <w:qFormat/>
    <w:uiPriority w:val="34"/>
    <w:pPr>
      <w:spacing w:after="200" w:lineRule="auto" w:line="276"/>
      <w:ind w:left="720"/>
      <w:contextualSpacing/>
    </w:pPr>
    <w:rPr>
      <w:rFonts w:ascii="Calibri" w:cs="宋体" w:eastAsia="宋体" w:hAnsi="Calibri"/>
      <w:sz w:val="22"/>
      <w:szCs w:val="22"/>
      <w:lang w:val="en-US"/>
    </w:rPr>
  </w:style>
  <w:style w:type="paragraph" w:styleId="style66">
    <w:name w:val="Body Text"/>
    <w:basedOn w:val="style0"/>
    <w:next w:val="style4094"/>
    <w:qFormat/>
    <w:pPr>
      <w:widowControl w:val="false"/>
      <w:spacing w:before="0" w:after="0"/>
      <w:ind w:left="100" w:right="0"/>
    </w:pPr>
    <w:rPr>
      <w:rFonts w:ascii="Times New Roman" w:cs="宋体" w:eastAsia="Times New Roman" w:hAnsi="Times New Roman"/>
      <w:sz w:val="24"/>
      <w:szCs w:val="24"/>
    </w:rPr>
  </w:style>
  <w:style w:type="paragraph" w:styleId="style1">
    <w:name w:val="heading 1"/>
    <w:basedOn w:val="style0"/>
    <w:next w:val="style4094"/>
    <w:qFormat/>
    <w:pPr>
      <w:widowControl w:val="false"/>
      <w:spacing w:before="0" w:after="0"/>
      <w:ind w:left="81" w:right="0"/>
      <w:outlineLvl w:val="0"/>
    </w:pPr>
    <w:rPr>
      <w:rFonts w:ascii="Times New Roman" w:cs="宋体" w:eastAsia="Times New Roman" w:hAnsi="Times New Roman"/>
      <w:b/>
      <w:bCs/>
      <w:sz w:val="24"/>
      <w:szCs w:val="24"/>
    </w:rPr>
  </w:style>
  <w:style w:type="paragraph" w:styleId="style2">
    <w:name w:val="heading 2"/>
    <w:next w:val="style4094"/>
    <w:qFormat/>
    <w:pPr>
      <w:spacing w:beforeAutospacing="true" w:after="0" w:afterAutospacing="true"/>
      <w:outlineLvl w:val="1"/>
    </w:pPr>
    <w:rPr>
      <w:rFonts w:ascii="SimSun" w:cs="SimSun" w:eastAsia="宋体" w:hAnsi="SimSun"/>
      <w:b/>
      <w:sz w:val="36"/>
      <w:szCs w:val="36"/>
      <w:lang w:eastAsia="zh-CN"/>
    </w:rPr>
  </w:style>
</w:styles>
</file>

<file path=word/_rels/document.xml.rels><?xml version="1.0" encoding="UTF-8"?>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8.png"/><Relationship Id="rId13" Type="http://schemas.openxmlformats.org/officeDocument/2006/relationships/styles" Target="styles.xml"/><Relationship Id="rId12"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2.png"/><Relationship Id="rId9" Type="http://schemas.openxmlformats.org/officeDocument/2006/relationships/image" Target="media/image7.png"/><Relationship Id="rId15" Type="http://schemas.openxmlformats.org/officeDocument/2006/relationships/settings" Target="settings.xml"/><Relationship Id="rId14" Type="http://schemas.openxmlformats.org/officeDocument/2006/relationships/fontTable" Target="fontTable.xml"/><Relationship Id="rId16" Type="http://schemas.openxmlformats.org/officeDocument/2006/relationships/theme" Target="theme/theme1.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Words>3563</Words>
  <Pages>13</Pages>
  <Characters>22678</Characters>
  <Application>WPS Office</Application>
  <DocSecurity>0</DocSecurity>
  <Paragraphs>523</Paragraphs>
  <ScaleCrop>false</ScaleCrop>
  <LinksUpToDate>false</LinksUpToDate>
  <CharactersWithSpaces>25840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2026-02-09T15:05:00Z</dcterms:created>
  <dc:creator>pc</dc:creator>
  <lastModifiedBy>Infinix X669</lastModifiedBy>
  <dcterms:modified xsi:type="dcterms:W3CDTF">2026-03-05T07:08:49Z</dcterms:modified>
  <revision>15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e84806df95cd44cdaf31173f96eca896</vt:lpwstr>
  </property>
</Properties>
</file>