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E2AE">
      <w:pPr>
        <w:spacing w:after="200" w:line="360" w:lineRule="auto"/>
        <w:jc w:val="center"/>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32"/>
          <w:szCs w:val="32"/>
        </w:rPr>
        <w:t>FROM MOLECULES TO MANIFOLDS:</w:t>
      </w:r>
    </w:p>
    <w:p w14:paraId="2AB24296">
      <w:pPr>
        <w:spacing w:after="120" w:line="360" w:lineRule="auto"/>
        <w:jc w:val="center"/>
        <w:rPr>
          <w:rFonts w:hint="default" w:ascii="Times New Roman" w:hAnsi="Times New Roman" w:cs="Times New Roman"/>
          <w:color w:val="215968" w:themeColor="accent5" w:themeShade="80"/>
        </w:rPr>
      </w:pPr>
      <w:r>
        <w:rPr>
          <w:rFonts w:hint="default" w:ascii="Times New Roman" w:hAnsi="Times New Roman" w:eastAsia="Times New Roman" w:cs="Times New Roman"/>
          <w:b/>
          <w:bCs/>
          <w:color w:val="215968" w:themeColor="accent5" w:themeShade="80"/>
          <w:sz w:val="28"/>
          <w:szCs w:val="28"/>
        </w:rPr>
        <w:t>A Statistical Field-Theoretic Framework for Solubility</w:t>
      </w:r>
    </w:p>
    <w:p w14:paraId="57C682BF">
      <w:pPr>
        <w:spacing w:after="60" w:line="360" w:lineRule="auto"/>
        <w:jc w:val="center"/>
        <w:rPr>
          <w:rFonts w:hint="default" w:ascii="Times New Roman" w:hAnsi="Times New Roman" w:eastAsia="Times New Roman" w:cs="Times New Roman"/>
          <w:i/>
          <w:iCs/>
          <w:color w:val="215968" w:themeColor="accent5" w:themeShade="80"/>
          <w:sz w:val="24"/>
          <w:szCs w:val="24"/>
        </w:rPr>
      </w:pPr>
      <w:r>
        <w:rPr>
          <w:rFonts w:hint="default" w:ascii="Times New Roman" w:hAnsi="Times New Roman" w:eastAsia="Times New Roman" w:cs="Times New Roman"/>
          <w:i/>
          <w:iCs/>
          <w:color w:val="215968" w:themeColor="accent5" w:themeShade="80"/>
          <w:sz w:val="24"/>
          <w:szCs w:val="24"/>
        </w:rPr>
        <w:t>Bridging Quantum Chemistry and Macroscopic Thermodynamics</w:t>
      </w:r>
    </w:p>
    <w:p w14:paraId="2D50BA84">
      <w:pPr>
        <w:spacing w:after="60" w:line="360" w:lineRule="auto"/>
        <w:jc w:val="both"/>
        <w:rPr>
          <w:rFonts w:hint="default" w:ascii="Times New Roman" w:hAnsi="Times New Roman" w:eastAsia="Times New Roman" w:cs="Times New Roman"/>
          <w:i/>
          <w:iCs/>
          <w:sz w:val="24"/>
          <w:szCs w:val="24"/>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ED0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31B30FB9">
            <w:pPr>
              <w:spacing w:after="12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4"/>
                <w:szCs w:val="24"/>
              </w:rPr>
              <w:t>ABSTRACT</w:t>
            </w:r>
          </w:p>
          <w:p w14:paraId="39AB9A92">
            <w:pPr>
              <w:spacing w:after="120" w:line="360" w:lineRule="auto"/>
              <w:jc w:val="both"/>
              <w:rPr>
                <w:rFonts w:hint="default" w:ascii="Times New Roman" w:hAnsi="Times New Roman" w:cs="Times New Roman"/>
                <w:color w:val="0070C0"/>
              </w:rPr>
            </w:pPr>
            <w:r>
              <w:rPr>
                <w:rFonts w:hint="default" w:ascii="Times New Roman" w:hAnsi="Times New Roman" w:eastAsia="Times New Roman" w:cs="Times New Roman"/>
                <w:color w:val="0070C0"/>
                <w:sz w:val="24"/>
                <w:szCs w:val="24"/>
              </w:rPr>
              <w:t>When a single aspirin molecule dissolves in water, roughly 10</w:t>
            </w:r>
            <w:r>
              <w:rPr>
                <w:rFonts w:hint="default" w:ascii="Times New Roman" w:hAnsi="Times New Roman" w:eastAsia="Times New Roman" w:cs="Times New Roman"/>
                <w:color w:val="0070C0"/>
                <w:sz w:val="24"/>
                <w:szCs w:val="24"/>
                <w:vertAlign w:val="superscript"/>
              </w:rPr>
              <w:t>22</w:t>
            </w:r>
            <w:r>
              <w:rPr>
                <w:rFonts w:hint="default" w:ascii="Times New Roman" w:hAnsi="Times New Roman" w:eastAsia="Times New Roman" w:cs="Times New Roman"/>
                <w:color w:val="0070C0"/>
                <w:sz w:val="24"/>
                <w:szCs w:val="24"/>
              </w:rPr>
              <w:t xml:space="preserve"> surrounding water molecules must rearrange themselves. How does that invisible molecular choreography produce the single solubility number printed on a pharmaceutical data sheet? This paper answers that question by constructing a statistical field-theoretic framework that bridges quantum-chemical detail and macroscopic thermodynamics in a principled way. We define a solubility field φ(r, x) — a coarse-grained order parameter whose uniform saddle-point value equals macroscopic solubility in well-mixed systems, and whose spatial variations encode mesoscopic heterogeneity near interfaces and critical points. The equilibrium configuration of this field minimises a Landau–Ginzburg free-energy functional whose coefficients are constrained by established limiting laws: Henderson–Hasselbalch for pH-dependence and Debye–Hückel for ionic-strength effects. The framework proposes — as a testable prediction, not an established fact — that solubility can exhibit universal critical features under specific symmetry-breaking conditions. Aspirin serves as the primary working example, yielding crossover behaviour with β ≈ 0.48 near pK</w:t>
            </w:r>
            <w:r>
              <w:rPr>
                <w:rFonts w:hint="default" w:ascii="Times New Roman" w:hAnsi="Times New Roman" w:eastAsia="Times New Roman" w:cs="Times New Roman"/>
                <w:i/>
                <w:iCs/>
                <w:color w:val="0070C0"/>
                <w:sz w:val="24"/>
                <w:szCs w:val="24"/>
              </w:rPr>
              <w:t>a</w:t>
            </w:r>
            <w:r>
              <w:rPr>
                <w:rFonts w:hint="default" w:ascii="Times New Roman" w:hAnsi="Times New Roman" w:eastAsia="Times New Roman" w:cs="Times New Roman"/>
                <w:color w:val="0070C0"/>
                <w:sz w:val="24"/>
                <w:szCs w:val="24"/>
              </w:rPr>
              <w:t xml:space="preserve"> (mean-field regime) and ν ≈ 0.61 (consistent with 3D Ising universality at longer scales), with 15% scatter in scaling collapse that motivates further study. Preliminary analyses of ibuprofen and naproxen show compatible scaling, strengthening the universality claim. We clarify why pH functions as an effective conjugate field through ionisation equilibrium, why Debye screening renders Coulomb interactions effectively short-range, and how existing models — COSMO-RS, SM</w:t>
            </w:r>
            <w:r>
              <w:rPr>
                <w:rFonts w:hint="default" w:ascii="Times New Roman" w:hAnsi="Times New Roman" w:eastAsia="Times New Roman" w:cs="Times New Roman"/>
                <w:i/>
                <w:iCs/>
                <w:color w:val="0070C0"/>
                <w:sz w:val="24"/>
                <w:szCs w:val="24"/>
              </w:rPr>
              <w:t>x</w:t>
            </w:r>
            <w:r>
              <w:rPr>
                <w:rFonts w:hint="default" w:ascii="Times New Roman" w:hAnsi="Times New Roman" w:eastAsia="Times New Roman" w:cs="Times New Roman"/>
                <w:color w:val="0070C0"/>
                <w:sz w:val="24"/>
                <w:szCs w:val="24"/>
              </w:rPr>
              <w:t>, and UNIFAC — emerge as successive approximations to the exact partition function. This revision adds a concrete computational protocol for extracting Landau coefficients from quantum-chemical calculations, discusses kinetic extensions via time-dependent Ginzburg–Landau theory, and provides detailed experimental guidance for validating the framework’s predictions.</w:t>
            </w:r>
          </w:p>
        </w:tc>
      </w:tr>
    </w:tbl>
    <w:p w14:paraId="6F3AC274">
      <w:pPr>
        <w:spacing w:after="200" w:line="360" w:lineRule="auto"/>
        <w:jc w:val="both"/>
        <w:rPr>
          <w:rFonts w:hint="default" w:ascii="Times New Roman" w:hAnsi="Times New Roman" w:cs="Times New Roman"/>
        </w:rPr>
      </w:pPr>
    </w:p>
    <w:p w14:paraId="6BC918FB">
      <w:pPr>
        <w:pStyle w:val="15"/>
        <w:keepNext w:val="0"/>
        <w:keepLines w:val="0"/>
        <w:widowControl/>
        <w:suppressLineNumbers w:val="0"/>
        <w:spacing w:before="0" w:beforeAutospacing="1" w:after="0" w:afterAutospacing="1"/>
        <w:ind w:left="0" w:right="0"/>
        <w:jc w:val="both"/>
      </w:pPr>
      <w:r>
        <w:rPr>
          <w:rFonts w:hint="default" w:ascii="Times New Roman" w:hAnsi="Times New Roman" w:cs="Times New Roman"/>
          <w:lang w:val="en-US"/>
        </w:rPr>
        <w:t>Keywords:</w:t>
      </w:r>
      <w:r>
        <w:rPr>
          <w:rFonts w:hint="default" w:ascii="Times New Roman" w:hAnsi="Times New Roman" w:cs="Times New Roman"/>
          <w:i/>
          <w:iCs/>
          <w:color w:val="C00000"/>
          <w:lang w:val="en-US"/>
        </w:rPr>
        <w:t xml:space="preserve"> </w:t>
      </w:r>
      <w:r>
        <w:rPr>
          <w:i/>
          <w:iCs/>
          <w:color w:val="C00000"/>
        </w:rPr>
        <w:t>Solubility field theory, Landau–Ginzburg functional, coarse-grained order parameter, critical phenomena, universality class, renormalisation group, phase transitions, Henderson–Hasselbalch, Debye–Hückel, Ginzburg crossover, mean-field theory, 3D Ising model, multiscale modelling, solvation thermodynamics, COSMO-RS, pharmaceutical solubility, aspirin, critical exponents, scaling collapse, partition function</w:t>
      </w:r>
    </w:p>
    <w:tbl>
      <w:tblPr>
        <w:tblStyle w:val="9"/>
        <w:tblpPr w:leftFromText="180" w:rightFromText="180" w:vertAnchor="text" w:horzAnchor="page" w:tblpX="1402" w:tblpY="500"/>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11C8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2721DE41">
            <w:pPr>
              <w:spacing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4"/>
                <w:szCs w:val="24"/>
              </w:rPr>
              <w:t>NOVELTY STATEMENT</w:t>
            </w:r>
          </w:p>
          <w:p w14:paraId="4D5BEC41">
            <w:pPr>
              <w:spacing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color w:val="007C37"/>
                <w:sz w:val="24"/>
                <w:szCs w:val="24"/>
              </w:rPr>
              <w:t>This paper introduces the first unified field-theoretic framework that derives macroscopic solubility from microscopic statistical mechanics through a rigorously defined coarse-grained order parameter. While existing solvation models such as COSMO-RS, SM</w:t>
            </w:r>
            <w:r>
              <w:rPr>
                <w:rFonts w:hint="default" w:ascii="Times New Roman" w:hAnsi="Times New Roman" w:eastAsia="Times New Roman" w:cs="Times New Roman"/>
                <w:i/>
                <w:iCs/>
                <w:color w:val="007C37"/>
                <w:sz w:val="24"/>
                <w:szCs w:val="24"/>
              </w:rPr>
              <w:t>x</w:t>
            </w:r>
            <w:r>
              <w:rPr>
                <w:rFonts w:hint="default" w:ascii="Times New Roman" w:hAnsi="Times New Roman" w:eastAsia="Times New Roman" w:cs="Times New Roman"/>
                <w:color w:val="007C37"/>
                <w:sz w:val="24"/>
                <w:szCs w:val="24"/>
              </w:rPr>
              <w:t>, and UNIFAC each operate at a single scale of description, no prior work has connected them within a common mathematical architecture. Our framework achieves this by casting the partition function as a functional integral over a solubility field governed by a Landau–Ginzburg free-energy functional, whose coefficients are anchored to established chemical laws (Henderson–Hasselbalch, Debye–Hückel) rather than left as unconstrained fitting parameters. Three elements are entirely new to solubility science: (i) the identification of pH as an effective conjugate field arising from ionisation equilibrium, with a precise thermodynamic correspondence; (ii) the prediction that solubility transitions near the ionisation critical point should exhibit universal critical exponents whose values depend only on symmetry class and spatial dimensionality, not on molecular identity; and (iii) the demonstration that the Ginzburg crossover between mean-field and 3D Ising regimes accounts quantitatively for the apparent discrepancy between measured exponents in aspirin. In this revised version, we provide a concrete computational protocol for extracting Landau coefficients from quantum-chemical outputs, extend our discussion to kinetic and metastable phenomena, present preliminary scaling analyses for ibuprofen and naproxen alongside aspirin, and offer detailed experimental guidance for testing the framework’s central predictions.</w:t>
            </w:r>
          </w:p>
        </w:tc>
      </w:tr>
    </w:tbl>
    <w:p w14:paraId="61AC2AA4">
      <w:pPr>
        <w:spacing w:after="200" w:line="360" w:lineRule="auto"/>
        <w:jc w:val="both"/>
        <w:rPr>
          <w:rFonts w:hint="default" w:ascii="Times New Roman" w:hAnsi="Times New Roman" w:cs="Times New Roman"/>
        </w:rPr>
      </w:pPr>
    </w:p>
    <w:p w14:paraId="58C3882D">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1.  Introduction: The Bridge Between Scales</w:t>
      </w:r>
    </w:p>
    <w:p w14:paraId="507EC898">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Drop an aspirin tablet into a glass of water. Within minutes it vanishes — but what, precisely, has happened? At the molecular level, each aspirin molecule (roughly 2 nm across) must insert itself among water molecules that outnumber it by trillions. Hydrogen bonds break and reform. Electrostatic interactions reconfigure. Hydrophobic surfaces force the surrounding liquid into energetically costly arrangements. Yet all this molecular drama collapses into a single measurable number: solubility — 3.18 mg/mL for aspirin at 25°C and pH 7 [1].</w:t>
      </w:r>
    </w:p>
    <w:p w14:paraId="4F5FCF6E">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1.1  The Central Problem of Emergence</w:t>
      </w:r>
    </w:p>
    <w:p w14:paraId="22285C01">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Individual molecules obey quantum mechanics. A mole of them — 6 × 10</w:t>
      </w:r>
      <w:r>
        <w:rPr>
          <w:rFonts w:hint="default" w:ascii="Times New Roman" w:hAnsi="Times New Roman" w:eastAsia="Times New Roman" w:cs="Times New Roman"/>
          <w:sz w:val="24"/>
          <w:szCs w:val="24"/>
          <w:vertAlign w:val="superscript"/>
        </w:rPr>
        <w:t>23</w:t>
      </w:r>
      <w:r>
        <w:rPr>
          <w:rFonts w:hint="default" w:ascii="Times New Roman" w:hAnsi="Times New Roman" w:eastAsia="Times New Roman" w:cs="Times New Roman"/>
          <w:sz w:val="24"/>
          <w:szCs w:val="24"/>
        </w:rPr>
        <w:t xml:space="preserve"> — obeys thermodynamics. The mathematical bridge between these two regimes is statistical field theory, the same framework that explains magnetism, superconductivity, and phase transitions [2,3]. In pharmaceutical sciences, however, this bridge has remained largely implicit. Microscopic models such as COSMO-RS and SM</w:t>
      </w:r>
      <w:r>
        <w:rPr>
          <w:rFonts w:hint="default" w:ascii="Times New Roman" w:hAnsi="Times New Roman" w:eastAsia="Times New Roman" w:cs="Times New Roman"/>
          <w:i/>
          <w:iCs/>
          <w:sz w:val="24"/>
          <w:szCs w:val="24"/>
        </w:rPr>
        <w:t>x</w:t>
      </w:r>
      <w:r>
        <w:rPr>
          <w:rFonts w:hint="default" w:ascii="Times New Roman" w:hAnsi="Times New Roman" w:eastAsia="Times New Roman" w:cs="Times New Roman"/>
          <w:sz w:val="24"/>
          <w:szCs w:val="24"/>
        </w:rPr>
        <w:t xml:space="preserve"> compute solvation free energies from quantum chemistry [4,5], while macroscopic models like UNIFAC and various empirical correlations capture activity coefficients [6,7] — but no rigorous connection has been drawn between them. This paper constructs that connection.</w:t>
      </w:r>
    </w:p>
    <w:p w14:paraId="6E2EC30B">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We are careful to state at the outset what the framework does not claim. It is not a universal law applicable to every dissolved species under all conditions. Rather, it is a field-theoretic model that exhibits universal features under specific symmetry-breaking conditions — conditions we define precisely below and that can be tested experimentally.</w:t>
      </w:r>
    </w:p>
    <w:p w14:paraId="7AD8ADC6">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1.2  Why Field Theory Provides the Natural Language</w:t>
      </w:r>
    </w:p>
    <w:p w14:paraId="2D71D2FD">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In condensed-matter physics, we do not track every electron spin when studying magnetism. Instead, we introduce a smooth magnetisation field M(r) and ask what configuration minimises free energy [8]. Phase transitions — the sudden ordering of magnetic moments below a critical temperature — emerge from symmetry breaking within this field description [9,10]. Solubility shares exactly this character. Dissolved solute concentration c(r,t) varies continuously in space and time, coupled to solvent density, electric fields, and temperature. At equilibrium it minimises free energy, and solubility emerges as a collective property.</w:t>
      </w:r>
    </w:p>
    <w:p w14:paraId="5C42B09B">
      <w:pPr>
        <w:spacing w:after="12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Three properties of field theory are especially valuable in this context. First, universality: systems with entirely different molecular structures can exhibit identical macroscopic critical behaviour if they share the same symmetries and dimensionality, so that one set of measured exponents can predict many untested systems [11,12]. Second, renormalisation: systematic coarse-graining reveals how the free-energy landscape changes with observation scale, smoothing molecular roughness while preserving global topology [13]. Third, the language of phase transitions: precipitation and crystallisation are not chemical accidents but symmetry-breaking transitions with predictable barrier heights, surface tensions, and critical-point geometries [14].</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15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AECDE0" w:sz="0" w:space="0"/>
              <w:left w:val="single" w:color="AECDE0" w:sz="0" w:space="0"/>
              <w:bottom w:val="single" w:color="AECDE0" w:sz="0" w:space="0"/>
              <w:right w:val="single" w:color="AECDE0" w:sz="0" w:space="0"/>
            </w:tcBorders>
            <w:shd w:val="clear" w:color="auto" w:fill="1B3A6B"/>
            <w:tcMar>
              <w:top w:w="100" w:type="dxa"/>
              <w:left w:w="160" w:type="dxa"/>
              <w:bottom w:w="100" w:type="dxa"/>
              <w:right w:w="160" w:type="dxa"/>
            </w:tcMar>
          </w:tcPr>
          <w:p w14:paraId="35999E64">
            <w:pPr>
              <w:spacing w:line="360" w:lineRule="auto"/>
              <w:jc w:val="both"/>
              <w:rPr>
                <w:rFonts w:hint="default" w:ascii="Times New Roman" w:hAnsi="Times New Roman" w:cs="Times New Roman"/>
              </w:rPr>
            </w:pPr>
            <w:r>
              <w:rPr>
                <w:rFonts w:hint="default" w:ascii="Times New Roman" w:hAnsi="Times New Roman" w:cs="Times New Roman"/>
                <w:b/>
                <w:bCs/>
                <w:color w:val="FFFFFF"/>
                <w:sz w:val="20"/>
                <w:szCs w:val="20"/>
              </w:rPr>
              <w:t>QUANTUM CHEMISTRY  (Å · fs)</w:t>
            </w:r>
          </w:p>
        </w:tc>
      </w:tr>
      <w:tr w14:paraId="711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tcMar>
              <w:top w:w="20" w:type="dxa"/>
              <w:left w:w="0" w:type="dxa"/>
              <w:bottom w:w="20" w:type="dxa"/>
              <w:right w:w="0" w:type="dxa"/>
            </w:tcMar>
          </w:tcPr>
          <w:p w14:paraId="761A7C18">
            <w:pPr>
              <w:spacing w:line="360" w:lineRule="auto"/>
              <w:jc w:val="both"/>
              <w:rPr>
                <w:rFonts w:hint="default" w:ascii="Times New Roman" w:hAnsi="Times New Roman" w:cs="Times New Roman"/>
              </w:rPr>
            </w:pPr>
            <w:r>
              <w:rPr>
                <w:rFonts w:hint="default" w:ascii="Times New Roman" w:hAnsi="Times New Roman" w:cs="Times New Roman"/>
                <w:color w:val="2E6DB4"/>
                <w:sz w:val="28"/>
                <w:szCs w:val="28"/>
              </w:rPr>
              <w:t>▼</w:t>
            </w:r>
          </w:p>
        </w:tc>
      </w:tr>
      <w:tr w14:paraId="1B2B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AECDE0" w:sz="0" w:space="0"/>
              <w:left w:val="single" w:color="AECDE0" w:sz="0" w:space="0"/>
              <w:bottom w:val="single" w:color="AECDE0" w:sz="0" w:space="0"/>
              <w:right w:val="single" w:color="AECDE0" w:sz="0" w:space="0"/>
            </w:tcBorders>
            <w:shd w:val="clear" w:color="auto" w:fill="2E6DB4"/>
            <w:tcMar>
              <w:top w:w="100" w:type="dxa"/>
              <w:left w:w="160" w:type="dxa"/>
              <w:bottom w:w="100" w:type="dxa"/>
              <w:right w:w="160" w:type="dxa"/>
            </w:tcMar>
          </w:tcPr>
          <w:p w14:paraId="30F3FC84">
            <w:pPr>
              <w:spacing w:line="360" w:lineRule="auto"/>
              <w:jc w:val="both"/>
              <w:rPr>
                <w:rFonts w:hint="default" w:ascii="Times New Roman" w:hAnsi="Times New Roman" w:cs="Times New Roman"/>
              </w:rPr>
            </w:pPr>
            <w:r>
              <w:rPr>
                <w:rFonts w:hint="default" w:ascii="Times New Roman" w:hAnsi="Times New Roman" w:cs="Times New Roman"/>
                <w:b/>
                <w:bCs/>
                <w:color w:val="FFFFFF"/>
                <w:sz w:val="20"/>
                <w:szCs w:val="20"/>
              </w:rPr>
              <w:t>MOLECULAR DYNAMICS  (nm · ps)</w:t>
            </w:r>
          </w:p>
        </w:tc>
      </w:tr>
      <w:tr w14:paraId="2119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tcMar>
              <w:top w:w="20" w:type="dxa"/>
              <w:left w:w="0" w:type="dxa"/>
              <w:bottom w:w="20" w:type="dxa"/>
              <w:right w:w="0" w:type="dxa"/>
            </w:tcMar>
          </w:tcPr>
          <w:p w14:paraId="630710BA">
            <w:pPr>
              <w:spacing w:line="360" w:lineRule="auto"/>
              <w:jc w:val="both"/>
              <w:rPr>
                <w:rFonts w:hint="default" w:ascii="Times New Roman" w:hAnsi="Times New Roman" w:cs="Times New Roman"/>
              </w:rPr>
            </w:pPr>
            <w:r>
              <w:rPr>
                <w:rFonts w:hint="default" w:ascii="Times New Roman" w:hAnsi="Times New Roman" w:cs="Times New Roman"/>
                <w:color w:val="2E6DB4"/>
                <w:sz w:val="28"/>
                <w:szCs w:val="28"/>
              </w:rPr>
              <w:t>▼</w:t>
            </w:r>
          </w:p>
        </w:tc>
      </w:tr>
      <w:tr w14:paraId="7886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AECDE0" w:sz="0" w:space="0"/>
              <w:left w:val="single" w:color="AECDE0" w:sz="0" w:space="0"/>
              <w:bottom w:val="single" w:color="AECDE0" w:sz="0" w:space="0"/>
              <w:right w:val="single" w:color="AECDE0" w:sz="0" w:space="0"/>
            </w:tcBorders>
            <w:shd w:val="clear" w:color="auto" w:fill="2E86AB"/>
            <w:tcMar>
              <w:top w:w="100" w:type="dxa"/>
              <w:left w:w="160" w:type="dxa"/>
              <w:bottom w:w="100" w:type="dxa"/>
              <w:right w:w="160" w:type="dxa"/>
            </w:tcMar>
          </w:tcPr>
          <w:p w14:paraId="6D3A817C">
            <w:pPr>
              <w:spacing w:line="360" w:lineRule="auto"/>
              <w:jc w:val="both"/>
              <w:rPr>
                <w:rFonts w:hint="default" w:ascii="Times New Roman" w:hAnsi="Times New Roman" w:cs="Times New Roman"/>
              </w:rPr>
            </w:pPr>
            <w:r>
              <w:rPr>
                <w:rFonts w:hint="default" w:ascii="Times New Roman" w:hAnsi="Times New Roman" w:cs="Times New Roman"/>
                <w:b/>
                <w:bCs/>
                <w:color w:val="FFFFFF"/>
                <w:sz w:val="20"/>
                <w:szCs w:val="20"/>
              </w:rPr>
              <w:t>COARSE-GRAINED SIMULATION  (10 nm · ns)</w:t>
            </w:r>
          </w:p>
        </w:tc>
      </w:tr>
      <w:tr w14:paraId="1E4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tcMar>
              <w:top w:w="20" w:type="dxa"/>
              <w:left w:w="0" w:type="dxa"/>
              <w:bottom w:w="20" w:type="dxa"/>
              <w:right w:w="0" w:type="dxa"/>
            </w:tcMar>
          </w:tcPr>
          <w:p w14:paraId="5683EDE5">
            <w:pPr>
              <w:spacing w:line="360" w:lineRule="auto"/>
              <w:jc w:val="both"/>
              <w:rPr>
                <w:rFonts w:hint="default" w:ascii="Times New Roman" w:hAnsi="Times New Roman" w:cs="Times New Roman"/>
              </w:rPr>
            </w:pPr>
            <w:r>
              <w:rPr>
                <w:rFonts w:hint="default" w:ascii="Times New Roman" w:hAnsi="Times New Roman" w:cs="Times New Roman"/>
                <w:color w:val="2E6DB4"/>
                <w:sz w:val="28"/>
                <w:szCs w:val="28"/>
              </w:rPr>
              <w:t>▼</w:t>
            </w:r>
          </w:p>
        </w:tc>
      </w:tr>
      <w:tr w14:paraId="14F3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AECDE0" w:sz="0" w:space="0"/>
              <w:left w:val="single" w:color="AECDE0" w:sz="0" w:space="0"/>
              <w:bottom w:val="single" w:color="AECDE0" w:sz="0" w:space="0"/>
              <w:right w:val="single" w:color="AECDE0" w:sz="0" w:space="0"/>
            </w:tcBorders>
            <w:shd w:val="clear" w:color="auto" w:fill="1A5C38"/>
            <w:tcMar>
              <w:top w:w="100" w:type="dxa"/>
              <w:left w:w="160" w:type="dxa"/>
              <w:bottom w:w="100" w:type="dxa"/>
              <w:right w:w="160" w:type="dxa"/>
            </w:tcMar>
          </w:tcPr>
          <w:p w14:paraId="25179670">
            <w:pPr>
              <w:spacing w:line="360" w:lineRule="auto"/>
              <w:jc w:val="both"/>
              <w:rPr>
                <w:rFonts w:hint="default" w:ascii="Times New Roman" w:hAnsi="Times New Roman" w:cs="Times New Roman"/>
              </w:rPr>
            </w:pPr>
            <w:r>
              <w:rPr>
                <w:rFonts w:hint="default" w:ascii="Times New Roman" w:hAnsi="Times New Roman" w:cs="Times New Roman"/>
                <w:b/>
                <w:bCs/>
                <w:color w:val="FFFFFF"/>
                <w:sz w:val="20"/>
                <w:szCs w:val="20"/>
              </w:rPr>
              <w:t>FIELD THEORY — φ(r, x)  (μm · ms)</w:t>
            </w:r>
          </w:p>
        </w:tc>
      </w:tr>
      <w:tr w14:paraId="5733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tcMar>
              <w:top w:w="20" w:type="dxa"/>
              <w:left w:w="0" w:type="dxa"/>
              <w:bottom w:w="20" w:type="dxa"/>
              <w:right w:w="0" w:type="dxa"/>
            </w:tcMar>
          </w:tcPr>
          <w:p w14:paraId="4C118549">
            <w:pPr>
              <w:spacing w:line="360" w:lineRule="auto"/>
              <w:jc w:val="both"/>
              <w:rPr>
                <w:rFonts w:hint="default" w:ascii="Times New Roman" w:hAnsi="Times New Roman" w:cs="Times New Roman"/>
              </w:rPr>
            </w:pPr>
            <w:r>
              <w:rPr>
                <w:rFonts w:hint="default" w:ascii="Times New Roman" w:hAnsi="Times New Roman" w:cs="Times New Roman"/>
                <w:color w:val="2E6DB4"/>
                <w:sz w:val="28"/>
                <w:szCs w:val="28"/>
              </w:rPr>
              <w:t>▼</w:t>
            </w:r>
          </w:p>
        </w:tc>
      </w:tr>
      <w:tr w14:paraId="1DE8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AECDE0" w:sz="0" w:space="0"/>
              <w:left w:val="single" w:color="AECDE0" w:sz="0" w:space="0"/>
              <w:bottom w:val="single" w:color="AECDE0" w:sz="0" w:space="0"/>
              <w:right w:val="single" w:color="AECDE0" w:sz="0" w:space="0"/>
            </w:tcBorders>
            <w:shd w:val="clear" w:color="auto" w:fill="4A4A4A"/>
            <w:tcMar>
              <w:top w:w="100" w:type="dxa"/>
              <w:left w:w="160" w:type="dxa"/>
              <w:bottom w:w="100" w:type="dxa"/>
              <w:right w:w="160" w:type="dxa"/>
            </w:tcMar>
          </w:tcPr>
          <w:p w14:paraId="60F7CFB6">
            <w:pPr>
              <w:spacing w:line="360" w:lineRule="auto"/>
              <w:jc w:val="both"/>
              <w:rPr>
                <w:rFonts w:hint="default" w:ascii="Times New Roman" w:hAnsi="Times New Roman" w:cs="Times New Roman"/>
              </w:rPr>
            </w:pPr>
            <w:r>
              <w:rPr>
                <w:rFonts w:hint="default" w:ascii="Times New Roman" w:hAnsi="Times New Roman" w:cs="Times New Roman"/>
                <w:b/>
                <w:bCs/>
                <w:color w:val="FFFFFF"/>
                <w:sz w:val="20"/>
                <w:szCs w:val="20"/>
              </w:rPr>
              <w:t>MACROSCOPIC SOLUBILITY LANDSCAPE  (cm³ · s)</w:t>
            </w:r>
          </w:p>
        </w:tc>
      </w:tr>
    </w:tbl>
    <w:p w14:paraId="5F8CD0D7">
      <w:pPr>
        <w:spacing w:after="120" w:line="360" w:lineRule="auto"/>
        <w:jc w:val="both"/>
        <w:rPr>
          <w:rFonts w:hint="default" w:ascii="Times New Roman" w:hAnsi="Times New Roman" w:eastAsia="Times New Roman" w:cs="Times New Roman"/>
          <w:sz w:val="24"/>
          <w:szCs w:val="24"/>
        </w:rPr>
      </w:pPr>
    </w:p>
    <w:p w14:paraId="38F93D27">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Figure 1. </w:t>
      </w:r>
      <w:r>
        <w:rPr>
          <w:rFonts w:hint="default" w:ascii="Times New Roman" w:hAnsi="Times New Roman" w:eastAsia="Times New Roman" w:cs="Times New Roman"/>
          <w:i/>
          <w:iCs/>
          <w:color w:val="953735" w:themeColor="accent2" w:themeShade="BF"/>
          <w:sz w:val="24"/>
          <w:szCs w:val="24"/>
        </w:rPr>
        <w:t>Multiscale hierarchy linking quantum-mechanical detail to macroscopic solubility landscapes. Each arrow represents a coarse-graining step with estimable errors via renormalisation-group methods.</w:t>
      </w:r>
    </w:p>
    <w:p w14:paraId="3E5EDEB3">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1.3  Relationship to Previous Work and Scope</w:t>
      </w:r>
    </w:p>
    <w:p w14:paraId="0C0F64D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Our companion paper [15] treated solubility S(x) as a given function on a Riemannian manifold and studied its geometric properties — curvature, geodesics, topological constraints. The present paper goes deeper. Here we derive S(x) from a microscopic partition function, show how the Riemannian metric emerges from fluctuation-dissipation relations, and identify phase transitions as symmetry-breaking events. The two papers are complementary, not redundant.</w:t>
      </w:r>
    </w:p>
    <w:p w14:paraId="3A16B69C">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2.  The Field-Theoretic Formalism</w:t>
      </w:r>
    </w:p>
    <w:p w14:paraId="760F39F3">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2.1  Defining the Solubility Field</w:t>
      </w:r>
    </w:p>
    <w:p w14:paraId="18E5FBA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Consider a solution containing N</w:t>
      </w:r>
      <w:r>
        <w:rPr>
          <w:rFonts w:hint="default" w:ascii="Times New Roman" w:hAnsi="Times New Roman" w:eastAsia="Times New Roman" w:cs="Times New Roman"/>
          <w:sz w:val="24"/>
          <w:szCs w:val="24"/>
          <w:vertAlign w:val="subscript"/>
        </w:rPr>
        <w:t>solute</w:t>
      </w:r>
      <w:r>
        <w:rPr>
          <w:rFonts w:hint="default" w:ascii="Times New Roman" w:hAnsi="Times New Roman" w:eastAsia="Times New Roman" w:cs="Times New Roman"/>
          <w:sz w:val="24"/>
          <w:szCs w:val="24"/>
        </w:rPr>
        <w:t xml:space="preserve"> solute molecules and N</w:t>
      </w:r>
      <w:r>
        <w:rPr>
          <w:rFonts w:hint="default" w:ascii="Times New Roman" w:hAnsi="Times New Roman" w:eastAsia="Times New Roman" w:cs="Times New Roman"/>
          <w:sz w:val="24"/>
          <w:szCs w:val="24"/>
          <w:vertAlign w:val="subscript"/>
        </w:rPr>
        <w:t>solvent</w:t>
      </w:r>
      <w:r>
        <w:rPr>
          <w:rFonts w:hint="default" w:ascii="Times New Roman" w:hAnsi="Times New Roman" w:eastAsia="Times New Roman" w:cs="Times New Roman"/>
          <w:sz w:val="24"/>
          <w:szCs w:val="24"/>
        </w:rPr>
        <w:t xml:space="preserve"> solvent molecules in a volume V at temperature T, pressure P, pH, and ionic strength I. A complete microscopic description would require 6N coordinates — an impossibility for macroscopic systems [16]. We therefore introduce a coarse-grained solubility field:</w:t>
      </w:r>
    </w:p>
    <w:p w14:paraId="789E8593">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φ(r, x, t),    r ∈ ℝ³,    x = (T, pH, I, …),    φ ≥ 0</w:t>
      </w:r>
    </w:p>
    <w:p w14:paraId="37093C85">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where r is spatial position, x is the thermodynamic state vector, and t is time. The field value carries concentration units.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532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3C97C6F8">
            <w:pPr>
              <w:spacing w:after="120" w:line="360" w:lineRule="auto"/>
              <w:jc w:val="both"/>
              <w:rPr>
                <w:rFonts w:hint="default" w:ascii="Times New Roman" w:hAnsi="Times New Roman" w:cs="Times New Roman"/>
                <w:color w:val="984807" w:themeColor="accent6" w:themeShade="80"/>
              </w:rPr>
            </w:pPr>
            <w:r>
              <w:rPr>
                <w:rFonts w:hint="default" w:ascii="Times New Roman" w:hAnsi="Times New Roman" w:eastAsia="Times New Roman" w:cs="Times New Roman"/>
                <w:b/>
                <w:bCs/>
                <w:color w:val="984807" w:themeColor="accent6" w:themeShade="80"/>
                <w:sz w:val="24"/>
                <w:szCs w:val="24"/>
              </w:rPr>
              <w:t>Definition — Ontological Status of φ</w:t>
            </w:r>
          </w:p>
          <w:p w14:paraId="72E27D7D">
            <w:pPr>
              <w:spacing w:after="120" w:line="360" w:lineRule="auto"/>
              <w:jc w:val="both"/>
              <w:rPr>
                <w:rFonts w:hint="default" w:ascii="Times New Roman" w:hAnsi="Times New Roman" w:cs="Times New Roman"/>
                <w:color w:val="984807" w:themeColor="accent6" w:themeShade="80"/>
              </w:rPr>
            </w:pPr>
            <w:r>
              <w:rPr>
                <w:rFonts w:hint="default" w:ascii="Times New Roman" w:hAnsi="Times New Roman" w:eastAsia="Times New Roman" w:cs="Times New Roman"/>
                <w:color w:val="984807" w:themeColor="accent6" w:themeShade="80"/>
                <w:sz w:val="24"/>
                <w:szCs w:val="24"/>
              </w:rPr>
              <w:t>φ is a coarse-grained order parameter, not a direct molecular observable. Its physical meaning depends on scale. In the thermodynamic limit (a uniform, well-mixed system), spatial gradients vanish and φ(r,x) → S(x), the macroscopic solubility. Near interfaces or during active dissolution, φ varies spatially, capturing local concentration structure. The symmetry that breaks is between the dissolved state (φ ≈ S</w:t>
            </w:r>
            <w:r>
              <w:rPr>
                <w:rFonts w:hint="default" w:ascii="Times New Roman" w:hAnsi="Times New Roman" w:eastAsia="Times New Roman" w:cs="Times New Roman"/>
                <w:color w:val="984807" w:themeColor="accent6" w:themeShade="80"/>
                <w:sz w:val="24"/>
                <w:szCs w:val="24"/>
                <w:vertAlign w:val="subscript"/>
              </w:rPr>
              <w:t>sat</w:t>
            </w:r>
            <w:r>
              <w:rPr>
                <w:rFonts w:hint="default" w:ascii="Times New Roman" w:hAnsi="Times New Roman" w:eastAsia="Times New Roman" w:cs="Times New Roman"/>
                <w:color w:val="984807" w:themeColor="accent6" w:themeShade="80"/>
                <w:sz w:val="24"/>
                <w:szCs w:val="24"/>
              </w:rPr>
              <w:t>) and the phase-separated or precipitated state (φ ≈ 0). This symmetry breaking is what legitimises the Landau expansion that follows.</w:t>
            </w:r>
          </w:p>
        </w:tc>
      </w:tr>
    </w:tbl>
    <w:p w14:paraId="0F361534">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2.2  The Free-Energy Functional: Where Physics Enters</w:t>
      </w:r>
    </w:p>
    <w:p w14:paraId="1EAFC50A">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Equilibrium configurations minimise the Helmholtz free energy, which we write as a functional over the field [17,18]:</w:t>
      </w:r>
    </w:p>
    <w:p w14:paraId="78E4E1FA">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F[φ; x] = ∫ d³r  f(φ, ∇φ, x)</w:t>
      </w:r>
    </w:p>
    <w:p w14:paraId="7080F9C8">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where f is the free-energy density — energy per unit volume. We decompose f into three physically motivated contributions.</w:t>
      </w:r>
    </w:p>
    <w:p w14:paraId="245DE367">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Bulk Free Energy (Local Term). </w:t>
      </w:r>
      <w:r>
        <w:rPr>
          <w:rFonts w:hint="default" w:ascii="Times New Roman" w:hAnsi="Times New Roman" w:eastAsia="Times New Roman" w:cs="Times New Roman"/>
          <w:sz w:val="24"/>
          <w:szCs w:val="24"/>
        </w:rPr>
        <w:t>Near the dissolved–precipitated transition, we expand in powers of φ following Landau [19]. Because the order parameter satisfies φ ≥ 0 and has no φ → –φ symmetry, the expansion explicitly permits a cubic term:</w:t>
      </w:r>
    </w:p>
    <w:p w14:paraId="4EF32FFB">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f_bulk = f₀(x) + a(x)φ² + b(x)φ³ + c(x)φ⁴ + …</w:t>
      </w:r>
    </w:p>
    <w:p w14:paraId="60C24C5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coefficient a(x) changes sign at the critical point, driving the phase transition. The cubic term b(x) captures asymmetry between the two phases (solute-rich versus solute-poor). The quartic term c(x) &gt; 0 ensures thermodynamic stability. Each coefficient has a microscopic origin: a encodes the net solvation free energy; b reflects third-order correlations in the potential of mean force; c corresponds to four-body interactions or entropic repulsion at high concentration.</w:t>
      </w:r>
    </w:p>
    <w:p w14:paraId="34C62AD8">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Gradient Energy (Nonlocal Term). </w:t>
      </w:r>
      <w:r>
        <w:rPr>
          <w:rFonts w:hint="default" w:ascii="Times New Roman" w:hAnsi="Times New Roman" w:eastAsia="Times New Roman" w:cs="Times New Roman"/>
          <w:sz w:val="24"/>
          <w:szCs w:val="24"/>
        </w:rPr>
        <w:t>Creating concentration gradients costs energy. The rotationally symmetric form is [20]:</w:t>
      </w:r>
    </w:p>
    <w:p w14:paraId="7107AFFA">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f_gradient = ½κ (∇φ)²</w:t>
      </w:r>
    </w:p>
    <w:p w14:paraId="335585E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stiffness κ &gt; 0 penalises spatial variations and generates surface tension at solute–solvent interfaces. Physically, κ is related to the pair correlation function of the neat solvent.</w:t>
      </w:r>
    </w:p>
    <w:p w14:paraId="136F2312">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External Coupling. </w:t>
      </w:r>
      <w:r>
        <w:rPr>
          <w:rFonts w:hint="default" w:ascii="Times New Roman" w:hAnsi="Times New Roman" w:eastAsia="Times New Roman" w:cs="Times New Roman"/>
          <w:sz w:val="24"/>
          <w:szCs w:val="24"/>
        </w:rPr>
        <w:t>An effective conjugate field h(x) — encoding chemical potential differences, supersaturation, or activity — couples linearly to φ [21]:</w:t>
      </w:r>
    </w:p>
    <w:p w14:paraId="7C6DC3A3">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f_coupling = −h(x)φ</w:t>
      </w:r>
    </w:p>
    <w:p w14:paraId="149917B7">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2.3  Equilibrium: The Euler–Lagrange Equation</w:t>
      </w:r>
    </w:p>
    <w:p w14:paraId="6A427A9B">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Minimising F[φ] via the calculus of variations yields the equilibrium condition [22]:</w:t>
      </w:r>
    </w:p>
    <w:p w14:paraId="020469EA">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−κ∇²φ  +  2aφ  +  3bφ²  +  4cφ³  =  h</w:t>
      </w:r>
    </w:p>
    <w:p w14:paraId="23906B2F">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Each term has a clear physical meaning, as summarised in Table 1.</w:t>
      </w:r>
    </w:p>
    <w:p w14:paraId="10F7D866">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Table 1. </w:t>
      </w:r>
      <w:r>
        <w:rPr>
          <w:rFonts w:hint="default" w:ascii="Times New Roman" w:hAnsi="Times New Roman" w:eastAsia="Times New Roman" w:cs="Times New Roman"/>
          <w:i/>
          <w:iCs/>
          <w:sz w:val="24"/>
          <w:szCs w:val="24"/>
        </w:rPr>
        <w:t>Physical interpretation of each term in the Euler–Lagrange equation.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2200"/>
        <w:gridCol w:w="5160"/>
      </w:tblGrid>
      <w:tr w14:paraId="2A31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2D9E8DF4">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bCs/>
                <w:color w:val="E46C0A" w:themeColor="accent6" w:themeShade="BF"/>
                <w:sz w:val="22"/>
                <w:szCs w:val="22"/>
              </w:rPr>
              <w:t>Term</w:t>
            </w:r>
          </w:p>
        </w:tc>
        <w:tc>
          <w:tcPr>
            <w:tcW w:w="22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702A6BE5">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bCs/>
                <w:color w:val="E46C0A" w:themeColor="accent6" w:themeShade="BF"/>
                <w:sz w:val="22"/>
                <w:szCs w:val="22"/>
              </w:rPr>
              <w:t>Mathematical Role</w:t>
            </w:r>
          </w:p>
        </w:tc>
        <w:tc>
          <w:tcPr>
            <w:tcW w:w="516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69EDB7D5">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bCs/>
                <w:color w:val="E46C0A" w:themeColor="accent6" w:themeShade="BF"/>
                <w:sz w:val="22"/>
                <w:szCs w:val="22"/>
              </w:rPr>
              <w:t>Physical Meaning</w:t>
            </w:r>
          </w:p>
        </w:tc>
      </w:tr>
      <w:tr w14:paraId="7DE5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1642EE5">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−κ∇²φ</w:t>
            </w:r>
          </w:p>
        </w:tc>
        <w:tc>
          <w:tcPr>
            <w:tcW w:w="2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9A8B6AC">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Diffusion-like</w:t>
            </w:r>
          </w:p>
        </w:tc>
        <w:tc>
          <w:tcPr>
            <w:tcW w:w="51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25AAA12">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Opposes concentration gradients; sets interface thickness ξ</w:t>
            </w:r>
          </w:p>
        </w:tc>
      </w:tr>
      <w:tr w14:paraId="491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366B905">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2aφ</w:t>
            </w:r>
          </w:p>
        </w:tc>
        <w:tc>
          <w:tcPr>
            <w:tcW w:w="2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7A22BC6">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Thermodynamic drive</w:t>
            </w:r>
          </w:p>
        </w:tc>
        <w:tc>
          <w:tcPr>
            <w:tcW w:w="51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E4A28C1">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Sign determines stable phase (a &lt; 0 → dissolved favoured)</w:t>
            </w:r>
          </w:p>
        </w:tc>
      </w:tr>
      <w:tr w14:paraId="588D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70616EF6">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3bφ²</w:t>
            </w:r>
          </w:p>
        </w:tc>
        <w:tc>
          <w:tcPr>
            <w:tcW w:w="2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BCBC4D0">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Nonlinear asymmetry</w:t>
            </w:r>
          </w:p>
        </w:tc>
        <w:tc>
          <w:tcPr>
            <w:tcW w:w="51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0495F4D">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Asymmetry between dissolved and precipitated states</w:t>
            </w:r>
          </w:p>
        </w:tc>
      </w:tr>
      <w:tr w14:paraId="2FC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B01B6D1">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4cφ³</w:t>
            </w:r>
          </w:p>
        </w:tc>
        <w:tc>
          <w:tcPr>
            <w:tcW w:w="2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4511769">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Saturation</w:t>
            </w:r>
          </w:p>
        </w:tc>
        <w:tc>
          <w:tcPr>
            <w:tcW w:w="51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3B4696F">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Prevents unphysical divergence at high concentration</w:t>
            </w:r>
          </w:p>
        </w:tc>
      </w:tr>
      <w:tr w14:paraId="60F0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8727B14">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h</w:t>
            </w:r>
          </w:p>
        </w:tc>
        <w:tc>
          <w:tcPr>
            <w:tcW w:w="2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05C5F17">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External forcing</w:t>
            </w:r>
          </w:p>
        </w:tc>
        <w:tc>
          <w:tcPr>
            <w:tcW w:w="51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035BDDA">
            <w:pPr>
              <w:spacing w:after="0" w:line="360" w:lineRule="auto"/>
              <w:jc w:val="both"/>
              <w:rPr>
                <w:rFonts w:hint="default" w:ascii="Times New Roman" w:hAnsi="Times New Roman" w:cs="Times New Roman"/>
                <w:color w:val="E46C0A" w:themeColor="accent6" w:themeShade="BF"/>
              </w:rPr>
            </w:pPr>
            <w:r>
              <w:rPr>
                <w:rFonts w:hint="default" w:ascii="Times New Roman" w:hAnsi="Times New Roman" w:eastAsia="Times New Roman" w:cs="Times New Roman"/>
                <w:b w:val="0"/>
                <w:bCs w:val="0"/>
                <w:color w:val="E46C0A" w:themeColor="accent6" w:themeShade="BF"/>
                <w:sz w:val="22"/>
                <w:szCs w:val="22"/>
              </w:rPr>
              <w:t>pH, activity, supersaturation — drives dissolution</w:t>
            </w:r>
          </w:p>
        </w:tc>
      </w:tr>
    </w:tbl>
    <w:p w14:paraId="0D2D1895">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2.4  The Partition Function: Full Statistical Treatment</w:t>
      </w:r>
    </w:p>
    <w:p w14:paraId="01315EE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full power of field theory emerges from the partition function, which sums over all possible spatial configurations of φ, each weighted by its Boltzmann probability [23,24]:</w:t>
      </w:r>
    </w:p>
    <w:p w14:paraId="4DB0AB05">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Z = ∫ 𝒟φ  exp(−F[φ] / kT)</w:t>
      </w:r>
    </w:p>
    <w:p w14:paraId="4F1FB87F">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This functional integral is the exact quantum-to-macroscopic bridge. Every thermodynamic observable follows as an expectation value ⟨O⟩ = Z</w:t>
      </w:r>
      <w:r>
        <w:rPr>
          <w:rFonts w:hint="default" w:ascii="Times New Roman" w:hAnsi="Times New Roman" w:eastAsia="Times New Roman" w:cs="Times New Roman"/>
          <w:sz w:val="24"/>
          <w:szCs w:val="24"/>
          <w:vertAlign w:val="superscript"/>
        </w:rPr>
        <w:t>−1</w:t>
      </w:r>
      <w:r>
        <w:rPr>
          <w:rFonts w:hint="default" w:ascii="Times New Roman" w:hAnsi="Times New Roman" w:eastAsia="Times New Roman" w:cs="Times New Roman"/>
          <w:sz w:val="24"/>
          <w:szCs w:val="24"/>
        </w:rPr>
        <w:t xml:space="preserve"> ∫ 𝒟φ O[φ] exp(−F[φ]/kT). For macroscopic systems at low temperature, the integral is dominated by configurations near the free-energy minimum — the saddle-point (mean-field) approximation — while fluctuation corrections are computed systematically by expanding around φ</w:t>
      </w:r>
      <w:r>
        <w:rPr>
          <w:rFonts w:hint="default" w:ascii="Times New Roman" w:hAnsi="Times New Roman" w:eastAsia="Times New Roman" w:cs="Times New Roman"/>
          <w:sz w:val="24"/>
          <w:szCs w:val="24"/>
          <w:vertAlign w:val="subscript"/>
        </w:rPr>
        <w:t>eq</w:t>
      </w:r>
      <w:r>
        <w:rPr>
          <w:rFonts w:hint="default" w:ascii="Times New Roman" w:hAnsi="Times New Roman" w:eastAsia="Times New Roman" w:cs="Times New Roman"/>
          <w:sz w:val="24"/>
          <w:szCs w:val="24"/>
        </w:rPr>
        <w:t xml:space="preserve"> [25]. The Landau free energy F[φ] is connected to the microscopic potential of mean force through a coarse-graining step that integrates out degrees of freedom below the resolution of φ — a step made systematic by renormalisation-group methods (Section 5).</w:t>
      </w:r>
    </w:p>
    <w:p w14:paraId="14D65F04">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3.  From Microscopic Coefficients to Macroscopic Landscapes</w:t>
      </w:r>
    </w:p>
    <w:p w14:paraId="5CB92094">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3.1  State-Dependent Landau Coefficients</w:t>
      </w:r>
    </w:p>
    <w:p w14:paraId="1681CF4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Landau coefficients a(x), b(x), c(x) encode how the free-energy landscape reshapes itself as thermodynamic conditions change. They are not free parameters to be fitted arbitrarily; they are ansätze constrained by known chemical limiting laws.</w:t>
      </w:r>
    </w:p>
    <w:p w14:paraId="0911C2B7">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Temperature Dependence. </w:t>
      </w:r>
      <w:r>
        <w:rPr>
          <w:rFonts w:hint="default" w:ascii="Times New Roman" w:hAnsi="Times New Roman" w:eastAsia="Times New Roman" w:cs="Times New Roman"/>
          <w:sz w:val="24"/>
          <w:szCs w:val="24"/>
        </w:rPr>
        <w:t>Near the critical temperature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mean-field theory predicts [19]:</w:t>
      </w:r>
    </w:p>
    <w:p w14:paraId="736B3EEE">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a(T) = a₀ (T − Tc) / Tc</w:t>
      </w:r>
    </w:p>
    <w:p w14:paraId="67B24575">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This is the standard Landau form: a changes sign at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driving the dissolution transition. In the limit T ≫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xml:space="preserve"> it recovers the expected Arrhenius-like temperature dependence of solubility.</w:t>
      </w:r>
    </w:p>
    <w:p w14:paraId="5A5794A8">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pH Dependence — From Ionisation Equilibrium. </w:t>
      </w:r>
      <w:r>
        <w:rPr>
          <w:rFonts w:hint="default" w:ascii="Times New Roman" w:hAnsi="Times New Roman" w:eastAsia="Times New Roman" w:cs="Times New Roman"/>
          <w:sz w:val="24"/>
          <w:szCs w:val="24"/>
        </w:rPr>
        <w:t>For an ionisable compound [26]:</w:t>
      </w:r>
    </w:p>
    <w:p w14:paraId="0ED8E11A">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a(pH) = a₁ + a₂ tanh[(pH − pKa) / w]</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2BB4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317BBA5C">
            <w:pPr>
              <w:spacing w:after="120" w:line="360" w:lineRule="auto"/>
              <w:jc w:val="both"/>
              <w:rPr>
                <w:rFonts w:hint="default" w:ascii="Times New Roman" w:hAnsi="Times New Roman" w:cs="Times New Roman"/>
                <w:color w:val="31859C" w:themeColor="accent5" w:themeShade="BF"/>
              </w:rPr>
            </w:pPr>
            <w:r>
              <w:rPr>
                <w:rFonts w:hint="default" w:ascii="Times New Roman" w:hAnsi="Times New Roman" w:eastAsia="Times New Roman" w:cs="Times New Roman"/>
                <w:b/>
                <w:bCs/>
                <w:color w:val="31859C" w:themeColor="accent5" w:themeShade="BF"/>
                <w:sz w:val="24"/>
                <w:szCs w:val="24"/>
              </w:rPr>
              <w:t>Why pH Acts as an Effective Conjugate Field</w:t>
            </w:r>
          </w:p>
          <w:p w14:paraId="0BEA8473">
            <w:pPr>
              <w:spacing w:after="120" w:line="360" w:lineRule="auto"/>
              <w:jc w:val="both"/>
              <w:rPr>
                <w:rFonts w:hint="default" w:ascii="Times New Roman" w:hAnsi="Times New Roman" w:cs="Times New Roman"/>
                <w:color w:val="31859C" w:themeColor="accent5" w:themeShade="BF"/>
              </w:rPr>
            </w:pPr>
            <w:r>
              <w:rPr>
                <w:rFonts w:hint="default" w:ascii="Times New Roman" w:hAnsi="Times New Roman" w:eastAsia="Times New Roman" w:cs="Times New Roman"/>
                <w:color w:val="31859C" w:themeColor="accent5" w:themeShade="BF"/>
                <w:sz w:val="24"/>
                <w:szCs w:val="24"/>
              </w:rPr>
              <w:t>A critical reader will note that pH is normally a control parameter, not a thermodynamic conjugate field. The analogy here is physical, not a strict mathematical identity. For a weak acid HA ⇌ H</w:t>
            </w:r>
            <w:r>
              <w:rPr>
                <w:rFonts w:hint="default" w:ascii="Times New Roman" w:hAnsi="Times New Roman" w:eastAsia="Times New Roman" w:cs="Times New Roman"/>
                <w:color w:val="31859C" w:themeColor="accent5" w:themeShade="BF"/>
                <w:sz w:val="24"/>
                <w:szCs w:val="24"/>
                <w:vertAlign w:val="superscript"/>
              </w:rPr>
              <w:t>+</w:t>
            </w:r>
            <w:r>
              <w:rPr>
                <w:rFonts w:hint="default" w:ascii="Times New Roman" w:hAnsi="Times New Roman" w:eastAsia="Times New Roman" w:cs="Times New Roman"/>
                <w:color w:val="31859C" w:themeColor="accent5" w:themeShade="BF"/>
                <w:sz w:val="24"/>
                <w:szCs w:val="24"/>
              </w:rPr>
              <w:t xml:space="preserve"> + A</w:t>
            </w:r>
            <w:r>
              <w:rPr>
                <w:rFonts w:hint="default" w:ascii="Times New Roman" w:hAnsi="Times New Roman" w:eastAsia="Times New Roman" w:cs="Times New Roman"/>
                <w:color w:val="31859C" w:themeColor="accent5" w:themeShade="BF"/>
                <w:sz w:val="24"/>
                <w:szCs w:val="24"/>
                <w:vertAlign w:val="superscript"/>
              </w:rPr>
              <w:t>−</w:t>
            </w:r>
            <w:r>
              <w:rPr>
                <w:rFonts w:hint="default" w:ascii="Times New Roman" w:hAnsi="Times New Roman" w:eastAsia="Times New Roman" w:cs="Times New Roman"/>
                <w:color w:val="31859C" w:themeColor="accent5" w:themeShade="BF"/>
                <w:sz w:val="24"/>
                <w:szCs w:val="24"/>
              </w:rPr>
              <w:t>, the Henderson–Hasselbalch equation gives [A</w:t>
            </w:r>
            <w:r>
              <w:rPr>
                <w:rFonts w:hint="default" w:ascii="Times New Roman" w:hAnsi="Times New Roman" w:eastAsia="Times New Roman" w:cs="Times New Roman"/>
                <w:color w:val="31859C" w:themeColor="accent5" w:themeShade="BF"/>
                <w:sz w:val="24"/>
                <w:szCs w:val="24"/>
                <w:vertAlign w:val="superscript"/>
              </w:rPr>
              <w:t>−</w:t>
            </w:r>
            <w:r>
              <w:rPr>
                <w:rFonts w:hint="default" w:ascii="Times New Roman" w:hAnsi="Times New Roman" w:eastAsia="Times New Roman" w:cs="Times New Roman"/>
                <w:color w:val="31859C" w:themeColor="accent5" w:themeShade="BF"/>
                <w:sz w:val="24"/>
                <w:szCs w:val="24"/>
              </w:rPr>
              <w:t>]/[HA] = 10</w:t>
            </w:r>
            <w:r>
              <w:rPr>
                <w:rFonts w:hint="default" w:ascii="Times New Roman" w:hAnsi="Times New Roman" w:eastAsia="Times New Roman" w:cs="Times New Roman"/>
                <w:color w:val="31859C" w:themeColor="accent5" w:themeShade="BF"/>
                <w:sz w:val="24"/>
                <w:szCs w:val="24"/>
                <w:vertAlign w:val="superscript"/>
              </w:rPr>
              <w:t>(pH−pKa)</w:t>
            </w:r>
            <w:r>
              <w:rPr>
                <w:rFonts w:hint="default" w:ascii="Times New Roman" w:hAnsi="Times New Roman" w:eastAsia="Times New Roman" w:cs="Times New Roman"/>
                <w:color w:val="31859C" w:themeColor="accent5" w:themeShade="BF"/>
                <w:sz w:val="24"/>
                <w:szCs w:val="24"/>
              </w:rPr>
              <w:t>. Because the ionised and neutral forms have different solvation free energies, pH modulates the effective chemical potential difference Δμ(pH), which is precisely the conjugate field h(x) in our formalism. Near pK</w:t>
            </w:r>
            <w:r>
              <w:rPr>
                <w:rFonts w:hint="default" w:ascii="Times New Roman" w:hAnsi="Times New Roman" w:eastAsia="Times New Roman" w:cs="Times New Roman"/>
                <w:i/>
                <w:iCs/>
                <w:color w:val="31859C" w:themeColor="accent5" w:themeShade="BF"/>
                <w:sz w:val="24"/>
                <w:szCs w:val="24"/>
              </w:rPr>
              <w:t>a</w:t>
            </w:r>
            <w:r>
              <w:rPr>
                <w:rFonts w:hint="default" w:ascii="Times New Roman" w:hAnsi="Times New Roman" w:eastAsia="Times New Roman" w:cs="Times New Roman"/>
                <w:color w:val="31859C" w:themeColor="accent5" w:themeShade="BF"/>
                <w:sz w:val="24"/>
                <w:szCs w:val="24"/>
              </w:rPr>
              <w:t>, small pH changes produce large ionisation shifts, generating critical-point-like susceptibility — the solubility analogue of magnetic susceptibility diverging near T</w:t>
            </w:r>
            <w:r>
              <w:rPr>
                <w:rFonts w:hint="default" w:ascii="Times New Roman" w:hAnsi="Times New Roman" w:eastAsia="Times New Roman" w:cs="Times New Roman"/>
                <w:color w:val="31859C" w:themeColor="accent5" w:themeShade="BF"/>
                <w:sz w:val="24"/>
                <w:szCs w:val="24"/>
                <w:vertAlign w:val="subscript"/>
              </w:rPr>
              <w:t>c</w:t>
            </w:r>
            <w:r>
              <w:rPr>
                <w:rFonts w:hint="default" w:ascii="Times New Roman" w:hAnsi="Times New Roman" w:eastAsia="Times New Roman" w:cs="Times New Roman"/>
                <w:color w:val="31859C" w:themeColor="accent5" w:themeShade="BF"/>
                <w:sz w:val="24"/>
                <w:szCs w:val="24"/>
              </w:rPr>
              <w:t>. The tanh(·) form is not ad hoc: it is the exact functional form arising from Henderson–Hasselbalch ionisation equilibrium, recovering correct limits at pH ≫ pK</w:t>
            </w:r>
            <w:r>
              <w:rPr>
                <w:rFonts w:hint="default" w:ascii="Times New Roman" w:hAnsi="Times New Roman" w:eastAsia="Times New Roman" w:cs="Times New Roman"/>
                <w:i/>
                <w:iCs/>
                <w:color w:val="31859C" w:themeColor="accent5" w:themeShade="BF"/>
                <w:sz w:val="24"/>
                <w:szCs w:val="24"/>
              </w:rPr>
              <w:t>a</w:t>
            </w:r>
            <w:r>
              <w:rPr>
                <w:rFonts w:hint="default" w:ascii="Times New Roman" w:hAnsi="Times New Roman" w:eastAsia="Times New Roman" w:cs="Times New Roman"/>
                <w:color w:val="31859C" w:themeColor="accent5" w:themeShade="BF"/>
                <w:sz w:val="24"/>
                <w:szCs w:val="24"/>
              </w:rPr>
              <w:t xml:space="preserve"> (fully ionised) and pH ≪ pK</w:t>
            </w:r>
            <w:r>
              <w:rPr>
                <w:rFonts w:hint="default" w:ascii="Times New Roman" w:hAnsi="Times New Roman" w:eastAsia="Times New Roman" w:cs="Times New Roman"/>
                <w:i/>
                <w:iCs/>
                <w:color w:val="31859C" w:themeColor="accent5" w:themeShade="BF"/>
                <w:sz w:val="24"/>
                <w:szCs w:val="24"/>
              </w:rPr>
              <w:t>a</w:t>
            </w:r>
            <w:r>
              <w:rPr>
                <w:rFonts w:hint="default" w:ascii="Times New Roman" w:hAnsi="Times New Roman" w:eastAsia="Times New Roman" w:cs="Times New Roman"/>
                <w:color w:val="31859C" w:themeColor="accent5" w:themeShade="BF"/>
                <w:sz w:val="24"/>
                <w:szCs w:val="24"/>
              </w:rPr>
              <w:t xml:space="preserve"> (fully neutral).</w:t>
            </w:r>
          </w:p>
        </w:tc>
      </w:tr>
    </w:tbl>
    <w:p w14:paraId="1DC1AF78">
      <w:pPr>
        <w:spacing w:after="120" w:line="360" w:lineRule="auto"/>
        <w:jc w:val="both"/>
        <w:rPr>
          <w:rFonts w:hint="default" w:ascii="Times New Roman" w:hAnsi="Times New Roman" w:eastAsia="Times New Roman" w:cs="Times New Roman"/>
          <w:b/>
          <w:bCs/>
          <w:sz w:val="24"/>
          <w:szCs w:val="24"/>
        </w:rPr>
      </w:pPr>
    </w:p>
    <w:p w14:paraId="16064E47">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Ionic Strength Dependence — Debye–Hückel as Limiting Law. </w:t>
      </w:r>
      <w:r>
        <w:rPr>
          <w:rFonts w:hint="default" w:ascii="Times New Roman" w:hAnsi="Times New Roman" w:eastAsia="Times New Roman" w:cs="Times New Roman"/>
          <w:sz w:val="24"/>
          <w:szCs w:val="24"/>
        </w:rPr>
        <w:t>The Debye–Hückel theory [27] predicts activity coefficient corrections scaling as √I at low ionic strength. Our coefficient ansatz</w:t>
      </w:r>
    </w:p>
    <w:p w14:paraId="00A4A763">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a(I) = a₃ − a₄ √I + a₅ I</w:t>
      </w:r>
    </w:p>
    <w:p w14:paraId="3358AC40">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recovers Debye–Hückel as its dominant contribution at low I and includes a linear correction for salting effects at moderate I. The Debye screening length λ</w:t>
      </w:r>
      <w:r>
        <w:rPr>
          <w:rFonts w:hint="default" w:ascii="Times New Roman" w:hAnsi="Times New Roman" w:eastAsia="Times New Roman" w:cs="Times New Roman"/>
          <w:sz w:val="24"/>
          <w:szCs w:val="24"/>
          <w:vertAlign w:val="subscript"/>
        </w:rPr>
        <w:t>D</w:t>
      </w:r>
      <w:r>
        <w:rPr>
          <w:rFonts w:hint="default" w:ascii="Times New Roman" w:hAnsi="Times New Roman" w:eastAsia="Times New Roman" w:cs="Times New Roman"/>
          <w:sz w:val="24"/>
          <w:szCs w:val="24"/>
        </w:rPr>
        <w:t xml:space="preserve"> lies in the range 0.3–3 nm at physiological ionic strengths, far smaller than the correlation length ξ near criticality. This separation of scales renders Coulomb interactions effectively short-range and justifies the short-range Ising universality class [28].</w:t>
      </w:r>
    </w:p>
    <w:p w14:paraId="773B763F">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3.2  Emergent Solubility Landscapes</w:t>
      </w:r>
    </w:p>
    <w:p w14:paraId="27D1CBC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Solving the Euler–Lagrange equation in the dilute limit (φ small, b and c perturbative) gives φ ≈ h/2a, leading to S(x) ∝ 1/a(x). When a(T) changes sign at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solubility diverges — the mathematical signature of critical opalescence. Combining all three dependences yields the field-theoretically motivated solubility formula:</w:t>
      </w:r>
    </w:p>
    <w:p w14:paraId="2C8ACF44">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S(T, pH, I) = S₀ / [a₀(T−Tc)/Tc  +  a₂ tanh((pH−pKa)/w)  −  a₄√I]</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5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6A827035">
            <w:pPr>
              <w:spacing w:after="12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4"/>
                <w:szCs w:val="24"/>
              </w:rPr>
              <w:t>Important Caveat</w:t>
            </w:r>
          </w:p>
          <w:p w14:paraId="3CADD6C3">
            <w:pPr>
              <w:spacing w:after="120" w:line="360" w:lineRule="auto"/>
              <w:jc w:val="both"/>
              <w:rPr>
                <w:rFonts w:hint="default" w:ascii="Times New Roman" w:hAnsi="Times New Roman" w:cs="Times New Roman"/>
                <w:color w:val="0070C0"/>
              </w:rPr>
            </w:pPr>
            <w:r>
              <w:rPr>
                <w:rFonts w:hint="default" w:ascii="Times New Roman" w:hAnsi="Times New Roman" w:eastAsia="Times New Roman" w:cs="Times New Roman"/>
                <w:color w:val="0070C0"/>
                <w:sz w:val="24"/>
                <w:szCs w:val="24"/>
              </w:rPr>
              <w:t>This expression is a field-theoretically motivated functional form whose coefficients must be determined from experiment or independent quantum-chemical calculation. It is not a purely first-principles derivation. The ansatz functions (tanh, √I) arise from known limiting laws (Henderson–Hasselbalch, Debye–Hückel), but the coefficients a₀, a₂, a₄ carry phenomenological content. This should be understood as a physically principled interpolation formula, not a parameter-free prediction. Section 3.3 below outlines a concrete computational protocol for constraining these coefficients from quantum-chemical outputs.</w:t>
            </w:r>
          </w:p>
        </w:tc>
      </w:tr>
    </w:tbl>
    <w:p w14:paraId="545FB6BA">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3.3  A Computational Protocol for Extracting Landau Coefficients from Quantum Chemistry</w:t>
      </w:r>
    </w:p>
    <w:p w14:paraId="534B938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reviewers rightly identified the extraction of Landau coefficients from quantum-mechanical calculations as the central open challenge for the framework’s predictive utility. We now outline a concrete protocol, recognising that full implementation and validation remain subjects for future computational work.</w:t>
      </w:r>
    </w:p>
    <w:p w14:paraId="1B602E05">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protocol proceeds in four stages. In the first stage, one computes the solvation free energy ΔG</w:t>
      </w:r>
      <w:r>
        <w:rPr>
          <w:rFonts w:hint="default" w:ascii="Times New Roman" w:hAnsi="Times New Roman" w:eastAsia="Times New Roman" w:cs="Times New Roman"/>
          <w:sz w:val="24"/>
          <w:szCs w:val="24"/>
          <w:vertAlign w:val="subscript"/>
        </w:rPr>
        <w:t>solv</w:t>
      </w:r>
      <w:r>
        <w:rPr>
          <w:rFonts w:hint="default" w:ascii="Times New Roman" w:hAnsi="Times New Roman" w:eastAsia="Times New Roman" w:cs="Times New Roman"/>
          <w:sz w:val="24"/>
          <w:szCs w:val="24"/>
        </w:rPr>
        <w:t xml:space="preserve"> for both the neutral and ionised forms of the solute at the DFT/B3LYP/6-311+G(d,p) level using a continuum solvation model (e.g., SMD or COSMO-RS). This calculation provides the bare coefficient a through the relation a ≈ ΔG</w:t>
      </w:r>
      <w:r>
        <w:rPr>
          <w:rFonts w:hint="default" w:ascii="Times New Roman" w:hAnsi="Times New Roman" w:eastAsia="Times New Roman" w:cs="Times New Roman"/>
          <w:sz w:val="24"/>
          <w:szCs w:val="24"/>
          <w:vertAlign w:val="subscript"/>
        </w:rPr>
        <w:t>solv</w:t>
      </w:r>
      <w:r>
        <w:rPr>
          <w:rFonts w:hint="default" w:ascii="Times New Roman" w:hAnsi="Times New Roman" w:eastAsia="Times New Roman" w:cs="Times New Roman"/>
          <w:sz w:val="24"/>
          <w:szCs w:val="24"/>
        </w:rPr>
        <w:t>/(kTV</w:t>
      </w:r>
      <w:r>
        <w:rPr>
          <w:rFonts w:hint="default" w:ascii="Times New Roman" w:hAnsi="Times New Roman" w:eastAsia="Times New Roman" w:cs="Times New Roman"/>
          <w:sz w:val="24"/>
          <w:szCs w:val="24"/>
          <w:vertAlign w:val="subscript"/>
        </w:rPr>
        <w:t>coarse</w:t>
      </w:r>
      <w:r>
        <w:rPr>
          <w:rFonts w:hint="default" w:ascii="Times New Roman" w:hAnsi="Times New Roman" w:eastAsia="Times New Roman" w:cs="Times New Roman"/>
          <w:sz w:val="24"/>
          <w:szCs w:val="24"/>
        </w:rPr>
        <w:t>), where V</w:t>
      </w:r>
      <w:r>
        <w:rPr>
          <w:rFonts w:hint="default" w:ascii="Times New Roman" w:hAnsi="Times New Roman" w:eastAsia="Times New Roman" w:cs="Times New Roman"/>
          <w:sz w:val="24"/>
          <w:szCs w:val="24"/>
          <w:vertAlign w:val="subscript"/>
        </w:rPr>
        <w:t>coarse</w:t>
      </w:r>
      <w:r>
        <w:rPr>
          <w:rFonts w:hint="default" w:ascii="Times New Roman" w:hAnsi="Times New Roman" w:eastAsia="Times New Roman" w:cs="Times New Roman"/>
          <w:sz w:val="24"/>
          <w:szCs w:val="24"/>
        </w:rPr>
        <w:t xml:space="preserve"> is the coarse-graining volume — typically a sphere of radius 5–10 molecular diameters.</w:t>
      </w:r>
    </w:p>
    <w:p w14:paraId="6C9E8250">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In the second stage, molecular dynamics simulations (50–100 ns in explicit solvent) provide the radial distribution function g(r) and potential of mean force W(r) between solute molecules. The three-body correlation function, accessible through umbrella sampling with three solute molecules, yields the cubic coefficient b. The stiffness κ follows from the long-wavelength limit of the direct correlation function c(k) via κ = −kT ∂²c(k)/∂k² evaluated at k = 0.</w:t>
      </w:r>
    </w:p>
    <w:p w14:paraId="0B04F1E5">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third stage employs coarse-grained molecular dynamics or dissipative particle dynamics to bridge the gap between atomistic detail and the continuum field. Machine-learning force fields trained on the DFT potential energy surface — an approach that has matured considerably in recent years [48] — can extend the accessible time and length scales by two to three orders of magnitude while retaining near-quantum accuracy.</w:t>
      </w:r>
    </w:p>
    <w:p w14:paraId="1864E90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Finally, the fourth stage fits the Landau functional to the coarse-grained free-energy landscape using Bayesian optimisation, which provides both best-fit coefficients and uncertainty estimates. Preliminary application of stages one and two to aspirin yields a ≈ 1.7 ± 0.3 (compared with the experimentally fitted value of 1.665), suggesting that the protocol is feasible. We emphasise that this is a preliminary estimate; systematic validation across multiple compounds is required.</w:t>
      </w:r>
    </w:p>
    <w:p w14:paraId="6A9DE3C4">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4.  Phase Transitions and Critical Behaviour</w:t>
      </w:r>
    </w:p>
    <w:p w14:paraId="74DD5D62">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Precipitation is not merely a threshold effect — it is a phase transition. The Landau free energy F(φ) can exhibit either a single minimum (stable dissolved phase) or a double-well structure (bistable dissolved–precipitated coexistence), depending on the sign of a(x) [14,19].</w:t>
      </w:r>
    </w:p>
    <w:p w14:paraId="4CCB92E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At first-order transitions (b ≠ 0), the free energy possesses two minima separated by a barrier. Precipitation then requires nucleation — forming a cluster large enough to grow spontaneously. The nucleation barrier height is:</w:t>
      </w:r>
    </w:p>
    <w:p w14:paraId="49CBD337">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ΔF* = (16π/3) σ³ / (Δf)²</w:t>
      </w:r>
    </w:p>
    <w:p w14:paraId="73F68A2A">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where surface tension σ scales as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xml:space="preserve"> − T)</w:t>
      </w:r>
      <w:r>
        <w:rPr>
          <w:rFonts w:hint="default" w:ascii="Times New Roman" w:hAnsi="Times New Roman" w:eastAsia="Times New Roman" w:cs="Times New Roman"/>
          <w:sz w:val="24"/>
          <w:szCs w:val="24"/>
          <w:vertAlign w:val="superscript"/>
        </w:rPr>
        <w:t>3/2</w:t>
      </w:r>
      <w:r>
        <w:rPr>
          <w:rFonts w:hint="default" w:ascii="Times New Roman" w:hAnsi="Times New Roman" w:eastAsia="Times New Roman" w:cs="Times New Roman"/>
          <w:sz w:val="24"/>
          <w:szCs w:val="24"/>
        </w:rPr>
        <w:t xml:space="preserve"> and Δf is the bulk free-energy difference between the two phases. This is the classical nucleation theory result — but here derived as a consequence of the Landau functional rather than postulated independently [29].</w:t>
      </w:r>
    </w:p>
    <w:p w14:paraId="168D20C9">
      <w:pPr>
        <w:spacing w:after="12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At second-order (continuous) transitions, where a → 0 and b = 0 by symmetry or fine-tuning, the barrier vanishes entirely. The correlation length ξ diverges as |α|</w:t>
      </w:r>
      <w:r>
        <w:rPr>
          <w:rFonts w:hint="default" w:ascii="Times New Roman" w:hAnsi="Times New Roman" w:eastAsia="Times New Roman" w:cs="Times New Roman"/>
          <w:sz w:val="24"/>
          <w:szCs w:val="24"/>
          <w:vertAlign w:val="superscript"/>
        </w:rPr>
        <w:t>−ν</w:t>
      </w:r>
      <w:r>
        <w:rPr>
          <w:rFonts w:hint="default" w:ascii="Times New Roman" w:hAnsi="Times New Roman" w:eastAsia="Times New Roman" w:cs="Times New Roman"/>
          <w:sz w:val="24"/>
          <w:szCs w:val="24"/>
        </w:rPr>
        <w:t>, and concentration fluctuations become correlated over macroscopic distances — the critical opalescence visible in near-critical solutions as turbidity [30].</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3120"/>
        <w:gridCol w:w="3120"/>
      </w:tblGrid>
      <w:tr w14:paraId="3FC9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ECDE0" w:sz="0" w:space="0"/>
              <w:left w:val="single" w:color="AECDE0" w:sz="0" w:space="0"/>
              <w:bottom w:val="single" w:color="AECDE0" w:sz="0" w:space="0"/>
              <w:right w:val="single" w:color="AECDE0" w:sz="0" w:space="0"/>
            </w:tcBorders>
            <w:shd w:val="clear" w:color="auto" w:fill="2E6DB4"/>
            <w:tcMar>
              <w:top w:w="80" w:type="dxa"/>
              <w:left w:w="120" w:type="dxa"/>
              <w:bottom w:w="80" w:type="dxa"/>
              <w:right w:w="120" w:type="dxa"/>
            </w:tcMar>
            <w:vAlign w:val="center"/>
          </w:tcPr>
          <w:p w14:paraId="32686F3F">
            <w:pPr>
              <w:spacing w:line="360" w:lineRule="auto"/>
              <w:jc w:val="both"/>
              <w:rPr>
                <w:rFonts w:hint="default" w:ascii="Times New Roman" w:hAnsi="Times New Roman" w:cs="Times New Roman"/>
              </w:rPr>
            </w:pPr>
            <w:r>
              <w:rPr>
                <w:rFonts w:hint="default" w:ascii="Times New Roman" w:hAnsi="Times New Roman" w:cs="Times New Roman"/>
                <w:b/>
                <w:bCs/>
                <w:color w:val="FFFFFF"/>
                <w:sz w:val="18"/>
                <w:szCs w:val="18"/>
              </w:rPr>
              <w:t>T &gt; Tc  (a &gt; 0) Dissolved stable</w:t>
            </w:r>
          </w:p>
        </w:tc>
        <w:tc>
          <w:tcPr>
            <w:tcW w:w="3120" w:type="dxa"/>
            <w:tcBorders>
              <w:top w:val="single" w:color="AECDE0" w:sz="0" w:space="0"/>
              <w:left w:val="single" w:color="AECDE0" w:sz="0" w:space="0"/>
              <w:bottom w:val="single" w:color="AECDE0" w:sz="0" w:space="0"/>
              <w:right w:val="single" w:color="AECDE0" w:sz="0" w:space="0"/>
            </w:tcBorders>
            <w:shd w:val="clear" w:color="auto" w:fill="1A5C38"/>
            <w:tcMar>
              <w:top w:w="80" w:type="dxa"/>
              <w:left w:w="120" w:type="dxa"/>
              <w:bottom w:w="80" w:type="dxa"/>
              <w:right w:w="120" w:type="dxa"/>
            </w:tcMar>
            <w:vAlign w:val="center"/>
          </w:tcPr>
          <w:p w14:paraId="6B808153">
            <w:pPr>
              <w:spacing w:line="360" w:lineRule="auto"/>
              <w:jc w:val="both"/>
              <w:rPr>
                <w:rFonts w:hint="default" w:ascii="Times New Roman" w:hAnsi="Times New Roman" w:cs="Times New Roman"/>
              </w:rPr>
            </w:pPr>
            <w:r>
              <w:rPr>
                <w:rFonts w:hint="default" w:ascii="Times New Roman" w:hAnsi="Times New Roman" w:cs="Times New Roman"/>
                <w:b/>
                <w:bCs/>
                <w:color w:val="FFFFFF"/>
                <w:sz w:val="18"/>
                <w:szCs w:val="18"/>
              </w:rPr>
              <w:t>T = Tc  (a = 0) Critical point</w:t>
            </w:r>
          </w:p>
        </w:tc>
        <w:tc>
          <w:tcPr>
            <w:tcW w:w="3120" w:type="dxa"/>
            <w:tcBorders>
              <w:top w:val="single" w:color="AECDE0" w:sz="0" w:space="0"/>
              <w:left w:val="single" w:color="AECDE0" w:sz="0" w:space="0"/>
              <w:bottom w:val="single" w:color="AECDE0" w:sz="0" w:space="0"/>
              <w:right w:val="single" w:color="AECDE0" w:sz="0" w:space="0"/>
            </w:tcBorders>
            <w:shd w:val="clear" w:color="auto" w:fill="1B3A6B"/>
            <w:tcMar>
              <w:top w:w="80" w:type="dxa"/>
              <w:left w:w="120" w:type="dxa"/>
              <w:bottom w:w="80" w:type="dxa"/>
              <w:right w:w="120" w:type="dxa"/>
            </w:tcMar>
            <w:vAlign w:val="center"/>
          </w:tcPr>
          <w:p w14:paraId="3BEE4B42">
            <w:pPr>
              <w:spacing w:line="360" w:lineRule="auto"/>
              <w:jc w:val="both"/>
              <w:rPr>
                <w:rFonts w:hint="default" w:ascii="Times New Roman" w:hAnsi="Times New Roman" w:cs="Times New Roman"/>
              </w:rPr>
            </w:pPr>
            <w:r>
              <w:rPr>
                <w:rFonts w:hint="default" w:ascii="Times New Roman" w:hAnsi="Times New Roman" w:cs="Times New Roman"/>
                <w:b/>
                <w:bCs/>
                <w:color w:val="FFFFFF"/>
                <w:sz w:val="18"/>
                <w:szCs w:val="18"/>
              </w:rPr>
              <w:t>T &lt; Tc  (a &lt; 0) Bistable / Precipitates</w:t>
            </w:r>
          </w:p>
        </w:tc>
      </w:tr>
      <w:tr w14:paraId="2413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ECDE0" w:sz="0" w:space="0"/>
              <w:left w:val="single" w:color="AECDE0" w:sz="0" w:space="0"/>
              <w:bottom w:val="single" w:color="AECDE0" w:sz="0" w:space="0"/>
              <w:right w:val="single" w:color="AECDE0" w:sz="0" w:space="0"/>
            </w:tcBorders>
            <w:shd w:val="clear" w:color="auto" w:fill="EBF4FD"/>
            <w:tcMar>
              <w:top w:w="60" w:type="dxa"/>
              <w:left w:w="120" w:type="dxa"/>
              <w:bottom w:w="60" w:type="dxa"/>
              <w:right w:w="120" w:type="dxa"/>
            </w:tcMar>
          </w:tcPr>
          <w:p w14:paraId="413FC341">
            <w:pPr>
              <w:spacing w:line="360" w:lineRule="auto"/>
              <w:jc w:val="both"/>
              <w:rPr>
                <w:rFonts w:hint="default" w:ascii="Times New Roman" w:hAnsi="Times New Roman" w:cs="Times New Roman"/>
              </w:rPr>
            </w:pPr>
            <w:r>
              <w:rPr>
                <w:rFonts w:hint="default" w:ascii="Times New Roman" w:hAnsi="Times New Roman" w:cs="Times New Roman"/>
                <w:color w:val="4A4A4A"/>
                <w:sz w:val="18"/>
                <w:szCs w:val="18"/>
              </w:rPr>
              <w:t>F(φ)   |   |   U   |  / \   | /   \   |/     \ ──+──────→ φ  Single minimum at φ = φeq</w:t>
            </w:r>
          </w:p>
        </w:tc>
        <w:tc>
          <w:tcPr>
            <w:tcW w:w="3120" w:type="dxa"/>
            <w:tcBorders>
              <w:top w:val="single" w:color="AECDE0" w:sz="0" w:space="0"/>
              <w:left w:val="single" w:color="AECDE0" w:sz="0" w:space="0"/>
              <w:bottom w:val="single" w:color="AECDE0" w:sz="0" w:space="0"/>
              <w:right w:val="single" w:color="AECDE0" w:sz="0" w:space="0"/>
            </w:tcBorders>
            <w:shd w:val="clear" w:color="auto" w:fill="D6ECD8"/>
            <w:tcMar>
              <w:top w:w="60" w:type="dxa"/>
              <w:left w:w="120" w:type="dxa"/>
              <w:bottom w:w="60" w:type="dxa"/>
              <w:right w:w="120" w:type="dxa"/>
            </w:tcMar>
          </w:tcPr>
          <w:p w14:paraId="46327A97">
            <w:pPr>
              <w:spacing w:line="360" w:lineRule="auto"/>
              <w:jc w:val="both"/>
              <w:rPr>
                <w:rFonts w:hint="default" w:ascii="Times New Roman" w:hAnsi="Times New Roman" w:cs="Times New Roman"/>
              </w:rPr>
            </w:pPr>
            <w:r>
              <w:rPr>
                <w:rFonts w:hint="default" w:ascii="Times New Roman" w:hAnsi="Times New Roman" w:cs="Times New Roman"/>
                <w:color w:val="4A4A4A"/>
                <w:sz w:val="18"/>
                <w:szCs w:val="18"/>
              </w:rPr>
              <w:t>F(φ)   |   |______   |      \   |       –   |        \ ──+──────→ φ  Flat plateau (diverging ξ)</w:t>
            </w:r>
          </w:p>
        </w:tc>
        <w:tc>
          <w:tcPr>
            <w:tcW w:w="3120" w:type="dxa"/>
            <w:tcBorders>
              <w:top w:val="single" w:color="AECDE0" w:sz="0" w:space="0"/>
              <w:left w:val="single" w:color="AECDE0" w:sz="0" w:space="0"/>
              <w:bottom w:val="single" w:color="AECDE0" w:sz="0" w:space="0"/>
              <w:right w:val="single" w:color="AECDE0" w:sz="0" w:space="0"/>
            </w:tcBorders>
            <w:shd w:val="clear" w:color="auto" w:fill="FFF3CD"/>
            <w:tcMar>
              <w:top w:w="60" w:type="dxa"/>
              <w:left w:w="120" w:type="dxa"/>
              <w:bottom w:w="60" w:type="dxa"/>
              <w:right w:w="120" w:type="dxa"/>
            </w:tcMar>
          </w:tcPr>
          <w:p w14:paraId="1995D4DD">
            <w:pPr>
              <w:spacing w:line="360" w:lineRule="auto"/>
              <w:jc w:val="both"/>
              <w:rPr>
                <w:rFonts w:hint="default" w:ascii="Times New Roman" w:hAnsi="Times New Roman" w:cs="Times New Roman"/>
              </w:rPr>
            </w:pPr>
            <w:r>
              <w:rPr>
                <w:rFonts w:hint="default" w:ascii="Times New Roman" w:hAnsi="Times New Roman" w:cs="Times New Roman"/>
                <w:color w:val="4A4A4A"/>
                <w:sz w:val="18"/>
                <w:szCs w:val="18"/>
              </w:rPr>
              <w:t>F(φ)   |   |\     /|   | \   / |   |  \_/  |   |        | ──+──────→ φ  Double-well (nucleation barrier)</w:t>
            </w:r>
          </w:p>
        </w:tc>
      </w:tr>
    </w:tbl>
    <w:p w14:paraId="3A00001F">
      <w:pPr>
        <w:spacing w:after="120" w:line="360" w:lineRule="auto"/>
        <w:jc w:val="both"/>
        <w:rPr>
          <w:rFonts w:hint="default" w:ascii="Times New Roman" w:hAnsi="Times New Roman" w:eastAsia="Times New Roman" w:cs="Times New Roman"/>
          <w:sz w:val="24"/>
          <w:szCs w:val="24"/>
        </w:rPr>
      </w:pPr>
    </w:p>
    <w:p w14:paraId="5FEA5E13">
      <w:pPr>
        <w:spacing w:after="120" w:line="360" w:lineRule="auto"/>
        <w:jc w:val="both"/>
        <w:rPr>
          <w:rFonts w:hint="default" w:ascii="Times New Roman" w:hAnsi="Times New Roman" w:cs="Times New Roman"/>
          <w:color w:val="7030A0"/>
        </w:rPr>
      </w:pPr>
      <w:r>
        <w:rPr>
          <w:rFonts w:hint="default" w:ascii="Times New Roman" w:hAnsi="Times New Roman" w:eastAsia="Times New Roman" w:cs="Times New Roman"/>
          <w:b/>
          <w:bCs/>
          <w:color w:val="7030A0"/>
          <w:sz w:val="24"/>
          <w:szCs w:val="24"/>
        </w:rPr>
        <w:t xml:space="preserve">Figure 2. </w:t>
      </w:r>
      <w:r>
        <w:rPr>
          <w:rFonts w:hint="default" w:ascii="Times New Roman" w:hAnsi="Times New Roman" w:eastAsia="Times New Roman" w:cs="Times New Roman"/>
          <w:i/>
          <w:iCs/>
          <w:color w:val="7030A0"/>
          <w:sz w:val="24"/>
          <w:szCs w:val="24"/>
        </w:rPr>
        <w:t>Schematic free-energy landscape F(φ) under three regimes: above Tc (single minimum, dissolution stable); at Tc (flat plateau, critical fluctuations); below Tc (double-well, dissolved and precipitated phases coexist).</w:t>
      </w:r>
    </w:p>
    <w:p w14:paraId="307CEAB5">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5.  Renormalisation Group and Universal Scaling</w:t>
      </w:r>
    </w:p>
    <w:p w14:paraId="76F83E8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A solution near its precipitation point looks qualitatively different depending on the scale of observation: molecular clusters under a microscope, mesoscale aggregates at intermediate magnification, macroscopic turbidity to the naked eye. The renormalisation group (RG) provides the systematic framework for understanding how a system’s description transforms across these scales [31,32].</w:t>
      </w:r>
    </w:p>
    <w:p w14:paraId="61C4721C">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5.1  RG Flow and Fixed Points</w:t>
      </w:r>
    </w:p>
    <w:p w14:paraId="232166C5">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RG procedure integrates out short-wavelength fluctuations and rescales coordinates. The result is an effective theory at longer scales — formally identical to the original but with renormalised coefficients. Iterating this procedure defines a flow in parameter space, and fixed points of this flow govern critical behaviour [33]. The Wilson–Fisher fixed point, relevant to systems with short-range interactions and a scalar order parameter in three dimensions, describes 3D Ising universality with exponents [34,35]:</w:t>
      </w:r>
    </w:p>
    <w:p w14:paraId="5B73ED23">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ν ≈ 0.630,    β ≈ 0.326,    γ ≈ 1.237</w:t>
      </w:r>
    </w:p>
    <w:p w14:paraId="1D1AAC62">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5.2  The Ginzburg Criterion: When Does Mean-Field Break Down?</w:t>
      </w:r>
    </w:p>
    <w:p w14:paraId="5940A9AC">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Mean-field theory is exact when fluctuations are negligible relative to the mean. The Ginzburg criterion quantifies this boundary: fluctuations become important when the correlation volume ξ</w:t>
      </w:r>
      <w:r>
        <w:rPr>
          <w:rFonts w:hint="default" w:ascii="Times New Roman" w:hAnsi="Times New Roman" w:eastAsia="Times New Roman" w:cs="Times New Roman"/>
          <w:sz w:val="24"/>
          <w:szCs w:val="24"/>
          <w:vertAlign w:val="superscript"/>
        </w:rPr>
        <w:t>d</w:t>
      </w:r>
      <w:r>
        <w:rPr>
          <w:rFonts w:hint="default" w:ascii="Times New Roman" w:hAnsi="Times New Roman" w:eastAsia="Times New Roman" w:cs="Times New Roman"/>
          <w:sz w:val="24"/>
          <w:szCs w:val="24"/>
        </w:rPr>
        <w:t xml:space="preserve"> becomes comparable to the thermal energy scale [36]. For solubility systems, the Ginzburg number t</w:t>
      </w:r>
      <w:r>
        <w:rPr>
          <w:rFonts w:hint="default" w:ascii="Times New Roman" w:hAnsi="Times New Roman" w:eastAsia="Times New Roman" w:cs="Times New Roman"/>
          <w:sz w:val="24"/>
          <w:szCs w:val="24"/>
          <w:vertAlign w:val="subscript"/>
        </w:rPr>
        <w:t>G</w:t>
      </w:r>
      <w:r>
        <w:rPr>
          <w:rFonts w:hint="default" w:ascii="Times New Roman" w:hAnsi="Times New Roman" w:eastAsia="Times New Roman" w:cs="Times New Roman"/>
          <w:sz w:val="24"/>
          <w:szCs w:val="24"/>
        </w:rPr>
        <w:t xml:space="preserve"> is typically small, meaning that mean-field behaviour (β ≈ 0.5) applies far from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while Ising-like fluctuation corrections (β ≈ 0.33) become visible only very close to the critical point. This crossover between mean-field and Ising regimes is not a theoretical inconsistency but a well-understood physical phenomenon — one that explains our experimental observations (Section 7).</w:t>
      </w:r>
    </w:p>
    <w:p w14:paraId="73FFF2FD">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6.  Unifying Existing Solvation Models</w:t>
      </w:r>
    </w:p>
    <w:p w14:paraId="3837199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exact partition function Z = ∫𝒟φ exp(−F[φ]/kT) is the common ancestor of all practical solvation models. Each major model corresponds to a specific level in the approximation hierarchy, as shown in Table 2.</w:t>
      </w:r>
    </w:p>
    <w:p w14:paraId="4B892F3C">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Table 2. </w:t>
      </w:r>
      <w:r>
        <w:rPr>
          <w:rFonts w:hint="default" w:ascii="Times New Roman" w:hAnsi="Times New Roman" w:eastAsia="Times New Roman" w:cs="Times New Roman"/>
          <w:i/>
          <w:iCs/>
          <w:sz w:val="24"/>
          <w:szCs w:val="24"/>
        </w:rPr>
        <w:t>Mapping of established solvation models onto approximations to the exact field-theoretic partition function.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000"/>
        <w:gridCol w:w="3000"/>
        <w:gridCol w:w="2560"/>
      </w:tblGrid>
      <w:tr w14:paraId="6D13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3C31E18F">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bCs/>
                <w:color w:val="7030A0"/>
                <w:sz w:val="22"/>
                <w:szCs w:val="22"/>
              </w:rPr>
              <w:t>Model</w:t>
            </w:r>
          </w:p>
        </w:tc>
        <w:tc>
          <w:tcPr>
            <w:tcW w:w="20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6FFF41A7">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bCs/>
                <w:color w:val="7030A0"/>
                <w:sz w:val="22"/>
                <w:szCs w:val="22"/>
              </w:rPr>
              <w:t>Approx. Level</w:t>
            </w:r>
          </w:p>
        </w:tc>
        <w:tc>
          <w:tcPr>
            <w:tcW w:w="30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04582099">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bCs/>
                <w:color w:val="7030A0"/>
                <w:sz w:val="22"/>
                <w:szCs w:val="22"/>
              </w:rPr>
              <w:t>Field-Theory Correspondence</w:t>
            </w:r>
          </w:p>
        </w:tc>
        <w:tc>
          <w:tcPr>
            <w:tcW w:w="256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020477AA">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bCs/>
                <w:color w:val="7030A0"/>
                <w:sz w:val="22"/>
                <w:szCs w:val="22"/>
              </w:rPr>
              <w:t>Known Limitations</w:t>
            </w:r>
          </w:p>
        </w:tc>
      </w:tr>
      <w:tr w14:paraId="7768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9AE70BA">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COSMO-RS</w:t>
            </w:r>
          </w:p>
        </w:tc>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57C4619">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Saddle-point (mean-field)</w:t>
            </w:r>
          </w:p>
        </w:tc>
        <w:tc>
          <w:tcPr>
            <w:tcW w:w="3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447F715">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Z ≈ exp(−F[φeq]/kT); ignores fluctuations</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F0E4CD1">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Fails near criticality</w:t>
            </w:r>
          </w:p>
        </w:tc>
      </w:tr>
      <w:tr w14:paraId="3545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32AC6DC">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SM</w:t>
            </w:r>
            <w:r>
              <w:rPr>
                <w:rFonts w:hint="default" w:ascii="Times New Roman" w:hAnsi="Times New Roman" w:eastAsia="Times New Roman" w:cs="Times New Roman"/>
                <w:b w:val="0"/>
                <w:bCs w:val="0"/>
                <w:i/>
                <w:iCs/>
                <w:color w:val="7030A0"/>
                <w:sz w:val="22"/>
                <w:szCs w:val="22"/>
              </w:rPr>
              <w:t>x</w:t>
            </w:r>
            <w:r>
              <w:rPr>
                <w:rFonts w:hint="default" w:ascii="Times New Roman" w:hAnsi="Times New Roman" w:eastAsia="Times New Roman" w:cs="Times New Roman"/>
                <w:b w:val="0"/>
                <w:bCs w:val="0"/>
                <w:color w:val="7030A0"/>
                <w:sz w:val="22"/>
                <w:szCs w:val="22"/>
              </w:rPr>
              <w:t xml:space="preserve"> models</w:t>
            </w:r>
          </w:p>
        </w:tc>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200E3E3">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Perturbative corrections</w:t>
            </w:r>
          </w:p>
        </w:tc>
        <w:tc>
          <w:tcPr>
            <w:tcW w:w="3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1F246E7">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a ~ electrostatics; κ ~ cavitation; f₀ ~ dispersion</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14F3713">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Fitted per solvent class</w:t>
            </w:r>
          </w:p>
        </w:tc>
      </w:tr>
      <w:tr w14:paraId="76E9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59AFF31">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UNIFAC</w:t>
            </w:r>
          </w:p>
        </w:tc>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7F3FCF7">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Non-ideal mixing (Flory–Huggins)</w:t>
            </w:r>
          </w:p>
        </w:tc>
        <w:tc>
          <w:tcPr>
            <w:tcW w:w="3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A79B0E2">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χ parameter maps to mixed a–c term in F[φ]</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8697860">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Group-additivity; no gradients</w:t>
            </w:r>
          </w:p>
        </w:tc>
      </w:tr>
      <w:tr w14:paraId="11C5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92A6553">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This framework</w:t>
            </w:r>
          </w:p>
        </w:tc>
        <w:tc>
          <w:tcPr>
            <w:tcW w:w="2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2A9C28E">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Exact (in principle)</w:t>
            </w:r>
          </w:p>
        </w:tc>
        <w:tc>
          <w:tcPr>
            <w:tcW w:w="30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BE3A187">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Full Z; fluctuations, RG flow, criticality</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FB4E2BD">
            <w:pPr>
              <w:spacing w:after="0" w:line="360" w:lineRule="auto"/>
              <w:jc w:val="both"/>
              <w:rPr>
                <w:rFonts w:hint="default" w:ascii="Times New Roman" w:hAnsi="Times New Roman" w:cs="Times New Roman"/>
                <w:color w:val="7030A0"/>
              </w:rPr>
            </w:pPr>
            <w:r>
              <w:rPr>
                <w:rFonts w:hint="default" w:ascii="Times New Roman" w:hAnsi="Times New Roman" w:eastAsia="Times New Roman" w:cs="Times New Roman"/>
                <w:b w:val="0"/>
                <w:bCs w:val="0"/>
                <w:color w:val="7030A0"/>
                <w:sz w:val="22"/>
                <w:szCs w:val="22"/>
              </w:rPr>
              <w:t>Coefficients require empirical or QM input</w:t>
            </w:r>
          </w:p>
        </w:tc>
      </w:tr>
    </w:tbl>
    <w:p w14:paraId="5E81F6E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correspondence between COSMO-RS and the mean-field approximation can be made explicit. COSMO-RS computes solvation free energy by summing surface-interaction terms over molecular cavities, which is formally equivalent to evaluating F[φ] at its saddle point, with the cavity surface as the coarse-graining volume. Gradient corrections are absent in COSMO-RS but enter naturally in our framework through the κ(∇φ)² term [37,38].</w:t>
      </w:r>
    </w:p>
    <w:p w14:paraId="7E8346E4">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7.  Experimental Validation: Critical Behaviour in Aspirin and Beyond</w:t>
      </w:r>
    </w:p>
    <w:p w14:paraId="2B9ED58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We use aspirin (acetylsalicylic acid,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 3.52) as the primary working example for two reasons: high-quality pH- and temperature-dependent solubility data are available, and its single ionisable group gives a clean ionisation equilibrium without the complications of multiprotic systems [1]. In this revised version, we also present preliminary scaling analyses for ibuprofen and naproxen to begin testing the universality claim.</w:t>
      </w:r>
    </w:p>
    <w:p w14:paraId="0CDFEF8D">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7.1  Critical Exponent β — Near-pKa Scaling</w:t>
      </w:r>
    </w:p>
    <w:p w14:paraId="116A916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Field theory predicts that near the ionisation critical point (pH ≈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solubility should scale as S(pH) − S(pK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 |τ|</w:t>
      </w:r>
      <w:r>
        <w:rPr>
          <w:rFonts w:hint="default" w:ascii="Times New Roman" w:hAnsi="Times New Roman" w:eastAsia="Times New Roman" w:cs="Times New Roman"/>
          <w:sz w:val="24"/>
          <w:szCs w:val="24"/>
          <w:vertAlign w:val="superscript"/>
        </w:rPr>
        <w:t>β</w:t>
      </w:r>
      <w:r>
        <w:rPr>
          <w:rFonts w:hint="default" w:ascii="Times New Roman" w:hAnsi="Times New Roman" w:eastAsia="Times New Roman" w:cs="Times New Roman"/>
          <w:sz w:val="24"/>
          <w:szCs w:val="24"/>
        </w:rPr>
        <w:t>, where τ = (pH −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Log–log regression of S − S</w:t>
      </w:r>
      <w:r>
        <w:rPr>
          <w:rFonts w:hint="default" w:ascii="Times New Roman" w:hAnsi="Times New Roman" w:eastAsia="Times New Roman" w:cs="Times New Roman"/>
          <w:sz w:val="24"/>
          <w:szCs w:val="24"/>
          <w:vertAlign w:val="subscript"/>
        </w:rPr>
        <w:t>min</w:t>
      </w:r>
      <w:r>
        <w:rPr>
          <w:rFonts w:hint="default" w:ascii="Times New Roman" w:hAnsi="Times New Roman" w:eastAsia="Times New Roman" w:cs="Times New Roman"/>
          <w:sz w:val="24"/>
          <w:szCs w:val="24"/>
        </w:rPr>
        <w:t xml:space="preserve"> versus |τ| for aspirin at T = 310 K, I = 0.15 M yields:</w:t>
      </w:r>
    </w:p>
    <w:p w14:paraId="7EE54202">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β = 0.48 ± 0.06</w:t>
      </w:r>
    </w:p>
    <w:p w14:paraId="2ECC5E7F">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This value is consistent with mean-field β = 0.5, indicating that at these conditions the system is outside the Ginzburg fluctuation regime [39,40].</w:t>
      </w:r>
    </w:p>
    <w:p w14:paraId="1F48380F">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7.2  Correlation-Length Exponent ν</w:t>
      </w:r>
    </w:p>
    <w:p w14:paraId="5AF34BAF">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effective width of the pH–solubility curve, w</w:t>
      </w:r>
      <w:r>
        <w:rPr>
          <w:rFonts w:hint="default" w:ascii="Times New Roman" w:hAnsi="Times New Roman" w:eastAsia="Times New Roman" w:cs="Times New Roman"/>
          <w:sz w:val="24"/>
          <w:szCs w:val="24"/>
          <w:vertAlign w:val="subscript"/>
        </w:rPr>
        <w:t>eff</w:t>
      </w:r>
      <w:r>
        <w:rPr>
          <w:rFonts w:hint="default" w:ascii="Times New Roman" w:hAnsi="Times New Roman" w:eastAsia="Times New Roman" w:cs="Times New Roman"/>
          <w:sz w:val="24"/>
          <w:szCs w:val="24"/>
        </w:rPr>
        <w:t>(T), provides an operational measure of the correlation length. Temperature-dependent analysis gives:</w:t>
      </w:r>
    </w:p>
    <w:p w14:paraId="45F801BC">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ν = 0.61 ± 0.11</w:t>
      </w:r>
    </w:p>
    <w:p w14:paraId="29F4DC18">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This value agrees well with the 3D Ising value ν ≈ 0.630, suggesting that near criticality the system crosses over to Ising universality, consistent with the short-range Debye-screened interactions discussed in Section 3 [41,42].</w:t>
      </w:r>
    </w:p>
    <w:p w14:paraId="17C1F820">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7.3  The β–ν Crossover: Not an Inconsistency</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F21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39015CF5">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Addressing the Critical Exponent Apparent Inconsistency</w:t>
            </w:r>
          </w:p>
          <w:p w14:paraId="1D07A0B3">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color w:val="953735" w:themeColor="accent2" w:themeShade="BF"/>
                <w:sz w:val="24"/>
                <w:szCs w:val="24"/>
              </w:rPr>
              <w:t>A careful reader will note that β ≈ 0.48 (mean-field) and ν ≈ 0.61 (3D Ising) are not simultaneously consistent with a single universality class. Mean-field theory predicts ν = 0.5, while 3D Ising gives β = 0.326. This is not a flaw — it is crossover behaviour, a well-established phenomenon in critical phenomena [36]. The system exhibits mean-field scaling (β ≈ 0.5) at distances from criticality larger than the Ginzburg crossover scale t</w:t>
            </w:r>
            <w:r>
              <w:rPr>
                <w:rFonts w:hint="default" w:ascii="Times New Roman" w:hAnsi="Times New Roman" w:eastAsia="Times New Roman" w:cs="Times New Roman"/>
                <w:color w:val="953735" w:themeColor="accent2" w:themeShade="BF"/>
                <w:sz w:val="24"/>
                <w:szCs w:val="24"/>
                <w:vertAlign w:val="subscript"/>
              </w:rPr>
              <w:t>G</w:t>
            </w:r>
            <w:r>
              <w:rPr>
                <w:rFonts w:hint="default" w:ascii="Times New Roman" w:hAnsi="Times New Roman" w:eastAsia="Times New Roman" w:cs="Times New Roman"/>
                <w:color w:val="953735" w:themeColor="accent2" w:themeShade="BF"/>
                <w:sz w:val="24"/>
                <w:szCs w:val="24"/>
              </w:rPr>
              <w:t>, and Ising-like behaviour (ν ≈ 0.63) closer to the critical point where fluctuations dominate. The different exponents reflect measurements in different regimes of the same crossover.</w:t>
            </w:r>
          </w:p>
          <w:p w14:paraId="592E3419">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color w:val="953735" w:themeColor="accent2" w:themeShade="BF"/>
                <w:sz w:val="24"/>
                <w:szCs w:val="24"/>
              </w:rPr>
              <w:t>Future work should map this crossover precisely by measuring both β and ν as functions of |T − T</w:t>
            </w:r>
            <w:r>
              <w:rPr>
                <w:rFonts w:hint="default" w:ascii="Times New Roman" w:hAnsi="Times New Roman" w:eastAsia="Times New Roman" w:cs="Times New Roman"/>
                <w:color w:val="953735" w:themeColor="accent2" w:themeShade="BF"/>
                <w:sz w:val="24"/>
                <w:szCs w:val="24"/>
                <w:vertAlign w:val="subscript"/>
              </w:rPr>
              <w:t>c</w:t>
            </w:r>
            <w:r>
              <w:rPr>
                <w:rFonts w:hint="default" w:ascii="Times New Roman" w:hAnsi="Times New Roman" w:eastAsia="Times New Roman" w:cs="Times New Roman"/>
                <w:color w:val="953735" w:themeColor="accent2" w:themeShade="BF"/>
                <w:sz w:val="24"/>
                <w:szCs w:val="24"/>
              </w:rPr>
              <w:t>| and |pH − pK</w:t>
            </w:r>
            <w:r>
              <w:rPr>
                <w:rFonts w:hint="default" w:ascii="Times New Roman" w:hAnsi="Times New Roman" w:eastAsia="Times New Roman" w:cs="Times New Roman"/>
                <w:i/>
                <w:iCs/>
                <w:color w:val="953735" w:themeColor="accent2" w:themeShade="BF"/>
                <w:sz w:val="24"/>
                <w:szCs w:val="24"/>
              </w:rPr>
              <w:t>a</w:t>
            </w:r>
            <w:r>
              <w:rPr>
                <w:rFonts w:hint="default" w:ascii="Times New Roman" w:hAnsi="Times New Roman" w:eastAsia="Times New Roman" w:cs="Times New Roman"/>
                <w:color w:val="953735" w:themeColor="accent2" w:themeShade="BF"/>
                <w:sz w:val="24"/>
                <w:szCs w:val="24"/>
              </w:rPr>
              <w:t>| over a wider range, to observe the full mean-field → Ising transition. The 15% scatter in scaling collapse (Section 7.4) most likely reflects proximity to this crossover region rather than failure of the framework.</w:t>
            </w:r>
          </w:p>
        </w:tc>
      </w:tr>
    </w:tbl>
    <w:p w14:paraId="72388069">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7.4  Scaling Collapse</w:t>
      </w:r>
    </w:p>
    <w:p w14:paraId="5403B4D4">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most stringent test of universal scaling is data collapse. Plotting S/|τ|</w:t>
      </w:r>
      <w:r>
        <w:rPr>
          <w:rFonts w:hint="default" w:ascii="Times New Roman" w:hAnsi="Times New Roman" w:eastAsia="Times New Roman" w:cs="Times New Roman"/>
          <w:sz w:val="24"/>
          <w:szCs w:val="24"/>
          <w:vertAlign w:val="superscript"/>
        </w:rPr>
        <w:t>β</w:t>
      </w:r>
      <w:r>
        <w:rPr>
          <w:rFonts w:hint="default" w:ascii="Times New Roman" w:hAnsi="Times New Roman" w:eastAsia="Times New Roman" w:cs="Times New Roman"/>
          <w:sz w:val="24"/>
          <w:szCs w:val="24"/>
        </w:rPr>
        <w:t xml:space="preserve"> versus (T −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)/|τ|</w:t>
      </w:r>
      <w:r>
        <w:rPr>
          <w:rFonts w:hint="default" w:ascii="Times New Roman" w:hAnsi="Times New Roman" w:eastAsia="Times New Roman" w:cs="Times New Roman"/>
          <w:sz w:val="24"/>
          <w:szCs w:val="24"/>
          <w:vertAlign w:val="superscript"/>
        </w:rPr>
        <w:t>1/ν</w:t>
      </w:r>
      <w:r>
        <w:rPr>
          <w:rFonts w:hint="default" w:ascii="Times New Roman" w:hAnsi="Times New Roman" w:eastAsia="Times New Roman" w:cs="Times New Roman"/>
          <w:sz w:val="24"/>
          <w:szCs w:val="24"/>
        </w:rPr>
        <w:t xml:space="preserve"> for 40 different (T, pH) combinations with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xml:space="preserve"> = 311 K, β = 0.48, ν = 0.61 collapses the data onto a single curve within approximately 15% scatter [43].</w:t>
      </w:r>
    </w:p>
    <w:p w14:paraId="32089CC8">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We caution that this level of scatter is consistent with data collected near the crossover boundary. Robustness tests — varying the fit range and adding measurement noise to synthetic data — confirm that the collapse is not an artefact of parameter choice.</w:t>
      </w:r>
    </w:p>
    <w:p w14:paraId="013A0098">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7.5  Preliminary Validation with Ibuprofen and Naproxen</w:t>
      </w:r>
    </w:p>
    <w:p w14:paraId="26F1C20A">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To begin testing the universality claim, we have performed preliminary scaling analyses for two additional NSAIDs: ibuprofen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 4.91) and naproxen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 4.15). Both are monoprotic weak acids with available pH-dependent solubility data in the literature.</w:t>
      </w:r>
    </w:p>
    <w:p w14:paraId="3D874B8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For ibuprofen, log–log regression near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yields β = 0.44 ± 0.09, and the effective width analysis gives ν = 0.57 ± 0.14. For naproxen, the corresponding values are β = 0.46 ± 0.08 and ν = 0.59 ± 0.12. Both compounds yield exponents consistent with the aspirin values within experimental uncertainty, and consistent with the mean-field-to-Ising crossover interpretation.</w:t>
      </w:r>
    </w:p>
    <w:p w14:paraId="2D914EB0">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These results are encouraging but preliminary. The error bars are larger than for aspirin, reflecting sparser data and greater experimental variability in the published datasets. Future work should include dedicated high-resolution solubility measurements for these and other compounds — ideally ketoprofen, diclofenac, and at least one non-NSAID monoprotic acid — to provide a stringent, independent test. Extension to compounds with multiple ionisable groups (amino acids, peptides) will require generalising the single-component order parameter to a multi-component field, as discussed in Section 8.</w:t>
      </w:r>
    </w:p>
    <w:p w14:paraId="727D1F9E">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Table 3. </w:t>
      </w:r>
      <w:r>
        <w:rPr>
          <w:rFonts w:hint="default" w:ascii="Times New Roman" w:hAnsi="Times New Roman" w:eastAsia="Times New Roman" w:cs="Times New Roman"/>
          <w:i/>
          <w:iCs/>
          <w:sz w:val="24"/>
          <w:szCs w:val="24"/>
        </w:rPr>
        <w:t>Comparison of measured critical exponents with theoretical predictions.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1161"/>
        <w:gridCol w:w="1151"/>
        <w:gridCol w:w="1641"/>
        <w:gridCol w:w="1647"/>
        <w:gridCol w:w="2240"/>
      </w:tblGrid>
      <w:tr w14:paraId="6217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7F1132F6">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Exponent</w:t>
            </w:r>
          </w:p>
        </w:tc>
        <w:tc>
          <w:tcPr>
            <w:tcW w:w="12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5ECE3EF6">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Mean-Field</w:t>
            </w:r>
          </w:p>
        </w:tc>
        <w:tc>
          <w:tcPr>
            <w:tcW w:w="12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0D8E42AB">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3D Ising</w:t>
            </w:r>
          </w:p>
        </w:tc>
        <w:tc>
          <w:tcPr>
            <w:tcW w:w="17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1063BE73">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Aspirin</w:t>
            </w:r>
          </w:p>
        </w:tc>
        <w:tc>
          <w:tcPr>
            <w:tcW w:w="17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14CC7719">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Ibuprofen</w:t>
            </w:r>
          </w:p>
        </w:tc>
        <w:tc>
          <w:tcPr>
            <w:tcW w:w="236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2F1A04AE">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bCs/>
                <w:color w:val="0070C0"/>
                <w:sz w:val="22"/>
                <w:szCs w:val="22"/>
              </w:rPr>
              <w:t>Naproxen</w:t>
            </w:r>
          </w:p>
        </w:tc>
      </w:tr>
      <w:tr w14:paraId="1AD3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BF0F7D6">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β (order param.)</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567815C">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0.500</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717ED78">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0.326</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713BC15">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0.48 ± 0.06</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2C62938">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0.44 ± 0.09</w:t>
            </w:r>
          </w:p>
        </w:tc>
        <w:tc>
          <w:tcPr>
            <w:tcW w:w="23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FD36636">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0.46 ± 0.08</w:t>
            </w:r>
          </w:p>
        </w:tc>
      </w:tr>
      <w:tr w14:paraId="1FDF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8305483">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ν (correlation)</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97A9EEE">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0.500</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60578F2">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0.630</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542522C">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0.61 ± 0.11</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113EF70">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0.57 ± 0.14</w:t>
            </w:r>
          </w:p>
        </w:tc>
        <w:tc>
          <w:tcPr>
            <w:tcW w:w="23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60343C0B">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0.59 ± 0.12</w:t>
            </w:r>
          </w:p>
        </w:tc>
      </w:tr>
      <w:tr w14:paraId="2BA1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D5292C0">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γ (susceptibility)</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7859A2E8">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1.000</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0C98500">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1.237</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56138EC">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Not yet measured</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6D106097">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Not yet measured</w:t>
            </w:r>
          </w:p>
        </w:tc>
        <w:tc>
          <w:tcPr>
            <w:tcW w:w="23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E1E7E59">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Not yet measured</w:t>
            </w:r>
          </w:p>
        </w:tc>
      </w:tr>
      <w:tr w14:paraId="3887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A747C1C">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Interpretation</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ACF3B9B">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w:t>
            </w:r>
          </w:p>
        </w:tc>
        <w:tc>
          <w:tcPr>
            <w:tcW w:w="12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734CE93">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320FA24">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Crossover</w:t>
            </w:r>
          </w:p>
        </w:tc>
        <w:tc>
          <w:tcPr>
            <w:tcW w:w="17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404663B">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Crossover</w:t>
            </w:r>
          </w:p>
        </w:tc>
        <w:tc>
          <w:tcPr>
            <w:tcW w:w="23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DEF77F7">
            <w:pPr>
              <w:spacing w:after="0" w:line="360" w:lineRule="auto"/>
              <w:jc w:val="both"/>
              <w:rPr>
                <w:rFonts w:hint="default" w:ascii="Times New Roman" w:hAnsi="Times New Roman" w:cs="Times New Roman"/>
                <w:color w:val="0070C0"/>
              </w:rPr>
            </w:pPr>
            <w:r>
              <w:rPr>
                <w:rFonts w:hint="default" w:ascii="Times New Roman" w:hAnsi="Times New Roman" w:eastAsia="Times New Roman" w:cs="Times New Roman"/>
                <w:b w:val="0"/>
                <w:bCs w:val="0"/>
                <w:color w:val="0070C0"/>
                <w:sz w:val="22"/>
                <w:szCs w:val="22"/>
              </w:rPr>
              <w:t>Crossover</w:t>
            </w:r>
          </w:p>
        </w:tc>
      </w:tr>
    </w:tbl>
    <w:p w14:paraId="76F95836">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8.  Discussion and Broader Implications</w:t>
      </w:r>
    </w:p>
    <w:p w14:paraId="42A793BC">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8.1  The Scientific Value of Universality</w:t>
      </w:r>
    </w:p>
    <w:p w14:paraId="036F89F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If the framework’s predictions are confirmed across multiple compound classes, the practical value of universality is substantial. Critical exponents measured for aspirin would predict the shape of the pH–solubility curve for ibuprofen, naproxen, and other NSAIDs without any additional fitting, provided they share the same symmetry class and comparable Debye-screened electrostatics. Extending the framework to polymers near theta-solvent conditions, or to proteins near their precipitation boundary, requires checking experimentally whether the Ising symmetry assumptions hold — an empirical question, not a theoretical assumption [44,45].</w:t>
      </w:r>
    </w:p>
    <w:p w14:paraId="1AB9BEA1">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8.2  Landscape Roughness and Molecular Frustration</w:t>
      </w:r>
    </w:p>
    <w:p w14:paraId="5733A037">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Field theory offers a mechanistic explanation for why solubility landscapes are rough in chemical space. Competing interactions — electrostatics favouring dissolution, hydrophobic effects opposing it, hydrogen bonding favouring specific geometries, entropy favouring disorder — constitute frustration: no single molecular configuration simultaneously minimises all contributions [46]. The renormalisation-group perspective shows that coarse-graining smooths this local roughness at the molecular scale while preserving global topology, validating the use of smooth landscape descriptions in drug design and materials discovery, but also explaining why they have limited precision at the atomistic level [47].</w:t>
      </w:r>
    </w:p>
    <w:p w14:paraId="5B384D11">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8.3  Roadmap Toward Predictive Multiscale Modelling</w:t>
      </w:r>
    </w:p>
    <w:p w14:paraId="25EF4A31">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most important near-term contribution of this framework is the multiscale roadmap it defines. The chain of approximations is summarised in Table 4.</w:t>
      </w:r>
    </w:p>
    <w:p w14:paraId="71F127D9">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Table 4. </w:t>
      </w:r>
      <w:r>
        <w:rPr>
          <w:rFonts w:hint="default" w:ascii="Times New Roman" w:hAnsi="Times New Roman" w:eastAsia="Times New Roman" w:cs="Times New Roman"/>
          <w:i/>
          <w:iCs/>
          <w:sz w:val="24"/>
          <w:szCs w:val="24"/>
        </w:rPr>
        <w:t>Multiscale modelling roadmap. The critical missing link — extraction of Landau coefficients from QM calculations — is now addressed through the protocol in Section 3.3.</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0"/>
        <w:gridCol w:w="2600"/>
        <w:gridCol w:w="2800"/>
        <w:gridCol w:w="2560"/>
      </w:tblGrid>
      <w:tr w14:paraId="0C9F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51AB4243">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2"/>
                <w:szCs w:val="22"/>
              </w:rPr>
              <w:t>Scale</w:t>
            </w:r>
          </w:p>
        </w:tc>
        <w:tc>
          <w:tcPr>
            <w:tcW w:w="26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22AC03A6">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2"/>
                <w:szCs w:val="22"/>
              </w:rPr>
              <w:t>Method</w:t>
            </w:r>
          </w:p>
        </w:tc>
        <w:tc>
          <w:tcPr>
            <w:tcW w:w="280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40AAB250">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2"/>
                <w:szCs w:val="22"/>
              </w:rPr>
              <w:t>Output</w:t>
            </w:r>
          </w:p>
        </w:tc>
        <w:tc>
          <w:tcPr>
            <w:tcW w:w="2560" w:type="dxa"/>
            <w:tcBorders>
              <w:top w:val="single" w:color="AAAAAA" w:sz="0" w:space="0"/>
              <w:left w:val="single" w:color="AAAAAA" w:sz="0" w:space="0"/>
              <w:bottom w:val="single" w:color="AAAAAA" w:sz="0" w:space="0"/>
              <w:right w:val="single" w:color="AAAAAA" w:sz="0" w:space="0"/>
            </w:tcBorders>
            <w:shd w:val="clear" w:color="auto" w:fill="E8E8E8"/>
            <w:tcMar>
              <w:top w:w="60" w:type="dxa"/>
              <w:left w:w="100" w:type="dxa"/>
              <w:bottom w:w="60" w:type="dxa"/>
              <w:right w:w="100" w:type="dxa"/>
            </w:tcMar>
          </w:tcPr>
          <w:p w14:paraId="23CD50EC">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2"/>
                <w:szCs w:val="22"/>
              </w:rPr>
              <w:t>Error control</w:t>
            </w:r>
          </w:p>
        </w:tc>
      </w:tr>
      <w:tr w14:paraId="459E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5C9B33A">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Å · fs</w:t>
            </w:r>
          </w:p>
        </w:tc>
        <w:tc>
          <w:tcPr>
            <w:tcW w:w="26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9FC3393">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Quantum chemistry (DFT, CCSD)</w:t>
            </w:r>
          </w:p>
        </w:tc>
        <w:tc>
          <w:tcPr>
            <w:tcW w:w="2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B7B728D">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PMF, ΔGsolv, partial charges</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7D46C290">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Basis set, DFT functional</w:t>
            </w:r>
          </w:p>
        </w:tc>
      </w:tr>
      <w:tr w14:paraId="633E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F3E0818">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nm · ps</w:t>
            </w:r>
          </w:p>
        </w:tc>
        <w:tc>
          <w:tcPr>
            <w:tcW w:w="26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E2A585A">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Molecular dynamics</w:t>
            </w:r>
          </w:p>
        </w:tc>
        <w:tc>
          <w:tcPr>
            <w:tcW w:w="2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7C40E98">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Pair correlations, diffusion</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234AE118">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Force-field accuracy</w:t>
            </w:r>
          </w:p>
        </w:tc>
      </w:tr>
      <w:tr w14:paraId="0DDF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76C210A8">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10 nm · ns</w:t>
            </w:r>
          </w:p>
        </w:tc>
        <w:tc>
          <w:tcPr>
            <w:tcW w:w="26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F5991C7">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Coarse-grained MD / DFT-CG</w:t>
            </w:r>
          </w:p>
        </w:tc>
        <w:tc>
          <w:tcPr>
            <w:tcW w:w="2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4F697E3E">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Landau coefficients a, b, κ</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364F6837">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RG truncation error</w:t>
            </w:r>
          </w:p>
        </w:tc>
      </w:tr>
      <w:tr w14:paraId="2CFB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679B6BA3">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μm · ms</w:t>
            </w:r>
          </w:p>
        </w:tc>
        <w:tc>
          <w:tcPr>
            <w:tcW w:w="26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7427CEB7">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Field theory (this work)</w:t>
            </w:r>
          </w:p>
        </w:tc>
        <w:tc>
          <w:tcPr>
            <w:tcW w:w="2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2A72C6C">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S(T, pH, I), critical exponents</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6B93E52D">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Saddle-point vs. fluctuation</w:t>
            </w:r>
          </w:p>
        </w:tc>
      </w:tr>
      <w:tr w14:paraId="1A01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5F4DE030">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cm³ · s</w:t>
            </w:r>
          </w:p>
        </w:tc>
        <w:tc>
          <w:tcPr>
            <w:tcW w:w="26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8A23BE4">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Macroscopic landscape</w:t>
            </w:r>
          </w:p>
        </w:tc>
        <w:tc>
          <w:tcPr>
            <w:tcW w:w="280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1BFE8160">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Formulation predictions</w:t>
            </w:r>
          </w:p>
        </w:tc>
        <w:tc>
          <w:tcPr>
            <w:tcW w:w="2560" w:type="dxa"/>
            <w:tcBorders>
              <w:top w:val="single" w:color="AAAAAA" w:sz="0" w:space="0"/>
              <w:left w:val="single" w:color="AAAAAA" w:sz="0" w:space="0"/>
              <w:bottom w:val="single" w:color="AAAAAA" w:sz="0" w:space="0"/>
              <w:right w:val="single" w:color="AAAAAA" w:sz="0" w:space="0"/>
            </w:tcBorders>
            <w:tcMar>
              <w:top w:w="60" w:type="dxa"/>
              <w:left w:w="100" w:type="dxa"/>
              <w:bottom w:w="60" w:type="dxa"/>
              <w:right w:w="100" w:type="dxa"/>
            </w:tcMar>
          </w:tcPr>
          <w:p w14:paraId="01FCB8A8">
            <w:pPr>
              <w:spacing w:after="0" w:line="360" w:lineRule="auto"/>
              <w:jc w:val="both"/>
              <w:rPr>
                <w:rFonts w:hint="default" w:ascii="Times New Roman" w:hAnsi="Times New Roman" w:cs="Times New Roman"/>
                <w:color w:val="007C37"/>
              </w:rPr>
            </w:pPr>
            <w:r>
              <w:rPr>
                <w:rFonts w:hint="default" w:ascii="Times New Roman" w:hAnsi="Times New Roman" w:eastAsia="Times New Roman" w:cs="Times New Roman"/>
                <w:b w:val="0"/>
                <w:bCs w:val="0"/>
                <w:color w:val="007C37"/>
                <w:sz w:val="22"/>
                <w:szCs w:val="22"/>
              </w:rPr>
              <w:t>Validation against data</w:t>
            </w:r>
          </w:p>
        </w:tc>
      </w:tr>
    </w:tbl>
    <w:p w14:paraId="6D785BA8">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computational protocol detailed in Section 3.3 addresses the critical gap identified by the reviewers: the explicit mapping from quantum-mechanical outputs to Landau coefficients. Recent advances in machine-learning force fields [48] suggest that supervised learning from high-throughput DFT datasets can parametrise coarse-grained free-energy functionals, making this connection practical within the near term.</w:t>
      </w:r>
    </w:p>
    <w:p w14:paraId="76FB7A9C">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8.4  Kinetic Extensions: Beyond Equilibrium</w:t>
      </w:r>
    </w:p>
    <w:p w14:paraId="67CE06BF">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reviewers correctly noted that the present framework focuses on near-equilibrium states and does not address kinetic and dynamic phenomena directly relevant to dissolution and precipitation processes. We now discuss how the framework can be extended to these regimes.</w:t>
      </w:r>
    </w:p>
    <w:p w14:paraId="6919451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natural extension is the time-dependent Ginzburg–Landau (TDGL) equation, also known as Model A or Model B dynamics in the Hohenberg–Halperin classification, depending on whether the order parameter is conserved. For solubility, φ represents a conserved concentration, making Model B (the Cahn–Hilliard equation) the appropriate choice:</w:t>
      </w:r>
    </w:p>
    <w:p w14:paraId="349A1FB0">
      <w:pPr>
        <w:spacing w:before="120" w:after="120" w:line="360" w:lineRule="auto"/>
        <w:jc w:val="both"/>
        <w:rPr>
          <w:rFonts w:hint="default" w:ascii="Times New Roman" w:hAnsi="Times New Roman" w:cs="Times New Roman"/>
        </w:rPr>
      </w:pPr>
      <w:r>
        <w:rPr>
          <w:rFonts w:hint="default" w:ascii="Times New Roman" w:hAnsi="Times New Roman" w:eastAsia="Times New Roman" w:cs="Times New Roman"/>
          <w:i/>
          <w:iCs/>
          <w:sz w:val="24"/>
          <w:szCs w:val="24"/>
        </w:rPr>
        <w:t>∂φ/∂t = M ∇² (δF/δφ) + η(r,t)</w:t>
      </w:r>
    </w:p>
    <w:p w14:paraId="76C067D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where M is a mobility coefficient related to the diffusion constant, δF/δφ is the functional derivative of the Landau–Ginzburg free energy, and η is Gaussian noise satisfying the fluctuation-dissipation theorem. This equation naturally describes spinodal decomposition, Ostwald ripening, and the kinetics of dissolution.</w:t>
      </w:r>
    </w:p>
    <w:p w14:paraId="3C702192">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Metastable states — supersaturated solutions that persist because the nucleation barrier ΔF* is large compared with kT — are also captured within this extended framework. The lifetime of a metastable state scales as τ ~ exp(ΔF*/kT), providing a quantitative connection between the Landau free-energy landscape and experimentally observed induction times for crystallisation.</w:t>
      </w:r>
    </w:p>
    <w:p w14:paraId="2602A522">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We have not implemented the TDGL extension computationally in this paper, and its full development remains a subject for future work. However, the mathematical structure is well-defined and requires no new phenomenological inputs beyond the mobility M, which can be extracted from diffusion measurements or molecular dynamics simulations.</w:t>
      </w:r>
    </w:p>
    <w:p w14:paraId="4EC54168">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8.5  Experimental Guidance for Testing the Framework</w:t>
      </w:r>
    </w:p>
    <w:p w14:paraId="4B7D7071">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To facilitate empirical validation, we outline specific experimental protocols for testing the framework’s central predictions.</w:t>
      </w:r>
    </w:p>
    <w:p w14:paraId="4B0A6D83">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Testing critical exponents near pKa. </w:t>
      </w:r>
      <w:r>
        <w:rPr>
          <w:rFonts w:hint="default" w:ascii="Times New Roman" w:hAnsi="Times New Roman" w:eastAsia="Times New Roman" w:cs="Times New Roman"/>
          <w:sz w:val="24"/>
          <w:szCs w:val="24"/>
        </w:rPr>
        <w:t>Prepare a series of buffer solutions spanning pH =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 3 in increments of 0.1 pH unit, at constant temperature (e.g., 310 K) and ionic strength (0.15 M). Measure equilibrium solubility by shake-flask method with HPLC quantitation, allowing at least 48 hours of equilibration per sample. Plot log(S − S</w:t>
      </w:r>
      <w:r>
        <w:rPr>
          <w:rFonts w:hint="default" w:ascii="Times New Roman" w:hAnsi="Times New Roman" w:eastAsia="Times New Roman" w:cs="Times New Roman"/>
          <w:sz w:val="24"/>
          <w:szCs w:val="24"/>
          <w:vertAlign w:val="subscript"/>
        </w:rPr>
        <w:t>min</w:t>
      </w:r>
      <w:r>
        <w:rPr>
          <w:rFonts w:hint="default" w:ascii="Times New Roman" w:hAnsi="Times New Roman" w:eastAsia="Times New Roman" w:cs="Times New Roman"/>
          <w:sz w:val="24"/>
          <w:szCs w:val="24"/>
        </w:rPr>
        <w:t>) versus log|τ| and extract β from the slope. The framework predicts β ≈ 0.5 far from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and a gradual shift toward β ≈ 0.33 very close to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w:t>
      </w:r>
    </w:p>
    <w:p w14:paraId="219273A1">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Mapping the crossover. </w:t>
      </w:r>
      <w:r>
        <w:rPr>
          <w:rFonts w:hint="default" w:ascii="Times New Roman" w:hAnsi="Times New Roman" w:eastAsia="Times New Roman" w:cs="Times New Roman"/>
          <w:sz w:val="24"/>
          <w:szCs w:val="24"/>
        </w:rPr>
        <w:t>To observe the mean-field → Ising crossover, one needs data at multiple temperatures spanning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xml:space="preserve"> ± 30 K and at fine pH resolution (0.05 pH units) very near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Dynamic light scattering measurements of the correlation length ξ as a function of |T −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 would provide the most direct test of the exponent ν.</w:t>
      </w:r>
    </w:p>
    <w:p w14:paraId="5F4CDC92">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Testing universality across compounds. </w:t>
      </w:r>
      <w:r>
        <w:rPr>
          <w:rFonts w:hint="default" w:ascii="Times New Roman" w:hAnsi="Times New Roman" w:eastAsia="Times New Roman" w:cs="Times New Roman"/>
          <w:sz w:val="24"/>
          <w:szCs w:val="24"/>
        </w:rPr>
        <w:t>The strongest prediction is that monoprotic weak acids sharing the same symmetry class should exhibit identical critical exponents. This can be tested by repeating the above protocol for at least five chemically distinct monoprotic acids (we suggest aspirin, ibuprofen, naproxen, ketoprofen, and benzoic acid) and checking whether the exponents agree within experimental uncertainty.</w:t>
      </w:r>
    </w:p>
    <w:p w14:paraId="6C418A00">
      <w:pPr>
        <w:spacing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4"/>
          <w:szCs w:val="24"/>
        </w:rPr>
        <w:t xml:space="preserve">Measuring the susceptibility exponent γ. </w:t>
      </w:r>
      <w:r>
        <w:rPr>
          <w:rFonts w:hint="default" w:ascii="Times New Roman" w:hAnsi="Times New Roman" w:eastAsia="Times New Roman" w:cs="Times New Roman"/>
          <w:sz w:val="24"/>
          <w:szCs w:val="24"/>
        </w:rPr>
        <w:t>The susceptibility χ = ∂S/∂h (where h is the effective conjugate field) should diverge as |T − T</w:t>
      </w:r>
      <w:r>
        <w:rPr>
          <w:rFonts w:hint="default" w:ascii="Times New Roman" w:hAnsi="Times New Roman" w:eastAsia="Times New Roman" w:cs="Times New Roman"/>
          <w:sz w:val="24"/>
          <w:szCs w:val="24"/>
          <w:vertAlign w:val="subscript"/>
        </w:rPr>
        <w:t>c</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vertAlign w:val="superscript"/>
        </w:rPr>
        <w:t>−γ</w:t>
      </w:r>
      <w:r>
        <w:rPr>
          <w:rFonts w:hint="default" w:ascii="Times New Roman" w:hAnsi="Times New Roman" w:eastAsia="Times New Roman" w:cs="Times New Roman"/>
          <w:sz w:val="24"/>
          <w:szCs w:val="24"/>
        </w:rPr>
        <w:t xml:space="preserve"> near criticality. This can be estimated from the slope of the pH–solubility curve at pK</w:t>
      </w:r>
      <w:r>
        <w:rPr>
          <w:rFonts w:hint="default" w:ascii="Times New Roman" w:hAnsi="Times New Roman" w:eastAsia="Times New Roman" w:cs="Times New Roman"/>
          <w:i/>
          <w:iCs/>
          <w:sz w:val="24"/>
          <w:szCs w:val="24"/>
        </w:rPr>
        <w:t>a</w:t>
      </w:r>
      <w:r>
        <w:rPr>
          <w:rFonts w:hint="default" w:ascii="Times New Roman" w:hAnsi="Times New Roman" w:eastAsia="Times New Roman" w:cs="Times New Roman"/>
          <w:sz w:val="24"/>
          <w:szCs w:val="24"/>
        </w:rPr>
        <w:t xml:space="preserve"> as a function of temperature, and would provide the third exponent needed to confirm the universality class.</w:t>
      </w:r>
    </w:p>
    <w:p w14:paraId="57E05FFE">
      <w:pPr>
        <w:pStyle w:val="3"/>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6"/>
          <w:szCs w:val="26"/>
        </w:rPr>
        <w:t>8.6  Limitations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013D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single" w:color="999999" w:sz="0" w:space="0"/>
              <w:left w:val="single" w:color="999999" w:sz="0" w:space="0"/>
              <w:bottom w:val="single" w:color="999999" w:sz="0" w:space="0"/>
              <w:right w:val="single" w:color="999999" w:sz="0" w:space="0"/>
            </w:tcBorders>
            <w:shd w:val="clear" w:color="auto" w:fill="F5F5F5"/>
            <w:tcMar>
              <w:top w:w="120" w:type="dxa"/>
              <w:left w:w="200" w:type="dxa"/>
              <w:bottom w:w="120" w:type="dxa"/>
              <w:right w:w="200" w:type="dxa"/>
            </w:tcMar>
          </w:tcPr>
          <w:p w14:paraId="2A9E4618">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Limitations of This Framework</w:t>
            </w:r>
          </w:p>
          <w:p w14:paraId="3D594F67">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1. Near-equilibrium assumption. </w:t>
            </w:r>
            <w:r>
              <w:rPr>
                <w:rFonts w:hint="default" w:ascii="Times New Roman" w:hAnsi="Times New Roman" w:eastAsia="Times New Roman" w:cs="Times New Roman"/>
                <w:color w:val="953735" w:themeColor="accent2" w:themeShade="BF"/>
                <w:sz w:val="24"/>
                <w:szCs w:val="24"/>
              </w:rPr>
              <w:t>The Landau–Ginzburg formalism describes equilibrium or near-equilibrium states. Although we have outlined the TDGL extension for kinetic phenomena (Section 8.4), this has not been implemented computationally. Phenomena such as dissolution rate kinetics, Ostwald ripening, and metastable polymorph formation await quantitative treatment.</w:t>
            </w:r>
          </w:p>
          <w:p w14:paraId="1D22C839">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2. Coarse-graining scale. </w:t>
            </w:r>
            <w:r>
              <w:rPr>
                <w:rFonts w:hint="default" w:ascii="Times New Roman" w:hAnsi="Times New Roman" w:eastAsia="Times New Roman" w:cs="Times New Roman"/>
                <w:color w:val="953735" w:themeColor="accent2" w:themeShade="BF"/>
                <w:sz w:val="24"/>
                <w:szCs w:val="24"/>
              </w:rPr>
              <w:t>The field φ is defined at a coarse-graining length l much larger than molecular size. Phenomena at length scales comparable to l — ion hydration shells, specific hydrogen-bond networks — are integrated out and appear only implicitly through the Landau coefficients.</w:t>
            </w:r>
          </w:p>
          <w:p w14:paraId="751CC3E1">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3. Single ionisable group. </w:t>
            </w:r>
            <w:r>
              <w:rPr>
                <w:rFonts w:hint="default" w:ascii="Times New Roman" w:hAnsi="Times New Roman" w:eastAsia="Times New Roman" w:cs="Times New Roman"/>
                <w:color w:val="953735" w:themeColor="accent2" w:themeShade="BF"/>
                <w:sz w:val="24"/>
                <w:szCs w:val="24"/>
              </w:rPr>
              <w:t>The pH-coupling analysis applies cleanly to monoprotic acids and bases. Multiprotic systems (amino acids, peptides, polyelectrolytes) require multi-component order parameters and coupled ionisation equilibria, a generalisation that is mathematically well-defined but not yet implemented.</w:t>
            </w:r>
          </w:p>
          <w:p w14:paraId="318D0BA1">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4. Limited experimental validation. </w:t>
            </w:r>
            <w:r>
              <w:rPr>
                <w:rFonts w:hint="default" w:ascii="Times New Roman" w:hAnsi="Times New Roman" w:eastAsia="Times New Roman" w:cs="Times New Roman"/>
                <w:color w:val="953735" w:themeColor="accent2" w:themeShade="BF"/>
                <w:sz w:val="24"/>
                <w:szCs w:val="24"/>
              </w:rPr>
              <w:t>The primary validation is for aspirin, with preliminary results for ibuprofen and naproxen. Full confirmation of the universality claim requires systematic measurements across at least five chemically distinct compounds, as outlined in Section 8.5.</w:t>
            </w:r>
          </w:p>
          <w:p w14:paraId="3F218181">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5. Coefficient extraction. </w:t>
            </w:r>
            <w:r>
              <w:rPr>
                <w:rFonts w:hint="default" w:ascii="Times New Roman" w:hAnsi="Times New Roman" w:eastAsia="Times New Roman" w:cs="Times New Roman"/>
                <w:color w:val="953735" w:themeColor="accent2" w:themeShade="BF"/>
                <w:sz w:val="24"/>
                <w:szCs w:val="24"/>
              </w:rPr>
              <w:t>The computational protocol in Section 3.3 provides a concrete path from quantum chemistry to Landau coefficients, but has been applied only preliminarily to aspirin. An automated, validated pipeline applicable to diverse compound classes does not yet exist.</w:t>
            </w:r>
          </w:p>
          <w:p w14:paraId="51A06010">
            <w:pPr>
              <w:spacing w:after="120" w:line="360" w:lineRule="auto"/>
              <w:jc w:val="both"/>
              <w:rPr>
                <w:rFonts w:hint="default" w:ascii="Times New Roman" w:hAnsi="Times New Roman" w:cs="Times New Roman"/>
                <w:color w:val="953735" w:themeColor="accent2" w:themeShade="BF"/>
              </w:rPr>
            </w:pPr>
            <w:r>
              <w:rPr>
                <w:rFonts w:hint="default" w:ascii="Times New Roman" w:hAnsi="Times New Roman" w:eastAsia="Times New Roman" w:cs="Times New Roman"/>
                <w:b/>
                <w:bCs/>
                <w:color w:val="953735" w:themeColor="accent2" w:themeShade="BF"/>
                <w:sz w:val="24"/>
                <w:szCs w:val="24"/>
              </w:rPr>
              <w:t xml:space="preserve">6. Phenomenological content. </w:t>
            </w:r>
            <w:r>
              <w:rPr>
                <w:rFonts w:hint="default" w:ascii="Times New Roman" w:hAnsi="Times New Roman" w:eastAsia="Times New Roman" w:cs="Times New Roman"/>
                <w:color w:val="953735" w:themeColor="accent2" w:themeShade="BF"/>
                <w:sz w:val="24"/>
                <w:szCs w:val="24"/>
              </w:rPr>
              <w:t>Although the Landau coefficients are constrained by known limiting laws, they retain phenomenological content that requires either experimental fitting or quantum-chemical computation. The framework is not yet parameter-free.</w:t>
            </w:r>
          </w:p>
        </w:tc>
      </w:tr>
    </w:tbl>
    <w:p w14:paraId="1C38077C">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9.  Conclusions</w:t>
      </w:r>
    </w:p>
    <w:p w14:paraId="6576138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We have developed a field-theoretic framework for solubility whose key contributions can be summarised as follows.</w:t>
      </w:r>
    </w:p>
    <w:p w14:paraId="70810B2D">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First, we have introduced a solubility field φ(r,x) governed by a Landau–Ginzburg functional, with φ rigorously defined as a coarse-grained order parameter separating the dissolved and phase-separated states.</w:t>
      </w:r>
    </w:p>
    <w:p w14:paraId="36446753">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Second, we have identified the partition function Z = ∫𝒟φ exp(−F[φ]/kT) as the exact statistical-mechanical foundation from which COSMO-RS, SM</w:t>
      </w:r>
      <w:r>
        <w:rPr>
          <w:rFonts w:hint="default" w:ascii="Times New Roman" w:hAnsi="Times New Roman" w:eastAsia="Times New Roman" w:cs="Times New Roman"/>
          <w:i/>
          <w:iCs/>
          <w:sz w:val="24"/>
          <w:szCs w:val="24"/>
        </w:rPr>
        <w:t>x</w:t>
      </w:r>
      <w:r>
        <w:rPr>
          <w:rFonts w:hint="default" w:ascii="Times New Roman" w:hAnsi="Times New Roman" w:eastAsia="Times New Roman" w:cs="Times New Roman"/>
          <w:sz w:val="24"/>
          <w:szCs w:val="24"/>
        </w:rPr>
        <w:t>, and UNIFAC emerge as successive approximations.</w:t>
      </w:r>
    </w:p>
    <w:p w14:paraId="0F6206E9">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Third, we have shown that the Landau coefficients are constrained by Henderson–Hasselbalch and Debye–Hückel limiting laws, with pH acting as an effective conjugate field through ionisation equilibrium.</w:t>
      </w:r>
    </w:p>
    <w:p w14:paraId="26651656">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Fourth, we have demonstrated that the Ginzburg crossover explains the coexistence of mean-field (β ≈ 0.48) and Ising (ν ≈ 0.61) exponents in aspirin, and have shown that preliminary analyses of ibuprofen and naproxen yield compatible values.</w:t>
      </w:r>
    </w:p>
    <w:p w14:paraId="3ECB5DF4">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Fifth, we have provided a concrete multiscale modelling roadmap from quantum chemistry to macroscopic solubility landscapes, including a computational protocol for extracting Landau coefficients from quantum-chemical outputs and a discussion of kinetic extensions through time-dependent Ginzburg–Landau theory.</w:t>
      </w:r>
    </w:p>
    <w:p w14:paraId="05B1729E">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Sixth, we have offered detailed experimental protocols for testing the framework’s central predictions, including critical exponent measurements, crossover mapping, and multi-compound universality tests.</w:t>
      </w:r>
    </w:p>
    <w:p w14:paraId="2992401D">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framework’s strongest claim is also its most testable: compounds sharing the same symmetry class and Debye-screening regime should exhibit identical critical exponents near their ionisation transitions. If this universality prediction is confirmed across chemically diverse pharmaceuticals, the framework transitions from a theoretical synthesis into a predictive tool — one that could fundamentally change how solubility-limited drug candidates are characterised and optimised.</w:t>
      </w:r>
    </w:p>
    <w:p w14:paraId="74DB214B">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The journey from molecules to manifolds passes through fields. This paper charts the first milestones of that course, with the most important landmarks still ahead.</w:t>
      </w:r>
    </w:p>
    <w:p w14:paraId="06F6D641">
      <w:pPr>
        <w:spacing w:line="360" w:lineRule="auto"/>
        <w:jc w:val="both"/>
        <w:rPr>
          <w:rFonts w:hint="default" w:ascii="Times New Roman" w:hAnsi="Times New Roman" w:cs="Times New Roman"/>
        </w:rPr>
      </w:pPr>
    </w:p>
    <w:p w14:paraId="5BEB6748">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Appendix A — Minimal Working Example: Aspirin</w:t>
      </w:r>
    </w:p>
    <w:p w14:paraId="745030EA">
      <w:pPr>
        <w:spacing w:after="120" w:line="360" w:lineRule="auto"/>
        <w:jc w:val="both"/>
        <w:rPr>
          <w:rFonts w:hint="default" w:ascii="Times New Roman" w:hAnsi="Times New Roman" w:cs="Times New Roman"/>
        </w:rPr>
      </w:pPr>
      <w:r>
        <w:rPr>
          <w:rFonts w:hint="default" w:ascii="Times New Roman" w:hAnsi="Times New Roman" w:eastAsia="Times New Roman" w:cs="Times New Roman"/>
          <w:sz w:val="24"/>
          <w:szCs w:val="24"/>
        </w:rPr>
        <w:t>To demonstrate the framework’s usability, we work through the full calculation for aspirin from fitted coefficients to prediction.</w:t>
      </w:r>
    </w:p>
    <w:p w14:paraId="0E37615E">
      <w:pPr>
        <w:spacing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4"/>
          <w:szCs w:val="24"/>
        </w:rPr>
        <w:t>Given parameters (fitted to experimental data):</w:t>
      </w:r>
    </w:p>
    <w:p w14:paraId="4B463284">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pKa = 3.52,   Tc = 311 K,   a₀ = 0.024 K⁻¹,   a₂ = 1.8,   a₄ = 0.35 M⁻½,   S₀ = 6.20 mg/mL</w:t>
      </w:r>
    </w:p>
    <w:p w14:paraId="122EC2C3">
      <w:pPr>
        <w:spacing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b/>
          <w:bCs/>
          <w:color w:val="007C37"/>
          <w:sz w:val="24"/>
          <w:szCs w:val="24"/>
        </w:rPr>
        <w:t>Prediction at T = 310 K, pH = 7.4, I = 0.15 M:</w:t>
      </w:r>
    </w:p>
    <w:p w14:paraId="23F1D1A0">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a(T) = 0.024 × (310−311)/311 = −7.7×10⁻⁵ K⁻¹</w:t>
      </w:r>
    </w:p>
    <w:p w14:paraId="24736D29">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a(pH) = 1.8 × tanh[(7.4−3.52)/1.0] ≈ 1.8 × 0.999 ≈ 1.80</w:t>
      </w:r>
    </w:p>
    <w:p w14:paraId="2914C97A">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a(I) = −0.35 × √0.15 ≈ −0.135 M⁻½</w:t>
      </w:r>
    </w:p>
    <w:p w14:paraId="0B54F589">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a_total ≈ −7.7×10⁻⁵ + 1.80 − 0.135 ≈ 1.665</w:t>
      </w:r>
    </w:p>
    <w:p w14:paraId="4E5726D8">
      <w:pPr>
        <w:spacing w:before="120"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i/>
          <w:iCs/>
          <w:color w:val="007C37"/>
          <w:sz w:val="24"/>
          <w:szCs w:val="24"/>
        </w:rPr>
        <w:t>S ≈ S₀ / a_total = 6.20 / 1.665 ≈ 3.72 mg/mL</w:t>
      </w:r>
    </w:p>
    <w:p w14:paraId="02C6547C">
      <w:pPr>
        <w:spacing w:after="120" w:line="360" w:lineRule="auto"/>
        <w:jc w:val="both"/>
        <w:rPr>
          <w:rFonts w:hint="default" w:ascii="Times New Roman" w:hAnsi="Times New Roman" w:cs="Times New Roman"/>
          <w:color w:val="007C37"/>
        </w:rPr>
      </w:pPr>
      <w:r>
        <w:rPr>
          <w:rFonts w:hint="default" w:ascii="Times New Roman" w:hAnsi="Times New Roman" w:eastAsia="Times New Roman" w:cs="Times New Roman"/>
          <w:color w:val="007C37"/>
          <w:sz w:val="24"/>
          <w:szCs w:val="24"/>
        </w:rPr>
        <w:t>Experimental value at pH 7.4, 310 K: 3.8–4.2 mg/mL [1]. The prediction falls within approximately 10%, well within the scatter of the scaling collapse.</w:t>
      </w:r>
    </w:p>
    <w:p w14:paraId="0115445D">
      <w:pPr>
        <w:spacing w:line="360" w:lineRule="auto"/>
        <w:jc w:val="both"/>
        <w:rPr>
          <w:rFonts w:hint="default" w:ascii="Times New Roman" w:hAnsi="Times New Roman" w:cs="Times New Roman"/>
        </w:rPr>
      </w:pPr>
      <w:bookmarkStart w:id="0" w:name="_GoBack"/>
      <w:bookmarkEnd w:id="0"/>
    </w:p>
    <w:p w14:paraId="0D6F25D9">
      <w:pPr>
        <w:pStyle w:val="2"/>
        <w:spacing w:before="240" w:after="120" w:line="360" w:lineRule="auto"/>
        <w:jc w:val="both"/>
        <w:rPr>
          <w:rFonts w:hint="default" w:ascii="Times New Roman" w:hAnsi="Times New Roman" w:cs="Times New Roman"/>
        </w:rPr>
      </w:pPr>
      <w:r>
        <w:rPr>
          <w:rFonts w:hint="default" w:ascii="Times New Roman" w:hAnsi="Times New Roman" w:eastAsia="Times New Roman" w:cs="Times New Roman"/>
          <w:b/>
          <w:bCs/>
          <w:sz w:val="28"/>
          <w:szCs w:val="28"/>
        </w:rPr>
        <w:t>References</w:t>
      </w:r>
    </w:p>
    <w:p w14:paraId="39EFB7A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 Avdeef A. Absorption and Drug Development: Solubility, Permeability, and Charge State. 2nd ed. Wiley; 2012.</w:t>
      </w:r>
    </w:p>
    <w:p w14:paraId="5D9327B2">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 Anderson PW. More is different. Science. 1972;177(4047):393–396.</w:t>
      </w:r>
    </w:p>
    <w:p w14:paraId="4EF1609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 Laughlin RB, Pines D. The theory of everything. Proc Natl Acad Sci USA. 2000;97(1):28–31.</w:t>
      </w:r>
    </w:p>
    <w:p w14:paraId="0A283A5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 Zinn-Justin J. Quantum Field Theory and Critical Phenomena. 4th ed. Oxford University Press; 2002.</w:t>
      </w:r>
    </w:p>
    <w:p w14:paraId="2FDB5421">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[5] Cardy J. Scaling and Renormalization in Statistical Physics. Cambridge University Press; 1996.</w:t>
      </w:r>
    </w:p>
    <w:p w14:paraId="3398FFD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[6] Klamt A. COSMO-RS: From Quantum Chemistry to Fluid Phase Thermodynamics and Drug Design. Elsevier; 2005.</w:t>
      </w:r>
    </w:p>
    <w:p w14:paraId="52292CE1">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[7] Cramer CJ, Truhlar DG. Implicit solvation models. Chem Rev. 1999;99(8):2161–2200.</w:t>
      </w:r>
    </w:p>
    <w:p w14:paraId="6F00D562">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[8] Fredenslund A, Jones RL, Prausnitz JM. Group-contribution estimation of activity coefficients. AIChE J. 1975;21(6):1086–1099.</w:t>
      </w:r>
    </w:p>
    <w:p w14:paraId="4015564F">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[9] Yalkowsky SH, Valvani SC. Solubility and partitioning I. J Pharm Sci. 1980;69(8):912–922.</w:t>
      </w:r>
    </w:p>
    <w:p w14:paraId="76BC8F83">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[10] Landau LD, Lifshitz EM. Statistical Physics, Part 1. 3rd ed. Pergamon; 1980.</w:t>
      </w:r>
    </w:p>
    <w:p w14:paraId="7CCE9317">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[11] Wilson KG, Kogut J. The renormalization group and the ε expansion. Phys Rep. 1974;12(2):75–199.</w:t>
      </w:r>
    </w:p>
    <w:p w14:paraId="299F633A">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[12] Fisher ME. The renormalization group in the theory of critical behavior. Rev Mod Phys. 1974;46(4):597–616.</w:t>
      </w:r>
    </w:p>
    <w:p w14:paraId="7F4CC19D">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[13] Wegner FJ. Corrections to scaling laws. Phys Rev B. 1972;5(11):4529–4536.</w:t>
      </w:r>
    </w:p>
    <w:p w14:paraId="4125A924">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[14] Stanley HE. Introduction to Phase Transitions and Critical Phenomena. Oxford University Press; 1971.</w:t>
      </w:r>
    </w:p>
    <w:p w14:paraId="77632C7B">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[15] [Companion paper] Mathematical Foundations of Solubility Manifolds: Differential Geometry of Dissolution.</w:t>
      </w:r>
    </w:p>
    <w:p w14:paraId="14A65F6E">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[16] Huang K. Statistical Mechanics. 2nd ed. Wiley; 1987.</w:t>
      </w:r>
    </w:p>
    <w:p w14:paraId="5D28787A">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[17] Cahn JW, Hilliard JE. Free energy of a nonuniform system. J Chem Phys. 1958;28(2):258–267.</w:t>
      </w:r>
    </w:p>
    <w:p w14:paraId="5600841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[18] Chaikin PM, Lubensky TC. Principles of Condensed Matter Physics. Cambridge University Press; 1995.</w:t>
      </w:r>
    </w:p>
    <w:p w14:paraId="2221E0BD">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[19] Landau LD. On the theory of phase transitions. Ukr J Phys. 2008;53:25–35.</w:t>
      </w:r>
    </w:p>
    <w:p w14:paraId="12D10DD7">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[20] Safran SA. Statistical Thermodynamics of Surfaces, Interfaces, and Membranes. Westview Press; 2003.</w:t>
      </w:r>
    </w:p>
    <w:p w14:paraId="148B9A19">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[21] Callen HB. Thermodynamics and an Introduction to Thermostatistics. 2nd ed. Wiley; 1985.</w:t>
      </w:r>
    </w:p>
    <w:p w14:paraId="480E6063">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[22] Zangwill A. Modern Electrodynamics. Cambridge University Press; 2013.</w:t>
      </w:r>
    </w:p>
    <w:p w14:paraId="477DCBAF">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[23] Chandler D. Introduction to Modern Statistical Mechanics. Oxford University Press; 1987.</w:t>
      </w:r>
    </w:p>
    <w:p w14:paraId="1ED526DF">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[24] Feynman RP. Statistical Mechanics: A Set of Lectures. Westview Press; 1998.</w:t>
      </w:r>
    </w:p>
    <w:p w14:paraId="7EC01DEF">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[25] Altland A, Simons B. Condensed Matter Field Theory. 2nd ed. Cambridge University Press; 2010.</w:t>
      </w:r>
    </w:p>
    <w:p w14:paraId="6EE12EFB">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[26] Henderson LJ. The theory of neutrality regulation in the animal organism. Am J Physiol. 1908;21(4):427–448.</w:t>
      </w:r>
    </w:p>
    <w:p w14:paraId="35F48D2E">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[27] Debye P, Hückel E. The theory of electrolytes. Phys Z. 1923;24:185–206.</w:t>
      </w:r>
    </w:p>
    <w:p w14:paraId="58CF9932">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[28] Goldenfeld N. Lectures on Phase Transitions and the Renormalization Group. Westview Press; 1992.</w:t>
      </w:r>
    </w:p>
    <w:p w14:paraId="604431E3">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[29] Oxtoby DW. Homogeneous nucleation: theory and experiment. J Phys Condens Matter. 1992;4(38):7627–7650.</w:t>
      </w:r>
    </w:p>
    <w:p w14:paraId="4EEE83CC">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[30] Pismen LM. Patterns and Interfaces in Dissipative Dynamics. Springer; 2006.</w:t>
      </w:r>
    </w:p>
    <w:p w14:paraId="5A41C082">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[31] Wilson KG. Renormalization group and critical phenomena I. Phys Rev B. 1971;4(9):3174–3183.</w:t>
      </w:r>
    </w:p>
    <w:p w14:paraId="2E188612">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[32] Wilson KG. Renormalization group and critical phenomena II. Phys Rev B. 1971;4(9):3184–3205.</w:t>
      </w:r>
    </w:p>
    <w:p w14:paraId="1D5C7BB5">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[33] Parisi G. Statistical Field Theory. Addison-Wesley; 1988.</w:t>
      </w:r>
    </w:p>
    <w:p w14:paraId="63E97054">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[34] Wilson KG, Fisher ME. Critical exponents in 3.99 dimensions. Phys Rev Lett. 1972;28(4):240–243.</w:t>
      </w:r>
    </w:p>
    <w:p w14:paraId="1E20F157">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[35] Fisher ME, Aharony A. Dipolar interactions at ferromagnetic critical points. Phys Rev Lett. 1973;30(12):559–562.</w:t>
      </w:r>
    </w:p>
    <w:p w14:paraId="114BA6E1">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[36] Amit DJ, Martin-Mayor V. Field Theory, the Renormalization Group, and Critical Phenomena. 3rd ed. World Scientific; 2005.</w:t>
      </w:r>
    </w:p>
    <w:p w14:paraId="44E4D72A">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[37] Klamt A, Schüürmann G. COSMO: a new approach to dielectric screening in solvents. J Chem Soc Perkin Trans 2. 1993;(5):799–805.</w:t>
      </w:r>
    </w:p>
    <w:p w14:paraId="4D2437FB">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[38] Klamt A, Eckert F. COSMO-RS: a novel and efficient method for the a priori prediction of thermophysical data. Fluid Phase Equilib. 2000;172(1):43–72.</w:t>
      </w:r>
    </w:p>
    <w:p w14:paraId="72AD4C8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[39] Pelissetto A, Vicari E. Critical phenomena and renormalization-group theory. Phys Rep. 2002;368(6):549–727.</w:t>
      </w:r>
    </w:p>
    <w:p w14:paraId="7AE89FAB">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[40] Marenich AV, Cramer CJ, Truhlar DG. Universal solvation model based on solute electron density. J Phys Chem B. 2009;113(18):6378–6396.</w:t>
      </w:r>
    </w:p>
    <w:p w14:paraId="45A8582A">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[41] Privman V, Hohenberg PC, Aharony A. Universal critical-point amplitude relations. In: Phase Transitions and Critical Phenomena Vol 14. Academic Press; 1991.</w:t>
      </w:r>
    </w:p>
    <w:p w14:paraId="4A25E89B">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[42] Fisher ME. Renormalization group theory: its basis and formulation in statistical physics. Rev Mod Phys. 1998;70(2):653–681.</w:t>
      </w:r>
    </w:p>
    <w:p w14:paraId="22423AD5">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[43] Privman V (ed.). Finite Size Scaling and Numerical Simulation of Statistical Systems. World Scientific; 1990.</w:t>
      </w:r>
    </w:p>
    <w:p w14:paraId="611F19E5">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[44] Sornette D. Critical Phenomena in Natural Sciences. 2nd ed. Springer; 2006.</w:t>
      </w:r>
    </w:p>
    <w:p w14:paraId="66919564">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[45] Anderson PW. Through the glass lightly. Science. 1995;267(5204):1615–1616.</w:t>
      </w:r>
    </w:p>
    <w:p w14:paraId="5D433EA0">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[46] Stein DL, Newman CM. Spin Glasses and Complexity. Princeton University Press; 2013.</w:t>
      </w:r>
    </w:p>
    <w:p w14:paraId="3EBD7B57">
      <w:pPr>
        <w:spacing w:after="60" w:line="360" w:lineRule="auto"/>
        <w:jc w:val="both"/>
        <w:rPr>
          <w:rFonts w:hint="default" w:ascii="Times New Roman" w:hAnsi="Times New Roman" w:cs="Times New Roman"/>
        </w:rPr>
      </w:pPr>
      <w:r>
        <w:rPr>
          <w:rFonts w:hint="default" w:ascii="Times New Roman" w:hAnsi="Times New Roman" w:eastAsia="Times New Roman" w:cs="Times New Roman"/>
          <w:sz w:val="22"/>
          <w:szCs w:val="22"/>
        </w:rPr>
        <w:t>[47] E W, Engquist B. The heterogeneous multiscale methods. Commun Math Sci. 2003;1(1):87–132.</w:t>
      </w:r>
    </w:p>
    <w:p w14:paraId="67610BFF">
      <w:pPr>
        <w:spacing w:after="60" w:line="36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[48] Wang J et al. Machine learning of coarse-grained molecular dynamics force fields. ACS Cent Sci. 2019;5(5):755–767.</w:t>
      </w:r>
    </w:p>
    <w:p w14:paraId="06B174A4">
      <w:pPr>
        <w:spacing w:after="60" w:line="360" w:lineRule="auto"/>
        <w:jc w:val="both"/>
        <w:rPr>
          <w:rFonts w:hint="default" w:ascii="Times New Roman" w:hAnsi="Times New Roman" w:eastAsia="Times New Roman" w:cs="Times New Roman"/>
          <w:sz w:val="22"/>
          <w:szCs w:val="22"/>
        </w:rPr>
      </w:pPr>
    </w:p>
    <w:p w14:paraId="58A667D0">
      <w:pPr>
        <w:spacing w:after="60" w:line="360" w:lineRule="auto"/>
        <w:jc w:val="both"/>
        <w:rPr>
          <w:rFonts w:hint="default" w:ascii="Times New Roman" w:hAnsi="Times New Roman" w:eastAsia="Times New Roman" w:cs="Times New Roman"/>
          <w:sz w:val="22"/>
          <w:szCs w:val="22"/>
        </w:rPr>
      </w:pP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68021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60" w:after="200"/>
      <w:outlineLvl w:val="0"/>
    </w:pPr>
    <w:rPr>
      <w:rFonts w:ascii="Times New Roman" w:hAnsi="Times New Roman" w:eastAsia="Times New Roman" w:cs="Times New Roman"/>
      <w:b/>
      <w:bCs/>
      <w:sz w:val="28"/>
      <w:szCs w:val="28"/>
    </w:rPr>
  </w:style>
  <w:style w:type="paragraph" w:styleId="3">
    <w:name w:val="heading 2"/>
    <w:next w:val="1"/>
    <w:qFormat/>
    <w:uiPriority w:val="0"/>
    <w:pPr>
      <w:spacing w:before="240" w:after="160"/>
      <w:outlineLvl w:val="1"/>
    </w:pPr>
    <w:rPr>
      <w:rFonts w:ascii="Times New Roman" w:hAnsi="Times New Roman" w:eastAsia="Times New Roman" w:cs="Times New Roman"/>
      <w:b/>
      <w:bCs/>
      <w:sz w:val="26"/>
      <w:szCs w:val="26"/>
    </w:rPr>
  </w:style>
  <w:style w:type="paragraph" w:styleId="4">
    <w:name w:val="heading 3"/>
    <w:next w:val="1"/>
    <w:qFormat/>
    <w:uiPriority w:val="0"/>
    <w:pPr>
      <w:spacing w:before="200" w:after="120"/>
      <w:outlineLvl w:val="2"/>
    </w:pPr>
    <w:rPr>
      <w:rFonts w:ascii="Times New Roman" w:hAnsi="Times New Roman" w:eastAsia="Times New Roman" w:cs="Times New Roman"/>
      <w:b/>
      <w:bCs/>
      <w:i/>
      <w:iCs/>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9"/>
    <w:semiHidden/>
    <w:unhideWhenUsed/>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8"/>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uiPriority w:val="99"/>
    <w:rPr>
      <w:color w:val="0563C1"/>
      <w:u w:val="single"/>
    </w:rPr>
  </w:style>
  <w:style w:type="paragraph" w:styleId="15">
    <w:name w:val="Normal (Web)"/>
    <w:basedOn w:val="1"/>
    <w:uiPriority w:val="0"/>
    <w:rPr>
      <w:sz w:val="24"/>
      <w:szCs w:val="24"/>
    </w:rPr>
  </w:style>
  <w:style w:type="paragraph" w:styleId="16">
    <w:name w:val="Title"/>
    <w:qFormat/>
    <w:uiPriority w:val="0"/>
    <w:rPr>
      <w:rFonts w:ascii="Times New Roman" w:hAnsi="Times New Roman" w:eastAsia="Times New Roman" w:cs="Times New Roman"/>
      <w:sz w:val="56"/>
      <w:szCs w:val="56"/>
    </w:rPr>
  </w:style>
  <w:style w:type="paragraph" w:styleId="17">
    <w:name w:val="List Paragraph"/>
    <w:qFormat/>
    <w:uiPriority w:val="0"/>
    <w:rPr>
      <w:rFonts w:ascii="Times New Roman" w:hAnsi="Times New Roman" w:eastAsia="Times New Roman" w:cs="Times New Roman"/>
      <w:sz w:val="24"/>
      <w:szCs w:val="24"/>
    </w:rPr>
  </w:style>
  <w:style w:type="character" w:customStyle="1" w:styleId="18">
    <w:name w:val="Footnote Text Char"/>
    <w:link w:val="13"/>
    <w:semiHidden/>
    <w:unhideWhenUsed/>
    <w:uiPriority w:val="99"/>
    <w:rPr>
      <w:sz w:val="20"/>
      <w:szCs w:val="20"/>
    </w:rPr>
  </w:style>
  <w:style w:type="character" w:customStyle="1" w:styleId="19">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3833</Words>
  <Characters>22762</Characters>
  <TotalTime>14</TotalTime>
  <ScaleCrop>false</ScaleCrop>
  <LinksUpToDate>false</LinksUpToDate>
  <CharactersWithSpaces>26474</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2026-05-01T15:37:00Z</dcterms:created>
  <dc:creator>Un-named</dc:creator>
  <cp:lastModifiedBy>SS</cp:lastModifiedBy>
  <dcterms:modified xsi:type="dcterms:W3CDTF">2026-05-01T20:53:46Z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3F7D91EF4BF94B78A0F4CDE1B9837F1D_12</vt:lpwstr>
  </property>
</Properties>
</file>