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73B3E" w14:textId="68BCFF23" w:rsidR="00B70C9E" w:rsidRPr="008E4EF8" w:rsidRDefault="000C51B3" w:rsidP="000C51B3">
      <w:pPr>
        <w:spacing w:line="240" w:lineRule="auto"/>
        <w:jc w:val="center"/>
        <w:rPr>
          <w:rFonts w:ascii="Times New Roman" w:hAnsi="Times New Roman" w:cs="Times New Roman"/>
          <w:b/>
          <w:bCs/>
          <w:sz w:val="36"/>
          <w:szCs w:val="36"/>
        </w:rPr>
      </w:pPr>
      <w:r w:rsidRPr="008E4EF8">
        <w:rPr>
          <w:rFonts w:ascii="Times New Roman" w:hAnsi="Times New Roman" w:cs="Times New Roman"/>
          <w:b/>
          <w:bCs/>
          <w:sz w:val="36"/>
          <w:szCs w:val="36"/>
        </w:rPr>
        <w:t>SOIL TESTING TECHNIQUES: CONSTRAINTS AND INTELLIGENT AGRICULTURAL DIRECTIONS</w:t>
      </w:r>
    </w:p>
    <w:p w14:paraId="1B7A0B21" w14:textId="26082A70" w:rsidR="004E0740" w:rsidRPr="008E4EF8" w:rsidRDefault="004E0740" w:rsidP="000C51B3">
      <w:pPr>
        <w:spacing w:line="240" w:lineRule="auto"/>
        <w:jc w:val="center"/>
        <w:rPr>
          <w:rFonts w:ascii="Times New Roman" w:hAnsi="Times New Roman" w:cs="Times New Roman"/>
          <w:b/>
          <w:bCs/>
          <w:szCs w:val="24"/>
        </w:rPr>
      </w:pPr>
      <w:r w:rsidRPr="008E4EF8">
        <w:rPr>
          <w:rFonts w:ascii="Times New Roman" w:hAnsi="Times New Roman" w:cs="Times New Roman"/>
          <w:b/>
          <w:bCs/>
          <w:szCs w:val="24"/>
        </w:rPr>
        <w:t>Meet Kulkarni</w:t>
      </w:r>
      <w:r w:rsidRPr="008E4EF8">
        <w:rPr>
          <w:rFonts w:ascii="Times New Roman" w:hAnsi="Times New Roman" w:cs="Times New Roman"/>
          <w:b/>
          <w:bCs/>
          <w:szCs w:val="24"/>
          <w:vertAlign w:val="superscript"/>
        </w:rPr>
        <w:t>1</w:t>
      </w:r>
      <w:r w:rsidRPr="008E4EF8">
        <w:rPr>
          <w:rFonts w:ascii="Times New Roman" w:hAnsi="Times New Roman" w:cs="Times New Roman"/>
          <w:b/>
          <w:bCs/>
          <w:szCs w:val="24"/>
        </w:rPr>
        <w:t>, Radha Chandrashekhar</w:t>
      </w:r>
      <w:r w:rsidRPr="008E4EF8">
        <w:rPr>
          <w:rFonts w:ascii="Times New Roman" w:hAnsi="Times New Roman" w:cs="Times New Roman"/>
          <w:b/>
          <w:bCs/>
          <w:szCs w:val="24"/>
          <w:vertAlign w:val="superscript"/>
        </w:rPr>
        <w:t>2</w:t>
      </w:r>
      <w:r w:rsidRPr="008E4EF8">
        <w:rPr>
          <w:rFonts w:ascii="Times New Roman" w:hAnsi="Times New Roman" w:cs="Times New Roman"/>
          <w:b/>
          <w:bCs/>
          <w:szCs w:val="24"/>
        </w:rPr>
        <w:t>, Samruddhi Kadlag</w:t>
      </w:r>
      <w:r w:rsidRPr="008E4EF8">
        <w:rPr>
          <w:rFonts w:ascii="Times New Roman" w:hAnsi="Times New Roman" w:cs="Times New Roman"/>
          <w:b/>
          <w:bCs/>
          <w:szCs w:val="24"/>
          <w:vertAlign w:val="superscript"/>
        </w:rPr>
        <w:t>3</w:t>
      </w:r>
      <w:r w:rsidRPr="008E4EF8">
        <w:rPr>
          <w:rFonts w:ascii="Times New Roman" w:hAnsi="Times New Roman" w:cs="Times New Roman"/>
          <w:b/>
          <w:bCs/>
          <w:szCs w:val="24"/>
        </w:rPr>
        <w:t>, Prof. Dr. Rajani Hardas</w:t>
      </w:r>
      <w:r w:rsidRPr="008E4EF8">
        <w:rPr>
          <w:rFonts w:ascii="Times New Roman" w:hAnsi="Times New Roman" w:cs="Times New Roman"/>
          <w:b/>
          <w:bCs/>
          <w:szCs w:val="24"/>
          <w:vertAlign w:val="superscript"/>
        </w:rPr>
        <w:t>4</w:t>
      </w:r>
    </w:p>
    <w:p w14:paraId="48F31391" w14:textId="3DF7FDF5" w:rsidR="004E0740" w:rsidRDefault="004E0740" w:rsidP="00BD6C9B">
      <w:pPr>
        <w:spacing w:line="240" w:lineRule="auto"/>
        <w:jc w:val="center"/>
        <w:rPr>
          <w:rFonts w:ascii="Times New Roman" w:hAnsi="Times New Roman" w:cs="Times New Roman"/>
          <w:b/>
          <w:bCs/>
          <w:szCs w:val="24"/>
        </w:rPr>
      </w:pPr>
      <w:r w:rsidRPr="008E4EF8">
        <w:rPr>
          <w:rFonts w:ascii="Times New Roman" w:hAnsi="Times New Roman" w:cs="Times New Roman"/>
          <w:b/>
          <w:bCs/>
          <w:szCs w:val="24"/>
        </w:rPr>
        <w:t>Department of Electrical engineering, PES’s Modern college of Engineering, Pune, India.</w:t>
      </w:r>
    </w:p>
    <w:p w14:paraId="596055E1" w14:textId="77777777" w:rsidR="00BD6C9B" w:rsidRPr="00BD6C9B" w:rsidRDefault="00BD6C9B" w:rsidP="00BD6C9B">
      <w:pPr>
        <w:spacing w:line="240" w:lineRule="auto"/>
        <w:jc w:val="center"/>
        <w:rPr>
          <w:rFonts w:ascii="Times New Roman" w:hAnsi="Times New Roman" w:cs="Times New Roman"/>
          <w:b/>
          <w:bCs/>
          <w:szCs w:val="24"/>
        </w:rPr>
      </w:pPr>
    </w:p>
    <w:p w14:paraId="13114F97" w14:textId="06F0FE9F" w:rsidR="004E0740" w:rsidRPr="008E4EF8" w:rsidRDefault="004E0740" w:rsidP="0012204C">
      <w:pPr>
        <w:spacing w:line="240" w:lineRule="auto"/>
        <w:jc w:val="both"/>
        <w:rPr>
          <w:rFonts w:ascii="Times New Roman" w:hAnsi="Times New Roman" w:cs="Times New Roman"/>
          <w:b/>
          <w:bCs/>
          <w:sz w:val="28"/>
          <w:szCs w:val="28"/>
        </w:rPr>
      </w:pPr>
      <w:r w:rsidRPr="008E4EF8">
        <w:rPr>
          <w:rFonts w:ascii="Times New Roman" w:hAnsi="Times New Roman" w:cs="Times New Roman"/>
          <w:b/>
          <w:bCs/>
          <w:sz w:val="28"/>
          <w:szCs w:val="28"/>
        </w:rPr>
        <w:t>ABSTRACT</w:t>
      </w:r>
    </w:p>
    <w:p w14:paraId="2CF4F1A6" w14:textId="77777777" w:rsidR="00F52EAD" w:rsidRPr="00F52EAD" w:rsidRDefault="00F52EAD" w:rsidP="00F52EAD">
      <w:pPr>
        <w:spacing w:line="240" w:lineRule="auto"/>
        <w:jc w:val="both"/>
        <w:rPr>
          <w:rFonts w:ascii="Times New Roman" w:hAnsi="Times New Roman" w:cs="Times New Roman"/>
          <w:szCs w:val="24"/>
        </w:rPr>
      </w:pPr>
      <w:r w:rsidRPr="00F52EAD">
        <w:rPr>
          <w:rFonts w:ascii="Times New Roman" w:hAnsi="Times New Roman" w:cs="Times New Roman"/>
          <w:szCs w:val="24"/>
        </w:rPr>
        <w:t>Maintaining soil fertility is central to sustaining crop yields, managing input costs, and protecting the ecological balance of agricultural land. Soil testing serves as the primary scientific means through which farmers and agronomists gather the data needed to make informed decisions about nutrient application and land use. Parameters such as pH, nitrogen, phosphorus, potassium, organic carbon, and electrical conductivity form the foundation of any meaningful fertility assessment, directly shaping fertilizer strategies and crop planning outcomes. In practice, however, the systems currently in place for soil analysis have not kept pace with the scale and complexity of modern agricultural demands.</w:t>
      </w:r>
    </w:p>
    <w:p w14:paraId="4BE74B44" w14:textId="77777777" w:rsidR="00F52EAD" w:rsidRPr="00F52EAD" w:rsidRDefault="00F52EAD" w:rsidP="00F52EAD">
      <w:pPr>
        <w:spacing w:line="240" w:lineRule="auto"/>
        <w:jc w:val="both"/>
        <w:rPr>
          <w:rFonts w:ascii="Times New Roman" w:hAnsi="Times New Roman" w:cs="Times New Roman"/>
          <w:szCs w:val="24"/>
        </w:rPr>
      </w:pPr>
      <w:r w:rsidRPr="00F52EAD">
        <w:rPr>
          <w:rFonts w:ascii="Times New Roman" w:hAnsi="Times New Roman" w:cs="Times New Roman"/>
          <w:szCs w:val="24"/>
        </w:rPr>
        <w:t>Most testing continues to be carried out in centralized government or private laboratories, where samples must be physically transported, processed through standardized chemical procedures, and returned to farmers in the form of reports that are often difficult to act on without technical guidance. Procedural delays, geographic inaccessibility, and the limited interpretability of nutrient data remain persistent barriers to widespread adoption, particularly among smallholder farming communities.</w:t>
      </w:r>
    </w:p>
    <w:p w14:paraId="0F06C81C" w14:textId="2CAD79EA" w:rsidR="000C51B3" w:rsidRPr="00A46D85" w:rsidRDefault="00F52EAD" w:rsidP="0012204C">
      <w:pPr>
        <w:spacing w:line="240" w:lineRule="auto"/>
        <w:jc w:val="both"/>
        <w:rPr>
          <w:rFonts w:ascii="Times New Roman" w:hAnsi="Times New Roman" w:cs="Times New Roman"/>
          <w:szCs w:val="24"/>
        </w:rPr>
      </w:pPr>
      <w:r w:rsidRPr="00F52EAD">
        <w:rPr>
          <w:rFonts w:ascii="Times New Roman" w:hAnsi="Times New Roman" w:cs="Times New Roman"/>
          <w:szCs w:val="24"/>
        </w:rPr>
        <w:t>This paper reviews the structure and functioning of existing soil testing frameworks, examining laboratory organization, operational workflows, and result communication practices. Particular attention is given to the gap between data availability and practical decision-making at the farm level. The review further explores how portable sensing technologies, IoT-enabled data collection, and intelligent recommendation systems might address these shortcomings and support a transition toward more accessible, farmer-centric soil health solutions.</w:t>
      </w:r>
    </w:p>
    <w:p w14:paraId="1527650E" w14:textId="409AC2FB" w:rsidR="00842645" w:rsidRPr="008E4EF8" w:rsidRDefault="00CA0D3F" w:rsidP="008E4EF8">
      <w:pPr>
        <w:spacing w:before="240" w:after="240" w:line="240" w:lineRule="auto"/>
        <w:jc w:val="both"/>
        <w:rPr>
          <w:rFonts w:ascii="Times New Roman" w:hAnsi="Times New Roman" w:cs="Times New Roman"/>
          <w:szCs w:val="24"/>
        </w:rPr>
      </w:pPr>
      <w:r w:rsidRPr="008E4EF8">
        <w:rPr>
          <w:rFonts w:ascii="Times New Roman" w:hAnsi="Times New Roman" w:cs="Times New Roman"/>
          <w:b/>
          <w:bCs/>
          <w:szCs w:val="24"/>
        </w:rPr>
        <w:t>“Keywords:”</w:t>
      </w:r>
      <w:r w:rsidR="0011665D" w:rsidRPr="008E4EF8">
        <w:rPr>
          <w:rFonts w:ascii="Times New Roman" w:hAnsi="Times New Roman" w:cs="Times New Roman"/>
          <w:b/>
          <w:bCs/>
          <w:szCs w:val="24"/>
        </w:rPr>
        <w:t xml:space="preserve"> </w:t>
      </w:r>
      <w:r w:rsidR="008E4EF8" w:rsidRPr="008E4EF8">
        <w:rPr>
          <w:rFonts w:ascii="Times New Roman" w:hAnsi="Times New Roman" w:cs="Times New Roman"/>
          <w:szCs w:val="24"/>
        </w:rPr>
        <w:t>Soil Testing, Soil Health, Precision Agriculture, Sustainable Agriculture, IoT, Decision Support Systems</w:t>
      </w:r>
      <w:r w:rsidR="00F52EAD">
        <w:rPr>
          <w:rFonts w:ascii="Times New Roman" w:hAnsi="Times New Roman" w:cs="Times New Roman"/>
          <w:szCs w:val="24"/>
        </w:rPr>
        <w:t>.</w:t>
      </w:r>
    </w:p>
    <w:p w14:paraId="744236C5" w14:textId="77777777" w:rsidR="0081183B" w:rsidRPr="008E4EF8" w:rsidRDefault="008140B4" w:rsidP="0081183B">
      <w:pPr>
        <w:spacing w:before="240" w:after="240" w:line="240" w:lineRule="auto"/>
        <w:jc w:val="both"/>
        <w:rPr>
          <w:rFonts w:ascii="Times New Roman" w:hAnsi="Times New Roman" w:cs="Times New Roman"/>
          <w:b/>
          <w:bCs/>
          <w:sz w:val="28"/>
          <w:szCs w:val="28"/>
        </w:rPr>
      </w:pPr>
      <w:r w:rsidRPr="008E4EF8">
        <w:rPr>
          <w:rFonts w:ascii="Times New Roman" w:hAnsi="Times New Roman" w:cs="Times New Roman"/>
          <w:b/>
          <w:bCs/>
          <w:sz w:val="28"/>
          <w:szCs w:val="28"/>
        </w:rPr>
        <w:t>INTRODUCTION</w:t>
      </w:r>
    </w:p>
    <w:p w14:paraId="29F468BE" w14:textId="51DF07FC" w:rsidR="000C51B3" w:rsidRPr="008E4EF8" w:rsidRDefault="000C51B3" w:rsidP="0081183B">
      <w:pPr>
        <w:spacing w:before="240" w:after="240" w:line="240" w:lineRule="auto"/>
        <w:jc w:val="both"/>
        <w:rPr>
          <w:rFonts w:ascii="Times New Roman" w:hAnsi="Times New Roman" w:cs="Times New Roman"/>
          <w:b/>
          <w:bCs/>
          <w:sz w:val="28"/>
          <w:szCs w:val="28"/>
        </w:rPr>
      </w:pPr>
      <w:r w:rsidRPr="008E4EF8">
        <w:rPr>
          <w:rFonts w:ascii="Times New Roman" w:hAnsi="Times New Roman" w:cs="Times New Roman"/>
          <w:b/>
          <w:bCs/>
          <w:szCs w:val="24"/>
          <w:lang w:val="en"/>
        </w:rPr>
        <w:t>SOIL NUTRIENT ANALYSIS</w:t>
      </w:r>
    </w:p>
    <w:p w14:paraId="11C5E798" w14:textId="2B3C16CF"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Agriculture remains the backbone of food security and rural economies, particularly in developing countries where crop productivity is closely linked to soil fertility and resource management. Increasing global food demand, climate variability, and continuous cultivation practices have intensified pressure on agricultural lands, resulting in nutrient depletion, soil degradation, and declining productivity. In this context, soil testing has emerged as a fundamental scientific tool for assessing soil fertility status and enabling data-driven nutrient management.</w:t>
      </w:r>
    </w:p>
    <w:p w14:paraId="3526F408" w14:textId="77777777" w:rsidR="0081183B"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Soil testing provides quantitative information regarding soil chemical and physical properties such as pH, nitrogen, phosphorus, potassium, organic carbon, and salinity levels. These parameters directly influence crop growth, fertilizer efficiency, and long-term soil health. Accurate soil analysis allows farmers and agronomists to adopt balanced fertilizer strategies, reduce unnecessary input costs, and improve overall agricultural sustainability.</w:t>
      </w:r>
    </w:p>
    <w:p w14:paraId="33D0F1B3" w14:textId="20FD6C0D"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Conventional soil testing systems primarily rely on centralized laboratory-based analysis using standardized chemical procedures and specialized instrumentation. While such methods ensure high accuracy and reliability, they are often associated with structural challenges including time delays, accessibility constraints, procedural complexity, and limited interpretability of results. Farmers frequently encounter difficulties related to sample submission, travel requirements, report collection, and understanding numerical outputs that may not directly translate into actionable agricultural decisions.</w:t>
      </w:r>
    </w:p>
    <w:p w14:paraId="71D534C5"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Furthermore, existing soil testing frameworks largely emphasize nutrient quantification and fertilizer recommendations, with comparatively limited integration of holistic, sustainability-oriented guidance or real-time decision support mechanisms. As agriculture increasingly moves toward precision-based and technology-driven approaches, there is a growing need to re-evaluate the existing soil testing ecosystem and explore innovative directions that enhance accessibility, efficiency, and practical usability.</w:t>
      </w:r>
    </w:p>
    <w:p w14:paraId="59E5C1C3" w14:textId="326CB16C" w:rsidR="000C51B3"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lastRenderedPageBreak/>
        <w:t>This paper presents a comprehensive review of the current soil testing scenario, including methodologies, laboratory infrastructure, procedural workflows, and operational limitations. The study critically analyses existing challenges and identifies research gaps that hinder large-scale adoption and effectiveness. Additionally, emerging technological directions aimed at modernizing soil testing practices are discussed, highlighting the potential transition toward decentralized, intelligent, and farmer-centric soil analysis systems.</w:t>
      </w:r>
    </w:p>
    <w:p w14:paraId="549AEE27" w14:textId="006D4BA8" w:rsidR="001A24BE" w:rsidRPr="001A24BE" w:rsidRDefault="001A24BE" w:rsidP="001A24BE">
      <w:pPr>
        <w:spacing w:line="240" w:lineRule="auto"/>
        <w:jc w:val="both"/>
        <w:rPr>
          <w:rFonts w:ascii="Times New Roman" w:hAnsi="Times New Roman" w:cs="Times New Roman"/>
          <w:b/>
          <w:bCs/>
          <w:szCs w:val="24"/>
        </w:rPr>
      </w:pPr>
      <w:r w:rsidRPr="001A24BE">
        <w:rPr>
          <w:rFonts w:ascii="Times New Roman" w:hAnsi="Times New Roman" w:cs="Times New Roman"/>
          <w:b/>
          <w:bCs/>
          <w:szCs w:val="24"/>
        </w:rPr>
        <w:t>REVIEW METHODOLOGY</w:t>
      </w:r>
    </w:p>
    <w:p w14:paraId="1BFA1FBC" w14:textId="01F60B96" w:rsidR="001A24BE" w:rsidRPr="001A24BE" w:rsidRDefault="001A24BE" w:rsidP="001A24BE">
      <w:pPr>
        <w:spacing w:line="240" w:lineRule="auto"/>
        <w:jc w:val="both"/>
        <w:rPr>
          <w:rFonts w:ascii="Times New Roman" w:hAnsi="Times New Roman" w:cs="Times New Roman"/>
          <w:szCs w:val="24"/>
        </w:rPr>
      </w:pPr>
      <w:r w:rsidRPr="001A24BE">
        <w:rPr>
          <w:rFonts w:ascii="Times New Roman" w:hAnsi="Times New Roman" w:cs="Times New Roman"/>
          <w:szCs w:val="24"/>
        </w:rPr>
        <w:t>This review was conducted through a structured search of academic literature available on Google Scholar, IEEE Xplore, ResearchGate, and institutional repositories including ICAR and FAO publications. The search was carried out between December 2025 and March 2026, with primary focus on literature published between 2019 and 2025, supplemented by foundational references predating this period where relevant to contextual understanding.</w:t>
      </w:r>
    </w:p>
    <w:p w14:paraId="4AA24044" w14:textId="57271A3C" w:rsidR="001A24BE" w:rsidRPr="001A24BE" w:rsidRDefault="001A24BE" w:rsidP="001A24BE">
      <w:pPr>
        <w:spacing w:line="240" w:lineRule="auto"/>
        <w:jc w:val="both"/>
        <w:rPr>
          <w:rFonts w:ascii="Times New Roman" w:hAnsi="Times New Roman" w:cs="Times New Roman"/>
          <w:szCs w:val="24"/>
        </w:rPr>
      </w:pPr>
      <w:r w:rsidRPr="001A24BE">
        <w:rPr>
          <w:rFonts w:ascii="Times New Roman" w:hAnsi="Times New Roman" w:cs="Times New Roman"/>
          <w:szCs w:val="24"/>
        </w:rPr>
        <w:t>Search keywords used included: soil testing, precision agriculture, IoT-based soil monitoring, soil nutrient sensing, autonomous soil sampling, Soil Health Card India, smart farming, electrochemical soil sensors, and decision support systems for agriculture. Boolean operators (AND, OR) were applied to refine results across combinations of these terms.</w:t>
      </w:r>
    </w:p>
    <w:p w14:paraId="01B19BE3" w14:textId="1226581A" w:rsidR="001A24BE" w:rsidRPr="001A24BE" w:rsidRDefault="001A24BE" w:rsidP="001A24BE">
      <w:pPr>
        <w:spacing w:line="240" w:lineRule="auto"/>
        <w:jc w:val="both"/>
        <w:rPr>
          <w:rFonts w:ascii="Times New Roman" w:hAnsi="Times New Roman" w:cs="Times New Roman"/>
          <w:szCs w:val="24"/>
        </w:rPr>
      </w:pPr>
      <w:r w:rsidRPr="001A24BE">
        <w:rPr>
          <w:rFonts w:ascii="Times New Roman" w:hAnsi="Times New Roman" w:cs="Times New Roman"/>
          <w:szCs w:val="24"/>
        </w:rPr>
        <w:t>Papers were selected based on the following inclusion criteria: (i) relevance to soil parameter measurement, monitoring, or analysis; (ii) focus on IoT, robotics, remote sensing, or AI-based approaches; (iii) applicability to agricultural or farming contexts; and (iv) availability of full-text access. Sources were excluded if they were purely theoretical without applied context, unrelated to soil health, or duplicated findings already represented in the review. Government reports and institutional manuals were included selectively to provide policy and infrastructure context specific to India.</w:t>
      </w:r>
    </w:p>
    <w:p w14:paraId="2067020D" w14:textId="77777777" w:rsidR="001A24BE" w:rsidRPr="001A24BE" w:rsidRDefault="001A24BE" w:rsidP="001A24BE">
      <w:pPr>
        <w:spacing w:line="240" w:lineRule="auto"/>
        <w:jc w:val="both"/>
        <w:rPr>
          <w:rFonts w:ascii="Times New Roman" w:hAnsi="Times New Roman" w:cs="Times New Roman"/>
          <w:szCs w:val="24"/>
        </w:rPr>
      </w:pPr>
      <w:r w:rsidRPr="001A24BE">
        <w:rPr>
          <w:rFonts w:ascii="Times New Roman" w:hAnsi="Times New Roman" w:cs="Times New Roman"/>
          <w:szCs w:val="24"/>
        </w:rPr>
        <w:t>A total of 18 references were retained following this process, forming the basis of the comparative and critical analysis presented in subsequent sections.</w:t>
      </w:r>
    </w:p>
    <w:p w14:paraId="6E447DA1" w14:textId="640EA1EE" w:rsidR="000C51B3" w:rsidRPr="008E4EF8" w:rsidRDefault="000C51B3" w:rsidP="001A24BE">
      <w:pPr>
        <w:spacing w:line="240" w:lineRule="auto"/>
        <w:jc w:val="both"/>
        <w:rPr>
          <w:rFonts w:ascii="Times New Roman" w:hAnsi="Times New Roman" w:cs="Times New Roman"/>
          <w:b/>
          <w:bCs/>
          <w:szCs w:val="24"/>
          <w:lang w:val="en"/>
        </w:rPr>
      </w:pPr>
      <w:r w:rsidRPr="008E4EF8">
        <w:rPr>
          <w:rFonts w:ascii="Times New Roman" w:hAnsi="Times New Roman" w:cs="Times New Roman"/>
          <w:b/>
          <w:bCs/>
          <w:szCs w:val="24"/>
          <w:lang w:val="en"/>
        </w:rPr>
        <w:t>SOIL TESTING: CONCEPTS AND FUNDAMENTALS</w:t>
      </w:r>
    </w:p>
    <w:p w14:paraId="54946A4B" w14:textId="184E8EF2" w:rsidR="000C51B3" w:rsidRPr="008E4EF8" w:rsidRDefault="008E4EF8" w:rsidP="000C51B3">
      <w:pPr>
        <w:spacing w:line="240" w:lineRule="auto"/>
        <w:jc w:val="both"/>
        <w:rPr>
          <w:rFonts w:ascii="Times New Roman" w:hAnsi="Times New Roman" w:cs="Times New Roman"/>
          <w:b/>
          <w:bCs/>
          <w:szCs w:val="24"/>
          <w:lang w:val="en"/>
        </w:rPr>
      </w:pPr>
      <w:r>
        <w:rPr>
          <w:rFonts w:ascii="Times New Roman" w:hAnsi="Times New Roman" w:cs="Times New Roman"/>
          <w:b/>
          <w:bCs/>
          <w:szCs w:val="24"/>
          <w:lang w:val="en"/>
        </w:rPr>
        <w:t>D</w:t>
      </w:r>
      <w:r w:rsidR="0081183B" w:rsidRPr="008E4EF8">
        <w:rPr>
          <w:rFonts w:ascii="Times New Roman" w:hAnsi="Times New Roman" w:cs="Times New Roman"/>
          <w:b/>
          <w:bCs/>
          <w:szCs w:val="24"/>
          <w:lang w:val="en"/>
        </w:rPr>
        <w:t>efinition and objectives of soil testing</w:t>
      </w:r>
    </w:p>
    <w:p w14:paraId="5CBEB329"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Soil testing is a scientific process involving the collection, preparation, and laboratory analysis of soil samples to determine their nutrient content and physio-chemical characteristics relevant to crop growth. The primary objective of soil testing is to assess soil fertility status and provide recommendations for balanced nutrient application, crop suitability, and long-term soil management practices </w:t>
      </w:r>
      <w:r w:rsidRPr="008E4EF8">
        <w:rPr>
          <w:rFonts w:ascii="Times New Roman" w:hAnsi="Times New Roman" w:cs="Times New Roman"/>
          <w:szCs w:val="24"/>
          <w:vertAlign w:val="superscript"/>
          <w:lang w:val="en"/>
        </w:rPr>
        <w:t>[1], [2].</w:t>
      </w:r>
    </w:p>
    <w:p w14:paraId="1AEC05A9"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Soil testing plays a crucial role in improving fertilizer efficiency, minimizing environmental degradation, and enhancing agricultural productivity through informed nutrient management strategies </w:t>
      </w:r>
      <w:r w:rsidRPr="008E4EF8">
        <w:rPr>
          <w:rFonts w:ascii="Times New Roman" w:hAnsi="Times New Roman" w:cs="Times New Roman"/>
          <w:szCs w:val="24"/>
          <w:vertAlign w:val="superscript"/>
          <w:lang w:val="en"/>
        </w:rPr>
        <w:t>[3].</w:t>
      </w:r>
    </w:p>
    <w:p w14:paraId="6BA1EF18" w14:textId="3DAA20BE" w:rsidR="000C51B3" w:rsidRPr="008E4EF8" w:rsidRDefault="008E4EF8" w:rsidP="000C51B3">
      <w:pPr>
        <w:spacing w:line="240" w:lineRule="auto"/>
        <w:jc w:val="both"/>
        <w:rPr>
          <w:rFonts w:ascii="Times New Roman" w:hAnsi="Times New Roman" w:cs="Times New Roman"/>
          <w:b/>
          <w:bCs/>
          <w:szCs w:val="24"/>
        </w:rPr>
      </w:pPr>
      <w:r>
        <w:rPr>
          <w:rFonts w:ascii="Times New Roman" w:hAnsi="Times New Roman" w:cs="Times New Roman"/>
          <w:b/>
          <w:bCs/>
          <w:szCs w:val="24"/>
        </w:rPr>
        <w:t>C</w:t>
      </w:r>
      <w:r w:rsidR="0081183B" w:rsidRPr="008E4EF8">
        <w:rPr>
          <w:rFonts w:ascii="Times New Roman" w:hAnsi="Times New Roman" w:cs="Times New Roman"/>
          <w:b/>
          <w:bCs/>
          <w:szCs w:val="24"/>
        </w:rPr>
        <w:t>lassification of soil testing</w:t>
      </w:r>
    </w:p>
    <w:p w14:paraId="3E5E6F98"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Soil testing in agricultural practice can be broadly classified into chemical, physical, and biological analysis.</w:t>
      </w:r>
    </w:p>
    <w:p w14:paraId="3AB0F7A4" w14:textId="50106B5E" w:rsidR="0012204C"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Chemical Analysis: Chemical soil testing focuses on determining nutrient availability and soil reaction. Common parameters include soil pH, electrical conductivity (EC), macronutrients (N, P, K), secondary nutrients, and micronutrients. These parameters directly influence nutrient uptake and fertilizer response in crops </w:t>
      </w:r>
      <w:r w:rsidRPr="008E4EF8">
        <w:rPr>
          <w:rFonts w:ascii="Times New Roman" w:hAnsi="Times New Roman" w:cs="Times New Roman"/>
          <w:szCs w:val="24"/>
          <w:vertAlign w:val="superscript"/>
        </w:rPr>
        <w:t>[2], [4].</w:t>
      </w:r>
    </w:p>
    <w:p w14:paraId="575EF5A6" w14:textId="221B60DB"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Physical Analysis: Physical soil testing evaluates properties such as texture, moisture retention capacity, bulk density, and temperature. These factors influence water movement, root penetration, aeration, and nutrient mobility within the soil profile </w:t>
      </w:r>
      <w:r w:rsidRPr="008E4EF8">
        <w:rPr>
          <w:rFonts w:ascii="Times New Roman" w:hAnsi="Times New Roman" w:cs="Times New Roman"/>
          <w:szCs w:val="24"/>
          <w:vertAlign w:val="superscript"/>
        </w:rPr>
        <w:t>[5].</w:t>
      </w:r>
    </w:p>
    <w:p w14:paraId="09497808" w14:textId="3CF67B82" w:rsidR="00E014C9" w:rsidRPr="00E014C9" w:rsidRDefault="000C51B3" w:rsidP="00E014C9">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Biological Analysis: </w:t>
      </w:r>
      <w:r w:rsidR="00E014C9" w:rsidRPr="00E014C9">
        <w:rPr>
          <w:rFonts w:ascii="Times New Roman" w:hAnsi="Times New Roman" w:cs="Times New Roman"/>
          <w:szCs w:val="24"/>
        </w:rPr>
        <w:t xml:space="preserve">Biological soil testing evaluates the living components of soil that drive long-term fertility and ecosystem function. It examines </w:t>
      </w:r>
      <w:r w:rsidR="00E014C9" w:rsidRPr="00E014C9">
        <w:rPr>
          <w:rFonts w:ascii="Times New Roman" w:hAnsi="Times New Roman" w:cs="Times New Roman"/>
          <w:b/>
          <w:bCs/>
          <w:szCs w:val="24"/>
        </w:rPr>
        <w:t>s</w:t>
      </w:r>
      <w:r w:rsidR="00E014C9" w:rsidRPr="00E014C9">
        <w:rPr>
          <w:rFonts w:ascii="Times New Roman" w:hAnsi="Times New Roman" w:cs="Times New Roman"/>
          <w:szCs w:val="24"/>
        </w:rPr>
        <w:t>oil organic matter (SOM), which serves as the foundation for nutrient cycling and moisture retention. Microbial activity including bacteria, fungi, and other microorganisms is assessed because these organisms decompose organic material, release nutrients, and maintain soil structure.</w:t>
      </w:r>
    </w:p>
    <w:p w14:paraId="628E7B3C" w14:textId="77777777" w:rsidR="00E014C9" w:rsidRPr="00E014C9" w:rsidRDefault="00E014C9" w:rsidP="00E014C9">
      <w:pPr>
        <w:spacing w:line="240" w:lineRule="auto"/>
        <w:jc w:val="both"/>
        <w:rPr>
          <w:rFonts w:ascii="Times New Roman" w:hAnsi="Times New Roman" w:cs="Times New Roman"/>
          <w:szCs w:val="24"/>
        </w:rPr>
      </w:pPr>
      <w:r w:rsidRPr="00E014C9">
        <w:rPr>
          <w:rFonts w:ascii="Times New Roman" w:hAnsi="Times New Roman" w:cs="Times New Roman"/>
          <w:szCs w:val="24"/>
        </w:rPr>
        <w:t>Carbon dynamics are also central, tracking how carbon moves through soil systems, influencing both fertility and climate resilience. Key indicators include microbial biomass carbon, respiration rates, and enzymatic activity.</w:t>
      </w:r>
    </w:p>
    <w:p w14:paraId="7102D84A" w14:textId="710AE2B1" w:rsidR="000C51B3" w:rsidRDefault="00E014C9" w:rsidP="000C51B3">
      <w:pPr>
        <w:spacing w:line="240" w:lineRule="auto"/>
        <w:jc w:val="both"/>
        <w:rPr>
          <w:rFonts w:ascii="Times New Roman" w:hAnsi="Times New Roman" w:cs="Times New Roman"/>
          <w:szCs w:val="24"/>
          <w:vertAlign w:val="superscript"/>
        </w:rPr>
      </w:pPr>
      <w:r w:rsidRPr="00E014C9">
        <w:rPr>
          <w:rFonts w:ascii="Times New Roman" w:hAnsi="Times New Roman" w:cs="Times New Roman"/>
          <w:szCs w:val="24"/>
        </w:rPr>
        <w:t>Unlike chemical testing, biological analysis captures the functional health of soil rather than just its nutrient snapshot. It is increasingly integrated into sustainability planning, helping farmers make decisions that preserve soil vitality across generations rather than optimizing for short-term yields alone.</w:t>
      </w:r>
      <w:r>
        <w:rPr>
          <w:rFonts w:ascii="Times New Roman" w:hAnsi="Times New Roman" w:cs="Times New Roman"/>
          <w:szCs w:val="24"/>
        </w:rPr>
        <w:t xml:space="preserve"> </w:t>
      </w:r>
      <w:r w:rsidRPr="00E014C9">
        <w:rPr>
          <w:rFonts w:ascii="Times New Roman" w:hAnsi="Times New Roman" w:cs="Times New Roman"/>
          <w:szCs w:val="24"/>
          <w:vertAlign w:val="superscript"/>
        </w:rPr>
        <w:t>[6]</w:t>
      </w:r>
    </w:p>
    <w:p w14:paraId="138DC1AD" w14:textId="77777777" w:rsidR="001A24BE" w:rsidRPr="008E4EF8" w:rsidRDefault="001A24BE" w:rsidP="000C51B3">
      <w:pPr>
        <w:spacing w:line="240" w:lineRule="auto"/>
        <w:jc w:val="both"/>
        <w:rPr>
          <w:rFonts w:ascii="Times New Roman" w:hAnsi="Times New Roman" w:cs="Times New Roman"/>
          <w:szCs w:val="24"/>
        </w:rPr>
      </w:pPr>
    </w:p>
    <w:p w14:paraId="153079CF" w14:textId="7F47FD30" w:rsidR="000C51B3" w:rsidRPr="008E4EF8" w:rsidRDefault="008E4EF8" w:rsidP="000C51B3">
      <w:pPr>
        <w:spacing w:line="240" w:lineRule="auto"/>
        <w:jc w:val="both"/>
        <w:rPr>
          <w:rFonts w:ascii="Times New Roman" w:hAnsi="Times New Roman" w:cs="Times New Roman"/>
          <w:b/>
          <w:bCs/>
          <w:szCs w:val="24"/>
        </w:rPr>
      </w:pPr>
      <w:r>
        <w:rPr>
          <w:rFonts w:ascii="Times New Roman" w:hAnsi="Times New Roman" w:cs="Times New Roman"/>
          <w:b/>
          <w:bCs/>
          <w:szCs w:val="24"/>
        </w:rPr>
        <w:lastRenderedPageBreak/>
        <w:t>P</w:t>
      </w:r>
      <w:r w:rsidR="0081183B" w:rsidRPr="008E4EF8">
        <w:rPr>
          <w:rFonts w:ascii="Times New Roman" w:hAnsi="Times New Roman" w:cs="Times New Roman"/>
          <w:b/>
          <w:bCs/>
          <w:szCs w:val="24"/>
        </w:rPr>
        <w:t>arameters commonly tested in agricultural soil laboratories</w:t>
      </w:r>
    </w:p>
    <w:p w14:paraId="7FBDB577"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Routine soil testing programs in India and globally typically include measurement of soil pH, electrical conductivity (EC), organic carbon (OC), available nitrogen (N), available phosphorus (P), available potassium (K), and selected micronutrients such as zinc and iron </w:t>
      </w:r>
      <w:r w:rsidRPr="008E4EF8">
        <w:rPr>
          <w:rFonts w:ascii="Times New Roman" w:hAnsi="Times New Roman" w:cs="Times New Roman"/>
          <w:szCs w:val="24"/>
          <w:vertAlign w:val="superscript"/>
        </w:rPr>
        <w:t>[2], [7].</w:t>
      </w:r>
    </w:p>
    <w:p w14:paraId="4056D6FB" w14:textId="71181015" w:rsidR="001A24BE" w:rsidRPr="007B729E" w:rsidRDefault="000C51B3" w:rsidP="000C51B3">
      <w:pPr>
        <w:spacing w:line="240" w:lineRule="auto"/>
        <w:jc w:val="both"/>
        <w:rPr>
          <w:rFonts w:ascii="Times New Roman" w:hAnsi="Times New Roman" w:cs="Times New Roman"/>
          <w:szCs w:val="24"/>
          <w:vertAlign w:val="superscript"/>
        </w:rPr>
      </w:pPr>
      <w:r w:rsidRPr="008E4EF8">
        <w:rPr>
          <w:rFonts w:ascii="Times New Roman" w:hAnsi="Times New Roman" w:cs="Times New Roman"/>
          <w:szCs w:val="24"/>
        </w:rPr>
        <w:t xml:space="preserve">These parameters form the basis of fertilizer recommendation frameworks and balanced nutrient management strategies. Studies analysing the soil testing scenario in India highlight that improper or imbalanced fertilizer use is often linked to inadequate soil testing coverage and interpretation of nutrient status, thereby emphasizing the importance of systematic soil analysis in sustainable agricultural development </w:t>
      </w:r>
      <w:r w:rsidRPr="008E4EF8">
        <w:rPr>
          <w:rFonts w:ascii="Times New Roman" w:hAnsi="Times New Roman" w:cs="Times New Roman"/>
          <w:szCs w:val="24"/>
          <w:vertAlign w:val="superscript"/>
        </w:rPr>
        <w:t>[7].</w:t>
      </w:r>
    </w:p>
    <w:p w14:paraId="1D2E1CD0" w14:textId="77777777" w:rsidR="000C51B3" w:rsidRPr="008E4EF8" w:rsidRDefault="000C51B3" w:rsidP="0081183B">
      <w:pPr>
        <w:spacing w:line="240" w:lineRule="auto"/>
        <w:jc w:val="both"/>
        <w:rPr>
          <w:rFonts w:ascii="Times New Roman" w:hAnsi="Times New Roman" w:cs="Times New Roman"/>
          <w:b/>
          <w:bCs/>
          <w:sz w:val="28"/>
          <w:szCs w:val="28"/>
          <w:lang w:val="en"/>
        </w:rPr>
      </w:pPr>
      <w:r w:rsidRPr="008E4EF8">
        <w:rPr>
          <w:rFonts w:ascii="Times New Roman" w:hAnsi="Times New Roman" w:cs="Times New Roman"/>
          <w:b/>
          <w:bCs/>
          <w:sz w:val="28"/>
          <w:szCs w:val="28"/>
          <w:lang w:val="en"/>
        </w:rPr>
        <w:t>CURRENT SOIL TESTING SCENARIO IN INDIA</w:t>
      </w:r>
    </w:p>
    <w:p w14:paraId="54405895" w14:textId="50C9825E" w:rsidR="000C51B3" w:rsidRPr="008E4EF8" w:rsidRDefault="0081183B" w:rsidP="0081183B">
      <w:pPr>
        <w:spacing w:line="240" w:lineRule="auto"/>
        <w:jc w:val="both"/>
        <w:rPr>
          <w:rFonts w:ascii="Times New Roman" w:hAnsi="Times New Roman" w:cs="Times New Roman"/>
          <w:b/>
          <w:bCs/>
          <w:szCs w:val="24"/>
          <w:lang w:val="en"/>
        </w:rPr>
      </w:pPr>
      <w:r w:rsidRPr="008E4EF8">
        <w:rPr>
          <w:rFonts w:ascii="Times New Roman" w:hAnsi="Times New Roman" w:cs="Times New Roman"/>
          <w:b/>
          <w:bCs/>
          <w:szCs w:val="24"/>
          <w:lang w:val="en"/>
        </w:rPr>
        <w:t>SOIL TESTING INFRASTRUCTURE IN INDIA</w:t>
      </w:r>
    </w:p>
    <w:p w14:paraId="439320B9"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Soil testing in India is primarily conducted through a network of government-operated soil testing laboratories supplemented by private laboratories and mobile soil testing units. These laboratories function under the Department of Agriculture and are often integrated with national initiatives such as the Soil Health Card (SHC) scheme.</w:t>
      </w:r>
    </w:p>
    <w:p w14:paraId="7E5B35D1"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Across India, soil testing infrastructure includes both static and mobile laboratories operating at district and sub-district levels. The national soil testing laboratory database indicates the presence of several hundred operational laboratories across different states </w:t>
      </w:r>
      <w:r w:rsidRPr="008E4EF8">
        <w:rPr>
          <w:rFonts w:ascii="Times New Roman" w:hAnsi="Times New Roman" w:cs="Times New Roman"/>
          <w:szCs w:val="24"/>
          <w:vertAlign w:val="superscript"/>
          <w:lang w:val="en"/>
        </w:rPr>
        <w:t>[8].</w:t>
      </w:r>
    </w:p>
    <w:p w14:paraId="2240CB54" w14:textId="5D9B2DA8"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In the state of Maharashtra specifically, there are 17 government-operated soil testing laboratories distributed across major districts </w:t>
      </w:r>
      <w:r w:rsidRPr="008E4EF8">
        <w:rPr>
          <w:rFonts w:ascii="Times New Roman" w:hAnsi="Times New Roman" w:cs="Times New Roman"/>
          <w:szCs w:val="24"/>
          <w:vertAlign w:val="superscript"/>
          <w:lang w:val="en"/>
        </w:rPr>
        <w:t>[9].</w:t>
      </w:r>
      <w:r w:rsidRPr="008E4EF8">
        <w:rPr>
          <w:rFonts w:ascii="Times New Roman" w:hAnsi="Times New Roman" w:cs="Times New Roman"/>
          <w:szCs w:val="24"/>
          <w:lang w:val="en"/>
        </w:rPr>
        <w:t xml:space="preserve"> These laboratories are responsible for conducting standardized chemical analysis of soil samples and issuing soil health reports.</w:t>
      </w:r>
    </w:p>
    <w:p w14:paraId="5B5648AD" w14:textId="35392301" w:rsidR="005B3C2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In addition to government laboratories, the Soil Health Portal database reports approximately 320 private laboratories offering soil testing services across India </w:t>
      </w:r>
      <w:r w:rsidRPr="008E4EF8">
        <w:rPr>
          <w:rFonts w:ascii="Times New Roman" w:hAnsi="Times New Roman" w:cs="Times New Roman"/>
          <w:szCs w:val="24"/>
          <w:vertAlign w:val="superscript"/>
          <w:lang w:val="en"/>
        </w:rPr>
        <w:t>[8].</w:t>
      </w:r>
      <w:r w:rsidRPr="008E4EF8">
        <w:rPr>
          <w:rFonts w:ascii="Times New Roman" w:hAnsi="Times New Roman" w:cs="Times New Roman"/>
          <w:szCs w:val="24"/>
          <w:lang w:val="en"/>
        </w:rPr>
        <w:t xml:space="preserve"> These private facilities provide similar nutrient analysis services, often with additional customized testing options.</w:t>
      </w:r>
    </w:p>
    <w:p w14:paraId="098302DC" w14:textId="1EB8AC77" w:rsidR="000C51B3" w:rsidRPr="008E4EF8" w:rsidRDefault="0081183B" w:rsidP="0081183B">
      <w:pPr>
        <w:spacing w:line="240" w:lineRule="auto"/>
        <w:jc w:val="both"/>
        <w:rPr>
          <w:rFonts w:ascii="Times New Roman" w:hAnsi="Times New Roman" w:cs="Times New Roman"/>
          <w:b/>
          <w:bCs/>
          <w:szCs w:val="24"/>
        </w:rPr>
      </w:pPr>
      <w:r w:rsidRPr="008E4EF8">
        <w:rPr>
          <w:rFonts w:ascii="Times New Roman" w:hAnsi="Times New Roman" w:cs="Times New Roman"/>
          <w:b/>
          <w:bCs/>
          <w:szCs w:val="24"/>
        </w:rPr>
        <w:t>OPERATIONAL WORKFLOW AND STRUCTURE</w:t>
      </w:r>
    </w:p>
    <w:p w14:paraId="205DFEED" w14:textId="5449F112" w:rsidR="000C51B3" w:rsidRPr="008E4EF8" w:rsidRDefault="000C51B3" w:rsidP="0081183B">
      <w:pPr>
        <w:spacing w:line="240" w:lineRule="auto"/>
        <w:jc w:val="both"/>
        <w:rPr>
          <w:rFonts w:ascii="Times New Roman" w:hAnsi="Times New Roman" w:cs="Times New Roman"/>
          <w:szCs w:val="24"/>
        </w:rPr>
      </w:pPr>
      <w:r w:rsidRPr="008E4EF8">
        <w:rPr>
          <w:rFonts w:ascii="Times New Roman" w:hAnsi="Times New Roman" w:cs="Times New Roman"/>
          <w:szCs w:val="24"/>
        </w:rPr>
        <w:t>The conventional soil testing process involves:</w:t>
      </w:r>
      <w:r w:rsidR="0081183B" w:rsidRPr="008E4EF8">
        <w:rPr>
          <w:rFonts w:ascii="Times New Roman" w:hAnsi="Times New Roman" w:cs="Times New Roman"/>
          <w:szCs w:val="24"/>
        </w:rPr>
        <w:t xml:space="preserve"> </w:t>
      </w:r>
      <w:r w:rsidRPr="008E4EF8">
        <w:rPr>
          <w:rFonts w:ascii="Times New Roman" w:hAnsi="Times New Roman" w:cs="Times New Roman"/>
          <w:szCs w:val="24"/>
        </w:rPr>
        <w:t>Field-level sample collection</w:t>
      </w:r>
      <w:r w:rsidR="0081183B" w:rsidRPr="008E4EF8">
        <w:rPr>
          <w:rFonts w:ascii="Times New Roman" w:hAnsi="Times New Roman" w:cs="Times New Roman"/>
          <w:szCs w:val="24"/>
        </w:rPr>
        <w:t xml:space="preserve">, </w:t>
      </w:r>
      <w:r w:rsidRPr="008E4EF8">
        <w:rPr>
          <w:rFonts w:ascii="Times New Roman" w:hAnsi="Times New Roman" w:cs="Times New Roman"/>
          <w:szCs w:val="24"/>
        </w:rPr>
        <w:t>Sample preparation (drying, sieving, labelling)</w:t>
      </w:r>
      <w:r w:rsidR="0081183B" w:rsidRPr="008E4EF8">
        <w:rPr>
          <w:rFonts w:ascii="Times New Roman" w:hAnsi="Times New Roman" w:cs="Times New Roman"/>
          <w:szCs w:val="24"/>
        </w:rPr>
        <w:t xml:space="preserve">, </w:t>
      </w:r>
      <w:r w:rsidRPr="008E4EF8">
        <w:rPr>
          <w:rFonts w:ascii="Times New Roman" w:hAnsi="Times New Roman" w:cs="Times New Roman"/>
          <w:szCs w:val="24"/>
        </w:rPr>
        <w:t>Laboratory-based chemical and physical analysis</w:t>
      </w:r>
      <w:r w:rsidR="0081183B" w:rsidRPr="008E4EF8">
        <w:rPr>
          <w:rFonts w:ascii="Times New Roman" w:hAnsi="Times New Roman" w:cs="Times New Roman"/>
          <w:szCs w:val="24"/>
        </w:rPr>
        <w:t xml:space="preserve">, </w:t>
      </w:r>
      <w:r w:rsidRPr="008E4EF8">
        <w:rPr>
          <w:rFonts w:ascii="Times New Roman" w:hAnsi="Times New Roman" w:cs="Times New Roman"/>
          <w:szCs w:val="24"/>
        </w:rPr>
        <w:t>Generation of soil health reports</w:t>
      </w:r>
      <w:r w:rsidR="0081183B" w:rsidRPr="008E4EF8">
        <w:rPr>
          <w:rFonts w:ascii="Times New Roman" w:hAnsi="Times New Roman" w:cs="Times New Roman"/>
          <w:szCs w:val="24"/>
        </w:rPr>
        <w:t xml:space="preserve">, </w:t>
      </w:r>
      <w:r w:rsidRPr="008E4EF8">
        <w:rPr>
          <w:rFonts w:ascii="Times New Roman" w:hAnsi="Times New Roman" w:cs="Times New Roman"/>
          <w:szCs w:val="24"/>
        </w:rPr>
        <w:t>Fertilizer recommendation issuance</w:t>
      </w:r>
    </w:p>
    <w:p w14:paraId="773C9E61" w14:textId="33B21568"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While government laboratories provide subsidized testing, they are typically centralized at district headquarters, requiring farmers to travel for submission and report collection. Private laboratories are generally concentrated in urban and semi-urban regions.</w:t>
      </w:r>
    </w:p>
    <w:p w14:paraId="6B94D61D" w14:textId="69322AD4" w:rsidR="000C51B3" w:rsidRPr="008E4EF8" w:rsidRDefault="0081183B" w:rsidP="0081183B">
      <w:pPr>
        <w:spacing w:line="240" w:lineRule="auto"/>
        <w:jc w:val="both"/>
        <w:rPr>
          <w:rFonts w:ascii="Times New Roman" w:hAnsi="Times New Roman" w:cs="Times New Roman"/>
          <w:b/>
          <w:bCs/>
          <w:szCs w:val="24"/>
        </w:rPr>
      </w:pPr>
      <w:r w:rsidRPr="008E4EF8">
        <w:rPr>
          <w:rFonts w:ascii="Times New Roman" w:hAnsi="Times New Roman" w:cs="Times New Roman"/>
          <w:b/>
          <w:bCs/>
          <w:szCs w:val="24"/>
        </w:rPr>
        <w:t>ADOPTION AND FERTILIZER IMBALANCE CONCERNS</w:t>
      </w:r>
    </w:p>
    <w:p w14:paraId="47E6FF82" w14:textId="77777777"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Studies examining the soil testing scenario in India highlight that insufficient soil testing coverage contributes to imbalanced fertilizer usage, particularly over-application of nitrogen relative to phosphorus and potassium </w:t>
      </w:r>
      <w:r w:rsidRPr="008E4EF8">
        <w:rPr>
          <w:rFonts w:ascii="Times New Roman" w:hAnsi="Times New Roman" w:cs="Times New Roman"/>
          <w:szCs w:val="24"/>
          <w:vertAlign w:val="superscript"/>
        </w:rPr>
        <w:t>[7].</w:t>
      </w:r>
      <w:r w:rsidRPr="008E4EF8">
        <w:rPr>
          <w:rFonts w:ascii="Times New Roman" w:hAnsi="Times New Roman" w:cs="Times New Roman"/>
          <w:szCs w:val="24"/>
        </w:rPr>
        <w:t xml:space="preserve"> This imbalance not only increases input costs but also accelerates soil degradation and environmental stress.</w:t>
      </w:r>
    </w:p>
    <w:p w14:paraId="04D0960A" w14:textId="44A1E7C0" w:rsidR="000C51B3" w:rsidRPr="008E4EF8"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 xml:space="preserve">Despite expansion of soil testing infrastructure, adoption remains uneven due to accessibility constraints, procedural delays, and limited awareness among farmers </w:t>
      </w:r>
      <w:r w:rsidRPr="008E4EF8">
        <w:rPr>
          <w:rFonts w:ascii="Times New Roman" w:hAnsi="Times New Roman" w:cs="Times New Roman"/>
          <w:szCs w:val="24"/>
          <w:vertAlign w:val="superscript"/>
        </w:rPr>
        <w:t>[7].</w:t>
      </w:r>
    </w:p>
    <w:p w14:paraId="5118A053" w14:textId="67A2D5C3" w:rsidR="000C51B3" w:rsidRPr="008E4EF8" w:rsidRDefault="0081183B" w:rsidP="0081183B">
      <w:pPr>
        <w:spacing w:line="240" w:lineRule="auto"/>
        <w:jc w:val="both"/>
        <w:rPr>
          <w:rFonts w:ascii="Times New Roman" w:hAnsi="Times New Roman" w:cs="Times New Roman"/>
          <w:b/>
          <w:bCs/>
          <w:szCs w:val="24"/>
        </w:rPr>
      </w:pPr>
      <w:r w:rsidRPr="008E4EF8">
        <w:rPr>
          <w:rFonts w:ascii="Times New Roman" w:hAnsi="Times New Roman" w:cs="Times New Roman"/>
          <w:b/>
          <w:bCs/>
          <w:szCs w:val="24"/>
        </w:rPr>
        <w:t>STRUCTURAL CHARACTERISTICS OF THE CURRENT SYSTEM</w:t>
      </w:r>
    </w:p>
    <w:p w14:paraId="0A13634C" w14:textId="77777777" w:rsidR="007F7696"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The existing soil testing ecosystem in India exhibits the following structural characteristics:</w:t>
      </w:r>
      <w:r w:rsidR="0081183B" w:rsidRPr="008E4EF8">
        <w:rPr>
          <w:rFonts w:ascii="Times New Roman" w:hAnsi="Times New Roman" w:cs="Times New Roman"/>
          <w:szCs w:val="24"/>
        </w:rPr>
        <w:t xml:space="preserve"> </w:t>
      </w:r>
      <w:r w:rsidRPr="008E4EF8">
        <w:rPr>
          <w:rFonts w:ascii="Times New Roman" w:hAnsi="Times New Roman" w:cs="Times New Roman"/>
          <w:szCs w:val="24"/>
        </w:rPr>
        <w:t>Predominantly centralized laboratory-based testing</w:t>
      </w:r>
      <w:r w:rsidR="0081183B" w:rsidRPr="008E4EF8">
        <w:rPr>
          <w:rFonts w:ascii="Times New Roman" w:hAnsi="Times New Roman" w:cs="Times New Roman"/>
          <w:szCs w:val="24"/>
        </w:rPr>
        <w:t xml:space="preserve">, </w:t>
      </w:r>
      <w:r w:rsidRPr="008E4EF8">
        <w:rPr>
          <w:rFonts w:ascii="Times New Roman" w:hAnsi="Times New Roman" w:cs="Times New Roman"/>
          <w:szCs w:val="24"/>
        </w:rPr>
        <w:t>Heavy reliance on chemical analytical instruments</w:t>
      </w:r>
      <w:r w:rsidR="0081183B" w:rsidRPr="008E4EF8">
        <w:rPr>
          <w:rFonts w:ascii="Times New Roman" w:hAnsi="Times New Roman" w:cs="Times New Roman"/>
          <w:szCs w:val="24"/>
        </w:rPr>
        <w:t xml:space="preserve">, </w:t>
      </w:r>
      <w:r w:rsidRPr="008E4EF8">
        <w:rPr>
          <w:rFonts w:ascii="Times New Roman" w:hAnsi="Times New Roman" w:cs="Times New Roman"/>
          <w:szCs w:val="24"/>
        </w:rPr>
        <w:t>Report formats primarily focused on nutrient quantification</w:t>
      </w:r>
      <w:r w:rsidR="0081183B" w:rsidRPr="008E4EF8">
        <w:rPr>
          <w:rFonts w:ascii="Times New Roman" w:hAnsi="Times New Roman" w:cs="Times New Roman"/>
          <w:szCs w:val="24"/>
        </w:rPr>
        <w:t xml:space="preserve">, </w:t>
      </w:r>
      <w:r w:rsidRPr="008E4EF8">
        <w:rPr>
          <w:rFonts w:ascii="Times New Roman" w:hAnsi="Times New Roman" w:cs="Times New Roman"/>
          <w:szCs w:val="24"/>
        </w:rPr>
        <w:t>Limited integration of real-time or on-field testing mechanisms</w:t>
      </w:r>
      <w:r w:rsidR="0081183B" w:rsidRPr="008E4EF8">
        <w:rPr>
          <w:rFonts w:ascii="Times New Roman" w:hAnsi="Times New Roman" w:cs="Times New Roman"/>
          <w:szCs w:val="24"/>
        </w:rPr>
        <w:t xml:space="preserve">, </w:t>
      </w:r>
      <w:r w:rsidRPr="008E4EF8">
        <w:rPr>
          <w:rFonts w:ascii="Times New Roman" w:hAnsi="Times New Roman" w:cs="Times New Roman"/>
          <w:szCs w:val="24"/>
        </w:rPr>
        <w:t>Dependency on physical sample transport and processing</w:t>
      </w:r>
      <w:r w:rsidR="00EE605E">
        <w:rPr>
          <w:rFonts w:ascii="Times New Roman" w:hAnsi="Times New Roman" w:cs="Times New Roman"/>
          <w:szCs w:val="24"/>
        </w:rPr>
        <w:t>. T</w:t>
      </w:r>
      <w:r w:rsidR="00EE605E" w:rsidRPr="008E4EF8">
        <w:rPr>
          <w:rFonts w:ascii="Times New Roman" w:hAnsi="Times New Roman" w:cs="Times New Roman"/>
          <w:szCs w:val="24"/>
        </w:rPr>
        <w:t>he system provides scientifically reliable results the centralized nature introduces delays and practical barriers that reduce efficiency at the farm level.</w:t>
      </w:r>
    </w:p>
    <w:p w14:paraId="30AB99B3" w14:textId="6DD68D42" w:rsidR="00EE605E" w:rsidRPr="007F7696" w:rsidRDefault="007F7696" w:rsidP="007F7696">
      <w:pPr>
        <w:spacing w:line="240" w:lineRule="auto"/>
        <w:jc w:val="center"/>
        <w:rPr>
          <w:rFonts w:ascii="Times New Roman" w:hAnsi="Times New Roman" w:cs="Times New Roman"/>
          <w:sz w:val="22"/>
          <w:szCs w:val="22"/>
          <w:lang w:val="en"/>
        </w:rPr>
      </w:pPr>
      <w:r w:rsidRPr="008E4EF8">
        <w:rPr>
          <w:rFonts w:ascii="Times New Roman" w:hAnsi="Times New Roman" w:cs="Times New Roman"/>
          <w:noProof/>
          <w:szCs w:val="24"/>
          <w:lang w:val="en-US"/>
        </w:rPr>
        <w:lastRenderedPageBreak/>
        <w:drawing>
          <wp:anchor distT="0" distB="0" distL="114300" distR="114300" simplePos="0" relativeHeight="251654656" behindDoc="0" locked="0" layoutInCell="1" allowOverlap="1" wp14:anchorId="64C7A22F" wp14:editId="3826F49D">
            <wp:simplePos x="0" y="0"/>
            <wp:positionH relativeFrom="column">
              <wp:posOffset>107950</wp:posOffset>
            </wp:positionH>
            <wp:positionV relativeFrom="paragraph">
              <wp:posOffset>-635</wp:posOffset>
            </wp:positionV>
            <wp:extent cx="7023100" cy="2987040"/>
            <wp:effectExtent l="0" t="0" r="6350" b="3810"/>
            <wp:wrapTopAndBottom/>
            <wp:docPr id="956619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3100" cy="2987040"/>
                    </a:xfrm>
                    <a:prstGeom prst="rect">
                      <a:avLst/>
                    </a:prstGeom>
                    <a:noFill/>
                    <a:ln>
                      <a:noFill/>
                    </a:ln>
                  </pic:spPr>
                </pic:pic>
              </a:graphicData>
            </a:graphic>
          </wp:anchor>
        </w:drawing>
      </w:r>
      <w:r w:rsidRPr="007F7696">
        <w:rPr>
          <w:rFonts w:ascii="Times New Roman" w:hAnsi="Times New Roman" w:cs="Times New Roman"/>
          <w:sz w:val="22"/>
          <w:szCs w:val="22"/>
          <w:lang w:val="en"/>
        </w:rPr>
        <w:t xml:space="preserve"> </w:t>
      </w:r>
      <w:r w:rsidRPr="00A46D85">
        <w:rPr>
          <w:rFonts w:ascii="Times New Roman" w:hAnsi="Times New Roman" w:cs="Times New Roman"/>
          <w:sz w:val="22"/>
          <w:szCs w:val="22"/>
          <w:lang w:val="en"/>
        </w:rPr>
        <w:t>Fig.1. A sample Soil Health Card</w:t>
      </w:r>
    </w:p>
    <w:p w14:paraId="6C00B135" w14:textId="44560A87" w:rsidR="00D5074F" w:rsidRPr="00884E5D"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Fig</w:t>
      </w:r>
      <w:r w:rsidR="0063092A" w:rsidRPr="008E4EF8">
        <w:rPr>
          <w:rFonts w:ascii="Times New Roman" w:hAnsi="Times New Roman" w:cs="Times New Roman"/>
          <w:szCs w:val="24"/>
          <w:lang w:val="en"/>
        </w:rPr>
        <w:t>ure</w:t>
      </w:r>
      <w:r w:rsidRPr="008E4EF8">
        <w:rPr>
          <w:rFonts w:ascii="Times New Roman" w:hAnsi="Times New Roman" w:cs="Times New Roman"/>
          <w:szCs w:val="24"/>
          <w:lang w:val="en"/>
        </w:rPr>
        <w:t xml:space="preserve"> 1 illustrates a representative Soil Health Card format currently issued under government programs. The report primarily presents quantitative nutrient values along with corresponding classifications and fertilizer recommendations. Although effective for identifying nutrient deficiencies, the format focuses largely on corrective chemical input measures and does not provide integrated sustainability guidance, long-term soil health strategies, or contextualized crop planning insights.</w:t>
      </w:r>
    </w:p>
    <w:p w14:paraId="6C4DE12D" w14:textId="4D04D83B" w:rsidR="000C51B3" w:rsidRPr="008E4EF8" w:rsidRDefault="000C51B3" w:rsidP="000C51B3">
      <w:pPr>
        <w:spacing w:line="240" w:lineRule="auto"/>
        <w:jc w:val="both"/>
        <w:rPr>
          <w:rFonts w:ascii="Times New Roman" w:hAnsi="Times New Roman" w:cs="Times New Roman"/>
          <w:b/>
          <w:bCs/>
          <w:sz w:val="28"/>
          <w:szCs w:val="28"/>
          <w:lang w:val="en"/>
        </w:rPr>
      </w:pPr>
      <w:r w:rsidRPr="008E4EF8">
        <w:rPr>
          <w:rFonts w:ascii="Times New Roman" w:hAnsi="Times New Roman" w:cs="Times New Roman"/>
          <w:b/>
          <w:bCs/>
          <w:sz w:val="28"/>
          <w:szCs w:val="28"/>
          <w:lang w:val="en"/>
        </w:rPr>
        <w:t>LIMITATIONS OF THE CURRENT SOIL TESTING ECOSYSTEM</w:t>
      </w:r>
    </w:p>
    <w:p w14:paraId="06F17941"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Despite the structured expansion of soil testing infrastructure and the implementation of the Soil Health Card (SHC) scheme, several structural and operational limitations restrict the effectiveness of the current system.</w:t>
      </w:r>
    </w:p>
    <w:p w14:paraId="78C57958"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TIME-INTENSIVE LABORATORY DEPENDENCY</w:t>
      </w:r>
    </w:p>
    <w:p w14:paraId="4ACD10CA"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Conventional soil testing relies heavily on centralised laboratory-based chemical analysis. The workflow involving sample collection, transport, preparation, laboratory processing, and report generation introduces significant delays. In government laboratories, turnaround time may extend to several weeks depending on workload and administrative processes. Such delays reduce the practical utility of soil test results, particularly when farmers require timely decision-making during critical crop planning stages.</w:t>
      </w:r>
    </w:p>
    <w:p w14:paraId="3809FDE9"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ACCESSIBILITY AND GEOGRAPHICAL CONSTRAINTS</w:t>
      </w:r>
    </w:p>
    <w:p w14:paraId="725E9607"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Most government soil testing laboratories are located at district headquarters or designated agricultural centres. Farmers from remote or interior villages must travel to submit samples and collect reports. This introduces indirect costs including transportation expenses, time loss, and opportunity cost of labour. Although private laboratories exist, they are predominantly concentrated in urban or semi-urban areas, limiting accessibility for small and marginal farmers.</w:t>
      </w:r>
    </w:p>
    <w:p w14:paraId="31AE8833"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COST CONSIDERATIONS</w:t>
      </w:r>
    </w:p>
    <w:p w14:paraId="0FABD789"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While government-supported testing is subsidised, private soil testing services often involve higher charges depending on the number of parameters analysed. For economically vulnerable farmers, repeated soil testing may not be financially feasible, reducing adoption frequency.</w:t>
      </w:r>
    </w:p>
    <w:p w14:paraId="4E784F6D"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LIMITED INTERPRETABILITY OF SOIL HEALTH REPORTS</w:t>
      </w:r>
    </w:p>
    <w:p w14:paraId="788BEC53" w14:textId="77777777" w:rsid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Figure 1 illustrates a representative Soil Health Card format currently issued under government programs. The report primarily presents quantitative nutrient values along with categorical classifications such as low, medium, or high. Although effective in identifying nutrient deficiencies, the reporting format largely emphasises numerical data and chemical fertilizer recommendations. Interpretation often requires external guidance from agricultural officers or experts, limiting independent decision-making by farmers.</w:t>
      </w:r>
    </w:p>
    <w:p w14:paraId="327FBDED" w14:textId="77777777" w:rsidR="002356CB" w:rsidRDefault="002356CB" w:rsidP="001904BE">
      <w:pPr>
        <w:spacing w:line="240" w:lineRule="auto"/>
        <w:jc w:val="both"/>
        <w:rPr>
          <w:rFonts w:ascii="Times New Roman" w:hAnsi="Times New Roman" w:cs="Times New Roman"/>
          <w:szCs w:val="24"/>
        </w:rPr>
      </w:pPr>
    </w:p>
    <w:p w14:paraId="1F45AF4E" w14:textId="77777777" w:rsidR="002356CB" w:rsidRPr="001904BE" w:rsidRDefault="002356CB" w:rsidP="001904BE">
      <w:pPr>
        <w:spacing w:line="240" w:lineRule="auto"/>
        <w:jc w:val="both"/>
        <w:rPr>
          <w:rFonts w:ascii="Times New Roman" w:hAnsi="Times New Roman" w:cs="Times New Roman"/>
          <w:szCs w:val="24"/>
        </w:rPr>
      </w:pPr>
    </w:p>
    <w:p w14:paraId="2AF6234A"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lastRenderedPageBreak/>
        <w:t>ABSENCE OF HOLISTIC SUSTAINABILITY GUIDANCE</w:t>
      </w:r>
    </w:p>
    <w:p w14:paraId="3FB4A087"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Current soil testing frameworks focus predominantly on nutrient quantification and corrective fertilizer application. While this approach addresses short-term deficiencies, it does not comprehensively integrate long-term soil restoration strategies, organic and biological soil management options, crop rotation planning, integrated nutrient management practices, or environmental impact considerations. As a result, soil test outcomes frequently translate into input-based corrective measures rather than sustainable soil health planning.</w:t>
      </w:r>
    </w:p>
    <w:p w14:paraId="0F7F424C"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LACK OF REAL-TIME AND CONTINUOUS MONITORING</w:t>
      </w:r>
    </w:p>
    <w:p w14:paraId="201F1CA0" w14:textId="77777777" w:rsidR="001904BE" w:rsidRPr="001904BE" w:rsidRDefault="001904BE" w:rsidP="001904BE">
      <w:pPr>
        <w:spacing w:line="240" w:lineRule="auto"/>
        <w:jc w:val="both"/>
        <w:rPr>
          <w:rFonts w:ascii="Times New Roman" w:hAnsi="Times New Roman" w:cs="Times New Roman"/>
          <w:szCs w:val="24"/>
        </w:rPr>
      </w:pPr>
      <w:r w:rsidRPr="001904BE">
        <w:rPr>
          <w:rFonts w:ascii="Times New Roman" w:hAnsi="Times New Roman" w:cs="Times New Roman"/>
          <w:szCs w:val="24"/>
        </w:rPr>
        <w:t>Traditional soil testing represents a periodic and static assessment of soil condition. It does not support real-time monitoring or dynamic updates based on changing environmental or cropping conditions. In an era of precision agriculture, this static model limits responsiveness and adaptability.</w:t>
      </w:r>
    </w:p>
    <w:p w14:paraId="6499F6BF" w14:textId="77777777" w:rsidR="001904BE" w:rsidRPr="001904BE" w:rsidRDefault="001904BE" w:rsidP="001904BE">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SECTION INSIGHT</w:t>
      </w:r>
    </w:p>
    <w:p w14:paraId="6BE232F8" w14:textId="0124CC23" w:rsidR="001904BE" w:rsidRPr="008E4EF8" w:rsidRDefault="001904BE" w:rsidP="000C51B3">
      <w:pPr>
        <w:spacing w:line="240" w:lineRule="auto"/>
        <w:jc w:val="both"/>
        <w:rPr>
          <w:rFonts w:ascii="Times New Roman" w:hAnsi="Times New Roman" w:cs="Times New Roman"/>
          <w:szCs w:val="24"/>
        </w:rPr>
      </w:pPr>
      <w:r w:rsidRPr="001904BE">
        <w:rPr>
          <w:rFonts w:ascii="Times New Roman" w:hAnsi="Times New Roman" w:cs="Times New Roman"/>
          <w:szCs w:val="24"/>
        </w:rPr>
        <w:t>The existing soil testing ecosystem in India demonstrates strong scientific reliability but remains structurally centralised, time-intensive, and limited in actionable sustainability-oriented outputs. These limitations highlight the need for modernised soil analysis systems that reduce dependency on centralised laboratories while enhancing usability, accessibility, and decision-support capabilities.</w:t>
      </w:r>
    </w:p>
    <w:tbl>
      <w:tblPr>
        <w:tblW w:w="11440" w:type="dxa"/>
        <w:tblLayout w:type="fixed"/>
        <w:tblCellMar>
          <w:top w:w="15" w:type="dxa"/>
          <w:left w:w="15" w:type="dxa"/>
          <w:bottom w:w="15" w:type="dxa"/>
          <w:right w:w="15" w:type="dxa"/>
        </w:tblCellMar>
        <w:tblLook w:val="04A0" w:firstRow="1" w:lastRow="0" w:firstColumn="1" w:lastColumn="0" w:noHBand="0" w:noVBand="1"/>
      </w:tblPr>
      <w:tblGrid>
        <w:gridCol w:w="667"/>
        <w:gridCol w:w="1134"/>
        <w:gridCol w:w="993"/>
        <w:gridCol w:w="992"/>
        <w:gridCol w:w="992"/>
        <w:gridCol w:w="1134"/>
        <w:gridCol w:w="1134"/>
        <w:gridCol w:w="1559"/>
        <w:gridCol w:w="1276"/>
        <w:gridCol w:w="1559"/>
      </w:tblGrid>
      <w:tr w:rsidR="0046006C" w:rsidRPr="008E4EF8" w14:paraId="5833FA50" w14:textId="77777777" w:rsidTr="009D49F4">
        <w:trPr>
          <w:trHeight w:val="732"/>
        </w:trPr>
        <w:tc>
          <w:tcPr>
            <w:tcW w:w="66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7154D01F" w14:textId="77777777" w:rsidR="0046006C" w:rsidRPr="008E4EF8" w:rsidRDefault="0046006C" w:rsidP="00964994">
            <w:pPr>
              <w:spacing w:line="240" w:lineRule="auto"/>
              <w:jc w:val="center"/>
              <w:rPr>
                <w:rFonts w:ascii="Times New Roman" w:hAnsi="Times New Roman" w:cs="Times New Roman"/>
                <w:szCs w:val="24"/>
              </w:rPr>
            </w:pPr>
            <w:r w:rsidRPr="008E4EF8">
              <w:rPr>
                <w:rFonts w:ascii="Times New Roman" w:hAnsi="Times New Roman" w:cs="Times New Roman"/>
                <w:b/>
                <w:bCs/>
                <w:szCs w:val="24"/>
              </w:rPr>
              <w:t>Ref</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063DCB4F" w14:textId="30B6BEED" w:rsidR="0046006C" w:rsidRPr="008E4EF8" w:rsidRDefault="0046006C" w:rsidP="00964994">
            <w:pPr>
              <w:spacing w:line="240" w:lineRule="auto"/>
              <w:jc w:val="center"/>
              <w:rPr>
                <w:rFonts w:ascii="Times New Roman" w:hAnsi="Times New Roman" w:cs="Times New Roman"/>
                <w:b/>
                <w:bCs/>
                <w:szCs w:val="24"/>
              </w:rPr>
            </w:pPr>
            <w:r w:rsidRPr="008D5081">
              <w:rPr>
                <w:rFonts w:ascii="Times New Roman" w:eastAsia="Times New Roman" w:hAnsi="Times New Roman" w:cs="Times New Roman"/>
                <w:b/>
                <w:bCs/>
              </w:rPr>
              <w:t>Core Focus</w:t>
            </w:r>
          </w:p>
        </w:tc>
        <w:tc>
          <w:tcPr>
            <w:tcW w:w="99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53FF9816" w14:textId="54B3868E" w:rsidR="0046006C" w:rsidRPr="008E4EF8" w:rsidRDefault="0046006C" w:rsidP="00964994">
            <w:pPr>
              <w:spacing w:line="240" w:lineRule="auto"/>
              <w:jc w:val="center"/>
              <w:rPr>
                <w:rFonts w:ascii="Times New Roman" w:hAnsi="Times New Roman" w:cs="Times New Roman"/>
                <w:szCs w:val="24"/>
              </w:rPr>
            </w:pPr>
            <w:r w:rsidRPr="008E4EF8">
              <w:rPr>
                <w:rFonts w:ascii="Times New Roman" w:hAnsi="Times New Roman" w:cs="Times New Roman"/>
                <w:b/>
                <w:bCs/>
                <w:szCs w:val="24"/>
              </w:rPr>
              <w:t>Technology Used</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0F7A62DB" w14:textId="77777777" w:rsidR="0046006C" w:rsidRPr="008E4EF8" w:rsidRDefault="0046006C" w:rsidP="00964994">
            <w:pPr>
              <w:spacing w:line="240" w:lineRule="auto"/>
              <w:jc w:val="center"/>
              <w:rPr>
                <w:rFonts w:ascii="Times New Roman" w:hAnsi="Times New Roman" w:cs="Times New Roman"/>
                <w:szCs w:val="24"/>
              </w:rPr>
            </w:pPr>
            <w:r w:rsidRPr="008E4EF8">
              <w:rPr>
                <w:rFonts w:ascii="Times New Roman" w:hAnsi="Times New Roman" w:cs="Times New Roman"/>
                <w:b/>
                <w:bCs/>
                <w:szCs w:val="24"/>
              </w:rPr>
              <w:t>Parameters Measured</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652F1D62" w14:textId="77777777" w:rsidR="0046006C" w:rsidRPr="008E4EF8" w:rsidRDefault="0046006C" w:rsidP="00964994">
            <w:pPr>
              <w:spacing w:line="240" w:lineRule="auto"/>
              <w:jc w:val="center"/>
              <w:rPr>
                <w:rFonts w:ascii="Times New Roman" w:hAnsi="Times New Roman" w:cs="Times New Roman"/>
                <w:szCs w:val="24"/>
              </w:rPr>
            </w:pPr>
            <w:r w:rsidRPr="008E4EF8">
              <w:rPr>
                <w:rFonts w:ascii="Times New Roman" w:hAnsi="Times New Roman" w:cs="Times New Roman"/>
                <w:b/>
                <w:bCs/>
                <w:szCs w:val="24"/>
              </w:rPr>
              <w:t>Mobility</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227ECDA8" w14:textId="20FDAA81" w:rsidR="0046006C" w:rsidRPr="008E4EF8" w:rsidRDefault="0046006C" w:rsidP="00964994">
            <w:pPr>
              <w:spacing w:line="240" w:lineRule="auto"/>
              <w:jc w:val="center"/>
              <w:rPr>
                <w:rFonts w:ascii="Times New Roman" w:hAnsi="Times New Roman" w:cs="Times New Roman"/>
                <w:b/>
                <w:bCs/>
                <w:szCs w:val="24"/>
              </w:rPr>
            </w:pPr>
            <w:r w:rsidRPr="008D5081">
              <w:rPr>
                <w:rFonts w:ascii="Times New Roman" w:eastAsia="Times New Roman" w:hAnsi="Times New Roman" w:cs="Times New Roman"/>
                <w:b/>
                <w:bCs/>
              </w:rPr>
              <w:t>Reported Accuracy / Success</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736757E6" w14:textId="3D7E63D3" w:rsidR="0046006C" w:rsidRPr="008E4EF8" w:rsidRDefault="0046006C" w:rsidP="00964994">
            <w:pPr>
              <w:spacing w:line="240" w:lineRule="auto"/>
              <w:jc w:val="center"/>
              <w:rPr>
                <w:rFonts w:ascii="Times New Roman" w:hAnsi="Times New Roman" w:cs="Times New Roman"/>
                <w:b/>
                <w:bCs/>
                <w:szCs w:val="24"/>
              </w:rPr>
            </w:pPr>
            <w:r w:rsidRPr="008D5081">
              <w:rPr>
                <w:rFonts w:ascii="Times New Roman" w:eastAsia="Times New Roman" w:hAnsi="Times New Roman" w:cs="Times New Roman"/>
                <w:b/>
                <w:bCs/>
              </w:rPr>
              <w:t>Real-Time / Latency</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3CA02816" w14:textId="43B03563" w:rsidR="0046006C" w:rsidRPr="008E4EF8" w:rsidRDefault="0046006C" w:rsidP="00964994">
            <w:pPr>
              <w:spacing w:line="240" w:lineRule="auto"/>
              <w:jc w:val="center"/>
              <w:rPr>
                <w:rFonts w:ascii="Times New Roman" w:hAnsi="Times New Roman" w:cs="Times New Roman"/>
                <w:b/>
                <w:bCs/>
                <w:szCs w:val="24"/>
              </w:rPr>
            </w:pPr>
            <w:r w:rsidRPr="008D5081">
              <w:rPr>
                <w:rFonts w:ascii="Times New Roman" w:eastAsia="Times New Roman" w:hAnsi="Times New Roman" w:cs="Times New Roman"/>
                <w:b/>
                <w:bCs/>
              </w:rPr>
              <w:t>Incremental Consumables</w:t>
            </w:r>
          </w:p>
        </w:tc>
        <w:tc>
          <w:tcPr>
            <w:tcW w:w="12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5B8730C9" w14:textId="236A35D6" w:rsidR="0046006C" w:rsidRPr="008E4EF8" w:rsidRDefault="0046006C" w:rsidP="00964994">
            <w:pPr>
              <w:spacing w:line="240" w:lineRule="auto"/>
              <w:jc w:val="center"/>
              <w:rPr>
                <w:rFonts w:ascii="Times New Roman" w:hAnsi="Times New Roman" w:cs="Times New Roman"/>
                <w:szCs w:val="24"/>
              </w:rPr>
            </w:pPr>
            <w:r w:rsidRPr="008E4EF8">
              <w:rPr>
                <w:rFonts w:ascii="Times New Roman" w:hAnsi="Times New Roman" w:cs="Times New Roman"/>
                <w:b/>
                <w:bCs/>
                <w:szCs w:val="24"/>
              </w:rPr>
              <w:t>Decision Support</w:t>
            </w:r>
          </w:p>
        </w:tc>
        <w:tc>
          <w:tcPr>
            <w:tcW w:w="155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6C677658" w14:textId="77777777" w:rsidR="0046006C" w:rsidRPr="008E4EF8" w:rsidRDefault="0046006C" w:rsidP="00964994">
            <w:pPr>
              <w:spacing w:line="240" w:lineRule="auto"/>
              <w:jc w:val="center"/>
              <w:rPr>
                <w:rFonts w:ascii="Times New Roman" w:hAnsi="Times New Roman" w:cs="Times New Roman"/>
                <w:szCs w:val="24"/>
              </w:rPr>
            </w:pPr>
            <w:r w:rsidRPr="008E4EF8">
              <w:rPr>
                <w:rFonts w:ascii="Times New Roman" w:hAnsi="Times New Roman" w:cs="Times New Roman"/>
                <w:b/>
                <w:bCs/>
                <w:szCs w:val="24"/>
              </w:rPr>
              <w:t>Limitations</w:t>
            </w:r>
          </w:p>
        </w:tc>
      </w:tr>
      <w:tr w:rsidR="00031AF7" w:rsidRPr="008E4EF8" w14:paraId="71FE4784" w14:textId="77777777" w:rsidTr="009D49F4">
        <w:trPr>
          <w:trHeight w:val="689"/>
        </w:trPr>
        <w:tc>
          <w:tcPr>
            <w:tcW w:w="66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5D16C213"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[10]</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2EC93D26" w14:textId="793BB2FE" w:rsidR="00031AF7"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NPK-based smart agriculture</w:t>
            </w:r>
          </w:p>
          <w:p w14:paraId="10B22279" w14:textId="77777777" w:rsidR="00031AF7" w:rsidRPr="0046006C" w:rsidRDefault="00031AF7" w:rsidP="00031AF7">
            <w:pPr>
              <w:rPr>
                <w:rFonts w:ascii="Times New Roman" w:hAnsi="Times New Roman" w:cs="Times New Roman"/>
                <w:szCs w:val="24"/>
              </w:rPr>
            </w:pPr>
          </w:p>
        </w:tc>
        <w:tc>
          <w:tcPr>
            <w:tcW w:w="99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6B15B081" w14:textId="0BAD4163"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NPK sensors + IoT</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3A21443E"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NPK</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2943D046"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Static</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3E46D3AC" w14:textId="6F0EE103"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99.69% yield increase; ~72% fertilizer reduction</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57734E05" w14:textId="40B3AABE"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Real-time</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042BBD6D" w14:textId="1CE9773F" w:rsidR="00031AF7" w:rsidRPr="008E4EF8" w:rsidRDefault="00031AF7" w:rsidP="00031AF7">
            <w:pPr>
              <w:spacing w:line="240" w:lineRule="auto"/>
              <w:jc w:val="center"/>
              <w:rPr>
                <w:rFonts w:ascii="Times New Roman" w:hAnsi="Times New Roman" w:cs="Times New Roman"/>
                <w:szCs w:val="24"/>
              </w:rPr>
            </w:pPr>
            <w:r w:rsidRPr="008D5081">
              <w:rPr>
                <w:rFonts w:ascii="Times New Roman" w:eastAsia="Times New Roman" w:hAnsi="Times New Roman" w:cs="Times New Roman"/>
              </w:rPr>
              <w:t>Reagent-less</w:t>
            </w:r>
          </w:p>
        </w:tc>
        <w:tc>
          <w:tcPr>
            <w:tcW w:w="12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2999C76D" w14:textId="672EA98F"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Fertilizer optimization</w:t>
            </w:r>
          </w:p>
        </w:tc>
        <w:tc>
          <w:tcPr>
            <w:tcW w:w="155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0B846AB5"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Crop-specific, limited scalability</w:t>
            </w:r>
          </w:p>
        </w:tc>
      </w:tr>
      <w:tr w:rsidR="00031AF7" w:rsidRPr="008E4EF8" w14:paraId="1163F1E3" w14:textId="77777777" w:rsidTr="009D49F4">
        <w:trPr>
          <w:trHeight w:val="680"/>
        </w:trPr>
        <w:tc>
          <w:tcPr>
            <w:tcW w:w="66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430A81C6"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[11]</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57BA3523" w14:textId="77777777" w:rsidR="00031AF7" w:rsidRDefault="00031AF7" w:rsidP="00031AF7">
            <w:pPr>
              <w:spacing w:line="240" w:lineRule="auto"/>
              <w:jc w:val="both"/>
              <w:rPr>
                <w:rFonts w:ascii="Times New Roman" w:hAnsi="Times New Roman" w:cs="Times New Roman"/>
                <w:szCs w:val="24"/>
              </w:rPr>
            </w:pPr>
          </w:p>
          <w:p w14:paraId="06D13C65" w14:textId="1D9553A3" w:rsidR="00031AF7" w:rsidRPr="0046006C" w:rsidRDefault="00031AF7" w:rsidP="00031AF7">
            <w:pPr>
              <w:rPr>
                <w:rFonts w:ascii="Times New Roman" w:hAnsi="Times New Roman" w:cs="Times New Roman"/>
                <w:szCs w:val="24"/>
              </w:rPr>
            </w:pPr>
            <w:r w:rsidRPr="008D5081">
              <w:rPr>
                <w:rFonts w:ascii="Times New Roman" w:eastAsia="Times New Roman" w:hAnsi="Times New Roman" w:cs="Times New Roman"/>
              </w:rPr>
              <w:t>Real-time nutrient monitoring</w:t>
            </w:r>
          </w:p>
        </w:tc>
        <w:tc>
          <w:tcPr>
            <w:tcW w:w="99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6AD18884" w14:textId="1CE13594"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NPK sensors + wireless transmission</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036F163C"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NPK</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57B4AD06"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Static</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51410171" w14:textId="0895C281"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88–91% accuracy vs. lab</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6F3B7997" w14:textId="47AA23EC"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Real-time; &lt;1 second response</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58762D34" w14:textId="43906F66"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None; electronic in-situ probe</w:t>
            </w:r>
          </w:p>
        </w:tc>
        <w:tc>
          <w:tcPr>
            <w:tcW w:w="12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495EA5FB" w14:textId="1D0EB659"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Precision agriculture support</w:t>
            </w:r>
          </w:p>
        </w:tc>
        <w:tc>
          <w:tcPr>
            <w:tcW w:w="155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4F12701D"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Focused on sensing, limited automation</w:t>
            </w:r>
          </w:p>
        </w:tc>
      </w:tr>
      <w:tr w:rsidR="00031AF7" w:rsidRPr="008E4EF8" w14:paraId="31F3935B" w14:textId="77777777" w:rsidTr="009D49F4">
        <w:trPr>
          <w:trHeight w:val="657"/>
        </w:trPr>
        <w:tc>
          <w:tcPr>
            <w:tcW w:w="66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424353C7"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[12]</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2E909165" w14:textId="781FE63A" w:rsidR="00031AF7" w:rsidRPr="0046006C" w:rsidRDefault="00031AF7" w:rsidP="00031AF7">
            <w:pPr>
              <w:rPr>
                <w:rFonts w:ascii="Times New Roman" w:hAnsi="Times New Roman" w:cs="Times New Roman"/>
                <w:szCs w:val="24"/>
              </w:rPr>
            </w:pPr>
            <w:r w:rsidRPr="008D5081">
              <w:rPr>
                <w:rFonts w:ascii="Times New Roman" w:eastAsia="Times New Roman" w:hAnsi="Times New Roman" w:cs="Times New Roman"/>
              </w:rPr>
              <w:t>Multisensory soil monitoring</w:t>
            </w:r>
          </w:p>
        </w:tc>
        <w:tc>
          <w:tcPr>
            <w:tcW w:w="99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75D08172" w14:textId="2406A910"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Integrated sensor array</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5B02E474"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NPK, moisture, environmental data</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190321AA"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Semi-mobile</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6C8B0A10" w14:textId="6D997299"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0.01 RMSE; 0.92 moisture-macronutrient correlation</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434CED75" w14:textId="6530F9F6"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Real-time; continuous wireless transmission</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483C6987" w14:textId="170E68C9"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None; continuous autonomous monitoring</w:t>
            </w:r>
          </w:p>
        </w:tc>
        <w:tc>
          <w:tcPr>
            <w:tcW w:w="12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282F4356" w14:textId="48B0F88F"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Data acquisition</w:t>
            </w:r>
          </w:p>
        </w:tc>
        <w:tc>
          <w:tcPr>
            <w:tcW w:w="155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38370625"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Lacks full agronomic advisory layer</w:t>
            </w:r>
          </w:p>
        </w:tc>
      </w:tr>
      <w:tr w:rsidR="00031AF7" w:rsidRPr="008E4EF8" w14:paraId="60E40A80" w14:textId="77777777" w:rsidTr="009D49F4">
        <w:trPr>
          <w:trHeight w:val="627"/>
        </w:trPr>
        <w:tc>
          <w:tcPr>
            <w:tcW w:w="66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6868E2B2"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[13]</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15DDD119" w14:textId="231CB8D7"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IoT soil monitoring robot</w:t>
            </w:r>
          </w:p>
        </w:tc>
        <w:tc>
          <w:tcPr>
            <w:tcW w:w="99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62A3AC35" w14:textId="7B26AD93"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Sensors + irrigation system</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3C125BD9"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Moisture, basic nutrients</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275A7192"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Mobile</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0BC6F0B1" w14:textId="246D4C8A"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Successful autonomous threshold-based irrigation</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6ED1FC55" w14:textId="22F23B6B"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Real-time; immediate sensing-to-actuation</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096BAA44" w14:textId="1ED69A7F"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Water (only when soil moisture insufficient)</w:t>
            </w:r>
          </w:p>
        </w:tc>
        <w:tc>
          <w:tcPr>
            <w:tcW w:w="12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53C3AA6E" w14:textId="50A9493E"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Irrigation control</w:t>
            </w:r>
          </w:p>
        </w:tc>
        <w:tc>
          <w:tcPr>
            <w:tcW w:w="155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146E273D"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Limited nutrient depth</w:t>
            </w:r>
          </w:p>
        </w:tc>
      </w:tr>
      <w:tr w:rsidR="00031AF7" w:rsidRPr="008E4EF8" w14:paraId="656F35B5" w14:textId="77777777" w:rsidTr="009D49F4">
        <w:trPr>
          <w:trHeight w:val="617"/>
        </w:trPr>
        <w:tc>
          <w:tcPr>
            <w:tcW w:w="66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2773CB4F"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[14]</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3F91B635" w14:textId="2DE85962"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 xml:space="preserve">Autonomous soil </w:t>
            </w:r>
            <w:r w:rsidRPr="008D5081">
              <w:rPr>
                <w:rFonts w:ascii="Times New Roman" w:eastAsia="Times New Roman" w:hAnsi="Times New Roman" w:cs="Times New Roman"/>
              </w:rPr>
              <w:lastRenderedPageBreak/>
              <w:t>sampling</w:t>
            </w:r>
          </w:p>
        </w:tc>
        <w:tc>
          <w:tcPr>
            <w:tcW w:w="99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07568614" w14:textId="79AB66BF"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lastRenderedPageBreak/>
              <w:t xml:space="preserve">Ground-based robot + </w:t>
            </w:r>
            <w:r w:rsidRPr="008E4EF8">
              <w:rPr>
                <w:rFonts w:ascii="Times New Roman" w:hAnsi="Times New Roman" w:cs="Times New Roman"/>
                <w:szCs w:val="24"/>
              </w:rPr>
              <w:lastRenderedPageBreak/>
              <w:t>sampling unit</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1D626085"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lastRenderedPageBreak/>
              <w:t xml:space="preserve">Soil sampling (lab </w:t>
            </w:r>
            <w:r w:rsidRPr="008E4EF8">
              <w:rPr>
                <w:rFonts w:ascii="Times New Roman" w:hAnsi="Times New Roman" w:cs="Times New Roman"/>
                <w:szCs w:val="24"/>
              </w:rPr>
              <w:lastRenderedPageBreak/>
              <w:t>analysed)</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621D8B15"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lastRenderedPageBreak/>
              <w:t>Mobile</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77517F56" w14:textId="69F6D7CF"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R² = 0.861 vs. lab measureme</w:t>
            </w:r>
            <w:r w:rsidRPr="008D5081">
              <w:rPr>
                <w:rFonts w:ascii="Times New Roman" w:eastAsia="Times New Roman" w:hAnsi="Times New Roman" w:cs="Times New Roman"/>
              </w:rPr>
              <w:lastRenderedPageBreak/>
              <w:t>nts</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541A7419" w14:textId="41DE44AC"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lastRenderedPageBreak/>
              <w:t xml:space="preserve">Real-time; 90-second pXRF </w:t>
            </w:r>
            <w:r w:rsidRPr="008D5081">
              <w:rPr>
                <w:rFonts w:ascii="Times New Roman" w:eastAsia="Times New Roman" w:hAnsi="Times New Roman" w:cs="Times New Roman"/>
              </w:rPr>
              <w:lastRenderedPageBreak/>
              <w:t>measurement</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10162696" w14:textId="29F1CBCF"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lastRenderedPageBreak/>
              <w:t xml:space="preserve">Physical sampling </w:t>
            </w:r>
            <w:r w:rsidRPr="008D5081">
              <w:rPr>
                <w:rFonts w:ascii="Times New Roman" w:eastAsia="Times New Roman" w:hAnsi="Times New Roman" w:cs="Times New Roman"/>
              </w:rPr>
              <w:lastRenderedPageBreak/>
              <w:t>buckets/scoops</w:t>
            </w:r>
          </w:p>
        </w:tc>
        <w:tc>
          <w:tcPr>
            <w:tcW w:w="12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226D8A62" w14:textId="026FA4E9"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lastRenderedPageBreak/>
              <w:t xml:space="preserve">No direct decision </w:t>
            </w:r>
            <w:r w:rsidRPr="008E4EF8">
              <w:rPr>
                <w:rFonts w:ascii="Times New Roman" w:hAnsi="Times New Roman" w:cs="Times New Roman"/>
                <w:szCs w:val="24"/>
              </w:rPr>
              <w:lastRenderedPageBreak/>
              <w:t>layer</w:t>
            </w:r>
          </w:p>
        </w:tc>
        <w:tc>
          <w:tcPr>
            <w:tcW w:w="155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5F629EB4"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lastRenderedPageBreak/>
              <w:t>Still lab-dependent</w:t>
            </w:r>
          </w:p>
        </w:tc>
      </w:tr>
      <w:tr w:rsidR="00031AF7" w:rsidRPr="008E4EF8" w14:paraId="3388DFD9" w14:textId="77777777" w:rsidTr="009D49F4">
        <w:trPr>
          <w:trHeight w:val="449"/>
        </w:trPr>
        <w:tc>
          <w:tcPr>
            <w:tcW w:w="66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766C442E"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lastRenderedPageBreak/>
              <w:t>[15]</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4CAEA499" w14:textId="78E84BAC"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Path planning techniques</w:t>
            </w:r>
          </w:p>
        </w:tc>
        <w:tc>
          <w:tcPr>
            <w:tcW w:w="99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0AADB860" w14:textId="6BE06D46"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Algorithmic navigation</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4586FA44"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N/A</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663BCFCD"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Mobile</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63819168" w14:textId="3F2BDD1B"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Success rate varies by environment and algorithm</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04E287E2" w14:textId="06FD5B4C"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10–180 ms sensor response</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04082E0F" w14:textId="3C249D97"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Computational (High RAM/GPU)</w:t>
            </w:r>
          </w:p>
        </w:tc>
        <w:tc>
          <w:tcPr>
            <w:tcW w:w="12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1F9FE828" w14:textId="3CD2F4DA"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No soil analytics</w:t>
            </w:r>
          </w:p>
        </w:tc>
        <w:tc>
          <w:tcPr>
            <w:tcW w:w="155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549A0399"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Focus on navigation only</w:t>
            </w:r>
          </w:p>
        </w:tc>
      </w:tr>
      <w:tr w:rsidR="00031AF7" w:rsidRPr="008E4EF8" w14:paraId="093AD482" w14:textId="77777777" w:rsidTr="009D49F4">
        <w:trPr>
          <w:trHeight w:val="688"/>
        </w:trPr>
        <w:tc>
          <w:tcPr>
            <w:tcW w:w="66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25004473"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[16]</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4A5427D1" w14:textId="5171BEBC"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Autonomous navigation in agriculture</w:t>
            </w:r>
          </w:p>
        </w:tc>
        <w:tc>
          <w:tcPr>
            <w:tcW w:w="99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674BE78F" w14:textId="62ED72A6"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Navigation algorithms</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65FF54E1"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N/A</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0F682637"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Mobile</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27AECF6C" w14:textId="10CE27D5"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±0.05 m distance; ±5° orientation accuracy</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2FC49AD4" w14:textId="40A419CC"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Real-time feedback control</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2DAD209E" w14:textId="63BE7814"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Computational (LiDAR point cloud processing)</w:t>
            </w:r>
          </w:p>
        </w:tc>
        <w:tc>
          <w:tcPr>
            <w:tcW w:w="12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298EC3BB" w14:textId="48DBA74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No soil analytics</w:t>
            </w:r>
          </w:p>
        </w:tc>
        <w:tc>
          <w:tcPr>
            <w:tcW w:w="155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64F795CD"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Environmental constraints</w:t>
            </w:r>
          </w:p>
        </w:tc>
      </w:tr>
      <w:tr w:rsidR="00031AF7" w:rsidRPr="008E4EF8" w14:paraId="72D2B22C" w14:textId="77777777" w:rsidTr="009D49F4">
        <w:trPr>
          <w:trHeight w:val="546"/>
        </w:trPr>
        <w:tc>
          <w:tcPr>
            <w:tcW w:w="66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30F73C72"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[17]</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1CA98392" w14:textId="165DA29B"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UAV-assisted field mapping</w:t>
            </w:r>
          </w:p>
        </w:tc>
        <w:tc>
          <w:tcPr>
            <w:tcW w:w="99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206805FE" w14:textId="19884AC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UAV + row mapping</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51BA937A"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N/A</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7DB87D9E"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Aerial + Ground</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6A8447E7" w14:textId="4FDAD3BF"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High row-extraction feasibility (open canopy)</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2595ADDD" w14:textId="727E80DF"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Near real-time aerial map pre-deployment</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6D38CBC4" w14:textId="1D118962"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Computational (stitching software)</w:t>
            </w:r>
          </w:p>
        </w:tc>
        <w:tc>
          <w:tcPr>
            <w:tcW w:w="12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29B80F7C" w14:textId="65C90E5C"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No nutrient analysis</w:t>
            </w:r>
          </w:p>
        </w:tc>
        <w:tc>
          <w:tcPr>
            <w:tcW w:w="155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1536CFE8"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Mapping-focused</w:t>
            </w:r>
          </w:p>
        </w:tc>
      </w:tr>
      <w:tr w:rsidR="00031AF7" w:rsidRPr="008E4EF8" w14:paraId="270F7693" w14:textId="77777777" w:rsidTr="009D49F4">
        <w:trPr>
          <w:trHeight w:val="123"/>
        </w:trPr>
        <w:tc>
          <w:tcPr>
            <w:tcW w:w="66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180A3959"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[18]</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7D79ECFB" w14:textId="02725A4C"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Portable soil sensor system</w:t>
            </w:r>
          </w:p>
        </w:tc>
        <w:tc>
          <w:tcPr>
            <w:tcW w:w="99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461E0555" w14:textId="2E293242"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3D printed sensors</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08BF7881"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pH, K</w:t>
            </w:r>
          </w:p>
        </w:tc>
        <w:tc>
          <w:tcPr>
            <w:tcW w:w="9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347EB28C"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Handheld</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4C8C44CD" w14:textId="18FA172A"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Nernstian sensitivity: -61.05 mV/pH; 49.50 mV/dec (K⁺)</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6377FE5E" w14:textId="7A22DC13"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Real-time; on-site small sample volumes</w:t>
            </w:r>
          </w:p>
        </w:tc>
        <w:tc>
          <w:tcPr>
            <w:tcW w:w="1559" w:type="dxa"/>
            <w:tcBorders>
              <w:top w:val="single" w:sz="12" w:space="0" w:color="000000"/>
              <w:left w:val="single" w:sz="12" w:space="0" w:color="000000"/>
              <w:bottom w:val="single" w:sz="12" w:space="0" w:color="000000"/>
              <w:right w:val="single" w:sz="12" w:space="0" w:color="000000"/>
            </w:tcBorders>
            <w:vAlign w:val="center"/>
          </w:tcPr>
          <w:p w14:paraId="6611A48C" w14:textId="44D04094" w:rsidR="00031AF7" w:rsidRPr="008E4EF8" w:rsidRDefault="00031AF7" w:rsidP="00031AF7">
            <w:pPr>
              <w:spacing w:line="240" w:lineRule="auto"/>
              <w:jc w:val="both"/>
              <w:rPr>
                <w:rFonts w:ascii="Times New Roman" w:hAnsi="Times New Roman" w:cs="Times New Roman"/>
                <w:szCs w:val="24"/>
              </w:rPr>
            </w:pPr>
            <w:r w:rsidRPr="008D5081">
              <w:rPr>
                <w:rFonts w:ascii="Times New Roman" w:eastAsia="Times New Roman" w:hAnsi="Times New Roman" w:cs="Times New Roman"/>
              </w:rPr>
              <w:t>Minimal (MacroRhizon extraction tubes)</w:t>
            </w:r>
          </w:p>
        </w:tc>
        <w:tc>
          <w:tcPr>
            <w:tcW w:w="12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7B947BD9" w14:textId="36EE1112"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Limited</w:t>
            </w:r>
          </w:p>
        </w:tc>
        <w:tc>
          <w:tcPr>
            <w:tcW w:w="155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vAlign w:val="center"/>
            <w:hideMark/>
          </w:tcPr>
          <w:p w14:paraId="0A602F9E" w14:textId="77777777" w:rsidR="00031AF7" w:rsidRPr="008E4EF8" w:rsidRDefault="00031AF7" w:rsidP="00031AF7">
            <w:pPr>
              <w:spacing w:line="240" w:lineRule="auto"/>
              <w:jc w:val="both"/>
              <w:rPr>
                <w:rFonts w:ascii="Times New Roman" w:hAnsi="Times New Roman" w:cs="Times New Roman"/>
                <w:szCs w:val="24"/>
              </w:rPr>
            </w:pPr>
            <w:r w:rsidRPr="008E4EF8">
              <w:rPr>
                <w:rFonts w:ascii="Times New Roman" w:hAnsi="Times New Roman" w:cs="Times New Roman"/>
                <w:szCs w:val="24"/>
              </w:rPr>
              <w:t>Single-parameter focus</w:t>
            </w:r>
          </w:p>
        </w:tc>
      </w:tr>
    </w:tbl>
    <w:p w14:paraId="1EEB87E6" w14:textId="4CC93BE0" w:rsidR="002356CB" w:rsidRPr="00A46D85" w:rsidRDefault="000C51B3" w:rsidP="002356CB">
      <w:pPr>
        <w:spacing w:line="240" w:lineRule="auto"/>
        <w:jc w:val="center"/>
        <w:rPr>
          <w:rFonts w:ascii="Times New Roman" w:hAnsi="Times New Roman" w:cs="Times New Roman"/>
          <w:sz w:val="22"/>
          <w:szCs w:val="22"/>
        </w:rPr>
      </w:pPr>
      <w:r w:rsidRPr="00A46D85">
        <w:rPr>
          <w:rFonts w:ascii="Times New Roman" w:hAnsi="Times New Roman" w:cs="Times New Roman"/>
          <w:sz w:val="22"/>
          <w:szCs w:val="22"/>
        </w:rPr>
        <w:t>Table 1. Comparative Analysis of Recent IoT- and Robotics-Based Soil Monitoring Systems</w:t>
      </w:r>
    </w:p>
    <w:p w14:paraId="3E2024A1" w14:textId="51A97D4C" w:rsidR="002356CB" w:rsidRDefault="000C51B3" w:rsidP="000C51B3">
      <w:pPr>
        <w:spacing w:line="240" w:lineRule="auto"/>
        <w:jc w:val="both"/>
        <w:rPr>
          <w:rFonts w:ascii="Times New Roman" w:hAnsi="Times New Roman" w:cs="Times New Roman"/>
          <w:szCs w:val="24"/>
        </w:rPr>
      </w:pPr>
      <w:r w:rsidRPr="008E4EF8">
        <w:rPr>
          <w:rFonts w:ascii="Times New Roman" w:hAnsi="Times New Roman" w:cs="Times New Roman"/>
          <w:szCs w:val="24"/>
        </w:rPr>
        <w:t>As shown in Table 1, existing research efforts primarily focus on individual components such as nutrient sensing, robotic    navigation, irrigation automation, or portable parameter detection. While these studies contribute significantly to advancing precision agriculture technologies, most systems remain fragmented in scope. Few approaches integrate real-time soil analysis, autonomous data acquisition, and sustainability-oriented decision support into a unified framework.</w:t>
      </w:r>
    </w:p>
    <w:p w14:paraId="42643100" w14:textId="77777777" w:rsidR="00131318" w:rsidRPr="00131318" w:rsidRDefault="00131318" w:rsidP="00131318">
      <w:pPr>
        <w:spacing w:line="240" w:lineRule="auto"/>
        <w:jc w:val="both"/>
        <w:rPr>
          <w:rFonts w:ascii="Times New Roman" w:hAnsi="Times New Roman" w:cs="Times New Roman"/>
          <w:b/>
          <w:bCs/>
          <w:sz w:val="28"/>
          <w:szCs w:val="28"/>
        </w:rPr>
      </w:pPr>
      <w:r w:rsidRPr="00131318">
        <w:rPr>
          <w:rFonts w:ascii="Times New Roman" w:hAnsi="Times New Roman" w:cs="Times New Roman"/>
          <w:b/>
          <w:bCs/>
          <w:sz w:val="28"/>
          <w:szCs w:val="28"/>
        </w:rPr>
        <w:t>RESEARCH GAPS AND INTEGRATION CHALLENGES</w:t>
      </w:r>
    </w:p>
    <w:p w14:paraId="18B89815" w14:textId="77777777" w:rsidR="00131318" w:rsidRPr="001904BE" w:rsidRDefault="00131318" w:rsidP="00131318">
      <w:pPr>
        <w:spacing w:line="240" w:lineRule="auto"/>
        <w:jc w:val="both"/>
        <w:rPr>
          <w:rFonts w:ascii="Times New Roman" w:hAnsi="Times New Roman" w:cs="Times New Roman"/>
          <w:szCs w:val="24"/>
        </w:rPr>
      </w:pPr>
      <w:r w:rsidRPr="001904BE">
        <w:rPr>
          <w:rFonts w:ascii="Times New Roman" w:hAnsi="Times New Roman" w:cs="Times New Roman"/>
          <w:szCs w:val="24"/>
        </w:rPr>
        <w:t>The limitations identified in the preceding section reflect the constraints of conventional soil testing infrastructure. While emerging technologies including IoT-based sensing, autonomous robotics, and portable analytical devices represent promising directions, a critical examination of current research reveals that these technological advances have not yet resolved the systemic challenges of the traditional ecosystem. The following gaps characterise the present state of technological development in this domain.</w:t>
      </w:r>
    </w:p>
    <w:p w14:paraId="7CAF1140" w14:textId="77777777" w:rsidR="00131318" w:rsidRPr="001904BE" w:rsidRDefault="00131318" w:rsidP="00131318">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FRAGMENTATION OF TECHNOLOGICAL SOLUTIONS</w:t>
      </w:r>
    </w:p>
    <w:p w14:paraId="1220AA14" w14:textId="0A296E87" w:rsidR="008C3AD7" w:rsidRPr="001904BE" w:rsidRDefault="00131318" w:rsidP="00131318">
      <w:pPr>
        <w:spacing w:line="240" w:lineRule="auto"/>
        <w:jc w:val="both"/>
        <w:rPr>
          <w:rFonts w:ascii="Times New Roman" w:hAnsi="Times New Roman" w:cs="Times New Roman"/>
          <w:szCs w:val="24"/>
        </w:rPr>
      </w:pPr>
      <w:r w:rsidRPr="001904BE">
        <w:rPr>
          <w:rFonts w:ascii="Times New Roman" w:hAnsi="Times New Roman" w:cs="Times New Roman"/>
          <w:szCs w:val="24"/>
        </w:rPr>
        <w:t>Most existing systems address isolated functionalities rather than end-to-end soil testing workflows. Sensor-based studies primarily focus on nutrient detection accuracy, robotics-based studies concentrate on navigation and field traversal, and portable testing devices emphasise parameter measurement without integrating automation or decision-support capabilities. This fragmentation produces solutions that resolve specific technical problems without addressing the broader structural issues of centralised soil testing infrastructure.</w:t>
      </w:r>
    </w:p>
    <w:p w14:paraId="219BBDDB" w14:textId="77777777" w:rsidR="00131318" w:rsidRPr="001904BE" w:rsidRDefault="00131318" w:rsidP="00131318">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CONTINUED DEPENDENCY ON LABORATORY VALIDATION</w:t>
      </w:r>
    </w:p>
    <w:p w14:paraId="6ECF4988" w14:textId="77777777" w:rsidR="00131318" w:rsidRPr="001904BE" w:rsidRDefault="00131318" w:rsidP="00131318">
      <w:pPr>
        <w:spacing w:line="240" w:lineRule="auto"/>
        <w:jc w:val="both"/>
        <w:rPr>
          <w:rFonts w:ascii="Times New Roman" w:hAnsi="Times New Roman" w:cs="Times New Roman"/>
          <w:szCs w:val="24"/>
        </w:rPr>
      </w:pPr>
      <w:r w:rsidRPr="001904BE">
        <w:rPr>
          <w:rFonts w:ascii="Times New Roman" w:hAnsi="Times New Roman" w:cs="Times New Roman"/>
          <w:szCs w:val="24"/>
        </w:rPr>
        <w:t xml:space="preserve">Several autonomous sampling systems continue to rely on laboratory-based chemical analysis following sample collection in the field. Although automation improves sampling efficiency, it does not eliminate dependency on </w:t>
      </w:r>
      <w:r w:rsidRPr="001904BE">
        <w:rPr>
          <w:rFonts w:ascii="Times New Roman" w:hAnsi="Times New Roman" w:cs="Times New Roman"/>
          <w:szCs w:val="24"/>
        </w:rPr>
        <w:lastRenderedPageBreak/>
        <w:t>centralised laboratory infrastructure. Consequently, the delays, accessibility barriers, and workflow complexity that characterise conventional systems persist even within technologically advanced approaches.</w:t>
      </w:r>
    </w:p>
    <w:p w14:paraId="2144D17B" w14:textId="77777777" w:rsidR="00131318" w:rsidRPr="001904BE" w:rsidRDefault="00131318" w:rsidP="00131318">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LIMITED DECISION-SUPPORT INTEGRATION</w:t>
      </w:r>
    </w:p>
    <w:p w14:paraId="682524E3" w14:textId="77777777" w:rsidR="00131318" w:rsidRPr="001904BE" w:rsidRDefault="00131318" w:rsidP="00131318">
      <w:pPr>
        <w:spacing w:line="240" w:lineRule="auto"/>
        <w:jc w:val="both"/>
        <w:rPr>
          <w:rFonts w:ascii="Times New Roman" w:hAnsi="Times New Roman" w:cs="Times New Roman"/>
          <w:szCs w:val="24"/>
        </w:rPr>
      </w:pPr>
      <w:r w:rsidRPr="001904BE">
        <w:rPr>
          <w:rFonts w:ascii="Times New Roman" w:hAnsi="Times New Roman" w:cs="Times New Roman"/>
          <w:szCs w:val="24"/>
        </w:rPr>
        <w:t>Many IoT-based soil monitoring platforms provide raw sensor data or basic visual dashboards without translating soil parameters into actionable agricultural guidance. Outputs addressing crop suitability, sustainable nutrient management strategies, or long-term soil restoration planning remain underdeveloped. The emphasis on corrective fertilizer input over integrated soil management frameworks limits the practical value of these systems for farmers.</w:t>
      </w:r>
    </w:p>
    <w:p w14:paraId="7405040F" w14:textId="77777777" w:rsidR="00131318" w:rsidRPr="001904BE" w:rsidRDefault="00131318" w:rsidP="00131318">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ABSENCE OF A HOLISTIC SUSTAINABILITY LAYER</w:t>
      </w:r>
    </w:p>
    <w:p w14:paraId="7F79AD5B" w14:textId="77777777" w:rsidR="00131318" w:rsidRPr="001904BE" w:rsidRDefault="00131318" w:rsidP="00131318">
      <w:pPr>
        <w:spacing w:line="240" w:lineRule="auto"/>
        <w:jc w:val="both"/>
        <w:rPr>
          <w:rFonts w:ascii="Times New Roman" w:hAnsi="Times New Roman" w:cs="Times New Roman"/>
          <w:szCs w:val="24"/>
        </w:rPr>
      </w:pPr>
      <w:r w:rsidRPr="001904BE">
        <w:rPr>
          <w:rFonts w:ascii="Times New Roman" w:hAnsi="Times New Roman" w:cs="Times New Roman"/>
          <w:szCs w:val="24"/>
        </w:rPr>
        <w:t>Whereas the conventional system fails to incorporate sustainability guidance at the reporting stage, current technological approaches similarly omit sustainability dimensions at the design stage. Priorities such as soil regeneration, environmental impact reduction, and balanced nutrient cycling are seldom embedded within the analytical output of emerging platforms. This creates a gap not merely in reporting but in the foundational objectives of the systems themselves.</w:t>
      </w:r>
    </w:p>
    <w:p w14:paraId="79FC6A46" w14:textId="77777777" w:rsidR="00131318" w:rsidRPr="001904BE" w:rsidRDefault="00131318" w:rsidP="00131318">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SCALABILITY AND FARMER-CENTRIC USABILITY</w:t>
      </w:r>
    </w:p>
    <w:p w14:paraId="6386071F" w14:textId="77777777" w:rsidR="00131318" w:rsidRPr="001904BE" w:rsidRDefault="00131318" w:rsidP="00131318">
      <w:pPr>
        <w:spacing w:line="240" w:lineRule="auto"/>
        <w:jc w:val="both"/>
        <w:rPr>
          <w:rFonts w:ascii="Times New Roman" w:hAnsi="Times New Roman" w:cs="Times New Roman"/>
          <w:szCs w:val="24"/>
        </w:rPr>
      </w:pPr>
      <w:r w:rsidRPr="001904BE">
        <w:rPr>
          <w:rFonts w:ascii="Times New Roman" w:hAnsi="Times New Roman" w:cs="Times New Roman"/>
          <w:szCs w:val="24"/>
        </w:rPr>
        <w:t>Advanced robotic and IoT systems frequently require technical expertise, infrastructure support, or high initial investment, raising significant uncertainty about scalability across small and marginal farming communities. Usability in rural environments with variable connectivity and limited resources is not consistently addressed in current research, leaving a gap between laboratory-validated performance and real-world deployment.</w:t>
      </w:r>
    </w:p>
    <w:p w14:paraId="27CC2EAB" w14:textId="77777777" w:rsidR="00131318" w:rsidRPr="001904BE" w:rsidRDefault="00131318" w:rsidP="00131318">
      <w:pPr>
        <w:spacing w:line="240" w:lineRule="auto"/>
        <w:jc w:val="both"/>
        <w:rPr>
          <w:rFonts w:ascii="Times New Roman" w:hAnsi="Times New Roman" w:cs="Times New Roman"/>
          <w:b/>
          <w:bCs/>
          <w:szCs w:val="24"/>
        </w:rPr>
      </w:pPr>
      <w:r w:rsidRPr="001904BE">
        <w:rPr>
          <w:rFonts w:ascii="Times New Roman" w:hAnsi="Times New Roman" w:cs="Times New Roman"/>
          <w:b/>
          <w:bCs/>
          <w:szCs w:val="24"/>
        </w:rPr>
        <w:t>SECTION INSIGHT</w:t>
      </w:r>
    </w:p>
    <w:p w14:paraId="208DC23F" w14:textId="6E55952D" w:rsidR="008C3AD7" w:rsidRDefault="00131318" w:rsidP="00131318">
      <w:pPr>
        <w:spacing w:line="240" w:lineRule="auto"/>
        <w:jc w:val="both"/>
        <w:rPr>
          <w:rFonts w:ascii="Times New Roman" w:hAnsi="Times New Roman" w:cs="Times New Roman"/>
          <w:szCs w:val="24"/>
        </w:rPr>
      </w:pPr>
      <w:r w:rsidRPr="001904BE">
        <w:rPr>
          <w:rFonts w:ascii="Times New Roman" w:hAnsi="Times New Roman" w:cs="Times New Roman"/>
          <w:szCs w:val="24"/>
        </w:rPr>
        <w:t>The existing body of research demonstrates meaningful progress in sensing accuracy, automation, and intelligent navigation. However, emerging technological solutions remain fragmented, lab-dependent, and insufficiently oriented toward farmer-centric usability and long-term sustainability. The absence of an integrated, decentralised, and sustainability-aware soil testing framework represents the central research gap in this domain. Addressing it requires combining real-time soil data acquisition, autonomous mobility, intelligent interpretation, and accessible decision support within a single cohesive system.</w:t>
      </w:r>
      <w:r w:rsidR="008C3AD7">
        <w:rPr>
          <w:rFonts w:ascii="Times New Roman" w:hAnsi="Times New Roman" w:cs="Times New Roman"/>
          <w:szCs w:val="24"/>
        </w:rPr>
        <w:t xml:space="preserve"> </w:t>
      </w:r>
    </w:p>
    <w:p w14:paraId="174E4D40" w14:textId="315125E8" w:rsidR="008C3AD7" w:rsidRPr="008C3AD7" w:rsidRDefault="008C3AD7" w:rsidP="00131318">
      <w:pPr>
        <w:spacing w:line="240" w:lineRule="auto"/>
        <w:jc w:val="both"/>
        <w:rPr>
          <w:rFonts w:ascii="Times New Roman" w:hAnsi="Times New Roman" w:cs="Times New Roman"/>
          <w:b/>
          <w:bCs/>
          <w:szCs w:val="24"/>
        </w:rPr>
      </w:pPr>
      <w:r w:rsidRPr="008C3AD7">
        <w:rPr>
          <w:rFonts w:ascii="Times New Roman" w:hAnsi="Times New Roman" w:cs="Times New Roman"/>
          <w:b/>
          <w:bCs/>
          <w:szCs w:val="24"/>
        </w:rPr>
        <w:t xml:space="preserve">PROPOSED SYSTEM </w:t>
      </w:r>
    </w:p>
    <w:p w14:paraId="759CA425" w14:textId="6EC7E8C0" w:rsidR="00745503" w:rsidRDefault="00745503" w:rsidP="00131318">
      <w:pPr>
        <w:spacing w:line="240" w:lineRule="auto"/>
        <w:jc w:val="both"/>
        <w:rPr>
          <w:rFonts w:ascii="Times New Roman" w:hAnsi="Times New Roman" w:cs="Times New Roman"/>
          <w:szCs w:val="24"/>
        </w:rPr>
      </w:pPr>
      <w:r>
        <w:rPr>
          <w:rFonts w:ascii="Times New Roman" w:hAnsi="Times New Roman" w:cs="Times New Roman"/>
          <w:noProof/>
          <w:szCs w:val="24"/>
          <w:lang w:val="en-US"/>
        </w:rPr>
        <w:drawing>
          <wp:anchor distT="0" distB="0" distL="114300" distR="114300" simplePos="0" relativeHeight="251661824" behindDoc="0" locked="0" layoutInCell="1" allowOverlap="1" wp14:anchorId="444B2504" wp14:editId="0C9D65DA">
            <wp:simplePos x="0" y="0"/>
            <wp:positionH relativeFrom="column">
              <wp:posOffset>1731010</wp:posOffset>
            </wp:positionH>
            <wp:positionV relativeFrom="paragraph">
              <wp:posOffset>1023620</wp:posOffset>
            </wp:positionV>
            <wp:extent cx="3787140" cy="3112135"/>
            <wp:effectExtent l="0" t="0" r="3810" b="0"/>
            <wp:wrapTopAndBottom/>
            <wp:docPr id="1950823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23999" name="Picture 1950823999"/>
                    <pic:cNvPicPr/>
                  </pic:nvPicPr>
                  <pic:blipFill>
                    <a:blip r:embed="rId10">
                      <a:extLst>
                        <a:ext uri="{28A0092B-C50C-407E-A947-70E740481C1C}">
                          <a14:useLocalDpi xmlns:a14="http://schemas.microsoft.com/office/drawing/2010/main" val="0"/>
                        </a:ext>
                      </a:extLst>
                    </a:blip>
                    <a:stretch>
                      <a:fillRect/>
                    </a:stretch>
                  </pic:blipFill>
                  <pic:spPr>
                    <a:xfrm>
                      <a:off x="0" y="0"/>
                      <a:ext cx="3787140" cy="3112135"/>
                    </a:xfrm>
                    <a:prstGeom prst="rect">
                      <a:avLst/>
                    </a:prstGeom>
                  </pic:spPr>
                </pic:pic>
              </a:graphicData>
            </a:graphic>
          </wp:anchor>
        </w:drawing>
      </w:r>
      <w:r w:rsidR="008C3AD7" w:rsidRPr="008C3AD7">
        <w:rPr>
          <w:rFonts w:ascii="Times New Roman" w:hAnsi="Times New Roman" w:cs="Times New Roman"/>
          <w:szCs w:val="24"/>
        </w:rPr>
        <w:t xml:space="preserve">Based on the gaps identified in the preceding analysis, Fig. </w:t>
      </w:r>
      <w:r>
        <w:rPr>
          <w:rFonts w:ascii="Times New Roman" w:hAnsi="Times New Roman" w:cs="Times New Roman"/>
          <w:szCs w:val="24"/>
        </w:rPr>
        <w:t>2</w:t>
      </w:r>
      <w:r w:rsidR="008C3AD7" w:rsidRPr="008C3AD7">
        <w:rPr>
          <w:rFonts w:ascii="Times New Roman" w:hAnsi="Times New Roman" w:cs="Times New Roman"/>
          <w:szCs w:val="24"/>
        </w:rPr>
        <w:t xml:space="preserve"> illustrates a conceptual framework for an integrated, decentralised, real-time soil testing and decision support system. The framework consolidates the fragmented capabilities observed across reviewed systems into a unified pipeline — from field-level sensing through cloud-based data logging, algorithmic decision support, and a farmer-facing interface — with a feedback loop enabling seasonal updates and adaptive recommendations.</w:t>
      </w:r>
    </w:p>
    <w:p w14:paraId="79101318" w14:textId="12BADBCC" w:rsidR="00745503" w:rsidRPr="00815024" w:rsidRDefault="00745503" w:rsidP="00933EBC">
      <w:pPr>
        <w:spacing w:line="240" w:lineRule="auto"/>
        <w:jc w:val="center"/>
        <w:rPr>
          <w:rFonts w:ascii="Times New Roman" w:hAnsi="Times New Roman" w:cs="Times New Roman"/>
          <w:bCs/>
          <w:sz w:val="22"/>
          <w:szCs w:val="22"/>
        </w:rPr>
      </w:pPr>
      <w:r w:rsidRPr="00745503">
        <w:rPr>
          <w:rFonts w:ascii="Times New Roman" w:hAnsi="Times New Roman" w:cs="Times New Roman"/>
          <w:bCs/>
          <w:sz w:val="22"/>
          <w:szCs w:val="22"/>
        </w:rPr>
        <w:t xml:space="preserve">Fig. 2. </w:t>
      </w:r>
      <w:proofErr w:type="gramStart"/>
      <w:r w:rsidRPr="00745503">
        <w:rPr>
          <w:rFonts w:ascii="Times New Roman" w:hAnsi="Times New Roman" w:cs="Times New Roman"/>
          <w:bCs/>
          <w:sz w:val="22"/>
          <w:szCs w:val="22"/>
        </w:rPr>
        <w:t>Proposed conceptual framework for an integrated, decentralised, real-time soil testing and decision support system.</w:t>
      </w:r>
      <w:proofErr w:type="gramEnd"/>
    </w:p>
    <w:p w14:paraId="258ED2B7" w14:textId="77777777" w:rsidR="00933EBC" w:rsidRDefault="00933EBC" w:rsidP="000C51B3">
      <w:pPr>
        <w:spacing w:line="240" w:lineRule="auto"/>
        <w:jc w:val="both"/>
        <w:rPr>
          <w:rFonts w:ascii="Times New Roman" w:hAnsi="Times New Roman" w:cs="Times New Roman"/>
          <w:b/>
          <w:sz w:val="28"/>
          <w:szCs w:val="28"/>
        </w:rPr>
      </w:pPr>
    </w:p>
    <w:p w14:paraId="4CACD865" w14:textId="73367365" w:rsidR="00A25545" w:rsidRDefault="00A25545" w:rsidP="000C51B3">
      <w:pPr>
        <w:spacing w:line="240" w:lineRule="auto"/>
        <w:jc w:val="both"/>
        <w:rPr>
          <w:rFonts w:ascii="Times New Roman" w:hAnsi="Times New Roman" w:cs="Times New Roman"/>
          <w:b/>
          <w:sz w:val="28"/>
          <w:szCs w:val="28"/>
        </w:rPr>
      </w:pPr>
      <w:r w:rsidRPr="00A25545">
        <w:rPr>
          <w:rFonts w:ascii="Times New Roman" w:hAnsi="Times New Roman" w:cs="Times New Roman"/>
          <w:b/>
          <w:sz w:val="28"/>
          <w:szCs w:val="28"/>
        </w:rPr>
        <w:lastRenderedPageBreak/>
        <w:t>LIMITATIONS</w:t>
      </w:r>
    </w:p>
    <w:p w14:paraId="1FAE1FB5" w14:textId="77777777" w:rsidR="00884E5D" w:rsidRPr="00884E5D" w:rsidRDefault="00884E5D" w:rsidP="00884E5D">
      <w:pPr>
        <w:spacing w:line="240" w:lineRule="auto"/>
        <w:jc w:val="both"/>
        <w:rPr>
          <w:rFonts w:ascii="Times New Roman" w:hAnsi="Times New Roman" w:cs="Times New Roman"/>
          <w:bCs/>
          <w:szCs w:val="24"/>
        </w:rPr>
      </w:pPr>
      <w:r w:rsidRPr="00884E5D">
        <w:rPr>
          <w:rFonts w:ascii="Times New Roman" w:hAnsi="Times New Roman" w:cs="Times New Roman"/>
          <w:bCs/>
          <w:szCs w:val="24"/>
        </w:rPr>
        <w:t>This review is qualitative in scope and does not include primary experimental validation. Findings are drawn entirely from published literature, government reports, and documented field observations, without original laboratory trials or controlled agronomic experiments. Interpretations regarding the limitations of conventional soil testing and the projected advantages of emerging technologies therefore remain subject to empirical verification.</w:t>
      </w:r>
    </w:p>
    <w:p w14:paraId="76032417" w14:textId="7A43BBF9" w:rsidR="00884E5D" w:rsidRPr="00884E5D" w:rsidRDefault="00884E5D" w:rsidP="00884E5D">
      <w:pPr>
        <w:spacing w:line="240" w:lineRule="auto"/>
        <w:jc w:val="both"/>
        <w:rPr>
          <w:rFonts w:ascii="Times New Roman" w:hAnsi="Times New Roman" w:cs="Times New Roman"/>
          <w:bCs/>
          <w:szCs w:val="24"/>
        </w:rPr>
      </w:pPr>
      <w:r w:rsidRPr="00884E5D">
        <w:rPr>
          <w:rFonts w:ascii="Times New Roman" w:hAnsi="Times New Roman" w:cs="Times New Roman"/>
          <w:bCs/>
          <w:szCs w:val="24"/>
        </w:rPr>
        <w:t xml:space="preserve">The study does not account for regional heterogeneity in soil profiles, agronomic practices, or administrative capacity, which may cause identified constraints to manifest differently across varying geographies. Performance data cited in the IoT and portable sensing comparisons reflects individual study conditions and may not be reproducible across diverse field environments. Assumed baseline conditions </w:t>
      </w:r>
      <w:r>
        <w:rPr>
          <w:rFonts w:ascii="Times New Roman" w:hAnsi="Times New Roman" w:cs="Times New Roman"/>
          <w:bCs/>
          <w:szCs w:val="24"/>
        </w:rPr>
        <w:t>like</w:t>
      </w:r>
      <w:r w:rsidRPr="00884E5D">
        <w:rPr>
          <w:rFonts w:ascii="Times New Roman" w:hAnsi="Times New Roman" w:cs="Times New Roman"/>
          <w:bCs/>
          <w:szCs w:val="24"/>
        </w:rPr>
        <w:t xml:space="preserve"> connectivity, power availability, and digital literacy may also not uniformly exist in rural India, limiting generalizability.</w:t>
      </w:r>
    </w:p>
    <w:p w14:paraId="06649837" w14:textId="40C32827" w:rsidR="00884E5D" w:rsidRPr="00884E5D" w:rsidRDefault="00884E5D" w:rsidP="00884E5D">
      <w:pPr>
        <w:spacing w:line="240" w:lineRule="auto"/>
        <w:jc w:val="both"/>
        <w:rPr>
          <w:rFonts w:ascii="Times New Roman" w:hAnsi="Times New Roman" w:cs="Times New Roman"/>
          <w:bCs/>
          <w:szCs w:val="24"/>
        </w:rPr>
      </w:pPr>
      <w:r w:rsidRPr="00884E5D">
        <w:rPr>
          <w:rFonts w:ascii="Times New Roman" w:hAnsi="Times New Roman" w:cs="Times New Roman"/>
          <w:bCs/>
          <w:szCs w:val="24"/>
        </w:rPr>
        <w:t>Despite these constraints, the review surfaces a critical and under addressed need: affordable, easy-to-use soil testing tools built around farmer requirements rather than laboratory conventions. Portable devices that measure key soil parameters and deliver direct, crop-specific guidance could reduce centralized dependency, accelerate decision-making, and drive meaningful improvements in crop yields and overall agricultural productivity.</w:t>
      </w:r>
    </w:p>
    <w:p w14:paraId="659E98C6" w14:textId="660EEEAA" w:rsidR="002062A9" w:rsidRPr="002062A9" w:rsidRDefault="000C51B3" w:rsidP="002062A9">
      <w:pPr>
        <w:spacing w:line="240" w:lineRule="auto"/>
        <w:jc w:val="both"/>
        <w:rPr>
          <w:rFonts w:ascii="Times New Roman" w:hAnsi="Times New Roman" w:cs="Times New Roman"/>
          <w:b/>
          <w:bCs/>
          <w:sz w:val="28"/>
          <w:szCs w:val="28"/>
          <w:lang w:val="en"/>
        </w:rPr>
      </w:pPr>
      <w:r w:rsidRPr="008E4EF8">
        <w:rPr>
          <w:rFonts w:ascii="Times New Roman" w:hAnsi="Times New Roman" w:cs="Times New Roman"/>
          <w:b/>
          <w:bCs/>
          <w:sz w:val="28"/>
          <w:szCs w:val="28"/>
          <w:lang w:val="en"/>
        </w:rPr>
        <w:t>CONCLUSION</w:t>
      </w:r>
    </w:p>
    <w:p w14:paraId="144E1B41" w14:textId="33FC8BC0" w:rsidR="002062A9" w:rsidRPr="00E01083" w:rsidRDefault="002062A9" w:rsidP="002062A9">
      <w:pPr>
        <w:spacing w:line="240" w:lineRule="auto"/>
        <w:jc w:val="both"/>
        <w:rPr>
          <w:rFonts w:ascii="Times New Roman" w:hAnsi="Times New Roman" w:cs="Times New Roman"/>
          <w:szCs w:val="24"/>
          <w:lang w:val="en"/>
        </w:rPr>
      </w:pPr>
      <w:r w:rsidRPr="002062A9">
        <w:rPr>
          <w:rFonts w:ascii="Times New Roman" w:hAnsi="Times New Roman" w:cs="Times New Roman"/>
          <w:szCs w:val="24"/>
          <w:lang w:val="en"/>
        </w:rPr>
        <w:t xml:space="preserve">Soil testing sits at the heart of responsible farming, yet for most smallholder farmers across India, it remains something that happens far away, takes too long, and returns results that are hard to act on. Laboratory-based analysis has served agriculture well in terms of scientific accuracy, but its centralized structure has quietly excluded the very people who need it most. Portable sensors, </w:t>
      </w:r>
      <w:proofErr w:type="spellStart"/>
      <w:r w:rsidRPr="002062A9">
        <w:rPr>
          <w:rFonts w:ascii="Times New Roman" w:hAnsi="Times New Roman" w:cs="Times New Roman"/>
          <w:szCs w:val="24"/>
          <w:lang w:val="en"/>
        </w:rPr>
        <w:t>IoT</w:t>
      </w:r>
      <w:proofErr w:type="spellEnd"/>
      <w:r w:rsidRPr="002062A9">
        <w:rPr>
          <w:rFonts w:ascii="Times New Roman" w:hAnsi="Times New Roman" w:cs="Times New Roman"/>
          <w:szCs w:val="24"/>
          <w:lang w:val="en"/>
        </w:rPr>
        <w:t xml:space="preserve"> platforms, and data-driven recommendation tools have started to change this picture, though not fast enough and </w:t>
      </w:r>
      <w:r w:rsidR="00E01083" w:rsidRPr="00E01083">
        <w:rPr>
          <w:rFonts w:ascii="Times New Roman" w:hAnsi="Times New Roman" w:cs="Times New Roman"/>
        </w:rPr>
        <w:t>not in ways that connect into a single, farmer-ready system. Progress in this domain, while encouraging, remains incremental and insufficiently coordinated.</w:t>
      </w:r>
    </w:p>
    <w:p w14:paraId="51180FA0" w14:textId="1B1CA067" w:rsidR="002062A9" w:rsidRPr="002062A9" w:rsidRDefault="004F6E60" w:rsidP="002062A9">
      <w:pPr>
        <w:spacing w:line="240" w:lineRule="auto"/>
        <w:jc w:val="both"/>
        <w:rPr>
          <w:rFonts w:ascii="Times New Roman" w:hAnsi="Times New Roman" w:cs="Times New Roman"/>
          <w:szCs w:val="24"/>
          <w:lang w:val="en"/>
        </w:rPr>
      </w:pPr>
      <w:r w:rsidRPr="004F6E60">
        <w:rPr>
          <w:rFonts w:ascii="Times New Roman" w:hAnsi="Times New Roman" w:cs="Times New Roman"/>
          <w:szCs w:val="24"/>
          <w:lang w:val="en"/>
        </w:rPr>
        <w:t>Closing this gap demands less invention and more intention. The technologies needed to build affordable, field-ready soil testing systems largely exist</w:t>
      </w:r>
      <w:r>
        <w:rPr>
          <w:rFonts w:ascii="Times New Roman" w:hAnsi="Times New Roman" w:cs="Times New Roman"/>
          <w:szCs w:val="24"/>
          <w:lang w:val="en"/>
        </w:rPr>
        <w:t xml:space="preserve"> yet the </w:t>
      </w:r>
      <w:r w:rsidRPr="004F6E60">
        <w:rPr>
          <w:rFonts w:ascii="Times New Roman" w:hAnsi="Times New Roman" w:cs="Times New Roman"/>
          <w:szCs w:val="24"/>
          <w:lang w:val="en"/>
        </w:rPr>
        <w:t>missing</w:t>
      </w:r>
      <w:r>
        <w:rPr>
          <w:rFonts w:ascii="Times New Roman" w:hAnsi="Times New Roman" w:cs="Times New Roman"/>
          <w:szCs w:val="24"/>
          <w:lang w:val="en"/>
        </w:rPr>
        <w:t xml:space="preserve"> link</w:t>
      </w:r>
      <w:r w:rsidRPr="004F6E60">
        <w:rPr>
          <w:rFonts w:ascii="Times New Roman" w:hAnsi="Times New Roman" w:cs="Times New Roman"/>
          <w:szCs w:val="24"/>
          <w:lang w:val="en"/>
        </w:rPr>
        <w:t xml:space="preserve"> is the institutional will to develop them as a unified whole rather than in isolated silos. Soil scientists, electronics engineers, agronomists, data analysts, and rural development practitioners each hold a piece of this problem, yet coordinated, cross-disciplinary projects in this space remain rare. Funding bodies, both government and private, have a direct role to play in changing that. Research grants and development programs must begin treating affordability, ease of use, and field-readiness as foundational design criteria rather than features to be addressed after the core technology is built. A system that performs well in a controlled laboratory setting but fails in the hands of a farmer with no technical background has not solved the problem</w:t>
      </w:r>
      <w:r>
        <w:rPr>
          <w:rFonts w:ascii="Times New Roman" w:hAnsi="Times New Roman" w:cs="Times New Roman"/>
          <w:szCs w:val="24"/>
          <w:lang w:val="en"/>
        </w:rPr>
        <w:t xml:space="preserve"> but i</w:t>
      </w:r>
      <w:r w:rsidRPr="004F6E60">
        <w:rPr>
          <w:rFonts w:ascii="Times New Roman" w:hAnsi="Times New Roman" w:cs="Times New Roman"/>
          <w:szCs w:val="24"/>
          <w:lang w:val="en"/>
        </w:rPr>
        <w:t>t has only moved it</w:t>
      </w:r>
      <w:r w:rsidR="002062A9" w:rsidRPr="002062A9">
        <w:rPr>
          <w:rFonts w:ascii="Times New Roman" w:hAnsi="Times New Roman" w:cs="Times New Roman"/>
          <w:szCs w:val="24"/>
          <w:lang w:val="en"/>
        </w:rPr>
        <w:t xml:space="preserve">. </w:t>
      </w:r>
      <w:r>
        <w:rPr>
          <w:rFonts w:ascii="Times New Roman" w:hAnsi="Times New Roman" w:cs="Times New Roman"/>
          <w:szCs w:val="24"/>
          <w:lang w:val="en"/>
        </w:rPr>
        <w:t>This system</w:t>
      </w:r>
      <w:r w:rsidR="002062A9" w:rsidRPr="002062A9">
        <w:rPr>
          <w:rFonts w:ascii="Times New Roman" w:hAnsi="Times New Roman" w:cs="Times New Roman"/>
          <w:szCs w:val="24"/>
          <w:lang w:val="en"/>
        </w:rPr>
        <w:t xml:space="preserve"> needs sustained, ground-level pilots conducted alongside farming communities, state agriculture departments, and rural cooperatives work that measures what actually changes in how farmers make decisions, how inputs are applied, and what yields result. That kind of evidence takes time and commitment to build, but it is the only foundation on which scalable soil health solutions can stand.</w:t>
      </w:r>
    </w:p>
    <w:p w14:paraId="04DB5A73" w14:textId="6EB3A9DA" w:rsidR="002062A9" w:rsidRPr="002062A9" w:rsidRDefault="002062A9" w:rsidP="002062A9">
      <w:pPr>
        <w:spacing w:line="240" w:lineRule="auto"/>
        <w:jc w:val="both"/>
        <w:rPr>
          <w:rFonts w:ascii="Times New Roman" w:hAnsi="Times New Roman" w:cs="Times New Roman"/>
          <w:szCs w:val="24"/>
          <w:lang w:val="en"/>
        </w:rPr>
      </w:pPr>
      <w:r w:rsidRPr="002062A9">
        <w:rPr>
          <w:rFonts w:ascii="Times New Roman" w:hAnsi="Times New Roman" w:cs="Times New Roman"/>
          <w:szCs w:val="24"/>
          <w:lang w:val="en"/>
        </w:rPr>
        <w:t>Getting accurate soil information into the hands of a farmer, in a form they can use, on the same day they need it that is the goal worth organizing research, funding, and policy around.</w:t>
      </w:r>
    </w:p>
    <w:p w14:paraId="48F72046" w14:textId="686C540E" w:rsidR="000C51B3" w:rsidRPr="008E4EF8" w:rsidRDefault="0063092A" w:rsidP="000C51B3">
      <w:pPr>
        <w:spacing w:line="240" w:lineRule="auto"/>
        <w:jc w:val="both"/>
        <w:rPr>
          <w:rFonts w:ascii="Times New Roman" w:hAnsi="Times New Roman" w:cs="Times New Roman"/>
          <w:b/>
          <w:bCs/>
          <w:sz w:val="28"/>
          <w:szCs w:val="28"/>
          <w:lang w:val="en"/>
        </w:rPr>
      </w:pPr>
      <w:r w:rsidRPr="008E4EF8">
        <w:rPr>
          <w:rFonts w:ascii="Times New Roman" w:hAnsi="Times New Roman" w:cs="Times New Roman"/>
          <w:b/>
          <w:bCs/>
          <w:sz w:val="28"/>
          <w:szCs w:val="28"/>
          <w:lang w:val="en"/>
        </w:rPr>
        <w:t>REFERENCES</w:t>
      </w:r>
    </w:p>
    <w:p w14:paraId="4B9DFCD0" w14:textId="415095D1"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 Food and Agriculture Organization (FAO), </w:t>
      </w:r>
      <w:r w:rsidRPr="008E4EF8">
        <w:rPr>
          <w:rFonts w:ascii="Times New Roman" w:hAnsi="Times New Roman" w:cs="Times New Roman"/>
          <w:i/>
          <w:iCs/>
          <w:szCs w:val="24"/>
          <w:lang w:val="en"/>
        </w:rPr>
        <w:t>Soil Fertility Management in Support of Food Security in Sub-Saharan Africa</w:t>
      </w:r>
      <w:r w:rsidRPr="008E4EF8">
        <w:rPr>
          <w:rFonts w:ascii="Times New Roman" w:hAnsi="Times New Roman" w:cs="Times New Roman"/>
          <w:szCs w:val="24"/>
          <w:lang w:val="en"/>
        </w:rPr>
        <w:t>, FAO Soils Bulletin, Rome, Italy.</w:t>
      </w:r>
      <w:r w:rsidR="00933EBC">
        <w:rPr>
          <w:rFonts w:ascii="Times New Roman" w:hAnsi="Times New Roman" w:cs="Times New Roman"/>
          <w:szCs w:val="24"/>
          <w:lang w:val="en"/>
        </w:rPr>
        <w:t xml:space="preserve"> (2000)</w:t>
      </w:r>
    </w:p>
    <w:p w14:paraId="06F89A2C" w14:textId="12965B2D"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[2] Indian Council of Agricultural Research (ICAR), </w:t>
      </w:r>
      <w:r w:rsidRPr="008E4EF8">
        <w:rPr>
          <w:rFonts w:ascii="Times New Roman" w:hAnsi="Times New Roman" w:cs="Times New Roman"/>
          <w:i/>
          <w:iCs/>
          <w:szCs w:val="24"/>
          <w:lang w:val="en"/>
        </w:rPr>
        <w:t>Methods Manual: Soil Testing in India</w:t>
      </w:r>
      <w:r w:rsidRPr="008E4EF8">
        <w:rPr>
          <w:rFonts w:ascii="Times New Roman" w:hAnsi="Times New Roman" w:cs="Times New Roman"/>
          <w:szCs w:val="24"/>
          <w:lang w:val="en"/>
        </w:rPr>
        <w:t>, ICAR Publications, New Delhi, India.</w:t>
      </w:r>
      <w:r w:rsidR="00933EBC">
        <w:rPr>
          <w:rFonts w:ascii="Times New Roman" w:hAnsi="Times New Roman" w:cs="Times New Roman"/>
          <w:szCs w:val="24"/>
          <w:lang w:val="en"/>
        </w:rPr>
        <w:t xml:space="preserve"> (2011)</w:t>
      </w:r>
    </w:p>
    <w:p w14:paraId="0A3F3EF6"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[3] N. C. Brady and R. R. Weil, </w:t>
      </w:r>
      <w:proofErr w:type="gramStart"/>
      <w:r w:rsidRPr="008E4EF8">
        <w:rPr>
          <w:rFonts w:ascii="Times New Roman" w:hAnsi="Times New Roman" w:cs="Times New Roman"/>
          <w:i/>
          <w:iCs/>
          <w:szCs w:val="24"/>
          <w:lang w:val="en"/>
        </w:rPr>
        <w:t>The</w:t>
      </w:r>
      <w:proofErr w:type="gramEnd"/>
      <w:r w:rsidRPr="008E4EF8">
        <w:rPr>
          <w:rFonts w:ascii="Times New Roman" w:hAnsi="Times New Roman" w:cs="Times New Roman"/>
          <w:i/>
          <w:iCs/>
          <w:szCs w:val="24"/>
          <w:lang w:val="en"/>
        </w:rPr>
        <w:t xml:space="preserve"> Nature and Properties of Soils</w:t>
      </w:r>
      <w:r w:rsidRPr="008E4EF8">
        <w:rPr>
          <w:rFonts w:ascii="Times New Roman" w:hAnsi="Times New Roman" w:cs="Times New Roman"/>
          <w:szCs w:val="24"/>
          <w:lang w:val="en"/>
        </w:rPr>
        <w:t>, 15th ed., Pearson Education, 2016.</w:t>
      </w:r>
    </w:p>
    <w:p w14:paraId="375F26F4" w14:textId="6304DB89" w:rsidR="000C51B3" w:rsidRPr="00933EBC" w:rsidRDefault="000C51B3" w:rsidP="000C51B3">
      <w:pPr>
        <w:spacing w:line="240" w:lineRule="auto"/>
        <w:jc w:val="both"/>
        <w:rPr>
          <w:rFonts w:ascii="Times New Roman" w:hAnsi="Times New Roman"/>
          <w:szCs w:val="24"/>
          <w:cs/>
          <w:lang w:val="en"/>
        </w:rPr>
      </w:pPr>
      <w:proofErr w:type="gramStart"/>
      <w:r w:rsidRPr="008E4EF8">
        <w:rPr>
          <w:rFonts w:ascii="Times New Roman" w:hAnsi="Times New Roman" w:cs="Times New Roman"/>
          <w:szCs w:val="24"/>
          <w:lang w:val="en"/>
        </w:rPr>
        <w:t xml:space="preserve">[4] H. L. S. Tandon, </w:t>
      </w:r>
      <w:r w:rsidRPr="008E4EF8">
        <w:rPr>
          <w:rFonts w:ascii="Times New Roman" w:hAnsi="Times New Roman" w:cs="Times New Roman"/>
          <w:i/>
          <w:iCs/>
          <w:szCs w:val="24"/>
          <w:lang w:val="en"/>
        </w:rPr>
        <w:t>Methods of Analysis of Soils, Plants, Waters and Fertilizers</w:t>
      </w:r>
      <w:r w:rsidRPr="008E4EF8">
        <w:rPr>
          <w:rFonts w:ascii="Times New Roman" w:hAnsi="Times New Roman" w:cs="Times New Roman"/>
          <w:szCs w:val="24"/>
          <w:lang w:val="en"/>
        </w:rPr>
        <w:t>, Fertilizer Development and Consultation Organization (FDCO), New Delhi, India.</w:t>
      </w:r>
      <w:proofErr w:type="gramEnd"/>
      <w:r w:rsidR="00933EBC">
        <w:rPr>
          <w:rFonts w:ascii="Times New Roman" w:hAnsi="Times New Roman" w:hint="cs"/>
          <w:szCs w:val="24"/>
          <w:cs/>
          <w:lang w:val="en"/>
        </w:rPr>
        <w:t xml:space="preserve"> </w:t>
      </w:r>
      <w:r w:rsidR="00933EBC" w:rsidRPr="00933EBC">
        <w:rPr>
          <w:rFonts w:ascii="Times New Roman" w:hAnsi="Times New Roman" w:cs="Times New Roman"/>
          <w:szCs w:val="24"/>
          <w:cs/>
          <w:lang w:val="en"/>
        </w:rPr>
        <w:t>(2005)</w:t>
      </w:r>
    </w:p>
    <w:p w14:paraId="58663256" w14:textId="1B27B17D" w:rsidR="000C51B3" w:rsidRPr="00933EBC" w:rsidRDefault="000C51B3" w:rsidP="000C51B3">
      <w:pPr>
        <w:spacing w:line="240" w:lineRule="auto"/>
        <w:jc w:val="both"/>
        <w:rPr>
          <w:rFonts w:ascii="Times New Roman" w:hAnsi="Times New Roman" w:cs="Times New Roman"/>
          <w:szCs w:val="24"/>
          <w:lang w:val="en"/>
        </w:rPr>
      </w:pPr>
      <w:proofErr w:type="gramStart"/>
      <w:r w:rsidRPr="008E4EF8">
        <w:rPr>
          <w:rFonts w:ascii="Times New Roman" w:hAnsi="Times New Roman" w:cs="Times New Roman"/>
          <w:szCs w:val="24"/>
          <w:lang w:val="en"/>
        </w:rPr>
        <w:t xml:space="preserve">[5] United States Department of Agriculture (USDA), </w:t>
      </w:r>
      <w:r w:rsidRPr="008E4EF8">
        <w:rPr>
          <w:rFonts w:ascii="Times New Roman" w:hAnsi="Times New Roman" w:cs="Times New Roman"/>
          <w:i/>
          <w:iCs/>
          <w:szCs w:val="24"/>
          <w:lang w:val="en"/>
        </w:rPr>
        <w:t>Soil Survey Manual</w:t>
      </w:r>
      <w:r w:rsidR="00933EBC">
        <w:rPr>
          <w:rFonts w:ascii="Times New Roman" w:hAnsi="Times New Roman" w:cs="Times New Roman"/>
          <w:szCs w:val="24"/>
          <w:lang w:val="en"/>
        </w:rPr>
        <w:t>, USDA Handbook.</w:t>
      </w:r>
      <w:proofErr w:type="gramEnd"/>
      <w:r w:rsidR="00933EBC">
        <w:rPr>
          <w:rFonts w:ascii="Times New Roman" w:hAnsi="Times New Roman" w:cs="Times New Roman"/>
          <w:szCs w:val="24"/>
          <w:lang w:val="en"/>
        </w:rPr>
        <w:t xml:space="preserve"> </w:t>
      </w:r>
      <w:r w:rsidR="00933EBC" w:rsidRPr="00933EBC">
        <w:rPr>
          <w:rFonts w:ascii="Times New Roman" w:hAnsi="Times New Roman" w:cs="Times New Roman"/>
          <w:szCs w:val="24"/>
          <w:cs/>
          <w:lang w:val="en"/>
        </w:rPr>
        <w:t>(2017)</w:t>
      </w:r>
    </w:p>
    <w:p w14:paraId="63A5E2F5"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[6] R. Lal, “Soil health and carbon management,” </w:t>
      </w:r>
      <w:r w:rsidRPr="008E4EF8">
        <w:rPr>
          <w:rFonts w:ascii="Times New Roman" w:hAnsi="Times New Roman" w:cs="Times New Roman"/>
          <w:i/>
          <w:iCs/>
          <w:szCs w:val="24"/>
          <w:lang w:val="en"/>
        </w:rPr>
        <w:t>Food and Energy Security</w:t>
      </w:r>
      <w:r w:rsidRPr="008E4EF8">
        <w:rPr>
          <w:rFonts w:ascii="Times New Roman" w:hAnsi="Times New Roman" w:cs="Times New Roman"/>
          <w:szCs w:val="24"/>
          <w:lang w:val="en"/>
        </w:rPr>
        <w:t>, vol. 5, no. 4, pp. 212–222, 2016.</w:t>
      </w:r>
    </w:p>
    <w:p w14:paraId="2F3BBD61" w14:textId="1EE19D4A"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[7] Meena, Hari &amp; Sharma, R &amp;., Roohi. (2018). Soil Testing Scenario in India and Its Significance in the Balanced Use of Fertilizers. International Journal of Plant &amp; Soil Science. 22. 1-7. 10.9734/IJPSS/2018/39962. </w:t>
      </w:r>
    </w:p>
    <w:p w14:paraId="21DCEC03" w14:textId="66C9BBB8"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[8] </w:t>
      </w:r>
      <w:r w:rsidR="009E320B" w:rsidRPr="009E320B">
        <w:rPr>
          <w:rFonts w:ascii="Times New Roman" w:hAnsi="Times New Roman" w:cs="Times New Roman"/>
          <w:szCs w:val="24"/>
          <w:lang w:val="en"/>
        </w:rPr>
        <w:t>Lade et al.; Asian J. Agric. Ext. Econ. Soc., vol. 42, no. 2, pp. 100-106, 2024; Article no.</w:t>
      </w:r>
      <w:r w:rsidR="009E320B">
        <w:rPr>
          <w:rFonts w:ascii="Times New Roman" w:hAnsi="Times New Roman" w:cs="Times New Roman"/>
          <w:szCs w:val="24"/>
          <w:lang w:val="en"/>
        </w:rPr>
        <w:t xml:space="preserve"> </w:t>
      </w:r>
      <w:r w:rsidR="009E320B" w:rsidRPr="009E320B">
        <w:rPr>
          <w:rFonts w:ascii="Times New Roman" w:hAnsi="Times New Roman" w:cs="Times New Roman"/>
          <w:szCs w:val="24"/>
          <w:lang w:val="en"/>
        </w:rPr>
        <w:t>AJAEES.112738</w:t>
      </w:r>
    </w:p>
    <w:p w14:paraId="5ACD77F0" w14:textId="7B694EF6" w:rsidR="001E7492"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lastRenderedPageBreak/>
        <w:t>[9]</w:t>
      </w:r>
      <w:r w:rsidR="001E7492" w:rsidRPr="001E7492">
        <w:t xml:space="preserve"> </w:t>
      </w:r>
      <w:r w:rsidR="001E7492" w:rsidRPr="001E7492">
        <w:rPr>
          <w:rFonts w:ascii="Times New Roman" w:hAnsi="Times New Roman" w:cs="Times New Roman"/>
        </w:rPr>
        <w:t>Government</w:t>
      </w:r>
      <w:r w:rsidR="001E7492">
        <w:rPr>
          <w:rFonts w:ascii="Times New Roman" w:hAnsi="Times New Roman" w:cs="Times New Roman"/>
        </w:rPr>
        <w:t xml:space="preserve"> of India, Soil Health Portal: </w:t>
      </w:r>
      <w:r w:rsidR="001E7492" w:rsidRPr="001E7492">
        <w:rPr>
          <w:rFonts w:ascii="Times New Roman" w:hAnsi="Times New Roman" w:cs="Times New Roman"/>
        </w:rPr>
        <w:t xml:space="preserve">Soil Testing Laboratories Database, Department of Agriculture &amp; Farmers Welfare. </w:t>
      </w:r>
      <w:proofErr w:type="gramStart"/>
      <w:r w:rsidR="001E7492" w:rsidRPr="001E7492">
        <w:rPr>
          <w:rFonts w:ascii="Times New Roman" w:hAnsi="Times New Roman" w:cs="Times New Roman"/>
        </w:rPr>
        <w:t>[Online].</w:t>
      </w:r>
      <w:proofErr w:type="gramEnd"/>
      <w:r w:rsidR="001E7492" w:rsidRPr="001E7492">
        <w:rPr>
          <w:rFonts w:ascii="Times New Roman" w:hAnsi="Times New Roman" w:cs="Times New Roman"/>
        </w:rPr>
        <w:t xml:space="preserve"> Available: </w:t>
      </w:r>
      <w:hyperlink r:id="rId11" w:history="1">
        <w:r w:rsidR="001E7492" w:rsidRPr="001E7492">
          <w:rPr>
            <w:rStyle w:val="Hyperlink"/>
            <w:rFonts w:ascii="Times New Roman" w:hAnsi="Times New Roman" w:cs="Times New Roman"/>
          </w:rPr>
          <w:t>https://soilhealth.dac.gov.in/soilTestingLabs</w:t>
        </w:r>
      </w:hyperlink>
      <w:r w:rsidR="001E7492">
        <w:rPr>
          <w:rFonts w:ascii="Times New Roman" w:hAnsi="Times New Roman" w:cs="Times New Roman"/>
        </w:rPr>
        <w:t xml:space="preserve"> [Accessed: Jan</w:t>
      </w:r>
      <w:bookmarkStart w:id="0" w:name="_GoBack"/>
      <w:bookmarkEnd w:id="0"/>
      <w:r w:rsidR="001E7492" w:rsidRPr="001E7492">
        <w:rPr>
          <w:rFonts w:ascii="Times New Roman" w:hAnsi="Times New Roman" w:cs="Times New Roman"/>
        </w:rPr>
        <w:t>. 2026]</w:t>
      </w:r>
      <w:r w:rsidR="001E7492" w:rsidRPr="008E4EF8">
        <w:rPr>
          <w:rFonts w:ascii="Times New Roman" w:hAnsi="Times New Roman" w:cs="Times New Roman"/>
          <w:szCs w:val="24"/>
          <w:lang w:val="en"/>
        </w:rPr>
        <w:t xml:space="preserve"> </w:t>
      </w:r>
    </w:p>
    <w:p w14:paraId="2780C360" w14:textId="177F09DB"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[10] S. Adak, “Smart Agriculture with NPK Sensors: A Sustainable Approach to Soil Health and Fertilizer Optimization in Guava Farming,” J. Sci. Res. Reports, vol. 31, no. 7, pp. 45–52, 2025. </w:t>
      </w:r>
    </w:p>
    <w:p w14:paraId="11D40136"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[11] R. Adhikary, S. J. Choudhury, and T. Shankar, “Real-Time Soil Nutrient Monitoring Using NPK Sensors: Enhancing Precision Agriculture,” Int. J. Exp. Res. Rev., ISSN 2455–4855, 2025. </w:t>
      </w:r>
    </w:p>
    <w:p w14:paraId="0D3F2519"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[12] V.-D. </w:t>
      </w:r>
      <w:proofErr w:type="spellStart"/>
      <w:r w:rsidRPr="008E4EF8">
        <w:rPr>
          <w:rFonts w:ascii="Times New Roman" w:hAnsi="Times New Roman" w:cs="Times New Roman"/>
          <w:szCs w:val="24"/>
          <w:lang w:val="en"/>
        </w:rPr>
        <w:t>Băjenaru</w:t>
      </w:r>
      <w:proofErr w:type="spellEnd"/>
      <w:r w:rsidRPr="008E4EF8">
        <w:rPr>
          <w:rFonts w:ascii="Times New Roman" w:hAnsi="Times New Roman" w:cs="Times New Roman"/>
          <w:szCs w:val="24"/>
          <w:lang w:val="en"/>
        </w:rPr>
        <w:t xml:space="preserve">, S.-E. </w:t>
      </w:r>
      <w:proofErr w:type="spellStart"/>
      <w:r w:rsidRPr="008E4EF8">
        <w:rPr>
          <w:rFonts w:ascii="Times New Roman" w:hAnsi="Times New Roman" w:cs="Times New Roman"/>
          <w:szCs w:val="24"/>
          <w:lang w:val="en"/>
        </w:rPr>
        <w:t>Istriţeanu</w:t>
      </w:r>
      <w:proofErr w:type="spellEnd"/>
      <w:r w:rsidRPr="008E4EF8">
        <w:rPr>
          <w:rFonts w:ascii="Times New Roman" w:hAnsi="Times New Roman" w:cs="Times New Roman"/>
          <w:szCs w:val="24"/>
          <w:lang w:val="en"/>
        </w:rPr>
        <w:t xml:space="preserve">, and P.-N. </w:t>
      </w:r>
      <w:proofErr w:type="spellStart"/>
      <w:r w:rsidRPr="008E4EF8">
        <w:rPr>
          <w:rFonts w:ascii="Times New Roman" w:hAnsi="Times New Roman" w:cs="Times New Roman"/>
          <w:szCs w:val="24"/>
          <w:lang w:val="en"/>
        </w:rPr>
        <w:t>Ancut</w:t>
      </w:r>
      <w:proofErr w:type="spellEnd"/>
      <w:r w:rsidRPr="008E4EF8">
        <w:rPr>
          <w:rFonts w:ascii="Times New Roman" w:hAnsi="Times New Roman" w:cs="Times New Roman"/>
          <w:szCs w:val="24"/>
          <w:lang w:val="en"/>
        </w:rPr>
        <w:t xml:space="preserve">, “Autonomous, Multisensory Soil Monitoring System,” </w:t>
      </w:r>
      <w:proofErr w:type="spellStart"/>
      <w:r w:rsidRPr="008E4EF8">
        <w:rPr>
          <w:rFonts w:ascii="Times New Roman" w:hAnsi="Times New Roman" w:cs="Times New Roman"/>
          <w:szCs w:val="24"/>
          <w:lang w:val="en"/>
        </w:rPr>
        <w:t>AgriEngineering</w:t>
      </w:r>
      <w:proofErr w:type="spellEnd"/>
      <w:r w:rsidRPr="008E4EF8">
        <w:rPr>
          <w:rFonts w:ascii="Times New Roman" w:hAnsi="Times New Roman" w:cs="Times New Roman"/>
          <w:szCs w:val="24"/>
          <w:lang w:val="en"/>
        </w:rPr>
        <w:t>, vol. 7, p. 18, 2025. </w:t>
      </w:r>
    </w:p>
    <w:p w14:paraId="4A7EF790"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[13] A. K. Yadav, P. Shukla, A. K. Sharma, and S. K. Gupta, “IoT-Based Soil Monitoring Water Sprinkler Robot,” Int. J. Futuristic </w:t>
      </w:r>
      <w:proofErr w:type="spellStart"/>
      <w:r w:rsidRPr="008E4EF8">
        <w:rPr>
          <w:rFonts w:ascii="Times New Roman" w:hAnsi="Times New Roman" w:cs="Times New Roman"/>
          <w:szCs w:val="24"/>
          <w:lang w:val="en"/>
        </w:rPr>
        <w:t>Multidiscip</w:t>
      </w:r>
      <w:proofErr w:type="spellEnd"/>
      <w:r w:rsidRPr="008E4EF8">
        <w:rPr>
          <w:rFonts w:ascii="Times New Roman" w:hAnsi="Times New Roman" w:cs="Times New Roman"/>
          <w:szCs w:val="24"/>
          <w:lang w:val="en"/>
        </w:rPr>
        <w:t>. Res., E-ISSN: 2582-2160, 2025. </w:t>
      </w:r>
    </w:p>
    <w:p w14:paraId="03EC3418"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[14] J. </w:t>
      </w:r>
      <w:proofErr w:type="spellStart"/>
      <w:r w:rsidRPr="008E4EF8">
        <w:rPr>
          <w:rFonts w:ascii="Times New Roman" w:hAnsi="Times New Roman" w:cs="Times New Roman"/>
          <w:szCs w:val="24"/>
          <w:lang w:val="en"/>
        </w:rPr>
        <w:t>Norbya</w:t>
      </w:r>
      <w:proofErr w:type="spellEnd"/>
      <w:r w:rsidRPr="008E4EF8">
        <w:rPr>
          <w:rFonts w:ascii="Times New Roman" w:hAnsi="Times New Roman" w:cs="Times New Roman"/>
          <w:szCs w:val="24"/>
          <w:lang w:val="en"/>
        </w:rPr>
        <w:t>, H. Hussain, and S. Mandal, “Path to Autonomous Soil Sampling and Analysis by Ground-Based Robots,” J. Environ. Manage., Elsevier, 2025. </w:t>
      </w:r>
    </w:p>
    <w:p w14:paraId="17973BF6"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[15] L. Liu, X. Wang, X. Yang, H. Liu, J. Li, and P. Wang, “Path Planning Techniques for Mobile Robots: Review and Prospect,” Expert Syst. Appl., Elsevier, 2025. </w:t>
      </w:r>
    </w:p>
    <w:p w14:paraId="1FE40B89"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[16] T. Fujinaga, “Autonomous Navigation Method for Agricultural Robots in High-Bed Cultivation Environments,” </w:t>
      </w:r>
      <w:proofErr w:type="spellStart"/>
      <w:r w:rsidRPr="008E4EF8">
        <w:rPr>
          <w:rFonts w:ascii="Times New Roman" w:hAnsi="Times New Roman" w:cs="Times New Roman"/>
          <w:szCs w:val="24"/>
          <w:lang w:val="en"/>
        </w:rPr>
        <w:t>Comput</w:t>
      </w:r>
      <w:proofErr w:type="spellEnd"/>
      <w:r w:rsidRPr="008E4EF8">
        <w:rPr>
          <w:rFonts w:ascii="Times New Roman" w:hAnsi="Times New Roman" w:cs="Times New Roman"/>
          <w:szCs w:val="24"/>
          <w:lang w:val="en"/>
        </w:rPr>
        <w:t>. Electron. Agric., Elsevier, 2025.</w:t>
      </w:r>
    </w:p>
    <w:p w14:paraId="0A9B3EF8"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 xml:space="preserve">[17] H. Mansur, M. </w:t>
      </w:r>
      <w:proofErr w:type="spellStart"/>
      <w:r w:rsidRPr="008E4EF8">
        <w:rPr>
          <w:rFonts w:ascii="Times New Roman" w:hAnsi="Times New Roman" w:cs="Times New Roman"/>
          <w:szCs w:val="24"/>
          <w:lang w:val="en"/>
        </w:rPr>
        <w:t>Gadhwal</w:t>
      </w:r>
      <w:proofErr w:type="spellEnd"/>
      <w:r w:rsidRPr="008E4EF8">
        <w:rPr>
          <w:rFonts w:ascii="Times New Roman" w:hAnsi="Times New Roman" w:cs="Times New Roman"/>
          <w:szCs w:val="24"/>
          <w:lang w:val="en"/>
        </w:rPr>
        <w:t>, J. E. Abon, and D. Flippo, “Mapping for Autonomous Navigation of Agricultural Robots Through Crop Rows Using UAV,” Agriculture, vol. 15, p. 882, 2025. </w:t>
      </w:r>
    </w:p>
    <w:p w14:paraId="00CB6C6A" w14:textId="77777777" w:rsidR="000C51B3" w:rsidRPr="008E4EF8" w:rsidRDefault="000C51B3" w:rsidP="000C51B3">
      <w:pPr>
        <w:spacing w:line="240" w:lineRule="auto"/>
        <w:jc w:val="both"/>
        <w:rPr>
          <w:rFonts w:ascii="Times New Roman" w:hAnsi="Times New Roman" w:cs="Times New Roman"/>
          <w:szCs w:val="24"/>
          <w:lang w:val="en"/>
        </w:rPr>
      </w:pPr>
      <w:r w:rsidRPr="008E4EF8">
        <w:rPr>
          <w:rFonts w:ascii="Times New Roman" w:hAnsi="Times New Roman" w:cs="Times New Roman"/>
          <w:szCs w:val="24"/>
          <w:lang w:val="en"/>
        </w:rPr>
        <w:t>[18] M. McCole, M. Bradley, M. McCaul, and D. McCrudden, “A Low-Cost Portable System for On-Site Detection of Soil pH and Potassium Levels Using 3D Printed Sensors,” Results Eng., Elsevier, 2025.</w:t>
      </w:r>
    </w:p>
    <w:p w14:paraId="2F42D818" w14:textId="77777777" w:rsidR="000C51B3" w:rsidRPr="008E4EF8" w:rsidRDefault="000C51B3" w:rsidP="000C51B3">
      <w:pPr>
        <w:spacing w:line="240" w:lineRule="auto"/>
        <w:jc w:val="both"/>
        <w:rPr>
          <w:rFonts w:ascii="Times New Roman" w:hAnsi="Times New Roman" w:cs="Times New Roman"/>
          <w:szCs w:val="24"/>
        </w:rPr>
      </w:pPr>
    </w:p>
    <w:sectPr w:rsidR="000C51B3" w:rsidRPr="008E4EF8" w:rsidSect="008C359F">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7CBE3" w14:textId="77777777" w:rsidR="00CB6A5D" w:rsidRDefault="00CB6A5D" w:rsidP="00B70C9E">
      <w:pPr>
        <w:spacing w:after="0" w:line="240" w:lineRule="auto"/>
      </w:pPr>
      <w:r>
        <w:separator/>
      </w:r>
    </w:p>
  </w:endnote>
  <w:endnote w:type="continuationSeparator" w:id="0">
    <w:p w14:paraId="4524E62B" w14:textId="77777777" w:rsidR="00CB6A5D" w:rsidRDefault="00CB6A5D" w:rsidP="00B70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A7CB9" w14:textId="77777777" w:rsidR="00CB6A5D" w:rsidRDefault="00CB6A5D" w:rsidP="00B70C9E">
      <w:pPr>
        <w:spacing w:after="0" w:line="240" w:lineRule="auto"/>
      </w:pPr>
      <w:r>
        <w:separator/>
      </w:r>
    </w:p>
  </w:footnote>
  <w:footnote w:type="continuationSeparator" w:id="0">
    <w:p w14:paraId="5EAA2803" w14:textId="77777777" w:rsidR="00CB6A5D" w:rsidRDefault="00CB6A5D" w:rsidP="00B70C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0409"/>
    <w:multiLevelType w:val="hybridMultilevel"/>
    <w:tmpl w:val="11FEACD6"/>
    <w:lvl w:ilvl="0" w:tplc="73ACFB58">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
    <w:nsid w:val="05EC4D6F"/>
    <w:multiLevelType w:val="multilevel"/>
    <w:tmpl w:val="DB68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A0253"/>
    <w:multiLevelType w:val="multilevel"/>
    <w:tmpl w:val="CC6C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63DAC"/>
    <w:multiLevelType w:val="multilevel"/>
    <w:tmpl w:val="8682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C963F9"/>
    <w:multiLevelType w:val="multilevel"/>
    <w:tmpl w:val="06F4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BD67FE"/>
    <w:multiLevelType w:val="multilevel"/>
    <w:tmpl w:val="9222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3C1491"/>
    <w:multiLevelType w:val="multilevel"/>
    <w:tmpl w:val="40F4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DF13C6"/>
    <w:multiLevelType w:val="multilevel"/>
    <w:tmpl w:val="9E1C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6602B8"/>
    <w:multiLevelType w:val="multilevel"/>
    <w:tmpl w:val="F32C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002EBC"/>
    <w:multiLevelType w:val="multilevel"/>
    <w:tmpl w:val="250A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DB4B42"/>
    <w:multiLevelType w:val="hybridMultilevel"/>
    <w:tmpl w:val="EA541D8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09D35E8"/>
    <w:multiLevelType w:val="multilevel"/>
    <w:tmpl w:val="AB6E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0550E5"/>
    <w:multiLevelType w:val="multilevel"/>
    <w:tmpl w:val="3604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F3B9C"/>
    <w:multiLevelType w:val="multilevel"/>
    <w:tmpl w:val="3B8A71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9F4A6B"/>
    <w:multiLevelType w:val="multilevel"/>
    <w:tmpl w:val="5E8A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7953F7"/>
    <w:multiLevelType w:val="hybridMultilevel"/>
    <w:tmpl w:val="7EA8934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891F1F"/>
    <w:multiLevelType w:val="multilevel"/>
    <w:tmpl w:val="62D2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8E759E"/>
    <w:multiLevelType w:val="multilevel"/>
    <w:tmpl w:val="F88C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120125"/>
    <w:multiLevelType w:val="multilevel"/>
    <w:tmpl w:val="0ACE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5562E3"/>
    <w:multiLevelType w:val="multilevel"/>
    <w:tmpl w:val="D07A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366CD0"/>
    <w:multiLevelType w:val="multilevel"/>
    <w:tmpl w:val="67FA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B04D4"/>
    <w:multiLevelType w:val="multilevel"/>
    <w:tmpl w:val="BE4A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D56F0A"/>
    <w:multiLevelType w:val="multilevel"/>
    <w:tmpl w:val="370A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A76319"/>
    <w:multiLevelType w:val="multilevel"/>
    <w:tmpl w:val="26EC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474431"/>
    <w:multiLevelType w:val="multilevel"/>
    <w:tmpl w:val="76A0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C42E47"/>
    <w:multiLevelType w:val="hybridMultilevel"/>
    <w:tmpl w:val="7A18800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DC927DD"/>
    <w:multiLevelType w:val="multilevel"/>
    <w:tmpl w:val="FD8C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0D0DCC"/>
    <w:multiLevelType w:val="multilevel"/>
    <w:tmpl w:val="F46A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C064BF"/>
    <w:multiLevelType w:val="hybridMultilevel"/>
    <w:tmpl w:val="7C5AE57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D70C80"/>
    <w:multiLevelType w:val="multilevel"/>
    <w:tmpl w:val="6E6C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A91309"/>
    <w:multiLevelType w:val="multilevel"/>
    <w:tmpl w:val="EEA6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A0758B"/>
    <w:multiLevelType w:val="hybridMultilevel"/>
    <w:tmpl w:val="EDF44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590433"/>
    <w:multiLevelType w:val="multilevel"/>
    <w:tmpl w:val="8C12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5826C5"/>
    <w:multiLevelType w:val="multilevel"/>
    <w:tmpl w:val="2602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
  </w:num>
  <w:num w:numId="3">
    <w:abstractNumId w:val="3"/>
  </w:num>
  <w:num w:numId="4">
    <w:abstractNumId w:val="17"/>
  </w:num>
  <w:num w:numId="5">
    <w:abstractNumId w:val="11"/>
  </w:num>
  <w:num w:numId="6">
    <w:abstractNumId w:val="33"/>
  </w:num>
  <w:num w:numId="7">
    <w:abstractNumId w:val="27"/>
  </w:num>
  <w:num w:numId="8">
    <w:abstractNumId w:val="6"/>
  </w:num>
  <w:num w:numId="9">
    <w:abstractNumId w:val="5"/>
  </w:num>
  <w:num w:numId="10">
    <w:abstractNumId w:val="2"/>
  </w:num>
  <w:num w:numId="11">
    <w:abstractNumId w:val="20"/>
  </w:num>
  <w:num w:numId="12">
    <w:abstractNumId w:val="9"/>
  </w:num>
  <w:num w:numId="13">
    <w:abstractNumId w:val="29"/>
  </w:num>
  <w:num w:numId="14">
    <w:abstractNumId w:val="24"/>
  </w:num>
  <w:num w:numId="15">
    <w:abstractNumId w:val="19"/>
  </w:num>
  <w:num w:numId="16">
    <w:abstractNumId w:val="7"/>
  </w:num>
  <w:num w:numId="17">
    <w:abstractNumId w:val="26"/>
  </w:num>
  <w:num w:numId="18">
    <w:abstractNumId w:val="21"/>
  </w:num>
  <w:num w:numId="19">
    <w:abstractNumId w:val="32"/>
  </w:num>
  <w:num w:numId="20">
    <w:abstractNumId w:val="4"/>
  </w:num>
  <w:num w:numId="21">
    <w:abstractNumId w:val="18"/>
  </w:num>
  <w:num w:numId="22">
    <w:abstractNumId w:val="12"/>
  </w:num>
  <w:num w:numId="23">
    <w:abstractNumId w:val="14"/>
  </w:num>
  <w:num w:numId="24">
    <w:abstractNumId w:val="8"/>
  </w:num>
  <w:num w:numId="25">
    <w:abstractNumId w:val="22"/>
  </w:num>
  <w:num w:numId="26">
    <w:abstractNumId w:val="23"/>
  </w:num>
  <w:num w:numId="27">
    <w:abstractNumId w:val="0"/>
  </w:num>
  <w:num w:numId="28">
    <w:abstractNumId w:val="13"/>
  </w:num>
  <w:num w:numId="29">
    <w:abstractNumId w:val="16"/>
  </w:num>
  <w:num w:numId="30">
    <w:abstractNumId w:val="31"/>
  </w:num>
  <w:num w:numId="31">
    <w:abstractNumId w:val="10"/>
  </w:num>
  <w:num w:numId="32">
    <w:abstractNumId w:val="28"/>
  </w:num>
  <w:num w:numId="33">
    <w:abstractNumId w:val="1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C9E"/>
    <w:rsid w:val="000101D9"/>
    <w:rsid w:val="000113E6"/>
    <w:rsid w:val="00025B79"/>
    <w:rsid w:val="00031AF7"/>
    <w:rsid w:val="00072CD3"/>
    <w:rsid w:val="00075A3F"/>
    <w:rsid w:val="00085A61"/>
    <w:rsid w:val="00096DF1"/>
    <w:rsid w:val="000B3A5D"/>
    <w:rsid w:val="000C51B3"/>
    <w:rsid w:val="000D33E1"/>
    <w:rsid w:val="000E01B2"/>
    <w:rsid w:val="000F1CA7"/>
    <w:rsid w:val="000F6FD6"/>
    <w:rsid w:val="00102957"/>
    <w:rsid w:val="001038AA"/>
    <w:rsid w:val="00105BF3"/>
    <w:rsid w:val="0011050F"/>
    <w:rsid w:val="0011665D"/>
    <w:rsid w:val="0012204C"/>
    <w:rsid w:val="00122DF1"/>
    <w:rsid w:val="00131318"/>
    <w:rsid w:val="00132A2B"/>
    <w:rsid w:val="001904BE"/>
    <w:rsid w:val="001A24BE"/>
    <w:rsid w:val="001A2622"/>
    <w:rsid w:val="001A7431"/>
    <w:rsid w:val="001E7492"/>
    <w:rsid w:val="001F51E1"/>
    <w:rsid w:val="001F5B0B"/>
    <w:rsid w:val="002062A9"/>
    <w:rsid w:val="002356CB"/>
    <w:rsid w:val="00256DA2"/>
    <w:rsid w:val="00266426"/>
    <w:rsid w:val="00291400"/>
    <w:rsid w:val="002A1F85"/>
    <w:rsid w:val="00320A8B"/>
    <w:rsid w:val="00323CD1"/>
    <w:rsid w:val="003319B9"/>
    <w:rsid w:val="00335217"/>
    <w:rsid w:val="003413D9"/>
    <w:rsid w:val="00347034"/>
    <w:rsid w:val="00356AF8"/>
    <w:rsid w:val="00385797"/>
    <w:rsid w:val="00394BD8"/>
    <w:rsid w:val="003C342B"/>
    <w:rsid w:val="003E061D"/>
    <w:rsid w:val="003E1973"/>
    <w:rsid w:val="003E514A"/>
    <w:rsid w:val="003F63FA"/>
    <w:rsid w:val="004014D9"/>
    <w:rsid w:val="00410876"/>
    <w:rsid w:val="00410C18"/>
    <w:rsid w:val="00423124"/>
    <w:rsid w:val="00440BFE"/>
    <w:rsid w:val="0046006C"/>
    <w:rsid w:val="004630D5"/>
    <w:rsid w:val="00475952"/>
    <w:rsid w:val="004853BA"/>
    <w:rsid w:val="00496224"/>
    <w:rsid w:val="004A464D"/>
    <w:rsid w:val="004E0740"/>
    <w:rsid w:val="004E7530"/>
    <w:rsid w:val="004F6E60"/>
    <w:rsid w:val="005202A8"/>
    <w:rsid w:val="00527BC0"/>
    <w:rsid w:val="00556493"/>
    <w:rsid w:val="005806C1"/>
    <w:rsid w:val="0059532A"/>
    <w:rsid w:val="005B3C23"/>
    <w:rsid w:val="005B52EC"/>
    <w:rsid w:val="005C7079"/>
    <w:rsid w:val="005D44E0"/>
    <w:rsid w:val="005E771A"/>
    <w:rsid w:val="005F6A48"/>
    <w:rsid w:val="00601C63"/>
    <w:rsid w:val="00602C9C"/>
    <w:rsid w:val="00606B59"/>
    <w:rsid w:val="006127B7"/>
    <w:rsid w:val="0063092A"/>
    <w:rsid w:val="00631146"/>
    <w:rsid w:val="00631576"/>
    <w:rsid w:val="00633448"/>
    <w:rsid w:val="006436AE"/>
    <w:rsid w:val="00674C77"/>
    <w:rsid w:val="00693BB1"/>
    <w:rsid w:val="006A32E3"/>
    <w:rsid w:val="006B1AA6"/>
    <w:rsid w:val="006D282F"/>
    <w:rsid w:val="006D519D"/>
    <w:rsid w:val="006E60E7"/>
    <w:rsid w:val="006F0775"/>
    <w:rsid w:val="007177FF"/>
    <w:rsid w:val="00732D27"/>
    <w:rsid w:val="00745503"/>
    <w:rsid w:val="00751926"/>
    <w:rsid w:val="00752ADA"/>
    <w:rsid w:val="00772D30"/>
    <w:rsid w:val="007740A2"/>
    <w:rsid w:val="007775A8"/>
    <w:rsid w:val="00780D9B"/>
    <w:rsid w:val="007847BC"/>
    <w:rsid w:val="00795989"/>
    <w:rsid w:val="007B729E"/>
    <w:rsid w:val="007E31CD"/>
    <w:rsid w:val="007F7696"/>
    <w:rsid w:val="0081183B"/>
    <w:rsid w:val="008138F6"/>
    <w:rsid w:val="008140B4"/>
    <w:rsid w:val="00815024"/>
    <w:rsid w:val="00842645"/>
    <w:rsid w:val="00851702"/>
    <w:rsid w:val="00854F21"/>
    <w:rsid w:val="00884E5D"/>
    <w:rsid w:val="00895426"/>
    <w:rsid w:val="008A070F"/>
    <w:rsid w:val="008A6B48"/>
    <w:rsid w:val="008C359F"/>
    <w:rsid w:val="008C3AD7"/>
    <w:rsid w:val="008D295E"/>
    <w:rsid w:val="008E4EF8"/>
    <w:rsid w:val="008F6BDD"/>
    <w:rsid w:val="0093088F"/>
    <w:rsid w:val="00933EBC"/>
    <w:rsid w:val="009458DD"/>
    <w:rsid w:val="00947C25"/>
    <w:rsid w:val="00954D1F"/>
    <w:rsid w:val="009550C8"/>
    <w:rsid w:val="00964994"/>
    <w:rsid w:val="00970F97"/>
    <w:rsid w:val="00973233"/>
    <w:rsid w:val="00984261"/>
    <w:rsid w:val="00995487"/>
    <w:rsid w:val="009B2707"/>
    <w:rsid w:val="009D49F4"/>
    <w:rsid w:val="009D4ECD"/>
    <w:rsid w:val="009D5720"/>
    <w:rsid w:val="009E320B"/>
    <w:rsid w:val="009E466D"/>
    <w:rsid w:val="009E6E92"/>
    <w:rsid w:val="00A025CC"/>
    <w:rsid w:val="00A04F75"/>
    <w:rsid w:val="00A25545"/>
    <w:rsid w:val="00A46D85"/>
    <w:rsid w:val="00A50E69"/>
    <w:rsid w:val="00A92D1B"/>
    <w:rsid w:val="00AB06D3"/>
    <w:rsid w:val="00AF4102"/>
    <w:rsid w:val="00AF4A21"/>
    <w:rsid w:val="00B13C17"/>
    <w:rsid w:val="00B26EDB"/>
    <w:rsid w:val="00B36283"/>
    <w:rsid w:val="00B4477C"/>
    <w:rsid w:val="00B5180A"/>
    <w:rsid w:val="00B702D8"/>
    <w:rsid w:val="00B70C9E"/>
    <w:rsid w:val="00B80CDF"/>
    <w:rsid w:val="00B81301"/>
    <w:rsid w:val="00B95D77"/>
    <w:rsid w:val="00BA41CE"/>
    <w:rsid w:val="00BC66D5"/>
    <w:rsid w:val="00BD6C9B"/>
    <w:rsid w:val="00BE00C5"/>
    <w:rsid w:val="00C1104E"/>
    <w:rsid w:val="00C20709"/>
    <w:rsid w:val="00C342EF"/>
    <w:rsid w:val="00C36167"/>
    <w:rsid w:val="00C376DC"/>
    <w:rsid w:val="00C465C4"/>
    <w:rsid w:val="00C6572C"/>
    <w:rsid w:val="00C67584"/>
    <w:rsid w:val="00CA0540"/>
    <w:rsid w:val="00CA0D3F"/>
    <w:rsid w:val="00CA7898"/>
    <w:rsid w:val="00CB010F"/>
    <w:rsid w:val="00CB3136"/>
    <w:rsid w:val="00CB3323"/>
    <w:rsid w:val="00CB3459"/>
    <w:rsid w:val="00CB6A5D"/>
    <w:rsid w:val="00CD0895"/>
    <w:rsid w:val="00D30505"/>
    <w:rsid w:val="00D5074F"/>
    <w:rsid w:val="00D543B3"/>
    <w:rsid w:val="00D57F0E"/>
    <w:rsid w:val="00D63E5D"/>
    <w:rsid w:val="00D87943"/>
    <w:rsid w:val="00DB1E74"/>
    <w:rsid w:val="00DB397D"/>
    <w:rsid w:val="00DD2230"/>
    <w:rsid w:val="00DD3482"/>
    <w:rsid w:val="00DE556C"/>
    <w:rsid w:val="00E01083"/>
    <w:rsid w:val="00E014C9"/>
    <w:rsid w:val="00E07B9B"/>
    <w:rsid w:val="00E717A2"/>
    <w:rsid w:val="00E71A8E"/>
    <w:rsid w:val="00E74B90"/>
    <w:rsid w:val="00E873DD"/>
    <w:rsid w:val="00EC2D54"/>
    <w:rsid w:val="00EE466D"/>
    <w:rsid w:val="00EE605E"/>
    <w:rsid w:val="00F1491A"/>
    <w:rsid w:val="00F31324"/>
    <w:rsid w:val="00F52EAD"/>
    <w:rsid w:val="00F72CD7"/>
    <w:rsid w:val="00F75FE9"/>
    <w:rsid w:val="00F97B5E"/>
    <w:rsid w:val="00FA2EDA"/>
    <w:rsid w:val="00FA3ABE"/>
    <w:rsid w:val="00FB0F17"/>
    <w:rsid w:val="00FB12AF"/>
    <w:rsid w:val="00FB59E1"/>
    <w:rsid w:val="00FB73E0"/>
    <w:rsid w:val="00FC790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05E"/>
  </w:style>
  <w:style w:type="paragraph" w:styleId="Heading1">
    <w:name w:val="heading 1"/>
    <w:basedOn w:val="Normal"/>
    <w:next w:val="Normal"/>
    <w:link w:val="Heading1Char"/>
    <w:uiPriority w:val="9"/>
    <w:qFormat/>
    <w:rsid w:val="00B70C9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70C9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70C9E"/>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70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C9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70C9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70C9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70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C9E"/>
    <w:rPr>
      <w:rFonts w:eastAsiaTheme="majorEastAsia" w:cstheme="majorBidi"/>
      <w:color w:val="272727" w:themeColor="text1" w:themeTint="D8"/>
    </w:rPr>
  </w:style>
  <w:style w:type="paragraph" w:styleId="Title">
    <w:name w:val="Title"/>
    <w:basedOn w:val="Normal"/>
    <w:next w:val="Normal"/>
    <w:link w:val="TitleChar"/>
    <w:uiPriority w:val="10"/>
    <w:qFormat/>
    <w:rsid w:val="00B70C9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70C9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70C9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70C9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70C9E"/>
    <w:pPr>
      <w:spacing w:before="160"/>
      <w:jc w:val="center"/>
    </w:pPr>
    <w:rPr>
      <w:i/>
      <w:iCs/>
      <w:color w:val="404040" w:themeColor="text1" w:themeTint="BF"/>
    </w:rPr>
  </w:style>
  <w:style w:type="character" w:customStyle="1" w:styleId="QuoteChar">
    <w:name w:val="Quote Char"/>
    <w:basedOn w:val="DefaultParagraphFont"/>
    <w:link w:val="Quote"/>
    <w:uiPriority w:val="29"/>
    <w:rsid w:val="00B70C9E"/>
    <w:rPr>
      <w:i/>
      <w:iCs/>
      <w:color w:val="404040" w:themeColor="text1" w:themeTint="BF"/>
    </w:rPr>
  </w:style>
  <w:style w:type="paragraph" w:styleId="ListParagraph">
    <w:name w:val="List Paragraph"/>
    <w:basedOn w:val="Normal"/>
    <w:uiPriority w:val="34"/>
    <w:qFormat/>
    <w:rsid w:val="00B70C9E"/>
    <w:pPr>
      <w:ind w:left="720"/>
      <w:contextualSpacing/>
    </w:pPr>
  </w:style>
  <w:style w:type="character" w:styleId="IntenseEmphasis">
    <w:name w:val="Intense Emphasis"/>
    <w:basedOn w:val="DefaultParagraphFont"/>
    <w:uiPriority w:val="21"/>
    <w:qFormat/>
    <w:rsid w:val="00B70C9E"/>
    <w:rPr>
      <w:i/>
      <w:iCs/>
      <w:color w:val="0F4761" w:themeColor="accent1" w:themeShade="BF"/>
    </w:rPr>
  </w:style>
  <w:style w:type="paragraph" w:styleId="IntenseQuote">
    <w:name w:val="Intense Quote"/>
    <w:basedOn w:val="Normal"/>
    <w:next w:val="Normal"/>
    <w:link w:val="IntenseQuoteChar"/>
    <w:uiPriority w:val="30"/>
    <w:qFormat/>
    <w:rsid w:val="00B70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C9E"/>
    <w:rPr>
      <w:i/>
      <w:iCs/>
      <w:color w:val="0F4761" w:themeColor="accent1" w:themeShade="BF"/>
    </w:rPr>
  </w:style>
  <w:style w:type="character" w:styleId="IntenseReference">
    <w:name w:val="Intense Reference"/>
    <w:basedOn w:val="DefaultParagraphFont"/>
    <w:uiPriority w:val="32"/>
    <w:qFormat/>
    <w:rsid w:val="00B70C9E"/>
    <w:rPr>
      <w:b/>
      <w:bCs/>
      <w:smallCaps/>
      <w:color w:val="0F4761" w:themeColor="accent1" w:themeShade="BF"/>
      <w:spacing w:val="5"/>
    </w:rPr>
  </w:style>
  <w:style w:type="paragraph" w:styleId="Header">
    <w:name w:val="header"/>
    <w:basedOn w:val="Normal"/>
    <w:link w:val="HeaderChar"/>
    <w:uiPriority w:val="99"/>
    <w:unhideWhenUsed/>
    <w:rsid w:val="00B70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C9E"/>
  </w:style>
  <w:style w:type="paragraph" w:styleId="Footer">
    <w:name w:val="footer"/>
    <w:basedOn w:val="Normal"/>
    <w:link w:val="FooterChar"/>
    <w:uiPriority w:val="99"/>
    <w:unhideWhenUsed/>
    <w:rsid w:val="00B70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C9E"/>
  </w:style>
  <w:style w:type="character" w:styleId="Hyperlink">
    <w:name w:val="Hyperlink"/>
    <w:basedOn w:val="DefaultParagraphFont"/>
    <w:uiPriority w:val="99"/>
    <w:unhideWhenUsed/>
    <w:rsid w:val="00C342EF"/>
    <w:rPr>
      <w:color w:val="467886" w:themeColor="hyperlink"/>
      <w:u w:val="single"/>
    </w:rPr>
  </w:style>
  <w:style w:type="character" w:customStyle="1" w:styleId="UnresolvedMention1">
    <w:name w:val="Unresolved Mention1"/>
    <w:basedOn w:val="DefaultParagraphFont"/>
    <w:uiPriority w:val="99"/>
    <w:semiHidden/>
    <w:unhideWhenUsed/>
    <w:rsid w:val="00C342EF"/>
    <w:rPr>
      <w:color w:val="605E5C"/>
      <w:shd w:val="clear" w:color="auto" w:fill="E1DFDD"/>
    </w:rPr>
  </w:style>
  <w:style w:type="paragraph" w:styleId="NormalWeb">
    <w:name w:val="Normal (Web)"/>
    <w:basedOn w:val="Normal"/>
    <w:uiPriority w:val="99"/>
    <w:unhideWhenUsed/>
    <w:rsid w:val="006D282F"/>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paragraph" w:styleId="BalloonText">
    <w:name w:val="Balloon Text"/>
    <w:basedOn w:val="Normal"/>
    <w:link w:val="BalloonTextChar"/>
    <w:uiPriority w:val="99"/>
    <w:semiHidden/>
    <w:unhideWhenUsed/>
    <w:rsid w:val="003E197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E1973"/>
    <w:rPr>
      <w:rFonts w:ascii="Tahoma" w:hAnsi="Tahoma" w:cs="Tahoma"/>
      <w:sz w:val="16"/>
      <w:szCs w:val="14"/>
    </w:rPr>
  </w:style>
  <w:style w:type="character" w:styleId="Strong">
    <w:name w:val="Strong"/>
    <w:basedOn w:val="DefaultParagraphFont"/>
    <w:uiPriority w:val="22"/>
    <w:qFormat/>
    <w:rsid w:val="003E1973"/>
    <w:rPr>
      <w:b/>
      <w:bCs/>
    </w:rPr>
  </w:style>
  <w:style w:type="character" w:customStyle="1" w:styleId="UnresolvedMention2">
    <w:name w:val="Unresolved Mention2"/>
    <w:basedOn w:val="DefaultParagraphFont"/>
    <w:uiPriority w:val="99"/>
    <w:semiHidden/>
    <w:unhideWhenUsed/>
    <w:rsid w:val="000C51B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05E"/>
  </w:style>
  <w:style w:type="paragraph" w:styleId="Heading1">
    <w:name w:val="heading 1"/>
    <w:basedOn w:val="Normal"/>
    <w:next w:val="Normal"/>
    <w:link w:val="Heading1Char"/>
    <w:uiPriority w:val="9"/>
    <w:qFormat/>
    <w:rsid w:val="00B70C9E"/>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70C9E"/>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70C9E"/>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70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C9E"/>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70C9E"/>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70C9E"/>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70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C9E"/>
    <w:rPr>
      <w:rFonts w:eastAsiaTheme="majorEastAsia" w:cstheme="majorBidi"/>
      <w:color w:val="272727" w:themeColor="text1" w:themeTint="D8"/>
    </w:rPr>
  </w:style>
  <w:style w:type="paragraph" w:styleId="Title">
    <w:name w:val="Title"/>
    <w:basedOn w:val="Normal"/>
    <w:next w:val="Normal"/>
    <w:link w:val="TitleChar"/>
    <w:uiPriority w:val="10"/>
    <w:qFormat/>
    <w:rsid w:val="00B70C9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70C9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70C9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70C9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70C9E"/>
    <w:pPr>
      <w:spacing w:before="160"/>
      <w:jc w:val="center"/>
    </w:pPr>
    <w:rPr>
      <w:i/>
      <w:iCs/>
      <w:color w:val="404040" w:themeColor="text1" w:themeTint="BF"/>
    </w:rPr>
  </w:style>
  <w:style w:type="character" w:customStyle="1" w:styleId="QuoteChar">
    <w:name w:val="Quote Char"/>
    <w:basedOn w:val="DefaultParagraphFont"/>
    <w:link w:val="Quote"/>
    <w:uiPriority w:val="29"/>
    <w:rsid w:val="00B70C9E"/>
    <w:rPr>
      <w:i/>
      <w:iCs/>
      <w:color w:val="404040" w:themeColor="text1" w:themeTint="BF"/>
    </w:rPr>
  </w:style>
  <w:style w:type="paragraph" w:styleId="ListParagraph">
    <w:name w:val="List Paragraph"/>
    <w:basedOn w:val="Normal"/>
    <w:uiPriority w:val="34"/>
    <w:qFormat/>
    <w:rsid w:val="00B70C9E"/>
    <w:pPr>
      <w:ind w:left="720"/>
      <w:contextualSpacing/>
    </w:pPr>
  </w:style>
  <w:style w:type="character" w:styleId="IntenseEmphasis">
    <w:name w:val="Intense Emphasis"/>
    <w:basedOn w:val="DefaultParagraphFont"/>
    <w:uiPriority w:val="21"/>
    <w:qFormat/>
    <w:rsid w:val="00B70C9E"/>
    <w:rPr>
      <w:i/>
      <w:iCs/>
      <w:color w:val="0F4761" w:themeColor="accent1" w:themeShade="BF"/>
    </w:rPr>
  </w:style>
  <w:style w:type="paragraph" w:styleId="IntenseQuote">
    <w:name w:val="Intense Quote"/>
    <w:basedOn w:val="Normal"/>
    <w:next w:val="Normal"/>
    <w:link w:val="IntenseQuoteChar"/>
    <w:uiPriority w:val="30"/>
    <w:qFormat/>
    <w:rsid w:val="00B70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C9E"/>
    <w:rPr>
      <w:i/>
      <w:iCs/>
      <w:color w:val="0F4761" w:themeColor="accent1" w:themeShade="BF"/>
    </w:rPr>
  </w:style>
  <w:style w:type="character" w:styleId="IntenseReference">
    <w:name w:val="Intense Reference"/>
    <w:basedOn w:val="DefaultParagraphFont"/>
    <w:uiPriority w:val="32"/>
    <w:qFormat/>
    <w:rsid w:val="00B70C9E"/>
    <w:rPr>
      <w:b/>
      <w:bCs/>
      <w:smallCaps/>
      <w:color w:val="0F4761" w:themeColor="accent1" w:themeShade="BF"/>
      <w:spacing w:val="5"/>
    </w:rPr>
  </w:style>
  <w:style w:type="paragraph" w:styleId="Header">
    <w:name w:val="header"/>
    <w:basedOn w:val="Normal"/>
    <w:link w:val="HeaderChar"/>
    <w:uiPriority w:val="99"/>
    <w:unhideWhenUsed/>
    <w:rsid w:val="00B70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C9E"/>
  </w:style>
  <w:style w:type="paragraph" w:styleId="Footer">
    <w:name w:val="footer"/>
    <w:basedOn w:val="Normal"/>
    <w:link w:val="FooterChar"/>
    <w:uiPriority w:val="99"/>
    <w:unhideWhenUsed/>
    <w:rsid w:val="00B70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C9E"/>
  </w:style>
  <w:style w:type="character" w:styleId="Hyperlink">
    <w:name w:val="Hyperlink"/>
    <w:basedOn w:val="DefaultParagraphFont"/>
    <w:uiPriority w:val="99"/>
    <w:unhideWhenUsed/>
    <w:rsid w:val="00C342EF"/>
    <w:rPr>
      <w:color w:val="467886" w:themeColor="hyperlink"/>
      <w:u w:val="single"/>
    </w:rPr>
  </w:style>
  <w:style w:type="character" w:customStyle="1" w:styleId="UnresolvedMention1">
    <w:name w:val="Unresolved Mention1"/>
    <w:basedOn w:val="DefaultParagraphFont"/>
    <w:uiPriority w:val="99"/>
    <w:semiHidden/>
    <w:unhideWhenUsed/>
    <w:rsid w:val="00C342EF"/>
    <w:rPr>
      <w:color w:val="605E5C"/>
      <w:shd w:val="clear" w:color="auto" w:fill="E1DFDD"/>
    </w:rPr>
  </w:style>
  <w:style w:type="paragraph" w:styleId="NormalWeb">
    <w:name w:val="Normal (Web)"/>
    <w:basedOn w:val="Normal"/>
    <w:uiPriority w:val="99"/>
    <w:unhideWhenUsed/>
    <w:rsid w:val="006D282F"/>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paragraph" w:styleId="BalloonText">
    <w:name w:val="Balloon Text"/>
    <w:basedOn w:val="Normal"/>
    <w:link w:val="BalloonTextChar"/>
    <w:uiPriority w:val="99"/>
    <w:semiHidden/>
    <w:unhideWhenUsed/>
    <w:rsid w:val="003E197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E1973"/>
    <w:rPr>
      <w:rFonts w:ascii="Tahoma" w:hAnsi="Tahoma" w:cs="Tahoma"/>
      <w:sz w:val="16"/>
      <w:szCs w:val="14"/>
    </w:rPr>
  </w:style>
  <w:style w:type="character" w:styleId="Strong">
    <w:name w:val="Strong"/>
    <w:basedOn w:val="DefaultParagraphFont"/>
    <w:uiPriority w:val="22"/>
    <w:qFormat/>
    <w:rsid w:val="003E1973"/>
    <w:rPr>
      <w:b/>
      <w:bCs/>
    </w:rPr>
  </w:style>
  <w:style w:type="character" w:customStyle="1" w:styleId="UnresolvedMention2">
    <w:name w:val="Unresolved Mention2"/>
    <w:basedOn w:val="DefaultParagraphFont"/>
    <w:uiPriority w:val="99"/>
    <w:semiHidden/>
    <w:unhideWhenUsed/>
    <w:rsid w:val="000C5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7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ilhealth.dac.gov.in/soilTestingLabs"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5FE43-B9F1-416E-BFC7-DB7A1459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9</Pages>
  <Words>4547</Words>
  <Characters>25922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Meet Kulkarni</dc:creator>
  <cp:keywords/>
  <dc:description/>
  <cp:lastModifiedBy>chandra</cp:lastModifiedBy>
  <cp:revision>68</cp:revision>
  <cp:lastPrinted>2026-05-05T07:20:00Z</cp:lastPrinted>
  <dcterms:created xsi:type="dcterms:W3CDTF">2026-04-26T07:27:00Z</dcterms:created>
  <dcterms:modified xsi:type="dcterms:W3CDTF">2026-05-05T07:42:00Z</dcterms:modified>
</cp:coreProperties>
</file>