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8C0" w14:textId="6515BAA7" w:rsidR="00FA79A3" w:rsidRPr="00A95D13" w:rsidRDefault="00FA79A3" w:rsidP="00FA79A3">
      <w:pPr>
        <w:spacing w:after="0" w:line="480" w:lineRule="auto"/>
        <w:jc w:val="center"/>
        <w:rPr>
          <w:rFonts w:asciiTheme="majorBidi" w:hAnsiTheme="majorBidi" w:cstheme="majorBidi"/>
          <w:b/>
          <w:bCs/>
        </w:rPr>
      </w:pPr>
      <w:r w:rsidRPr="00A95D13">
        <w:rPr>
          <w:rFonts w:asciiTheme="majorBidi" w:hAnsiTheme="majorBidi" w:cstheme="majorBidi"/>
          <w:b/>
        </w:rPr>
        <w:t xml:space="preserve">Assessment </w:t>
      </w:r>
      <w:r>
        <w:rPr>
          <w:rFonts w:asciiTheme="majorBidi" w:hAnsiTheme="majorBidi" w:cstheme="majorBidi"/>
          <w:b/>
        </w:rPr>
        <w:t>o</w:t>
      </w:r>
      <w:r w:rsidRPr="00A95D13">
        <w:rPr>
          <w:rFonts w:asciiTheme="majorBidi" w:hAnsiTheme="majorBidi" w:cstheme="majorBidi"/>
          <w:b/>
        </w:rPr>
        <w:t xml:space="preserve">f Households’ Access </w:t>
      </w:r>
      <w:r>
        <w:rPr>
          <w:rFonts w:asciiTheme="majorBidi" w:hAnsiTheme="majorBidi" w:cstheme="majorBidi"/>
          <w:b/>
        </w:rPr>
        <w:t>t</w:t>
      </w:r>
      <w:r w:rsidRPr="00A95D13">
        <w:rPr>
          <w:rFonts w:asciiTheme="majorBidi" w:hAnsiTheme="majorBidi" w:cstheme="majorBidi"/>
          <w:b/>
        </w:rPr>
        <w:t xml:space="preserve">o Domestic Water Supply </w:t>
      </w:r>
      <w:r>
        <w:rPr>
          <w:rFonts w:asciiTheme="majorBidi" w:hAnsiTheme="majorBidi" w:cstheme="majorBidi"/>
          <w:b/>
        </w:rPr>
        <w:t>i</w:t>
      </w:r>
      <w:r w:rsidRPr="00A95D13">
        <w:rPr>
          <w:rFonts w:asciiTheme="majorBidi" w:hAnsiTheme="majorBidi" w:cstheme="majorBidi"/>
          <w:b/>
        </w:rPr>
        <w:t>n Keffi Urban Area, Nasarawa State</w:t>
      </w:r>
    </w:p>
    <w:p w14:paraId="2B06C72B" w14:textId="724ABD40" w:rsidR="00FA79A3" w:rsidRDefault="00FA79A3" w:rsidP="00FA79A3">
      <w:pPr>
        <w:spacing w:line="360" w:lineRule="auto"/>
        <w:jc w:val="center"/>
        <w:rPr>
          <w:rFonts w:ascii="Times New Roman" w:hAnsi="Times New Roman" w:cs="Times New Roman"/>
        </w:rPr>
      </w:pPr>
      <w:r>
        <w:rPr>
          <w:rFonts w:ascii="Times New Roman" w:hAnsi="Times New Roman" w:cs="Times New Roman"/>
        </w:rPr>
        <w:t>*</w:t>
      </w:r>
      <w:r w:rsidRPr="00FA79A3">
        <w:rPr>
          <w:rFonts w:ascii="Times New Roman" w:hAnsi="Times New Roman" w:cs="Times New Roman"/>
        </w:rPr>
        <w:t>Abdullahi Adamu &amp; Adamu Musa Eya</w:t>
      </w:r>
    </w:p>
    <w:p w14:paraId="744EDB32" w14:textId="0D82E9A9" w:rsidR="00FA79A3" w:rsidRDefault="00FA79A3" w:rsidP="00FA79A3">
      <w:pPr>
        <w:spacing w:line="360" w:lineRule="auto"/>
        <w:jc w:val="center"/>
        <w:rPr>
          <w:rFonts w:ascii="Times New Roman" w:hAnsi="Times New Roman" w:cs="Times New Roman"/>
        </w:rPr>
      </w:pPr>
      <w:r>
        <w:rPr>
          <w:rFonts w:ascii="Times New Roman" w:hAnsi="Times New Roman" w:cs="Times New Roman"/>
        </w:rPr>
        <w:t>Department of Urban and Regional Planning, Faculty of Environmental Science, Nasarawa State University, Keffi, PMB 1022.</w:t>
      </w:r>
    </w:p>
    <w:p w14:paraId="56D05995" w14:textId="384B3DAE" w:rsidR="00FA79A3" w:rsidRPr="00FA79A3" w:rsidRDefault="00FA79A3" w:rsidP="00FA79A3">
      <w:pPr>
        <w:spacing w:line="360" w:lineRule="auto"/>
        <w:jc w:val="center"/>
        <w:rPr>
          <w:rFonts w:ascii="Times New Roman" w:hAnsi="Times New Roman" w:cs="Times New Roman"/>
        </w:rPr>
      </w:pPr>
      <w:r>
        <w:rPr>
          <w:rFonts w:ascii="Times New Roman" w:hAnsi="Times New Roman" w:cs="Times New Roman"/>
        </w:rPr>
        <w:t xml:space="preserve">Corresponding author: </w:t>
      </w:r>
      <w:r w:rsidRPr="00FA79A3">
        <w:rPr>
          <w:rFonts w:ascii="Times New Roman" w:hAnsi="Times New Roman" w:cs="Times New Roman"/>
        </w:rPr>
        <w:t>abdullahiadamu0659@gmail.com</w:t>
      </w:r>
      <w:r>
        <w:rPr>
          <w:rFonts w:ascii="Times New Roman" w:hAnsi="Times New Roman" w:cs="Times New Roman"/>
        </w:rPr>
        <w:t>*</w:t>
      </w:r>
    </w:p>
    <w:p w14:paraId="52C11862" w14:textId="34C60050" w:rsidR="00837505" w:rsidRP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t>Abstract</w:t>
      </w:r>
    </w:p>
    <w:p w14:paraId="09D67D9C" w14:textId="0949FD16"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This study assessed household water accessibility in Keffi, Nigeria, with emphasis on sources, service conditions, consumption, and socioeconomic determinants. A cross-sectional survey of 382 households was conducted using structured questionnaires, and data were analy</w:t>
      </w:r>
      <w:r w:rsidR="00A82ADA">
        <w:rPr>
          <w:rFonts w:ascii="Times New Roman" w:hAnsi="Times New Roman" w:cs="Times New Roman"/>
        </w:rPr>
        <w:t>s</w:t>
      </w:r>
      <w:r w:rsidRPr="00837505">
        <w:rPr>
          <w:rFonts w:ascii="Times New Roman" w:hAnsi="Times New Roman" w:cs="Times New Roman"/>
        </w:rPr>
        <w:t>ed using descriptive and inferential statistics.</w:t>
      </w:r>
      <w:r>
        <w:rPr>
          <w:rFonts w:ascii="Times New Roman" w:hAnsi="Times New Roman" w:cs="Times New Roman"/>
        </w:rPr>
        <w:t xml:space="preserve"> </w:t>
      </w:r>
      <w:r w:rsidRPr="00837505">
        <w:rPr>
          <w:rFonts w:ascii="Times New Roman" w:hAnsi="Times New Roman" w:cs="Times New Roman"/>
        </w:rPr>
        <w:t>Results showed that boreholes were the dominant water source (42.9%), followed by private piped connections (18.3%) and vendor/sachet water (16.2%), while government supply accounted for only 14.1%. Although 57.1% of households accessed water within 500 m and 59.6% spent ≤10 minutes reaching sources, only 20.9% had daily supply, indicating poor service reliability. Average water consumption was approximately 85 L/person/day, below the recommended 120 L standard, with 56.6% of households consuming less than 100 L/day.</w:t>
      </w:r>
      <w:r>
        <w:rPr>
          <w:rFonts w:ascii="Times New Roman" w:hAnsi="Times New Roman" w:cs="Times New Roman"/>
        </w:rPr>
        <w:t xml:space="preserve"> </w:t>
      </w:r>
      <w:r w:rsidRPr="00837505">
        <w:rPr>
          <w:rFonts w:ascii="Times New Roman" w:hAnsi="Times New Roman" w:cs="Times New Roman"/>
        </w:rPr>
        <w:t>Water affordability was a major concern, as households spent about 10% of income on water, exceeding the 5% benchmark. Access to improved water sources increased significantly with income, from 47.0% among low-income households to 86.5% among high-income groups. Statistical analysis confirmed a significant relationship between income and water accessibility (χ² = 102.38, p &lt; 0.001), with income emerging as the strongest predictor (β = 0.383, p &lt; 0.001; R² = 0.233).</w:t>
      </w:r>
      <w:r>
        <w:rPr>
          <w:rFonts w:ascii="Times New Roman" w:hAnsi="Times New Roman" w:cs="Times New Roman"/>
        </w:rPr>
        <w:t xml:space="preserve"> </w:t>
      </w:r>
      <w:r w:rsidRPr="00837505">
        <w:rPr>
          <w:rFonts w:ascii="Times New Roman" w:hAnsi="Times New Roman" w:cs="Times New Roman"/>
        </w:rPr>
        <w:t>Perception analysis revealed general dissatisfaction with water reliability, affordability, and government performance (overall mean = 2.95), alongside strong demand for improved planning (mean = 4.74).</w:t>
      </w:r>
      <w:r>
        <w:rPr>
          <w:rFonts w:ascii="Times New Roman" w:hAnsi="Times New Roman" w:cs="Times New Roman"/>
        </w:rPr>
        <w:t xml:space="preserve"> </w:t>
      </w:r>
      <w:r w:rsidRPr="00837505">
        <w:rPr>
          <w:rFonts w:ascii="Times New Roman" w:hAnsi="Times New Roman" w:cs="Times New Roman"/>
        </w:rPr>
        <w:t>The study concludes that water accessibility in Keffi is constrained primarily by service inefficiencies and socioeconomic inequality rather than physical distance, highlighting the need for improved infrastructure and equitable water policies.</w:t>
      </w:r>
    </w:p>
    <w:p w14:paraId="122FAAFD" w14:textId="3B54F5E0" w:rsidR="00837505" w:rsidRPr="00837505" w:rsidRDefault="00837505" w:rsidP="00857AAB">
      <w:pPr>
        <w:spacing w:line="360" w:lineRule="auto"/>
        <w:jc w:val="both"/>
        <w:rPr>
          <w:rFonts w:ascii="Times New Roman" w:hAnsi="Times New Roman" w:cs="Times New Roman"/>
        </w:rPr>
      </w:pPr>
      <w:r w:rsidRPr="00837505">
        <w:rPr>
          <w:rFonts w:ascii="Times New Roman" w:hAnsi="Times New Roman" w:cs="Times New Roman"/>
          <w:b/>
          <w:bCs/>
        </w:rPr>
        <w:t>Keywords</w:t>
      </w:r>
      <w:r>
        <w:rPr>
          <w:rFonts w:ascii="Times New Roman" w:hAnsi="Times New Roman" w:cs="Times New Roman"/>
          <w:b/>
          <w:bCs/>
        </w:rPr>
        <w:t xml:space="preserve">: </w:t>
      </w:r>
      <w:r w:rsidRPr="00837505">
        <w:rPr>
          <w:rFonts w:ascii="Times New Roman" w:hAnsi="Times New Roman" w:cs="Times New Roman"/>
        </w:rPr>
        <w:t>Water accessibility; Domestic water supply; Improved water sources; Water affordability; Service reliability; Nigeria.</w:t>
      </w:r>
    </w:p>
    <w:p w14:paraId="231CAE10" w14:textId="34ED645A" w:rsidR="00857AAB" w:rsidRPr="00857AAB" w:rsidRDefault="00857AAB" w:rsidP="00857AAB">
      <w:pPr>
        <w:spacing w:line="360" w:lineRule="auto"/>
        <w:jc w:val="both"/>
        <w:rPr>
          <w:rFonts w:ascii="Times New Roman" w:hAnsi="Times New Roman" w:cs="Times New Roman"/>
          <w:b/>
          <w:bCs/>
        </w:rPr>
      </w:pPr>
      <w:r w:rsidRPr="00857AAB">
        <w:rPr>
          <w:rFonts w:ascii="Times New Roman" w:hAnsi="Times New Roman" w:cs="Times New Roman"/>
          <w:b/>
          <w:bCs/>
        </w:rPr>
        <w:lastRenderedPageBreak/>
        <w:t>Introduction</w:t>
      </w:r>
    </w:p>
    <w:p w14:paraId="1E4E7308" w14:textId="77777777" w:rsidR="00857AAB" w:rsidRPr="00857AAB" w:rsidRDefault="00857AAB" w:rsidP="00857AAB">
      <w:pPr>
        <w:spacing w:line="360" w:lineRule="auto"/>
        <w:jc w:val="both"/>
        <w:rPr>
          <w:rFonts w:ascii="Times New Roman" w:hAnsi="Times New Roman" w:cs="Times New Roman"/>
        </w:rPr>
      </w:pPr>
      <w:r w:rsidRPr="00857AAB">
        <w:rPr>
          <w:rFonts w:ascii="Times New Roman" w:hAnsi="Times New Roman" w:cs="Times New Roman"/>
        </w:rPr>
        <w:t xml:space="preserve">Access to safe and reliable domestic water remains one of the most critical determinants of public health, environmental sustainability, and socioeconomic development. Adequate water supply supports hygiene, sanitation, food security, and economic productivity, while inadequate access increases vulnerability to waterborne diseases and constrains human well-being (Gleick, 2019; Hrudey &amp; Hrudey, 2020; </w:t>
      </w:r>
      <w:proofErr w:type="spellStart"/>
      <w:r w:rsidRPr="00857AAB">
        <w:rPr>
          <w:rFonts w:ascii="Times New Roman" w:hAnsi="Times New Roman" w:cs="Times New Roman"/>
        </w:rPr>
        <w:t>Prüss-Ustün</w:t>
      </w:r>
      <w:proofErr w:type="spellEnd"/>
      <w:r w:rsidRPr="00857AAB">
        <w:rPr>
          <w:rFonts w:ascii="Times New Roman" w:hAnsi="Times New Roman" w:cs="Times New Roman"/>
        </w:rPr>
        <w:t xml:space="preserve"> et al., 2019). Despite global commitments under Sustainable Development Goal 6 (SDG 6) to ensure universal access to safe water and sanitation, progress remains uneven, particularly across developing countries where rapid urbanization, population growth, climate variability, and inadequate infrastructure continue to undermine water security (United Nations, 2015; Sustainable Development Goals, 2023).</w:t>
      </w:r>
    </w:p>
    <w:p w14:paraId="429FBDDE" w14:textId="77777777" w:rsidR="00857AAB" w:rsidRPr="00857AAB" w:rsidRDefault="00857AAB" w:rsidP="00857AAB">
      <w:pPr>
        <w:spacing w:line="360" w:lineRule="auto"/>
        <w:jc w:val="both"/>
        <w:rPr>
          <w:rFonts w:ascii="Times New Roman" w:hAnsi="Times New Roman" w:cs="Times New Roman"/>
        </w:rPr>
      </w:pPr>
      <w:r w:rsidRPr="00857AAB">
        <w:rPr>
          <w:rFonts w:ascii="Times New Roman" w:hAnsi="Times New Roman" w:cs="Times New Roman"/>
        </w:rPr>
        <w:t>Nigeria exemplifies these challenges. Although the country possesses substantial surface and groundwater resources, access to safe and reliable domestic water remains inadequate for a large proportion of the population. Recent evidence indicates that only about 42% of Nigerians have access to both improved water sources and sanitation facilities (</w:t>
      </w:r>
      <w:proofErr w:type="spellStart"/>
      <w:r w:rsidRPr="00857AAB">
        <w:rPr>
          <w:rFonts w:ascii="Times New Roman" w:hAnsi="Times New Roman" w:cs="Times New Roman"/>
        </w:rPr>
        <w:t>Edefo</w:t>
      </w:r>
      <w:proofErr w:type="spellEnd"/>
      <w:r w:rsidRPr="00857AAB">
        <w:rPr>
          <w:rFonts w:ascii="Times New Roman" w:hAnsi="Times New Roman" w:cs="Times New Roman"/>
        </w:rPr>
        <w:t>, 2025). Increasing urban expansion has been associated with declining groundwater quality and heightened contamination risks (Ojo et al., 2024), while governance constraints, inadequate funding, and fragmented institutional arrangements continue to hinder effective water resource management (Adamu, 2024). Consequently, many households rely on multiple water sources, including boreholes, wells, rainwater harvesting systems, and water vendors, to cope with unreliable public water supply (</w:t>
      </w:r>
      <w:proofErr w:type="spellStart"/>
      <w:r w:rsidRPr="00857AAB">
        <w:rPr>
          <w:rFonts w:ascii="Times New Roman" w:hAnsi="Times New Roman" w:cs="Times New Roman"/>
        </w:rPr>
        <w:t>Agbonaye</w:t>
      </w:r>
      <w:proofErr w:type="spellEnd"/>
      <w:r w:rsidRPr="00857AAB">
        <w:rPr>
          <w:rFonts w:ascii="Times New Roman" w:hAnsi="Times New Roman" w:cs="Times New Roman"/>
        </w:rPr>
        <w:t xml:space="preserve"> &amp; </w:t>
      </w:r>
      <w:proofErr w:type="spellStart"/>
      <w:r w:rsidRPr="00857AAB">
        <w:rPr>
          <w:rFonts w:ascii="Times New Roman" w:hAnsi="Times New Roman" w:cs="Times New Roman"/>
        </w:rPr>
        <w:t>Eboi</w:t>
      </w:r>
      <w:proofErr w:type="spellEnd"/>
      <w:r w:rsidRPr="00857AAB">
        <w:rPr>
          <w:rFonts w:ascii="Times New Roman" w:hAnsi="Times New Roman" w:cs="Times New Roman"/>
        </w:rPr>
        <w:t xml:space="preserve">, 2024; </w:t>
      </w:r>
      <w:proofErr w:type="spellStart"/>
      <w:r w:rsidRPr="00857AAB">
        <w:rPr>
          <w:rFonts w:ascii="Times New Roman" w:hAnsi="Times New Roman" w:cs="Times New Roman"/>
        </w:rPr>
        <w:t>Soladoye</w:t>
      </w:r>
      <w:proofErr w:type="spellEnd"/>
      <w:r w:rsidRPr="00857AAB">
        <w:rPr>
          <w:rFonts w:ascii="Times New Roman" w:hAnsi="Times New Roman" w:cs="Times New Roman"/>
        </w:rPr>
        <w:t xml:space="preserve"> &amp; Adepoju, 2025).</w:t>
      </w:r>
    </w:p>
    <w:p w14:paraId="0543BDD3" w14:textId="77777777" w:rsidR="00857AAB" w:rsidRPr="00857AAB" w:rsidRDefault="00857AAB" w:rsidP="00857AAB">
      <w:pPr>
        <w:spacing w:line="360" w:lineRule="auto"/>
        <w:jc w:val="both"/>
        <w:rPr>
          <w:rFonts w:ascii="Times New Roman" w:hAnsi="Times New Roman" w:cs="Times New Roman"/>
        </w:rPr>
      </w:pPr>
      <w:r w:rsidRPr="00857AAB">
        <w:rPr>
          <w:rFonts w:ascii="Times New Roman" w:hAnsi="Times New Roman" w:cs="Times New Roman"/>
        </w:rPr>
        <w:t>The challenge is particularly evident in Nasarawa State, where disparities in water quality and accessibility persist across communities. Studies have reported contamination of surface and well water sources, inadequate piped water supply, and household water consumption levels below recommended standards (</w:t>
      </w:r>
      <w:proofErr w:type="spellStart"/>
      <w:r w:rsidRPr="00857AAB">
        <w:rPr>
          <w:rFonts w:ascii="Times New Roman" w:hAnsi="Times New Roman" w:cs="Times New Roman"/>
        </w:rPr>
        <w:t>Chunwate</w:t>
      </w:r>
      <w:proofErr w:type="spellEnd"/>
      <w:r w:rsidRPr="00857AAB">
        <w:rPr>
          <w:rFonts w:ascii="Times New Roman" w:hAnsi="Times New Roman" w:cs="Times New Roman"/>
        </w:rPr>
        <w:t xml:space="preserve"> et al., 2021; </w:t>
      </w:r>
      <w:proofErr w:type="spellStart"/>
      <w:r w:rsidRPr="00857AAB">
        <w:rPr>
          <w:rFonts w:ascii="Times New Roman" w:hAnsi="Times New Roman" w:cs="Times New Roman"/>
        </w:rPr>
        <w:t>Sodangi</w:t>
      </w:r>
      <w:proofErr w:type="spellEnd"/>
      <w:r w:rsidRPr="00857AAB">
        <w:rPr>
          <w:rFonts w:ascii="Times New Roman" w:hAnsi="Times New Roman" w:cs="Times New Roman"/>
        </w:rPr>
        <w:t xml:space="preserve"> et al., 2023). Although recent government interventions, including the provision of solar-powered boreholes, aim to improve water access, concerns remain regarding the adequacy, affordability, reliability, and safety of domestic water supply, especially in rapidly growing urban centres such as Keffi.</w:t>
      </w:r>
    </w:p>
    <w:p w14:paraId="12D608C5" w14:textId="77777777" w:rsidR="00857AAB" w:rsidRPr="00857AAB" w:rsidRDefault="00857AAB" w:rsidP="00857AAB">
      <w:pPr>
        <w:spacing w:line="360" w:lineRule="auto"/>
        <w:jc w:val="both"/>
        <w:rPr>
          <w:rFonts w:ascii="Times New Roman" w:hAnsi="Times New Roman" w:cs="Times New Roman"/>
        </w:rPr>
      </w:pPr>
      <w:r w:rsidRPr="00857AAB">
        <w:rPr>
          <w:rFonts w:ascii="Times New Roman" w:hAnsi="Times New Roman" w:cs="Times New Roman"/>
        </w:rPr>
        <w:t>Existing studies in Nigeria and Nasarawa State have largely concentrated on water quality assessment, groundwater potential, and general community-level water supply conditions (</w:t>
      </w:r>
      <w:proofErr w:type="spellStart"/>
      <w:r w:rsidRPr="00857AAB">
        <w:rPr>
          <w:rFonts w:ascii="Times New Roman" w:hAnsi="Times New Roman" w:cs="Times New Roman"/>
        </w:rPr>
        <w:t>Aikowe</w:t>
      </w:r>
      <w:proofErr w:type="spellEnd"/>
      <w:r w:rsidRPr="00857AAB">
        <w:rPr>
          <w:rFonts w:ascii="Times New Roman" w:hAnsi="Times New Roman" w:cs="Times New Roman"/>
        </w:rPr>
        <w:t xml:space="preserve"> &amp; </w:t>
      </w:r>
      <w:proofErr w:type="spellStart"/>
      <w:r w:rsidRPr="00857AAB">
        <w:rPr>
          <w:rFonts w:ascii="Times New Roman" w:hAnsi="Times New Roman" w:cs="Times New Roman"/>
        </w:rPr>
        <w:t>Mazancová</w:t>
      </w:r>
      <w:proofErr w:type="spellEnd"/>
      <w:r w:rsidRPr="00857AAB">
        <w:rPr>
          <w:rFonts w:ascii="Times New Roman" w:hAnsi="Times New Roman" w:cs="Times New Roman"/>
        </w:rPr>
        <w:t xml:space="preserve">, 2021; Balogun et al., 2019; </w:t>
      </w:r>
      <w:proofErr w:type="spellStart"/>
      <w:r w:rsidRPr="00857AAB">
        <w:rPr>
          <w:rFonts w:ascii="Times New Roman" w:hAnsi="Times New Roman" w:cs="Times New Roman"/>
        </w:rPr>
        <w:t>Sodangi</w:t>
      </w:r>
      <w:proofErr w:type="spellEnd"/>
      <w:r w:rsidRPr="00857AAB">
        <w:rPr>
          <w:rFonts w:ascii="Times New Roman" w:hAnsi="Times New Roman" w:cs="Times New Roman"/>
        </w:rPr>
        <w:t xml:space="preserve"> et al., 2023). However, there remains limited </w:t>
      </w:r>
      <w:r w:rsidRPr="00857AAB">
        <w:rPr>
          <w:rFonts w:ascii="Times New Roman" w:hAnsi="Times New Roman" w:cs="Times New Roman"/>
        </w:rPr>
        <w:lastRenderedPageBreak/>
        <w:t>empirical evidence on household-level access to domestic water supply in Keffi, particularly regarding the combined influence of water source dependence, accessibility, affordability, reliability, and household coping strategies. This knowledge gap restricts a comprehensive understanding of how residents obtain and manage domestic water and constrains the development of evidence-based interventions tailored to local needs.</w:t>
      </w:r>
    </w:p>
    <w:p w14:paraId="381B1B20" w14:textId="77777777" w:rsidR="00857AAB" w:rsidRDefault="00857AAB" w:rsidP="00857AAB">
      <w:pPr>
        <w:spacing w:line="360" w:lineRule="auto"/>
        <w:jc w:val="both"/>
        <w:rPr>
          <w:rFonts w:ascii="Times New Roman" w:hAnsi="Times New Roman" w:cs="Times New Roman"/>
        </w:rPr>
      </w:pPr>
      <w:r w:rsidRPr="00857AAB">
        <w:rPr>
          <w:rFonts w:ascii="Times New Roman" w:hAnsi="Times New Roman" w:cs="Times New Roman"/>
        </w:rPr>
        <w:t xml:space="preserve">Against this backdrop, the present study investigates household access to domestic water supply in Keffi, Nasarawa State, Nigeria. Specifically, it examines the sources, accessibility, affordability, reliability, and challenges associated with household water supply </w:t>
      </w:r>
      <w:proofErr w:type="gramStart"/>
      <w:r w:rsidRPr="00857AAB">
        <w:rPr>
          <w:rFonts w:ascii="Times New Roman" w:hAnsi="Times New Roman" w:cs="Times New Roman"/>
        </w:rPr>
        <w:t>in order to</w:t>
      </w:r>
      <w:proofErr w:type="gramEnd"/>
      <w:r w:rsidRPr="00857AAB">
        <w:rPr>
          <w:rFonts w:ascii="Times New Roman" w:hAnsi="Times New Roman" w:cs="Times New Roman"/>
        </w:rPr>
        <w:t xml:space="preserve"> provide empirical evidence that can support sustainable water resource management, improved service delivery, and enhanced water security in the study area.</w:t>
      </w:r>
    </w:p>
    <w:p w14:paraId="39EA3789" w14:textId="77777777" w:rsidR="00837505" w:rsidRP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t>Materials and Methods</w:t>
      </w:r>
    </w:p>
    <w:p w14:paraId="69614740" w14:textId="77777777" w:rsid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t>Study Area and Population</w:t>
      </w:r>
    </w:p>
    <w:p w14:paraId="432BCC89" w14:textId="77777777" w:rsidR="00FA79A3" w:rsidRDefault="00FA79A3" w:rsidP="00FA79A3">
      <w:pPr>
        <w:spacing w:after="0" w:line="240" w:lineRule="auto"/>
        <w:jc w:val="both"/>
        <w:rPr>
          <w:rStyle w:val="Heading1Char"/>
          <w:rFonts w:ascii="Times New Roman" w:hAnsi="Times New Roman" w:cs="Times New Roman"/>
          <w:color w:val="auto"/>
          <w:sz w:val="24"/>
          <w:szCs w:val="24"/>
        </w:rPr>
      </w:pPr>
      <w:r>
        <w:rPr>
          <w:noProof/>
          <w:lang w:val="en-GB" w:eastAsia="en-GB"/>
        </w:rPr>
        <w:drawing>
          <wp:inline distT="0" distB="0" distL="0" distR="0" wp14:anchorId="13317959" wp14:editId="6C0901CD">
            <wp:extent cx="5448300" cy="3622592"/>
            <wp:effectExtent l="0" t="0" r="0" b="0"/>
            <wp:docPr id="1027" name="Picture 17" descr="C:\Users\core 15\AppData\Local\Microsoft\Windows\INetCache\Content.Word\Fig-1-Map-of-Nasarawa-State-Showing-Keffi-Local-Government-Area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
                    <pic:cNvPicPr/>
                  </pic:nvPicPr>
                  <pic:blipFill>
                    <a:blip r:embed="rId6" cstate="print"/>
                    <a:srcRect/>
                    <a:stretch/>
                  </pic:blipFill>
                  <pic:spPr>
                    <a:xfrm>
                      <a:off x="0" y="0"/>
                      <a:ext cx="5448300" cy="3622592"/>
                    </a:xfrm>
                    <a:prstGeom prst="rect">
                      <a:avLst/>
                    </a:prstGeom>
                    <a:ln>
                      <a:noFill/>
                    </a:ln>
                  </pic:spPr>
                </pic:pic>
              </a:graphicData>
            </a:graphic>
          </wp:inline>
        </w:drawing>
      </w:r>
    </w:p>
    <w:p w14:paraId="13893E8E" w14:textId="20CF4579" w:rsidR="00FA79A3" w:rsidRPr="00FA79A3" w:rsidRDefault="00FA79A3" w:rsidP="00FA79A3">
      <w:pPr>
        <w:spacing w:after="0" w:line="240" w:lineRule="auto"/>
        <w:jc w:val="both"/>
        <w:rPr>
          <w:rStyle w:val="Heading1Char"/>
          <w:rFonts w:ascii="Times New Roman" w:hAnsi="Times New Roman" w:cs="Times New Roman"/>
          <w:color w:val="auto"/>
          <w:sz w:val="24"/>
          <w:szCs w:val="24"/>
        </w:rPr>
      </w:pPr>
      <w:r w:rsidRPr="00FA79A3">
        <w:rPr>
          <w:rStyle w:val="Heading1Char"/>
          <w:rFonts w:ascii="Times New Roman" w:hAnsi="Times New Roman" w:cs="Times New Roman"/>
          <w:color w:val="auto"/>
          <w:sz w:val="24"/>
          <w:szCs w:val="24"/>
        </w:rPr>
        <w:t xml:space="preserve">Figure </w:t>
      </w:r>
      <w:r>
        <w:rPr>
          <w:rStyle w:val="Heading1Char"/>
          <w:rFonts w:ascii="Times New Roman" w:hAnsi="Times New Roman" w:cs="Times New Roman"/>
          <w:color w:val="auto"/>
          <w:sz w:val="24"/>
          <w:szCs w:val="24"/>
        </w:rPr>
        <w:t>1</w:t>
      </w:r>
      <w:r w:rsidRPr="00FA79A3">
        <w:rPr>
          <w:rStyle w:val="Heading1Char"/>
          <w:rFonts w:ascii="Times New Roman" w:hAnsi="Times New Roman" w:cs="Times New Roman"/>
          <w:color w:val="auto"/>
          <w:sz w:val="24"/>
          <w:szCs w:val="24"/>
        </w:rPr>
        <w:t>: Map of Nasarawa State Showing Keffi LGA</w:t>
      </w:r>
    </w:p>
    <w:p w14:paraId="0AEF25C9" w14:textId="77777777" w:rsidR="00FA79A3" w:rsidRPr="00837505" w:rsidRDefault="00FA79A3" w:rsidP="00837505">
      <w:pPr>
        <w:spacing w:line="360" w:lineRule="auto"/>
        <w:jc w:val="both"/>
        <w:rPr>
          <w:rFonts w:ascii="Times New Roman" w:hAnsi="Times New Roman" w:cs="Times New Roman"/>
          <w:b/>
          <w:bCs/>
        </w:rPr>
      </w:pPr>
    </w:p>
    <w:p w14:paraId="53F76333" w14:textId="77777777" w:rsidR="00837505" w:rsidRDefault="00837505" w:rsidP="00837505">
      <w:pPr>
        <w:spacing w:line="360" w:lineRule="auto"/>
        <w:jc w:val="both"/>
        <w:rPr>
          <w:rFonts w:ascii="Times New Roman" w:hAnsi="Times New Roman" w:cs="Times New Roman"/>
        </w:rPr>
      </w:pPr>
      <w:r w:rsidRPr="00FA79A3">
        <w:rPr>
          <w:rFonts w:ascii="Times New Roman" w:hAnsi="Times New Roman" w:cs="Times New Roman"/>
        </w:rPr>
        <w:t xml:space="preserve">The study was conducted in Keffi Urban Area, Nasarawa State, Nigeria. The base population of 92,664 recorded in the 2006 national census was projected to 2025 using an annual growth rate of </w:t>
      </w:r>
      <w:r w:rsidRPr="00FA79A3">
        <w:rPr>
          <w:rFonts w:ascii="Times New Roman" w:hAnsi="Times New Roman" w:cs="Times New Roman"/>
        </w:rPr>
        <w:lastRenderedPageBreak/>
        <w:t>2.8%, yielding an estimated population of 156,593. Adopting an average household size of five persons, the total number of households was estimated at 31,319.</w:t>
      </w:r>
    </w:p>
    <w:p w14:paraId="1C569484"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t>The base population of the study area as at the 2006 population census conducted by the Federal Government of Nigeria was 92,664. This population is therefore projected to the research period which is 2025 (19 years projection at 2.8% growth rate) using the Exponential Model</w:t>
      </w:r>
    </w:p>
    <w:p w14:paraId="408C4E1D"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t>PT= P</w:t>
      </w:r>
      <w:r>
        <w:rPr>
          <w:rFonts w:ascii="Times New Roman" w:hAnsi="Times New Roman" w:cs="Times New Roman"/>
          <w:vertAlign w:val="subscript"/>
        </w:rPr>
        <w:t>o</w:t>
      </w:r>
      <w:r>
        <w:rPr>
          <w:rFonts w:ascii="Times New Roman" w:hAnsi="Times New Roman" w:cs="Times New Roman"/>
        </w:rPr>
        <w:t xml:space="preserve"> (l +</w:t>
      </w:r>
      <w:proofErr w:type="gramStart"/>
      <w:r>
        <w:rPr>
          <w:rFonts w:ascii="Times New Roman" w:hAnsi="Times New Roman" w:cs="Times New Roman"/>
        </w:rPr>
        <w:t>r)</w:t>
      </w:r>
      <w:r>
        <w:rPr>
          <w:rFonts w:ascii="Times New Roman" w:hAnsi="Times New Roman" w:cs="Times New Roman"/>
          <w:vertAlign w:val="superscript"/>
        </w:rPr>
        <w:t>n</w:t>
      </w:r>
      <w:proofErr w:type="gramEnd"/>
    </w:p>
    <w:p w14:paraId="619D9748"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t>Where:</w:t>
      </w:r>
    </w:p>
    <w:p w14:paraId="75C1A2CF"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t>PT = Projected population</w:t>
      </w:r>
    </w:p>
    <w:p w14:paraId="208FD07E"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t>P</w:t>
      </w:r>
      <w:r>
        <w:rPr>
          <w:rFonts w:ascii="Times New Roman" w:hAnsi="Times New Roman" w:cs="Times New Roman"/>
          <w:vertAlign w:val="subscript"/>
        </w:rPr>
        <w:t xml:space="preserve">o </w:t>
      </w:r>
      <w:r>
        <w:rPr>
          <w:rFonts w:ascii="Times New Roman" w:hAnsi="Times New Roman" w:cs="Times New Roman"/>
        </w:rPr>
        <w:t>= Base population = 92,664</w:t>
      </w:r>
    </w:p>
    <w:p w14:paraId="483E3DD3"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t>r = Growth Rate = 2.8%</w:t>
      </w:r>
    </w:p>
    <w:p w14:paraId="16D6AF81"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t>n = Number of years for which projection is made = 19 years</w:t>
      </w:r>
    </w:p>
    <w:p w14:paraId="4517B843"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t>Thus:</w:t>
      </w:r>
    </w:p>
    <w:p w14:paraId="3A04B85C"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t>PT = P</w:t>
      </w:r>
      <w:r>
        <w:rPr>
          <w:rFonts w:ascii="Times New Roman" w:hAnsi="Times New Roman" w:cs="Times New Roman"/>
          <w:vertAlign w:val="subscript"/>
        </w:rPr>
        <w:t>o</w:t>
      </w:r>
      <w:r>
        <w:rPr>
          <w:rFonts w:ascii="Times New Roman" w:hAnsi="Times New Roman" w:cs="Times New Roman"/>
        </w:rPr>
        <w:t xml:space="preserve"> (1 + r/</w:t>
      </w:r>
      <w:proofErr w:type="gramStart"/>
      <w:r>
        <w:rPr>
          <w:rFonts w:ascii="Times New Roman" w:hAnsi="Times New Roman" w:cs="Times New Roman"/>
        </w:rPr>
        <w:t>100)</w:t>
      </w:r>
      <w:r>
        <w:rPr>
          <w:rFonts w:ascii="Times New Roman" w:hAnsi="Times New Roman" w:cs="Times New Roman"/>
          <w:vertAlign w:val="superscript"/>
        </w:rPr>
        <w:t>n</w:t>
      </w:r>
      <w:proofErr w:type="gramEnd"/>
    </w:p>
    <w:p w14:paraId="622168FA"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t>PT = P</w:t>
      </w:r>
      <w:r>
        <w:rPr>
          <w:rFonts w:ascii="Times New Roman" w:hAnsi="Times New Roman" w:cs="Times New Roman"/>
          <w:vertAlign w:val="subscript"/>
        </w:rPr>
        <w:t>o</w:t>
      </w:r>
      <w:r>
        <w:rPr>
          <w:rFonts w:ascii="Times New Roman" w:hAnsi="Times New Roman" w:cs="Times New Roman"/>
        </w:rPr>
        <w:t xml:space="preserve"> (1+2.8/</w:t>
      </w:r>
      <w:proofErr w:type="gramStart"/>
      <w:r>
        <w:rPr>
          <w:rFonts w:ascii="Times New Roman" w:hAnsi="Times New Roman" w:cs="Times New Roman"/>
        </w:rPr>
        <w:t>100)</w:t>
      </w:r>
      <w:r>
        <w:rPr>
          <w:rFonts w:ascii="Times New Roman" w:hAnsi="Times New Roman" w:cs="Times New Roman"/>
          <w:vertAlign w:val="superscript"/>
        </w:rPr>
        <w:t>n</w:t>
      </w:r>
      <w:proofErr w:type="gramEnd"/>
    </w:p>
    <w:p w14:paraId="36C52A91" w14:textId="77777777" w:rsidR="00F47351" w:rsidRDefault="00F47351" w:rsidP="00F47351">
      <w:pPr>
        <w:spacing w:line="480" w:lineRule="auto"/>
        <w:jc w:val="both"/>
        <w:rPr>
          <w:rFonts w:ascii="Times New Roman" w:hAnsi="Times New Roman" w:cs="Times New Roman"/>
          <w:vertAlign w:val="superscript"/>
        </w:rPr>
      </w:pPr>
      <w:r>
        <w:rPr>
          <w:rFonts w:ascii="Times New Roman" w:hAnsi="Times New Roman" w:cs="Times New Roman"/>
        </w:rPr>
        <w:t>PT = 92,664 (1+0.028)</w:t>
      </w:r>
      <w:r>
        <w:rPr>
          <w:rFonts w:ascii="Times New Roman" w:hAnsi="Times New Roman" w:cs="Times New Roman"/>
          <w:vertAlign w:val="superscript"/>
        </w:rPr>
        <w:t>19</w:t>
      </w:r>
    </w:p>
    <w:p w14:paraId="44FEDE28" w14:textId="77777777" w:rsidR="00F47351" w:rsidRDefault="00F47351" w:rsidP="00F47351">
      <w:pPr>
        <w:spacing w:line="480" w:lineRule="auto"/>
        <w:jc w:val="both"/>
        <w:rPr>
          <w:rFonts w:ascii="Times New Roman" w:hAnsi="Times New Roman" w:cs="Times New Roman"/>
          <w:vertAlign w:val="superscript"/>
        </w:rPr>
      </w:pPr>
      <w:r>
        <w:rPr>
          <w:rFonts w:ascii="Times New Roman" w:hAnsi="Times New Roman" w:cs="Times New Roman"/>
        </w:rPr>
        <w:t>PT = 92,664 (1.028)</w:t>
      </w:r>
      <w:r>
        <w:rPr>
          <w:rFonts w:ascii="Times New Roman" w:hAnsi="Times New Roman" w:cs="Times New Roman"/>
          <w:vertAlign w:val="superscript"/>
        </w:rPr>
        <w:t>19</w:t>
      </w:r>
    </w:p>
    <w:p w14:paraId="009D8A70"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t>PT = 92,664 x 1.6899</w:t>
      </w:r>
    </w:p>
    <w:p w14:paraId="36D49F5D"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t>PT = 156,593</w:t>
      </w:r>
    </w:p>
    <w:p w14:paraId="15F280DD"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t>Therefore, the total sample frame for this study is 156,593 people.</w:t>
      </w:r>
    </w:p>
    <w:p w14:paraId="13466791"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lastRenderedPageBreak/>
        <w:t>However, the average household size in Nigeria according to the 2013 Nigeria Demographic and Health Survey (NDHS) was 4.6 persons per household. Therefore, for this study we are adopting 5 persons per household. Thus, the total number of households in Keffi urban area is:</w:t>
      </w:r>
    </w:p>
    <w:p w14:paraId="3E84EE55" w14:textId="0DA36C67" w:rsidR="00F47351" w:rsidRPr="00FA79A3" w:rsidRDefault="00F47351" w:rsidP="00F47351">
      <w:pPr>
        <w:spacing w:line="480" w:lineRule="auto"/>
        <w:jc w:val="both"/>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156,593</m:t>
              </m:r>
            </m:num>
            <m:den>
              <m:r>
                <w:rPr>
                  <w:rFonts w:ascii="Cambria Math" w:hAnsi="Cambria Math" w:cs="Times New Roman"/>
                </w:rPr>
                <m:t>5</m:t>
              </m:r>
            </m:den>
          </m:f>
          <m:r>
            <w:rPr>
              <w:rFonts w:ascii="Cambria Math" w:hAnsi="Cambria Math" w:cs="Times New Roman"/>
            </w:rPr>
            <m:t>=</m:t>
          </m:r>
          <m:r>
            <m:rPr>
              <m:sty m:val="p"/>
            </m:rPr>
            <w:rPr>
              <w:rFonts w:ascii="Cambria Math" w:hAnsi="Cambria Math" w:cs="Times New Roman"/>
            </w:rPr>
            <m:t>31, 319</m:t>
          </m:r>
        </m:oMath>
      </m:oMathPara>
    </w:p>
    <w:p w14:paraId="54A58C85" w14:textId="77777777" w:rsidR="00837505" w:rsidRP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t>Sample Size and Sampling Procedure</w:t>
      </w:r>
    </w:p>
    <w:p w14:paraId="6E0CA0DB" w14:textId="77777777" w:rsidR="00837505" w:rsidRDefault="00837505" w:rsidP="00837505">
      <w:pPr>
        <w:spacing w:line="360" w:lineRule="auto"/>
        <w:jc w:val="both"/>
        <w:rPr>
          <w:rFonts w:ascii="Times New Roman" w:hAnsi="Times New Roman" w:cs="Times New Roman"/>
        </w:rPr>
      </w:pPr>
      <w:r w:rsidRPr="00FA79A3">
        <w:rPr>
          <w:rFonts w:ascii="Times New Roman" w:hAnsi="Times New Roman" w:cs="Times New Roman"/>
        </w:rPr>
        <w:t xml:space="preserve">The sample size was determined using the Taro Yamane (1967) formula at a 5% margin of error, resulting in 399 respondents. The sample was proportionally distributed across eight </w:t>
      </w:r>
      <w:proofErr w:type="spellStart"/>
      <w:r w:rsidRPr="00FA79A3">
        <w:rPr>
          <w:rFonts w:ascii="Times New Roman" w:hAnsi="Times New Roman" w:cs="Times New Roman"/>
        </w:rPr>
        <w:t>neighborhoods</w:t>
      </w:r>
      <w:proofErr w:type="spellEnd"/>
      <w:r w:rsidRPr="00FA79A3">
        <w:rPr>
          <w:rFonts w:ascii="Times New Roman" w:hAnsi="Times New Roman" w:cs="Times New Roman"/>
        </w:rPr>
        <w:t xml:space="preserve"> (Yara, Tudun Kofa, </w:t>
      </w:r>
      <w:proofErr w:type="spellStart"/>
      <w:r w:rsidRPr="00FA79A3">
        <w:rPr>
          <w:rFonts w:ascii="Times New Roman" w:hAnsi="Times New Roman" w:cs="Times New Roman"/>
        </w:rPr>
        <w:t>Gangaren</w:t>
      </w:r>
      <w:proofErr w:type="spellEnd"/>
      <w:r w:rsidRPr="00FA79A3">
        <w:rPr>
          <w:rFonts w:ascii="Times New Roman" w:hAnsi="Times New Roman" w:cs="Times New Roman"/>
        </w:rPr>
        <w:t xml:space="preserve"> Tudu, </w:t>
      </w:r>
      <w:proofErr w:type="spellStart"/>
      <w:r w:rsidRPr="00FA79A3">
        <w:rPr>
          <w:rFonts w:ascii="Times New Roman" w:hAnsi="Times New Roman" w:cs="Times New Roman"/>
        </w:rPr>
        <w:t>Kofar</w:t>
      </w:r>
      <w:proofErr w:type="spellEnd"/>
      <w:r w:rsidRPr="00FA79A3">
        <w:rPr>
          <w:rFonts w:ascii="Times New Roman" w:hAnsi="Times New Roman" w:cs="Times New Roman"/>
        </w:rPr>
        <w:t xml:space="preserve"> Goriya, </w:t>
      </w:r>
      <w:proofErr w:type="spellStart"/>
      <w:r w:rsidRPr="00FA79A3">
        <w:rPr>
          <w:rFonts w:ascii="Times New Roman" w:hAnsi="Times New Roman" w:cs="Times New Roman"/>
        </w:rPr>
        <w:t>Angwan</w:t>
      </w:r>
      <w:proofErr w:type="spellEnd"/>
      <w:r w:rsidRPr="00FA79A3">
        <w:rPr>
          <w:rFonts w:ascii="Times New Roman" w:hAnsi="Times New Roman" w:cs="Times New Roman"/>
        </w:rPr>
        <w:t xml:space="preserve"> Rimi, </w:t>
      </w:r>
      <w:proofErr w:type="spellStart"/>
      <w:r w:rsidRPr="00FA79A3">
        <w:rPr>
          <w:rFonts w:ascii="Times New Roman" w:hAnsi="Times New Roman" w:cs="Times New Roman"/>
        </w:rPr>
        <w:t>Kofar</w:t>
      </w:r>
      <w:proofErr w:type="spellEnd"/>
      <w:r w:rsidRPr="00FA79A3">
        <w:rPr>
          <w:rFonts w:ascii="Times New Roman" w:hAnsi="Times New Roman" w:cs="Times New Roman"/>
        </w:rPr>
        <w:t xml:space="preserve"> Hausa, Liman </w:t>
      </w:r>
      <w:proofErr w:type="spellStart"/>
      <w:r w:rsidRPr="00FA79A3">
        <w:rPr>
          <w:rFonts w:ascii="Times New Roman" w:hAnsi="Times New Roman" w:cs="Times New Roman"/>
        </w:rPr>
        <w:t>Abaji</w:t>
      </w:r>
      <w:proofErr w:type="spellEnd"/>
      <w:r w:rsidRPr="00FA79A3">
        <w:rPr>
          <w:rFonts w:ascii="Times New Roman" w:hAnsi="Times New Roman" w:cs="Times New Roman"/>
        </w:rPr>
        <w:t>, and Sabon Layi) based on their population sizes.</w:t>
      </w:r>
    </w:p>
    <w:p w14:paraId="10A061EA"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t xml:space="preserve">This refers to the population size that was used to represent the overall population in the study area. Yaro Yamane (1967) model for </w:t>
      </w:r>
      <w:proofErr w:type="gramStart"/>
      <w:r>
        <w:rPr>
          <w:rFonts w:ascii="Times New Roman" w:hAnsi="Times New Roman" w:cs="Times New Roman"/>
        </w:rPr>
        <w:t>calculating  sample</w:t>
      </w:r>
      <w:proofErr w:type="gramEnd"/>
      <w:r>
        <w:rPr>
          <w:rFonts w:ascii="Times New Roman" w:hAnsi="Times New Roman" w:cs="Times New Roman"/>
        </w:rPr>
        <w:t xml:space="preserve"> size was adopted for the purpose of this study</w:t>
      </w:r>
    </w:p>
    <w:p w14:paraId="73D90AFF" w14:textId="1E6A716A" w:rsidR="00F47351" w:rsidRDefault="00F47351" w:rsidP="00F47351">
      <w:pPr>
        <w:spacing w:after="0" w:line="480" w:lineRule="auto"/>
        <w:jc w:val="both"/>
        <w:rPr>
          <w:rFonts w:ascii="Times New Roman" w:hAnsi="Times New Roman" w:cs="Times New Roman"/>
          <w:b/>
        </w:rPr>
      </w:pPr>
      <w:r>
        <w:rPr>
          <w:rFonts w:ascii="Times New Roman" w:hAnsi="Times New Roman" w:cs="Times New Roman"/>
        </w:rPr>
        <w:t xml:space="preserve">Formula: </w:t>
      </w:r>
      <m:oMath>
        <m:r>
          <m:rPr>
            <m:sty m:val="p"/>
          </m:rPr>
          <w:rPr>
            <w:rFonts w:ascii="Cambria Math" w:hAnsi="Cambria Math"/>
          </w:rPr>
          <w:br/>
        </m:r>
        <m:r>
          <m:rPr>
            <m:scr m:val="script"/>
          </m:rPr>
          <w:rPr>
            <w:rFonts w:ascii="Cambria Math" w:hAnsi="Cambria Math" w:cs="Times New Roman"/>
            <w:sz w:val="28"/>
          </w:rPr>
          <m:t>n</m:t>
        </m:r>
        <m:r>
          <m:rPr>
            <m:nor/>
          </m:rPr>
          <w:rPr>
            <w:rFonts w:ascii="Times New Roman" w:hAnsi="Times New Roman" w:cs="Times New Roman"/>
            <w:bCs/>
            <w:i/>
            <w:sz w:val="28"/>
          </w:rPr>
          <m:t xml:space="preserve"> </m:t>
        </m:r>
        <m:r>
          <m:rPr>
            <m:nor/>
          </m:rPr>
          <w:rPr>
            <w:rFonts w:ascii="Times New Roman" w:hAnsi="Times New Roman" w:cs="Times New Roman"/>
            <w:bCs/>
            <w:sz w:val="28"/>
          </w:rPr>
          <m:t xml:space="preserve">= </m:t>
        </m:r>
        <m:f>
          <m:fPr>
            <m:ctrlPr>
              <w:rPr>
                <w:rFonts w:ascii="Cambria Math" w:hAnsi="Cambria Math" w:cs="Times New Roman"/>
                <w:bCs/>
                <w:i/>
                <w:sz w:val="28"/>
              </w:rPr>
            </m:ctrlPr>
          </m:fPr>
          <m:num>
            <m:r>
              <w:rPr>
                <w:rFonts w:ascii="Cambria Math" w:hAnsi="Cambria Math" w:cs="Times New Roman"/>
                <w:sz w:val="28"/>
              </w:rPr>
              <m:t>Ν</m:t>
            </m:r>
          </m:num>
          <m:den>
            <m:r>
              <w:rPr>
                <w:rFonts w:ascii="Cambria Math" w:hAnsi="Cambria Math" w:cs="Times New Roman"/>
                <w:sz w:val="28"/>
              </w:rPr>
              <m:t xml:space="preserve">1+Ν </m:t>
            </m:r>
            <m:sSup>
              <m:sSupPr>
                <m:ctrlPr>
                  <w:rPr>
                    <w:rFonts w:ascii="Cambria Math" w:hAnsi="Cambria Math" w:cs="Times New Roman"/>
                    <w:bCs/>
                    <w:i/>
                    <w:sz w:val="28"/>
                  </w:rPr>
                </m:ctrlPr>
              </m:sSupPr>
              <m:e>
                <m:d>
                  <m:dPr>
                    <m:ctrlPr>
                      <w:rPr>
                        <w:rFonts w:ascii="Cambria Math" w:hAnsi="Cambria Math" w:cs="Times New Roman"/>
                        <w:bCs/>
                        <w:i/>
                        <w:sz w:val="28"/>
                      </w:rPr>
                    </m:ctrlPr>
                  </m:dPr>
                  <m:e>
                    <m:r>
                      <m:rPr>
                        <m:scr m:val="script"/>
                      </m:rPr>
                      <w:rPr>
                        <w:rFonts w:ascii="Cambria Math" w:hAnsi="Cambria Math" w:cs="Times New Roman"/>
                        <w:sz w:val="28"/>
                      </w:rPr>
                      <m:t>e</m:t>
                    </m:r>
                  </m:e>
                </m:d>
              </m:e>
              <m:sup>
                <m:r>
                  <w:rPr>
                    <w:rFonts w:ascii="Cambria Math" w:hAnsi="Cambria Math" w:cs="Times New Roman"/>
                    <w:sz w:val="28"/>
                  </w:rPr>
                  <m:t>2</m:t>
                </m:r>
              </m:sup>
            </m:sSup>
          </m:den>
        </m:f>
      </m:oMath>
      <w:r w:rsidRPr="00F47351">
        <w:rPr>
          <w:rFonts w:ascii="Times New Roman" w:hAnsi="Times New Roman" w:cs="Times New Roman"/>
          <w:bCs/>
        </w:rPr>
        <w:t xml:space="preserve"> </w:t>
      </w:r>
      <w:r>
        <w:rPr>
          <w:rFonts w:ascii="Times New Roman" w:hAnsi="Times New Roman" w:cs="Times New Roman"/>
        </w:rPr>
        <w:t xml:space="preserve">  </w:t>
      </w:r>
      <w:r>
        <w:rPr>
          <w:rFonts w:ascii="Times New Roman" w:hAnsi="Times New Roman" w:cs="Times New Roman"/>
          <w:b/>
        </w:rPr>
        <w:t xml:space="preserve">                    </w:t>
      </w:r>
    </w:p>
    <w:p w14:paraId="6887D34B"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t>Where:</w:t>
      </w:r>
    </w:p>
    <w:p w14:paraId="3DC1CB6C"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i/>
        </w:rPr>
        <w:t>n</w:t>
      </w:r>
      <w:r>
        <w:rPr>
          <w:rFonts w:ascii="Times New Roman" w:hAnsi="Times New Roman" w:cs="Times New Roman"/>
        </w:rPr>
        <w:t xml:space="preserve"> = sample size</w:t>
      </w:r>
    </w:p>
    <w:p w14:paraId="4EA5CCA5"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i/>
        </w:rPr>
        <w:t>N</w:t>
      </w:r>
      <w:r>
        <w:rPr>
          <w:rFonts w:ascii="Times New Roman" w:hAnsi="Times New Roman" w:cs="Times New Roman"/>
        </w:rPr>
        <w:t xml:space="preserve"> = total population</w:t>
      </w:r>
    </w:p>
    <w:p w14:paraId="49A8AAAF"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i/>
        </w:rPr>
        <w:t>e</w:t>
      </w:r>
      <w:r>
        <w:rPr>
          <w:rFonts w:ascii="Times New Roman" w:hAnsi="Times New Roman" w:cs="Times New Roman"/>
        </w:rPr>
        <w:t xml:space="preserve"> = exponential/margin of error = 0.05</w:t>
      </w:r>
    </w:p>
    <w:p w14:paraId="66A8E61F" w14:textId="77777777" w:rsidR="00F47351" w:rsidRDefault="00F47351" w:rsidP="00F47351">
      <w:pPr>
        <w:spacing w:line="480" w:lineRule="auto"/>
        <w:jc w:val="both"/>
        <w:rPr>
          <w:rFonts w:ascii="Times New Roman" w:hAnsi="Times New Roman" w:cs="Times New Roman"/>
        </w:rPr>
      </w:pPr>
      <w:r>
        <w:rPr>
          <w:rFonts w:ascii="Times New Roman" w:hAnsi="Times New Roman" w:cs="Times New Roman"/>
        </w:rPr>
        <w:t>1 = constant value</w:t>
      </w:r>
    </w:p>
    <w:p w14:paraId="78911856" w14:textId="77777777" w:rsidR="00F47351" w:rsidRDefault="00F47351" w:rsidP="00F47351">
      <w:pPr>
        <w:spacing w:after="0" w:line="480" w:lineRule="auto"/>
        <w:jc w:val="both"/>
        <w:rPr>
          <w:rFonts w:ascii="Times New Roman" w:hAnsi="Times New Roman" w:cs="Times New Roman"/>
          <w:sz w:val="22"/>
        </w:rPr>
      </w:pPr>
      <m:oMathPara>
        <m:oMathParaPr>
          <m:jc m:val="left"/>
        </m:oMathParaPr>
        <m:oMath>
          <m:r>
            <m:rPr>
              <m:scr m:val="script"/>
            </m:rPr>
            <w:rPr>
              <w:rFonts w:ascii="Cambria Math" w:hAnsi="Cambria Math" w:cs="Times New Roman"/>
            </w:rPr>
            <m:t>n</m:t>
          </m:r>
          <m:r>
            <m:rPr>
              <m:nor/>
            </m:rPr>
            <w:rPr>
              <w:rFonts w:ascii="Times New Roman" w:hAnsi="Times New Roman" w:cs="Times New Roman"/>
              <w:i/>
            </w:rPr>
            <m:t xml:space="preserve"> </m:t>
          </m:r>
          <m:r>
            <m:rPr>
              <m:nor/>
            </m:rPr>
            <w:rPr>
              <w:rFonts w:ascii="Times New Roman" w:hAnsi="Times New Roman" w:cs="Times New Roman"/>
            </w:rPr>
            <m:t xml:space="preserve">= </m:t>
          </m:r>
          <m:f>
            <m:fPr>
              <m:ctrlPr>
                <w:rPr>
                  <w:rFonts w:ascii="Cambria Math" w:hAnsi="Cambria Math" w:cs="Times New Roman"/>
                  <w:i/>
                </w:rPr>
              </m:ctrlPr>
            </m:fPr>
            <m:num>
              <m:r>
                <w:rPr>
                  <w:rFonts w:ascii="Cambria Math" w:hAnsi="Cambria Math" w:cs="Times New Roman"/>
                </w:rPr>
                <m:t>156,593</m:t>
              </m:r>
            </m:num>
            <m:den>
              <m:r>
                <w:rPr>
                  <w:rFonts w:ascii="Cambria Math" w:hAnsi="Cambria Math" w:cs="Times New Roman"/>
                </w:rPr>
                <m:t xml:space="preserve">1+156,593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0.05</m:t>
                      </m:r>
                    </m:e>
                  </m:d>
                </m:e>
                <m:sup>
                  <m:r>
                    <w:rPr>
                      <w:rFonts w:ascii="Cambria Math" w:hAnsi="Cambria Math" w:cs="Times New Roman"/>
                    </w:rPr>
                    <m:t>2</m:t>
                  </m:r>
                </m:sup>
              </m:sSup>
            </m:den>
          </m:f>
        </m:oMath>
      </m:oMathPara>
    </w:p>
    <w:p w14:paraId="715F9CB7" w14:textId="77777777" w:rsidR="00F47351" w:rsidRDefault="00F47351" w:rsidP="00F47351">
      <w:pPr>
        <w:spacing w:line="480" w:lineRule="auto"/>
        <w:jc w:val="both"/>
        <w:rPr>
          <w:rFonts w:ascii="Times New Roman" w:hAnsi="Times New Roman" w:cs="Times New Roman"/>
        </w:rPr>
      </w:pPr>
      <m:oMathPara>
        <m:oMathParaPr>
          <m:jc m:val="left"/>
        </m:oMathParaPr>
        <m:oMath>
          <m:r>
            <m:rPr>
              <m:scr m:val="script"/>
            </m:rPr>
            <w:rPr>
              <w:rFonts w:ascii="Cambria Math" w:hAnsi="Cambria Math"/>
            </w:rPr>
            <w:lastRenderedPageBreak/>
            <m:t>n</m:t>
          </m:r>
          <m:r>
            <m:rPr>
              <m:nor/>
            </m:rPr>
            <w:rPr>
              <w:i/>
            </w:rPr>
            <m:t xml:space="preserve"> </m:t>
          </m:r>
          <m:r>
            <m:rPr>
              <m:nor/>
            </m:rPr>
            <m:t xml:space="preserve">= </m:t>
          </m:r>
          <m:f>
            <m:fPr>
              <m:ctrlPr>
                <w:rPr>
                  <w:rFonts w:ascii="Cambria Math" w:hAnsi="Cambria Math"/>
                  <w:i/>
                </w:rPr>
              </m:ctrlPr>
            </m:fPr>
            <m:num>
              <m:r>
                <w:rPr>
                  <w:rFonts w:ascii="Cambria Math" w:hAnsi="Cambria Math" w:cs="Times New Roman"/>
                </w:rPr>
                <m:t>156,593</m:t>
              </m:r>
            </m:num>
            <m:den>
              <m:r>
                <w:rPr>
                  <w:rFonts w:ascii="Cambria Math" w:hAnsi="Cambria Math"/>
                </w:rPr>
                <m:t>1+</m:t>
              </m:r>
              <m:r>
                <w:rPr>
                  <w:rFonts w:ascii="Cambria Math" w:hAnsi="Cambria Math" w:cs="Times New Roman"/>
                </w:rPr>
                <m:t>156,593</m:t>
              </m:r>
              <m:r>
                <w:rPr>
                  <w:rFonts w:ascii="Cambria Math" w:hAnsi="Cambria Math"/>
                </w:rPr>
                <m:t xml:space="preserve"> (0.0025)</m:t>
              </m:r>
            </m:den>
          </m:f>
        </m:oMath>
      </m:oMathPara>
    </w:p>
    <w:p w14:paraId="7C0C13E2" w14:textId="77777777" w:rsidR="00F47351" w:rsidRDefault="00F47351" w:rsidP="00F47351">
      <w:pPr>
        <w:spacing w:line="480" w:lineRule="auto"/>
        <w:jc w:val="both"/>
        <w:rPr>
          <w:rFonts w:ascii="Times New Roman" w:hAnsi="Times New Roman" w:cs="Times New Roman"/>
        </w:rPr>
      </w:pPr>
      <m:oMathPara>
        <m:oMathParaPr>
          <m:jc m:val="left"/>
        </m:oMathParaPr>
        <m:oMath>
          <m:r>
            <m:rPr>
              <m:scr m:val="script"/>
            </m:rPr>
            <w:rPr>
              <w:rFonts w:ascii="Cambria Math" w:hAnsi="Cambria Math"/>
            </w:rPr>
            <m:t>n</m:t>
          </m:r>
          <m:r>
            <m:rPr>
              <m:nor/>
            </m:rPr>
            <w:rPr>
              <w:i/>
            </w:rPr>
            <m:t xml:space="preserve"> </m:t>
          </m:r>
          <m:r>
            <m:rPr>
              <m:nor/>
            </m:rPr>
            <m:t xml:space="preserve">= </m:t>
          </m:r>
          <m:f>
            <m:fPr>
              <m:ctrlPr>
                <w:rPr>
                  <w:rFonts w:ascii="Cambria Math" w:hAnsi="Cambria Math"/>
                  <w:i/>
                </w:rPr>
              </m:ctrlPr>
            </m:fPr>
            <m:num>
              <m:r>
                <w:rPr>
                  <w:rFonts w:ascii="Cambria Math" w:hAnsi="Cambria Math" w:cs="Times New Roman"/>
                </w:rPr>
                <m:t>156,593</m:t>
              </m:r>
            </m:num>
            <m:den>
              <m:r>
                <w:rPr>
                  <w:rFonts w:ascii="Cambria Math" w:hAnsi="Cambria Math"/>
                </w:rPr>
                <m:t>1+391.4825</m:t>
              </m:r>
            </m:den>
          </m:f>
        </m:oMath>
      </m:oMathPara>
    </w:p>
    <w:p w14:paraId="7663CB98" w14:textId="77777777" w:rsidR="00F47351" w:rsidRDefault="00F47351" w:rsidP="00F47351">
      <w:pPr>
        <w:spacing w:line="480" w:lineRule="auto"/>
        <w:jc w:val="both"/>
        <w:rPr>
          <w:rFonts w:ascii="Times New Roman" w:hAnsi="Times New Roman" w:cs="Times New Roman"/>
        </w:rPr>
      </w:pPr>
      <m:oMathPara>
        <m:oMathParaPr>
          <m:jc m:val="left"/>
        </m:oMathParaPr>
        <m:oMath>
          <m:r>
            <m:rPr>
              <m:scr m:val="script"/>
            </m:rPr>
            <w:rPr>
              <w:rFonts w:ascii="Cambria Math" w:hAnsi="Cambria Math" w:cs="Times New Roman"/>
            </w:rPr>
            <m:t>n</m:t>
          </m:r>
          <m:r>
            <m:rPr>
              <m:nor/>
            </m:rPr>
            <w:rPr>
              <w:rFonts w:ascii="Times New Roman" w:hAnsi="Times New Roman" w:cs="Times New Roman"/>
              <w:i/>
            </w:rPr>
            <m:t xml:space="preserve"> </m:t>
          </m:r>
          <m:r>
            <m:rPr>
              <m:nor/>
            </m:rPr>
            <w:rPr>
              <w:rFonts w:ascii="Times New Roman" w:hAnsi="Times New Roman" w:cs="Times New Roman"/>
            </w:rPr>
            <m:t xml:space="preserve">= </m:t>
          </m:r>
          <m:f>
            <m:fPr>
              <m:ctrlPr>
                <w:rPr>
                  <w:rFonts w:ascii="Cambria Math" w:hAnsi="Cambria Math" w:cs="Times New Roman"/>
                  <w:i/>
                </w:rPr>
              </m:ctrlPr>
            </m:fPr>
            <m:num>
              <m:r>
                <w:rPr>
                  <w:rFonts w:ascii="Cambria Math" w:hAnsi="Cambria Math" w:cs="Times New Roman"/>
                </w:rPr>
                <m:t>156,593</m:t>
              </m:r>
            </m:num>
            <m:den>
              <m:r>
                <w:rPr>
                  <w:rFonts w:ascii="Cambria Math" w:hAnsi="Cambria Math" w:cs="Times New Roman"/>
                </w:rPr>
                <m:t>392.4825</m:t>
              </m:r>
            </m:den>
          </m:f>
        </m:oMath>
      </m:oMathPara>
    </w:p>
    <w:p w14:paraId="6D868838" w14:textId="77777777" w:rsidR="00F47351" w:rsidRDefault="00F47351" w:rsidP="00F47351">
      <w:pPr>
        <w:spacing w:line="480" w:lineRule="auto"/>
        <w:rPr>
          <w:rFonts w:ascii="Times New Roman" w:hAnsi="Times New Roman" w:cs="Times New Roman"/>
        </w:rPr>
      </w:pPr>
      <w:r>
        <w:rPr>
          <w:rFonts w:ascii="Times New Roman" w:hAnsi="Times New Roman" w:cs="Times New Roman"/>
          <w:i/>
        </w:rPr>
        <w:t>n</w:t>
      </w:r>
      <w:r>
        <w:rPr>
          <w:rFonts w:ascii="Times New Roman" w:hAnsi="Times New Roman" w:cs="Times New Roman"/>
        </w:rPr>
        <w:t xml:space="preserve"> = 399.98</w:t>
      </w:r>
    </w:p>
    <w:p w14:paraId="3B24DF89" w14:textId="2F766693" w:rsidR="00F47351" w:rsidRPr="00F47351" w:rsidRDefault="00F47351" w:rsidP="00F47351">
      <w:pPr>
        <w:spacing w:line="480" w:lineRule="auto"/>
        <w:rPr>
          <w:rFonts w:ascii="Times New Roman" w:hAnsi="Times New Roman" w:cs="Times New Roman"/>
          <w:b/>
        </w:rPr>
      </w:pPr>
      <w:r>
        <w:rPr>
          <w:rFonts w:ascii="Times New Roman" w:hAnsi="Times New Roman" w:cs="Times New Roman"/>
          <w:i/>
        </w:rPr>
        <w:t>n</w:t>
      </w:r>
      <w:r>
        <w:rPr>
          <w:rFonts w:ascii="Times New Roman" w:hAnsi="Times New Roman" w:cs="Times New Roman"/>
        </w:rPr>
        <w:t xml:space="preserve"> ≈ </w:t>
      </w:r>
      <w:r w:rsidRPr="00F47351">
        <w:rPr>
          <w:rFonts w:ascii="Times New Roman" w:hAnsi="Times New Roman" w:cs="Times New Roman"/>
          <w:bCs/>
        </w:rPr>
        <w:t>399 respondents.</w:t>
      </w:r>
    </w:p>
    <w:p w14:paraId="7583E9E4" w14:textId="748DADB2" w:rsidR="00837505" w:rsidRPr="00FA79A3" w:rsidRDefault="00837505" w:rsidP="00837505">
      <w:pPr>
        <w:spacing w:line="360" w:lineRule="auto"/>
        <w:jc w:val="both"/>
        <w:rPr>
          <w:rFonts w:ascii="Times New Roman" w:hAnsi="Times New Roman" w:cs="Times New Roman"/>
        </w:rPr>
      </w:pPr>
      <w:r w:rsidRPr="00FA79A3">
        <w:rPr>
          <w:rFonts w:ascii="Times New Roman" w:hAnsi="Times New Roman" w:cs="Times New Roman"/>
        </w:rPr>
        <w:t>A multi-stage sampling technique was employed. First, the study area was stratified into neighbo</w:t>
      </w:r>
      <w:r w:rsidR="00F47351">
        <w:rPr>
          <w:rFonts w:ascii="Times New Roman" w:hAnsi="Times New Roman" w:cs="Times New Roman"/>
        </w:rPr>
        <w:t>u</w:t>
      </w:r>
      <w:r w:rsidRPr="00FA79A3">
        <w:rPr>
          <w:rFonts w:ascii="Times New Roman" w:hAnsi="Times New Roman" w:cs="Times New Roman"/>
        </w:rPr>
        <w:t>rhoods (clusters). Second, households within each cluster were selected using systematic random sampling at a fixed interval. Additionally, purposive sampling was used to select key informants, including water vendors, community leaders, and relevant officials.</w:t>
      </w:r>
    </w:p>
    <w:p w14:paraId="12611F6D" w14:textId="1A924BFE" w:rsidR="00921FFD" w:rsidRPr="00921FFD" w:rsidRDefault="00921FFD" w:rsidP="00921FFD">
      <w:pPr>
        <w:pStyle w:val="Heading1"/>
        <w:spacing w:after="0" w:line="240" w:lineRule="auto"/>
        <w:rPr>
          <w:rFonts w:ascii="Times New Roman" w:hAnsi="Times New Roman" w:cs="Times New Roman"/>
          <w:color w:val="auto"/>
          <w:sz w:val="24"/>
          <w:szCs w:val="24"/>
        </w:rPr>
      </w:pPr>
      <w:bookmarkStart w:id="0" w:name="_Toc223258345"/>
      <w:bookmarkStart w:id="1" w:name="_Toc223258609"/>
      <w:r w:rsidRPr="00921FFD">
        <w:rPr>
          <w:rFonts w:ascii="Times New Roman" w:hAnsi="Times New Roman" w:cs="Times New Roman"/>
          <w:color w:val="auto"/>
          <w:sz w:val="24"/>
          <w:szCs w:val="24"/>
        </w:rPr>
        <w:t>Table 1: Sample Size for Cluster Areas or Neighbourhoods</w:t>
      </w:r>
      <w:bookmarkEnd w:id="0"/>
      <w:bookmarkEnd w:id="1"/>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603"/>
        <w:gridCol w:w="1750"/>
        <w:gridCol w:w="1345"/>
        <w:gridCol w:w="2346"/>
      </w:tblGrid>
      <w:tr w:rsidR="00921FFD" w14:paraId="27D89C04" w14:textId="77777777" w:rsidTr="00921FFD">
        <w:tc>
          <w:tcPr>
            <w:tcW w:w="482" w:type="dxa"/>
            <w:tcBorders>
              <w:top w:val="single" w:sz="4" w:space="0" w:color="auto"/>
              <w:bottom w:val="single" w:sz="4" w:space="0" w:color="auto"/>
            </w:tcBorders>
          </w:tcPr>
          <w:p w14:paraId="32FF53A4"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S/N</w:t>
            </w:r>
          </w:p>
        </w:tc>
        <w:tc>
          <w:tcPr>
            <w:tcW w:w="2603" w:type="dxa"/>
            <w:tcBorders>
              <w:top w:val="single" w:sz="4" w:space="0" w:color="auto"/>
              <w:bottom w:val="single" w:sz="4" w:space="0" w:color="auto"/>
            </w:tcBorders>
          </w:tcPr>
          <w:p w14:paraId="08389984"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Sample Cluster Area</w:t>
            </w:r>
          </w:p>
        </w:tc>
        <w:tc>
          <w:tcPr>
            <w:tcW w:w="1750" w:type="dxa"/>
            <w:tcBorders>
              <w:top w:val="single" w:sz="4" w:space="0" w:color="auto"/>
              <w:bottom w:val="single" w:sz="4" w:space="0" w:color="auto"/>
            </w:tcBorders>
          </w:tcPr>
          <w:p w14:paraId="7E6615BF"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Population</w:t>
            </w:r>
          </w:p>
        </w:tc>
        <w:tc>
          <w:tcPr>
            <w:tcW w:w="1345" w:type="dxa"/>
            <w:tcBorders>
              <w:top w:val="single" w:sz="4" w:space="0" w:color="auto"/>
              <w:bottom w:val="single" w:sz="4" w:space="0" w:color="auto"/>
            </w:tcBorders>
          </w:tcPr>
          <w:p w14:paraId="2D5D3474"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Percentage</w:t>
            </w:r>
          </w:p>
        </w:tc>
        <w:tc>
          <w:tcPr>
            <w:tcW w:w="2346" w:type="dxa"/>
            <w:tcBorders>
              <w:top w:val="single" w:sz="4" w:space="0" w:color="auto"/>
              <w:bottom w:val="single" w:sz="4" w:space="0" w:color="auto"/>
            </w:tcBorders>
          </w:tcPr>
          <w:p w14:paraId="6BB2078D"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Allocated Sample Size</w:t>
            </w:r>
          </w:p>
        </w:tc>
      </w:tr>
      <w:tr w:rsidR="00921FFD" w14:paraId="41F50D10" w14:textId="77777777" w:rsidTr="00921FFD">
        <w:tc>
          <w:tcPr>
            <w:tcW w:w="482" w:type="dxa"/>
            <w:tcBorders>
              <w:top w:val="single" w:sz="4" w:space="0" w:color="auto"/>
            </w:tcBorders>
          </w:tcPr>
          <w:p w14:paraId="3BE61F98"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w:t>
            </w:r>
          </w:p>
        </w:tc>
        <w:tc>
          <w:tcPr>
            <w:tcW w:w="2603" w:type="dxa"/>
            <w:tcBorders>
              <w:top w:val="single" w:sz="4" w:space="0" w:color="auto"/>
            </w:tcBorders>
          </w:tcPr>
          <w:p w14:paraId="0656D168"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Yara</w:t>
            </w:r>
          </w:p>
        </w:tc>
        <w:tc>
          <w:tcPr>
            <w:tcW w:w="1750" w:type="dxa"/>
            <w:tcBorders>
              <w:top w:val="single" w:sz="4" w:space="0" w:color="auto"/>
            </w:tcBorders>
          </w:tcPr>
          <w:p w14:paraId="4BAC2553"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28,187</w:t>
            </w:r>
          </w:p>
        </w:tc>
        <w:tc>
          <w:tcPr>
            <w:tcW w:w="1345" w:type="dxa"/>
            <w:tcBorders>
              <w:top w:val="single" w:sz="4" w:space="0" w:color="auto"/>
            </w:tcBorders>
          </w:tcPr>
          <w:p w14:paraId="2620B0E1"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18</w:t>
            </w:r>
          </w:p>
        </w:tc>
        <w:tc>
          <w:tcPr>
            <w:tcW w:w="2346" w:type="dxa"/>
            <w:tcBorders>
              <w:top w:val="single" w:sz="4" w:space="0" w:color="auto"/>
            </w:tcBorders>
          </w:tcPr>
          <w:p w14:paraId="4F2E6567"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72</w:t>
            </w:r>
          </w:p>
        </w:tc>
      </w:tr>
      <w:tr w:rsidR="00921FFD" w14:paraId="71B77F75" w14:textId="77777777" w:rsidTr="00921FFD">
        <w:tc>
          <w:tcPr>
            <w:tcW w:w="482" w:type="dxa"/>
          </w:tcPr>
          <w:p w14:paraId="7103072F"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2</w:t>
            </w:r>
          </w:p>
        </w:tc>
        <w:tc>
          <w:tcPr>
            <w:tcW w:w="2603" w:type="dxa"/>
          </w:tcPr>
          <w:p w14:paraId="1C379741"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Tudun Kofa</w:t>
            </w:r>
          </w:p>
        </w:tc>
        <w:tc>
          <w:tcPr>
            <w:tcW w:w="1750" w:type="dxa"/>
          </w:tcPr>
          <w:p w14:paraId="1BB251C9"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23,489</w:t>
            </w:r>
          </w:p>
        </w:tc>
        <w:tc>
          <w:tcPr>
            <w:tcW w:w="1345" w:type="dxa"/>
          </w:tcPr>
          <w:p w14:paraId="22F85633"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15</w:t>
            </w:r>
          </w:p>
        </w:tc>
        <w:tc>
          <w:tcPr>
            <w:tcW w:w="2346" w:type="dxa"/>
          </w:tcPr>
          <w:p w14:paraId="2C0FB5A0"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60</w:t>
            </w:r>
          </w:p>
        </w:tc>
      </w:tr>
      <w:tr w:rsidR="00921FFD" w14:paraId="0F068331" w14:textId="77777777" w:rsidTr="00921FFD">
        <w:tc>
          <w:tcPr>
            <w:tcW w:w="482" w:type="dxa"/>
          </w:tcPr>
          <w:p w14:paraId="27A19E85"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3</w:t>
            </w:r>
          </w:p>
        </w:tc>
        <w:tc>
          <w:tcPr>
            <w:tcW w:w="2603" w:type="dxa"/>
          </w:tcPr>
          <w:p w14:paraId="7E4B2742" w14:textId="77777777" w:rsidR="00921FFD" w:rsidRPr="00921FFD" w:rsidRDefault="00921FFD" w:rsidP="006C3A92">
            <w:pPr>
              <w:jc w:val="both"/>
              <w:rPr>
                <w:rFonts w:ascii="Times New Roman" w:hAnsi="Times New Roman" w:cs="Times New Roman"/>
                <w:bCs/>
              </w:rPr>
            </w:pPr>
            <w:proofErr w:type="spellStart"/>
            <w:r w:rsidRPr="00921FFD">
              <w:rPr>
                <w:rFonts w:ascii="Times New Roman" w:hAnsi="Times New Roman" w:cs="Times New Roman"/>
                <w:bCs/>
              </w:rPr>
              <w:t>Gangaren</w:t>
            </w:r>
            <w:proofErr w:type="spellEnd"/>
            <w:r w:rsidRPr="00921FFD">
              <w:rPr>
                <w:rFonts w:ascii="Times New Roman" w:hAnsi="Times New Roman" w:cs="Times New Roman"/>
                <w:bCs/>
              </w:rPr>
              <w:t xml:space="preserve"> Tudu</w:t>
            </w:r>
          </w:p>
        </w:tc>
        <w:tc>
          <w:tcPr>
            <w:tcW w:w="1750" w:type="dxa"/>
          </w:tcPr>
          <w:p w14:paraId="242E121A"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18,791</w:t>
            </w:r>
          </w:p>
        </w:tc>
        <w:tc>
          <w:tcPr>
            <w:tcW w:w="1345" w:type="dxa"/>
          </w:tcPr>
          <w:p w14:paraId="1679447E"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12</w:t>
            </w:r>
          </w:p>
        </w:tc>
        <w:tc>
          <w:tcPr>
            <w:tcW w:w="2346" w:type="dxa"/>
          </w:tcPr>
          <w:p w14:paraId="45454F78"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48</w:t>
            </w:r>
          </w:p>
        </w:tc>
      </w:tr>
      <w:tr w:rsidR="00921FFD" w14:paraId="2051E025" w14:textId="77777777" w:rsidTr="00921FFD">
        <w:tc>
          <w:tcPr>
            <w:tcW w:w="482" w:type="dxa"/>
          </w:tcPr>
          <w:p w14:paraId="07E3A50D"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4</w:t>
            </w:r>
          </w:p>
        </w:tc>
        <w:tc>
          <w:tcPr>
            <w:tcW w:w="2603" w:type="dxa"/>
          </w:tcPr>
          <w:p w14:paraId="433FAAAE" w14:textId="77777777" w:rsidR="00921FFD" w:rsidRPr="00921FFD" w:rsidRDefault="00921FFD" w:rsidP="006C3A92">
            <w:pPr>
              <w:jc w:val="both"/>
              <w:rPr>
                <w:rFonts w:ascii="Times New Roman" w:hAnsi="Times New Roman" w:cs="Times New Roman"/>
                <w:bCs/>
              </w:rPr>
            </w:pPr>
            <w:proofErr w:type="spellStart"/>
            <w:r w:rsidRPr="00921FFD">
              <w:rPr>
                <w:rFonts w:ascii="Times New Roman" w:hAnsi="Times New Roman" w:cs="Times New Roman"/>
                <w:bCs/>
              </w:rPr>
              <w:t>Kofar</w:t>
            </w:r>
            <w:proofErr w:type="spellEnd"/>
            <w:r w:rsidRPr="00921FFD">
              <w:rPr>
                <w:rFonts w:ascii="Times New Roman" w:hAnsi="Times New Roman" w:cs="Times New Roman"/>
                <w:bCs/>
              </w:rPr>
              <w:t xml:space="preserve"> Goriya</w:t>
            </w:r>
          </w:p>
        </w:tc>
        <w:tc>
          <w:tcPr>
            <w:tcW w:w="1750" w:type="dxa"/>
          </w:tcPr>
          <w:p w14:paraId="7C83AF92"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15,659</w:t>
            </w:r>
          </w:p>
        </w:tc>
        <w:tc>
          <w:tcPr>
            <w:tcW w:w="1345" w:type="dxa"/>
          </w:tcPr>
          <w:p w14:paraId="62F3767D"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10</w:t>
            </w:r>
          </w:p>
        </w:tc>
        <w:tc>
          <w:tcPr>
            <w:tcW w:w="2346" w:type="dxa"/>
          </w:tcPr>
          <w:p w14:paraId="31157C64"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40</w:t>
            </w:r>
          </w:p>
        </w:tc>
      </w:tr>
      <w:tr w:rsidR="00921FFD" w14:paraId="0ACB1261" w14:textId="77777777" w:rsidTr="00921FFD">
        <w:tc>
          <w:tcPr>
            <w:tcW w:w="482" w:type="dxa"/>
          </w:tcPr>
          <w:p w14:paraId="0010C0CA"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5</w:t>
            </w:r>
          </w:p>
        </w:tc>
        <w:tc>
          <w:tcPr>
            <w:tcW w:w="2603" w:type="dxa"/>
          </w:tcPr>
          <w:p w14:paraId="1DC0B497" w14:textId="77777777" w:rsidR="00921FFD" w:rsidRPr="00921FFD" w:rsidRDefault="00921FFD" w:rsidP="006C3A92">
            <w:pPr>
              <w:jc w:val="both"/>
              <w:rPr>
                <w:rFonts w:ascii="Times New Roman" w:hAnsi="Times New Roman" w:cs="Times New Roman"/>
                <w:bCs/>
              </w:rPr>
            </w:pPr>
            <w:proofErr w:type="spellStart"/>
            <w:r w:rsidRPr="00921FFD">
              <w:rPr>
                <w:rFonts w:ascii="Times New Roman" w:hAnsi="Times New Roman" w:cs="Times New Roman"/>
                <w:bCs/>
              </w:rPr>
              <w:t>Angwan</w:t>
            </w:r>
            <w:proofErr w:type="spellEnd"/>
            <w:r w:rsidRPr="00921FFD">
              <w:rPr>
                <w:rFonts w:ascii="Times New Roman" w:hAnsi="Times New Roman" w:cs="Times New Roman"/>
                <w:bCs/>
              </w:rPr>
              <w:t xml:space="preserve"> Rimi</w:t>
            </w:r>
          </w:p>
        </w:tc>
        <w:tc>
          <w:tcPr>
            <w:tcW w:w="1750" w:type="dxa"/>
          </w:tcPr>
          <w:p w14:paraId="04DCC8F8"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17,225</w:t>
            </w:r>
          </w:p>
        </w:tc>
        <w:tc>
          <w:tcPr>
            <w:tcW w:w="1345" w:type="dxa"/>
          </w:tcPr>
          <w:p w14:paraId="2516977B"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11</w:t>
            </w:r>
          </w:p>
        </w:tc>
        <w:tc>
          <w:tcPr>
            <w:tcW w:w="2346" w:type="dxa"/>
          </w:tcPr>
          <w:p w14:paraId="6EBE04CD"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44</w:t>
            </w:r>
          </w:p>
        </w:tc>
      </w:tr>
      <w:tr w:rsidR="00921FFD" w14:paraId="1E647EEE" w14:textId="77777777" w:rsidTr="00921FFD">
        <w:tc>
          <w:tcPr>
            <w:tcW w:w="482" w:type="dxa"/>
          </w:tcPr>
          <w:p w14:paraId="2B8CC7EA"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6</w:t>
            </w:r>
          </w:p>
        </w:tc>
        <w:tc>
          <w:tcPr>
            <w:tcW w:w="2603" w:type="dxa"/>
          </w:tcPr>
          <w:p w14:paraId="52DE2A15" w14:textId="77777777" w:rsidR="00921FFD" w:rsidRPr="00921FFD" w:rsidRDefault="00921FFD" w:rsidP="006C3A92">
            <w:pPr>
              <w:jc w:val="both"/>
              <w:rPr>
                <w:rFonts w:ascii="Times New Roman" w:hAnsi="Times New Roman" w:cs="Times New Roman"/>
                <w:bCs/>
              </w:rPr>
            </w:pPr>
            <w:proofErr w:type="spellStart"/>
            <w:r w:rsidRPr="00921FFD">
              <w:rPr>
                <w:rFonts w:ascii="Times New Roman" w:hAnsi="Times New Roman" w:cs="Times New Roman"/>
                <w:bCs/>
              </w:rPr>
              <w:t>Kofar</w:t>
            </w:r>
            <w:proofErr w:type="spellEnd"/>
            <w:r w:rsidRPr="00921FFD">
              <w:rPr>
                <w:rFonts w:ascii="Times New Roman" w:hAnsi="Times New Roman" w:cs="Times New Roman"/>
                <w:bCs/>
              </w:rPr>
              <w:t xml:space="preserve"> Hausa</w:t>
            </w:r>
          </w:p>
        </w:tc>
        <w:tc>
          <w:tcPr>
            <w:tcW w:w="1750" w:type="dxa"/>
          </w:tcPr>
          <w:p w14:paraId="30014BCF"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14,093</w:t>
            </w:r>
          </w:p>
        </w:tc>
        <w:tc>
          <w:tcPr>
            <w:tcW w:w="1345" w:type="dxa"/>
          </w:tcPr>
          <w:p w14:paraId="3CC6186B"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9</w:t>
            </w:r>
          </w:p>
        </w:tc>
        <w:tc>
          <w:tcPr>
            <w:tcW w:w="2346" w:type="dxa"/>
          </w:tcPr>
          <w:p w14:paraId="16A3A102"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36</w:t>
            </w:r>
          </w:p>
        </w:tc>
      </w:tr>
      <w:tr w:rsidR="00921FFD" w14:paraId="543EC5E0" w14:textId="77777777" w:rsidTr="00921FFD">
        <w:tc>
          <w:tcPr>
            <w:tcW w:w="482" w:type="dxa"/>
          </w:tcPr>
          <w:p w14:paraId="10662297"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7</w:t>
            </w:r>
          </w:p>
        </w:tc>
        <w:tc>
          <w:tcPr>
            <w:tcW w:w="2603" w:type="dxa"/>
          </w:tcPr>
          <w:p w14:paraId="3949C230"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 xml:space="preserve">Liman </w:t>
            </w:r>
            <w:proofErr w:type="spellStart"/>
            <w:r w:rsidRPr="00921FFD">
              <w:rPr>
                <w:rFonts w:ascii="Times New Roman" w:hAnsi="Times New Roman" w:cs="Times New Roman"/>
                <w:bCs/>
              </w:rPr>
              <w:t>Abaji</w:t>
            </w:r>
            <w:proofErr w:type="spellEnd"/>
          </w:p>
        </w:tc>
        <w:tc>
          <w:tcPr>
            <w:tcW w:w="1750" w:type="dxa"/>
          </w:tcPr>
          <w:p w14:paraId="5DAB8247"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18,791</w:t>
            </w:r>
          </w:p>
        </w:tc>
        <w:tc>
          <w:tcPr>
            <w:tcW w:w="1345" w:type="dxa"/>
          </w:tcPr>
          <w:p w14:paraId="17B1CBA4"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12</w:t>
            </w:r>
          </w:p>
        </w:tc>
        <w:tc>
          <w:tcPr>
            <w:tcW w:w="2346" w:type="dxa"/>
          </w:tcPr>
          <w:p w14:paraId="1ADE10FF"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48</w:t>
            </w:r>
          </w:p>
        </w:tc>
      </w:tr>
      <w:tr w:rsidR="00921FFD" w14:paraId="25F59D54" w14:textId="77777777" w:rsidTr="00921FFD">
        <w:tc>
          <w:tcPr>
            <w:tcW w:w="482" w:type="dxa"/>
          </w:tcPr>
          <w:p w14:paraId="073A07E8"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8</w:t>
            </w:r>
          </w:p>
        </w:tc>
        <w:tc>
          <w:tcPr>
            <w:tcW w:w="2603" w:type="dxa"/>
          </w:tcPr>
          <w:p w14:paraId="584E077A"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Sabon Layi</w:t>
            </w:r>
          </w:p>
        </w:tc>
        <w:tc>
          <w:tcPr>
            <w:tcW w:w="1750" w:type="dxa"/>
          </w:tcPr>
          <w:p w14:paraId="4481B600"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20,357</w:t>
            </w:r>
          </w:p>
        </w:tc>
        <w:tc>
          <w:tcPr>
            <w:tcW w:w="1345" w:type="dxa"/>
          </w:tcPr>
          <w:p w14:paraId="3F30004E"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13</w:t>
            </w:r>
          </w:p>
        </w:tc>
        <w:tc>
          <w:tcPr>
            <w:tcW w:w="2346" w:type="dxa"/>
          </w:tcPr>
          <w:p w14:paraId="2F88962A"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51</w:t>
            </w:r>
          </w:p>
        </w:tc>
      </w:tr>
      <w:tr w:rsidR="00921FFD" w14:paraId="0659E3B0" w14:textId="77777777" w:rsidTr="00921FFD">
        <w:tc>
          <w:tcPr>
            <w:tcW w:w="482" w:type="dxa"/>
            <w:tcBorders>
              <w:bottom w:val="single" w:sz="4" w:space="0" w:color="auto"/>
            </w:tcBorders>
          </w:tcPr>
          <w:p w14:paraId="5AA171B6" w14:textId="77777777" w:rsidR="00921FFD" w:rsidRPr="00921FFD" w:rsidRDefault="00921FFD" w:rsidP="006C3A92">
            <w:pPr>
              <w:jc w:val="both"/>
              <w:rPr>
                <w:rFonts w:ascii="Times New Roman" w:hAnsi="Times New Roman" w:cs="Times New Roman"/>
                <w:bCs/>
              </w:rPr>
            </w:pPr>
          </w:p>
        </w:tc>
        <w:tc>
          <w:tcPr>
            <w:tcW w:w="2603" w:type="dxa"/>
            <w:tcBorders>
              <w:bottom w:val="single" w:sz="4" w:space="0" w:color="auto"/>
            </w:tcBorders>
          </w:tcPr>
          <w:p w14:paraId="7E9436EB"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TOTAL</w:t>
            </w:r>
          </w:p>
        </w:tc>
        <w:tc>
          <w:tcPr>
            <w:tcW w:w="1750" w:type="dxa"/>
            <w:tcBorders>
              <w:bottom w:val="single" w:sz="4" w:space="0" w:color="auto"/>
            </w:tcBorders>
          </w:tcPr>
          <w:p w14:paraId="170BD37A"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156,593</w:t>
            </w:r>
          </w:p>
        </w:tc>
        <w:tc>
          <w:tcPr>
            <w:tcW w:w="1345" w:type="dxa"/>
            <w:tcBorders>
              <w:bottom w:val="single" w:sz="4" w:space="0" w:color="auto"/>
            </w:tcBorders>
          </w:tcPr>
          <w:p w14:paraId="3BBCBDC5"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100</w:t>
            </w:r>
          </w:p>
        </w:tc>
        <w:tc>
          <w:tcPr>
            <w:tcW w:w="2346" w:type="dxa"/>
            <w:tcBorders>
              <w:bottom w:val="single" w:sz="4" w:space="0" w:color="auto"/>
            </w:tcBorders>
          </w:tcPr>
          <w:p w14:paraId="52C90F39"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399</w:t>
            </w:r>
          </w:p>
        </w:tc>
      </w:tr>
    </w:tbl>
    <w:p w14:paraId="4314DCA3" w14:textId="77777777" w:rsidR="00921FFD" w:rsidRDefault="00921FFD" w:rsidP="00837505">
      <w:pPr>
        <w:spacing w:line="360" w:lineRule="auto"/>
        <w:jc w:val="both"/>
        <w:rPr>
          <w:rFonts w:ascii="Times New Roman" w:hAnsi="Times New Roman" w:cs="Times New Roman"/>
          <w:b/>
          <w:bCs/>
        </w:rPr>
      </w:pPr>
    </w:p>
    <w:p w14:paraId="60B0C53D" w14:textId="4F4FCA68" w:rsidR="00837505" w:rsidRP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t>Data Collection</w:t>
      </w:r>
    </w:p>
    <w:p w14:paraId="788BA746" w14:textId="77777777" w:rsidR="00837505" w:rsidRPr="00FA79A3" w:rsidRDefault="00837505" w:rsidP="00837505">
      <w:pPr>
        <w:spacing w:line="360" w:lineRule="auto"/>
        <w:jc w:val="both"/>
        <w:rPr>
          <w:rFonts w:ascii="Times New Roman" w:hAnsi="Times New Roman" w:cs="Times New Roman"/>
        </w:rPr>
      </w:pPr>
      <w:r w:rsidRPr="00FA79A3">
        <w:rPr>
          <w:rFonts w:ascii="Times New Roman" w:hAnsi="Times New Roman" w:cs="Times New Roman"/>
        </w:rPr>
        <w:t>A mixed-methods approach combining quantitative and qualitative techniques was adopted. Primary data were collected through structured questionnaires administered to household heads. Supplementary information was obtained through field observation and key informant interviews to capture insights on water supply systems and challenges.</w:t>
      </w:r>
    </w:p>
    <w:p w14:paraId="787C6A71" w14:textId="77777777" w:rsidR="00921FFD" w:rsidRDefault="00921FFD" w:rsidP="00837505">
      <w:pPr>
        <w:spacing w:line="360" w:lineRule="auto"/>
        <w:jc w:val="both"/>
        <w:rPr>
          <w:rFonts w:ascii="Times New Roman" w:hAnsi="Times New Roman" w:cs="Times New Roman"/>
          <w:b/>
          <w:bCs/>
        </w:rPr>
      </w:pPr>
    </w:p>
    <w:p w14:paraId="716A1076" w14:textId="77777777" w:rsidR="00921FFD" w:rsidRDefault="00921FFD" w:rsidP="00837505">
      <w:pPr>
        <w:spacing w:line="360" w:lineRule="auto"/>
        <w:jc w:val="both"/>
        <w:rPr>
          <w:rFonts w:ascii="Times New Roman" w:hAnsi="Times New Roman" w:cs="Times New Roman"/>
          <w:b/>
          <w:bCs/>
        </w:rPr>
      </w:pPr>
    </w:p>
    <w:p w14:paraId="209D1AC6" w14:textId="580C7825" w:rsidR="00837505" w:rsidRP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t>Data Analysis</w:t>
      </w:r>
    </w:p>
    <w:p w14:paraId="53E7C165" w14:textId="2C215A25" w:rsidR="00837505" w:rsidRPr="00FA79A3" w:rsidRDefault="00837505" w:rsidP="004E318A">
      <w:pPr>
        <w:spacing w:line="360" w:lineRule="auto"/>
        <w:jc w:val="both"/>
        <w:rPr>
          <w:rFonts w:ascii="Times New Roman" w:hAnsi="Times New Roman" w:cs="Times New Roman"/>
        </w:rPr>
      </w:pPr>
      <w:r w:rsidRPr="00FA79A3">
        <w:rPr>
          <w:rFonts w:ascii="Times New Roman" w:hAnsi="Times New Roman" w:cs="Times New Roman"/>
        </w:rPr>
        <w:t>Data were analy</w:t>
      </w:r>
      <w:r w:rsidR="00FA79A3">
        <w:rPr>
          <w:rFonts w:ascii="Times New Roman" w:hAnsi="Times New Roman" w:cs="Times New Roman"/>
        </w:rPr>
        <w:t>s</w:t>
      </w:r>
      <w:r w:rsidRPr="00FA79A3">
        <w:rPr>
          <w:rFonts w:ascii="Times New Roman" w:hAnsi="Times New Roman" w:cs="Times New Roman"/>
        </w:rPr>
        <w:t>ed using both descriptive and inferential statistical methods. Descriptive statistics (frequencies, percentages, and means) were used to summarize household characteristics and water access indicators. Inferential statistics, including chi-square tests, Spearman correlation, and multiple regression analysis, were used to examine relationships between socioeconomic factors and water accessibility. Results were presented using tables and charts for clarity.</w:t>
      </w:r>
    </w:p>
    <w:p w14:paraId="031C667F" w14:textId="49CD61A8"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Results</w:t>
      </w:r>
    </w:p>
    <w:p w14:paraId="7B310259" w14:textId="29449E71" w:rsidR="00837505" w:rsidRPr="004E318A" w:rsidRDefault="00837505" w:rsidP="00837505">
      <w:pPr>
        <w:spacing w:line="360" w:lineRule="auto"/>
        <w:jc w:val="both"/>
        <w:rPr>
          <w:rFonts w:ascii="Times New Roman" w:hAnsi="Times New Roman" w:cs="Times New Roman"/>
          <w:b/>
          <w:bCs/>
        </w:rPr>
      </w:pPr>
      <w:r w:rsidRPr="004E318A">
        <w:rPr>
          <w:rFonts w:ascii="Times New Roman" w:hAnsi="Times New Roman" w:cs="Times New Roman"/>
          <w:b/>
          <w:bCs/>
        </w:rPr>
        <w:t>Socioeconomic Characteristics of Respondents</w:t>
      </w:r>
    </w:p>
    <w:p w14:paraId="223405D2" w14:textId="0BE28CE5" w:rsidR="00837505" w:rsidRPr="004E318A" w:rsidRDefault="00837505" w:rsidP="00837505">
      <w:pPr>
        <w:spacing w:line="360" w:lineRule="auto"/>
        <w:jc w:val="both"/>
        <w:rPr>
          <w:rFonts w:ascii="Times New Roman" w:hAnsi="Times New Roman" w:cs="Times New Roman"/>
        </w:rPr>
      </w:pPr>
      <w:r w:rsidRPr="004E318A">
        <w:rPr>
          <w:rFonts w:ascii="Times New Roman" w:hAnsi="Times New Roman" w:cs="Times New Roman"/>
        </w:rPr>
        <w:t xml:space="preserve">The socioeconomic characteristics of respondents are presented in Table </w:t>
      </w:r>
      <w:r w:rsidR="00921FFD">
        <w:rPr>
          <w:rFonts w:ascii="Times New Roman" w:hAnsi="Times New Roman" w:cs="Times New Roman"/>
        </w:rPr>
        <w:t>2</w:t>
      </w:r>
      <w:r w:rsidRPr="004E318A">
        <w:rPr>
          <w:rFonts w:ascii="Times New Roman" w:hAnsi="Times New Roman" w:cs="Times New Roman"/>
        </w:rPr>
        <w:t>. Males constituted 51.8% of respondents, while females represented 48.2%. The largest age group was 31–40 years (37.2%). Most respondents possessed secondary education (38.7%), while civil servants accounted for the largest occupational category (31.4%).</w:t>
      </w:r>
    </w:p>
    <w:p w14:paraId="40D01BEF" w14:textId="59DF24E0" w:rsidR="00837505" w:rsidRPr="004E318A" w:rsidRDefault="00837505" w:rsidP="00837505">
      <w:pPr>
        <w:spacing w:after="0" w:line="240" w:lineRule="auto"/>
        <w:jc w:val="both"/>
        <w:rPr>
          <w:rFonts w:ascii="Times New Roman" w:hAnsi="Times New Roman" w:cs="Times New Roman"/>
        </w:rPr>
      </w:pPr>
      <w:r w:rsidRPr="004E318A">
        <w:rPr>
          <w:rFonts w:ascii="Times New Roman" w:hAnsi="Times New Roman" w:cs="Times New Roman"/>
        </w:rPr>
        <w:t xml:space="preserve">Table </w:t>
      </w:r>
      <w:r w:rsidR="00921FFD">
        <w:rPr>
          <w:rFonts w:ascii="Times New Roman" w:hAnsi="Times New Roman" w:cs="Times New Roman"/>
        </w:rPr>
        <w:t>2</w:t>
      </w:r>
      <w:r w:rsidRPr="004E318A">
        <w:rPr>
          <w:rFonts w:ascii="Times New Roman" w:hAnsi="Times New Roman" w:cs="Times New Roman"/>
        </w:rPr>
        <w:t>. Socioeconomic Characteristics of Respondents</w:t>
      </w:r>
    </w:p>
    <w:tbl>
      <w:tblPr>
        <w:tblW w:w="9411" w:type="dxa"/>
        <w:tblCellSpacing w:w="15" w:type="dxa"/>
        <w:tblCellMar>
          <w:top w:w="15" w:type="dxa"/>
          <w:left w:w="15" w:type="dxa"/>
          <w:bottom w:w="15" w:type="dxa"/>
          <w:right w:w="15" w:type="dxa"/>
        </w:tblCellMar>
        <w:tblLook w:val="04A0" w:firstRow="1" w:lastRow="0" w:firstColumn="1" w:lastColumn="0" w:noHBand="0" w:noVBand="1"/>
      </w:tblPr>
      <w:tblGrid>
        <w:gridCol w:w="2341"/>
        <w:gridCol w:w="3108"/>
        <w:gridCol w:w="1622"/>
        <w:gridCol w:w="2340"/>
      </w:tblGrid>
      <w:tr w:rsidR="00837505" w:rsidRPr="004E318A" w14:paraId="52ED9F9C" w14:textId="77777777" w:rsidTr="00BB66FB">
        <w:trPr>
          <w:trHeight w:val="174"/>
          <w:tblHeader/>
          <w:tblCellSpacing w:w="15" w:type="dxa"/>
        </w:trPr>
        <w:tc>
          <w:tcPr>
            <w:tcW w:w="0" w:type="auto"/>
            <w:tcBorders>
              <w:top w:val="single" w:sz="4" w:space="0" w:color="auto"/>
              <w:bottom w:val="single" w:sz="4" w:space="0" w:color="auto"/>
            </w:tcBorders>
            <w:vAlign w:val="center"/>
            <w:hideMark/>
          </w:tcPr>
          <w:p w14:paraId="0ACC8714"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Variable</w:t>
            </w:r>
          </w:p>
        </w:tc>
        <w:tc>
          <w:tcPr>
            <w:tcW w:w="0" w:type="auto"/>
            <w:tcBorders>
              <w:top w:val="single" w:sz="4" w:space="0" w:color="auto"/>
              <w:bottom w:val="single" w:sz="4" w:space="0" w:color="auto"/>
            </w:tcBorders>
            <w:vAlign w:val="center"/>
            <w:hideMark/>
          </w:tcPr>
          <w:p w14:paraId="6366C94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Category</w:t>
            </w:r>
          </w:p>
        </w:tc>
        <w:tc>
          <w:tcPr>
            <w:tcW w:w="0" w:type="auto"/>
            <w:tcBorders>
              <w:top w:val="single" w:sz="4" w:space="0" w:color="auto"/>
              <w:bottom w:val="single" w:sz="4" w:space="0" w:color="auto"/>
            </w:tcBorders>
            <w:vAlign w:val="center"/>
            <w:hideMark/>
          </w:tcPr>
          <w:p w14:paraId="79449FC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Frequency</w:t>
            </w:r>
          </w:p>
        </w:tc>
        <w:tc>
          <w:tcPr>
            <w:tcW w:w="0" w:type="auto"/>
            <w:tcBorders>
              <w:top w:val="single" w:sz="4" w:space="0" w:color="auto"/>
              <w:bottom w:val="single" w:sz="4" w:space="0" w:color="auto"/>
            </w:tcBorders>
            <w:vAlign w:val="center"/>
            <w:hideMark/>
          </w:tcPr>
          <w:p w14:paraId="58B2803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Percentage (%)</w:t>
            </w:r>
          </w:p>
        </w:tc>
      </w:tr>
      <w:tr w:rsidR="00837505" w:rsidRPr="004E318A" w14:paraId="0CD024E1" w14:textId="77777777" w:rsidTr="00BB66FB">
        <w:trPr>
          <w:trHeight w:val="174"/>
          <w:tblCellSpacing w:w="15" w:type="dxa"/>
        </w:trPr>
        <w:tc>
          <w:tcPr>
            <w:tcW w:w="0" w:type="auto"/>
            <w:vAlign w:val="center"/>
            <w:hideMark/>
          </w:tcPr>
          <w:p w14:paraId="01111784"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Gender</w:t>
            </w:r>
          </w:p>
        </w:tc>
        <w:tc>
          <w:tcPr>
            <w:tcW w:w="0" w:type="auto"/>
            <w:vAlign w:val="center"/>
            <w:hideMark/>
          </w:tcPr>
          <w:p w14:paraId="07BFCF64"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Male</w:t>
            </w:r>
          </w:p>
        </w:tc>
        <w:tc>
          <w:tcPr>
            <w:tcW w:w="0" w:type="auto"/>
            <w:vAlign w:val="center"/>
            <w:hideMark/>
          </w:tcPr>
          <w:p w14:paraId="6483D7CA"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198</w:t>
            </w:r>
          </w:p>
        </w:tc>
        <w:tc>
          <w:tcPr>
            <w:tcW w:w="0" w:type="auto"/>
            <w:vAlign w:val="center"/>
            <w:hideMark/>
          </w:tcPr>
          <w:p w14:paraId="30FA4905"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51.8</w:t>
            </w:r>
          </w:p>
        </w:tc>
      </w:tr>
      <w:tr w:rsidR="00837505" w:rsidRPr="004E318A" w14:paraId="07E647A5" w14:textId="77777777" w:rsidTr="00BB66FB">
        <w:trPr>
          <w:trHeight w:val="174"/>
          <w:tblCellSpacing w:w="15" w:type="dxa"/>
        </w:trPr>
        <w:tc>
          <w:tcPr>
            <w:tcW w:w="0" w:type="auto"/>
            <w:vAlign w:val="center"/>
            <w:hideMark/>
          </w:tcPr>
          <w:p w14:paraId="282379F9"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740AFBB4"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Female</w:t>
            </w:r>
          </w:p>
        </w:tc>
        <w:tc>
          <w:tcPr>
            <w:tcW w:w="0" w:type="auto"/>
            <w:vAlign w:val="center"/>
            <w:hideMark/>
          </w:tcPr>
          <w:p w14:paraId="646715B6"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184</w:t>
            </w:r>
          </w:p>
        </w:tc>
        <w:tc>
          <w:tcPr>
            <w:tcW w:w="0" w:type="auto"/>
            <w:vAlign w:val="center"/>
            <w:hideMark/>
          </w:tcPr>
          <w:p w14:paraId="61B8C18E"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48.2</w:t>
            </w:r>
          </w:p>
        </w:tc>
      </w:tr>
      <w:tr w:rsidR="00837505" w:rsidRPr="004E318A" w14:paraId="2793F169" w14:textId="77777777" w:rsidTr="00BB66FB">
        <w:trPr>
          <w:trHeight w:val="174"/>
          <w:tblCellSpacing w:w="15" w:type="dxa"/>
        </w:trPr>
        <w:tc>
          <w:tcPr>
            <w:tcW w:w="0" w:type="auto"/>
            <w:vAlign w:val="center"/>
            <w:hideMark/>
          </w:tcPr>
          <w:p w14:paraId="28573D5D"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Age</w:t>
            </w:r>
          </w:p>
        </w:tc>
        <w:tc>
          <w:tcPr>
            <w:tcW w:w="0" w:type="auto"/>
            <w:vAlign w:val="center"/>
            <w:hideMark/>
          </w:tcPr>
          <w:p w14:paraId="35D9EA02"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Below 20</w:t>
            </w:r>
          </w:p>
        </w:tc>
        <w:tc>
          <w:tcPr>
            <w:tcW w:w="0" w:type="auto"/>
            <w:vAlign w:val="center"/>
            <w:hideMark/>
          </w:tcPr>
          <w:p w14:paraId="03F324AC"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28</w:t>
            </w:r>
          </w:p>
        </w:tc>
        <w:tc>
          <w:tcPr>
            <w:tcW w:w="0" w:type="auto"/>
            <w:vAlign w:val="center"/>
            <w:hideMark/>
          </w:tcPr>
          <w:p w14:paraId="21D29B13"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7.3</w:t>
            </w:r>
          </w:p>
        </w:tc>
      </w:tr>
      <w:tr w:rsidR="00837505" w:rsidRPr="004E318A" w14:paraId="66FE8A30" w14:textId="77777777" w:rsidTr="00BB66FB">
        <w:trPr>
          <w:trHeight w:val="174"/>
          <w:tblCellSpacing w:w="15" w:type="dxa"/>
        </w:trPr>
        <w:tc>
          <w:tcPr>
            <w:tcW w:w="0" w:type="auto"/>
            <w:vAlign w:val="center"/>
            <w:hideMark/>
          </w:tcPr>
          <w:p w14:paraId="71A103E3"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491F04E4"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21–30</w:t>
            </w:r>
          </w:p>
        </w:tc>
        <w:tc>
          <w:tcPr>
            <w:tcW w:w="0" w:type="auto"/>
            <w:vAlign w:val="center"/>
            <w:hideMark/>
          </w:tcPr>
          <w:p w14:paraId="460B682F"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88</w:t>
            </w:r>
          </w:p>
        </w:tc>
        <w:tc>
          <w:tcPr>
            <w:tcW w:w="0" w:type="auto"/>
            <w:vAlign w:val="center"/>
            <w:hideMark/>
          </w:tcPr>
          <w:p w14:paraId="3EA8A63F"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23.0</w:t>
            </w:r>
          </w:p>
        </w:tc>
      </w:tr>
      <w:tr w:rsidR="00837505" w:rsidRPr="004E318A" w14:paraId="5A253D59" w14:textId="77777777" w:rsidTr="00BB66FB">
        <w:trPr>
          <w:trHeight w:val="174"/>
          <w:tblCellSpacing w:w="15" w:type="dxa"/>
        </w:trPr>
        <w:tc>
          <w:tcPr>
            <w:tcW w:w="0" w:type="auto"/>
            <w:vAlign w:val="center"/>
            <w:hideMark/>
          </w:tcPr>
          <w:p w14:paraId="4E084255"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2DE58A20"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31–40</w:t>
            </w:r>
          </w:p>
        </w:tc>
        <w:tc>
          <w:tcPr>
            <w:tcW w:w="0" w:type="auto"/>
            <w:vAlign w:val="center"/>
            <w:hideMark/>
          </w:tcPr>
          <w:p w14:paraId="59F0BFE5"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142</w:t>
            </w:r>
          </w:p>
        </w:tc>
        <w:tc>
          <w:tcPr>
            <w:tcW w:w="0" w:type="auto"/>
            <w:vAlign w:val="center"/>
            <w:hideMark/>
          </w:tcPr>
          <w:p w14:paraId="03FE9EF8"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37.2</w:t>
            </w:r>
          </w:p>
        </w:tc>
      </w:tr>
      <w:tr w:rsidR="00837505" w:rsidRPr="004E318A" w14:paraId="358F09EF" w14:textId="77777777" w:rsidTr="00BB66FB">
        <w:trPr>
          <w:trHeight w:val="174"/>
          <w:tblCellSpacing w:w="15" w:type="dxa"/>
        </w:trPr>
        <w:tc>
          <w:tcPr>
            <w:tcW w:w="0" w:type="auto"/>
            <w:vAlign w:val="center"/>
            <w:hideMark/>
          </w:tcPr>
          <w:p w14:paraId="61AF7471"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23130F95"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41–50</w:t>
            </w:r>
          </w:p>
        </w:tc>
        <w:tc>
          <w:tcPr>
            <w:tcW w:w="0" w:type="auto"/>
            <w:vAlign w:val="center"/>
            <w:hideMark/>
          </w:tcPr>
          <w:p w14:paraId="2D499CA0"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78</w:t>
            </w:r>
          </w:p>
        </w:tc>
        <w:tc>
          <w:tcPr>
            <w:tcW w:w="0" w:type="auto"/>
            <w:vAlign w:val="center"/>
            <w:hideMark/>
          </w:tcPr>
          <w:p w14:paraId="7C0A6343"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20.4</w:t>
            </w:r>
          </w:p>
        </w:tc>
      </w:tr>
      <w:tr w:rsidR="00837505" w:rsidRPr="004E318A" w14:paraId="02BA9395" w14:textId="77777777" w:rsidTr="00BB66FB">
        <w:trPr>
          <w:trHeight w:val="174"/>
          <w:tblCellSpacing w:w="15" w:type="dxa"/>
        </w:trPr>
        <w:tc>
          <w:tcPr>
            <w:tcW w:w="0" w:type="auto"/>
            <w:vAlign w:val="center"/>
            <w:hideMark/>
          </w:tcPr>
          <w:p w14:paraId="4B7CF4C2"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13C695A3"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Above 50</w:t>
            </w:r>
          </w:p>
        </w:tc>
        <w:tc>
          <w:tcPr>
            <w:tcW w:w="0" w:type="auto"/>
            <w:vAlign w:val="center"/>
            <w:hideMark/>
          </w:tcPr>
          <w:p w14:paraId="44675BEA"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46</w:t>
            </w:r>
          </w:p>
        </w:tc>
        <w:tc>
          <w:tcPr>
            <w:tcW w:w="0" w:type="auto"/>
            <w:vAlign w:val="center"/>
            <w:hideMark/>
          </w:tcPr>
          <w:p w14:paraId="4C3E07B5"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12.1</w:t>
            </w:r>
          </w:p>
        </w:tc>
      </w:tr>
      <w:tr w:rsidR="00837505" w:rsidRPr="004E318A" w14:paraId="630D9771" w14:textId="77777777" w:rsidTr="00BB66FB">
        <w:trPr>
          <w:trHeight w:val="174"/>
          <w:tblCellSpacing w:w="15" w:type="dxa"/>
        </w:trPr>
        <w:tc>
          <w:tcPr>
            <w:tcW w:w="0" w:type="auto"/>
            <w:vAlign w:val="center"/>
            <w:hideMark/>
          </w:tcPr>
          <w:p w14:paraId="4ABC7306"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Education</w:t>
            </w:r>
          </w:p>
        </w:tc>
        <w:tc>
          <w:tcPr>
            <w:tcW w:w="0" w:type="auto"/>
            <w:vAlign w:val="center"/>
            <w:hideMark/>
          </w:tcPr>
          <w:p w14:paraId="3A959A5A"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No formal education</w:t>
            </w:r>
          </w:p>
        </w:tc>
        <w:tc>
          <w:tcPr>
            <w:tcW w:w="0" w:type="auto"/>
            <w:vAlign w:val="center"/>
            <w:hideMark/>
          </w:tcPr>
          <w:p w14:paraId="184F5221"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34</w:t>
            </w:r>
          </w:p>
        </w:tc>
        <w:tc>
          <w:tcPr>
            <w:tcW w:w="0" w:type="auto"/>
            <w:vAlign w:val="center"/>
            <w:hideMark/>
          </w:tcPr>
          <w:p w14:paraId="360E70E3"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8.9</w:t>
            </w:r>
          </w:p>
        </w:tc>
      </w:tr>
      <w:tr w:rsidR="00837505" w:rsidRPr="004E318A" w14:paraId="0D29DDCE" w14:textId="77777777" w:rsidTr="00BB66FB">
        <w:trPr>
          <w:trHeight w:val="174"/>
          <w:tblCellSpacing w:w="15" w:type="dxa"/>
        </w:trPr>
        <w:tc>
          <w:tcPr>
            <w:tcW w:w="0" w:type="auto"/>
            <w:vAlign w:val="center"/>
            <w:hideMark/>
          </w:tcPr>
          <w:p w14:paraId="1B77C83C"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5D4954C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Primary</w:t>
            </w:r>
          </w:p>
        </w:tc>
        <w:tc>
          <w:tcPr>
            <w:tcW w:w="0" w:type="auto"/>
            <w:vAlign w:val="center"/>
            <w:hideMark/>
          </w:tcPr>
          <w:p w14:paraId="61462BDC"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66</w:t>
            </w:r>
          </w:p>
        </w:tc>
        <w:tc>
          <w:tcPr>
            <w:tcW w:w="0" w:type="auto"/>
            <w:vAlign w:val="center"/>
            <w:hideMark/>
          </w:tcPr>
          <w:p w14:paraId="5C0D8165"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17.3</w:t>
            </w:r>
          </w:p>
        </w:tc>
      </w:tr>
      <w:tr w:rsidR="00837505" w:rsidRPr="004E318A" w14:paraId="4A0F1D94" w14:textId="77777777" w:rsidTr="00BB66FB">
        <w:trPr>
          <w:trHeight w:val="174"/>
          <w:tblCellSpacing w:w="15" w:type="dxa"/>
        </w:trPr>
        <w:tc>
          <w:tcPr>
            <w:tcW w:w="0" w:type="auto"/>
            <w:vAlign w:val="center"/>
            <w:hideMark/>
          </w:tcPr>
          <w:p w14:paraId="1A2EE0B6"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136F546D"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Secondary</w:t>
            </w:r>
          </w:p>
        </w:tc>
        <w:tc>
          <w:tcPr>
            <w:tcW w:w="0" w:type="auto"/>
            <w:vAlign w:val="center"/>
            <w:hideMark/>
          </w:tcPr>
          <w:p w14:paraId="310696D1"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148</w:t>
            </w:r>
          </w:p>
        </w:tc>
        <w:tc>
          <w:tcPr>
            <w:tcW w:w="0" w:type="auto"/>
            <w:vAlign w:val="center"/>
            <w:hideMark/>
          </w:tcPr>
          <w:p w14:paraId="64D492C3"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38.7</w:t>
            </w:r>
          </w:p>
        </w:tc>
      </w:tr>
      <w:tr w:rsidR="00837505" w:rsidRPr="004E318A" w14:paraId="17786CF8" w14:textId="77777777" w:rsidTr="00BB66FB">
        <w:trPr>
          <w:trHeight w:val="174"/>
          <w:tblCellSpacing w:w="15" w:type="dxa"/>
        </w:trPr>
        <w:tc>
          <w:tcPr>
            <w:tcW w:w="0" w:type="auto"/>
            <w:vAlign w:val="center"/>
            <w:hideMark/>
          </w:tcPr>
          <w:p w14:paraId="40EE8F55"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1AFD7E2E"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Tertiary</w:t>
            </w:r>
          </w:p>
        </w:tc>
        <w:tc>
          <w:tcPr>
            <w:tcW w:w="0" w:type="auto"/>
            <w:vAlign w:val="center"/>
            <w:hideMark/>
          </w:tcPr>
          <w:p w14:paraId="09DE7D6F"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134</w:t>
            </w:r>
          </w:p>
        </w:tc>
        <w:tc>
          <w:tcPr>
            <w:tcW w:w="0" w:type="auto"/>
            <w:vAlign w:val="center"/>
            <w:hideMark/>
          </w:tcPr>
          <w:p w14:paraId="377ED32E"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35.1</w:t>
            </w:r>
          </w:p>
        </w:tc>
      </w:tr>
      <w:tr w:rsidR="00837505" w:rsidRPr="004E318A" w14:paraId="5839DCA6" w14:textId="77777777" w:rsidTr="00BB66FB">
        <w:trPr>
          <w:trHeight w:val="174"/>
          <w:tblCellSpacing w:w="15" w:type="dxa"/>
        </w:trPr>
        <w:tc>
          <w:tcPr>
            <w:tcW w:w="0" w:type="auto"/>
            <w:vAlign w:val="center"/>
            <w:hideMark/>
          </w:tcPr>
          <w:p w14:paraId="01F93718"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Occupation</w:t>
            </w:r>
          </w:p>
        </w:tc>
        <w:tc>
          <w:tcPr>
            <w:tcW w:w="0" w:type="auto"/>
            <w:vAlign w:val="center"/>
            <w:hideMark/>
          </w:tcPr>
          <w:p w14:paraId="50C354C1"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Civil servant</w:t>
            </w:r>
          </w:p>
        </w:tc>
        <w:tc>
          <w:tcPr>
            <w:tcW w:w="0" w:type="auto"/>
            <w:vAlign w:val="center"/>
            <w:hideMark/>
          </w:tcPr>
          <w:p w14:paraId="7097636D"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120</w:t>
            </w:r>
          </w:p>
        </w:tc>
        <w:tc>
          <w:tcPr>
            <w:tcW w:w="0" w:type="auto"/>
            <w:vAlign w:val="center"/>
            <w:hideMark/>
          </w:tcPr>
          <w:p w14:paraId="7ACE525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31.4</w:t>
            </w:r>
          </w:p>
        </w:tc>
      </w:tr>
      <w:tr w:rsidR="00837505" w:rsidRPr="004E318A" w14:paraId="6DE6BE1E" w14:textId="77777777" w:rsidTr="00BB66FB">
        <w:trPr>
          <w:trHeight w:val="174"/>
          <w:tblCellSpacing w:w="15" w:type="dxa"/>
        </w:trPr>
        <w:tc>
          <w:tcPr>
            <w:tcW w:w="0" w:type="auto"/>
            <w:vAlign w:val="center"/>
            <w:hideMark/>
          </w:tcPr>
          <w:p w14:paraId="3ED2AEB0"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33845C5F"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Trader</w:t>
            </w:r>
          </w:p>
        </w:tc>
        <w:tc>
          <w:tcPr>
            <w:tcW w:w="0" w:type="auto"/>
            <w:vAlign w:val="center"/>
            <w:hideMark/>
          </w:tcPr>
          <w:p w14:paraId="77D87875"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98</w:t>
            </w:r>
          </w:p>
        </w:tc>
        <w:tc>
          <w:tcPr>
            <w:tcW w:w="0" w:type="auto"/>
            <w:vAlign w:val="center"/>
            <w:hideMark/>
          </w:tcPr>
          <w:p w14:paraId="46921970"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25.6</w:t>
            </w:r>
          </w:p>
        </w:tc>
      </w:tr>
      <w:tr w:rsidR="00837505" w:rsidRPr="004E318A" w14:paraId="794260F8" w14:textId="77777777" w:rsidTr="00BB66FB">
        <w:trPr>
          <w:trHeight w:val="174"/>
          <w:tblCellSpacing w:w="15" w:type="dxa"/>
        </w:trPr>
        <w:tc>
          <w:tcPr>
            <w:tcW w:w="0" w:type="auto"/>
            <w:vAlign w:val="center"/>
            <w:hideMark/>
          </w:tcPr>
          <w:p w14:paraId="48187C55"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6E66B765"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Artisan</w:t>
            </w:r>
          </w:p>
        </w:tc>
        <w:tc>
          <w:tcPr>
            <w:tcW w:w="0" w:type="auto"/>
            <w:vAlign w:val="center"/>
            <w:hideMark/>
          </w:tcPr>
          <w:p w14:paraId="75969AD2"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72</w:t>
            </w:r>
          </w:p>
        </w:tc>
        <w:tc>
          <w:tcPr>
            <w:tcW w:w="0" w:type="auto"/>
            <w:vAlign w:val="center"/>
            <w:hideMark/>
          </w:tcPr>
          <w:p w14:paraId="2DBE5151"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18.8</w:t>
            </w:r>
          </w:p>
        </w:tc>
      </w:tr>
      <w:tr w:rsidR="00837505" w:rsidRPr="004E318A" w14:paraId="5C9CF643" w14:textId="77777777" w:rsidTr="00BB66FB">
        <w:trPr>
          <w:trHeight w:val="174"/>
          <w:tblCellSpacing w:w="15" w:type="dxa"/>
        </w:trPr>
        <w:tc>
          <w:tcPr>
            <w:tcW w:w="0" w:type="auto"/>
            <w:vAlign w:val="center"/>
            <w:hideMark/>
          </w:tcPr>
          <w:p w14:paraId="028F146A"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460EE5F9"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Student</w:t>
            </w:r>
          </w:p>
        </w:tc>
        <w:tc>
          <w:tcPr>
            <w:tcW w:w="0" w:type="auto"/>
            <w:vAlign w:val="center"/>
            <w:hideMark/>
          </w:tcPr>
          <w:p w14:paraId="4499558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48</w:t>
            </w:r>
          </w:p>
        </w:tc>
        <w:tc>
          <w:tcPr>
            <w:tcW w:w="0" w:type="auto"/>
            <w:vAlign w:val="center"/>
            <w:hideMark/>
          </w:tcPr>
          <w:p w14:paraId="4973053E"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12.6</w:t>
            </w:r>
          </w:p>
        </w:tc>
      </w:tr>
      <w:tr w:rsidR="00837505" w:rsidRPr="004E318A" w14:paraId="25DC8AFB" w14:textId="77777777" w:rsidTr="00BB66FB">
        <w:trPr>
          <w:trHeight w:val="174"/>
          <w:tblCellSpacing w:w="15" w:type="dxa"/>
        </w:trPr>
        <w:tc>
          <w:tcPr>
            <w:tcW w:w="0" w:type="auto"/>
            <w:vAlign w:val="center"/>
            <w:hideMark/>
          </w:tcPr>
          <w:p w14:paraId="0CA040E9"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7AE6D294"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Unemployed/Others</w:t>
            </w:r>
          </w:p>
        </w:tc>
        <w:tc>
          <w:tcPr>
            <w:tcW w:w="0" w:type="auto"/>
            <w:vAlign w:val="center"/>
            <w:hideMark/>
          </w:tcPr>
          <w:p w14:paraId="042970DB"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44</w:t>
            </w:r>
          </w:p>
        </w:tc>
        <w:tc>
          <w:tcPr>
            <w:tcW w:w="0" w:type="auto"/>
            <w:vAlign w:val="center"/>
            <w:hideMark/>
          </w:tcPr>
          <w:p w14:paraId="44DB230D"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11.5</w:t>
            </w:r>
          </w:p>
        </w:tc>
      </w:tr>
      <w:tr w:rsidR="00837505" w:rsidRPr="004E318A" w14:paraId="568E40ED" w14:textId="77777777" w:rsidTr="00BB66FB">
        <w:trPr>
          <w:trHeight w:val="174"/>
          <w:tblCellSpacing w:w="15" w:type="dxa"/>
        </w:trPr>
        <w:tc>
          <w:tcPr>
            <w:tcW w:w="0" w:type="auto"/>
            <w:vAlign w:val="center"/>
            <w:hideMark/>
          </w:tcPr>
          <w:p w14:paraId="18CC902F"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lastRenderedPageBreak/>
              <w:t>Income (₦)</w:t>
            </w:r>
          </w:p>
        </w:tc>
        <w:tc>
          <w:tcPr>
            <w:tcW w:w="0" w:type="auto"/>
            <w:vAlign w:val="center"/>
            <w:hideMark/>
          </w:tcPr>
          <w:p w14:paraId="7AC41C1C"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&lt;20,000</w:t>
            </w:r>
          </w:p>
        </w:tc>
        <w:tc>
          <w:tcPr>
            <w:tcW w:w="0" w:type="auto"/>
            <w:vAlign w:val="center"/>
            <w:hideMark/>
          </w:tcPr>
          <w:p w14:paraId="5077517C"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86</w:t>
            </w:r>
          </w:p>
        </w:tc>
        <w:tc>
          <w:tcPr>
            <w:tcW w:w="0" w:type="auto"/>
            <w:vAlign w:val="center"/>
            <w:hideMark/>
          </w:tcPr>
          <w:p w14:paraId="0C7DF0DF"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22.5</w:t>
            </w:r>
          </w:p>
        </w:tc>
      </w:tr>
      <w:tr w:rsidR="00837505" w:rsidRPr="004E318A" w14:paraId="66671CCF" w14:textId="77777777" w:rsidTr="00BB66FB">
        <w:trPr>
          <w:trHeight w:val="174"/>
          <w:tblCellSpacing w:w="15" w:type="dxa"/>
        </w:trPr>
        <w:tc>
          <w:tcPr>
            <w:tcW w:w="0" w:type="auto"/>
            <w:vAlign w:val="center"/>
            <w:hideMark/>
          </w:tcPr>
          <w:p w14:paraId="2A5D9A7E"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63FC97CE"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20,000–49,999</w:t>
            </w:r>
          </w:p>
        </w:tc>
        <w:tc>
          <w:tcPr>
            <w:tcW w:w="0" w:type="auto"/>
            <w:vAlign w:val="center"/>
            <w:hideMark/>
          </w:tcPr>
          <w:p w14:paraId="6C58B75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144</w:t>
            </w:r>
          </w:p>
        </w:tc>
        <w:tc>
          <w:tcPr>
            <w:tcW w:w="0" w:type="auto"/>
            <w:vAlign w:val="center"/>
            <w:hideMark/>
          </w:tcPr>
          <w:p w14:paraId="227E67F6"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37.7</w:t>
            </w:r>
          </w:p>
        </w:tc>
      </w:tr>
      <w:tr w:rsidR="00837505" w:rsidRPr="004E318A" w14:paraId="4038BACF" w14:textId="77777777" w:rsidTr="00BB66FB">
        <w:trPr>
          <w:trHeight w:val="174"/>
          <w:tblCellSpacing w:w="15" w:type="dxa"/>
        </w:trPr>
        <w:tc>
          <w:tcPr>
            <w:tcW w:w="0" w:type="auto"/>
            <w:vAlign w:val="center"/>
            <w:hideMark/>
          </w:tcPr>
          <w:p w14:paraId="1CC9263D"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6BCCC15B"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50,000–99,999</w:t>
            </w:r>
          </w:p>
        </w:tc>
        <w:tc>
          <w:tcPr>
            <w:tcW w:w="0" w:type="auto"/>
            <w:vAlign w:val="center"/>
            <w:hideMark/>
          </w:tcPr>
          <w:p w14:paraId="2922C00A"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104</w:t>
            </w:r>
          </w:p>
        </w:tc>
        <w:tc>
          <w:tcPr>
            <w:tcW w:w="0" w:type="auto"/>
            <w:vAlign w:val="center"/>
            <w:hideMark/>
          </w:tcPr>
          <w:p w14:paraId="352DFC6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27.2</w:t>
            </w:r>
          </w:p>
        </w:tc>
      </w:tr>
      <w:tr w:rsidR="00837505" w:rsidRPr="004E318A" w14:paraId="6E6F9921" w14:textId="77777777" w:rsidTr="00BB66FB">
        <w:trPr>
          <w:trHeight w:val="174"/>
          <w:tblCellSpacing w:w="15" w:type="dxa"/>
        </w:trPr>
        <w:tc>
          <w:tcPr>
            <w:tcW w:w="0" w:type="auto"/>
            <w:vAlign w:val="center"/>
            <w:hideMark/>
          </w:tcPr>
          <w:p w14:paraId="5B63644D"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0F0BB44B"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≥100,000</w:t>
            </w:r>
          </w:p>
        </w:tc>
        <w:tc>
          <w:tcPr>
            <w:tcW w:w="0" w:type="auto"/>
            <w:vAlign w:val="center"/>
            <w:hideMark/>
          </w:tcPr>
          <w:p w14:paraId="4F105E50"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48</w:t>
            </w:r>
          </w:p>
        </w:tc>
        <w:tc>
          <w:tcPr>
            <w:tcW w:w="0" w:type="auto"/>
            <w:vAlign w:val="center"/>
            <w:hideMark/>
          </w:tcPr>
          <w:p w14:paraId="41FEFE53"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12.6</w:t>
            </w:r>
          </w:p>
        </w:tc>
      </w:tr>
      <w:tr w:rsidR="00837505" w:rsidRPr="004E318A" w14:paraId="65C2ADBD" w14:textId="77777777" w:rsidTr="00BB66FB">
        <w:trPr>
          <w:trHeight w:val="174"/>
          <w:tblCellSpacing w:w="15" w:type="dxa"/>
        </w:trPr>
        <w:tc>
          <w:tcPr>
            <w:tcW w:w="0" w:type="auto"/>
            <w:vAlign w:val="center"/>
            <w:hideMark/>
          </w:tcPr>
          <w:p w14:paraId="4A52852B"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Household size</w:t>
            </w:r>
          </w:p>
        </w:tc>
        <w:tc>
          <w:tcPr>
            <w:tcW w:w="0" w:type="auto"/>
            <w:vAlign w:val="center"/>
            <w:hideMark/>
          </w:tcPr>
          <w:p w14:paraId="5ACB97F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1–3</w:t>
            </w:r>
          </w:p>
        </w:tc>
        <w:tc>
          <w:tcPr>
            <w:tcW w:w="0" w:type="auto"/>
            <w:vAlign w:val="center"/>
            <w:hideMark/>
          </w:tcPr>
          <w:p w14:paraId="4F91B44C"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58</w:t>
            </w:r>
          </w:p>
        </w:tc>
        <w:tc>
          <w:tcPr>
            <w:tcW w:w="0" w:type="auto"/>
            <w:vAlign w:val="center"/>
            <w:hideMark/>
          </w:tcPr>
          <w:p w14:paraId="23BEB216"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15.2</w:t>
            </w:r>
          </w:p>
        </w:tc>
      </w:tr>
      <w:tr w:rsidR="00837505" w:rsidRPr="004E318A" w14:paraId="29E8B2B3" w14:textId="77777777" w:rsidTr="00BB66FB">
        <w:trPr>
          <w:trHeight w:val="174"/>
          <w:tblCellSpacing w:w="15" w:type="dxa"/>
        </w:trPr>
        <w:tc>
          <w:tcPr>
            <w:tcW w:w="0" w:type="auto"/>
            <w:vAlign w:val="center"/>
            <w:hideMark/>
          </w:tcPr>
          <w:p w14:paraId="78900AE4"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48FEC7DC"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4–6</w:t>
            </w:r>
          </w:p>
        </w:tc>
        <w:tc>
          <w:tcPr>
            <w:tcW w:w="0" w:type="auto"/>
            <w:vAlign w:val="center"/>
            <w:hideMark/>
          </w:tcPr>
          <w:p w14:paraId="714626A6"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176</w:t>
            </w:r>
          </w:p>
        </w:tc>
        <w:tc>
          <w:tcPr>
            <w:tcW w:w="0" w:type="auto"/>
            <w:vAlign w:val="center"/>
            <w:hideMark/>
          </w:tcPr>
          <w:p w14:paraId="2B45A571"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46.1</w:t>
            </w:r>
          </w:p>
        </w:tc>
      </w:tr>
      <w:tr w:rsidR="00837505" w:rsidRPr="004E318A" w14:paraId="28F26611" w14:textId="77777777" w:rsidTr="00BB66FB">
        <w:trPr>
          <w:trHeight w:val="174"/>
          <w:tblCellSpacing w:w="15" w:type="dxa"/>
        </w:trPr>
        <w:tc>
          <w:tcPr>
            <w:tcW w:w="0" w:type="auto"/>
            <w:vAlign w:val="center"/>
            <w:hideMark/>
          </w:tcPr>
          <w:p w14:paraId="5F1C3DEA"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59801F62"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7–9</w:t>
            </w:r>
          </w:p>
        </w:tc>
        <w:tc>
          <w:tcPr>
            <w:tcW w:w="0" w:type="auto"/>
            <w:vAlign w:val="center"/>
            <w:hideMark/>
          </w:tcPr>
          <w:p w14:paraId="2340E99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112</w:t>
            </w:r>
          </w:p>
        </w:tc>
        <w:tc>
          <w:tcPr>
            <w:tcW w:w="0" w:type="auto"/>
            <w:vAlign w:val="center"/>
            <w:hideMark/>
          </w:tcPr>
          <w:p w14:paraId="0C4E0A6B"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29.3</w:t>
            </w:r>
          </w:p>
        </w:tc>
      </w:tr>
      <w:tr w:rsidR="00837505" w:rsidRPr="004E318A" w14:paraId="1DAC74A3" w14:textId="77777777" w:rsidTr="00BB66FB">
        <w:trPr>
          <w:trHeight w:val="174"/>
          <w:tblCellSpacing w:w="15" w:type="dxa"/>
        </w:trPr>
        <w:tc>
          <w:tcPr>
            <w:tcW w:w="0" w:type="auto"/>
            <w:tcBorders>
              <w:bottom w:val="single" w:sz="4" w:space="0" w:color="auto"/>
            </w:tcBorders>
            <w:vAlign w:val="center"/>
            <w:hideMark/>
          </w:tcPr>
          <w:p w14:paraId="764260AE" w14:textId="77777777" w:rsidR="00837505" w:rsidRPr="004E318A" w:rsidRDefault="00837505" w:rsidP="00BB66FB">
            <w:pPr>
              <w:spacing w:after="0" w:line="240" w:lineRule="auto"/>
              <w:jc w:val="both"/>
              <w:rPr>
                <w:rFonts w:ascii="Times New Roman" w:hAnsi="Times New Roman" w:cs="Times New Roman"/>
              </w:rPr>
            </w:pPr>
          </w:p>
        </w:tc>
        <w:tc>
          <w:tcPr>
            <w:tcW w:w="0" w:type="auto"/>
            <w:tcBorders>
              <w:bottom w:val="single" w:sz="4" w:space="0" w:color="auto"/>
            </w:tcBorders>
            <w:vAlign w:val="center"/>
            <w:hideMark/>
          </w:tcPr>
          <w:p w14:paraId="6B83F07D"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≥10</w:t>
            </w:r>
          </w:p>
        </w:tc>
        <w:tc>
          <w:tcPr>
            <w:tcW w:w="0" w:type="auto"/>
            <w:tcBorders>
              <w:bottom w:val="single" w:sz="4" w:space="0" w:color="auto"/>
            </w:tcBorders>
            <w:vAlign w:val="center"/>
            <w:hideMark/>
          </w:tcPr>
          <w:p w14:paraId="3FADE039"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36</w:t>
            </w:r>
          </w:p>
        </w:tc>
        <w:tc>
          <w:tcPr>
            <w:tcW w:w="0" w:type="auto"/>
            <w:tcBorders>
              <w:bottom w:val="single" w:sz="4" w:space="0" w:color="auto"/>
            </w:tcBorders>
            <w:vAlign w:val="center"/>
            <w:hideMark/>
          </w:tcPr>
          <w:p w14:paraId="0C7FCB71"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9.4</w:t>
            </w:r>
          </w:p>
        </w:tc>
      </w:tr>
    </w:tbl>
    <w:p w14:paraId="44B4480A" w14:textId="77777777" w:rsidR="00837505" w:rsidRDefault="00837505" w:rsidP="004E318A">
      <w:pPr>
        <w:spacing w:line="360" w:lineRule="auto"/>
        <w:jc w:val="both"/>
        <w:rPr>
          <w:rFonts w:ascii="Times New Roman" w:hAnsi="Times New Roman" w:cs="Times New Roman"/>
          <w:b/>
          <w:bCs/>
        </w:rPr>
      </w:pPr>
    </w:p>
    <w:p w14:paraId="7394DA8B" w14:textId="19B5D156"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Sources of Domestic Water Supply</w:t>
      </w:r>
    </w:p>
    <w:p w14:paraId="3091007C" w14:textId="45F181D8"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 xml:space="preserve">Table </w:t>
      </w:r>
      <w:r w:rsidR="00921FFD">
        <w:rPr>
          <w:rFonts w:ascii="Times New Roman" w:hAnsi="Times New Roman" w:cs="Times New Roman"/>
        </w:rPr>
        <w:t>3</w:t>
      </w:r>
      <w:r w:rsidRPr="004E318A">
        <w:rPr>
          <w:rFonts w:ascii="Times New Roman" w:hAnsi="Times New Roman" w:cs="Times New Roman"/>
        </w:rPr>
        <w:t xml:space="preserve"> presents the major sources of domestic water supply among households in Keffi. Boreholes constituted the dominant source, accounting for 42.9% of household water supply. Private piped connections accounted for 18.3%, while vendor, sachet, and bottled water sources contributed 16.2%. Wells supplied 11.0% of households, public standpipes accounted for 10.5%, and stream/rainwater sources represented only 1.1%.</w:t>
      </w:r>
    </w:p>
    <w:p w14:paraId="45CC5483" w14:textId="1CA5DA69" w:rsidR="004E318A" w:rsidRPr="00921FFD" w:rsidRDefault="004E318A" w:rsidP="004E318A">
      <w:pPr>
        <w:spacing w:after="0" w:line="240" w:lineRule="auto"/>
        <w:jc w:val="both"/>
        <w:rPr>
          <w:rFonts w:ascii="Times New Roman" w:hAnsi="Times New Roman" w:cs="Times New Roman"/>
        </w:rPr>
      </w:pPr>
      <w:r w:rsidRPr="00921FFD">
        <w:rPr>
          <w:rFonts w:ascii="Times New Roman" w:hAnsi="Times New Roman" w:cs="Times New Roman"/>
        </w:rPr>
        <w:t xml:space="preserve">Table </w:t>
      </w:r>
      <w:r w:rsidR="00921FFD" w:rsidRPr="00921FFD">
        <w:rPr>
          <w:rFonts w:ascii="Times New Roman" w:hAnsi="Times New Roman" w:cs="Times New Roman"/>
        </w:rPr>
        <w:t>3</w:t>
      </w:r>
      <w:r w:rsidRPr="00921FFD">
        <w:rPr>
          <w:rFonts w:ascii="Times New Roman" w:hAnsi="Times New Roman" w:cs="Times New Roman"/>
        </w:rPr>
        <w:t>. Sources of Domestic Water Supply</w:t>
      </w:r>
    </w:p>
    <w:tbl>
      <w:tblPr>
        <w:tblW w:w="9278" w:type="dxa"/>
        <w:tblCellSpacing w:w="15" w:type="dxa"/>
        <w:tblCellMar>
          <w:top w:w="15" w:type="dxa"/>
          <w:left w:w="15" w:type="dxa"/>
          <w:bottom w:w="15" w:type="dxa"/>
          <w:right w:w="15" w:type="dxa"/>
        </w:tblCellMar>
        <w:tblLook w:val="04A0" w:firstRow="1" w:lastRow="0" w:firstColumn="1" w:lastColumn="0" w:noHBand="0" w:noVBand="1"/>
      </w:tblPr>
      <w:tblGrid>
        <w:gridCol w:w="4294"/>
        <w:gridCol w:w="2041"/>
        <w:gridCol w:w="2943"/>
      </w:tblGrid>
      <w:tr w:rsidR="004E318A" w:rsidRPr="004E318A" w14:paraId="55900922" w14:textId="77777777" w:rsidTr="004E318A">
        <w:trPr>
          <w:trHeight w:val="170"/>
          <w:tblHeader/>
          <w:tblCellSpacing w:w="15" w:type="dxa"/>
        </w:trPr>
        <w:tc>
          <w:tcPr>
            <w:tcW w:w="0" w:type="auto"/>
            <w:tcBorders>
              <w:top w:val="single" w:sz="4" w:space="0" w:color="auto"/>
              <w:bottom w:val="single" w:sz="4" w:space="0" w:color="auto"/>
            </w:tcBorders>
            <w:vAlign w:val="center"/>
            <w:hideMark/>
          </w:tcPr>
          <w:p w14:paraId="4AD2F9A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Source</w:t>
            </w:r>
          </w:p>
        </w:tc>
        <w:tc>
          <w:tcPr>
            <w:tcW w:w="0" w:type="auto"/>
            <w:tcBorders>
              <w:top w:val="single" w:sz="4" w:space="0" w:color="auto"/>
              <w:bottom w:val="single" w:sz="4" w:space="0" w:color="auto"/>
            </w:tcBorders>
            <w:vAlign w:val="center"/>
            <w:hideMark/>
          </w:tcPr>
          <w:p w14:paraId="1AC09A9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Frequency</w:t>
            </w:r>
          </w:p>
        </w:tc>
        <w:tc>
          <w:tcPr>
            <w:tcW w:w="0" w:type="auto"/>
            <w:tcBorders>
              <w:top w:val="single" w:sz="4" w:space="0" w:color="auto"/>
              <w:bottom w:val="single" w:sz="4" w:space="0" w:color="auto"/>
            </w:tcBorders>
            <w:vAlign w:val="center"/>
            <w:hideMark/>
          </w:tcPr>
          <w:p w14:paraId="69F776A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Percentage (%)</w:t>
            </w:r>
          </w:p>
        </w:tc>
      </w:tr>
      <w:tr w:rsidR="004E318A" w:rsidRPr="004E318A" w14:paraId="5B5B1059" w14:textId="77777777" w:rsidTr="004E318A">
        <w:trPr>
          <w:trHeight w:val="170"/>
          <w:tblCellSpacing w:w="15" w:type="dxa"/>
        </w:trPr>
        <w:tc>
          <w:tcPr>
            <w:tcW w:w="0" w:type="auto"/>
            <w:vAlign w:val="center"/>
            <w:hideMark/>
          </w:tcPr>
          <w:p w14:paraId="11BB521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Borehole</w:t>
            </w:r>
          </w:p>
        </w:tc>
        <w:tc>
          <w:tcPr>
            <w:tcW w:w="0" w:type="auto"/>
            <w:vAlign w:val="center"/>
            <w:hideMark/>
          </w:tcPr>
          <w:p w14:paraId="5A49160B"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164</w:t>
            </w:r>
          </w:p>
        </w:tc>
        <w:tc>
          <w:tcPr>
            <w:tcW w:w="0" w:type="auto"/>
            <w:vAlign w:val="center"/>
            <w:hideMark/>
          </w:tcPr>
          <w:p w14:paraId="40DF8E1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42.9</w:t>
            </w:r>
          </w:p>
        </w:tc>
      </w:tr>
      <w:tr w:rsidR="004E318A" w:rsidRPr="004E318A" w14:paraId="48CF52D2" w14:textId="77777777" w:rsidTr="004E318A">
        <w:trPr>
          <w:trHeight w:val="170"/>
          <w:tblCellSpacing w:w="15" w:type="dxa"/>
        </w:trPr>
        <w:tc>
          <w:tcPr>
            <w:tcW w:w="0" w:type="auto"/>
            <w:vAlign w:val="center"/>
            <w:hideMark/>
          </w:tcPr>
          <w:p w14:paraId="4F8F1A2C"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Private tap (piped)</w:t>
            </w:r>
          </w:p>
        </w:tc>
        <w:tc>
          <w:tcPr>
            <w:tcW w:w="0" w:type="auto"/>
            <w:vAlign w:val="center"/>
            <w:hideMark/>
          </w:tcPr>
          <w:p w14:paraId="3FEBDCC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70</w:t>
            </w:r>
          </w:p>
        </w:tc>
        <w:tc>
          <w:tcPr>
            <w:tcW w:w="0" w:type="auto"/>
            <w:vAlign w:val="center"/>
            <w:hideMark/>
          </w:tcPr>
          <w:p w14:paraId="5681B37B"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18.3</w:t>
            </w:r>
          </w:p>
        </w:tc>
      </w:tr>
      <w:tr w:rsidR="004E318A" w:rsidRPr="004E318A" w14:paraId="61F82955" w14:textId="77777777" w:rsidTr="004E318A">
        <w:trPr>
          <w:trHeight w:val="170"/>
          <w:tblCellSpacing w:w="15" w:type="dxa"/>
        </w:trPr>
        <w:tc>
          <w:tcPr>
            <w:tcW w:w="0" w:type="auto"/>
            <w:vAlign w:val="center"/>
            <w:hideMark/>
          </w:tcPr>
          <w:p w14:paraId="54A913A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Public standpipe</w:t>
            </w:r>
          </w:p>
        </w:tc>
        <w:tc>
          <w:tcPr>
            <w:tcW w:w="0" w:type="auto"/>
            <w:vAlign w:val="center"/>
            <w:hideMark/>
          </w:tcPr>
          <w:p w14:paraId="75641E45"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40</w:t>
            </w:r>
          </w:p>
        </w:tc>
        <w:tc>
          <w:tcPr>
            <w:tcW w:w="0" w:type="auto"/>
            <w:vAlign w:val="center"/>
            <w:hideMark/>
          </w:tcPr>
          <w:p w14:paraId="1CEA4224"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10.5</w:t>
            </w:r>
          </w:p>
        </w:tc>
      </w:tr>
      <w:tr w:rsidR="004E318A" w:rsidRPr="004E318A" w14:paraId="331256CE" w14:textId="77777777" w:rsidTr="004E318A">
        <w:trPr>
          <w:trHeight w:val="170"/>
          <w:tblCellSpacing w:w="15" w:type="dxa"/>
        </w:trPr>
        <w:tc>
          <w:tcPr>
            <w:tcW w:w="0" w:type="auto"/>
            <w:vAlign w:val="center"/>
            <w:hideMark/>
          </w:tcPr>
          <w:p w14:paraId="08567BF2"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Vendor/Sachet/Bottled</w:t>
            </w:r>
          </w:p>
        </w:tc>
        <w:tc>
          <w:tcPr>
            <w:tcW w:w="0" w:type="auto"/>
            <w:vAlign w:val="center"/>
            <w:hideMark/>
          </w:tcPr>
          <w:p w14:paraId="78DDB32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62</w:t>
            </w:r>
          </w:p>
        </w:tc>
        <w:tc>
          <w:tcPr>
            <w:tcW w:w="0" w:type="auto"/>
            <w:vAlign w:val="center"/>
            <w:hideMark/>
          </w:tcPr>
          <w:p w14:paraId="6C2DC603"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16.2</w:t>
            </w:r>
          </w:p>
        </w:tc>
      </w:tr>
      <w:tr w:rsidR="004E318A" w:rsidRPr="004E318A" w14:paraId="71B17278" w14:textId="77777777" w:rsidTr="004E318A">
        <w:trPr>
          <w:trHeight w:val="170"/>
          <w:tblCellSpacing w:w="15" w:type="dxa"/>
        </w:trPr>
        <w:tc>
          <w:tcPr>
            <w:tcW w:w="0" w:type="auto"/>
            <w:vAlign w:val="center"/>
            <w:hideMark/>
          </w:tcPr>
          <w:p w14:paraId="6198DE1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Well</w:t>
            </w:r>
          </w:p>
        </w:tc>
        <w:tc>
          <w:tcPr>
            <w:tcW w:w="0" w:type="auto"/>
            <w:vAlign w:val="center"/>
            <w:hideMark/>
          </w:tcPr>
          <w:p w14:paraId="408D46F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42</w:t>
            </w:r>
          </w:p>
        </w:tc>
        <w:tc>
          <w:tcPr>
            <w:tcW w:w="0" w:type="auto"/>
            <w:vAlign w:val="center"/>
            <w:hideMark/>
          </w:tcPr>
          <w:p w14:paraId="06E74792"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11.0</w:t>
            </w:r>
          </w:p>
        </w:tc>
      </w:tr>
      <w:tr w:rsidR="004E318A" w:rsidRPr="004E318A" w14:paraId="5D4CA7B5" w14:textId="77777777" w:rsidTr="004E318A">
        <w:trPr>
          <w:trHeight w:val="170"/>
          <w:tblCellSpacing w:w="15" w:type="dxa"/>
        </w:trPr>
        <w:tc>
          <w:tcPr>
            <w:tcW w:w="0" w:type="auto"/>
            <w:vAlign w:val="center"/>
            <w:hideMark/>
          </w:tcPr>
          <w:p w14:paraId="3F815BE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Stream/Rainwater</w:t>
            </w:r>
          </w:p>
        </w:tc>
        <w:tc>
          <w:tcPr>
            <w:tcW w:w="0" w:type="auto"/>
            <w:vAlign w:val="center"/>
            <w:hideMark/>
          </w:tcPr>
          <w:p w14:paraId="60AFA5ED"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4</w:t>
            </w:r>
          </w:p>
        </w:tc>
        <w:tc>
          <w:tcPr>
            <w:tcW w:w="0" w:type="auto"/>
            <w:vAlign w:val="center"/>
            <w:hideMark/>
          </w:tcPr>
          <w:p w14:paraId="4D7D5C5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1.1</w:t>
            </w:r>
          </w:p>
        </w:tc>
      </w:tr>
      <w:tr w:rsidR="004E318A" w:rsidRPr="004E318A" w14:paraId="56F71172" w14:textId="77777777" w:rsidTr="004E318A">
        <w:trPr>
          <w:trHeight w:val="170"/>
          <w:tblCellSpacing w:w="15" w:type="dxa"/>
        </w:trPr>
        <w:tc>
          <w:tcPr>
            <w:tcW w:w="0" w:type="auto"/>
            <w:tcBorders>
              <w:bottom w:val="single" w:sz="4" w:space="0" w:color="auto"/>
            </w:tcBorders>
            <w:vAlign w:val="center"/>
            <w:hideMark/>
          </w:tcPr>
          <w:p w14:paraId="60CAC1BD"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Total</w:t>
            </w:r>
          </w:p>
        </w:tc>
        <w:tc>
          <w:tcPr>
            <w:tcW w:w="0" w:type="auto"/>
            <w:tcBorders>
              <w:bottom w:val="single" w:sz="4" w:space="0" w:color="auto"/>
            </w:tcBorders>
            <w:vAlign w:val="center"/>
            <w:hideMark/>
          </w:tcPr>
          <w:p w14:paraId="5D775A95"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382</w:t>
            </w:r>
          </w:p>
        </w:tc>
        <w:tc>
          <w:tcPr>
            <w:tcW w:w="0" w:type="auto"/>
            <w:tcBorders>
              <w:bottom w:val="single" w:sz="4" w:space="0" w:color="auto"/>
            </w:tcBorders>
            <w:vAlign w:val="center"/>
            <w:hideMark/>
          </w:tcPr>
          <w:p w14:paraId="46DAE7AF"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100</w:t>
            </w:r>
          </w:p>
        </w:tc>
      </w:tr>
    </w:tbl>
    <w:p w14:paraId="321555F6" w14:textId="77777777" w:rsidR="004E318A" w:rsidRDefault="004E318A" w:rsidP="004E318A">
      <w:pPr>
        <w:spacing w:line="360" w:lineRule="auto"/>
        <w:jc w:val="both"/>
        <w:rPr>
          <w:rFonts w:ascii="Times New Roman" w:hAnsi="Times New Roman" w:cs="Times New Roman"/>
          <w:b/>
          <w:bCs/>
        </w:rPr>
      </w:pPr>
    </w:p>
    <w:p w14:paraId="4489A054" w14:textId="29B635A1"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Distance and Time to Water Source</w:t>
      </w:r>
    </w:p>
    <w:p w14:paraId="6ED8972C" w14:textId="41E3B912"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 xml:space="preserve">The distribution of respondents according to distance and travel time to water sources is presented in Table </w:t>
      </w:r>
      <w:r w:rsidR="00921FFD">
        <w:rPr>
          <w:rFonts w:ascii="Times New Roman" w:hAnsi="Times New Roman" w:cs="Times New Roman"/>
        </w:rPr>
        <w:t>4</w:t>
      </w:r>
      <w:r w:rsidRPr="004E318A">
        <w:rPr>
          <w:rFonts w:ascii="Times New Roman" w:hAnsi="Times New Roman" w:cs="Times New Roman"/>
        </w:rPr>
        <w:t>. Approximately 31.4% of respondents accessed water sources located between 100 and 500 m from their residence, while 26.8% travelled less than 100 m. Regarding travel time, 31.9% spent between 5 and 10 minutes reaching their water source.</w:t>
      </w:r>
    </w:p>
    <w:p w14:paraId="2DB81849" w14:textId="77777777" w:rsidR="00921FFD" w:rsidRDefault="00921FFD" w:rsidP="004E318A">
      <w:pPr>
        <w:spacing w:after="0" w:line="240" w:lineRule="auto"/>
        <w:jc w:val="both"/>
        <w:rPr>
          <w:rFonts w:ascii="Times New Roman" w:hAnsi="Times New Roman" w:cs="Times New Roman"/>
        </w:rPr>
      </w:pPr>
    </w:p>
    <w:p w14:paraId="2E7CFD72" w14:textId="77777777" w:rsidR="00921FFD" w:rsidRDefault="00921FFD" w:rsidP="004E318A">
      <w:pPr>
        <w:spacing w:after="0" w:line="240" w:lineRule="auto"/>
        <w:jc w:val="both"/>
        <w:rPr>
          <w:rFonts w:ascii="Times New Roman" w:hAnsi="Times New Roman" w:cs="Times New Roman"/>
        </w:rPr>
      </w:pPr>
    </w:p>
    <w:p w14:paraId="6D81E822" w14:textId="77777777" w:rsidR="00921FFD" w:rsidRDefault="00921FFD" w:rsidP="004E318A">
      <w:pPr>
        <w:spacing w:after="0" w:line="240" w:lineRule="auto"/>
        <w:jc w:val="both"/>
        <w:rPr>
          <w:rFonts w:ascii="Times New Roman" w:hAnsi="Times New Roman" w:cs="Times New Roman"/>
        </w:rPr>
      </w:pPr>
    </w:p>
    <w:p w14:paraId="175EA972" w14:textId="77777777" w:rsidR="00921FFD" w:rsidRDefault="00921FFD" w:rsidP="004E318A">
      <w:pPr>
        <w:spacing w:after="0" w:line="240" w:lineRule="auto"/>
        <w:jc w:val="both"/>
        <w:rPr>
          <w:rFonts w:ascii="Times New Roman" w:hAnsi="Times New Roman" w:cs="Times New Roman"/>
        </w:rPr>
      </w:pPr>
    </w:p>
    <w:p w14:paraId="3488ECD6" w14:textId="77777777" w:rsidR="00921FFD" w:rsidRDefault="00921FFD" w:rsidP="004E318A">
      <w:pPr>
        <w:spacing w:after="0" w:line="240" w:lineRule="auto"/>
        <w:jc w:val="both"/>
        <w:rPr>
          <w:rFonts w:ascii="Times New Roman" w:hAnsi="Times New Roman" w:cs="Times New Roman"/>
        </w:rPr>
      </w:pPr>
    </w:p>
    <w:p w14:paraId="062C58F7" w14:textId="259732E9" w:rsidR="004E318A" w:rsidRPr="00921FFD" w:rsidRDefault="004E318A" w:rsidP="004E318A">
      <w:pPr>
        <w:spacing w:after="0" w:line="240" w:lineRule="auto"/>
        <w:jc w:val="both"/>
        <w:rPr>
          <w:rFonts w:ascii="Times New Roman" w:hAnsi="Times New Roman" w:cs="Times New Roman"/>
        </w:rPr>
      </w:pPr>
      <w:r w:rsidRPr="00921FFD">
        <w:rPr>
          <w:rFonts w:ascii="Times New Roman" w:hAnsi="Times New Roman" w:cs="Times New Roman"/>
        </w:rPr>
        <w:t xml:space="preserve">Table </w:t>
      </w:r>
      <w:r w:rsidR="00921FFD">
        <w:rPr>
          <w:rFonts w:ascii="Times New Roman" w:hAnsi="Times New Roman" w:cs="Times New Roman"/>
        </w:rPr>
        <w:t>4</w:t>
      </w:r>
      <w:r w:rsidRPr="00921FFD">
        <w:rPr>
          <w:rFonts w:ascii="Times New Roman" w:hAnsi="Times New Roman" w:cs="Times New Roman"/>
        </w:rPr>
        <w:t>. Distance and Time to Water Source</w:t>
      </w:r>
    </w:p>
    <w:tbl>
      <w:tblPr>
        <w:tblW w:w="9308" w:type="dxa"/>
        <w:tblCellSpacing w:w="15" w:type="dxa"/>
        <w:tblCellMar>
          <w:top w:w="15" w:type="dxa"/>
          <w:left w:w="15" w:type="dxa"/>
          <w:bottom w:w="15" w:type="dxa"/>
          <w:right w:w="15" w:type="dxa"/>
        </w:tblCellMar>
        <w:tblLook w:val="04A0" w:firstRow="1" w:lastRow="0" w:firstColumn="1" w:lastColumn="0" w:noHBand="0" w:noVBand="1"/>
      </w:tblPr>
      <w:tblGrid>
        <w:gridCol w:w="1962"/>
        <w:gridCol w:w="1165"/>
        <w:gridCol w:w="1667"/>
        <w:gridCol w:w="1666"/>
        <w:gridCol w:w="1166"/>
        <w:gridCol w:w="1682"/>
      </w:tblGrid>
      <w:tr w:rsidR="004E318A" w:rsidRPr="004E318A" w14:paraId="36CAA548" w14:textId="77777777" w:rsidTr="004E318A">
        <w:trPr>
          <w:trHeight w:val="170"/>
          <w:tblHeader/>
          <w:tblCellSpacing w:w="15" w:type="dxa"/>
        </w:trPr>
        <w:tc>
          <w:tcPr>
            <w:tcW w:w="0" w:type="auto"/>
            <w:tcBorders>
              <w:top w:val="single" w:sz="4" w:space="0" w:color="auto"/>
              <w:bottom w:val="single" w:sz="4" w:space="0" w:color="auto"/>
            </w:tcBorders>
            <w:vAlign w:val="center"/>
            <w:hideMark/>
          </w:tcPr>
          <w:p w14:paraId="6E5DB772"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Distance</w:t>
            </w:r>
          </w:p>
        </w:tc>
        <w:tc>
          <w:tcPr>
            <w:tcW w:w="0" w:type="auto"/>
            <w:tcBorders>
              <w:top w:val="single" w:sz="4" w:space="0" w:color="auto"/>
              <w:bottom w:val="single" w:sz="4" w:space="0" w:color="auto"/>
            </w:tcBorders>
            <w:vAlign w:val="center"/>
            <w:hideMark/>
          </w:tcPr>
          <w:p w14:paraId="1C5387B4"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Frequency</w:t>
            </w:r>
          </w:p>
        </w:tc>
        <w:tc>
          <w:tcPr>
            <w:tcW w:w="0" w:type="auto"/>
            <w:tcBorders>
              <w:top w:val="single" w:sz="4" w:space="0" w:color="auto"/>
              <w:bottom w:val="single" w:sz="4" w:space="0" w:color="auto"/>
            </w:tcBorders>
            <w:vAlign w:val="center"/>
            <w:hideMark/>
          </w:tcPr>
          <w:p w14:paraId="4B89BE76"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Percentage (%)</w:t>
            </w:r>
          </w:p>
        </w:tc>
        <w:tc>
          <w:tcPr>
            <w:tcW w:w="0" w:type="auto"/>
            <w:tcBorders>
              <w:top w:val="single" w:sz="4" w:space="0" w:color="auto"/>
              <w:bottom w:val="single" w:sz="4" w:space="0" w:color="auto"/>
            </w:tcBorders>
            <w:vAlign w:val="center"/>
            <w:hideMark/>
          </w:tcPr>
          <w:p w14:paraId="7E5C85F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Time to Source</w:t>
            </w:r>
          </w:p>
        </w:tc>
        <w:tc>
          <w:tcPr>
            <w:tcW w:w="0" w:type="auto"/>
            <w:tcBorders>
              <w:top w:val="single" w:sz="4" w:space="0" w:color="auto"/>
              <w:bottom w:val="single" w:sz="4" w:space="0" w:color="auto"/>
            </w:tcBorders>
            <w:vAlign w:val="center"/>
            <w:hideMark/>
          </w:tcPr>
          <w:p w14:paraId="3E8B368F"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Frequency</w:t>
            </w:r>
          </w:p>
        </w:tc>
        <w:tc>
          <w:tcPr>
            <w:tcW w:w="0" w:type="auto"/>
            <w:tcBorders>
              <w:top w:val="single" w:sz="4" w:space="0" w:color="auto"/>
              <w:bottom w:val="single" w:sz="4" w:space="0" w:color="auto"/>
            </w:tcBorders>
            <w:vAlign w:val="center"/>
            <w:hideMark/>
          </w:tcPr>
          <w:p w14:paraId="7DB8D4DA"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Percentage (%)</w:t>
            </w:r>
          </w:p>
        </w:tc>
      </w:tr>
      <w:tr w:rsidR="004E318A" w:rsidRPr="004E318A" w14:paraId="586CDA27" w14:textId="77777777" w:rsidTr="004E318A">
        <w:trPr>
          <w:trHeight w:val="170"/>
          <w:tblCellSpacing w:w="15" w:type="dxa"/>
        </w:trPr>
        <w:tc>
          <w:tcPr>
            <w:tcW w:w="0" w:type="auto"/>
            <w:vAlign w:val="center"/>
            <w:hideMark/>
          </w:tcPr>
          <w:p w14:paraId="17339F3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Within compound</w:t>
            </w:r>
          </w:p>
        </w:tc>
        <w:tc>
          <w:tcPr>
            <w:tcW w:w="0" w:type="auto"/>
            <w:vAlign w:val="center"/>
            <w:hideMark/>
          </w:tcPr>
          <w:p w14:paraId="326EBAB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98</w:t>
            </w:r>
          </w:p>
        </w:tc>
        <w:tc>
          <w:tcPr>
            <w:tcW w:w="0" w:type="auto"/>
            <w:vAlign w:val="center"/>
            <w:hideMark/>
          </w:tcPr>
          <w:p w14:paraId="5CFE0D3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25.7</w:t>
            </w:r>
          </w:p>
        </w:tc>
        <w:tc>
          <w:tcPr>
            <w:tcW w:w="0" w:type="auto"/>
            <w:vAlign w:val="center"/>
            <w:hideMark/>
          </w:tcPr>
          <w:p w14:paraId="194DF82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&lt; 5 min</w:t>
            </w:r>
          </w:p>
        </w:tc>
        <w:tc>
          <w:tcPr>
            <w:tcW w:w="0" w:type="auto"/>
            <w:vAlign w:val="center"/>
            <w:hideMark/>
          </w:tcPr>
          <w:p w14:paraId="5F35F61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106</w:t>
            </w:r>
          </w:p>
        </w:tc>
        <w:tc>
          <w:tcPr>
            <w:tcW w:w="0" w:type="auto"/>
            <w:vAlign w:val="center"/>
            <w:hideMark/>
          </w:tcPr>
          <w:p w14:paraId="342DB45B"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27.7</w:t>
            </w:r>
          </w:p>
        </w:tc>
      </w:tr>
      <w:tr w:rsidR="004E318A" w:rsidRPr="004E318A" w14:paraId="19C2CF45" w14:textId="77777777" w:rsidTr="004E318A">
        <w:trPr>
          <w:trHeight w:val="170"/>
          <w:tblCellSpacing w:w="15" w:type="dxa"/>
        </w:trPr>
        <w:tc>
          <w:tcPr>
            <w:tcW w:w="0" w:type="auto"/>
            <w:vAlign w:val="center"/>
            <w:hideMark/>
          </w:tcPr>
          <w:p w14:paraId="62F9F4DD"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&lt; 100 m</w:t>
            </w:r>
          </w:p>
        </w:tc>
        <w:tc>
          <w:tcPr>
            <w:tcW w:w="0" w:type="auto"/>
            <w:vAlign w:val="center"/>
            <w:hideMark/>
          </w:tcPr>
          <w:p w14:paraId="2A33B54D"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102</w:t>
            </w:r>
          </w:p>
        </w:tc>
        <w:tc>
          <w:tcPr>
            <w:tcW w:w="0" w:type="auto"/>
            <w:vAlign w:val="center"/>
            <w:hideMark/>
          </w:tcPr>
          <w:p w14:paraId="1CBF1DD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26.8</w:t>
            </w:r>
          </w:p>
        </w:tc>
        <w:tc>
          <w:tcPr>
            <w:tcW w:w="0" w:type="auto"/>
            <w:vAlign w:val="center"/>
            <w:hideMark/>
          </w:tcPr>
          <w:p w14:paraId="6AE8BD42"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5–10 min</w:t>
            </w:r>
          </w:p>
        </w:tc>
        <w:tc>
          <w:tcPr>
            <w:tcW w:w="0" w:type="auto"/>
            <w:vAlign w:val="center"/>
            <w:hideMark/>
          </w:tcPr>
          <w:p w14:paraId="7DB18C5A"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122</w:t>
            </w:r>
          </w:p>
        </w:tc>
        <w:tc>
          <w:tcPr>
            <w:tcW w:w="0" w:type="auto"/>
            <w:vAlign w:val="center"/>
            <w:hideMark/>
          </w:tcPr>
          <w:p w14:paraId="1F6250CF"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31.9</w:t>
            </w:r>
          </w:p>
        </w:tc>
      </w:tr>
      <w:tr w:rsidR="004E318A" w:rsidRPr="004E318A" w14:paraId="6BC137A5" w14:textId="77777777" w:rsidTr="004E318A">
        <w:trPr>
          <w:trHeight w:val="170"/>
          <w:tblCellSpacing w:w="15" w:type="dxa"/>
        </w:trPr>
        <w:tc>
          <w:tcPr>
            <w:tcW w:w="0" w:type="auto"/>
            <w:vAlign w:val="center"/>
            <w:hideMark/>
          </w:tcPr>
          <w:p w14:paraId="61965B23"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100–500 m</w:t>
            </w:r>
          </w:p>
        </w:tc>
        <w:tc>
          <w:tcPr>
            <w:tcW w:w="0" w:type="auto"/>
            <w:vAlign w:val="center"/>
            <w:hideMark/>
          </w:tcPr>
          <w:p w14:paraId="60333C15"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120</w:t>
            </w:r>
          </w:p>
        </w:tc>
        <w:tc>
          <w:tcPr>
            <w:tcW w:w="0" w:type="auto"/>
            <w:vAlign w:val="center"/>
            <w:hideMark/>
          </w:tcPr>
          <w:p w14:paraId="2894E0D3"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31.4</w:t>
            </w:r>
          </w:p>
        </w:tc>
        <w:tc>
          <w:tcPr>
            <w:tcW w:w="0" w:type="auto"/>
            <w:vAlign w:val="center"/>
            <w:hideMark/>
          </w:tcPr>
          <w:p w14:paraId="7281C76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11–20 min</w:t>
            </w:r>
          </w:p>
        </w:tc>
        <w:tc>
          <w:tcPr>
            <w:tcW w:w="0" w:type="auto"/>
            <w:vAlign w:val="center"/>
            <w:hideMark/>
          </w:tcPr>
          <w:p w14:paraId="77CBC8EE"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82</w:t>
            </w:r>
          </w:p>
        </w:tc>
        <w:tc>
          <w:tcPr>
            <w:tcW w:w="0" w:type="auto"/>
            <w:vAlign w:val="center"/>
            <w:hideMark/>
          </w:tcPr>
          <w:p w14:paraId="5FE83EE1"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21.4</w:t>
            </w:r>
          </w:p>
        </w:tc>
      </w:tr>
      <w:tr w:rsidR="004E318A" w:rsidRPr="004E318A" w14:paraId="5AB040D1" w14:textId="77777777" w:rsidTr="004E318A">
        <w:trPr>
          <w:trHeight w:val="170"/>
          <w:tblCellSpacing w:w="15" w:type="dxa"/>
        </w:trPr>
        <w:tc>
          <w:tcPr>
            <w:tcW w:w="0" w:type="auto"/>
            <w:vAlign w:val="center"/>
            <w:hideMark/>
          </w:tcPr>
          <w:p w14:paraId="6E80A315"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500–1000 m</w:t>
            </w:r>
          </w:p>
        </w:tc>
        <w:tc>
          <w:tcPr>
            <w:tcW w:w="0" w:type="auto"/>
            <w:vAlign w:val="center"/>
            <w:hideMark/>
          </w:tcPr>
          <w:p w14:paraId="57FD5D6E"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42</w:t>
            </w:r>
          </w:p>
        </w:tc>
        <w:tc>
          <w:tcPr>
            <w:tcW w:w="0" w:type="auto"/>
            <w:vAlign w:val="center"/>
            <w:hideMark/>
          </w:tcPr>
          <w:p w14:paraId="2DF6281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11.0</w:t>
            </w:r>
          </w:p>
        </w:tc>
        <w:tc>
          <w:tcPr>
            <w:tcW w:w="0" w:type="auto"/>
            <w:vAlign w:val="center"/>
            <w:hideMark/>
          </w:tcPr>
          <w:p w14:paraId="576CE01B"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21–30 min</w:t>
            </w:r>
          </w:p>
        </w:tc>
        <w:tc>
          <w:tcPr>
            <w:tcW w:w="0" w:type="auto"/>
            <w:vAlign w:val="center"/>
            <w:hideMark/>
          </w:tcPr>
          <w:p w14:paraId="06DE5F47"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46</w:t>
            </w:r>
          </w:p>
        </w:tc>
        <w:tc>
          <w:tcPr>
            <w:tcW w:w="0" w:type="auto"/>
            <w:vAlign w:val="center"/>
            <w:hideMark/>
          </w:tcPr>
          <w:p w14:paraId="1BF9D6C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12.0</w:t>
            </w:r>
          </w:p>
        </w:tc>
      </w:tr>
      <w:tr w:rsidR="004E318A" w:rsidRPr="004E318A" w14:paraId="1A461153" w14:textId="77777777" w:rsidTr="004E318A">
        <w:trPr>
          <w:trHeight w:val="170"/>
          <w:tblCellSpacing w:w="15" w:type="dxa"/>
        </w:trPr>
        <w:tc>
          <w:tcPr>
            <w:tcW w:w="0" w:type="auto"/>
            <w:vAlign w:val="center"/>
            <w:hideMark/>
          </w:tcPr>
          <w:p w14:paraId="36B36D3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&gt; 1 km</w:t>
            </w:r>
          </w:p>
        </w:tc>
        <w:tc>
          <w:tcPr>
            <w:tcW w:w="0" w:type="auto"/>
            <w:vAlign w:val="center"/>
            <w:hideMark/>
          </w:tcPr>
          <w:p w14:paraId="1C70AD6C"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20</w:t>
            </w:r>
          </w:p>
        </w:tc>
        <w:tc>
          <w:tcPr>
            <w:tcW w:w="0" w:type="auto"/>
            <w:vAlign w:val="center"/>
            <w:hideMark/>
          </w:tcPr>
          <w:p w14:paraId="29B9B9B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5.1</w:t>
            </w:r>
          </w:p>
        </w:tc>
        <w:tc>
          <w:tcPr>
            <w:tcW w:w="0" w:type="auto"/>
            <w:vAlign w:val="center"/>
            <w:hideMark/>
          </w:tcPr>
          <w:p w14:paraId="55156A4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&gt; 30 min</w:t>
            </w:r>
          </w:p>
        </w:tc>
        <w:tc>
          <w:tcPr>
            <w:tcW w:w="0" w:type="auto"/>
            <w:vAlign w:val="center"/>
            <w:hideMark/>
          </w:tcPr>
          <w:p w14:paraId="319B21BA"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26</w:t>
            </w:r>
          </w:p>
        </w:tc>
        <w:tc>
          <w:tcPr>
            <w:tcW w:w="0" w:type="auto"/>
            <w:vAlign w:val="center"/>
            <w:hideMark/>
          </w:tcPr>
          <w:p w14:paraId="2769A0AF"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7.0</w:t>
            </w:r>
          </w:p>
        </w:tc>
      </w:tr>
      <w:tr w:rsidR="004E318A" w:rsidRPr="004E318A" w14:paraId="71B3C33C" w14:textId="77777777" w:rsidTr="004E318A">
        <w:trPr>
          <w:trHeight w:val="170"/>
          <w:tblCellSpacing w:w="15" w:type="dxa"/>
        </w:trPr>
        <w:tc>
          <w:tcPr>
            <w:tcW w:w="0" w:type="auto"/>
            <w:tcBorders>
              <w:bottom w:val="single" w:sz="4" w:space="0" w:color="auto"/>
            </w:tcBorders>
            <w:vAlign w:val="center"/>
            <w:hideMark/>
          </w:tcPr>
          <w:p w14:paraId="0D135607"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Total</w:t>
            </w:r>
          </w:p>
        </w:tc>
        <w:tc>
          <w:tcPr>
            <w:tcW w:w="0" w:type="auto"/>
            <w:tcBorders>
              <w:bottom w:val="single" w:sz="4" w:space="0" w:color="auto"/>
            </w:tcBorders>
            <w:vAlign w:val="center"/>
            <w:hideMark/>
          </w:tcPr>
          <w:p w14:paraId="39D7F8D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382</w:t>
            </w:r>
          </w:p>
        </w:tc>
        <w:tc>
          <w:tcPr>
            <w:tcW w:w="0" w:type="auto"/>
            <w:tcBorders>
              <w:bottom w:val="single" w:sz="4" w:space="0" w:color="auto"/>
            </w:tcBorders>
            <w:vAlign w:val="center"/>
            <w:hideMark/>
          </w:tcPr>
          <w:p w14:paraId="2D72806A"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100</w:t>
            </w:r>
          </w:p>
        </w:tc>
        <w:tc>
          <w:tcPr>
            <w:tcW w:w="0" w:type="auto"/>
            <w:tcBorders>
              <w:bottom w:val="single" w:sz="4" w:space="0" w:color="auto"/>
            </w:tcBorders>
            <w:vAlign w:val="center"/>
            <w:hideMark/>
          </w:tcPr>
          <w:p w14:paraId="1CB5255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Total</w:t>
            </w:r>
          </w:p>
        </w:tc>
        <w:tc>
          <w:tcPr>
            <w:tcW w:w="0" w:type="auto"/>
            <w:tcBorders>
              <w:bottom w:val="single" w:sz="4" w:space="0" w:color="auto"/>
            </w:tcBorders>
            <w:vAlign w:val="center"/>
            <w:hideMark/>
          </w:tcPr>
          <w:p w14:paraId="6C667BB4"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382</w:t>
            </w:r>
          </w:p>
        </w:tc>
        <w:tc>
          <w:tcPr>
            <w:tcW w:w="0" w:type="auto"/>
            <w:tcBorders>
              <w:bottom w:val="single" w:sz="4" w:space="0" w:color="auto"/>
            </w:tcBorders>
            <w:vAlign w:val="center"/>
            <w:hideMark/>
          </w:tcPr>
          <w:p w14:paraId="32A4A752"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100</w:t>
            </w:r>
          </w:p>
        </w:tc>
      </w:tr>
    </w:tbl>
    <w:p w14:paraId="0DE03EA4" w14:textId="77777777" w:rsidR="00921FFD" w:rsidRDefault="00921FFD" w:rsidP="004E318A">
      <w:pPr>
        <w:spacing w:line="360" w:lineRule="auto"/>
        <w:jc w:val="both"/>
        <w:rPr>
          <w:rFonts w:ascii="Times New Roman" w:hAnsi="Times New Roman" w:cs="Times New Roman"/>
          <w:b/>
          <w:bCs/>
        </w:rPr>
      </w:pPr>
    </w:p>
    <w:p w14:paraId="30DEC70E" w14:textId="319D6ED4"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Regularity and Cost of Water Supply</w:t>
      </w:r>
    </w:p>
    <w:p w14:paraId="6D872DAA" w14:textId="59CDF10F"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 xml:space="preserve">Table </w:t>
      </w:r>
      <w:r w:rsidR="00921FFD">
        <w:rPr>
          <w:rFonts w:ascii="Times New Roman" w:hAnsi="Times New Roman" w:cs="Times New Roman"/>
        </w:rPr>
        <w:t>5</w:t>
      </w:r>
      <w:r w:rsidRPr="004E318A">
        <w:rPr>
          <w:rFonts w:ascii="Times New Roman" w:hAnsi="Times New Roman" w:cs="Times New Roman"/>
        </w:rPr>
        <w:t xml:space="preserve"> shows the frequency of water supply and daily expenditure on water. Only 20.9% of households reported receiving water daily, while 30.1% obtained water three to five times weekly. In terms of expenditure, 28.8% spent between ₦200 and ₦500 daily on water, whereas 21.2% incurred no direct costs because they relied on self-supplied sources.</w:t>
      </w:r>
    </w:p>
    <w:p w14:paraId="75EFBAD5" w14:textId="0ACF2C36" w:rsidR="004E318A" w:rsidRPr="00921FFD" w:rsidRDefault="004E318A" w:rsidP="00921FFD">
      <w:pPr>
        <w:spacing w:after="0" w:line="240" w:lineRule="auto"/>
        <w:jc w:val="both"/>
        <w:rPr>
          <w:rFonts w:ascii="Times New Roman" w:hAnsi="Times New Roman" w:cs="Times New Roman"/>
        </w:rPr>
      </w:pPr>
      <w:r w:rsidRPr="00921FFD">
        <w:rPr>
          <w:rFonts w:ascii="Times New Roman" w:hAnsi="Times New Roman" w:cs="Times New Roman"/>
        </w:rPr>
        <w:t xml:space="preserve">Table </w:t>
      </w:r>
      <w:r w:rsidR="00921FFD" w:rsidRPr="00921FFD">
        <w:rPr>
          <w:rFonts w:ascii="Times New Roman" w:hAnsi="Times New Roman" w:cs="Times New Roman"/>
        </w:rPr>
        <w:t>5</w:t>
      </w:r>
      <w:r w:rsidRPr="00921FFD">
        <w:rPr>
          <w:rFonts w:ascii="Times New Roman" w:hAnsi="Times New Roman" w:cs="Times New Roman"/>
        </w:rPr>
        <w:t>. Regularity and Cost of Water Supply</w:t>
      </w:r>
    </w:p>
    <w:tbl>
      <w:tblPr>
        <w:tblW w:w="9542" w:type="dxa"/>
        <w:tblCellSpacing w:w="15" w:type="dxa"/>
        <w:tblCellMar>
          <w:top w:w="15" w:type="dxa"/>
          <w:left w:w="15" w:type="dxa"/>
          <w:bottom w:w="15" w:type="dxa"/>
          <w:right w:w="15" w:type="dxa"/>
        </w:tblCellMar>
        <w:tblLook w:val="04A0" w:firstRow="1" w:lastRow="0" w:firstColumn="1" w:lastColumn="0" w:noHBand="0" w:noVBand="1"/>
      </w:tblPr>
      <w:tblGrid>
        <w:gridCol w:w="2819"/>
        <w:gridCol w:w="2070"/>
        <w:gridCol w:w="2568"/>
        <w:gridCol w:w="2085"/>
      </w:tblGrid>
      <w:tr w:rsidR="004E318A" w:rsidRPr="004E318A" w14:paraId="7DCFEA71" w14:textId="77777777" w:rsidTr="004E318A">
        <w:trPr>
          <w:trHeight w:val="170"/>
          <w:tblHeader/>
          <w:tblCellSpacing w:w="15" w:type="dxa"/>
        </w:trPr>
        <w:tc>
          <w:tcPr>
            <w:tcW w:w="0" w:type="auto"/>
            <w:tcBorders>
              <w:top w:val="single" w:sz="4" w:space="0" w:color="auto"/>
              <w:bottom w:val="single" w:sz="4" w:space="0" w:color="auto"/>
            </w:tcBorders>
            <w:vAlign w:val="center"/>
            <w:hideMark/>
          </w:tcPr>
          <w:p w14:paraId="08DF62C3"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Frequency of Supply</w:t>
            </w:r>
          </w:p>
        </w:tc>
        <w:tc>
          <w:tcPr>
            <w:tcW w:w="0" w:type="auto"/>
            <w:tcBorders>
              <w:top w:val="single" w:sz="4" w:space="0" w:color="auto"/>
              <w:bottom w:val="single" w:sz="4" w:space="0" w:color="auto"/>
            </w:tcBorders>
            <w:vAlign w:val="center"/>
            <w:hideMark/>
          </w:tcPr>
          <w:p w14:paraId="7CDC7D2C"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Percentage (%)</w:t>
            </w:r>
          </w:p>
        </w:tc>
        <w:tc>
          <w:tcPr>
            <w:tcW w:w="0" w:type="auto"/>
            <w:tcBorders>
              <w:top w:val="single" w:sz="4" w:space="0" w:color="auto"/>
              <w:bottom w:val="single" w:sz="4" w:space="0" w:color="auto"/>
            </w:tcBorders>
            <w:vAlign w:val="center"/>
            <w:hideMark/>
          </w:tcPr>
          <w:p w14:paraId="31BAF2E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Daily Cost (₦)</w:t>
            </w:r>
          </w:p>
        </w:tc>
        <w:tc>
          <w:tcPr>
            <w:tcW w:w="0" w:type="auto"/>
            <w:tcBorders>
              <w:top w:val="single" w:sz="4" w:space="0" w:color="auto"/>
              <w:bottom w:val="single" w:sz="4" w:space="0" w:color="auto"/>
            </w:tcBorders>
            <w:vAlign w:val="center"/>
            <w:hideMark/>
          </w:tcPr>
          <w:p w14:paraId="6C0458CF"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Percentage (%)</w:t>
            </w:r>
          </w:p>
        </w:tc>
      </w:tr>
      <w:tr w:rsidR="004E318A" w:rsidRPr="004E318A" w14:paraId="7B8110F8" w14:textId="77777777" w:rsidTr="004E318A">
        <w:trPr>
          <w:trHeight w:val="170"/>
          <w:tblCellSpacing w:w="15" w:type="dxa"/>
        </w:trPr>
        <w:tc>
          <w:tcPr>
            <w:tcW w:w="0" w:type="auto"/>
            <w:vAlign w:val="center"/>
            <w:hideMark/>
          </w:tcPr>
          <w:p w14:paraId="2C61EAF6"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Daily</w:t>
            </w:r>
          </w:p>
        </w:tc>
        <w:tc>
          <w:tcPr>
            <w:tcW w:w="0" w:type="auto"/>
            <w:vAlign w:val="center"/>
            <w:hideMark/>
          </w:tcPr>
          <w:p w14:paraId="437FA73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20.9</w:t>
            </w:r>
          </w:p>
        </w:tc>
        <w:tc>
          <w:tcPr>
            <w:tcW w:w="0" w:type="auto"/>
            <w:vAlign w:val="center"/>
            <w:hideMark/>
          </w:tcPr>
          <w:p w14:paraId="133F16F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None (own source)</w:t>
            </w:r>
          </w:p>
        </w:tc>
        <w:tc>
          <w:tcPr>
            <w:tcW w:w="0" w:type="auto"/>
            <w:vAlign w:val="center"/>
            <w:hideMark/>
          </w:tcPr>
          <w:p w14:paraId="7660D2BA"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21.2</w:t>
            </w:r>
          </w:p>
        </w:tc>
      </w:tr>
      <w:tr w:rsidR="004E318A" w:rsidRPr="004E318A" w14:paraId="2044D77C" w14:textId="77777777" w:rsidTr="004E318A">
        <w:trPr>
          <w:trHeight w:val="170"/>
          <w:tblCellSpacing w:w="15" w:type="dxa"/>
        </w:trPr>
        <w:tc>
          <w:tcPr>
            <w:tcW w:w="0" w:type="auto"/>
            <w:vAlign w:val="center"/>
            <w:hideMark/>
          </w:tcPr>
          <w:p w14:paraId="2174ED6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3–5 times/week</w:t>
            </w:r>
          </w:p>
        </w:tc>
        <w:tc>
          <w:tcPr>
            <w:tcW w:w="0" w:type="auto"/>
            <w:vAlign w:val="center"/>
            <w:hideMark/>
          </w:tcPr>
          <w:p w14:paraId="1DC49D9A"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30.1</w:t>
            </w:r>
          </w:p>
        </w:tc>
        <w:tc>
          <w:tcPr>
            <w:tcW w:w="0" w:type="auto"/>
            <w:vAlign w:val="center"/>
            <w:hideMark/>
          </w:tcPr>
          <w:p w14:paraId="1ADEE93A"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&lt; 200</w:t>
            </w:r>
          </w:p>
        </w:tc>
        <w:tc>
          <w:tcPr>
            <w:tcW w:w="0" w:type="auto"/>
            <w:vAlign w:val="center"/>
            <w:hideMark/>
          </w:tcPr>
          <w:p w14:paraId="74A6061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20.1</w:t>
            </w:r>
          </w:p>
        </w:tc>
      </w:tr>
      <w:tr w:rsidR="004E318A" w:rsidRPr="004E318A" w14:paraId="5FCD2FD0" w14:textId="77777777" w:rsidTr="004E318A">
        <w:trPr>
          <w:trHeight w:val="170"/>
          <w:tblCellSpacing w:w="15" w:type="dxa"/>
        </w:trPr>
        <w:tc>
          <w:tcPr>
            <w:tcW w:w="0" w:type="auto"/>
            <w:vAlign w:val="center"/>
            <w:hideMark/>
          </w:tcPr>
          <w:p w14:paraId="0C0B60D4"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1–2 times/week</w:t>
            </w:r>
          </w:p>
        </w:tc>
        <w:tc>
          <w:tcPr>
            <w:tcW w:w="0" w:type="auto"/>
            <w:vAlign w:val="center"/>
            <w:hideMark/>
          </w:tcPr>
          <w:p w14:paraId="2B8E6202"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22.0</w:t>
            </w:r>
          </w:p>
        </w:tc>
        <w:tc>
          <w:tcPr>
            <w:tcW w:w="0" w:type="auto"/>
            <w:vAlign w:val="center"/>
            <w:hideMark/>
          </w:tcPr>
          <w:p w14:paraId="1052BB06"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200–500</w:t>
            </w:r>
          </w:p>
        </w:tc>
        <w:tc>
          <w:tcPr>
            <w:tcW w:w="0" w:type="auto"/>
            <w:vAlign w:val="center"/>
            <w:hideMark/>
          </w:tcPr>
          <w:p w14:paraId="50DD95EB"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28.8</w:t>
            </w:r>
          </w:p>
        </w:tc>
      </w:tr>
      <w:tr w:rsidR="004E318A" w:rsidRPr="004E318A" w14:paraId="091EBBFF" w14:textId="77777777" w:rsidTr="004E318A">
        <w:trPr>
          <w:trHeight w:val="170"/>
          <w:tblCellSpacing w:w="15" w:type="dxa"/>
        </w:trPr>
        <w:tc>
          <w:tcPr>
            <w:tcW w:w="0" w:type="auto"/>
            <w:vAlign w:val="center"/>
            <w:hideMark/>
          </w:tcPr>
          <w:p w14:paraId="5DB0176D"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Occasionally</w:t>
            </w:r>
          </w:p>
        </w:tc>
        <w:tc>
          <w:tcPr>
            <w:tcW w:w="0" w:type="auto"/>
            <w:vAlign w:val="center"/>
            <w:hideMark/>
          </w:tcPr>
          <w:p w14:paraId="477F9AC5"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17.0</w:t>
            </w:r>
          </w:p>
        </w:tc>
        <w:tc>
          <w:tcPr>
            <w:tcW w:w="0" w:type="auto"/>
            <w:vAlign w:val="center"/>
            <w:hideMark/>
          </w:tcPr>
          <w:p w14:paraId="0561602C"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501–1000</w:t>
            </w:r>
          </w:p>
        </w:tc>
        <w:tc>
          <w:tcPr>
            <w:tcW w:w="0" w:type="auto"/>
            <w:vAlign w:val="center"/>
            <w:hideMark/>
          </w:tcPr>
          <w:p w14:paraId="03B31AFB"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18.1</w:t>
            </w:r>
          </w:p>
        </w:tc>
      </w:tr>
      <w:tr w:rsidR="004E318A" w:rsidRPr="004E318A" w14:paraId="721B04C9" w14:textId="77777777" w:rsidTr="004E318A">
        <w:trPr>
          <w:trHeight w:val="170"/>
          <w:tblCellSpacing w:w="15" w:type="dxa"/>
        </w:trPr>
        <w:tc>
          <w:tcPr>
            <w:tcW w:w="0" w:type="auto"/>
            <w:vAlign w:val="center"/>
            <w:hideMark/>
          </w:tcPr>
          <w:p w14:paraId="7B1ECA93"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Rarely</w:t>
            </w:r>
          </w:p>
        </w:tc>
        <w:tc>
          <w:tcPr>
            <w:tcW w:w="0" w:type="auto"/>
            <w:vAlign w:val="center"/>
            <w:hideMark/>
          </w:tcPr>
          <w:p w14:paraId="674E584B"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10.0</w:t>
            </w:r>
          </w:p>
        </w:tc>
        <w:tc>
          <w:tcPr>
            <w:tcW w:w="0" w:type="auto"/>
            <w:vAlign w:val="center"/>
            <w:hideMark/>
          </w:tcPr>
          <w:p w14:paraId="439E2EDB"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&gt; 1000</w:t>
            </w:r>
          </w:p>
        </w:tc>
        <w:tc>
          <w:tcPr>
            <w:tcW w:w="0" w:type="auto"/>
            <w:vAlign w:val="center"/>
            <w:hideMark/>
          </w:tcPr>
          <w:p w14:paraId="267859D5"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11.8</w:t>
            </w:r>
          </w:p>
        </w:tc>
      </w:tr>
      <w:tr w:rsidR="004E318A" w:rsidRPr="004E318A" w14:paraId="0F859B9C" w14:textId="77777777" w:rsidTr="004E318A">
        <w:trPr>
          <w:trHeight w:val="170"/>
          <w:tblCellSpacing w:w="15" w:type="dxa"/>
        </w:trPr>
        <w:tc>
          <w:tcPr>
            <w:tcW w:w="0" w:type="auto"/>
            <w:tcBorders>
              <w:bottom w:val="single" w:sz="4" w:space="0" w:color="auto"/>
            </w:tcBorders>
            <w:vAlign w:val="center"/>
            <w:hideMark/>
          </w:tcPr>
          <w:p w14:paraId="11938D02" w14:textId="77777777" w:rsidR="004E318A" w:rsidRPr="004E318A" w:rsidRDefault="004E318A" w:rsidP="004E318A">
            <w:pPr>
              <w:spacing w:after="0" w:line="240" w:lineRule="auto"/>
              <w:ind w:right="90"/>
              <w:jc w:val="both"/>
              <w:rPr>
                <w:rFonts w:ascii="Times New Roman" w:hAnsi="Times New Roman" w:cs="Times New Roman"/>
              </w:rPr>
            </w:pPr>
            <w:r w:rsidRPr="004E318A">
              <w:rPr>
                <w:rFonts w:ascii="Times New Roman" w:hAnsi="Times New Roman" w:cs="Times New Roman"/>
              </w:rPr>
              <w:t>Total</w:t>
            </w:r>
          </w:p>
        </w:tc>
        <w:tc>
          <w:tcPr>
            <w:tcW w:w="0" w:type="auto"/>
            <w:tcBorders>
              <w:bottom w:val="single" w:sz="4" w:space="0" w:color="auto"/>
            </w:tcBorders>
            <w:vAlign w:val="center"/>
            <w:hideMark/>
          </w:tcPr>
          <w:p w14:paraId="64952E1C" w14:textId="77777777" w:rsidR="004E318A" w:rsidRPr="004E318A" w:rsidRDefault="004E318A" w:rsidP="004E318A">
            <w:pPr>
              <w:spacing w:after="0" w:line="240" w:lineRule="auto"/>
              <w:ind w:right="90"/>
              <w:jc w:val="both"/>
              <w:rPr>
                <w:rFonts w:ascii="Times New Roman" w:hAnsi="Times New Roman" w:cs="Times New Roman"/>
              </w:rPr>
            </w:pPr>
            <w:r w:rsidRPr="004E318A">
              <w:rPr>
                <w:rFonts w:ascii="Times New Roman" w:hAnsi="Times New Roman" w:cs="Times New Roman"/>
              </w:rPr>
              <w:t>100</w:t>
            </w:r>
          </w:p>
        </w:tc>
        <w:tc>
          <w:tcPr>
            <w:tcW w:w="0" w:type="auto"/>
            <w:tcBorders>
              <w:bottom w:val="single" w:sz="4" w:space="0" w:color="auto"/>
            </w:tcBorders>
            <w:vAlign w:val="center"/>
            <w:hideMark/>
          </w:tcPr>
          <w:p w14:paraId="4A16E4B4" w14:textId="77777777" w:rsidR="004E318A" w:rsidRPr="004E318A" w:rsidRDefault="004E318A" w:rsidP="004E318A">
            <w:pPr>
              <w:spacing w:after="0" w:line="240" w:lineRule="auto"/>
              <w:ind w:right="90"/>
              <w:jc w:val="both"/>
              <w:rPr>
                <w:rFonts w:ascii="Times New Roman" w:hAnsi="Times New Roman" w:cs="Times New Roman"/>
              </w:rPr>
            </w:pPr>
            <w:r w:rsidRPr="004E318A">
              <w:rPr>
                <w:rFonts w:ascii="Times New Roman" w:hAnsi="Times New Roman" w:cs="Times New Roman"/>
              </w:rPr>
              <w:t>Total</w:t>
            </w:r>
          </w:p>
        </w:tc>
        <w:tc>
          <w:tcPr>
            <w:tcW w:w="0" w:type="auto"/>
            <w:tcBorders>
              <w:bottom w:val="single" w:sz="4" w:space="0" w:color="auto"/>
            </w:tcBorders>
            <w:vAlign w:val="center"/>
            <w:hideMark/>
          </w:tcPr>
          <w:p w14:paraId="6B50A2E2" w14:textId="77777777" w:rsidR="004E318A" w:rsidRPr="004E318A" w:rsidRDefault="004E318A" w:rsidP="004E318A">
            <w:pPr>
              <w:spacing w:after="0" w:line="240" w:lineRule="auto"/>
              <w:ind w:right="90"/>
              <w:jc w:val="both"/>
              <w:rPr>
                <w:rFonts w:ascii="Times New Roman" w:hAnsi="Times New Roman" w:cs="Times New Roman"/>
              </w:rPr>
            </w:pPr>
            <w:r w:rsidRPr="004E318A">
              <w:rPr>
                <w:rFonts w:ascii="Times New Roman" w:hAnsi="Times New Roman" w:cs="Times New Roman"/>
              </w:rPr>
              <w:t>100</w:t>
            </w:r>
          </w:p>
        </w:tc>
      </w:tr>
    </w:tbl>
    <w:p w14:paraId="017AA282" w14:textId="58565E47" w:rsidR="004E318A" w:rsidRPr="004E318A" w:rsidRDefault="004E318A" w:rsidP="004E318A">
      <w:pPr>
        <w:spacing w:line="360" w:lineRule="auto"/>
        <w:jc w:val="both"/>
        <w:rPr>
          <w:rFonts w:ascii="Times New Roman" w:hAnsi="Times New Roman" w:cs="Times New Roman"/>
        </w:rPr>
      </w:pPr>
    </w:p>
    <w:p w14:paraId="58B90208" w14:textId="77777777"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4.5 Daily Water Consumption</w:t>
      </w:r>
    </w:p>
    <w:p w14:paraId="4C8FDE93" w14:textId="5591C86D"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 xml:space="preserve">Table </w:t>
      </w:r>
      <w:r w:rsidR="00921FFD">
        <w:rPr>
          <w:rFonts w:ascii="Times New Roman" w:hAnsi="Times New Roman" w:cs="Times New Roman"/>
        </w:rPr>
        <w:t>6</w:t>
      </w:r>
      <w:r w:rsidRPr="004E318A">
        <w:rPr>
          <w:rFonts w:ascii="Times New Roman" w:hAnsi="Times New Roman" w:cs="Times New Roman"/>
        </w:rPr>
        <w:t xml:space="preserve"> shows household daily water consumption. </w:t>
      </w:r>
      <w:proofErr w:type="gramStart"/>
      <w:r w:rsidRPr="004E318A">
        <w:rPr>
          <w:rFonts w:ascii="Times New Roman" w:hAnsi="Times New Roman" w:cs="Times New Roman"/>
        </w:rPr>
        <w:t>The majority of</w:t>
      </w:r>
      <w:proofErr w:type="gramEnd"/>
      <w:r w:rsidRPr="004E318A">
        <w:rPr>
          <w:rFonts w:ascii="Times New Roman" w:hAnsi="Times New Roman" w:cs="Times New Roman"/>
        </w:rPr>
        <w:t xml:space="preserve"> respondents (39.8%) consumed between 50 and 100 litres per person per day, while 16.8% consumed less than 50 litres per person per day. Only 3.1% consumed more than 200 litres daily.</w:t>
      </w:r>
    </w:p>
    <w:p w14:paraId="114CB461" w14:textId="77777777" w:rsidR="00837505" w:rsidRDefault="00837505" w:rsidP="004E318A">
      <w:pPr>
        <w:spacing w:line="360" w:lineRule="auto"/>
        <w:jc w:val="both"/>
        <w:rPr>
          <w:rFonts w:ascii="Times New Roman" w:hAnsi="Times New Roman" w:cs="Times New Roman"/>
          <w:b/>
          <w:bCs/>
        </w:rPr>
      </w:pPr>
    </w:p>
    <w:p w14:paraId="2ADAA1C4" w14:textId="77777777" w:rsidR="00921FFD" w:rsidRDefault="00921FFD" w:rsidP="004E318A">
      <w:pPr>
        <w:spacing w:line="360" w:lineRule="auto"/>
        <w:jc w:val="both"/>
        <w:rPr>
          <w:rFonts w:ascii="Times New Roman" w:hAnsi="Times New Roman" w:cs="Times New Roman"/>
          <w:b/>
          <w:bCs/>
        </w:rPr>
      </w:pPr>
    </w:p>
    <w:p w14:paraId="66F9C85D" w14:textId="77777777" w:rsidR="00921FFD" w:rsidRDefault="00921FFD" w:rsidP="004E318A">
      <w:pPr>
        <w:spacing w:line="360" w:lineRule="auto"/>
        <w:jc w:val="both"/>
        <w:rPr>
          <w:rFonts w:ascii="Times New Roman" w:hAnsi="Times New Roman" w:cs="Times New Roman"/>
          <w:b/>
          <w:bCs/>
        </w:rPr>
      </w:pPr>
    </w:p>
    <w:p w14:paraId="690B9254" w14:textId="77777777" w:rsidR="00921FFD" w:rsidRDefault="00921FFD" w:rsidP="004E318A">
      <w:pPr>
        <w:spacing w:line="360" w:lineRule="auto"/>
        <w:jc w:val="both"/>
        <w:rPr>
          <w:rFonts w:ascii="Times New Roman" w:hAnsi="Times New Roman" w:cs="Times New Roman"/>
          <w:b/>
          <w:bCs/>
        </w:rPr>
      </w:pPr>
    </w:p>
    <w:p w14:paraId="465A8166" w14:textId="1220194F" w:rsidR="004E318A" w:rsidRPr="00921FFD" w:rsidRDefault="004E318A" w:rsidP="004E318A">
      <w:pPr>
        <w:spacing w:line="360" w:lineRule="auto"/>
        <w:jc w:val="both"/>
        <w:rPr>
          <w:rFonts w:ascii="Times New Roman" w:hAnsi="Times New Roman" w:cs="Times New Roman"/>
        </w:rPr>
      </w:pPr>
      <w:r w:rsidRPr="00921FFD">
        <w:rPr>
          <w:rFonts w:ascii="Times New Roman" w:hAnsi="Times New Roman" w:cs="Times New Roman"/>
        </w:rPr>
        <w:t xml:space="preserve">Table </w:t>
      </w:r>
      <w:r w:rsidR="00921FFD" w:rsidRPr="00921FFD">
        <w:rPr>
          <w:rFonts w:ascii="Times New Roman" w:hAnsi="Times New Roman" w:cs="Times New Roman"/>
        </w:rPr>
        <w:t>6:</w:t>
      </w:r>
      <w:r w:rsidRPr="00921FFD">
        <w:rPr>
          <w:rFonts w:ascii="Times New Roman" w:hAnsi="Times New Roman" w:cs="Times New Roman"/>
        </w:rPr>
        <w:t xml:space="preserve"> Daily Water Consumption</w:t>
      </w:r>
    </w:p>
    <w:tbl>
      <w:tblPr>
        <w:tblW w:w="9401" w:type="dxa"/>
        <w:tblCellSpacing w:w="15" w:type="dxa"/>
        <w:tblCellMar>
          <w:top w:w="15" w:type="dxa"/>
          <w:left w:w="15" w:type="dxa"/>
          <w:bottom w:w="15" w:type="dxa"/>
          <w:right w:w="15" w:type="dxa"/>
        </w:tblCellMar>
        <w:tblLook w:val="04A0" w:firstRow="1" w:lastRow="0" w:firstColumn="1" w:lastColumn="0" w:noHBand="0" w:noVBand="1"/>
      </w:tblPr>
      <w:tblGrid>
        <w:gridCol w:w="3767"/>
        <w:gridCol w:w="1593"/>
        <w:gridCol w:w="2283"/>
        <w:gridCol w:w="1758"/>
      </w:tblGrid>
      <w:tr w:rsidR="004E318A" w:rsidRPr="004E318A" w14:paraId="157E0E72" w14:textId="77777777" w:rsidTr="00837505">
        <w:trPr>
          <w:trHeight w:val="170"/>
          <w:tblHeader/>
          <w:tblCellSpacing w:w="15" w:type="dxa"/>
        </w:trPr>
        <w:tc>
          <w:tcPr>
            <w:tcW w:w="0" w:type="auto"/>
            <w:tcBorders>
              <w:top w:val="single" w:sz="4" w:space="0" w:color="auto"/>
              <w:bottom w:val="single" w:sz="4" w:space="0" w:color="auto"/>
            </w:tcBorders>
            <w:vAlign w:val="center"/>
            <w:hideMark/>
          </w:tcPr>
          <w:p w14:paraId="1922F14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Daily Use (L/person/day)</w:t>
            </w:r>
          </w:p>
        </w:tc>
        <w:tc>
          <w:tcPr>
            <w:tcW w:w="0" w:type="auto"/>
            <w:tcBorders>
              <w:top w:val="single" w:sz="4" w:space="0" w:color="auto"/>
              <w:bottom w:val="single" w:sz="4" w:space="0" w:color="auto"/>
            </w:tcBorders>
            <w:vAlign w:val="center"/>
            <w:hideMark/>
          </w:tcPr>
          <w:p w14:paraId="6C8F3F1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Frequency</w:t>
            </w:r>
          </w:p>
        </w:tc>
        <w:tc>
          <w:tcPr>
            <w:tcW w:w="0" w:type="auto"/>
            <w:tcBorders>
              <w:top w:val="single" w:sz="4" w:space="0" w:color="auto"/>
              <w:bottom w:val="single" w:sz="4" w:space="0" w:color="auto"/>
            </w:tcBorders>
            <w:vAlign w:val="center"/>
            <w:hideMark/>
          </w:tcPr>
          <w:p w14:paraId="4E73DFF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Percentage (%)</w:t>
            </w:r>
          </w:p>
        </w:tc>
        <w:tc>
          <w:tcPr>
            <w:tcW w:w="0" w:type="auto"/>
            <w:tcBorders>
              <w:top w:val="single" w:sz="4" w:space="0" w:color="auto"/>
              <w:bottom w:val="single" w:sz="4" w:space="0" w:color="auto"/>
            </w:tcBorders>
            <w:vAlign w:val="center"/>
            <w:hideMark/>
          </w:tcPr>
          <w:p w14:paraId="4E650BA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Evaluation</w:t>
            </w:r>
          </w:p>
        </w:tc>
      </w:tr>
      <w:tr w:rsidR="004E318A" w:rsidRPr="004E318A" w14:paraId="4978FF19" w14:textId="77777777" w:rsidTr="004E318A">
        <w:trPr>
          <w:trHeight w:val="170"/>
          <w:tblCellSpacing w:w="15" w:type="dxa"/>
        </w:trPr>
        <w:tc>
          <w:tcPr>
            <w:tcW w:w="0" w:type="auto"/>
            <w:vAlign w:val="center"/>
            <w:hideMark/>
          </w:tcPr>
          <w:p w14:paraId="1FFCE50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&lt; 50</w:t>
            </w:r>
          </w:p>
        </w:tc>
        <w:tc>
          <w:tcPr>
            <w:tcW w:w="0" w:type="auto"/>
            <w:vAlign w:val="center"/>
            <w:hideMark/>
          </w:tcPr>
          <w:p w14:paraId="43EB57E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64</w:t>
            </w:r>
          </w:p>
        </w:tc>
        <w:tc>
          <w:tcPr>
            <w:tcW w:w="0" w:type="auto"/>
            <w:vAlign w:val="center"/>
            <w:hideMark/>
          </w:tcPr>
          <w:p w14:paraId="3697CCE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16.8</w:t>
            </w:r>
          </w:p>
        </w:tc>
        <w:tc>
          <w:tcPr>
            <w:tcW w:w="0" w:type="auto"/>
            <w:vAlign w:val="center"/>
            <w:hideMark/>
          </w:tcPr>
          <w:p w14:paraId="789D66A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Low access</w:t>
            </w:r>
          </w:p>
        </w:tc>
      </w:tr>
      <w:tr w:rsidR="004E318A" w:rsidRPr="004E318A" w14:paraId="76C2E081" w14:textId="77777777" w:rsidTr="004E318A">
        <w:trPr>
          <w:trHeight w:val="170"/>
          <w:tblCellSpacing w:w="15" w:type="dxa"/>
        </w:trPr>
        <w:tc>
          <w:tcPr>
            <w:tcW w:w="0" w:type="auto"/>
            <w:vAlign w:val="center"/>
            <w:hideMark/>
          </w:tcPr>
          <w:p w14:paraId="41DF2C7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50–100</w:t>
            </w:r>
          </w:p>
        </w:tc>
        <w:tc>
          <w:tcPr>
            <w:tcW w:w="0" w:type="auto"/>
            <w:vAlign w:val="center"/>
            <w:hideMark/>
          </w:tcPr>
          <w:p w14:paraId="29BA790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152</w:t>
            </w:r>
          </w:p>
        </w:tc>
        <w:tc>
          <w:tcPr>
            <w:tcW w:w="0" w:type="auto"/>
            <w:vAlign w:val="center"/>
            <w:hideMark/>
          </w:tcPr>
          <w:p w14:paraId="71C29FB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39.8</w:t>
            </w:r>
          </w:p>
        </w:tc>
        <w:tc>
          <w:tcPr>
            <w:tcW w:w="0" w:type="auto"/>
            <w:vAlign w:val="center"/>
            <w:hideMark/>
          </w:tcPr>
          <w:p w14:paraId="52753D7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Low access</w:t>
            </w:r>
          </w:p>
        </w:tc>
      </w:tr>
      <w:tr w:rsidR="004E318A" w:rsidRPr="004E318A" w14:paraId="306312F0" w14:textId="77777777" w:rsidTr="004E318A">
        <w:trPr>
          <w:trHeight w:val="170"/>
          <w:tblCellSpacing w:w="15" w:type="dxa"/>
        </w:trPr>
        <w:tc>
          <w:tcPr>
            <w:tcW w:w="0" w:type="auto"/>
            <w:vAlign w:val="center"/>
            <w:hideMark/>
          </w:tcPr>
          <w:p w14:paraId="2D2BA78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101–150</w:t>
            </w:r>
          </w:p>
        </w:tc>
        <w:tc>
          <w:tcPr>
            <w:tcW w:w="0" w:type="auto"/>
            <w:vAlign w:val="center"/>
            <w:hideMark/>
          </w:tcPr>
          <w:p w14:paraId="7EC5D667"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104</w:t>
            </w:r>
          </w:p>
        </w:tc>
        <w:tc>
          <w:tcPr>
            <w:tcW w:w="0" w:type="auto"/>
            <w:vAlign w:val="center"/>
            <w:hideMark/>
          </w:tcPr>
          <w:p w14:paraId="06BF25C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27.2</w:t>
            </w:r>
          </w:p>
        </w:tc>
        <w:tc>
          <w:tcPr>
            <w:tcW w:w="0" w:type="auto"/>
            <w:vAlign w:val="center"/>
            <w:hideMark/>
          </w:tcPr>
          <w:p w14:paraId="6E182C2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Adequate</w:t>
            </w:r>
          </w:p>
        </w:tc>
      </w:tr>
      <w:tr w:rsidR="004E318A" w:rsidRPr="004E318A" w14:paraId="67303E91" w14:textId="77777777" w:rsidTr="004E318A">
        <w:trPr>
          <w:trHeight w:val="170"/>
          <w:tblCellSpacing w:w="15" w:type="dxa"/>
        </w:trPr>
        <w:tc>
          <w:tcPr>
            <w:tcW w:w="0" w:type="auto"/>
            <w:vAlign w:val="center"/>
            <w:hideMark/>
          </w:tcPr>
          <w:p w14:paraId="63DA4658"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151–200</w:t>
            </w:r>
          </w:p>
        </w:tc>
        <w:tc>
          <w:tcPr>
            <w:tcW w:w="0" w:type="auto"/>
            <w:vAlign w:val="center"/>
            <w:hideMark/>
          </w:tcPr>
          <w:p w14:paraId="47C990E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50</w:t>
            </w:r>
          </w:p>
        </w:tc>
        <w:tc>
          <w:tcPr>
            <w:tcW w:w="0" w:type="auto"/>
            <w:vAlign w:val="center"/>
            <w:hideMark/>
          </w:tcPr>
          <w:p w14:paraId="1AC9068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13.1</w:t>
            </w:r>
          </w:p>
        </w:tc>
        <w:tc>
          <w:tcPr>
            <w:tcW w:w="0" w:type="auto"/>
            <w:vAlign w:val="center"/>
            <w:hideMark/>
          </w:tcPr>
          <w:p w14:paraId="2D0D02C6"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Good</w:t>
            </w:r>
          </w:p>
        </w:tc>
      </w:tr>
      <w:tr w:rsidR="004E318A" w:rsidRPr="004E318A" w14:paraId="2A5D92E3" w14:textId="77777777" w:rsidTr="004E318A">
        <w:trPr>
          <w:trHeight w:val="170"/>
          <w:tblCellSpacing w:w="15" w:type="dxa"/>
        </w:trPr>
        <w:tc>
          <w:tcPr>
            <w:tcW w:w="0" w:type="auto"/>
            <w:vAlign w:val="center"/>
            <w:hideMark/>
          </w:tcPr>
          <w:p w14:paraId="40DD3C4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&gt; 200</w:t>
            </w:r>
          </w:p>
        </w:tc>
        <w:tc>
          <w:tcPr>
            <w:tcW w:w="0" w:type="auto"/>
            <w:vAlign w:val="center"/>
            <w:hideMark/>
          </w:tcPr>
          <w:p w14:paraId="025F714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12</w:t>
            </w:r>
          </w:p>
        </w:tc>
        <w:tc>
          <w:tcPr>
            <w:tcW w:w="0" w:type="auto"/>
            <w:vAlign w:val="center"/>
            <w:hideMark/>
          </w:tcPr>
          <w:p w14:paraId="228A5F3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3.1</w:t>
            </w:r>
          </w:p>
        </w:tc>
        <w:tc>
          <w:tcPr>
            <w:tcW w:w="0" w:type="auto"/>
            <w:vAlign w:val="center"/>
            <w:hideMark/>
          </w:tcPr>
          <w:p w14:paraId="31732BA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High</w:t>
            </w:r>
          </w:p>
        </w:tc>
      </w:tr>
      <w:tr w:rsidR="004E318A" w:rsidRPr="004E318A" w14:paraId="0B5A1DE5" w14:textId="77777777" w:rsidTr="00837505">
        <w:trPr>
          <w:trHeight w:val="170"/>
          <w:tblCellSpacing w:w="15" w:type="dxa"/>
        </w:trPr>
        <w:tc>
          <w:tcPr>
            <w:tcW w:w="0" w:type="auto"/>
            <w:tcBorders>
              <w:bottom w:val="single" w:sz="4" w:space="0" w:color="auto"/>
            </w:tcBorders>
            <w:vAlign w:val="center"/>
            <w:hideMark/>
          </w:tcPr>
          <w:p w14:paraId="62D8C84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Total</w:t>
            </w:r>
          </w:p>
        </w:tc>
        <w:tc>
          <w:tcPr>
            <w:tcW w:w="0" w:type="auto"/>
            <w:tcBorders>
              <w:bottom w:val="single" w:sz="4" w:space="0" w:color="auto"/>
            </w:tcBorders>
            <w:vAlign w:val="center"/>
            <w:hideMark/>
          </w:tcPr>
          <w:p w14:paraId="3189613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382</w:t>
            </w:r>
          </w:p>
        </w:tc>
        <w:tc>
          <w:tcPr>
            <w:tcW w:w="0" w:type="auto"/>
            <w:tcBorders>
              <w:bottom w:val="single" w:sz="4" w:space="0" w:color="auto"/>
            </w:tcBorders>
            <w:vAlign w:val="center"/>
            <w:hideMark/>
          </w:tcPr>
          <w:p w14:paraId="7E63E8C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100</w:t>
            </w:r>
          </w:p>
        </w:tc>
        <w:tc>
          <w:tcPr>
            <w:tcW w:w="0" w:type="auto"/>
            <w:tcBorders>
              <w:bottom w:val="single" w:sz="4" w:space="0" w:color="auto"/>
            </w:tcBorders>
            <w:vAlign w:val="center"/>
            <w:hideMark/>
          </w:tcPr>
          <w:p w14:paraId="59E6EE8B" w14:textId="77777777" w:rsidR="004E318A" w:rsidRPr="00837505" w:rsidRDefault="004E318A" w:rsidP="00837505">
            <w:pPr>
              <w:spacing w:after="0" w:line="240" w:lineRule="auto"/>
              <w:jc w:val="both"/>
              <w:rPr>
                <w:rFonts w:ascii="Times New Roman" w:hAnsi="Times New Roman" w:cs="Times New Roman"/>
              </w:rPr>
            </w:pPr>
          </w:p>
        </w:tc>
      </w:tr>
    </w:tbl>
    <w:p w14:paraId="30641DDD" w14:textId="77777777" w:rsidR="00921FFD" w:rsidRDefault="00921FFD" w:rsidP="004E318A">
      <w:pPr>
        <w:spacing w:line="360" w:lineRule="auto"/>
        <w:jc w:val="both"/>
        <w:rPr>
          <w:rFonts w:ascii="Times New Roman" w:hAnsi="Times New Roman" w:cs="Times New Roman"/>
          <w:b/>
          <w:bCs/>
        </w:rPr>
      </w:pPr>
    </w:p>
    <w:p w14:paraId="0AF0FFCE" w14:textId="02DA4618"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Collection Time and Number of Water Collection Trips</w:t>
      </w:r>
    </w:p>
    <w:p w14:paraId="5A922FD7" w14:textId="7ACF4562"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 xml:space="preserve">Table </w:t>
      </w:r>
      <w:r w:rsidR="00921FFD">
        <w:rPr>
          <w:rFonts w:ascii="Times New Roman" w:hAnsi="Times New Roman" w:cs="Times New Roman"/>
        </w:rPr>
        <w:t>7</w:t>
      </w:r>
      <w:r w:rsidRPr="004E318A">
        <w:rPr>
          <w:rFonts w:ascii="Times New Roman" w:hAnsi="Times New Roman" w:cs="Times New Roman"/>
        </w:rPr>
        <w:t xml:space="preserve"> presents collection time and number of trips made daily to obtain water. About 33.0% of respondents spent 10–20 minutes collecting water, while 31.4% reported making three trips per day.</w:t>
      </w:r>
    </w:p>
    <w:p w14:paraId="3542392D" w14:textId="6CC57CF3" w:rsidR="004E318A" w:rsidRPr="00921FFD" w:rsidRDefault="004E318A" w:rsidP="00921FFD">
      <w:pPr>
        <w:spacing w:after="0" w:line="240" w:lineRule="auto"/>
        <w:jc w:val="both"/>
        <w:rPr>
          <w:rFonts w:ascii="Times New Roman" w:hAnsi="Times New Roman" w:cs="Times New Roman"/>
        </w:rPr>
      </w:pPr>
      <w:r w:rsidRPr="00921FFD">
        <w:rPr>
          <w:rFonts w:ascii="Times New Roman" w:hAnsi="Times New Roman" w:cs="Times New Roman"/>
        </w:rPr>
        <w:t xml:space="preserve">Table </w:t>
      </w:r>
      <w:r w:rsidR="00921FFD" w:rsidRPr="00921FFD">
        <w:rPr>
          <w:rFonts w:ascii="Times New Roman" w:hAnsi="Times New Roman" w:cs="Times New Roman"/>
        </w:rPr>
        <w:t>7:</w:t>
      </w:r>
      <w:r w:rsidRPr="00921FFD">
        <w:rPr>
          <w:rFonts w:ascii="Times New Roman" w:hAnsi="Times New Roman" w:cs="Times New Roman"/>
        </w:rPr>
        <w:t xml:space="preserve"> Collection Time and Number of Trips</w:t>
      </w:r>
    </w:p>
    <w:tbl>
      <w:tblPr>
        <w:tblW w:w="9387" w:type="dxa"/>
        <w:tblCellSpacing w:w="15" w:type="dxa"/>
        <w:tblCellMar>
          <w:top w:w="15" w:type="dxa"/>
          <w:left w:w="15" w:type="dxa"/>
          <w:bottom w:w="15" w:type="dxa"/>
          <w:right w:w="15" w:type="dxa"/>
        </w:tblCellMar>
        <w:tblLook w:val="04A0" w:firstRow="1" w:lastRow="0" w:firstColumn="1" w:lastColumn="0" w:noHBand="0" w:noVBand="1"/>
      </w:tblPr>
      <w:tblGrid>
        <w:gridCol w:w="1940"/>
        <w:gridCol w:w="1278"/>
        <w:gridCol w:w="1828"/>
        <w:gridCol w:w="1220"/>
        <w:gridCol w:w="1278"/>
        <w:gridCol w:w="1843"/>
      </w:tblGrid>
      <w:tr w:rsidR="004E318A" w:rsidRPr="004E318A" w14:paraId="074C4480" w14:textId="77777777" w:rsidTr="00837505">
        <w:trPr>
          <w:trHeight w:val="170"/>
          <w:tblHeader/>
          <w:tblCellSpacing w:w="15" w:type="dxa"/>
        </w:trPr>
        <w:tc>
          <w:tcPr>
            <w:tcW w:w="0" w:type="auto"/>
            <w:tcBorders>
              <w:top w:val="single" w:sz="4" w:space="0" w:color="auto"/>
              <w:bottom w:val="single" w:sz="4" w:space="0" w:color="auto"/>
            </w:tcBorders>
            <w:vAlign w:val="center"/>
            <w:hideMark/>
          </w:tcPr>
          <w:p w14:paraId="489846A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Collection Time</w:t>
            </w:r>
          </w:p>
        </w:tc>
        <w:tc>
          <w:tcPr>
            <w:tcW w:w="0" w:type="auto"/>
            <w:tcBorders>
              <w:top w:val="single" w:sz="4" w:space="0" w:color="auto"/>
              <w:bottom w:val="single" w:sz="4" w:space="0" w:color="auto"/>
            </w:tcBorders>
            <w:vAlign w:val="center"/>
            <w:hideMark/>
          </w:tcPr>
          <w:p w14:paraId="14DBE75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Frequency</w:t>
            </w:r>
          </w:p>
        </w:tc>
        <w:tc>
          <w:tcPr>
            <w:tcW w:w="0" w:type="auto"/>
            <w:tcBorders>
              <w:top w:val="single" w:sz="4" w:space="0" w:color="auto"/>
              <w:bottom w:val="single" w:sz="4" w:space="0" w:color="auto"/>
            </w:tcBorders>
            <w:vAlign w:val="center"/>
            <w:hideMark/>
          </w:tcPr>
          <w:p w14:paraId="53479B13"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Percentage (%)</w:t>
            </w:r>
          </w:p>
        </w:tc>
        <w:tc>
          <w:tcPr>
            <w:tcW w:w="0" w:type="auto"/>
            <w:tcBorders>
              <w:top w:val="single" w:sz="4" w:space="0" w:color="auto"/>
              <w:bottom w:val="single" w:sz="4" w:space="0" w:color="auto"/>
            </w:tcBorders>
            <w:vAlign w:val="center"/>
            <w:hideMark/>
          </w:tcPr>
          <w:p w14:paraId="7D14FBE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Trips/Day</w:t>
            </w:r>
          </w:p>
        </w:tc>
        <w:tc>
          <w:tcPr>
            <w:tcW w:w="0" w:type="auto"/>
            <w:tcBorders>
              <w:top w:val="single" w:sz="4" w:space="0" w:color="auto"/>
              <w:bottom w:val="single" w:sz="4" w:space="0" w:color="auto"/>
            </w:tcBorders>
            <w:vAlign w:val="center"/>
            <w:hideMark/>
          </w:tcPr>
          <w:p w14:paraId="291071C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Frequency</w:t>
            </w:r>
          </w:p>
        </w:tc>
        <w:tc>
          <w:tcPr>
            <w:tcW w:w="0" w:type="auto"/>
            <w:tcBorders>
              <w:top w:val="single" w:sz="4" w:space="0" w:color="auto"/>
              <w:bottom w:val="single" w:sz="4" w:space="0" w:color="auto"/>
            </w:tcBorders>
            <w:vAlign w:val="center"/>
            <w:hideMark/>
          </w:tcPr>
          <w:p w14:paraId="76E9ED9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Percentage (%)</w:t>
            </w:r>
          </w:p>
        </w:tc>
      </w:tr>
      <w:tr w:rsidR="004E318A" w:rsidRPr="004E318A" w14:paraId="7D890DCC" w14:textId="77777777" w:rsidTr="00837505">
        <w:trPr>
          <w:trHeight w:val="170"/>
          <w:tblCellSpacing w:w="15" w:type="dxa"/>
        </w:trPr>
        <w:tc>
          <w:tcPr>
            <w:tcW w:w="0" w:type="auto"/>
            <w:vAlign w:val="center"/>
            <w:hideMark/>
          </w:tcPr>
          <w:p w14:paraId="13EC8E3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&lt;10 min</w:t>
            </w:r>
          </w:p>
        </w:tc>
        <w:tc>
          <w:tcPr>
            <w:tcW w:w="0" w:type="auto"/>
            <w:vAlign w:val="center"/>
            <w:hideMark/>
          </w:tcPr>
          <w:p w14:paraId="751776F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86</w:t>
            </w:r>
          </w:p>
        </w:tc>
        <w:tc>
          <w:tcPr>
            <w:tcW w:w="0" w:type="auto"/>
            <w:vAlign w:val="center"/>
            <w:hideMark/>
          </w:tcPr>
          <w:p w14:paraId="203ADB8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22.5</w:t>
            </w:r>
          </w:p>
        </w:tc>
        <w:tc>
          <w:tcPr>
            <w:tcW w:w="0" w:type="auto"/>
            <w:vAlign w:val="center"/>
            <w:hideMark/>
          </w:tcPr>
          <w:p w14:paraId="0D04E47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w:t>
            </w:r>
          </w:p>
        </w:tc>
        <w:tc>
          <w:tcPr>
            <w:tcW w:w="0" w:type="auto"/>
            <w:vAlign w:val="center"/>
            <w:hideMark/>
          </w:tcPr>
          <w:p w14:paraId="0FBDB74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50</w:t>
            </w:r>
          </w:p>
        </w:tc>
        <w:tc>
          <w:tcPr>
            <w:tcW w:w="0" w:type="auto"/>
            <w:vAlign w:val="center"/>
            <w:hideMark/>
          </w:tcPr>
          <w:p w14:paraId="7C2DA11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13.1</w:t>
            </w:r>
          </w:p>
        </w:tc>
      </w:tr>
      <w:tr w:rsidR="004E318A" w:rsidRPr="004E318A" w14:paraId="34BF7F1E" w14:textId="77777777" w:rsidTr="00837505">
        <w:trPr>
          <w:trHeight w:val="170"/>
          <w:tblCellSpacing w:w="15" w:type="dxa"/>
        </w:trPr>
        <w:tc>
          <w:tcPr>
            <w:tcW w:w="0" w:type="auto"/>
            <w:vAlign w:val="center"/>
            <w:hideMark/>
          </w:tcPr>
          <w:p w14:paraId="0DE3386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10–20 min</w:t>
            </w:r>
          </w:p>
        </w:tc>
        <w:tc>
          <w:tcPr>
            <w:tcW w:w="0" w:type="auto"/>
            <w:vAlign w:val="center"/>
            <w:hideMark/>
          </w:tcPr>
          <w:p w14:paraId="60F8AE66"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126</w:t>
            </w:r>
          </w:p>
        </w:tc>
        <w:tc>
          <w:tcPr>
            <w:tcW w:w="0" w:type="auto"/>
            <w:vAlign w:val="center"/>
            <w:hideMark/>
          </w:tcPr>
          <w:p w14:paraId="3F47621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33.0</w:t>
            </w:r>
          </w:p>
        </w:tc>
        <w:tc>
          <w:tcPr>
            <w:tcW w:w="0" w:type="auto"/>
            <w:vAlign w:val="center"/>
            <w:hideMark/>
          </w:tcPr>
          <w:p w14:paraId="308BAAF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w:t>
            </w:r>
          </w:p>
        </w:tc>
        <w:tc>
          <w:tcPr>
            <w:tcW w:w="0" w:type="auto"/>
            <w:vAlign w:val="center"/>
            <w:hideMark/>
          </w:tcPr>
          <w:p w14:paraId="792A4A3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100</w:t>
            </w:r>
          </w:p>
        </w:tc>
        <w:tc>
          <w:tcPr>
            <w:tcW w:w="0" w:type="auto"/>
            <w:vAlign w:val="center"/>
            <w:hideMark/>
          </w:tcPr>
          <w:p w14:paraId="666E6903"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26.2</w:t>
            </w:r>
          </w:p>
        </w:tc>
      </w:tr>
      <w:tr w:rsidR="004E318A" w:rsidRPr="004E318A" w14:paraId="7193DA78" w14:textId="77777777" w:rsidTr="00837505">
        <w:trPr>
          <w:trHeight w:val="170"/>
          <w:tblCellSpacing w:w="15" w:type="dxa"/>
        </w:trPr>
        <w:tc>
          <w:tcPr>
            <w:tcW w:w="0" w:type="auto"/>
            <w:vAlign w:val="center"/>
            <w:hideMark/>
          </w:tcPr>
          <w:p w14:paraId="317C725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21–30 min</w:t>
            </w:r>
          </w:p>
        </w:tc>
        <w:tc>
          <w:tcPr>
            <w:tcW w:w="0" w:type="auto"/>
            <w:vAlign w:val="center"/>
            <w:hideMark/>
          </w:tcPr>
          <w:p w14:paraId="0E3C838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84</w:t>
            </w:r>
          </w:p>
        </w:tc>
        <w:tc>
          <w:tcPr>
            <w:tcW w:w="0" w:type="auto"/>
            <w:vAlign w:val="center"/>
            <w:hideMark/>
          </w:tcPr>
          <w:p w14:paraId="428D88F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22.0</w:t>
            </w:r>
          </w:p>
        </w:tc>
        <w:tc>
          <w:tcPr>
            <w:tcW w:w="0" w:type="auto"/>
            <w:vAlign w:val="center"/>
            <w:hideMark/>
          </w:tcPr>
          <w:p w14:paraId="4ACB24F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w:t>
            </w:r>
          </w:p>
        </w:tc>
        <w:tc>
          <w:tcPr>
            <w:tcW w:w="0" w:type="auto"/>
            <w:vAlign w:val="center"/>
            <w:hideMark/>
          </w:tcPr>
          <w:p w14:paraId="6E5535D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120</w:t>
            </w:r>
          </w:p>
        </w:tc>
        <w:tc>
          <w:tcPr>
            <w:tcW w:w="0" w:type="auto"/>
            <w:vAlign w:val="center"/>
            <w:hideMark/>
          </w:tcPr>
          <w:p w14:paraId="5600A3A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31.4</w:t>
            </w:r>
          </w:p>
        </w:tc>
      </w:tr>
      <w:tr w:rsidR="004E318A" w:rsidRPr="004E318A" w14:paraId="7DDC3CDF" w14:textId="77777777" w:rsidTr="00837505">
        <w:trPr>
          <w:trHeight w:val="170"/>
          <w:tblCellSpacing w:w="15" w:type="dxa"/>
        </w:trPr>
        <w:tc>
          <w:tcPr>
            <w:tcW w:w="0" w:type="auto"/>
            <w:vAlign w:val="center"/>
            <w:hideMark/>
          </w:tcPr>
          <w:p w14:paraId="5031176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31–60 min</w:t>
            </w:r>
          </w:p>
        </w:tc>
        <w:tc>
          <w:tcPr>
            <w:tcW w:w="0" w:type="auto"/>
            <w:vAlign w:val="center"/>
            <w:hideMark/>
          </w:tcPr>
          <w:p w14:paraId="065B437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56</w:t>
            </w:r>
          </w:p>
        </w:tc>
        <w:tc>
          <w:tcPr>
            <w:tcW w:w="0" w:type="auto"/>
            <w:vAlign w:val="center"/>
            <w:hideMark/>
          </w:tcPr>
          <w:p w14:paraId="763770B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14.7</w:t>
            </w:r>
          </w:p>
        </w:tc>
        <w:tc>
          <w:tcPr>
            <w:tcW w:w="0" w:type="auto"/>
            <w:vAlign w:val="center"/>
            <w:hideMark/>
          </w:tcPr>
          <w:p w14:paraId="47ECD3F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w:t>
            </w:r>
          </w:p>
        </w:tc>
        <w:tc>
          <w:tcPr>
            <w:tcW w:w="0" w:type="auto"/>
            <w:vAlign w:val="center"/>
            <w:hideMark/>
          </w:tcPr>
          <w:p w14:paraId="638C3AF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74</w:t>
            </w:r>
          </w:p>
        </w:tc>
        <w:tc>
          <w:tcPr>
            <w:tcW w:w="0" w:type="auto"/>
            <w:vAlign w:val="center"/>
            <w:hideMark/>
          </w:tcPr>
          <w:p w14:paraId="15BFE5B6"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19.3</w:t>
            </w:r>
          </w:p>
        </w:tc>
      </w:tr>
      <w:tr w:rsidR="004E318A" w:rsidRPr="004E318A" w14:paraId="5DE201ED" w14:textId="77777777" w:rsidTr="00837505">
        <w:trPr>
          <w:trHeight w:val="170"/>
          <w:tblCellSpacing w:w="15" w:type="dxa"/>
        </w:trPr>
        <w:tc>
          <w:tcPr>
            <w:tcW w:w="0" w:type="auto"/>
            <w:vAlign w:val="center"/>
            <w:hideMark/>
          </w:tcPr>
          <w:p w14:paraId="05183B57"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&gt;1 hr</w:t>
            </w:r>
          </w:p>
        </w:tc>
        <w:tc>
          <w:tcPr>
            <w:tcW w:w="0" w:type="auto"/>
            <w:vAlign w:val="center"/>
            <w:hideMark/>
          </w:tcPr>
          <w:p w14:paraId="0DA923B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30</w:t>
            </w:r>
          </w:p>
        </w:tc>
        <w:tc>
          <w:tcPr>
            <w:tcW w:w="0" w:type="auto"/>
            <w:vAlign w:val="center"/>
            <w:hideMark/>
          </w:tcPr>
          <w:p w14:paraId="2CCB01C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7.8</w:t>
            </w:r>
          </w:p>
        </w:tc>
        <w:tc>
          <w:tcPr>
            <w:tcW w:w="0" w:type="auto"/>
            <w:vAlign w:val="center"/>
            <w:hideMark/>
          </w:tcPr>
          <w:p w14:paraId="0310569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w:t>
            </w:r>
          </w:p>
        </w:tc>
        <w:tc>
          <w:tcPr>
            <w:tcW w:w="0" w:type="auto"/>
            <w:vAlign w:val="center"/>
            <w:hideMark/>
          </w:tcPr>
          <w:p w14:paraId="24D7694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38</w:t>
            </w:r>
          </w:p>
        </w:tc>
        <w:tc>
          <w:tcPr>
            <w:tcW w:w="0" w:type="auto"/>
            <w:vAlign w:val="center"/>
            <w:hideMark/>
          </w:tcPr>
          <w:p w14:paraId="76EF858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9.9</w:t>
            </w:r>
          </w:p>
        </w:tc>
      </w:tr>
      <w:tr w:rsidR="004E318A" w:rsidRPr="004E318A" w14:paraId="68A53FF4" w14:textId="77777777" w:rsidTr="00837505">
        <w:trPr>
          <w:trHeight w:val="170"/>
          <w:tblCellSpacing w:w="15" w:type="dxa"/>
        </w:trPr>
        <w:tc>
          <w:tcPr>
            <w:tcW w:w="0" w:type="auto"/>
            <w:tcBorders>
              <w:bottom w:val="single" w:sz="4" w:space="0" w:color="auto"/>
            </w:tcBorders>
            <w:vAlign w:val="center"/>
            <w:hideMark/>
          </w:tcPr>
          <w:p w14:paraId="4270CD5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Total</w:t>
            </w:r>
          </w:p>
        </w:tc>
        <w:tc>
          <w:tcPr>
            <w:tcW w:w="0" w:type="auto"/>
            <w:tcBorders>
              <w:bottom w:val="single" w:sz="4" w:space="0" w:color="auto"/>
            </w:tcBorders>
            <w:vAlign w:val="center"/>
            <w:hideMark/>
          </w:tcPr>
          <w:p w14:paraId="7C837B0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382</w:t>
            </w:r>
          </w:p>
        </w:tc>
        <w:tc>
          <w:tcPr>
            <w:tcW w:w="0" w:type="auto"/>
            <w:tcBorders>
              <w:bottom w:val="single" w:sz="4" w:space="0" w:color="auto"/>
            </w:tcBorders>
            <w:vAlign w:val="center"/>
            <w:hideMark/>
          </w:tcPr>
          <w:p w14:paraId="5B14446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100</w:t>
            </w:r>
          </w:p>
        </w:tc>
        <w:tc>
          <w:tcPr>
            <w:tcW w:w="0" w:type="auto"/>
            <w:tcBorders>
              <w:bottom w:val="single" w:sz="4" w:space="0" w:color="auto"/>
            </w:tcBorders>
            <w:vAlign w:val="center"/>
            <w:hideMark/>
          </w:tcPr>
          <w:p w14:paraId="3391743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Total</w:t>
            </w:r>
          </w:p>
        </w:tc>
        <w:tc>
          <w:tcPr>
            <w:tcW w:w="0" w:type="auto"/>
            <w:tcBorders>
              <w:bottom w:val="single" w:sz="4" w:space="0" w:color="auto"/>
            </w:tcBorders>
            <w:vAlign w:val="center"/>
            <w:hideMark/>
          </w:tcPr>
          <w:p w14:paraId="6E255147"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382</w:t>
            </w:r>
          </w:p>
        </w:tc>
        <w:tc>
          <w:tcPr>
            <w:tcW w:w="0" w:type="auto"/>
            <w:tcBorders>
              <w:bottom w:val="single" w:sz="4" w:space="0" w:color="auto"/>
            </w:tcBorders>
            <w:vAlign w:val="center"/>
            <w:hideMark/>
          </w:tcPr>
          <w:p w14:paraId="28ABFA1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100</w:t>
            </w:r>
          </w:p>
        </w:tc>
      </w:tr>
    </w:tbl>
    <w:p w14:paraId="2693756B" w14:textId="26404467" w:rsidR="004E318A" w:rsidRPr="004E318A" w:rsidRDefault="004E318A" w:rsidP="004E318A">
      <w:pPr>
        <w:spacing w:line="360" w:lineRule="auto"/>
        <w:jc w:val="both"/>
        <w:rPr>
          <w:rFonts w:ascii="Times New Roman" w:hAnsi="Times New Roman" w:cs="Times New Roman"/>
        </w:rPr>
      </w:pPr>
    </w:p>
    <w:p w14:paraId="020C546E" w14:textId="4BE8B5CA"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Water Service Providers</w:t>
      </w:r>
    </w:p>
    <w:p w14:paraId="2E0FA92C" w14:textId="516ECADD"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 xml:space="preserve">Table </w:t>
      </w:r>
      <w:r w:rsidR="00622FEE">
        <w:rPr>
          <w:rFonts w:ascii="Times New Roman" w:hAnsi="Times New Roman" w:cs="Times New Roman"/>
        </w:rPr>
        <w:t>8</w:t>
      </w:r>
      <w:r w:rsidRPr="004E318A">
        <w:rPr>
          <w:rFonts w:ascii="Times New Roman" w:hAnsi="Times New Roman" w:cs="Times New Roman"/>
        </w:rPr>
        <w:t xml:space="preserve"> shows the major water service providers. Private vendors constituted the largest provider category (43.5%), followed by self-supply systems (26.2%). Government agencies accounted for only 14.1% of household water supply.</w:t>
      </w:r>
    </w:p>
    <w:p w14:paraId="779963F9" w14:textId="77777777" w:rsidR="00837505" w:rsidRDefault="00837505" w:rsidP="004E318A">
      <w:pPr>
        <w:spacing w:line="360" w:lineRule="auto"/>
        <w:jc w:val="both"/>
        <w:rPr>
          <w:rFonts w:ascii="Times New Roman" w:hAnsi="Times New Roman" w:cs="Times New Roman"/>
          <w:b/>
          <w:bCs/>
        </w:rPr>
      </w:pPr>
    </w:p>
    <w:p w14:paraId="7388B61B" w14:textId="77777777" w:rsidR="00837505" w:rsidRDefault="00837505" w:rsidP="004E318A">
      <w:pPr>
        <w:spacing w:line="360" w:lineRule="auto"/>
        <w:jc w:val="both"/>
        <w:rPr>
          <w:rFonts w:ascii="Times New Roman" w:hAnsi="Times New Roman" w:cs="Times New Roman"/>
          <w:b/>
          <w:bCs/>
        </w:rPr>
      </w:pPr>
    </w:p>
    <w:p w14:paraId="65BBB26B" w14:textId="77777777" w:rsidR="00837505" w:rsidRDefault="00837505" w:rsidP="004E318A">
      <w:pPr>
        <w:spacing w:line="360" w:lineRule="auto"/>
        <w:jc w:val="both"/>
        <w:rPr>
          <w:rFonts w:ascii="Times New Roman" w:hAnsi="Times New Roman" w:cs="Times New Roman"/>
          <w:b/>
          <w:bCs/>
        </w:rPr>
      </w:pPr>
    </w:p>
    <w:p w14:paraId="04395766" w14:textId="77777777" w:rsidR="00837505" w:rsidRDefault="00837505" w:rsidP="004E318A">
      <w:pPr>
        <w:spacing w:line="360" w:lineRule="auto"/>
        <w:jc w:val="both"/>
        <w:rPr>
          <w:rFonts w:ascii="Times New Roman" w:hAnsi="Times New Roman" w:cs="Times New Roman"/>
          <w:b/>
          <w:bCs/>
        </w:rPr>
      </w:pPr>
    </w:p>
    <w:p w14:paraId="29D9D315" w14:textId="3A002041" w:rsidR="004E318A" w:rsidRPr="00622FEE" w:rsidRDefault="004E318A" w:rsidP="00837505">
      <w:pPr>
        <w:spacing w:after="0" w:line="240" w:lineRule="auto"/>
        <w:jc w:val="both"/>
        <w:rPr>
          <w:rFonts w:ascii="Times New Roman" w:hAnsi="Times New Roman" w:cs="Times New Roman"/>
        </w:rPr>
      </w:pPr>
      <w:r w:rsidRPr="00622FEE">
        <w:rPr>
          <w:rFonts w:ascii="Times New Roman" w:hAnsi="Times New Roman" w:cs="Times New Roman"/>
        </w:rPr>
        <w:t xml:space="preserve">Table </w:t>
      </w:r>
      <w:r w:rsidR="00622FEE" w:rsidRPr="00622FEE">
        <w:rPr>
          <w:rFonts w:ascii="Times New Roman" w:hAnsi="Times New Roman" w:cs="Times New Roman"/>
        </w:rPr>
        <w:t>8:</w:t>
      </w:r>
      <w:r w:rsidRPr="00622FEE">
        <w:rPr>
          <w:rFonts w:ascii="Times New Roman" w:hAnsi="Times New Roman" w:cs="Times New Roman"/>
        </w:rPr>
        <w:t xml:space="preserve"> Water Service Providers</w:t>
      </w:r>
    </w:p>
    <w:tbl>
      <w:tblPr>
        <w:tblW w:w="9362" w:type="dxa"/>
        <w:tblCellSpacing w:w="15" w:type="dxa"/>
        <w:tblCellMar>
          <w:top w:w="15" w:type="dxa"/>
          <w:left w:w="15" w:type="dxa"/>
          <w:bottom w:w="15" w:type="dxa"/>
          <w:right w:w="15" w:type="dxa"/>
        </w:tblCellMar>
        <w:tblLook w:val="04A0" w:firstRow="1" w:lastRow="0" w:firstColumn="1" w:lastColumn="0" w:noHBand="0" w:noVBand="1"/>
      </w:tblPr>
      <w:tblGrid>
        <w:gridCol w:w="3428"/>
        <w:gridCol w:w="2430"/>
        <w:gridCol w:w="3504"/>
      </w:tblGrid>
      <w:tr w:rsidR="004E318A" w:rsidRPr="00837505" w14:paraId="2595B3C3" w14:textId="77777777" w:rsidTr="00837505">
        <w:trPr>
          <w:trHeight w:val="170"/>
          <w:tblHeader/>
          <w:tblCellSpacing w:w="15" w:type="dxa"/>
        </w:trPr>
        <w:tc>
          <w:tcPr>
            <w:tcW w:w="0" w:type="auto"/>
            <w:tcBorders>
              <w:top w:val="single" w:sz="4" w:space="0" w:color="auto"/>
              <w:bottom w:val="single" w:sz="4" w:space="0" w:color="auto"/>
            </w:tcBorders>
            <w:vAlign w:val="center"/>
            <w:hideMark/>
          </w:tcPr>
          <w:p w14:paraId="24838BC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Provider</w:t>
            </w:r>
          </w:p>
        </w:tc>
        <w:tc>
          <w:tcPr>
            <w:tcW w:w="0" w:type="auto"/>
            <w:tcBorders>
              <w:top w:val="single" w:sz="4" w:space="0" w:color="auto"/>
              <w:bottom w:val="single" w:sz="4" w:space="0" w:color="auto"/>
            </w:tcBorders>
            <w:vAlign w:val="center"/>
            <w:hideMark/>
          </w:tcPr>
          <w:p w14:paraId="6596C94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Frequency</w:t>
            </w:r>
          </w:p>
        </w:tc>
        <w:tc>
          <w:tcPr>
            <w:tcW w:w="0" w:type="auto"/>
            <w:tcBorders>
              <w:top w:val="single" w:sz="4" w:space="0" w:color="auto"/>
              <w:bottom w:val="single" w:sz="4" w:space="0" w:color="auto"/>
            </w:tcBorders>
            <w:vAlign w:val="center"/>
            <w:hideMark/>
          </w:tcPr>
          <w:p w14:paraId="64B5980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Percentage (%)</w:t>
            </w:r>
          </w:p>
        </w:tc>
      </w:tr>
      <w:tr w:rsidR="004E318A" w:rsidRPr="00837505" w14:paraId="0B55245F" w14:textId="77777777" w:rsidTr="00837505">
        <w:trPr>
          <w:trHeight w:val="170"/>
          <w:tblCellSpacing w:w="15" w:type="dxa"/>
        </w:trPr>
        <w:tc>
          <w:tcPr>
            <w:tcW w:w="0" w:type="auto"/>
            <w:vAlign w:val="center"/>
            <w:hideMark/>
          </w:tcPr>
          <w:p w14:paraId="7B1DFF4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Government</w:t>
            </w:r>
          </w:p>
        </w:tc>
        <w:tc>
          <w:tcPr>
            <w:tcW w:w="0" w:type="auto"/>
            <w:vAlign w:val="center"/>
            <w:hideMark/>
          </w:tcPr>
          <w:p w14:paraId="48D82768"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54</w:t>
            </w:r>
          </w:p>
        </w:tc>
        <w:tc>
          <w:tcPr>
            <w:tcW w:w="0" w:type="auto"/>
            <w:vAlign w:val="center"/>
            <w:hideMark/>
          </w:tcPr>
          <w:p w14:paraId="276C932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14.1</w:t>
            </w:r>
          </w:p>
        </w:tc>
      </w:tr>
      <w:tr w:rsidR="004E318A" w:rsidRPr="00837505" w14:paraId="4D93BB8F" w14:textId="77777777" w:rsidTr="00837505">
        <w:trPr>
          <w:trHeight w:val="170"/>
          <w:tblCellSpacing w:w="15" w:type="dxa"/>
        </w:trPr>
        <w:tc>
          <w:tcPr>
            <w:tcW w:w="0" w:type="auto"/>
            <w:vAlign w:val="center"/>
            <w:hideMark/>
          </w:tcPr>
          <w:p w14:paraId="5C60F9A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Private/Vendor</w:t>
            </w:r>
          </w:p>
        </w:tc>
        <w:tc>
          <w:tcPr>
            <w:tcW w:w="0" w:type="auto"/>
            <w:vAlign w:val="center"/>
            <w:hideMark/>
          </w:tcPr>
          <w:p w14:paraId="0F56246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166</w:t>
            </w:r>
          </w:p>
        </w:tc>
        <w:tc>
          <w:tcPr>
            <w:tcW w:w="0" w:type="auto"/>
            <w:vAlign w:val="center"/>
            <w:hideMark/>
          </w:tcPr>
          <w:p w14:paraId="76C0629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43.5</w:t>
            </w:r>
          </w:p>
        </w:tc>
      </w:tr>
      <w:tr w:rsidR="004E318A" w:rsidRPr="00837505" w14:paraId="71C5FD2D" w14:textId="77777777" w:rsidTr="00837505">
        <w:trPr>
          <w:trHeight w:val="170"/>
          <w:tblCellSpacing w:w="15" w:type="dxa"/>
        </w:trPr>
        <w:tc>
          <w:tcPr>
            <w:tcW w:w="0" w:type="auto"/>
            <w:vAlign w:val="center"/>
            <w:hideMark/>
          </w:tcPr>
          <w:p w14:paraId="378F427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Community</w:t>
            </w:r>
          </w:p>
        </w:tc>
        <w:tc>
          <w:tcPr>
            <w:tcW w:w="0" w:type="auto"/>
            <w:vAlign w:val="center"/>
            <w:hideMark/>
          </w:tcPr>
          <w:p w14:paraId="0DF620E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44</w:t>
            </w:r>
          </w:p>
        </w:tc>
        <w:tc>
          <w:tcPr>
            <w:tcW w:w="0" w:type="auto"/>
            <w:vAlign w:val="center"/>
            <w:hideMark/>
          </w:tcPr>
          <w:p w14:paraId="36583A6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11.5</w:t>
            </w:r>
          </w:p>
        </w:tc>
      </w:tr>
      <w:tr w:rsidR="004E318A" w:rsidRPr="00837505" w14:paraId="056BCBE0" w14:textId="77777777" w:rsidTr="00837505">
        <w:trPr>
          <w:trHeight w:val="170"/>
          <w:tblCellSpacing w:w="15" w:type="dxa"/>
        </w:trPr>
        <w:tc>
          <w:tcPr>
            <w:tcW w:w="0" w:type="auto"/>
            <w:vAlign w:val="center"/>
            <w:hideMark/>
          </w:tcPr>
          <w:p w14:paraId="538E8D2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NGO</w:t>
            </w:r>
          </w:p>
        </w:tc>
        <w:tc>
          <w:tcPr>
            <w:tcW w:w="0" w:type="auto"/>
            <w:vAlign w:val="center"/>
            <w:hideMark/>
          </w:tcPr>
          <w:p w14:paraId="1ECACB7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18</w:t>
            </w:r>
          </w:p>
        </w:tc>
        <w:tc>
          <w:tcPr>
            <w:tcW w:w="0" w:type="auto"/>
            <w:vAlign w:val="center"/>
            <w:hideMark/>
          </w:tcPr>
          <w:p w14:paraId="64ED79F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4.7</w:t>
            </w:r>
          </w:p>
        </w:tc>
      </w:tr>
      <w:tr w:rsidR="004E318A" w:rsidRPr="00837505" w14:paraId="5B5F6A31" w14:textId="77777777" w:rsidTr="00837505">
        <w:trPr>
          <w:trHeight w:val="170"/>
          <w:tblCellSpacing w:w="15" w:type="dxa"/>
        </w:trPr>
        <w:tc>
          <w:tcPr>
            <w:tcW w:w="0" w:type="auto"/>
            <w:vAlign w:val="center"/>
            <w:hideMark/>
          </w:tcPr>
          <w:p w14:paraId="1379022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Self-supply</w:t>
            </w:r>
          </w:p>
        </w:tc>
        <w:tc>
          <w:tcPr>
            <w:tcW w:w="0" w:type="auto"/>
            <w:vAlign w:val="center"/>
            <w:hideMark/>
          </w:tcPr>
          <w:p w14:paraId="245376D8"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100</w:t>
            </w:r>
          </w:p>
        </w:tc>
        <w:tc>
          <w:tcPr>
            <w:tcW w:w="0" w:type="auto"/>
            <w:vAlign w:val="center"/>
            <w:hideMark/>
          </w:tcPr>
          <w:p w14:paraId="3103018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26.2</w:t>
            </w:r>
          </w:p>
        </w:tc>
      </w:tr>
      <w:tr w:rsidR="004E318A" w:rsidRPr="00837505" w14:paraId="63A81AED" w14:textId="77777777" w:rsidTr="00837505">
        <w:trPr>
          <w:trHeight w:val="170"/>
          <w:tblCellSpacing w:w="15" w:type="dxa"/>
        </w:trPr>
        <w:tc>
          <w:tcPr>
            <w:tcW w:w="0" w:type="auto"/>
            <w:tcBorders>
              <w:bottom w:val="single" w:sz="4" w:space="0" w:color="auto"/>
            </w:tcBorders>
            <w:vAlign w:val="center"/>
            <w:hideMark/>
          </w:tcPr>
          <w:p w14:paraId="7679D02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Total</w:t>
            </w:r>
          </w:p>
        </w:tc>
        <w:tc>
          <w:tcPr>
            <w:tcW w:w="0" w:type="auto"/>
            <w:tcBorders>
              <w:bottom w:val="single" w:sz="4" w:space="0" w:color="auto"/>
            </w:tcBorders>
            <w:vAlign w:val="center"/>
            <w:hideMark/>
          </w:tcPr>
          <w:p w14:paraId="3A349AF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382</w:t>
            </w:r>
          </w:p>
        </w:tc>
        <w:tc>
          <w:tcPr>
            <w:tcW w:w="0" w:type="auto"/>
            <w:tcBorders>
              <w:bottom w:val="single" w:sz="4" w:space="0" w:color="auto"/>
            </w:tcBorders>
            <w:vAlign w:val="center"/>
            <w:hideMark/>
          </w:tcPr>
          <w:p w14:paraId="0F2A450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100</w:t>
            </w:r>
          </w:p>
        </w:tc>
      </w:tr>
    </w:tbl>
    <w:p w14:paraId="431DE511" w14:textId="5803D647" w:rsidR="004E318A" w:rsidRPr="004E318A" w:rsidRDefault="004E318A" w:rsidP="004E318A">
      <w:pPr>
        <w:spacing w:line="360" w:lineRule="auto"/>
        <w:jc w:val="both"/>
        <w:rPr>
          <w:rFonts w:ascii="Times New Roman" w:hAnsi="Times New Roman" w:cs="Times New Roman"/>
        </w:rPr>
      </w:pPr>
    </w:p>
    <w:p w14:paraId="6CE99763" w14:textId="4E013343"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Household Income and Access to Improved Water Sources</w:t>
      </w:r>
    </w:p>
    <w:p w14:paraId="5861A57A" w14:textId="0708530F"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 xml:space="preserve">Table </w:t>
      </w:r>
      <w:r w:rsidR="00622FEE">
        <w:rPr>
          <w:rFonts w:ascii="Times New Roman" w:hAnsi="Times New Roman" w:cs="Times New Roman"/>
        </w:rPr>
        <w:t>9</w:t>
      </w:r>
      <w:r w:rsidRPr="004E318A">
        <w:rPr>
          <w:rFonts w:ascii="Times New Roman" w:hAnsi="Times New Roman" w:cs="Times New Roman"/>
        </w:rPr>
        <w:t xml:space="preserve"> presents the relationship between income level and access to improved water sources. Access to improved sources increased progressively with income level, ranging from 47.0% among households earning less than ₦20,000 monthly to 86.5% among households earning at least ₦100,000 monthly.</w:t>
      </w:r>
    </w:p>
    <w:p w14:paraId="3516248B" w14:textId="3421AAE8" w:rsidR="004E318A" w:rsidRPr="00622FEE" w:rsidRDefault="004E318A" w:rsidP="00622FEE">
      <w:pPr>
        <w:spacing w:after="0" w:line="240" w:lineRule="auto"/>
        <w:jc w:val="both"/>
        <w:rPr>
          <w:rFonts w:ascii="Times New Roman" w:hAnsi="Times New Roman" w:cs="Times New Roman"/>
        </w:rPr>
      </w:pPr>
      <w:r w:rsidRPr="00622FEE">
        <w:rPr>
          <w:rFonts w:ascii="Times New Roman" w:hAnsi="Times New Roman" w:cs="Times New Roman"/>
        </w:rPr>
        <w:t xml:space="preserve">Table </w:t>
      </w:r>
      <w:r w:rsidR="00622FEE" w:rsidRPr="00622FEE">
        <w:rPr>
          <w:rFonts w:ascii="Times New Roman" w:hAnsi="Times New Roman" w:cs="Times New Roman"/>
        </w:rPr>
        <w:t>9:</w:t>
      </w:r>
      <w:r w:rsidRPr="00622FEE">
        <w:rPr>
          <w:rFonts w:ascii="Times New Roman" w:hAnsi="Times New Roman" w:cs="Times New Roman"/>
        </w:rPr>
        <w:t xml:space="preserve"> Household Income and Access to Improved Water Sources</w:t>
      </w:r>
    </w:p>
    <w:tbl>
      <w:tblPr>
        <w:tblW w:w="9403" w:type="dxa"/>
        <w:tblCellSpacing w:w="15" w:type="dxa"/>
        <w:tblCellMar>
          <w:top w:w="15" w:type="dxa"/>
          <w:left w:w="15" w:type="dxa"/>
          <w:bottom w:w="15" w:type="dxa"/>
          <w:right w:w="15" w:type="dxa"/>
        </w:tblCellMar>
        <w:tblLook w:val="04A0" w:firstRow="1" w:lastRow="0" w:firstColumn="1" w:lastColumn="0" w:noHBand="0" w:noVBand="1"/>
      </w:tblPr>
      <w:tblGrid>
        <w:gridCol w:w="2645"/>
        <w:gridCol w:w="3172"/>
        <w:gridCol w:w="3586"/>
      </w:tblGrid>
      <w:tr w:rsidR="004E318A" w:rsidRPr="004E318A" w14:paraId="2C729FC7" w14:textId="77777777" w:rsidTr="00837505">
        <w:trPr>
          <w:trHeight w:val="170"/>
          <w:tblHeader/>
          <w:tblCellSpacing w:w="15" w:type="dxa"/>
        </w:trPr>
        <w:tc>
          <w:tcPr>
            <w:tcW w:w="0" w:type="auto"/>
            <w:tcBorders>
              <w:top w:val="single" w:sz="4" w:space="0" w:color="auto"/>
              <w:bottom w:val="single" w:sz="4" w:space="0" w:color="auto"/>
            </w:tcBorders>
            <w:vAlign w:val="center"/>
            <w:hideMark/>
          </w:tcPr>
          <w:p w14:paraId="2D84BF9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Income (₦/month)</w:t>
            </w:r>
          </w:p>
        </w:tc>
        <w:tc>
          <w:tcPr>
            <w:tcW w:w="0" w:type="auto"/>
            <w:tcBorders>
              <w:top w:val="single" w:sz="4" w:space="0" w:color="auto"/>
              <w:bottom w:val="single" w:sz="4" w:space="0" w:color="auto"/>
            </w:tcBorders>
            <w:vAlign w:val="center"/>
            <w:hideMark/>
          </w:tcPr>
          <w:p w14:paraId="58B5D3B3"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Improved Sources (%)</w:t>
            </w:r>
          </w:p>
        </w:tc>
        <w:tc>
          <w:tcPr>
            <w:tcW w:w="0" w:type="auto"/>
            <w:tcBorders>
              <w:top w:val="single" w:sz="4" w:space="0" w:color="auto"/>
              <w:bottom w:val="single" w:sz="4" w:space="0" w:color="auto"/>
            </w:tcBorders>
            <w:vAlign w:val="center"/>
            <w:hideMark/>
          </w:tcPr>
          <w:p w14:paraId="5287527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Unimproved Sources (%)</w:t>
            </w:r>
          </w:p>
        </w:tc>
      </w:tr>
      <w:tr w:rsidR="004E318A" w:rsidRPr="004E318A" w14:paraId="2588AA4F" w14:textId="77777777" w:rsidTr="00837505">
        <w:trPr>
          <w:trHeight w:val="170"/>
          <w:tblCellSpacing w:w="15" w:type="dxa"/>
        </w:trPr>
        <w:tc>
          <w:tcPr>
            <w:tcW w:w="0" w:type="auto"/>
            <w:vAlign w:val="center"/>
            <w:hideMark/>
          </w:tcPr>
          <w:p w14:paraId="4468704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&lt;20,000</w:t>
            </w:r>
          </w:p>
        </w:tc>
        <w:tc>
          <w:tcPr>
            <w:tcW w:w="0" w:type="auto"/>
            <w:vAlign w:val="center"/>
            <w:hideMark/>
          </w:tcPr>
          <w:p w14:paraId="75A75B1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47.0</w:t>
            </w:r>
          </w:p>
        </w:tc>
        <w:tc>
          <w:tcPr>
            <w:tcW w:w="0" w:type="auto"/>
            <w:vAlign w:val="center"/>
            <w:hideMark/>
          </w:tcPr>
          <w:p w14:paraId="305E1CE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53.0</w:t>
            </w:r>
          </w:p>
        </w:tc>
      </w:tr>
      <w:tr w:rsidR="004E318A" w:rsidRPr="004E318A" w14:paraId="19B7EB0B" w14:textId="77777777" w:rsidTr="00837505">
        <w:trPr>
          <w:trHeight w:val="170"/>
          <w:tblCellSpacing w:w="15" w:type="dxa"/>
        </w:trPr>
        <w:tc>
          <w:tcPr>
            <w:tcW w:w="0" w:type="auto"/>
            <w:vAlign w:val="center"/>
            <w:hideMark/>
          </w:tcPr>
          <w:p w14:paraId="06FA55F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20,000–49,999</w:t>
            </w:r>
          </w:p>
        </w:tc>
        <w:tc>
          <w:tcPr>
            <w:tcW w:w="0" w:type="auto"/>
            <w:vAlign w:val="center"/>
            <w:hideMark/>
          </w:tcPr>
          <w:p w14:paraId="4CC1BB1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63.9</w:t>
            </w:r>
          </w:p>
        </w:tc>
        <w:tc>
          <w:tcPr>
            <w:tcW w:w="0" w:type="auto"/>
            <w:vAlign w:val="center"/>
            <w:hideMark/>
          </w:tcPr>
          <w:p w14:paraId="3F32C4E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36.1</w:t>
            </w:r>
          </w:p>
        </w:tc>
      </w:tr>
      <w:tr w:rsidR="004E318A" w:rsidRPr="004E318A" w14:paraId="5E7FCD06" w14:textId="77777777" w:rsidTr="00837505">
        <w:trPr>
          <w:trHeight w:val="170"/>
          <w:tblCellSpacing w:w="15" w:type="dxa"/>
        </w:trPr>
        <w:tc>
          <w:tcPr>
            <w:tcW w:w="0" w:type="auto"/>
            <w:vAlign w:val="center"/>
            <w:hideMark/>
          </w:tcPr>
          <w:p w14:paraId="3FC0CFC6"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50,000–99,999</w:t>
            </w:r>
          </w:p>
        </w:tc>
        <w:tc>
          <w:tcPr>
            <w:tcW w:w="0" w:type="auto"/>
            <w:vAlign w:val="center"/>
            <w:hideMark/>
          </w:tcPr>
          <w:p w14:paraId="62EFC368"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74.0</w:t>
            </w:r>
          </w:p>
        </w:tc>
        <w:tc>
          <w:tcPr>
            <w:tcW w:w="0" w:type="auto"/>
            <w:vAlign w:val="center"/>
            <w:hideMark/>
          </w:tcPr>
          <w:p w14:paraId="23285CE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26.0</w:t>
            </w:r>
          </w:p>
        </w:tc>
      </w:tr>
      <w:tr w:rsidR="004E318A" w:rsidRPr="004E318A" w14:paraId="5B37B96A" w14:textId="77777777" w:rsidTr="00837505">
        <w:trPr>
          <w:trHeight w:val="170"/>
          <w:tblCellSpacing w:w="15" w:type="dxa"/>
        </w:trPr>
        <w:tc>
          <w:tcPr>
            <w:tcW w:w="0" w:type="auto"/>
            <w:tcBorders>
              <w:bottom w:val="single" w:sz="4" w:space="0" w:color="auto"/>
            </w:tcBorders>
            <w:vAlign w:val="center"/>
            <w:hideMark/>
          </w:tcPr>
          <w:p w14:paraId="67E93C3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≥100,000</w:t>
            </w:r>
          </w:p>
        </w:tc>
        <w:tc>
          <w:tcPr>
            <w:tcW w:w="0" w:type="auto"/>
            <w:tcBorders>
              <w:bottom w:val="single" w:sz="4" w:space="0" w:color="auto"/>
            </w:tcBorders>
            <w:vAlign w:val="center"/>
            <w:hideMark/>
          </w:tcPr>
          <w:p w14:paraId="79B8E0E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86.5</w:t>
            </w:r>
          </w:p>
        </w:tc>
        <w:tc>
          <w:tcPr>
            <w:tcW w:w="0" w:type="auto"/>
            <w:tcBorders>
              <w:bottom w:val="single" w:sz="4" w:space="0" w:color="auto"/>
            </w:tcBorders>
            <w:vAlign w:val="center"/>
            <w:hideMark/>
          </w:tcPr>
          <w:p w14:paraId="4499CC1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13.5</w:t>
            </w:r>
          </w:p>
        </w:tc>
      </w:tr>
    </w:tbl>
    <w:p w14:paraId="03D10BA7" w14:textId="49C2FA29" w:rsidR="004E318A" w:rsidRPr="004E318A" w:rsidRDefault="004E318A" w:rsidP="004E318A">
      <w:pPr>
        <w:spacing w:line="360" w:lineRule="auto"/>
        <w:jc w:val="both"/>
        <w:rPr>
          <w:rFonts w:ascii="Times New Roman" w:hAnsi="Times New Roman" w:cs="Times New Roman"/>
        </w:rPr>
      </w:pPr>
    </w:p>
    <w:p w14:paraId="05B8A79D" w14:textId="46DB49A4"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Perception of Water Accessibility</w:t>
      </w:r>
    </w:p>
    <w:p w14:paraId="77A5F73B" w14:textId="65A4FF3A" w:rsidR="00837505" w:rsidRDefault="004E318A" w:rsidP="004E318A">
      <w:pPr>
        <w:spacing w:line="360" w:lineRule="auto"/>
        <w:jc w:val="both"/>
        <w:rPr>
          <w:rFonts w:ascii="Times New Roman" w:hAnsi="Times New Roman" w:cs="Times New Roman"/>
        </w:rPr>
      </w:pPr>
      <w:r w:rsidRPr="004E318A">
        <w:rPr>
          <w:rFonts w:ascii="Times New Roman" w:hAnsi="Times New Roman" w:cs="Times New Roman"/>
        </w:rPr>
        <w:t>Respondents' perceptions of water accessibility are summarized in Table 9. The highest mean score was recorded for the need for better planning and management (Mean = 4.74), while government performance received the lowest rating (Mean = 2.20).</w:t>
      </w:r>
    </w:p>
    <w:p w14:paraId="092D9D31" w14:textId="77777777" w:rsidR="00622FEE" w:rsidRDefault="00622FEE" w:rsidP="004E318A">
      <w:pPr>
        <w:spacing w:line="360" w:lineRule="auto"/>
        <w:jc w:val="both"/>
        <w:rPr>
          <w:rFonts w:ascii="Times New Roman" w:hAnsi="Times New Roman" w:cs="Times New Roman"/>
        </w:rPr>
      </w:pPr>
    </w:p>
    <w:p w14:paraId="71D72126" w14:textId="77777777" w:rsidR="00622FEE" w:rsidRDefault="00622FEE" w:rsidP="004E318A">
      <w:pPr>
        <w:spacing w:line="360" w:lineRule="auto"/>
        <w:jc w:val="both"/>
        <w:rPr>
          <w:rFonts w:ascii="Times New Roman" w:hAnsi="Times New Roman" w:cs="Times New Roman"/>
        </w:rPr>
      </w:pPr>
    </w:p>
    <w:p w14:paraId="0A58FF2F" w14:textId="77777777" w:rsidR="00622FEE" w:rsidRDefault="00622FEE" w:rsidP="004E318A">
      <w:pPr>
        <w:spacing w:line="360" w:lineRule="auto"/>
        <w:jc w:val="both"/>
        <w:rPr>
          <w:rFonts w:ascii="Times New Roman" w:hAnsi="Times New Roman" w:cs="Times New Roman"/>
        </w:rPr>
      </w:pPr>
    </w:p>
    <w:p w14:paraId="77D86B09" w14:textId="77777777" w:rsidR="00622FEE" w:rsidRDefault="00622FEE" w:rsidP="004E318A">
      <w:pPr>
        <w:spacing w:line="360" w:lineRule="auto"/>
        <w:jc w:val="both"/>
        <w:rPr>
          <w:rFonts w:ascii="Times New Roman" w:hAnsi="Times New Roman" w:cs="Times New Roman"/>
        </w:rPr>
      </w:pPr>
    </w:p>
    <w:p w14:paraId="41DB954B" w14:textId="77777777" w:rsidR="00622FEE" w:rsidRPr="00622FEE" w:rsidRDefault="00622FEE" w:rsidP="004E318A">
      <w:pPr>
        <w:spacing w:line="360" w:lineRule="auto"/>
        <w:jc w:val="both"/>
        <w:rPr>
          <w:rFonts w:ascii="Times New Roman" w:hAnsi="Times New Roman" w:cs="Times New Roman"/>
        </w:rPr>
      </w:pPr>
    </w:p>
    <w:p w14:paraId="43CC7182" w14:textId="61BEE158" w:rsidR="004E318A" w:rsidRPr="000B3F34" w:rsidRDefault="004E318A" w:rsidP="00837505">
      <w:pPr>
        <w:spacing w:after="0" w:line="240" w:lineRule="auto"/>
        <w:jc w:val="both"/>
        <w:rPr>
          <w:rFonts w:ascii="Times New Roman" w:hAnsi="Times New Roman" w:cs="Times New Roman"/>
        </w:rPr>
      </w:pPr>
      <w:r w:rsidRPr="000B3F34">
        <w:rPr>
          <w:rFonts w:ascii="Times New Roman" w:hAnsi="Times New Roman" w:cs="Times New Roman"/>
        </w:rPr>
        <w:t xml:space="preserve">Table </w:t>
      </w:r>
      <w:r w:rsidR="000B3F34">
        <w:rPr>
          <w:rFonts w:ascii="Times New Roman" w:hAnsi="Times New Roman" w:cs="Times New Roman"/>
        </w:rPr>
        <w:t>10</w:t>
      </w:r>
      <w:r w:rsidRPr="000B3F34">
        <w:rPr>
          <w:rFonts w:ascii="Times New Roman" w:hAnsi="Times New Roman" w:cs="Times New Roman"/>
        </w:rPr>
        <w:t>. Perception of Water Accessibility</w:t>
      </w:r>
    </w:p>
    <w:tbl>
      <w:tblPr>
        <w:tblW w:w="9055" w:type="dxa"/>
        <w:tblCellSpacing w:w="15" w:type="dxa"/>
        <w:tblCellMar>
          <w:top w:w="15" w:type="dxa"/>
          <w:left w:w="15" w:type="dxa"/>
          <w:bottom w:w="15" w:type="dxa"/>
          <w:right w:w="15" w:type="dxa"/>
        </w:tblCellMar>
        <w:tblLook w:val="04A0" w:firstRow="1" w:lastRow="0" w:firstColumn="1" w:lastColumn="0" w:noHBand="0" w:noVBand="1"/>
      </w:tblPr>
      <w:tblGrid>
        <w:gridCol w:w="5974"/>
        <w:gridCol w:w="869"/>
        <w:gridCol w:w="2212"/>
      </w:tblGrid>
      <w:tr w:rsidR="004E318A" w:rsidRPr="004E318A" w14:paraId="7C8C88B6" w14:textId="77777777" w:rsidTr="00837505">
        <w:trPr>
          <w:trHeight w:val="170"/>
          <w:tblHeader/>
          <w:tblCellSpacing w:w="15" w:type="dxa"/>
        </w:trPr>
        <w:tc>
          <w:tcPr>
            <w:tcW w:w="0" w:type="auto"/>
            <w:tcBorders>
              <w:top w:val="single" w:sz="4" w:space="0" w:color="auto"/>
              <w:bottom w:val="single" w:sz="4" w:space="0" w:color="auto"/>
            </w:tcBorders>
            <w:vAlign w:val="center"/>
            <w:hideMark/>
          </w:tcPr>
          <w:p w14:paraId="152B71E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Statement</w:t>
            </w:r>
          </w:p>
        </w:tc>
        <w:tc>
          <w:tcPr>
            <w:tcW w:w="0" w:type="auto"/>
            <w:tcBorders>
              <w:top w:val="single" w:sz="4" w:space="0" w:color="auto"/>
              <w:bottom w:val="single" w:sz="4" w:space="0" w:color="auto"/>
            </w:tcBorders>
            <w:vAlign w:val="center"/>
            <w:hideMark/>
          </w:tcPr>
          <w:p w14:paraId="3EBC7C8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Mean</w:t>
            </w:r>
          </w:p>
        </w:tc>
        <w:tc>
          <w:tcPr>
            <w:tcW w:w="0" w:type="auto"/>
            <w:tcBorders>
              <w:top w:val="single" w:sz="4" w:space="0" w:color="auto"/>
              <w:bottom w:val="single" w:sz="4" w:space="0" w:color="auto"/>
            </w:tcBorders>
            <w:vAlign w:val="center"/>
            <w:hideMark/>
          </w:tcPr>
          <w:p w14:paraId="60036026"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Interpretation</w:t>
            </w:r>
          </w:p>
        </w:tc>
      </w:tr>
      <w:tr w:rsidR="004E318A" w:rsidRPr="004E318A" w14:paraId="75BAD281" w14:textId="77777777" w:rsidTr="00837505">
        <w:trPr>
          <w:trHeight w:val="170"/>
          <w:tblCellSpacing w:w="15" w:type="dxa"/>
        </w:trPr>
        <w:tc>
          <w:tcPr>
            <w:tcW w:w="0" w:type="auto"/>
            <w:vAlign w:val="center"/>
            <w:hideMark/>
          </w:tcPr>
          <w:p w14:paraId="3665B870"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Water supply is regular and reliable</w:t>
            </w:r>
          </w:p>
        </w:tc>
        <w:tc>
          <w:tcPr>
            <w:tcW w:w="0" w:type="auto"/>
            <w:vAlign w:val="center"/>
            <w:hideMark/>
          </w:tcPr>
          <w:p w14:paraId="77616026"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2.36</w:t>
            </w:r>
          </w:p>
        </w:tc>
        <w:tc>
          <w:tcPr>
            <w:tcW w:w="0" w:type="auto"/>
            <w:vAlign w:val="center"/>
            <w:hideMark/>
          </w:tcPr>
          <w:p w14:paraId="6DB28C3C"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Disagree</w:t>
            </w:r>
          </w:p>
        </w:tc>
      </w:tr>
      <w:tr w:rsidR="004E318A" w:rsidRPr="004E318A" w14:paraId="0654E1E5" w14:textId="77777777" w:rsidTr="00837505">
        <w:trPr>
          <w:trHeight w:val="170"/>
          <w:tblCellSpacing w:w="15" w:type="dxa"/>
        </w:trPr>
        <w:tc>
          <w:tcPr>
            <w:tcW w:w="0" w:type="auto"/>
            <w:vAlign w:val="center"/>
            <w:hideMark/>
          </w:tcPr>
          <w:p w14:paraId="1B2A90AF"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Distance to source is convenient</w:t>
            </w:r>
          </w:p>
        </w:tc>
        <w:tc>
          <w:tcPr>
            <w:tcW w:w="0" w:type="auto"/>
            <w:vAlign w:val="center"/>
            <w:hideMark/>
          </w:tcPr>
          <w:p w14:paraId="4AFD39C1"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3.68</w:t>
            </w:r>
          </w:p>
        </w:tc>
        <w:tc>
          <w:tcPr>
            <w:tcW w:w="0" w:type="auto"/>
            <w:vAlign w:val="center"/>
            <w:hideMark/>
          </w:tcPr>
          <w:p w14:paraId="6F9D7315"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Agree</w:t>
            </w:r>
          </w:p>
        </w:tc>
      </w:tr>
      <w:tr w:rsidR="004E318A" w:rsidRPr="004E318A" w14:paraId="2FA4E389" w14:textId="77777777" w:rsidTr="00837505">
        <w:trPr>
          <w:trHeight w:val="170"/>
          <w:tblCellSpacing w:w="15" w:type="dxa"/>
        </w:trPr>
        <w:tc>
          <w:tcPr>
            <w:tcW w:w="0" w:type="auto"/>
            <w:vAlign w:val="center"/>
            <w:hideMark/>
          </w:tcPr>
          <w:p w14:paraId="016ACC03"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Time spent fetching water is reasonable</w:t>
            </w:r>
          </w:p>
        </w:tc>
        <w:tc>
          <w:tcPr>
            <w:tcW w:w="0" w:type="auto"/>
            <w:vAlign w:val="center"/>
            <w:hideMark/>
          </w:tcPr>
          <w:p w14:paraId="79213CF1"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2.80</w:t>
            </w:r>
          </w:p>
        </w:tc>
        <w:tc>
          <w:tcPr>
            <w:tcW w:w="0" w:type="auto"/>
            <w:vAlign w:val="center"/>
            <w:hideMark/>
          </w:tcPr>
          <w:p w14:paraId="0B2BF00D"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Neutral</w:t>
            </w:r>
          </w:p>
        </w:tc>
      </w:tr>
      <w:tr w:rsidR="004E318A" w:rsidRPr="004E318A" w14:paraId="1BCB732B" w14:textId="77777777" w:rsidTr="00837505">
        <w:trPr>
          <w:trHeight w:val="170"/>
          <w:tblCellSpacing w:w="15" w:type="dxa"/>
        </w:trPr>
        <w:tc>
          <w:tcPr>
            <w:tcW w:w="0" w:type="auto"/>
            <w:vAlign w:val="center"/>
            <w:hideMark/>
          </w:tcPr>
          <w:p w14:paraId="63B9DD2D"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Daily quantity is adequate</w:t>
            </w:r>
          </w:p>
        </w:tc>
        <w:tc>
          <w:tcPr>
            <w:tcW w:w="0" w:type="auto"/>
            <w:vAlign w:val="center"/>
            <w:hideMark/>
          </w:tcPr>
          <w:p w14:paraId="6C670274"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2.54</w:t>
            </w:r>
          </w:p>
        </w:tc>
        <w:tc>
          <w:tcPr>
            <w:tcW w:w="0" w:type="auto"/>
            <w:vAlign w:val="center"/>
            <w:hideMark/>
          </w:tcPr>
          <w:p w14:paraId="46D606B0"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Disagree</w:t>
            </w:r>
          </w:p>
        </w:tc>
      </w:tr>
      <w:tr w:rsidR="004E318A" w:rsidRPr="004E318A" w14:paraId="1C04F941" w14:textId="77777777" w:rsidTr="00837505">
        <w:trPr>
          <w:trHeight w:val="170"/>
          <w:tblCellSpacing w:w="15" w:type="dxa"/>
        </w:trPr>
        <w:tc>
          <w:tcPr>
            <w:tcW w:w="0" w:type="auto"/>
            <w:vAlign w:val="center"/>
            <w:hideMark/>
          </w:tcPr>
          <w:p w14:paraId="670DFB4E"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Cost is affordable</w:t>
            </w:r>
          </w:p>
        </w:tc>
        <w:tc>
          <w:tcPr>
            <w:tcW w:w="0" w:type="auto"/>
            <w:vAlign w:val="center"/>
            <w:hideMark/>
          </w:tcPr>
          <w:p w14:paraId="1E6ED281"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2.40</w:t>
            </w:r>
          </w:p>
        </w:tc>
        <w:tc>
          <w:tcPr>
            <w:tcW w:w="0" w:type="auto"/>
            <w:vAlign w:val="center"/>
            <w:hideMark/>
          </w:tcPr>
          <w:p w14:paraId="1C8E594F"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Disagree</w:t>
            </w:r>
          </w:p>
        </w:tc>
      </w:tr>
      <w:tr w:rsidR="004E318A" w:rsidRPr="004E318A" w14:paraId="2CDE61D9" w14:textId="77777777" w:rsidTr="00837505">
        <w:trPr>
          <w:trHeight w:val="170"/>
          <w:tblCellSpacing w:w="15" w:type="dxa"/>
        </w:trPr>
        <w:tc>
          <w:tcPr>
            <w:tcW w:w="0" w:type="auto"/>
            <w:vAlign w:val="center"/>
            <w:hideMark/>
          </w:tcPr>
          <w:p w14:paraId="05DAE605"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Water quality is good</w:t>
            </w:r>
          </w:p>
        </w:tc>
        <w:tc>
          <w:tcPr>
            <w:tcW w:w="0" w:type="auto"/>
            <w:vAlign w:val="center"/>
            <w:hideMark/>
          </w:tcPr>
          <w:p w14:paraId="39B6F228"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3.09</w:t>
            </w:r>
          </w:p>
        </w:tc>
        <w:tc>
          <w:tcPr>
            <w:tcW w:w="0" w:type="auto"/>
            <w:vAlign w:val="center"/>
            <w:hideMark/>
          </w:tcPr>
          <w:p w14:paraId="3A74C60B"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Neutral</w:t>
            </w:r>
          </w:p>
        </w:tc>
      </w:tr>
      <w:tr w:rsidR="004E318A" w:rsidRPr="004E318A" w14:paraId="5156795E" w14:textId="77777777" w:rsidTr="00837505">
        <w:trPr>
          <w:trHeight w:val="170"/>
          <w:tblCellSpacing w:w="15" w:type="dxa"/>
        </w:trPr>
        <w:tc>
          <w:tcPr>
            <w:tcW w:w="0" w:type="auto"/>
            <w:vAlign w:val="center"/>
            <w:hideMark/>
          </w:tcPr>
          <w:p w14:paraId="6A5C911B"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Meets planning/health standards</w:t>
            </w:r>
          </w:p>
        </w:tc>
        <w:tc>
          <w:tcPr>
            <w:tcW w:w="0" w:type="auto"/>
            <w:vAlign w:val="center"/>
            <w:hideMark/>
          </w:tcPr>
          <w:p w14:paraId="7C379963"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2.28</w:t>
            </w:r>
          </w:p>
        </w:tc>
        <w:tc>
          <w:tcPr>
            <w:tcW w:w="0" w:type="auto"/>
            <w:vAlign w:val="center"/>
            <w:hideMark/>
          </w:tcPr>
          <w:p w14:paraId="7C047055"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Disagree</w:t>
            </w:r>
          </w:p>
        </w:tc>
      </w:tr>
      <w:tr w:rsidR="004E318A" w:rsidRPr="004E318A" w14:paraId="3542D861" w14:textId="77777777" w:rsidTr="00837505">
        <w:trPr>
          <w:trHeight w:val="170"/>
          <w:tblCellSpacing w:w="15" w:type="dxa"/>
        </w:trPr>
        <w:tc>
          <w:tcPr>
            <w:tcW w:w="0" w:type="auto"/>
            <w:vAlign w:val="center"/>
            <w:hideMark/>
          </w:tcPr>
          <w:p w14:paraId="7D7AFB2A"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Satisfaction with provider</w:t>
            </w:r>
          </w:p>
        </w:tc>
        <w:tc>
          <w:tcPr>
            <w:tcW w:w="0" w:type="auto"/>
            <w:vAlign w:val="center"/>
            <w:hideMark/>
          </w:tcPr>
          <w:p w14:paraId="7202694C"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2.42</w:t>
            </w:r>
          </w:p>
        </w:tc>
        <w:tc>
          <w:tcPr>
            <w:tcW w:w="0" w:type="auto"/>
            <w:vAlign w:val="center"/>
            <w:hideMark/>
          </w:tcPr>
          <w:p w14:paraId="618E904E"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Disagree</w:t>
            </w:r>
          </w:p>
        </w:tc>
      </w:tr>
      <w:tr w:rsidR="004E318A" w:rsidRPr="004E318A" w14:paraId="76BC5794" w14:textId="77777777" w:rsidTr="00837505">
        <w:trPr>
          <w:trHeight w:val="170"/>
          <w:tblCellSpacing w:w="15" w:type="dxa"/>
        </w:trPr>
        <w:tc>
          <w:tcPr>
            <w:tcW w:w="0" w:type="auto"/>
            <w:vAlign w:val="center"/>
            <w:hideMark/>
          </w:tcPr>
          <w:p w14:paraId="6073C51F"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Government performing well</w:t>
            </w:r>
          </w:p>
        </w:tc>
        <w:tc>
          <w:tcPr>
            <w:tcW w:w="0" w:type="auto"/>
            <w:vAlign w:val="center"/>
            <w:hideMark/>
          </w:tcPr>
          <w:p w14:paraId="545E25D4"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2.20</w:t>
            </w:r>
          </w:p>
        </w:tc>
        <w:tc>
          <w:tcPr>
            <w:tcW w:w="0" w:type="auto"/>
            <w:vAlign w:val="center"/>
            <w:hideMark/>
          </w:tcPr>
          <w:p w14:paraId="3ADE219D"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Disagree</w:t>
            </w:r>
          </w:p>
        </w:tc>
      </w:tr>
      <w:tr w:rsidR="004E318A" w:rsidRPr="004E318A" w14:paraId="35A83B5C" w14:textId="77777777" w:rsidTr="00837505">
        <w:trPr>
          <w:trHeight w:val="170"/>
          <w:tblCellSpacing w:w="15" w:type="dxa"/>
        </w:trPr>
        <w:tc>
          <w:tcPr>
            <w:tcW w:w="0" w:type="auto"/>
            <w:tcBorders>
              <w:bottom w:val="single" w:sz="4" w:space="0" w:color="auto"/>
            </w:tcBorders>
            <w:vAlign w:val="center"/>
            <w:hideMark/>
          </w:tcPr>
          <w:p w14:paraId="3278B6E9"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Need for better planning and management</w:t>
            </w:r>
          </w:p>
        </w:tc>
        <w:tc>
          <w:tcPr>
            <w:tcW w:w="0" w:type="auto"/>
            <w:tcBorders>
              <w:bottom w:val="single" w:sz="4" w:space="0" w:color="auto"/>
            </w:tcBorders>
            <w:vAlign w:val="center"/>
            <w:hideMark/>
          </w:tcPr>
          <w:p w14:paraId="5C0DE315"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4.74</w:t>
            </w:r>
          </w:p>
        </w:tc>
        <w:tc>
          <w:tcPr>
            <w:tcW w:w="0" w:type="auto"/>
            <w:tcBorders>
              <w:bottom w:val="single" w:sz="4" w:space="0" w:color="auto"/>
            </w:tcBorders>
            <w:vAlign w:val="center"/>
            <w:hideMark/>
          </w:tcPr>
          <w:p w14:paraId="1BCD7FB0"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Strongly Agree</w:t>
            </w:r>
          </w:p>
        </w:tc>
      </w:tr>
    </w:tbl>
    <w:p w14:paraId="11FA09A6" w14:textId="77777777"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Overall Mean = 2.95</w:t>
      </w:r>
    </w:p>
    <w:p w14:paraId="7803C90D" w14:textId="77777777"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4.10 Comparison of Water Accessibility Indicators with Standards</w:t>
      </w:r>
    </w:p>
    <w:p w14:paraId="4444E797" w14:textId="6053A6EC"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Table 1</w:t>
      </w:r>
      <w:r w:rsidR="000B3F34">
        <w:rPr>
          <w:rFonts w:ascii="Times New Roman" w:hAnsi="Times New Roman" w:cs="Times New Roman"/>
        </w:rPr>
        <w:t>1</w:t>
      </w:r>
      <w:r w:rsidRPr="004E318A">
        <w:rPr>
          <w:rFonts w:ascii="Times New Roman" w:hAnsi="Times New Roman" w:cs="Times New Roman"/>
        </w:rPr>
        <w:t xml:space="preserve"> compares observed water accessibility indicators with WHO and Nigerian standards.</w:t>
      </w:r>
    </w:p>
    <w:p w14:paraId="22756D0A" w14:textId="641FC6A3"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Table 1</w:t>
      </w:r>
      <w:r w:rsidR="000B3F34">
        <w:rPr>
          <w:rFonts w:ascii="Times New Roman" w:hAnsi="Times New Roman" w:cs="Times New Roman"/>
        </w:rPr>
        <w:t>1</w:t>
      </w:r>
      <w:r w:rsidRPr="00837505">
        <w:rPr>
          <w:rFonts w:ascii="Times New Roman" w:hAnsi="Times New Roman" w:cs="Times New Roman"/>
        </w:rPr>
        <w:t>. Comparison with Standards</w:t>
      </w:r>
    </w:p>
    <w:tbl>
      <w:tblPr>
        <w:tblW w:w="9020" w:type="dxa"/>
        <w:tblCellSpacing w:w="15" w:type="dxa"/>
        <w:tblCellMar>
          <w:top w:w="15" w:type="dxa"/>
          <w:left w:w="15" w:type="dxa"/>
          <w:bottom w:w="15" w:type="dxa"/>
          <w:right w:w="15" w:type="dxa"/>
        </w:tblCellMar>
        <w:tblLook w:val="04A0" w:firstRow="1" w:lastRow="0" w:firstColumn="1" w:lastColumn="0" w:noHBand="0" w:noVBand="1"/>
      </w:tblPr>
      <w:tblGrid>
        <w:gridCol w:w="3138"/>
        <w:gridCol w:w="1898"/>
        <w:gridCol w:w="2339"/>
        <w:gridCol w:w="1645"/>
      </w:tblGrid>
      <w:tr w:rsidR="004E318A" w:rsidRPr="004E318A" w14:paraId="02DB6FA1" w14:textId="77777777" w:rsidTr="00837505">
        <w:trPr>
          <w:trHeight w:val="170"/>
          <w:tblHeader/>
          <w:tblCellSpacing w:w="15" w:type="dxa"/>
        </w:trPr>
        <w:tc>
          <w:tcPr>
            <w:tcW w:w="0" w:type="auto"/>
            <w:tcBorders>
              <w:top w:val="single" w:sz="4" w:space="0" w:color="auto"/>
              <w:bottom w:val="single" w:sz="4" w:space="0" w:color="auto"/>
            </w:tcBorders>
            <w:vAlign w:val="center"/>
            <w:hideMark/>
          </w:tcPr>
          <w:p w14:paraId="0DE4E2A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Indicator</w:t>
            </w:r>
          </w:p>
        </w:tc>
        <w:tc>
          <w:tcPr>
            <w:tcW w:w="0" w:type="auto"/>
            <w:tcBorders>
              <w:top w:val="single" w:sz="4" w:space="0" w:color="auto"/>
              <w:bottom w:val="single" w:sz="4" w:space="0" w:color="auto"/>
            </w:tcBorders>
            <w:vAlign w:val="center"/>
            <w:hideMark/>
          </w:tcPr>
          <w:p w14:paraId="20D858E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Standard</w:t>
            </w:r>
          </w:p>
        </w:tc>
        <w:tc>
          <w:tcPr>
            <w:tcW w:w="0" w:type="auto"/>
            <w:tcBorders>
              <w:top w:val="single" w:sz="4" w:space="0" w:color="auto"/>
              <w:bottom w:val="single" w:sz="4" w:space="0" w:color="auto"/>
            </w:tcBorders>
            <w:vAlign w:val="center"/>
            <w:hideMark/>
          </w:tcPr>
          <w:p w14:paraId="26D7FBF3"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Keffi Average</w:t>
            </w:r>
          </w:p>
        </w:tc>
        <w:tc>
          <w:tcPr>
            <w:tcW w:w="0" w:type="auto"/>
            <w:tcBorders>
              <w:top w:val="single" w:sz="4" w:space="0" w:color="auto"/>
              <w:bottom w:val="single" w:sz="4" w:space="0" w:color="auto"/>
            </w:tcBorders>
            <w:vAlign w:val="center"/>
            <w:hideMark/>
          </w:tcPr>
          <w:p w14:paraId="46E9652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Evaluation</w:t>
            </w:r>
          </w:p>
        </w:tc>
      </w:tr>
      <w:tr w:rsidR="004E318A" w:rsidRPr="004E318A" w14:paraId="4E1B05E1" w14:textId="77777777" w:rsidTr="00837505">
        <w:trPr>
          <w:trHeight w:val="170"/>
          <w:tblCellSpacing w:w="15" w:type="dxa"/>
        </w:trPr>
        <w:tc>
          <w:tcPr>
            <w:tcW w:w="0" w:type="auto"/>
            <w:vAlign w:val="center"/>
            <w:hideMark/>
          </w:tcPr>
          <w:p w14:paraId="375625C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Distance to source</w:t>
            </w:r>
          </w:p>
        </w:tc>
        <w:tc>
          <w:tcPr>
            <w:tcW w:w="0" w:type="auto"/>
            <w:vAlign w:val="center"/>
            <w:hideMark/>
          </w:tcPr>
          <w:p w14:paraId="7EF3A578"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 km</w:t>
            </w:r>
          </w:p>
        </w:tc>
        <w:tc>
          <w:tcPr>
            <w:tcW w:w="0" w:type="auto"/>
            <w:vAlign w:val="center"/>
            <w:hideMark/>
          </w:tcPr>
          <w:p w14:paraId="641FF88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0.5 km</w:t>
            </w:r>
          </w:p>
        </w:tc>
        <w:tc>
          <w:tcPr>
            <w:tcW w:w="0" w:type="auto"/>
            <w:vAlign w:val="center"/>
            <w:hideMark/>
          </w:tcPr>
          <w:p w14:paraId="398F6B7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Meets</w:t>
            </w:r>
          </w:p>
        </w:tc>
      </w:tr>
      <w:tr w:rsidR="004E318A" w:rsidRPr="004E318A" w14:paraId="053E9B12" w14:textId="77777777" w:rsidTr="00837505">
        <w:trPr>
          <w:trHeight w:val="170"/>
          <w:tblCellSpacing w:w="15" w:type="dxa"/>
        </w:trPr>
        <w:tc>
          <w:tcPr>
            <w:tcW w:w="0" w:type="auto"/>
            <w:vAlign w:val="center"/>
            <w:hideMark/>
          </w:tcPr>
          <w:p w14:paraId="7DBD6B6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Quantity/person/day</w:t>
            </w:r>
          </w:p>
        </w:tc>
        <w:tc>
          <w:tcPr>
            <w:tcW w:w="0" w:type="auto"/>
            <w:vAlign w:val="center"/>
            <w:hideMark/>
          </w:tcPr>
          <w:p w14:paraId="66CECA2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120 L</w:t>
            </w:r>
          </w:p>
        </w:tc>
        <w:tc>
          <w:tcPr>
            <w:tcW w:w="0" w:type="auto"/>
            <w:vAlign w:val="center"/>
            <w:hideMark/>
          </w:tcPr>
          <w:p w14:paraId="262F062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85 L</w:t>
            </w:r>
          </w:p>
        </w:tc>
        <w:tc>
          <w:tcPr>
            <w:tcW w:w="0" w:type="auto"/>
            <w:vAlign w:val="center"/>
            <w:hideMark/>
          </w:tcPr>
          <w:p w14:paraId="750CC06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Below</w:t>
            </w:r>
          </w:p>
        </w:tc>
      </w:tr>
      <w:tr w:rsidR="004E318A" w:rsidRPr="004E318A" w14:paraId="336C6E69" w14:textId="77777777" w:rsidTr="00837505">
        <w:trPr>
          <w:trHeight w:val="170"/>
          <w:tblCellSpacing w:w="15" w:type="dxa"/>
        </w:trPr>
        <w:tc>
          <w:tcPr>
            <w:tcW w:w="0" w:type="auto"/>
            <w:vAlign w:val="center"/>
            <w:hideMark/>
          </w:tcPr>
          <w:p w14:paraId="4DCFBF0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Supply frequency</w:t>
            </w:r>
          </w:p>
        </w:tc>
        <w:tc>
          <w:tcPr>
            <w:tcW w:w="0" w:type="auto"/>
            <w:vAlign w:val="center"/>
            <w:hideMark/>
          </w:tcPr>
          <w:p w14:paraId="35E15AC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Daily</w:t>
            </w:r>
          </w:p>
        </w:tc>
        <w:tc>
          <w:tcPr>
            <w:tcW w:w="0" w:type="auto"/>
            <w:vAlign w:val="center"/>
            <w:hideMark/>
          </w:tcPr>
          <w:p w14:paraId="21650E5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3–4 times/week</w:t>
            </w:r>
          </w:p>
        </w:tc>
        <w:tc>
          <w:tcPr>
            <w:tcW w:w="0" w:type="auto"/>
            <w:vAlign w:val="center"/>
            <w:hideMark/>
          </w:tcPr>
          <w:p w14:paraId="3CE4DFD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Below</w:t>
            </w:r>
          </w:p>
        </w:tc>
      </w:tr>
      <w:tr w:rsidR="004E318A" w:rsidRPr="004E318A" w14:paraId="333D1F56" w14:textId="77777777" w:rsidTr="00837505">
        <w:trPr>
          <w:trHeight w:val="170"/>
          <w:tblCellSpacing w:w="15" w:type="dxa"/>
        </w:trPr>
        <w:tc>
          <w:tcPr>
            <w:tcW w:w="0" w:type="auto"/>
            <w:vAlign w:val="center"/>
            <w:hideMark/>
          </w:tcPr>
          <w:p w14:paraId="61D47F2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Safe source coverage</w:t>
            </w:r>
          </w:p>
        </w:tc>
        <w:tc>
          <w:tcPr>
            <w:tcW w:w="0" w:type="auto"/>
            <w:vAlign w:val="center"/>
            <w:hideMark/>
          </w:tcPr>
          <w:p w14:paraId="301F8A56"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≥80%</w:t>
            </w:r>
          </w:p>
        </w:tc>
        <w:tc>
          <w:tcPr>
            <w:tcW w:w="0" w:type="auto"/>
            <w:vAlign w:val="center"/>
            <w:hideMark/>
          </w:tcPr>
          <w:p w14:paraId="450AC66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70%</w:t>
            </w:r>
          </w:p>
        </w:tc>
        <w:tc>
          <w:tcPr>
            <w:tcW w:w="0" w:type="auto"/>
            <w:vAlign w:val="center"/>
            <w:hideMark/>
          </w:tcPr>
          <w:p w14:paraId="496B44D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Below</w:t>
            </w:r>
          </w:p>
        </w:tc>
      </w:tr>
      <w:tr w:rsidR="004E318A" w:rsidRPr="004E318A" w14:paraId="4F06B96D" w14:textId="77777777" w:rsidTr="00837505">
        <w:trPr>
          <w:trHeight w:val="170"/>
          <w:tblCellSpacing w:w="15" w:type="dxa"/>
        </w:trPr>
        <w:tc>
          <w:tcPr>
            <w:tcW w:w="0" w:type="auto"/>
            <w:tcBorders>
              <w:bottom w:val="single" w:sz="4" w:space="0" w:color="auto"/>
            </w:tcBorders>
            <w:vAlign w:val="center"/>
            <w:hideMark/>
          </w:tcPr>
          <w:p w14:paraId="4AE7EC4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Cost affordability</w:t>
            </w:r>
          </w:p>
        </w:tc>
        <w:tc>
          <w:tcPr>
            <w:tcW w:w="0" w:type="auto"/>
            <w:tcBorders>
              <w:bottom w:val="single" w:sz="4" w:space="0" w:color="auto"/>
            </w:tcBorders>
            <w:vAlign w:val="center"/>
            <w:hideMark/>
          </w:tcPr>
          <w:p w14:paraId="3E61197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 income</w:t>
            </w:r>
          </w:p>
        </w:tc>
        <w:tc>
          <w:tcPr>
            <w:tcW w:w="0" w:type="auto"/>
            <w:tcBorders>
              <w:bottom w:val="single" w:sz="4" w:space="0" w:color="auto"/>
            </w:tcBorders>
            <w:vAlign w:val="center"/>
            <w:hideMark/>
          </w:tcPr>
          <w:p w14:paraId="2E19EB3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 income</w:t>
            </w:r>
          </w:p>
        </w:tc>
        <w:tc>
          <w:tcPr>
            <w:tcW w:w="0" w:type="auto"/>
            <w:tcBorders>
              <w:bottom w:val="single" w:sz="4" w:space="0" w:color="auto"/>
            </w:tcBorders>
            <w:vAlign w:val="center"/>
            <w:hideMark/>
          </w:tcPr>
          <w:p w14:paraId="3361EE7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Below</w:t>
            </w:r>
          </w:p>
        </w:tc>
      </w:tr>
    </w:tbl>
    <w:p w14:paraId="2F6B298B" w14:textId="77777777" w:rsidR="00837505" w:rsidRDefault="00837505" w:rsidP="004E318A">
      <w:pPr>
        <w:spacing w:line="360" w:lineRule="auto"/>
        <w:jc w:val="both"/>
        <w:rPr>
          <w:rFonts w:ascii="Times New Roman" w:hAnsi="Times New Roman" w:cs="Times New Roman"/>
          <w:b/>
          <w:bCs/>
        </w:rPr>
      </w:pPr>
    </w:p>
    <w:p w14:paraId="560EF185" w14:textId="4F7750FF"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4.11 Relationship Between Household Characteristics and Water Accessibility</w:t>
      </w:r>
    </w:p>
    <w:p w14:paraId="1654566F" w14:textId="25382E76"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Table 1</w:t>
      </w:r>
      <w:r w:rsidR="000B3F34">
        <w:rPr>
          <w:rFonts w:ascii="Times New Roman" w:hAnsi="Times New Roman" w:cs="Times New Roman"/>
        </w:rPr>
        <w:t>2:</w:t>
      </w:r>
      <w:r w:rsidRPr="00837505">
        <w:rPr>
          <w:rFonts w:ascii="Times New Roman" w:hAnsi="Times New Roman" w:cs="Times New Roman"/>
        </w:rPr>
        <w:t xml:space="preserve"> Cross-tabulation of Income and Water Accessibility</w:t>
      </w:r>
    </w:p>
    <w:tbl>
      <w:tblPr>
        <w:tblW w:w="9340" w:type="dxa"/>
        <w:tblCellSpacing w:w="15" w:type="dxa"/>
        <w:tblCellMar>
          <w:top w:w="15" w:type="dxa"/>
          <w:left w:w="15" w:type="dxa"/>
          <w:bottom w:w="15" w:type="dxa"/>
          <w:right w:w="15" w:type="dxa"/>
        </w:tblCellMar>
        <w:tblLook w:val="04A0" w:firstRow="1" w:lastRow="0" w:firstColumn="1" w:lastColumn="0" w:noHBand="0" w:noVBand="1"/>
      </w:tblPr>
      <w:tblGrid>
        <w:gridCol w:w="3517"/>
        <w:gridCol w:w="1585"/>
        <w:gridCol w:w="2004"/>
        <w:gridCol w:w="1535"/>
        <w:gridCol w:w="699"/>
      </w:tblGrid>
      <w:tr w:rsidR="004E318A" w:rsidRPr="004E318A" w14:paraId="29689BC7" w14:textId="77777777" w:rsidTr="00837505">
        <w:trPr>
          <w:trHeight w:val="170"/>
          <w:tblHeader/>
          <w:tblCellSpacing w:w="15" w:type="dxa"/>
        </w:trPr>
        <w:tc>
          <w:tcPr>
            <w:tcW w:w="0" w:type="auto"/>
            <w:tcBorders>
              <w:top w:val="single" w:sz="4" w:space="0" w:color="auto"/>
              <w:bottom w:val="single" w:sz="4" w:space="0" w:color="auto"/>
            </w:tcBorders>
            <w:vAlign w:val="center"/>
            <w:hideMark/>
          </w:tcPr>
          <w:p w14:paraId="3C848F0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Income Category (₦/month)</w:t>
            </w:r>
          </w:p>
        </w:tc>
        <w:tc>
          <w:tcPr>
            <w:tcW w:w="0" w:type="auto"/>
            <w:tcBorders>
              <w:top w:val="single" w:sz="4" w:space="0" w:color="auto"/>
              <w:bottom w:val="single" w:sz="4" w:space="0" w:color="auto"/>
            </w:tcBorders>
            <w:vAlign w:val="center"/>
            <w:hideMark/>
          </w:tcPr>
          <w:p w14:paraId="446EF96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High Access</w:t>
            </w:r>
          </w:p>
        </w:tc>
        <w:tc>
          <w:tcPr>
            <w:tcW w:w="0" w:type="auto"/>
            <w:tcBorders>
              <w:top w:val="single" w:sz="4" w:space="0" w:color="auto"/>
              <w:bottom w:val="single" w:sz="4" w:space="0" w:color="auto"/>
            </w:tcBorders>
            <w:vAlign w:val="center"/>
            <w:hideMark/>
          </w:tcPr>
          <w:p w14:paraId="706378D3"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Medium Access</w:t>
            </w:r>
          </w:p>
        </w:tc>
        <w:tc>
          <w:tcPr>
            <w:tcW w:w="0" w:type="auto"/>
            <w:tcBorders>
              <w:top w:val="single" w:sz="4" w:space="0" w:color="auto"/>
              <w:bottom w:val="single" w:sz="4" w:space="0" w:color="auto"/>
            </w:tcBorders>
            <w:vAlign w:val="center"/>
            <w:hideMark/>
          </w:tcPr>
          <w:p w14:paraId="331F39A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Low Access</w:t>
            </w:r>
          </w:p>
        </w:tc>
        <w:tc>
          <w:tcPr>
            <w:tcW w:w="0" w:type="auto"/>
            <w:tcBorders>
              <w:top w:val="single" w:sz="4" w:space="0" w:color="auto"/>
              <w:bottom w:val="single" w:sz="4" w:space="0" w:color="auto"/>
            </w:tcBorders>
            <w:vAlign w:val="center"/>
            <w:hideMark/>
          </w:tcPr>
          <w:p w14:paraId="4FF29C7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Total</w:t>
            </w:r>
          </w:p>
        </w:tc>
      </w:tr>
      <w:tr w:rsidR="004E318A" w:rsidRPr="004E318A" w14:paraId="078B026B" w14:textId="77777777" w:rsidTr="00837505">
        <w:trPr>
          <w:trHeight w:val="170"/>
          <w:tblCellSpacing w:w="15" w:type="dxa"/>
        </w:trPr>
        <w:tc>
          <w:tcPr>
            <w:tcW w:w="0" w:type="auto"/>
            <w:vAlign w:val="center"/>
            <w:hideMark/>
          </w:tcPr>
          <w:p w14:paraId="2D2CFD6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&lt;20,000</w:t>
            </w:r>
          </w:p>
        </w:tc>
        <w:tc>
          <w:tcPr>
            <w:tcW w:w="0" w:type="auto"/>
            <w:vAlign w:val="center"/>
            <w:hideMark/>
          </w:tcPr>
          <w:p w14:paraId="3201552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w:t>
            </w:r>
          </w:p>
        </w:tc>
        <w:tc>
          <w:tcPr>
            <w:tcW w:w="0" w:type="auto"/>
            <w:vAlign w:val="center"/>
            <w:hideMark/>
          </w:tcPr>
          <w:p w14:paraId="782C3D4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30</w:t>
            </w:r>
          </w:p>
        </w:tc>
        <w:tc>
          <w:tcPr>
            <w:tcW w:w="0" w:type="auto"/>
            <w:vAlign w:val="center"/>
            <w:hideMark/>
          </w:tcPr>
          <w:p w14:paraId="5438195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46</w:t>
            </w:r>
          </w:p>
        </w:tc>
        <w:tc>
          <w:tcPr>
            <w:tcW w:w="0" w:type="auto"/>
            <w:vAlign w:val="center"/>
            <w:hideMark/>
          </w:tcPr>
          <w:p w14:paraId="073140A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86</w:t>
            </w:r>
          </w:p>
        </w:tc>
      </w:tr>
      <w:tr w:rsidR="004E318A" w:rsidRPr="004E318A" w14:paraId="2FA6E6B5" w14:textId="77777777" w:rsidTr="00837505">
        <w:trPr>
          <w:trHeight w:val="170"/>
          <w:tblCellSpacing w:w="15" w:type="dxa"/>
        </w:trPr>
        <w:tc>
          <w:tcPr>
            <w:tcW w:w="0" w:type="auto"/>
            <w:vAlign w:val="center"/>
            <w:hideMark/>
          </w:tcPr>
          <w:p w14:paraId="7AE886F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20,000–49,999</w:t>
            </w:r>
          </w:p>
        </w:tc>
        <w:tc>
          <w:tcPr>
            <w:tcW w:w="0" w:type="auto"/>
            <w:vAlign w:val="center"/>
            <w:hideMark/>
          </w:tcPr>
          <w:p w14:paraId="458F294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40</w:t>
            </w:r>
          </w:p>
        </w:tc>
        <w:tc>
          <w:tcPr>
            <w:tcW w:w="0" w:type="auto"/>
            <w:vAlign w:val="center"/>
            <w:hideMark/>
          </w:tcPr>
          <w:p w14:paraId="2030017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70</w:t>
            </w:r>
          </w:p>
        </w:tc>
        <w:tc>
          <w:tcPr>
            <w:tcW w:w="0" w:type="auto"/>
            <w:vAlign w:val="center"/>
            <w:hideMark/>
          </w:tcPr>
          <w:p w14:paraId="6CB5A05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34</w:t>
            </w:r>
          </w:p>
        </w:tc>
        <w:tc>
          <w:tcPr>
            <w:tcW w:w="0" w:type="auto"/>
            <w:vAlign w:val="center"/>
            <w:hideMark/>
          </w:tcPr>
          <w:p w14:paraId="0ED58047"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144</w:t>
            </w:r>
          </w:p>
        </w:tc>
      </w:tr>
      <w:tr w:rsidR="004E318A" w:rsidRPr="004E318A" w14:paraId="3F949DAD" w14:textId="77777777" w:rsidTr="00837505">
        <w:trPr>
          <w:trHeight w:val="170"/>
          <w:tblCellSpacing w:w="15" w:type="dxa"/>
        </w:trPr>
        <w:tc>
          <w:tcPr>
            <w:tcW w:w="0" w:type="auto"/>
            <w:vAlign w:val="center"/>
            <w:hideMark/>
          </w:tcPr>
          <w:p w14:paraId="30ED691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50,000–99,999</w:t>
            </w:r>
          </w:p>
        </w:tc>
        <w:tc>
          <w:tcPr>
            <w:tcW w:w="0" w:type="auto"/>
            <w:vAlign w:val="center"/>
            <w:hideMark/>
          </w:tcPr>
          <w:p w14:paraId="1EE5B887"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60</w:t>
            </w:r>
          </w:p>
        </w:tc>
        <w:tc>
          <w:tcPr>
            <w:tcW w:w="0" w:type="auto"/>
            <w:vAlign w:val="center"/>
            <w:hideMark/>
          </w:tcPr>
          <w:p w14:paraId="6DE4E1B7"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34</w:t>
            </w:r>
          </w:p>
        </w:tc>
        <w:tc>
          <w:tcPr>
            <w:tcW w:w="0" w:type="auto"/>
            <w:vAlign w:val="center"/>
            <w:hideMark/>
          </w:tcPr>
          <w:p w14:paraId="00B41F0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w:t>
            </w:r>
          </w:p>
        </w:tc>
        <w:tc>
          <w:tcPr>
            <w:tcW w:w="0" w:type="auto"/>
            <w:vAlign w:val="center"/>
            <w:hideMark/>
          </w:tcPr>
          <w:p w14:paraId="1917C2B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104</w:t>
            </w:r>
          </w:p>
        </w:tc>
      </w:tr>
      <w:tr w:rsidR="004E318A" w:rsidRPr="004E318A" w14:paraId="33CBCCD4" w14:textId="77777777" w:rsidTr="00837505">
        <w:trPr>
          <w:trHeight w:val="170"/>
          <w:tblCellSpacing w:w="15" w:type="dxa"/>
        </w:trPr>
        <w:tc>
          <w:tcPr>
            <w:tcW w:w="0" w:type="auto"/>
            <w:vAlign w:val="center"/>
            <w:hideMark/>
          </w:tcPr>
          <w:p w14:paraId="4371BC9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≥100,000</w:t>
            </w:r>
          </w:p>
        </w:tc>
        <w:tc>
          <w:tcPr>
            <w:tcW w:w="0" w:type="auto"/>
            <w:vAlign w:val="center"/>
            <w:hideMark/>
          </w:tcPr>
          <w:p w14:paraId="7D5DD58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36</w:t>
            </w:r>
          </w:p>
        </w:tc>
        <w:tc>
          <w:tcPr>
            <w:tcW w:w="0" w:type="auto"/>
            <w:vAlign w:val="center"/>
            <w:hideMark/>
          </w:tcPr>
          <w:p w14:paraId="13D6B8D3"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8</w:t>
            </w:r>
          </w:p>
        </w:tc>
        <w:tc>
          <w:tcPr>
            <w:tcW w:w="0" w:type="auto"/>
            <w:vAlign w:val="center"/>
            <w:hideMark/>
          </w:tcPr>
          <w:p w14:paraId="2F7D437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w:t>
            </w:r>
          </w:p>
        </w:tc>
        <w:tc>
          <w:tcPr>
            <w:tcW w:w="0" w:type="auto"/>
            <w:vAlign w:val="center"/>
            <w:hideMark/>
          </w:tcPr>
          <w:p w14:paraId="739199F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48</w:t>
            </w:r>
          </w:p>
        </w:tc>
      </w:tr>
      <w:tr w:rsidR="004E318A" w:rsidRPr="004E318A" w14:paraId="6D1B2FA4" w14:textId="77777777" w:rsidTr="00837505">
        <w:trPr>
          <w:trHeight w:val="170"/>
          <w:tblCellSpacing w:w="15" w:type="dxa"/>
        </w:trPr>
        <w:tc>
          <w:tcPr>
            <w:tcW w:w="0" w:type="auto"/>
            <w:vAlign w:val="center"/>
            <w:hideMark/>
          </w:tcPr>
          <w:p w14:paraId="2C7DBAD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Total</w:t>
            </w:r>
          </w:p>
        </w:tc>
        <w:tc>
          <w:tcPr>
            <w:tcW w:w="0" w:type="auto"/>
            <w:vAlign w:val="center"/>
            <w:hideMark/>
          </w:tcPr>
          <w:p w14:paraId="6E76353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146</w:t>
            </w:r>
          </w:p>
        </w:tc>
        <w:tc>
          <w:tcPr>
            <w:tcW w:w="0" w:type="auto"/>
            <w:vAlign w:val="center"/>
            <w:hideMark/>
          </w:tcPr>
          <w:p w14:paraId="47E4F1D3"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142</w:t>
            </w:r>
          </w:p>
        </w:tc>
        <w:tc>
          <w:tcPr>
            <w:tcW w:w="0" w:type="auto"/>
            <w:vAlign w:val="center"/>
            <w:hideMark/>
          </w:tcPr>
          <w:p w14:paraId="351DF9F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94</w:t>
            </w:r>
          </w:p>
        </w:tc>
        <w:tc>
          <w:tcPr>
            <w:tcW w:w="0" w:type="auto"/>
            <w:vAlign w:val="center"/>
            <w:hideMark/>
          </w:tcPr>
          <w:p w14:paraId="5A0AD85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382</w:t>
            </w:r>
          </w:p>
        </w:tc>
      </w:tr>
    </w:tbl>
    <w:p w14:paraId="46FF87D6" w14:textId="77777777" w:rsid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lastRenderedPageBreak/>
        <w:t xml:space="preserve">Chi-square test results indicated a significant association between household income and water accessibility (χ² = 102.38, </w:t>
      </w:r>
      <w:proofErr w:type="spellStart"/>
      <w:r w:rsidRPr="004E318A">
        <w:rPr>
          <w:rFonts w:ascii="Times New Roman" w:hAnsi="Times New Roman" w:cs="Times New Roman"/>
        </w:rPr>
        <w:t>df</w:t>
      </w:r>
      <w:proofErr w:type="spellEnd"/>
      <w:r w:rsidRPr="004E318A">
        <w:rPr>
          <w:rFonts w:ascii="Times New Roman" w:hAnsi="Times New Roman" w:cs="Times New Roman"/>
        </w:rPr>
        <w:t xml:space="preserve"> = 6, p &lt; 0.001).</w:t>
      </w:r>
    </w:p>
    <w:p w14:paraId="79A13287" w14:textId="77777777" w:rsidR="00837505" w:rsidRPr="004E318A" w:rsidRDefault="00837505" w:rsidP="004E318A">
      <w:pPr>
        <w:spacing w:line="360" w:lineRule="auto"/>
        <w:jc w:val="both"/>
        <w:rPr>
          <w:rFonts w:ascii="Times New Roman" w:hAnsi="Times New Roman" w:cs="Times New Roman"/>
        </w:rPr>
      </w:pPr>
    </w:p>
    <w:p w14:paraId="540AEDE3" w14:textId="77777777"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Table 12. Spearman Rank Correlation Between Income and Accessibility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2"/>
        <w:gridCol w:w="1462"/>
        <w:gridCol w:w="836"/>
      </w:tblGrid>
      <w:tr w:rsidR="004E318A" w:rsidRPr="004E318A" w14:paraId="3ABBFA8A" w14:textId="77777777">
        <w:trPr>
          <w:tblHeader/>
          <w:tblCellSpacing w:w="15" w:type="dxa"/>
        </w:trPr>
        <w:tc>
          <w:tcPr>
            <w:tcW w:w="0" w:type="auto"/>
            <w:vAlign w:val="center"/>
            <w:hideMark/>
          </w:tcPr>
          <w:p w14:paraId="425512CD" w14:textId="77777777"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Variable</w:t>
            </w:r>
          </w:p>
        </w:tc>
        <w:tc>
          <w:tcPr>
            <w:tcW w:w="0" w:type="auto"/>
            <w:vAlign w:val="center"/>
            <w:hideMark/>
          </w:tcPr>
          <w:p w14:paraId="54BF2D8B" w14:textId="77777777"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Spearman's ρ</w:t>
            </w:r>
          </w:p>
        </w:tc>
        <w:tc>
          <w:tcPr>
            <w:tcW w:w="0" w:type="auto"/>
            <w:vAlign w:val="center"/>
            <w:hideMark/>
          </w:tcPr>
          <w:p w14:paraId="45431CFD" w14:textId="77777777"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p-value</w:t>
            </w:r>
          </w:p>
        </w:tc>
      </w:tr>
      <w:tr w:rsidR="004E318A" w:rsidRPr="004E318A" w14:paraId="43B26F95" w14:textId="77777777">
        <w:trPr>
          <w:tblCellSpacing w:w="15" w:type="dxa"/>
        </w:trPr>
        <w:tc>
          <w:tcPr>
            <w:tcW w:w="0" w:type="auto"/>
            <w:vAlign w:val="center"/>
            <w:hideMark/>
          </w:tcPr>
          <w:p w14:paraId="588757CC" w14:textId="77777777"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Income and Accessibility</w:t>
            </w:r>
          </w:p>
        </w:tc>
        <w:tc>
          <w:tcPr>
            <w:tcW w:w="0" w:type="auto"/>
            <w:vAlign w:val="center"/>
            <w:hideMark/>
          </w:tcPr>
          <w:p w14:paraId="5B401AE1" w14:textId="77777777"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0.481</w:t>
            </w:r>
          </w:p>
        </w:tc>
        <w:tc>
          <w:tcPr>
            <w:tcW w:w="0" w:type="auto"/>
            <w:vAlign w:val="center"/>
            <w:hideMark/>
          </w:tcPr>
          <w:p w14:paraId="4554078C" w14:textId="77777777"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&lt;0.001</w:t>
            </w:r>
          </w:p>
        </w:tc>
      </w:tr>
    </w:tbl>
    <w:p w14:paraId="2F6F8C49" w14:textId="77777777" w:rsidR="004E318A" w:rsidRPr="004E318A" w:rsidRDefault="004E318A" w:rsidP="00837505">
      <w:pPr>
        <w:spacing w:after="0" w:line="240" w:lineRule="auto"/>
        <w:jc w:val="both"/>
        <w:rPr>
          <w:rFonts w:ascii="Times New Roman" w:hAnsi="Times New Roman" w:cs="Times New Roman"/>
          <w:b/>
          <w:bCs/>
        </w:rPr>
      </w:pPr>
      <w:r w:rsidRPr="004E318A">
        <w:rPr>
          <w:rFonts w:ascii="Times New Roman" w:hAnsi="Times New Roman" w:cs="Times New Roman"/>
          <w:b/>
          <w:bCs/>
        </w:rPr>
        <w:t>Table 13. OLS Regression Results for Predictors of Water Accessibility</w:t>
      </w:r>
    </w:p>
    <w:tbl>
      <w:tblPr>
        <w:tblW w:w="9441" w:type="dxa"/>
        <w:tblCellSpacing w:w="15" w:type="dxa"/>
        <w:tblCellMar>
          <w:top w:w="15" w:type="dxa"/>
          <w:left w:w="15" w:type="dxa"/>
          <w:bottom w:w="15" w:type="dxa"/>
          <w:right w:w="15" w:type="dxa"/>
        </w:tblCellMar>
        <w:tblLook w:val="04A0" w:firstRow="1" w:lastRow="0" w:firstColumn="1" w:lastColumn="0" w:noHBand="0" w:noVBand="1"/>
      </w:tblPr>
      <w:tblGrid>
        <w:gridCol w:w="3549"/>
        <w:gridCol w:w="1324"/>
        <w:gridCol w:w="1324"/>
        <w:gridCol w:w="1596"/>
        <w:gridCol w:w="1648"/>
      </w:tblGrid>
      <w:tr w:rsidR="004E318A" w:rsidRPr="004E318A" w14:paraId="2407F016" w14:textId="77777777" w:rsidTr="00837505">
        <w:trPr>
          <w:trHeight w:val="170"/>
          <w:tblHeader/>
          <w:tblCellSpacing w:w="15" w:type="dxa"/>
        </w:trPr>
        <w:tc>
          <w:tcPr>
            <w:tcW w:w="0" w:type="auto"/>
            <w:tcBorders>
              <w:top w:val="single" w:sz="4" w:space="0" w:color="auto"/>
              <w:bottom w:val="single" w:sz="4" w:space="0" w:color="auto"/>
            </w:tcBorders>
            <w:vAlign w:val="center"/>
            <w:hideMark/>
          </w:tcPr>
          <w:p w14:paraId="6565883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Predictor</w:t>
            </w:r>
          </w:p>
        </w:tc>
        <w:tc>
          <w:tcPr>
            <w:tcW w:w="0" w:type="auto"/>
            <w:tcBorders>
              <w:top w:val="single" w:sz="4" w:space="0" w:color="auto"/>
              <w:bottom w:val="single" w:sz="4" w:space="0" w:color="auto"/>
            </w:tcBorders>
            <w:vAlign w:val="center"/>
            <w:hideMark/>
          </w:tcPr>
          <w:p w14:paraId="03285D16" w14:textId="0A1A7ECA" w:rsidR="004E318A" w:rsidRPr="00837505" w:rsidRDefault="00A37C74" w:rsidP="00837505">
            <w:pPr>
              <w:spacing w:after="0" w:line="240" w:lineRule="auto"/>
              <w:jc w:val="both"/>
              <w:rPr>
                <w:rFonts w:ascii="Times New Roman" w:hAnsi="Times New Roman" w:cs="Times New Roman"/>
              </w:rPr>
            </w:pPr>
            <w:r w:rsidRPr="00837505">
              <w:rPr>
                <w:rFonts w:ascii="Times New Roman" w:hAnsi="Times New Roman" w:cs="Times New Roman"/>
              </w:rPr>
              <w:t>Β</w:t>
            </w:r>
          </w:p>
        </w:tc>
        <w:tc>
          <w:tcPr>
            <w:tcW w:w="0" w:type="auto"/>
            <w:tcBorders>
              <w:top w:val="single" w:sz="4" w:space="0" w:color="auto"/>
              <w:bottom w:val="single" w:sz="4" w:space="0" w:color="auto"/>
            </w:tcBorders>
            <w:vAlign w:val="center"/>
            <w:hideMark/>
          </w:tcPr>
          <w:p w14:paraId="3E87CF1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SE</w:t>
            </w:r>
          </w:p>
        </w:tc>
        <w:tc>
          <w:tcPr>
            <w:tcW w:w="0" w:type="auto"/>
            <w:tcBorders>
              <w:top w:val="single" w:sz="4" w:space="0" w:color="auto"/>
              <w:bottom w:val="single" w:sz="4" w:space="0" w:color="auto"/>
            </w:tcBorders>
            <w:vAlign w:val="center"/>
            <w:hideMark/>
          </w:tcPr>
          <w:p w14:paraId="7B1F69E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w:t>
            </w:r>
          </w:p>
        </w:tc>
        <w:tc>
          <w:tcPr>
            <w:tcW w:w="0" w:type="auto"/>
            <w:tcBorders>
              <w:top w:val="single" w:sz="4" w:space="0" w:color="auto"/>
              <w:bottom w:val="single" w:sz="4" w:space="0" w:color="auto"/>
            </w:tcBorders>
            <w:vAlign w:val="center"/>
            <w:hideMark/>
          </w:tcPr>
          <w:p w14:paraId="7F2E0878" w14:textId="09B6B72D" w:rsidR="004E318A" w:rsidRPr="00837505" w:rsidRDefault="00F47351" w:rsidP="00837505">
            <w:pPr>
              <w:spacing w:after="0" w:line="240" w:lineRule="auto"/>
              <w:jc w:val="both"/>
              <w:rPr>
                <w:rFonts w:ascii="Times New Roman" w:hAnsi="Times New Roman" w:cs="Times New Roman"/>
              </w:rPr>
            </w:pPr>
            <w:r w:rsidRPr="00837505">
              <w:rPr>
                <w:rFonts w:ascii="Times New Roman" w:hAnsi="Times New Roman" w:cs="Times New Roman"/>
              </w:rPr>
              <w:t>P</w:t>
            </w:r>
          </w:p>
        </w:tc>
      </w:tr>
      <w:tr w:rsidR="004E318A" w:rsidRPr="004E318A" w14:paraId="245B637B" w14:textId="77777777" w:rsidTr="00837505">
        <w:trPr>
          <w:trHeight w:val="170"/>
          <w:tblCellSpacing w:w="15" w:type="dxa"/>
        </w:trPr>
        <w:tc>
          <w:tcPr>
            <w:tcW w:w="0" w:type="auto"/>
            <w:vAlign w:val="center"/>
            <w:hideMark/>
          </w:tcPr>
          <w:p w14:paraId="5F9245A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Constant</w:t>
            </w:r>
          </w:p>
        </w:tc>
        <w:tc>
          <w:tcPr>
            <w:tcW w:w="0" w:type="auto"/>
            <w:vAlign w:val="center"/>
            <w:hideMark/>
          </w:tcPr>
          <w:p w14:paraId="0986B9F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0.951</w:t>
            </w:r>
          </w:p>
        </w:tc>
        <w:tc>
          <w:tcPr>
            <w:tcW w:w="0" w:type="auto"/>
            <w:vAlign w:val="center"/>
            <w:hideMark/>
          </w:tcPr>
          <w:p w14:paraId="1099D9B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0.184</w:t>
            </w:r>
          </w:p>
        </w:tc>
        <w:tc>
          <w:tcPr>
            <w:tcW w:w="0" w:type="auto"/>
            <w:vAlign w:val="center"/>
            <w:hideMark/>
          </w:tcPr>
          <w:p w14:paraId="7942A4F6"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5.158</w:t>
            </w:r>
          </w:p>
        </w:tc>
        <w:tc>
          <w:tcPr>
            <w:tcW w:w="0" w:type="auto"/>
            <w:vAlign w:val="center"/>
            <w:hideMark/>
          </w:tcPr>
          <w:p w14:paraId="0CBF5CE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&lt;0.001</w:t>
            </w:r>
          </w:p>
        </w:tc>
      </w:tr>
      <w:tr w:rsidR="004E318A" w:rsidRPr="004E318A" w14:paraId="32DEDDE9" w14:textId="77777777" w:rsidTr="00837505">
        <w:trPr>
          <w:trHeight w:val="170"/>
          <w:tblCellSpacing w:w="15" w:type="dxa"/>
        </w:trPr>
        <w:tc>
          <w:tcPr>
            <w:tcW w:w="0" w:type="auto"/>
            <w:vAlign w:val="center"/>
            <w:hideMark/>
          </w:tcPr>
          <w:p w14:paraId="6104388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Income</w:t>
            </w:r>
          </w:p>
        </w:tc>
        <w:tc>
          <w:tcPr>
            <w:tcW w:w="0" w:type="auto"/>
            <w:vAlign w:val="center"/>
            <w:hideMark/>
          </w:tcPr>
          <w:p w14:paraId="79FA756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0.383</w:t>
            </w:r>
          </w:p>
        </w:tc>
        <w:tc>
          <w:tcPr>
            <w:tcW w:w="0" w:type="auto"/>
            <w:vAlign w:val="center"/>
            <w:hideMark/>
          </w:tcPr>
          <w:p w14:paraId="1875E34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0.037</w:t>
            </w:r>
          </w:p>
        </w:tc>
        <w:tc>
          <w:tcPr>
            <w:tcW w:w="0" w:type="auto"/>
            <w:vAlign w:val="center"/>
            <w:hideMark/>
          </w:tcPr>
          <w:p w14:paraId="7D9C065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10.313</w:t>
            </w:r>
          </w:p>
        </w:tc>
        <w:tc>
          <w:tcPr>
            <w:tcW w:w="0" w:type="auto"/>
            <w:vAlign w:val="center"/>
            <w:hideMark/>
          </w:tcPr>
          <w:p w14:paraId="65ACD7C7"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&lt;0.001</w:t>
            </w:r>
          </w:p>
        </w:tc>
      </w:tr>
      <w:tr w:rsidR="004E318A" w:rsidRPr="004E318A" w14:paraId="5AAE4985" w14:textId="77777777" w:rsidTr="00837505">
        <w:trPr>
          <w:trHeight w:val="170"/>
          <w:tblCellSpacing w:w="15" w:type="dxa"/>
        </w:trPr>
        <w:tc>
          <w:tcPr>
            <w:tcW w:w="0" w:type="auto"/>
            <w:vAlign w:val="center"/>
            <w:hideMark/>
          </w:tcPr>
          <w:p w14:paraId="2AF40DB6"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Household Size</w:t>
            </w:r>
          </w:p>
        </w:tc>
        <w:tc>
          <w:tcPr>
            <w:tcW w:w="0" w:type="auto"/>
            <w:vAlign w:val="center"/>
            <w:hideMark/>
          </w:tcPr>
          <w:p w14:paraId="6FBEBF5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0.026</w:t>
            </w:r>
          </w:p>
        </w:tc>
        <w:tc>
          <w:tcPr>
            <w:tcW w:w="0" w:type="auto"/>
            <w:vAlign w:val="center"/>
            <w:hideMark/>
          </w:tcPr>
          <w:p w14:paraId="03BEECE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0.042</w:t>
            </w:r>
          </w:p>
        </w:tc>
        <w:tc>
          <w:tcPr>
            <w:tcW w:w="0" w:type="auto"/>
            <w:vAlign w:val="center"/>
            <w:hideMark/>
          </w:tcPr>
          <w:p w14:paraId="4E934FA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0.625</w:t>
            </w:r>
          </w:p>
        </w:tc>
        <w:tc>
          <w:tcPr>
            <w:tcW w:w="0" w:type="auto"/>
            <w:vAlign w:val="center"/>
            <w:hideMark/>
          </w:tcPr>
          <w:p w14:paraId="0462BB0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0.532</w:t>
            </w:r>
          </w:p>
        </w:tc>
      </w:tr>
      <w:tr w:rsidR="004E318A" w:rsidRPr="004E318A" w14:paraId="73063E6D" w14:textId="77777777" w:rsidTr="00837505">
        <w:trPr>
          <w:trHeight w:val="170"/>
          <w:tblCellSpacing w:w="15" w:type="dxa"/>
        </w:trPr>
        <w:tc>
          <w:tcPr>
            <w:tcW w:w="0" w:type="auto"/>
            <w:vAlign w:val="center"/>
            <w:hideMark/>
          </w:tcPr>
          <w:p w14:paraId="6B4759D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Distance</w:t>
            </w:r>
          </w:p>
        </w:tc>
        <w:tc>
          <w:tcPr>
            <w:tcW w:w="0" w:type="auto"/>
            <w:vAlign w:val="center"/>
            <w:hideMark/>
          </w:tcPr>
          <w:p w14:paraId="2B4D935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0.040</w:t>
            </w:r>
          </w:p>
        </w:tc>
        <w:tc>
          <w:tcPr>
            <w:tcW w:w="0" w:type="auto"/>
            <w:vAlign w:val="center"/>
            <w:hideMark/>
          </w:tcPr>
          <w:p w14:paraId="5A1A90E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0.031</w:t>
            </w:r>
          </w:p>
        </w:tc>
        <w:tc>
          <w:tcPr>
            <w:tcW w:w="0" w:type="auto"/>
            <w:vAlign w:val="center"/>
            <w:hideMark/>
          </w:tcPr>
          <w:p w14:paraId="4834CF8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1.296</w:t>
            </w:r>
          </w:p>
        </w:tc>
        <w:tc>
          <w:tcPr>
            <w:tcW w:w="0" w:type="auto"/>
            <w:vAlign w:val="center"/>
            <w:hideMark/>
          </w:tcPr>
          <w:p w14:paraId="2D09FB9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0.196</w:t>
            </w:r>
          </w:p>
        </w:tc>
      </w:tr>
      <w:tr w:rsidR="004E318A" w:rsidRPr="004E318A" w14:paraId="41CED860" w14:textId="77777777" w:rsidTr="00837505">
        <w:trPr>
          <w:trHeight w:val="170"/>
          <w:tblCellSpacing w:w="15" w:type="dxa"/>
        </w:trPr>
        <w:tc>
          <w:tcPr>
            <w:tcW w:w="0" w:type="auto"/>
            <w:vAlign w:val="center"/>
            <w:hideMark/>
          </w:tcPr>
          <w:p w14:paraId="5195C2A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Cost</w:t>
            </w:r>
          </w:p>
        </w:tc>
        <w:tc>
          <w:tcPr>
            <w:tcW w:w="0" w:type="auto"/>
            <w:vAlign w:val="center"/>
            <w:hideMark/>
          </w:tcPr>
          <w:p w14:paraId="795844A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0.049</w:t>
            </w:r>
          </w:p>
        </w:tc>
        <w:tc>
          <w:tcPr>
            <w:tcW w:w="0" w:type="auto"/>
            <w:vAlign w:val="center"/>
            <w:hideMark/>
          </w:tcPr>
          <w:p w14:paraId="4A4F5E7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0.027</w:t>
            </w:r>
          </w:p>
        </w:tc>
        <w:tc>
          <w:tcPr>
            <w:tcW w:w="0" w:type="auto"/>
            <w:vAlign w:val="center"/>
            <w:hideMark/>
          </w:tcPr>
          <w:p w14:paraId="61E6D483"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1.794</w:t>
            </w:r>
          </w:p>
        </w:tc>
        <w:tc>
          <w:tcPr>
            <w:tcW w:w="0" w:type="auto"/>
            <w:vAlign w:val="center"/>
            <w:hideMark/>
          </w:tcPr>
          <w:p w14:paraId="6F73A00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0.074</w:t>
            </w:r>
          </w:p>
        </w:tc>
      </w:tr>
      <w:tr w:rsidR="004E318A" w:rsidRPr="004E318A" w14:paraId="4BC5ABF6" w14:textId="77777777" w:rsidTr="00837505">
        <w:trPr>
          <w:trHeight w:val="170"/>
          <w:tblCellSpacing w:w="15" w:type="dxa"/>
        </w:trPr>
        <w:tc>
          <w:tcPr>
            <w:tcW w:w="0" w:type="auto"/>
            <w:tcBorders>
              <w:bottom w:val="single" w:sz="4" w:space="0" w:color="auto"/>
            </w:tcBorders>
            <w:vAlign w:val="center"/>
            <w:hideMark/>
          </w:tcPr>
          <w:p w14:paraId="374FBEC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Regularity</w:t>
            </w:r>
          </w:p>
        </w:tc>
        <w:tc>
          <w:tcPr>
            <w:tcW w:w="0" w:type="auto"/>
            <w:tcBorders>
              <w:bottom w:val="single" w:sz="4" w:space="0" w:color="auto"/>
            </w:tcBorders>
            <w:vAlign w:val="center"/>
            <w:hideMark/>
          </w:tcPr>
          <w:p w14:paraId="0955D0D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0.004</w:t>
            </w:r>
          </w:p>
        </w:tc>
        <w:tc>
          <w:tcPr>
            <w:tcW w:w="0" w:type="auto"/>
            <w:tcBorders>
              <w:bottom w:val="single" w:sz="4" w:space="0" w:color="auto"/>
            </w:tcBorders>
            <w:vAlign w:val="center"/>
            <w:hideMark/>
          </w:tcPr>
          <w:p w14:paraId="3C38F8E8"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0.028</w:t>
            </w:r>
          </w:p>
        </w:tc>
        <w:tc>
          <w:tcPr>
            <w:tcW w:w="0" w:type="auto"/>
            <w:tcBorders>
              <w:bottom w:val="single" w:sz="4" w:space="0" w:color="auto"/>
            </w:tcBorders>
            <w:vAlign w:val="center"/>
            <w:hideMark/>
          </w:tcPr>
          <w:p w14:paraId="70B1B658"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0.126</w:t>
            </w:r>
          </w:p>
        </w:tc>
        <w:tc>
          <w:tcPr>
            <w:tcW w:w="0" w:type="auto"/>
            <w:tcBorders>
              <w:bottom w:val="single" w:sz="4" w:space="0" w:color="auto"/>
            </w:tcBorders>
            <w:vAlign w:val="center"/>
            <w:hideMark/>
          </w:tcPr>
          <w:p w14:paraId="6CAD348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0.900</w:t>
            </w:r>
          </w:p>
        </w:tc>
      </w:tr>
    </w:tbl>
    <w:p w14:paraId="1D0F6CBC" w14:textId="775B2DEB" w:rsidR="00857AAB" w:rsidRDefault="004E318A" w:rsidP="00857AAB">
      <w:pPr>
        <w:spacing w:line="360" w:lineRule="auto"/>
        <w:jc w:val="both"/>
        <w:rPr>
          <w:rFonts w:ascii="Times New Roman" w:hAnsi="Times New Roman" w:cs="Times New Roman"/>
        </w:rPr>
      </w:pPr>
      <w:r w:rsidRPr="004E318A">
        <w:rPr>
          <w:rFonts w:ascii="Times New Roman" w:hAnsi="Times New Roman" w:cs="Times New Roman"/>
        </w:rPr>
        <w:t>Model Summary: R² = 0.233; N = 382.</w:t>
      </w:r>
    </w:p>
    <w:p w14:paraId="23F1DC18" w14:textId="77777777" w:rsidR="00837505" w:rsidRP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t>Discussion</w:t>
      </w:r>
    </w:p>
    <w:p w14:paraId="1095398C"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The findings reveal that water accessibility in Keffi is shaped by both socioeconomic and service-related factors. The near-equal gender distribution and dominance of the economically active age group (31–40 years) suggest that water collection and management are shared responsibilities among households, consistent with patterns reported in urbanizing African communities (WHO/UNICEF, 2021). The predominance of respondents with secondary and tertiary education implies a relatively informed population; however, this did not translate into optimal water access, indicating structural supply constraints rather than knowledge gaps.</w:t>
      </w:r>
    </w:p>
    <w:p w14:paraId="47CD6582"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Boreholes emerged as the primary water source, reflecting the widespread reliance on self-supply systems in areas with inadequate public infrastructure. Similar trends have been documented in Nigeria and other developing regions, where households compensate for unreliable municipal systems through private sources (Adelana et al., 2011). The limited contribution of government supply (14.1%) further underscores institutional inefficiencies and the growing role of informal providers.</w:t>
      </w:r>
    </w:p>
    <w:p w14:paraId="2DBC082A"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lastRenderedPageBreak/>
        <w:t>Although most households accessed water within 500 m and spent less than 10 minutes reaching sources, the frequency and reliability of supply were inadequate. Only 20.9% reported daily access, falling below WHO standards for continuous supply (WHO, 2017). This inconsistency contributes to coping strategies such as multiple daily trips and dependence on vendors, which increase both time burden and financial cost.</w:t>
      </w:r>
    </w:p>
    <w:p w14:paraId="2192083B"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Water consumption levels were generally low, with over half of respondents using less than 100 L/person/day, below the recommended 120 L threshold. This shortfall has implications for hygiene and public health, supporting previous findings that insufficient water quantity increases vulnerability to disease (Howard &amp; Bartram, 2003). Additionally, the average cost of water (~10% of household income) exceeds the affordability benchmark of 5%, placing disproportionate pressure on low-income households.</w:t>
      </w:r>
    </w:p>
    <w:p w14:paraId="7A527228"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Income was the strongest predictor of water accessibility, as demonstrated by significant chi-square and regression results (p &lt; 0.001). Higher-income households had greater access to improved sources and higher accessibility levels, confirming socioeconomic disparities in water provision (UNDP, 2020). The moderate positive correlation (ρ = 0.481) further indicates that improvements in household income are likely to enhance water access outcomes.</w:t>
      </w:r>
    </w:p>
    <w:p w14:paraId="47F2679C"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Perception data reinforce these objective findings, with respondents expressing dissatisfaction with reliability, affordability, and government performance, while strongly advocating for improved planning. The overall mean score (2.95) reflects moderate dissatisfaction, suggesting that current services fall short of user expectations.</w:t>
      </w:r>
    </w:p>
    <w:p w14:paraId="397DA7E9"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Despite meeting distance standards, Keffi falls below national and international benchmarks in supply frequency, water quantity, and affordability. These gaps highlight the need for targeted interventions, including strengthening public water infrastructure, regulating private vendors, and implementing pro-poor pricing policies.</w:t>
      </w:r>
    </w:p>
    <w:p w14:paraId="6EE5BBB8" w14:textId="6A62D981" w:rsid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In summary, this study demonstrates that water accessibility in Keffi is constrained more by service delivery inefficiencies and economic inequalities than by physical proximity. Addressing these challenges requires integrated policy approaches that prioritize reliability, affordability, and equitable distribution.</w:t>
      </w:r>
    </w:p>
    <w:p w14:paraId="2AC7C527" w14:textId="77777777" w:rsidR="00402185" w:rsidRDefault="00402185" w:rsidP="00837505">
      <w:pPr>
        <w:spacing w:line="360" w:lineRule="auto"/>
        <w:jc w:val="both"/>
        <w:rPr>
          <w:rFonts w:ascii="Times New Roman" w:hAnsi="Times New Roman" w:cs="Times New Roman"/>
        </w:rPr>
      </w:pPr>
    </w:p>
    <w:p w14:paraId="42135D7D" w14:textId="77777777" w:rsidR="00402185" w:rsidRDefault="00402185" w:rsidP="00837505">
      <w:pPr>
        <w:spacing w:line="360" w:lineRule="auto"/>
        <w:jc w:val="both"/>
        <w:rPr>
          <w:rFonts w:ascii="Times New Roman" w:hAnsi="Times New Roman" w:cs="Times New Roman"/>
        </w:rPr>
      </w:pPr>
    </w:p>
    <w:p w14:paraId="3733FBC8" w14:textId="77777777" w:rsidR="00402185" w:rsidRDefault="00402185" w:rsidP="00837505">
      <w:pPr>
        <w:spacing w:line="360" w:lineRule="auto"/>
        <w:jc w:val="both"/>
        <w:rPr>
          <w:rFonts w:ascii="Times New Roman" w:hAnsi="Times New Roman" w:cs="Times New Roman"/>
        </w:rPr>
      </w:pPr>
    </w:p>
    <w:p w14:paraId="45E34323" w14:textId="664B3965" w:rsidR="00837505" w:rsidRP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t>Limitation of the study</w:t>
      </w:r>
    </w:p>
    <w:p w14:paraId="1941E273" w14:textId="49A404CD"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The study is limited by its cross-sectional design, restricted geographic scope and omission of factors such as seasonal variation and water quality, which may affect the generalizability and explanatory power of the findings</w:t>
      </w:r>
      <w:r w:rsidR="00F47351">
        <w:rPr>
          <w:rFonts w:ascii="Times New Roman" w:hAnsi="Times New Roman" w:cs="Times New Roman"/>
        </w:rPr>
        <w:t>.</w:t>
      </w:r>
      <w:r w:rsidR="00CC7679">
        <w:rPr>
          <w:rFonts w:ascii="Times New Roman" w:hAnsi="Times New Roman" w:cs="Times New Roman"/>
        </w:rPr>
        <w:t xml:space="preserve"> </w:t>
      </w:r>
    </w:p>
    <w:p w14:paraId="10C203AC" w14:textId="28A69228" w:rsidR="00837505" w:rsidRP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t>Conclusion</w:t>
      </w:r>
    </w:p>
    <w:p w14:paraId="7E13953A"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This study assessed household water accessibility in Keffi and revealed significant gaps in adequacy, reliability, and affordability of water supply. Although a substantial proportion of households accessed water within acceptable distance limits, service delivery remains inconsistent, with most households receiving water less than daily. Boreholes and private vendors dominate as primary sources, highlighting the limited role of public water infrastructure.</w:t>
      </w:r>
    </w:p>
    <w:p w14:paraId="5050D7AB"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Water consumption levels were generally below recommended standards, suggesting constrained access and potential implications for hygiene and health. Additionally, the cost of water exceeded affordability benchmarks for many households, particularly among low-income groups, indicating economic barriers to safe water access.</w:t>
      </w:r>
    </w:p>
    <w:p w14:paraId="486E8FDD"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The analysis further established that household income is a critical determinant of water accessibility. Higher-income households were significantly more likely to access improved sources and achieve better water access levels, confirming the presence of socioeconomic inequalities. In contrast, variables such as household size, distance, and supply regularity showed weaker influence in predicting accessibility.</w:t>
      </w:r>
    </w:p>
    <w:p w14:paraId="5491FBD5"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Perception results reinforced these findings, with respondents expressing dissatisfaction with water reliability, affordability, and government performance, while strongly advocating for improved planning and management.</w:t>
      </w:r>
    </w:p>
    <w:p w14:paraId="7F76FF74"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 xml:space="preserve">Overall, the study concludes that water accessibility in Keffi is constrained more by systemic service delivery inefficiencies and economic disparities than by physical proximity to sources. Addressing these challenges requires strengthening public water infrastructure, improving supply </w:t>
      </w:r>
      <w:r w:rsidRPr="00837505">
        <w:rPr>
          <w:rFonts w:ascii="Times New Roman" w:hAnsi="Times New Roman" w:cs="Times New Roman"/>
        </w:rPr>
        <w:lastRenderedPageBreak/>
        <w:t>reliability, regulating informal providers, and implementing equitable pricing policies to ensure sustainable and inclusive access to safe water.</w:t>
      </w:r>
    </w:p>
    <w:p w14:paraId="2E1E99F0" w14:textId="668C2A1D" w:rsidR="00837505" w:rsidRPr="00CC7679" w:rsidRDefault="00CC7679" w:rsidP="00857AAB">
      <w:pPr>
        <w:spacing w:line="360" w:lineRule="auto"/>
        <w:jc w:val="both"/>
        <w:rPr>
          <w:rFonts w:ascii="Times New Roman" w:hAnsi="Times New Roman" w:cs="Times New Roman"/>
        </w:rPr>
      </w:pPr>
      <w:r w:rsidRPr="00CC7679">
        <w:rPr>
          <w:rFonts w:ascii="Times New Roman" w:hAnsi="Times New Roman" w:cs="Times New Roman"/>
          <w:b/>
          <w:bCs/>
        </w:rPr>
        <w:t> </w:t>
      </w:r>
      <w:r w:rsidRPr="00CC7679">
        <w:rPr>
          <w:rFonts w:ascii="Times New Roman" w:hAnsi="Times New Roman" w:cs="Times New Roman"/>
        </w:rPr>
        <w:t>Future studies should include objective water quality testing, climate variability indicators, and infrastructure assessments to provide a more comprehensive understanding of water access challenges. Expanding the study to multiple urban and rural locations would enhance external validity and facilitate comparative analysis. The authors may also explore advanced statistical models to examine interactions among socioeconomic, environmental, and institutional factors. Additional policy discussion on financing mechanisms, public-private partnerships, and sustainable water governance would further increase the practical contribution of the research.</w:t>
      </w:r>
    </w:p>
    <w:p w14:paraId="3C69D84F" w14:textId="22B2F9A8" w:rsidR="00402185" w:rsidRPr="00402185" w:rsidRDefault="00837505" w:rsidP="00857AAB">
      <w:pPr>
        <w:spacing w:line="360" w:lineRule="auto"/>
        <w:jc w:val="both"/>
        <w:rPr>
          <w:rFonts w:ascii="Times New Roman" w:hAnsi="Times New Roman" w:cs="Times New Roman"/>
          <w:b/>
          <w:bCs/>
        </w:rPr>
      </w:pPr>
      <w:r w:rsidRPr="00837505">
        <w:rPr>
          <w:rFonts w:ascii="Times New Roman" w:hAnsi="Times New Roman" w:cs="Times New Roman"/>
          <w:b/>
          <w:bCs/>
        </w:rPr>
        <w:t>References</w:t>
      </w:r>
    </w:p>
    <w:p w14:paraId="439C31E8" w14:textId="77777777" w:rsidR="00402185" w:rsidRPr="00163CB8" w:rsidRDefault="00402185" w:rsidP="00163CB8">
      <w:pPr>
        <w:spacing w:line="360" w:lineRule="auto"/>
        <w:jc w:val="both"/>
        <w:rPr>
          <w:rFonts w:ascii="Times New Roman" w:hAnsi="Times New Roman" w:cs="Times New Roman"/>
        </w:rPr>
      </w:pPr>
      <w:proofErr w:type="spellStart"/>
      <w:r w:rsidRPr="00163CB8">
        <w:rPr>
          <w:rFonts w:ascii="Times New Roman" w:hAnsi="Times New Roman" w:cs="Times New Roman"/>
        </w:rPr>
        <w:t>Abanyie</w:t>
      </w:r>
      <w:proofErr w:type="spellEnd"/>
      <w:r w:rsidRPr="00163CB8">
        <w:rPr>
          <w:rFonts w:ascii="Times New Roman" w:hAnsi="Times New Roman" w:cs="Times New Roman"/>
        </w:rPr>
        <w:t xml:space="preserve">, S. K., Owusu, E., Agyeman, F. O., &amp; Mensah, P. K. (2024). Household water access, sanitation practices, and public health implications in developing communities. </w:t>
      </w:r>
      <w:r w:rsidRPr="00163CB8">
        <w:rPr>
          <w:rFonts w:ascii="Times New Roman" w:hAnsi="Times New Roman" w:cs="Times New Roman"/>
          <w:i/>
          <w:iCs/>
        </w:rPr>
        <w:t>Journal of Water, Sanitation and Hygiene for Development, 14</w:t>
      </w:r>
      <w:r w:rsidRPr="00163CB8">
        <w:rPr>
          <w:rFonts w:ascii="Times New Roman" w:hAnsi="Times New Roman" w:cs="Times New Roman"/>
        </w:rPr>
        <w:t>(2), 145-158.</w:t>
      </w:r>
    </w:p>
    <w:p w14:paraId="5A3357A3"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Adamu, A. M. (2024). Institutional challenges and governance issues in water resource management in Nigeria. </w:t>
      </w:r>
      <w:r w:rsidRPr="00163CB8">
        <w:rPr>
          <w:rFonts w:ascii="Times New Roman" w:hAnsi="Times New Roman" w:cs="Times New Roman"/>
          <w:i/>
          <w:iCs/>
        </w:rPr>
        <w:t>Water Policy, 26</w:t>
      </w:r>
      <w:r w:rsidRPr="00163CB8">
        <w:rPr>
          <w:rFonts w:ascii="Times New Roman" w:hAnsi="Times New Roman" w:cs="Times New Roman"/>
        </w:rPr>
        <w:t>(1), 78-92.</w:t>
      </w:r>
    </w:p>
    <w:p w14:paraId="7EB5F78E" w14:textId="77777777" w:rsidR="00402185" w:rsidRDefault="00402185" w:rsidP="00837505">
      <w:pPr>
        <w:spacing w:line="360" w:lineRule="auto"/>
        <w:jc w:val="both"/>
        <w:rPr>
          <w:rFonts w:ascii="Times New Roman" w:hAnsi="Times New Roman" w:cs="Times New Roman"/>
        </w:rPr>
      </w:pPr>
      <w:r w:rsidRPr="00837505">
        <w:rPr>
          <w:rFonts w:ascii="Times New Roman" w:hAnsi="Times New Roman" w:cs="Times New Roman"/>
        </w:rPr>
        <w:t xml:space="preserve">Adelana, S. S. A. S., Abiye, T. A., Nkhuwa, D. C. W., </w:t>
      </w:r>
      <w:proofErr w:type="spellStart"/>
      <w:r w:rsidRPr="00837505">
        <w:rPr>
          <w:rFonts w:ascii="Times New Roman" w:hAnsi="Times New Roman" w:cs="Times New Roman"/>
        </w:rPr>
        <w:t>Tindimugaya</w:t>
      </w:r>
      <w:proofErr w:type="spellEnd"/>
      <w:r w:rsidRPr="00837505">
        <w:rPr>
          <w:rFonts w:ascii="Times New Roman" w:hAnsi="Times New Roman" w:cs="Times New Roman"/>
        </w:rPr>
        <w:t>, C., &amp; Oga, M. S. (2008). Urban groundwater management and protection in Sub-Saharan Africa. In </w:t>
      </w:r>
      <w:r w:rsidRPr="00837505">
        <w:rPr>
          <w:rFonts w:ascii="Times New Roman" w:hAnsi="Times New Roman" w:cs="Times New Roman"/>
          <w:i/>
          <w:iCs/>
        </w:rPr>
        <w:t>Applied groundwater studies in Africa</w:t>
      </w:r>
      <w:r w:rsidRPr="00837505">
        <w:rPr>
          <w:rFonts w:ascii="Times New Roman" w:hAnsi="Times New Roman" w:cs="Times New Roman"/>
        </w:rPr>
        <w:t> (pp. 241-270). CRC Press.</w:t>
      </w:r>
    </w:p>
    <w:p w14:paraId="25E6FFA5" w14:textId="77777777" w:rsidR="00402185" w:rsidRPr="00163CB8" w:rsidRDefault="00402185" w:rsidP="00163CB8">
      <w:pPr>
        <w:spacing w:line="360" w:lineRule="auto"/>
        <w:jc w:val="both"/>
        <w:rPr>
          <w:rFonts w:ascii="Times New Roman" w:hAnsi="Times New Roman" w:cs="Times New Roman"/>
        </w:rPr>
      </w:pPr>
      <w:proofErr w:type="spellStart"/>
      <w:r w:rsidRPr="00163CB8">
        <w:rPr>
          <w:rFonts w:ascii="Times New Roman" w:hAnsi="Times New Roman" w:cs="Times New Roman"/>
        </w:rPr>
        <w:t>Agbonaye</w:t>
      </w:r>
      <w:proofErr w:type="spellEnd"/>
      <w:r w:rsidRPr="00163CB8">
        <w:rPr>
          <w:rFonts w:ascii="Times New Roman" w:hAnsi="Times New Roman" w:cs="Times New Roman"/>
        </w:rPr>
        <w:t xml:space="preserve">, O., &amp; </w:t>
      </w:r>
      <w:proofErr w:type="spellStart"/>
      <w:r w:rsidRPr="00163CB8">
        <w:rPr>
          <w:rFonts w:ascii="Times New Roman" w:hAnsi="Times New Roman" w:cs="Times New Roman"/>
        </w:rPr>
        <w:t>Eboi</w:t>
      </w:r>
      <w:proofErr w:type="spellEnd"/>
      <w:r w:rsidRPr="00163CB8">
        <w:rPr>
          <w:rFonts w:ascii="Times New Roman" w:hAnsi="Times New Roman" w:cs="Times New Roman"/>
        </w:rPr>
        <w:t xml:space="preserve">, F. (2024). Household coping strategies and alternative water sources in urban Nigeria. </w:t>
      </w:r>
      <w:r w:rsidRPr="00163CB8">
        <w:rPr>
          <w:rFonts w:ascii="Times New Roman" w:hAnsi="Times New Roman" w:cs="Times New Roman"/>
          <w:i/>
          <w:iCs/>
        </w:rPr>
        <w:t>Environmental Development, 49</w:t>
      </w:r>
      <w:r w:rsidRPr="00163CB8">
        <w:rPr>
          <w:rFonts w:ascii="Times New Roman" w:hAnsi="Times New Roman" w:cs="Times New Roman"/>
        </w:rPr>
        <w:t>, 100948.</w:t>
      </w:r>
    </w:p>
    <w:p w14:paraId="29EA1690" w14:textId="77777777" w:rsidR="00402185" w:rsidRPr="00163CB8" w:rsidRDefault="00402185" w:rsidP="00163CB8">
      <w:pPr>
        <w:spacing w:line="360" w:lineRule="auto"/>
        <w:jc w:val="both"/>
        <w:rPr>
          <w:rFonts w:ascii="Times New Roman" w:hAnsi="Times New Roman" w:cs="Times New Roman"/>
        </w:rPr>
      </w:pPr>
      <w:proofErr w:type="spellStart"/>
      <w:r w:rsidRPr="00163CB8">
        <w:rPr>
          <w:rFonts w:ascii="Times New Roman" w:hAnsi="Times New Roman" w:cs="Times New Roman"/>
        </w:rPr>
        <w:t>Aikowe</w:t>
      </w:r>
      <w:proofErr w:type="spellEnd"/>
      <w:r w:rsidRPr="00163CB8">
        <w:rPr>
          <w:rFonts w:ascii="Times New Roman" w:hAnsi="Times New Roman" w:cs="Times New Roman"/>
        </w:rPr>
        <w:t xml:space="preserve">, J. O., &amp; </w:t>
      </w:r>
      <w:proofErr w:type="spellStart"/>
      <w:r w:rsidRPr="00163CB8">
        <w:rPr>
          <w:rFonts w:ascii="Times New Roman" w:hAnsi="Times New Roman" w:cs="Times New Roman"/>
        </w:rPr>
        <w:t>Mazancová</w:t>
      </w:r>
      <w:proofErr w:type="spellEnd"/>
      <w:r w:rsidRPr="00163CB8">
        <w:rPr>
          <w:rFonts w:ascii="Times New Roman" w:hAnsi="Times New Roman" w:cs="Times New Roman"/>
        </w:rPr>
        <w:t xml:space="preserve">, J. (2021). Factors influencing access to potable water in rural communities of Nigeria. </w:t>
      </w:r>
      <w:r w:rsidRPr="00163CB8">
        <w:rPr>
          <w:rFonts w:ascii="Times New Roman" w:hAnsi="Times New Roman" w:cs="Times New Roman"/>
          <w:i/>
          <w:iCs/>
        </w:rPr>
        <w:t>Water Supply, 21</w:t>
      </w:r>
      <w:r w:rsidRPr="00163CB8">
        <w:rPr>
          <w:rFonts w:ascii="Times New Roman" w:hAnsi="Times New Roman" w:cs="Times New Roman"/>
        </w:rPr>
        <w:t>(8), 4315-4328.</w:t>
      </w:r>
    </w:p>
    <w:p w14:paraId="14705FF1"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Akinyemi, F. O., Afolabi, O. T., &amp; Aluko, O. E. (2022). Urban expansion and water resource pressure in emerging Nigerian cities. </w:t>
      </w:r>
      <w:r w:rsidRPr="00163CB8">
        <w:rPr>
          <w:rFonts w:ascii="Times New Roman" w:hAnsi="Times New Roman" w:cs="Times New Roman"/>
          <w:i/>
          <w:iCs/>
        </w:rPr>
        <w:t>Urban Water Journal, 19</w:t>
      </w:r>
      <w:r w:rsidRPr="00163CB8">
        <w:rPr>
          <w:rFonts w:ascii="Times New Roman" w:hAnsi="Times New Roman" w:cs="Times New Roman"/>
        </w:rPr>
        <w:t>(7), 623-634.</w:t>
      </w:r>
    </w:p>
    <w:p w14:paraId="361D5AEC"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Balogun, I. I., </w:t>
      </w:r>
      <w:proofErr w:type="spellStart"/>
      <w:r w:rsidRPr="00163CB8">
        <w:rPr>
          <w:rFonts w:ascii="Times New Roman" w:hAnsi="Times New Roman" w:cs="Times New Roman"/>
        </w:rPr>
        <w:t>Sojobi</w:t>
      </w:r>
      <w:proofErr w:type="spellEnd"/>
      <w:r w:rsidRPr="00163CB8">
        <w:rPr>
          <w:rFonts w:ascii="Times New Roman" w:hAnsi="Times New Roman" w:cs="Times New Roman"/>
        </w:rPr>
        <w:t xml:space="preserve">, A. O., &amp; Sridhar, M. K. C. (2017). Assessment of water supply challenges in Lagos State, Nigeria. </w:t>
      </w:r>
      <w:r w:rsidRPr="00163CB8">
        <w:rPr>
          <w:rFonts w:ascii="Times New Roman" w:hAnsi="Times New Roman" w:cs="Times New Roman"/>
          <w:i/>
          <w:iCs/>
        </w:rPr>
        <w:t>Journal of Water, Sanitation and Hygiene for Development, 7</w:t>
      </w:r>
      <w:r w:rsidRPr="00163CB8">
        <w:rPr>
          <w:rFonts w:ascii="Times New Roman" w:hAnsi="Times New Roman" w:cs="Times New Roman"/>
        </w:rPr>
        <w:t>(4), 664-671.</w:t>
      </w:r>
    </w:p>
    <w:p w14:paraId="1F35D652"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lastRenderedPageBreak/>
        <w:t xml:space="preserve">Balogun, I. I., </w:t>
      </w:r>
      <w:proofErr w:type="spellStart"/>
      <w:r w:rsidRPr="00163CB8">
        <w:rPr>
          <w:rFonts w:ascii="Times New Roman" w:hAnsi="Times New Roman" w:cs="Times New Roman"/>
        </w:rPr>
        <w:t>Sojobi</w:t>
      </w:r>
      <w:proofErr w:type="spellEnd"/>
      <w:r w:rsidRPr="00163CB8">
        <w:rPr>
          <w:rFonts w:ascii="Times New Roman" w:hAnsi="Times New Roman" w:cs="Times New Roman"/>
        </w:rPr>
        <w:t xml:space="preserve">, A. O., &amp; Sridhar, M. K. C. (2019). Water supply challenges and sustainable management options in Nigeria. </w:t>
      </w:r>
      <w:r w:rsidRPr="00163CB8">
        <w:rPr>
          <w:rFonts w:ascii="Times New Roman" w:hAnsi="Times New Roman" w:cs="Times New Roman"/>
          <w:i/>
          <w:iCs/>
        </w:rPr>
        <w:t>Sustainable Water Resources Management, 5</w:t>
      </w:r>
      <w:r w:rsidRPr="00163CB8">
        <w:rPr>
          <w:rFonts w:ascii="Times New Roman" w:hAnsi="Times New Roman" w:cs="Times New Roman"/>
        </w:rPr>
        <w:t>(4), 1549-1563.</w:t>
      </w:r>
    </w:p>
    <w:p w14:paraId="6F6BBF4F"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Bello, M. M., Shehu, H., Abubakar, A., Bello, A., &amp; Imam, T. S. (2021). Water vending and domestic water supply in Kano State, Nigeria. </w:t>
      </w:r>
      <w:r w:rsidRPr="00163CB8">
        <w:rPr>
          <w:rFonts w:ascii="Times New Roman" w:hAnsi="Times New Roman" w:cs="Times New Roman"/>
          <w:i/>
          <w:iCs/>
        </w:rPr>
        <w:t>African Journal of Environmental Science and Technology, 15</w:t>
      </w:r>
      <w:r w:rsidRPr="00163CB8">
        <w:rPr>
          <w:rFonts w:ascii="Times New Roman" w:hAnsi="Times New Roman" w:cs="Times New Roman"/>
        </w:rPr>
        <w:t>(6), 237-247.</w:t>
      </w:r>
    </w:p>
    <w:p w14:paraId="13972A65"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Chidozie, C. F., Nwosu, A. C., &amp; </w:t>
      </w:r>
      <w:proofErr w:type="spellStart"/>
      <w:r w:rsidRPr="00163CB8">
        <w:rPr>
          <w:rFonts w:ascii="Times New Roman" w:hAnsi="Times New Roman" w:cs="Times New Roman"/>
        </w:rPr>
        <w:t>Ekeokwueze</w:t>
      </w:r>
      <w:proofErr w:type="spellEnd"/>
      <w:r w:rsidRPr="00163CB8">
        <w:rPr>
          <w:rFonts w:ascii="Times New Roman" w:hAnsi="Times New Roman" w:cs="Times New Roman"/>
        </w:rPr>
        <w:t xml:space="preserve">, N. A. (2024). Household rainwater harvesting practices and perceptions in Enugu State, Nigeria. </w:t>
      </w:r>
      <w:r w:rsidRPr="00163CB8">
        <w:rPr>
          <w:rFonts w:ascii="Times New Roman" w:hAnsi="Times New Roman" w:cs="Times New Roman"/>
          <w:i/>
          <w:iCs/>
        </w:rPr>
        <w:t>Journal of Water and Climate Change, 15</w:t>
      </w:r>
      <w:r w:rsidRPr="00163CB8">
        <w:rPr>
          <w:rFonts w:ascii="Times New Roman" w:hAnsi="Times New Roman" w:cs="Times New Roman"/>
        </w:rPr>
        <w:t>(3), 1124-1138.</w:t>
      </w:r>
    </w:p>
    <w:p w14:paraId="400DFB24" w14:textId="77777777" w:rsidR="00402185" w:rsidRPr="00163CB8" w:rsidRDefault="00402185" w:rsidP="00163CB8">
      <w:pPr>
        <w:spacing w:line="360" w:lineRule="auto"/>
        <w:jc w:val="both"/>
        <w:rPr>
          <w:rFonts w:ascii="Times New Roman" w:hAnsi="Times New Roman" w:cs="Times New Roman"/>
        </w:rPr>
      </w:pPr>
      <w:proofErr w:type="spellStart"/>
      <w:r w:rsidRPr="00163CB8">
        <w:rPr>
          <w:rFonts w:ascii="Times New Roman" w:hAnsi="Times New Roman" w:cs="Times New Roman"/>
        </w:rPr>
        <w:t>Edefo</w:t>
      </w:r>
      <w:proofErr w:type="spellEnd"/>
      <w:r w:rsidRPr="00163CB8">
        <w:rPr>
          <w:rFonts w:ascii="Times New Roman" w:hAnsi="Times New Roman" w:cs="Times New Roman"/>
        </w:rPr>
        <w:t xml:space="preserve">, M. A. (2025). Access to improved water supply and sanitation services in Nigeria: Progress and challenges. </w:t>
      </w:r>
      <w:r w:rsidRPr="00163CB8">
        <w:rPr>
          <w:rFonts w:ascii="Times New Roman" w:hAnsi="Times New Roman" w:cs="Times New Roman"/>
          <w:i/>
          <w:iCs/>
        </w:rPr>
        <w:t>Water Resources Management, 39</w:t>
      </w:r>
      <w:r w:rsidRPr="00163CB8">
        <w:rPr>
          <w:rFonts w:ascii="Times New Roman" w:hAnsi="Times New Roman" w:cs="Times New Roman"/>
        </w:rPr>
        <w:t>(2), 587-603.</w:t>
      </w:r>
    </w:p>
    <w:p w14:paraId="73685FE7"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George-Williams, H., Hunt, D. V. L., &amp; Rogers, C. D. F. (2024). Sustainable infrastructure approaches for improving water security in Sub-Saharan Africa. </w:t>
      </w:r>
      <w:r w:rsidRPr="00163CB8">
        <w:rPr>
          <w:rFonts w:ascii="Times New Roman" w:hAnsi="Times New Roman" w:cs="Times New Roman"/>
          <w:i/>
          <w:iCs/>
        </w:rPr>
        <w:t>Sustainability, 16</w:t>
      </w:r>
      <w:r w:rsidRPr="00163CB8">
        <w:rPr>
          <w:rFonts w:ascii="Times New Roman" w:hAnsi="Times New Roman" w:cs="Times New Roman"/>
        </w:rPr>
        <w:t>(5), 2014.</w:t>
      </w:r>
    </w:p>
    <w:p w14:paraId="06341A3B"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Gleick, P. H. (2019). The world's water: The biennial report on freshwater resources. Washington, DC: Island Press.</w:t>
      </w:r>
    </w:p>
    <w:p w14:paraId="17DEFFE9" w14:textId="77777777" w:rsidR="00402185" w:rsidRPr="00837505" w:rsidRDefault="00402185" w:rsidP="00837505">
      <w:pPr>
        <w:spacing w:line="360" w:lineRule="auto"/>
        <w:jc w:val="both"/>
        <w:rPr>
          <w:rFonts w:ascii="Times New Roman" w:hAnsi="Times New Roman" w:cs="Times New Roman"/>
        </w:rPr>
      </w:pPr>
      <w:r w:rsidRPr="00837505">
        <w:rPr>
          <w:rFonts w:ascii="Times New Roman" w:hAnsi="Times New Roman" w:cs="Times New Roman"/>
        </w:rPr>
        <w:t xml:space="preserve">Howard, G., &amp; Bartram, J. (2003). </w:t>
      </w:r>
      <w:r w:rsidRPr="00837505">
        <w:rPr>
          <w:rFonts w:ascii="Times New Roman" w:hAnsi="Times New Roman" w:cs="Times New Roman"/>
          <w:i/>
          <w:iCs/>
        </w:rPr>
        <w:t>Domestic water quantity, service level and health</w:t>
      </w:r>
      <w:r w:rsidRPr="00837505">
        <w:rPr>
          <w:rFonts w:ascii="Times New Roman" w:hAnsi="Times New Roman" w:cs="Times New Roman"/>
        </w:rPr>
        <w:t>. World Health Organization.</w:t>
      </w:r>
    </w:p>
    <w:p w14:paraId="610C4324"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Hrudey, S. E., &amp; Hrudey, E. J. (2020). </w:t>
      </w:r>
      <w:r w:rsidRPr="00163CB8">
        <w:rPr>
          <w:rFonts w:ascii="Times New Roman" w:hAnsi="Times New Roman" w:cs="Times New Roman"/>
          <w:i/>
          <w:iCs/>
        </w:rPr>
        <w:t>Ensuring safe drinking water: Learning from frontline experience with contamination</w:t>
      </w:r>
      <w:r w:rsidRPr="00163CB8">
        <w:rPr>
          <w:rFonts w:ascii="Times New Roman" w:hAnsi="Times New Roman" w:cs="Times New Roman"/>
        </w:rPr>
        <w:t>. Denver, CO: American Water Works Association.</w:t>
      </w:r>
    </w:p>
    <w:p w14:paraId="2E78B071" w14:textId="77777777" w:rsidR="00402185" w:rsidRDefault="00402185" w:rsidP="00857AAB">
      <w:pPr>
        <w:spacing w:line="360" w:lineRule="auto"/>
        <w:jc w:val="both"/>
        <w:rPr>
          <w:rFonts w:ascii="Times New Roman" w:hAnsi="Times New Roman" w:cs="Times New Roman"/>
        </w:rPr>
      </w:pPr>
      <w:r w:rsidRPr="00857AAB">
        <w:rPr>
          <w:rFonts w:ascii="Times New Roman" w:hAnsi="Times New Roman" w:cs="Times New Roman"/>
        </w:rPr>
        <w:t xml:space="preserve">Kabiru, M. D., Madaki, R. B., &amp; </w:t>
      </w:r>
      <w:proofErr w:type="spellStart"/>
      <w:r w:rsidRPr="00857AAB">
        <w:rPr>
          <w:rFonts w:ascii="Times New Roman" w:hAnsi="Times New Roman" w:cs="Times New Roman"/>
        </w:rPr>
        <w:t>Chunwate</w:t>
      </w:r>
      <w:proofErr w:type="spellEnd"/>
      <w:r w:rsidRPr="00857AAB">
        <w:rPr>
          <w:rFonts w:ascii="Times New Roman" w:hAnsi="Times New Roman" w:cs="Times New Roman"/>
        </w:rPr>
        <w:t xml:space="preserve">, B. T. (2021). Access to Pipe-Born Water Evaluation in </w:t>
      </w:r>
      <w:proofErr w:type="spellStart"/>
      <w:r w:rsidRPr="00857AAB">
        <w:rPr>
          <w:rFonts w:ascii="Times New Roman" w:hAnsi="Times New Roman" w:cs="Times New Roman"/>
        </w:rPr>
        <w:t>Akwanga</w:t>
      </w:r>
      <w:proofErr w:type="spellEnd"/>
      <w:r w:rsidRPr="00857AAB">
        <w:rPr>
          <w:rFonts w:ascii="Times New Roman" w:hAnsi="Times New Roman" w:cs="Times New Roman"/>
        </w:rPr>
        <w:t xml:space="preserve"> Local Government Area of Nasarawa State, Nigeria. </w:t>
      </w:r>
      <w:r w:rsidRPr="00857AAB">
        <w:rPr>
          <w:rFonts w:ascii="Times New Roman" w:hAnsi="Times New Roman" w:cs="Times New Roman"/>
          <w:i/>
          <w:iCs/>
        </w:rPr>
        <w:t>Journal of Geography, Environment and Earth Science International</w:t>
      </w:r>
      <w:r w:rsidRPr="00857AAB">
        <w:rPr>
          <w:rFonts w:ascii="Times New Roman" w:hAnsi="Times New Roman" w:cs="Times New Roman"/>
        </w:rPr>
        <w:t>, </w:t>
      </w:r>
      <w:r w:rsidRPr="00857AAB">
        <w:rPr>
          <w:rFonts w:ascii="Times New Roman" w:hAnsi="Times New Roman" w:cs="Times New Roman"/>
          <w:i/>
          <w:iCs/>
        </w:rPr>
        <w:t>25</w:t>
      </w:r>
      <w:r w:rsidRPr="00857AAB">
        <w:rPr>
          <w:rFonts w:ascii="Times New Roman" w:hAnsi="Times New Roman" w:cs="Times New Roman"/>
        </w:rPr>
        <w:t>(8), 1-9.</w:t>
      </w:r>
    </w:p>
    <w:p w14:paraId="6715BC42"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Mekonnen, M. M., &amp; Hoekstra, A. Y. (2016). Four billion people facing severe water scarcity. </w:t>
      </w:r>
      <w:r w:rsidRPr="00163CB8">
        <w:rPr>
          <w:rFonts w:ascii="Times New Roman" w:hAnsi="Times New Roman" w:cs="Times New Roman"/>
          <w:i/>
          <w:iCs/>
        </w:rPr>
        <w:t>Science Advances, 2</w:t>
      </w:r>
      <w:r w:rsidRPr="00163CB8">
        <w:rPr>
          <w:rFonts w:ascii="Times New Roman" w:hAnsi="Times New Roman" w:cs="Times New Roman"/>
        </w:rPr>
        <w:t>(2), e1500323.</w:t>
      </w:r>
    </w:p>
    <w:p w14:paraId="47E42EAE" w14:textId="77777777" w:rsidR="00402185" w:rsidRDefault="00402185" w:rsidP="00857AAB">
      <w:pPr>
        <w:spacing w:line="360" w:lineRule="auto"/>
        <w:jc w:val="both"/>
        <w:rPr>
          <w:rFonts w:ascii="Times New Roman" w:hAnsi="Times New Roman" w:cs="Times New Roman"/>
        </w:rPr>
      </w:pPr>
      <w:r w:rsidRPr="00163CB8">
        <w:rPr>
          <w:rFonts w:ascii="Times New Roman" w:hAnsi="Times New Roman" w:cs="Times New Roman"/>
        </w:rPr>
        <w:t xml:space="preserve">Nnaji, C. C., Nwosu, E. O., &amp; </w:t>
      </w:r>
      <w:proofErr w:type="spellStart"/>
      <w:r w:rsidRPr="00163CB8">
        <w:rPr>
          <w:rFonts w:ascii="Times New Roman" w:hAnsi="Times New Roman" w:cs="Times New Roman"/>
        </w:rPr>
        <w:t>Ekeokwueze</w:t>
      </w:r>
      <w:proofErr w:type="spellEnd"/>
      <w:r w:rsidRPr="00163CB8">
        <w:rPr>
          <w:rFonts w:ascii="Times New Roman" w:hAnsi="Times New Roman" w:cs="Times New Roman"/>
        </w:rPr>
        <w:t xml:space="preserve">, K. C. (2024). Assessment of rooftop rainwater harvesting among households in Nsukka, Enugu State Nigeria. </w:t>
      </w:r>
      <w:r w:rsidRPr="00163CB8">
        <w:rPr>
          <w:rFonts w:ascii="Times New Roman" w:hAnsi="Times New Roman" w:cs="Times New Roman"/>
          <w:i/>
          <w:iCs/>
        </w:rPr>
        <w:t>International Journal of Trend in Scientific Research and Development</w:t>
      </w:r>
      <w:r w:rsidRPr="00163CB8">
        <w:rPr>
          <w:rFonts w:ascii="Times New Roman" w:hAnsi="Times New Roman" w:cs="Times New Roman"/>
        </w:rPr>
        <w:t xml:space="preserve">, </w:t>
      </w:r>
      <w:r w:rsidRPr="00163CB8">
        <w:rPr>
          <w:rFonts w:ascii="Times New Roman" w:hAnsi="Times New Roman" w:cs="Times New Roman"/>
          <w:i/>
          <w:iCs/>
        </w:rPr>
        <w:t>8</w:t>
      </w:r>
      <w:r w:rsidRPr="00163CB8">
        <w:rPr>
          <w:rFonts w:ascii="Times New Roman" w:hAnsi="Times New Roman" w:cs="Times New Roman"/>
        </w:rPr>
        <w:t xml:space="preserve">(3), 907–910. </w:t>
      </w:r>
      <w:hyperlink r:id="rId7" w:tgtFrame="_blank" w:history="1">
        <w:r w:rsidRPr="00163CB8">
          <w:rPr>
            <w:rStyle w:val="Hyperlink"/>
            <w:rFonts w:ascii="Times New Roman" w:hAnsi="Times New Roman" w:cs="Times New Roman"/>
          </w:rPr>
          <w:t>https://www.ijtsrd.com/papers/ijtsrd64999.pdf</w:t>
        </w:r>
      </w:hyperlink>
    </w:p>
    <w:p w14:paraId="17DFA8F9" w14:textId="77777777" w:rsidR="00402185" w:rsidRPr="00163CB8" w:rsidRDefault="00402185" w:rsidP="00163CB8">
      <w:pPr>
        <w:spacing w:line="360" w:lineRule="auto"/>
        <w:jc w:val="both"/>
        <w:rPr>
          <w:rFonts w:ascii="Times New Roman" w:hAnsi="Times New Roman" w:cs="Times New Roman"/>
        </w:rPr>
      </w:pPr>
      <w:proofErr w:type="spellStart"/>
      <w:r w:rsidRPr="00163CB8">
        <w:rPr>
          <w:rFonts w:ascii="Times New Roman" w:hAnsi="Times New Roman" w:cs="Times New Roman"/>
        </w:rPr>
        <w:lastRenderedPageBreak/>
        <w:t>Nouban</w:t>
      </w:r>
      <w:proofErr w:type="spellEnd"/>
      <w:r w:rsidRPr="00163CB8">
        <w:rPr>
          <w:rFonts w:ascii="Times New Roman" w:hAnsi="Times New Roman" w:cs="Times New Roman"/>
        </w:rPr>
        <w:t xml:space="preserve">, F. M., Ojo, O. J., &amp; Adelana, S. M. A. (2020). Groundwater development and utilization challenges in Nigeria. </w:t>
      </w:r>
      <w:r w:rsidRPr="00163CB8">
        <w:rPr>
          <w:rFonts w:ascii="Times New Roman" w:hAnsi="Times New Roman" w:cs="Times New Roman"/>
          <w:i/>
          <w:iCs/>
        </w:rPr>
        <w:t>Hydrogeology Journal, 28</w:t>
      </w:r>
      <w:r w:rsidRPr="00163CB8">
        <w:rPr>
          <w:rFonts w:ascii="Times New Roman" w:hAnsi="Times New Roman" w:cs="Times New Roman"/>
        </w:rPr>
        <w:t>(4), 1203-1218.</w:t>
      </w:r>
    </w:p>
    <w:p w14:paraId="7A62112D"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Ojo, O. A., Adeyemi, A. A., &amp; Adebayo, A. O. (2024). Urbanisation and groundwater quality deterioration in Nigerian cities. </w:t>
      </w:r>
      <w:r w:rsidRPr="00163CB8">
        <w:rPr>
          <w:rFonts w:ascii="Times New Roman" w:hAnsi="Times New Roman" w:cs="Times New Roman"/>
          <w:i/>
          <w:iCs/>
        </w:rPr>
        <w:t>Environmental Monitoring and Assessment, 196</w:t>
      </w:r>
      <w:r w:rsidRPr="00163CB8">
        <w:rPr>
          <w:rFonts w:ascii="Times New Roman" w:hAnsi="Times New Roman" w:cs="Times New Roman"/>
        </w:rPr>
        <w:t>(4), 245.</w:t>
      </w:r>
    </w:p>
    <w:p w14:paraId="1F39D872" w14:textId="77777777" w:rsidR="00402185" w:rsidRPr="00163CB8" w:rsidRDefault="00402185" w:rsidP="00163CB8">
      <w:pPr>
        <w:spacing w:line="360" w:lineRule="auto"/>
        <w:jc w:val="both"/>
        <w:rPr>
          <w:rFonts w:ascii="Times New Roman" w:hAnsi="Times New Roman" w:cs="Times New Roman"/>
        </w:rPr>
      </w:pPr>
      <w:proofErr w:type="spellStart"/>
      <w:r w:rsidRPr="00163CB8">
        <w:rPr>
          <w:rFonts w:ascii="Times New Roman" w:hAnsi="Times New Roman" w:cs="Times New Roman"/>
        </w:rPr>
        <w:t>Prüss-Ustün</w:t>
      </w:r>
      <w:proofErr w:type="spellEnd"/>
      <w:r w:rsidRPr="00163CB8">
        <w:rPr>
          <w:rFonts w:ascii="Times New Roman" w:hAnsi="Times New Roman" w:cs="Times New Roman"/>
        </w:rPr>
        <w:t xml:space="preserve">, A., Wolf, J., Bartram, J., Clasen, T., Cumming, O., Curtis, V., Bonjour, S., </w:t>
      </w:r>
      <w:proofErr w:type="spellStart"/>
      <w:r w:rsidRPr="00163CB8">
        <w:rPr>
          <w:rFonts w:ascii="Times New Roman" w:hAnsi="Times New Roman" w:cs="Times New Roman"/>
        </w:rPr>
        <w:t>Dangour</w:t>
      </w:r>
      <w:proofErr w:type="spellEnd"/>
      <w:r w:rsidRPr="00163CB8">
        <w:rPr>
          <w:rFonts w:ascii="Times New Roman" w:hAnsi="Times New Roman" w:cs="Times New Roman"/>
        </w:rPr>
        <w:t xml:space="preserve">, A. D., &amp; </w:t>
      </w:r>
      <w:proofErr w:type="spellStart"/>
      <w:r w:rsidRPr="00163CB8">
        <w:rPr>
          <w:rFonts w:ascii="Times New Roman" w:hAnsi="Times New Roman" w:cs="Times New Roman"/>
        </w:rPr>
        <w:t>Fewtrell</w:t>
      </w:r>
      <w:proofErr w:type="spellEnd"/>
      <w:r w:rsidRPr="00163CB8">
        <w:rPr>
          <w:rFonts w:ascii="Times New Roman" w:hAnsi="Times New Roman" w:cs="Times New Roman"/>
        </w:rPr>
        <w:t xml:space="preserve">, L. (2019). Burden of disease from inadequate water, sanitation and hygiene for selected adverse health outcomes. </w:t>
      </w:r>
      <w:r w:rsidRPr="00163CB8">
        <w:rPr>
          <w:rFonts w:ascii="Times New Roman" w:hAnsi="Times New Roman" w:cs="Times New Roman"/>
          <w:i/>
          <w:iCs/>
        </w:rPr>
        <w:t>International Journal of Hygiene and Environmental Health, 222</w:t>
      </w:r>
      <w:r w:rsidRPr="00163CB8">
        <w:rPr>
          <w:rFonts w:ascii="Times New Roman" w:hAnsi="Times New Roman" w:cs="Times New Roman"/>
        </w:rPr>
        <w:t>(5), 765-777.</w:t>
      </w:r>
    </w:p>
    <w:p w14:paraId="093152E0" w14:textId="77777777" w:rsidR="00402185" w:rsidRPr="00163CB8" w:rsidRDefault="00402185" w:rsidP="00163CB8">
      <w:pPr>
        <w:spacing w:line="360" w:lineRule="auto"/>
        <w:jc w:val="both"/>
        <w:rPr>
          <w:rFonts w:ascii="Times New Roman" w:hAnsi="Times New Roman" w:cs="Times New Roman"/>
        </w:rPr>
      </w:pPr>
      <w:proofErr w:type="spellStart"/>
      <w:r w:rsidRPr="00163CB8">
        <w:rPr>
          <w:rFonts w:ascii="Times New Roman" w:hAnsi="Times New Roman" w:cs="Times New Roman"/>
        </w:rPr>
        <w:t>Sodangi</w:t>
      </w:r>
      <w:proofErr w:type="spellEnd"/>
      <w:r w:rsidRPr="00163CB8">
        <w:rPr>
          <w:rFonts w:ascii="Times New Roman" w:hAnsi="Times New Roman" w:cs="Times New Roman"/>
        </w:rPr>
        <w:t xml:space="preserve">, I. A., Abdullahi, M. M., &amp; Eze, C. N. (2023). Groundwater quality assessment of domestic water sources in Keffi, Nasarawa State, Nigeria. </w:t>
      </w:r>
      <w:r w:rsidRPr="00163CB8">
        <w:rPr>
          <w:rFonts w:ascii="Times New Roman" w:hAnsi="Times New Roman" w:cs="Times New Roman"/>
          <w:i/>
          <w:iCs/>
        </w:rPr>
        <w:t>Journal of Water and Health, 21</w:t>
      </w:r>
      <w:r w:rsidRPr="00163CB8">
        <w:rPr>
          <w:rFonts w:ascii="Times New Roman" w:hAnsi="Times New Roman" w:cs="Times New Roman"/>
        </w:rPr>
        <w:t>(9), 1345-1358.</w:t>
      </w:r>
    </w:p>
    <w:p w14:paraId="44451D76" w14:textId="77777777" w:rsidR="00402185" w:rsidRPr="00163CB8" w:rsidRDefault="00402185" w:rsidP="00163CB8">
      <w:pPr>
        <w:spacing w:line="360" w:lineRule="auto"/>
        <w:jc w:val="both"/>
        <w:rPr>
          <w:rFonts w:ascii="Times New Roman" w:hAnsi="Times New Roman" w:cs="Times New Roman"/>
        </w:rPr>
      </w:pPr>
      <w:proofErr w:type="spellStart"/>
      <w:r w:rsidRPr="00163CB8">
        <w:rPr>
          <w:rFonts w:ascii="Times New Roman" w:hAnsi="Times New Roman" w:cs="Times New Roman"/>
        </w:rPr>
        <w:t>Soladoye</w:t>
      </w:r>
      <w:proofErr w:type="spellEnd"/>
      <w:r w:rsidRPr="00163CB8">
        <w:rPr>
          <w:rFonts w:ascii="Times New Roman" w:hAnsi="Times New Roman" w:cs="Times New Roman"/>
        </w:rPr>
        <w:t xml:space="preserve">, O. O., &amp; Adepoju, A. O. (2025). Seasonal variation in household drinking water sources in low-income communities of Nigeria. </w:t>
      </w:r>
      <w:r w:rsidRPr="00163CB8">
        <w:rPr>
          <w:rFonts w:ascii="Times New Roman" w:hAnsi="Times New Roman" w:cs="Times New Roman"/>
          <w:i/>
          <w:iCs/>
        </w:rPr>
        <w:t>Water Policy, 27</w:t>
      </w:r>
      <w:r w:rsidRPr="00163CB8">
        <w:rPr>
          <w:rFonts w:ascii="Times New Roman" w:hAnsi="Times New Roman" w:cs="Times New Roman"/>
        </w:rPr>
        <w:t>(1), 89-104.</w:t>
      </w:r>
    </w:p>
    <w:p w14:paraId="2A8819A6"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Sustainable Development Goals. (2023). </w:t>
      </w:r>
      <w:r w:rsidRPr="00163CB8">
        <w:rPr>
          <w:rFonts w:ascii="Times New Roman" w:hAnsi="Times New Roman" w:cs="Times New Roman"/>
          <w:i/>
          <w:iCs/>
        </w:rPr>
        <w:t>The sustainable development goals report 2023</w:t>
      </w:r>
      <w:r w:rsidRPr="00163CB8">
        <w:rPr>
          <w:rFonts w:ascii="Times New Roman" w:hAnsi="Times New Roman" w:cs="Times New Roman"/>
        </w:rPr>
        <w:t>. New York, NY: United Nations.</w:t>
      </w:r>
    </w:p>
    <w:p w14:paraId="424CD0B8" w14:textId="77777777" w:rsidR="00402185" w:rsidRPr="00837505" w:rsidRDefault="00402185" w:rsidP="00837505">
      <w:pPr>
        <w:spacing w:line="360" w:lineRule="auto"/>
        <w:jc w:val="both"/>
        <w:rPr>
          <w:rFonts w:ascii="Times New Roman" w:hAnsi="Times New Roman" w:cs="Times New Roman"/>
        </w:rPr>
      </w:pPr>
      <w:r w:rsidRPr="00837505">
        <w:rPr>
          <w:rFonts w:ascii="Times New Roman" w:hAnsi="Times New Roman" w:cs="Times New Roman"/>
        </w:rPr>
        <w:t xml:space="preserve">UNDP. (2020). </w:t>
      </w:r>
      <w:r w:rsidRPr="00837505">
        <w:rPr>
          <w:rFonts w:ascii="Times New Roman" w:hAnsi="Times New Roman" w:cs="Times New Roman"/>
          <w:i/>
          <w:iCs/>
        </w:rPr>
        <w:t>Human development report 2020: The next frontier</w:t>
      </w:r>
      <w:r w:rsidRPr="00837505">
        <w:rPr>
          <w:rFonts w:ascii="Times New Roman" w:hAnsi="Times New Roman" w:cs="Times New Roman"/>
        </w:rPr>
        <w:t>. United Nations Development Programme.</w:t>
      </w:r>
    </w:p>
    <w:p w14:paraId="17EFED66"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United Nations. (2015). </w:t>
      </w:r>
      <w:r w:rsidRPr="00163CB8">
        <w:rPr>
          <w:rFonts w:ascii="Times New Roman" w:hAnsi="Times New Roman" w:cs="Times New Roman"/>
          <w:i/>
          <w:iCs/>
        </w:rPr>
        <w:t>Transforming our world: The 2030 agenda for sustainable development</w:t>
      </w:r>
      <w:r w:rsidRPr="00163CB8">
        <w:rPr>
          <w:rFonts w:ascii="Times New Roman" w:hAnsi="Times New Roman" w:cs="Times New Roman"/>
        </w:rPr>
        <w:t>. New York, NY: United Nations.</w:t>
      </w:r>
    </w:p>
    <w:p w14:paraId="6A7331A0" w14:textId="77777777" w:rsidR="00402185" w:rsidRPr="00837505" w:rsidRDefault="00402185" w:rsidP="00837505">
      <w:pPr>
        <w:spacing w:line="360" w:lineRule="auto"/>
        <w:jc w:val="both"/>
        <w:rPr>
          <w:rFonts w:ascii="Times New Roman" w:hAnsi="Times New Roman" w:cs="Times New Roman"/>
        </w:rPr>
      </w:pPr>
      <w:r w:rsidRPr="00837505">
        <w:rPr>
          <w:rFonts w:ascii="Times New Roman" w:hAnsi="Times New Roman" w:cs="Times New Roman"/>
        </w:rPr>
        <w:t xml:space="preserve">WHO. (2017). </w:t>
      </w:r>
      <w:r w:rsidRPr="00837505">
        <w:rPr>
          <w:rFonts w:ascii="Times New Roman" w:hAnsi="Times New Roman" w:cs="Times New Roman"/>
          <w:i/>
          <w:iCs/>
        </w:rPr>
        <w:t>Guidelines for drinking-water quality</w:t>
      </w:r>
      <w:r w:rsidRPr="00837505">
        <w:rPr>
          <w:rFonts w:ascii="Times New Roman" w:hAnsi="Times New Roman" w:cs="Times New Roman"/>
        </w:rPr>
        <w:t xml:space="preserve"> (4th ed.). World Health Organization.</w:t>
      </w:r>
    </w:p>
    <w:p w14:paraId="3F3F8321" w14:textId="4720634B" w:rsidR="00163CB8" w:rsidRPr="00857AAB" w:rsidRDefault="00402185" w:rsidP="00857AAB">
      <w:pPr>
        <w:spacing w:line="360" w:lineRule="auto"/>
        <w:jc w:val="both"/>
        <w:rPr>
          <w:rFonts w:ascii="Times New Roman" w:hAnsi="Times New Roman" w:cs="Times New Roman"/>
        </w:rPr>
      </w:pPr>
      <w:r w:rsidRPr="00837505">
        <w:rPr>
          <w:rFonts w:ascii="Times New Roman" w:hAnsi="Times New Roman" w:cs="Times New Roman"/>
        </w:rPr>
        <w:t xml:space="preserve">WHO/UNICEF. (2021). </w:t>
      </w:r>
      <w:r w:rsidRPr="00837505">
        <w:rPr>
          <w:rFonts w:ascii="Times New Roman" w:hAnsi="Times New Roman" w:cs="Times New Roman"/>
          <w:i/>
          <w:iCs/>
        </w:rPr>
        <w:t>Progress on household drinking water, sanitation and hygiene 2000–2020</w:t>
      </w:r>
      <w:r w:rsidRPr="00837505">
        <w:rPr>
          <w:rFonts w:ascii="Times New Roman" w:hAnsi="Times New Roman" w:cs="Times New Roman"/>
        </w:rPr>
        <w:t>. Joint Monitoring Programme.</w:t>
      </w:r>
    </w:p>
    <w:sectPr w:rsidR="00163CB8" w:rsidRPr="00857A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C67F" w14:textId="77777777" w:rsidR="000669D7" w:rsidRDefault="000669D7" w:rsidP="00A37C74">
      <w:pPr>
        <w:spacing w:after="0" w:line="240" w:lineRule="auto"/>
      </w:pPr>
      <w:r>
        <w:separator/>
      </w:r>
    </w:p>
  </w:endnote>
  <w:endnote w:type="continuationSeparator" w:id="0">
    <w:p w14:paraId="0B50A0BE" w14:textId="77777777" w:rsidR="000669D7" w:rsidRDefault="000669D7" w:rsidP="00A3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2CBF" w14:textId="77777777" w:rsidR="00A37C74" w:rsidRDefault="00A3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59987"/>
      <w:docPartObj>
        <w:docPartGallery w:val="Page Numbers (Bottom of Page)"/>
        <w:docPartUnique/>
      </w:docPartObj>
    </w:sdtPr>
    <w:sdtEndPr>
      <w:rPr>
        <w:noProof/>
      </w:rPr>
    </w:sdtEndPr>
    <w:sdtContent>
      <w:p w14:paraId="7D11DBD0" w14:textId="4C54E517" w:rsidR="00A37C74" w:rsidRDefault="00A37C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25079" w14:textId="77777777" w:rsidR="00A37C74" w:rsidRDefault="00A37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E4A0" w14:textId="77777777" w:rsidR="00A37C74" w:rsidRDefault="00A37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4F37" w14:textId="77777777" w:rsidR="000669D7" w:rsidRDefault="000669D7" w:rsidP="00A37C74">
      <w:pPr>
        <w:spacing w:after="0" w:line="240" w:lineRule="auto"/>
      </w:pPr>
      <w:r>
        <w:separator/>
      </w:r>
    </w:p>
  </w:footnote>
  <w:footnote w:type="continuationSeparator" w:id="0">
    <w:p w14:paraId="1E2951BA" w14:textId="77777777" w:rsidR="000669D7" w:rsidRDefault="000669D7" w:rsidP="00A37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7642" w14:textId="77777777" w:rsidR="00A37C74" w:rsidRDefault="00A37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20CE" w14:textId="77777777" w:rsidR="00A37C74" w:rsidRDefault="00A37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83F2" w14:textId="77777777" w:rsidR="00A37C74" w:rsidRDefault="00A37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AB"/>
    <w:rsid w:val="000669D7"/>
    <w:rsid w:val="000B3F34"/>
    <w:rsid w:val="000E1E56"/>
    <w:rsid w:val="00163CB8"/>
    <w:rsid w:val="002A237D"/>
    <w:rsid w:val="002B0F54"/>
    <w:rsid w:val="00402185"/>
    <w:rsid w:val="004E318A"/>
    <w:rsid w:val="00514CCE"/>
    <w:rsid w:val="005E628E"/>
    <w:rsid w:val="00622FEE"/>
    <w:rsid w:val="007573C2"/>
    <w:rsid w:val="008351A6"/>
    <w:rsid w:val="00837505"/>
    <w:rsid w:val="00857AAB"/>
    <w:rsid w:val="008A3EC9"/>
    <w:rsid w:val="00921FFD"/>
    <w:rsid w:val="00940EA1"/>
    <w:rsid w:val="00A37C74"/>
    <w:rsid w:val="00A82ADA"/>
    <w:rsid w:val="00C529EC"/>
    <w:rsid w:val="00CC7679"/>
    <w:rsid w:val="00D5586A"/>
    <w:rsid w:val="00EA7F2F"/>
    <w:rsid w:val="00F47351"/>
    <w:rsid w:val="00FA79A3"/>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CEC6"/>
  <w15:chartTrackingRefBased/>
  <w15:docId w15:val="{4DD5A027-FAC5-4BEF-A0E1-FB747166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AAB"/>
    <w:rPr>
      <w:rFonts w:eastAsiaTheme="majorEastAsia" w:cstheme="majorBidi"/>
      <w:color w:val="272727" w:themeColor="text1" w:themeTint="D8"/>
    </w:rPr>
  </w:style>
  <w:style w:type="paragraph" w:styleId="Title">
    <w:name w:val="Title"/>
    <w:basedOn w:val="Normal"/>
    <w:next w:val="Normal"/>
    <w:link w:val="TitleChar"/>
    <w:uiPriority w:val="10"/>
    <w:qFormat/>
    <w:rsid w:val="00857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AAB"/>
    <w:pPr>
      <w:spacing w:before="160"/>
      <w:jc w:val="center"/>
    </w:pPr>
    <w:rPr>
      <w:i/>
      <w:iCs/>
      <w:color w:val="404040" w:themeColor="text1" w:themeTint="BF"/>
    </w:rPr>
  </w:style>
  <w:style w:type="character" w:customStyle="1" w:styleId="QuoteChar">
    <w:name w:val="Quote Char"/>
    <w:basedOn w:val="DefaultParagraphFont"/>
    <w:link w:val="Quote"/>
    <w:uiPriority w:val="29"/>
    <w:rsid w:val="00857AAB"/>
    <w:rPr>
      <w:i/>
      <w:iCs/>
      <w:color w:val="404040" w:themeColor="text1" w:themeTint="BF"/>
    </w:rPr>
  </w:style>
  <w:style w:type="paragraph" w:styleId="ListParagraph">
    <w:name w:val="List Paragraph"/>
    <w:basedOn w:val="Normal"/>
    <w:uiPriority w:val="34"/>
    <w:qFormat/>
    <w:rsid w:val="00857AAB"/>
    <w:pPr>
      <w:ind w:left="720"/>
      <w:contextualSpacing/>
    </w:pPr>
  </w:style>
  <w:style w:type="character" w:styleId="IntenseEmphasis">
    <w:name w:val="Intense Emphasis"/>
    <w:basedOn w:val="DefaultParagraphFont"/>
    <w:uiPriority w:val="21"/>
    <w:qFormat/>
    <w:rsid w:val="00857AAB"/>
    <w:rPr>
      <w:i/>
      <w:iCs/>
      <w:color w:val="0F4761" w:themeColor="accent1" w:themeShade="BF"/>
    </w:rPr>
  </w:style>
  <w:style w:type="paragraph" w:styleId="IntenseQuote">
    <w:name w:val="Intense Quote"/>
    <w:basedOn w:val="Normal"/>
    <w:next w:val="Normal"/>
    <w:link w:val="IntenseQuoteChar"/>
    <w:uiPriority w:val="30"/>
    <w:qFormat/>
    <w:rsid w:val="00857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AAB"/>
    <w:rPr>
      <w:i/>
      <w:iCs/>
      <w:color w:val="0F4761" w:themeColor="accent1" w:themeShade="BF"/>
    </w:rPr>
  </w:style>
  <w:style w:type="character" w:styleId="IntenseReference">
    <w:name w:val="Intense Reference"/>
    <w:basedOn w:val="DefaultParagraphFont"/>
    <w:uiPriority w:val="32"/>
    <w:qFormat/>
    <w:rsid w:val="00857AAB"/>
    <w:rPr>
      <w:b/>
      <w:bCs/>
      <w:smallCaps/>
      <w:color w:val="0F4761" w:themeColor="accent1" w:themeShade="BF"/>
      <w:spacing w:val="5"/>
    </w:rPr>
  </w:style>
  <w:style w:type="character" w:styleId="Hyperlink">
    <w:name w:val="Hyperlink"/>
    <w:basedOn w:val="DefaultParagraphFont"/>
    <w:uiPriority w:val="99"/>
    <w:unhideWhenUsed/>
    <w:rsid w:val="00163CB8"/>
    <w:rPr>
      <w:color w:val="467886" w:themeColor="hyperlink"/>
      <w:u w:val="single"/>
    </w:rPr>
  </w:style>
  <w:style w:type="character" w:styleId="UnresolvedMention">
    <w:name w:val="Unresolved Mention"/>
    <w:basedOn w:val="DefaultParagraphFont"/>
    <w:uiPriority w:val="99"/>
    <w:semiHidden/>
    <w:unhideWhenUsed/>
    <w:rsid w:val="00163CB8"/>
    <w:rPr>
      <w:color w:val="605E5C"/>
      <w:shd w:val="clear" w:color="auto" w:fill="E1DFDD"/>
    </w:rPr>
  </w:style>
  <w:style w:type="table" w:styleId="TableGrid">
    <w:name w:val="Table Grid"/>
    <w:basedOn w:val="TableNormal"/>
    <w:uiPriority w:val="59"/>
    <w:rsid w:val="00921FFD"/>
    <w:pPr>
      <w:spacing w:after="0" w:line="240" w:lineRule="auto"/>
    </w:pPr>
    <w:rPr>
      <w:rFonts w:ascii="Aptos" w:eastAsia="SimSun" w:hAnsi="Apto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74"/>
  </w:style>
  <w:style w:type="paragraph" w:styleId="Footer">
    <w:name w:val="footer"/>
    <w:basedOn w:val="Normal"/>
    <w:link w:val="FooterChar"/>
    <w:uiPriority w:val="99"/>
    <w:unhideWhenUsed/>
    <w:rsid w:val="00A37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ijtsrd.com/papers/ijtsrd64999.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18</Pages>
  <Words>4182</Words>
  <Characters>23843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ADANA YUSUF</dc:creator>
  <cp:keywords/>
  <dc:description/>
  <cp:lastModifiedBy>MOHAMMED ADANA YUSUF</cp:lastModifiedBy>
  <cp:revision>7</cp:revision>
  <dcterms:created xsi:type="dcterms:W3CDTF">2026-06-07T17:34:00Z</dcterms:created>
  <dcterms:modified xsi:type="dcterms:W3CDTF">2026-06-19T06:23:00Z</dcterms:modified>
</cp:coreProperties>
</file>