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B1806" w14:textId="659C9508" w:rsidR="001D15AB" w:rsidRDefault="001D15AB" w:rsidP="001D15AB">
      <w:pPr>
        <w:spacing w:after="0"/>
        <w:jc w:val="both"/>
        <w:rPr>
          <w:rFonts w:ascii="Times New Roman" w:hAnsi="Times New Roman"/>
          <w:b/>
          <w:sz w:val="24"/>
          <w:szCs w:val="24"/>
        </w:rPr>
      </w:pPr>
      <w:r>
        <w:rPr>
          <w:rFonts w:ascii="Times New Roman" w:hAnsi="Times New Roman"/>
          <w:b/>
          <w:sz w:val="24"/>
          <w:szCs w:val="24"/>
        </w:rPr>
        <w:t>SUSTAINABILITY REPORTING AND OPERATIONAL PERFORMANCE</w:t>
      </w:r>
      <w:r w:rsidR="00C549D8">
        <w:rPr>
          <w:rFonts w:ascii="Times New Roman" w:hAnsi="Times New Roman"/>
          <w:b/>
          <w:sz w:val="24"/>
          <w:szCs w:val="24"/>
        </w:rPr>
        <w:t xml:space="preserve"> </w:t>
      </w:r>
      <w:r w:rsidR="00FA21C0">
        <w:rPr>
          <w:rFonts w:ascii="Times New Roman" w:hAnsi="Times New Roman"/>
          <w:b/>
          <w:sz w:val="24"/>
          <w:szCs w:val="24"/>
        </w:rPr>
        <w:t>OF SELECTED</w:t>
      </w:r>
      <w:r w:rsidR="00C549D8">
        <w:rPr>
          <w:rFonts w:ascii="Times New Roman" w:hAnsi="Times New Roman"/>
          <w:b/>
          <w:sz w:val="24"/>
          <w:szCs w:val="24"/>
        </w:rPr>
        <w:t xml:space="preserve"> ENVIRONMENTAL</w:t>
      </w:r>
      <w:r w:rsidR="00F6730D">
        <w:rPr>
          <w:rFonts w:ascii="Times New Roman" w:hAnsi="Times New Roman"/>
          <w:b/>
          <w:sz w:val="24"/>
          <w:szCs w:val="24"/>
        </w:rPr>
        <w:t>LY</w:t>
      </w:r>
      <w:r w:rsidR="00C549D8">
        <w:rPr>
          <w:rFonts w:ascii="Times New Roman" w:hAnsi="Times New Roman"/>
          <w:b/>
          <w:sz w:val="24"/>
          <w:szCs w:val="24"/>
        </w:rPr>
        <w:t xml:space="preserve"> SENSITIVE FIRMS IN NIGERIA</w:t>
      </w:r>
    </w:p>
    <w:p w14:paraId="27D6BA10" w14:textId="77777777" w:rsidR="00723533" w:rsidRDefault="00723533" w:rsidP="005E5F27">
      <w:pPr>
        <w:spacing w:after="0"/>
        <w:jc w:val="both"/>
        <w:rPr>
          <w:rFonts w:ascii="Times New Roman" w:hAnsi="Times New Roman"/>
          <w:b/>
          <w:sz w:val="24"/>
          <w:szCs w:val="24"/>
        </w:rPr>
      </w:pPr>
    </w:p>
    <w:p w14:paraId="526203C4" w14:textId="253EA5BF" w:rsidR="005E5F27" w:rsidRDefault="005E5F27" w:rsidP="007B3186">
      <w:pPr>
        <w:spacing w:after="0"/>
        <w:jc w:val="center"/>
        <w:rPr>
          <w:rFonts w:ascii="Times New Roman" w:hAnsi="Times New Roman"/>
          <w:b/>
          <w:sz w:val="24"/>
          <w:szCs w:val="24"/>
        </w:rPr>
      </w:pPr>
      <w:r>
        <w:rPr>
          <w:rFonts w:ascii="Times New Roman" w:hAnsi="Times New Roman"/>
          <w:b/>
          <w:sz w:val="24"/>
          <w:szCs w:val="24"/>
        </w:rPr>
        <w:t>Promise Nkak (Ph.D.)</w:t>
      </w:r>
    </w:p>
    <w:p w14:paraId="3D1594AF" w14:textId="7FF5DF5A" w:rsidR="007B3186" w:rsidRDefault="007B3186" w:rsidP="007B3186">
      <w:pPr>
        <w:spacing w:after="0"/>
        <w:jc w:val="center"/>
        <w:rPr>
          <w:rFonts w:ascii="Times New Roman" w:hAnsi="Times New Roman"/>
          <w:b/>
          <w:sz w:val="24"/>
          <w:szCs w:val="24"/>
        </w:rPr>
      </w:pPr>
      <w:r>
        <w:rPr>
          <w:rFonts w:ascii="Times New Roman" w:hAnsi="Times New Roman"/>
          <w:b/>
          <w:sz w:val="24"/>
          <w:szCs w:val="24"/>
        </w:rPr>
        <w:t xml:space="preserve">ORCID </w:t>
      </w:r>
      <w:proofErr w:type="spellStart"/>
      <w:r>
        <w:rPr>
          <w:rFonts w:ascii="Times New Roman" w:hAnsi="Times New Roman"/>
          <w:b/>
          <w:sz w:val="24"/>
          <w:szCs w:val="24"/>
        </w:rPr>
        <w:t>iD</w:t>
      </w:r>
      <w:proofErr w:type="spellEnd"/>
      <w:r>
        <w:rPr>
          <w:rFonts w:ascii="Times New Roman" w:hAnsi="Times New Roman"/>
          <w:b/>
          <w:sz w:val="24"/>
          <w:szCs w:val="24"/>
        </w:rPr>
        <w:t xml:space="preserve">: </w:t>
      </w:r>
      <w:r w:rsidRPr="007B3186">
        <w:rPr>
          <w:rFonts w:ascii="Times New Roman" w:hAnsi="Times New Roman"/>
          <w:bCs/>
          <w:sz w:val="24"/>
          <w:szCs w:val="24"/>
        </w:rPr>
        <w:t>0009-0002-9261-3834</w:t>
      </w:r>
    </w:p>
    <w:p w14:paraId="4B6CBA94" w14:textId="6F694C07" w:rsidR="007B3186" w:rsidRPr="007B3186" w:rsidRDefault="005E5F27" w:rsidP="007B3186">
      <w:pPr>
        <w:spacing w:after="0"/>
        <w:jc w:val="center"/>
        <w:rPr>
          <w:rFonts w:ascii="Times New Roman" w:hAnsi="Times New Roman"/>
          <w:bCs/>
          <w:sz w:val="24"/>
          <w:szCs w:val="24"/>
        </w:rPr>
      </w:pPr>
      <w:r w:rsidRPr="007B3186">
        <w:rPr>
          <w:rFonts w:ascii="Times New Roman" w:hAnsi="Times New Roman"/>
          <w:bCs/>
          <w:sz w:val="24"/>
          <w:szCs w:val="24"/>
        </w:rPr>
        <w:t>Department of Accounting,</w:t>
      </w:r>
    </w:p>
    <w:p w14:paraId="0476F9A6" w14:textId="17484ADD" w:rsidR="005E5F27" w:rsidRPr="007B3186" w:rsidRDefault="005E5F27" w:rsidP="007B3186">
      <w:pPr>
        <w:spacing w:after="0"/>
        <w:jc w:val="center"/>
        <w:rPr>
          <w:rFonts w:ascii="Times New Roman" w:hAnsi="Times New Roman"/>
          <w:bCs/>
          <w:sz w:val="24"/>
          <w:szCs w:val="24"/>
        </w:rPr>
      </w:pPr>
      <w:proofErr w:type="spellStart"/>
      <w:r w:rsidRPr="007B3186">
        <w:rPr>
          <w:rFonts w:ascii="Times New Roman" w:hAnsi="Times New Roman"/>
          <w:bCs/>
          <w:sz w:val="24"/>
          <w:szCs w:val="24"/>
        </w:rPr>
        <w:t>Topfaith</w:t>
      </w:r>
      <w:proofErr w:type="spellEnd"/>
      <w:r w:rsidRPr="007B3186">
        <w:rPr>
          <w:rFonts w:ascii="Times New Roman" w:hAnsi="Times New Roman"/>
          <w:bCs/>
          <w:sz w:val="24"/>
          <w:szCs w:val="24"/>
        </w:rPr>
        <w:t xml:space="preserve"> University, </w:t>
      </w:r>
      <w:proofErr w:type="spellStart"/>
      <w:r w:rsidRPr="007B3186">
        <w:rPr>
          <w:rFonts w:ascii="Times New Roman" w:hAnsi="Times New Roman"/>
          <w:bCs/>
          <w:sz w:val="24"/>
          <w:szCs w:val="24"/>
        </w:rPr>
        <w:t>Mkpatak</w:t>
      </w:r>
      <w:proofErr w:type="spellEnd"/>
    </w:p>
    <w:p w14:paraId="790F2111" w14:textId="359698DD" w:rsidR="005E5F27" w:rsidRDefault="005E5F27" w:rsidP="007B3186">
      <w:pPr>
        <w:spacing w:after="0"/>
        <w:jc w:val="center"/>
        <w:rPr>
          <w:rFonts w:ascii="Times New Roman" w:hAnsi="Times New Roman"/>
          <w:b/>
          <w:sz w:val="24"/>
          <w:szCs w:val="24"/>
        </w:rPr>
      </w:pPr>
      <w:r>
        <w:rPr>
          <w:rFonts w:ascii="Times New Roman" w:hAnsi="Times New Roman"/>
          <w:b/>
          <w:sz w:val="24"/>
          <w:szCs w:val="24"/>
        </w:rPr>
        <w:t>&amp;</w:t>
      </w:r>
    </w:p>
    <w:p w14:paraId="0F3FDC96" w14:textId="421B0BBA" w:rsidR="005E5F27" w:rsidRDefault="005E5F27" w:rsidP="007B3186">
      <w:pPr>
        <w:spacing w:after="0"/>
        <w:jc w:val="center"/>
        <w:rPr>
          <w:rFonts w:ascii="Times New Roman" w:hAnsi="Times New Roman"/>
          <w:b/>
          <w:sz w:val="24"/>
          <w:szCs w:val="24"/>
        </w:rPr>
      </w:pPr>
      <w:r>
        <w:rPr>
          <w:rFonts w:ascii="Times New Roman" w:hAnsi="Times New Roman"/>
          <w:b/>
          <w:sz w:val="24"/>
          <w:szCs w:val="24"/>
        </w:rPr>
        <w:t>Eyo</w:t>
      </w:r>
      <w:r w:rsidR="007B3186">
        <w:rPr>
          <w:rFonts w:ascii="Times New Roman" w:hAnsi="Times New Roman"/>
          <w:b/>
          <w:sz w:val="24"/>
          <w:szCs w:val="24"/>
        </w:rPr>
        <w:t xml:space="preserve"> Ekpe (Ph.D.)</w:t>
      </w:r>
    </w:p>
    <w:p w14:paraId="6E62CAF1" w14:textId="6D73148C" w:rsidR="005E5F27" w:rsidRPr="007B3186" w:rsidRDefault="005E5F27" w:rsidP="007B3186">
      <w:pPr>
        <w:spacing w:after="0"/>
        <w:jc w:val="center"/>
        <w:rPr>
          <w:rFonts w:ascii="Times New Roman" w:hAnsi="Times New Roman"/>
          <w:bCs/>
          <w:sz w:val="24"/>
          <w:szCs w:val="24"/>
        </w:rPr>
      </w:pPr>
      <w:r w:rsidRPr="007B3186">
        <w:rPr>
          <w:rFonts w:ascii="Times New Roman" w:hAnsi="Times New Roman"/>
          <w:bCs/>
          <w:sz w:val="24"/>
          <w:szCs w:val="24"/>
        </w:rPr>
        <w:t>Director of Bursary,</w:t>
      </w:r>
    </w:p>
    <w:p w14:paraId="223E8EF9" w14:textId="4121C983" w:rsidR="005E5F27" w:rsidRPr="007B3186" w:rsidRDefault="005E5F27" w:rsidP="007B3186">
      <w:pPr>
        <w:spacing w:after="0"/>
        <w:jc w:val="center"/>
        <w:rPr>
          <w:rFonts w:ascii="Times New Roman" w:hAnsi="Times New Roman"/>
          <w:bCs/>
          <w:sz w:val="24"/>
          <w:szCs w:val="24"/>
        </w:rPr>
      </w:pPr>
      <w:r w:rsidRPr="007B3186">
        <w:rPr>
          <w:rFonts w:ascii="Times New Roman" w:hAnsi="Times New Roman"/>
          <w:bCs/>
          <w:sz w:val="24"/>
          <w:szCs w:val="24"/>
        </w:rPr>
        <w:t xml:space="preserve">University of Education and Entrepreneurship, </w:t>
      </w:r>
      <w:proofErr w:type="spellStart"/>
      <w:r w:rsidRPr="007B3186">
        <w:rPr>
          <w:rFonts w:ascii="Times New Roman" w:hAnsi="Times New Roman"/>
          <w:bCs/>
          <w:sz w:val="24"/>
          <w:szCs w:val="24"/>
        </w:rPr>
        <w:t>Akamkpa</w:t>
      </w:r>
      <w:proofErr w:type="spellEnd"/>
      <w:r w:rsidRPr="007B3186">
        <w:rPr>
          <w:rFonts w:ascii="Times New Roman" w:hAnsi="Times New Roman"/>
          <w:bCs/>
          <w:sz w:val="24"/>
          <w:szCs w:val="24"/>
        </w:rPr>
        <w:t>, Cross River State</w:t>
      </w:r>
    </w:p>
    <w:p w14:paraId="1FF68CBC" w14:textId="61AFDA93" w:rsidR="005E5F27" w:rsidRDefault="005E5F27" w:rsidP="007B3186">
      <w:pPr>
        <w:spacing w:after="0"/>
        <w:jc w:val="center"/>
        <w:rPr>
          <w:rFonts w:ascii="Times New Roman" w:hAnsi="Times New Roman"/>
          <w:b/>
          <w:sz w:val="24"/>
          <w:szCs w:val="24"/>
        </w:rPr>
      </w:pPr>
      <w:r>
        <w:rPr>
          <w:rFonts w:ascii="Times New Roman" w:hAnsi="Times New Roman"/>
          <w:b/>
          <w:sz w:val="24"/>
          <w:szCs w:val="24"/>
        </w:rPr>
        <w:t xml:space="preserve">ORCID </w:t>
      </w:r>
      <w:proofErr w:type="spellStart"/>
      <w:r>
        <w:rPr>
          <w:rFonts w:ascii="Times New Roman" w:hAnsi="Times New Roman"/>
          <w:b/>
          <w:sz w:val="24"/>
          <w:szCs w:val="24"/>
        </w:rPr>
        <w:t>iD</w:t>
      </w:r>
      <w:proofErr w:type="spellEnd"/>
      <w:r>
        <w:rPr>
          <w:rFonts w:ascii="Times New Roman" w:hAnsi="Times New Roman"/>
          <w:b/>
          <w:sz w:val="24"/>
          <w:szCs w:val="24"/>
        </w:rPr>
        <w:t>:</w:t>
      </w:r>
      <w:r w:rsidR="007B3186">
        <w:rPr>
          <w:rFonts w:ascii="Times New Roman" w:hAnsi="Times New Roman"/>
          <w:b/>
          <w:sz w:val="24"/>
          <w:szCs w:val="24"/>
        </w:rPr>
        <w:t xml:space="preserve"> </w:t>
      </w:r>
      <w:r w:rsidR="00026F03" w:rsidRPr="00026F03">
        <w:rPr>
          <w:rFonts w:ascii="Times New Roman" w:hAnsi="Times New Roman"/>
          <w:sz w:val="24"/>
          <w:szCs w:val="24"/>
        </w:rPr>
        <w:t>0009-0007-5922-3187</w:t>
      </w:r>
    </w:p>
    <w:p w14:paraId="1069461D" w14:textId="77777777" w:rsidR="001A0454" w:rsidRDefault="001A0454" w:rsidP="00BE415E">
      <w:pPr>
        <w:spacing w:after="0"/>
        <w:rPr>
          <w:rFonts w:ascii="Times New Roman" w:hAnsi="Times New Roman"/>
          <w:b/>
          <w:sz w:val="24"/>
          <w:szCs w:val="24"/>
          <w:vertAlign w:val="superscript"/>
        </w:rPr>
      </w:pPr>
    </w:p>
    <w:p w14:paraId="17D3B431" w14:textId="3CC543D4" w:rsidR="00E906B2" w:rsidRDefault="00B77FA7" w:rsidP="00B26DC8">
      <w:pPr>
        <w:spacing w:after="0"/>
        <w:rPr>
          <w:rFonts w:ascii="Times New Roman" w:hAnsi="Times New Roman"/>
          <w:b/>
          <w:sz w:val="24"/>
          <w:szCs w:val="24"/>
        </w:rPr>
      </w:pPr>
      <w:r>
        <w:rPr>
          <w:rFonts w:ascii="Times New Roman" w:hAnsi="Times New Roman"/>
          <w:b/>
          <w:sz w:val="24"/>
          <w:szCs w:val="24"/>
        </w:rPr>
        <w:t>Abstract</w:t>
      </w:r>
    </w:p>
    <w:p w14:paraId="5DF5BB4B" w14:textId="77777777" w:rsidR="00B26DC8" w:rsidRDefault="00B26DC8" w:rsidP="00B77FA7">
      <w:pPr>
        <w:spacing w:after="0"/>
        <w:jc w:val="both"/>
        <w:rPr>
          <w:rFonts w:ascii="Times New Roman" w:hAnsi="Times New Roman"/>
          <w:b/>
          <w:sz w:val="24"/>
          <w:szCs w:val="24"/>
        </w:rPr>
      </w:pPr>
    </w:p>
    <w:p w14:paraId="3C7E4890" w14:textId="4663A643" w:rsidR="00B26DC8" w:rsidRPr="00B26DC8" w:rsidRDefault="00B26DC8" w:rsidP="00B26DC8">
      <w:pPr>
        <w:spacing w:after="0" w:line="240" w:lineRule="auto"/>
        <w:jc w:val="both"/>
        <w:rPr>
          <w:rFonts w:ascii="Times New Roman" w:hAnsi="Times New Roman"/>
          <w:bCs/>
          <w:sz w:val="24"/>
          <w:szCs w:val="24"/>
        </w:rPr>
      </w:pPr>
      <w:r w:rsidRPr="00B26DC8">
        <w:rPr>
          <w:rFonts w:ascii="Times New Roman" w:hAnsi="Times New Roman"/>
          <w:bCs/>
          <w:sz w:val="24"/>
          <w:szCs w:val="24"/>
        </w:rPr>
        <w:t>This study investigated the impact of sustainability reporting on the operational performance of environmentally sensitive firms listed on the Nigerian Exchange Group (NGX). Employing an ex post facto research design, the study utilized secondary data derived from the annual and sustainability reports of eight firms between 2019 and 2024. Environmental, social, and governance (ESG) disclosure indices were developed via content analysis, utilizing a binary scoring methodology aligned with the Global Reporting Initiative (GRI) framework. Analytical procedures included descriptive statistics, correlation analysis, panel least squares regression, heteroskedasticity testing, and the Hausman specification test. The results indicate that while environmental and governance reporting have positive but statistically insignificant effects on operational performance, social reporting exerts a negative and statistically insignificant influence. Conversely, firm age exerted a significant negative impact on operational performance. The Hausman test supported the selection of the random effects model as the preferred estimator. The findings indicate that while sustainability reporting enhances transparency, accountability, and stakeholder confidence, its influence on the operational performance of environmentally sensitive firms in Nigeria remains limited. The study recommends that firms move beyond mere disclosure compliance, strengthen governance frameworks, and align social investment strategies with core operational objectives.</w:t>
      </w:r>
    </w:p>
    <w:p w14:paraId="01D30EE6" w14:textId="77777777" w:rsidR="00B26DC8" w:rsidRDefault="00B26DC8" w:rsidP="00B77FA7">
      <w:pPr>
        <w:spacing w:after="0"/>
        <w:jc w:val="both"/>
        <w:rPr>
          <w:rFonts w:ascii="Times New Roman" w:hAnsi="Times New Roman"/>
          <w:b/>
          <w:sz w:val="24"/>
          <w:szCs w:val="24"/>
        </w:rPr>
      </w:pPr>
    </w:p>
    <w:p w14:paraId="30170521" w14:textId="77777777" w:rsidR="00B26DC8" w:rsidRDefault="00B26DC8" w:rsidP="00B77FA7">
      <w:pPr>
        <w:spacing w:after="0"/>
        <w:jc w:val="both"/>
        <w:rPr>
          <w:rFonts w:ascii="Times New Roman" w:hAnsi="Times New Roman"/>
          <w:b/>
          <w:sz w:val="24"/>
          <w:szCs w:val="24"/>
        </w:rPr>
      </w:pPr>
    </w:p>
    <w:p w14:paraId="032697D4" w14:textId="18EF5184" w:rsidR="00B77FA7" w:rsidRDefault="00B1460F" w:rsidP="00B77FA7">
      <w:pPr>
        <w:spacing w:after="0"/>
        <w:jc w:val="both"/>
        <w:rPr>
          <w:rFonts w:ascii="Times New Roman" w:hAnsi="Times New Roman"/>
          <w:b/>
          <w:sz w:val="24"/>
          <w:szCs w:val="24"/>
        </w:rPr>
      </w:pPr>
      <w:r>
        <w:rPr>
          <w:rFonts w:ascii="Times New Roman" w:hAnsi="Times New Roman"/>
          <w:b/>
          <w:sz w:val="24"/>
          <w:szCs w:val="24"/>
        </w:rPr>
        <w:t>Keyword</w:t>
      </w:r>
      <w:r w:rsidR="00162A42">
        <w:rPr>
          <w:rFonts w:ascii="Times New Roman" w:hAnsi="Times New Roman"/>
          <w:b/>
          <w:sz w:val="24"/>
          <w:szCs w:val="24"/>
        </w:rPr>
        <w:t>s</w:t>
      </w:r>
      <w:r>
        <w:rPr>
          <w:rFonts w:ascii="Times New Roman" w:hAnsi="Times New Roman"/>
          <w:b/>
          <w:sz w:val="24"/>
          <w:szCs w:val="24"/>
        </w:rPr>
        <w:t xml:space="preserve">: </w:t>
      </w:r>
      <w:r w:rsidRPr="00B1460F">
        <w:rPr>
          <w:rFonts w:ascii="Times New Roman" w:hAnsi="Times New Roman"/>
          <w:bCs/>
          <w:i/>
          <w:iCs/>
          <w:sz w:val="24"/>
          <w:szCs w:val="24"/>
        </w:rPr>
        <w:t>Environment</w:t>
      </w:r>
      <w:r w:rsidR="00162A42">
        <w:rPr>
          <w:rFonts w:ascii="Times New Roman" w:hAnsi="Times New Roman"/>
          <w:bCs/>
          <w:i/>
          <w:iCs/>
          <w:sz w:val="24"/>
          <w:szCs w:val="24"/>
        </w:rPr>
        <w:t xml:space="preserve"> Reporting</w:t>
      </w:r>
      <w:r w:rsidRPr="00B1460F">
        <w:rPr>
          <w:rFonts w:ascii="Times New Roman" w:hAnsi="Times New Roman"/>
          <w:bCs/>
          <w:i/>
          <w:iCs/>
          <w:sz w:val="24"/>
          <w:szCs w:val="24"/>
        </w:rPr>
        <w:t>, Social</w:t>
      </w:r>
      <w:r w:rsidR="00162A42">
        <w:rPr>
          <w:rFonts w:ascii="Times New Roman" w:hAnsi="Times New Roman"/>
          <w:bCs/>
          <w:i/>
          <w:iCs/>
          <w:sz w:val="24"/>
          <w:szCs w:val="24"/>
        </w:rPr>
        <w:t xml:space="preserve"> Reporting</w:t>
      </w:r>
      <w:r w:rsidRPr="00B1460F">
        <w:rPr>
          <w:rFonts w:ascii="Times New Roman" w:hAnsi="Times New Roman"/>
          <w:bCs/>
          <w:i/>
          <w:iCs/>
          <w:sz w:val="24"/>
          <w:szCs w:val="24"/>
        </w:rPr>
        <w:t>, Governance</w:t>
      </w:r>
      <w:r w:rsidR="00162A42">
        <w:rPr>
          <w:rFonts w:ascii="Times New Roman" w:hAnsi="Times New Roman"/>
          <w:bCs/>
          <w:i/>
          <w:iCs/>
          <w:sz w:val="24"/>
          <w:szCs w:val="24"/>
        </w:rPr>
        <w:t xml:space="preserve"> Reporting</w:t>
      </w:r>
      <w:r w:rsidRPr="00B1460F">
        <w:rPr>
          <w:rFonts w:ascii="Times New Roman" w:hAnsi="Times New Roman"/>
          <w:bCs/>
          <w:i/>
          <w:iCs/>
          <w:sz w:val="24"/>
          <w:szCs w:val="24"/>
        </w:rPr>
        <w:t xml:space="preserve">, </w:t>
      </w:r>
      <w:r w:rsidR="00DA193B">
        <w:rPr>
          <w:rFonts w:ascii="Times New Roman" w:hAnsi="Times New Roman"/>
          <w:bCs/>
          <w:i/>
          <w:iCs/>
          <w:sz w:val="24"/>
          <w:szCs w:val="24"/>
        </w:rPr>
        <w:t>Operati</w:t>
      </w:r>
      <w:r w:rsidR="00162A42">
        <w:rPr>
          <w:rFonts w:ascii="Times New Roman" w:hAnsi="Times New Roman"/>
          <w:bCs/>
          <w:i/>
          <w:iCs/>
          <w:sz w:val="24"/>
          <w:szCs w:val="24"/>
        </w:rPr>
        <w:t>ng Margin Ratio</w:t>
      </w:r>
      <w:r w:rsidR="00DA193B">
        <w:rPr>
          <w:rFonts w:ascii="Times New Roman" w:hAnsi="Times New Roman"/>
          <w:bCs/>
          <w:i/>
          <w:iCs/>
          <w:sz w:val="24"/>
          <w:szCs w:val="24"/>
        </w:rPr>
        <w:t xml:space="preserve">, </w:t>
      </w:r>
      <w:r w:rsidRPr="00B1460F">
        <w:rPr>
          <w:rFonts w:ascii="Times New Roman" w:hAnsi="Times New Roman"/>
          <w:bCs/>
          <w:i/>
          <w:iCs/>
          <w:sz w:val="24"/>
          <w:szCs w:val="24"/>
        </w:rPr>
        <w:t>GRI, Nigeria</w:t>
      </w:r>
    </w:p>
    <w:p w14:paraId="709E752A" w14:textId="77777777" w:rsidR="00E65B94" w:rsidRDefault="00E65B94" w:rsidP="00723533">
      <w:pPr>
        <w:spacing w:after="0"/>
        <w:ind w:left="720"/>
        <w:jc w:val="both"/>
        <w:rPr>
          <w:rFonts w:ascii="Times New Roman" w:hAnsi="Times New Roman"/>
          <w:b/>
          <w:sz w:val="24"/>
          <w:szCs w:val="24"/>
        </w:rPr>
      </w:pPr>
    </w:p>
    <w:p w14:paraId="3B80C279" w14:textId="2AFF12B9" w:rsidR="00A74262" w:rsidRPr="00A74262" w:rsidRDefault="006815CA" w:rsidP="00A74262">
      <w:pPr>
        <w:spacing w:after="0"/>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00E65B94">
        <w:rPr>
          <w:rFonts w:ascii="Times New Roman" w:hAnsi="Times New Roman"/>
          <w:b/>
          <w:sz w:val="24"/>
          <w:szCs w:val="24"/>
        </w:rPr>
        <w:t>Introduction</w:t>
      </w:r>
    </w:p>
    <w:p w14:paraId="7E243A4E" w14:textId="77777777" w:rsidR="00F6730D" w:rsidRPr="00F6730D" w:rsidRDefault="00F6730D" w:rsidP="00F6730D">
      <w:pPr>
        <w:pStyle w:val="NormalWeb"/>
        <w:spacing w:after="0" w:afterAutospacing="0" w:line="276" w:lineRule="auto"/>
        <w:jc w:val="both"/>
        <w:rPr>
          <w:lang w:val="en-GB"/>
        </w:rPr>
      </w:pPr>
      <w:r w:rsidRPr="00F6730D">
        <w:rPr>
          <w:lang w:val="en-GB"/>
        </w:rPr>
        <w:t xml:space="preserve">Sustainability reporting has emerged as a notable development that has gained traction in recent years. A multitude of firms currently generate annual sustainability reports, accompanied by a diverse range of ratings and standards employed in the evaluation process. Firms opt to produce a </w:t>
      </w:r>
      <w:r w:rsidRPr="00F6730D">
        <w:rPr>
          <w:lang w:val="en-GB"/>
        </w:rPr>
        <w:lastRenderedPageBreak/>
        <w:t>sustainability report for a multitude of reasons, yet the fundamental motivations appear to revolve around the principles of transparency and accountability (Umar, Mustapha &amp; Yahaya, 2021).</w:t>
      </w:r>
    </w:p>
    <w:p w14:paraId="4EDDAB9C" w14:textId="77777777" w:rsidR="00F6730D" w:rsidRPr="00F6730D" w:rsidRDefault="00F6730D" w:rsidP="00F6730D">
      <w:pPr>
        <w:pStyle w:val="NormalWeb"/>
        <w:spacing w:after="0" w:afterAutospacing="0" w:line="276" w:lineRule="auto"/>
        <w:jc w:val="both"/>
        <w:rPr>
          <w:lang w:val="en-GB"/>
        </w:rPr>
      </w:pPr>
      <w:r w:rsidRPr="00F6730D">
        <w:rPr>
          <w:lang w:val="en-GB"/>
        </w:rPr>
        <w:t xml:space="preserve">Utile (2016) posited that the existence of any company is contingent upon its interaction with the environment. Engaging with the environment is a crucial strategy for survival, enabling both self-sufficiency and interdependence while fundamentally emphasizing sustainability. To attain optimal sustainability in business operations, organizations must mitigate adverse impacts, including emissions, waste, social challenges, and the inequitable treatment of employees. Many managers recognize that their organizations exist within a broader system that has significant direct and indirect effects on their operations. </w:t>
      </w:r>
      <w:proofErr w:type="spellStart"/>
      <w:r w:rsidRPr="00F6730D">
        <w:rPr>
          <w:lang w:val="en-GB"/>
        </w:rPr>
        <w:t>Aondoakaa</w:t>
      </w:r>
      <w:proofErr w:type="spellEnd"/>
      <w:r w:rsidRPr="00F6730D">
        <w:rPr>
          <w:lang w:val="en-GB"/>
        </w:rPr>
        <w:t xml:space="preserve"> (2015) suggests that for these firms to successfully and efficiently achieve their long-term goals, they must adequately adjust to their environments.</w:t>
      </w:r>
    </w:p>
    <w:p w14:paraId="290D6174" w14:textId="6240AA02" w:rsidR="00F6730D" w:rsidRPr="00F6730D" w:rsidRDefault="00F6730D" w:rsidP="00F6730D">
      <w:pPr>
        <w:pStyle w:val="NormalWeb"/>
        <w:spacing w:after="0" w:afterAutospacing="0" w:line="276" w:lineRule="auto"/>
        <w:jc w:val="both"/>
        <w:rPr>
          <w:lang w:val="en-GB"/>
        </w:rPr>
      </w:pPr>
      <w:r w:rsidRPr="00F6730D">
        <w:rPr>
          <w:lang w:val="en-GB"/>
        </w:rPr>
        <w:t xml:space="preserve">Umar et al. (2021) assert that sustainability reports are derived not only from gathered data but also serve as a mechanism to internalize and reinforce the firm's dedication to sustainable development, which may exhibit the values and ​​governance model and demonstrate its strategy and its environmental and social impact. The GRI (2019) revealed that Nigerian companies are not excluded from integrating sustainability in their audited annual reports, which is linked to the commitments of the global economy and global competitiveness. Elkington (2004), cited in Umar et al. (2021), explains that sustainability reporting is a form of value reporting in which organizations publicly communicate their economic, environmental, and social performances. However, these purposes do not consider the temporal dimension nor the interaction between the different dimensions of sustainability (Lozano, 2011). Similarly, Adams (2020) stated that sustainability reports should be included in the published financial statements of firms that inform stakeholders </w:t>
      </w:r>
      <w:r w:rsidR="00482891">
        <w:rPr>
          <w:lang w:val="en-GB"/>
        </w:rPr>
        <w:t>of</w:t>
      </w:r>
      <w:r w:rsidRPr="00F6730D">
        <w:rPr>
          <w:lang w:val="en-GB"/>
        </w:rPr>
        <w:t xml:space="preserve"> their major financial performance. The Global Sustainability Standards Board (GSSB, 2016) advocated for the separate publication of non-financial reporting issues in sustainability reports and disclosures.</w:t>
      </w:r>
    </w:p>
    <w:p w14:paraId="01607A8F" w14:textId="5CC70038" w:rsidR="00F6730D" w:rsidRPr="00F6730D" w:rsidRDefault="00F6730D" w:rsidP="00F6730D">
      <w:pPr>
        <w:pStyle w:val="NormalWeb"/>
        <w:spacing w:after="0" w:afterAutospacing="0" w:line="276" w:lineRule="auto"/>
        <w:jc w:val="both"/>
        <w:rPr>
          <w:lang w:val="en-GB"/>
        </w:rPr>
      </w:pPr>
      <w:r w:rsidRPr="00F6730D">
        <w:rPr>
          <w:lang w:val="en-GB"/>
        </w:rPr>
        <w:t xml:space="preserve">In Nigeria, the exploration activities by the oil and gas companies are responsible for environmental hazards and ecosystem damage, as noted in studies by Ayoola &amp; Salawu (2011), Umoren, Akpan, &amp; Okafor (2018), </w:t>
      </w:r>
      <w:proofErr w:type="spellStart"/>
      <w:r w:rsidRPr="00F6730D">
        <w:rPr>
          <w:lang w:val="en-GB"/>
        </w:rPr>
        <w:t>Uwakonye</w:t>
      </w:r>
      <w:proofErr w:type="spellEnd"/>
      <w:r w:rsidRPr="00F6730D">
        <w:rPr>
          <w:lang w:val="en-GB"/>
        </w:rPr>
        <w:t xml:space="preserve">, </w:t>
      </w:r>
      <w:proofErr w:type="spellStart"/>
      <w:r w:rsidRPr="00F6730D">
        <w:rPr>
          <w:lang w:val="en-GB"/>
        </w:rPr>
        <w:t>Osho</w:t>
      </w:r>
      <w:proofErr w:type="spellEnd"/>
      <w:r w:rsidRPr="00F6730D">
        <w:rPr>
          <w:lang w:val="en-GB"/>
        </w:rPr>
        <w:t xml:space="preserve">, &amp; </w:t>
      </w:r>
      <w:proofErr w:type="spellStart"/>
      <w:r w:rsidRPr="00F6730D">
        <w:rPr>
          <w:lang w:val="en-GB"/>
        </w:rPr>
        <w:t>Anucha</w:t>
      </w:r>
      <w:proofErr w:type="spellEnd"/>
      <w:r w:rsidRPr="00F6730D">
        <w:rPr>
          <w:lang w:val="en-GB"/>
        </w:rPr>
        <w:t xml:space="preserve"> (2006), </w:t>
      </w:r>
      <w:proofErr w:type="spellStart"/>
      <w:r w:rsidRPr="00F6730D">
        <w:rPr>
          <w:lang w:val="en-GB"/>
        </w:rPr>
        <w:t>Uwuigbe</w:t>
      </w:r>
      <w:proofErr w:type="spellEnd"/>
      <w:r w:rsidRPr="00F6730D">
        <w:rPr>
          <w:lang w:val="en-GB"/>
        </w:rPr>
        <w:t xml:space="preserve"> &amp; </w:t>
      </w:r>
      <w:proofErr w:type="spellStart"/>
      <w:r w:rsidRPr="00F6730D">
        <w:rPr>
          <w:lang w:val="en-GB"/>
        </w:rPr>
        <w:t>Jimoh</w:t>
      </w:r>
      <w:proofErr w:type="spellEnd"/>
      <w:r w:rsidRPr="00F6730D">
        <w:rPr>
          <w:lang w:val="en-GB"/>
        </w:rPr>
        <w:t xml:space="preserve"> (2012), and Herbert, </w:t>
      </w:r>
      <w:proofErr w:type="spellStart"/>
      <w:r w:rsidRPr="00F6730D">
        <w:rPr>
          <w:lang w:val="en-GB"/>
        </w:rPr>
        <w:t>Nwaorgu</w:t>
      </w:r>
      <w:proofErr w:type="spellEnd"/>
      <w:r w:rsidRPr="00F6730D">
        <w:rPr>
          <w:lang w:val="en-GB"/>
        </w:rPr>
        <w:t xml:space="preserve">, </w:t>
      </w:r>
      <w:proofErr w:type="spellStart"/>
      <w:r w:rsidRPr="00F6730D">
        <w:rPr>
          <w:lang w:val="en-GB"/>
        </w:rPr>
        <w:t>Onyilo</w:t>
      </w:r>
      <w:proofErr w:type="spellEnd"/>
      <w:r w:rsidRPr="00F6730D">
        <w:rPr>
          <w:lang w:val="en-GB"/>
        </w:rPr>
        <w:t xml:space="preserve">, &amp; </w:t>
      </w:r>
      <w:proofErr w:type="spellStart"/>
      <w:r w:rsidRPr="00F6730D">
        <w:rPr>
          <w:lang w:val="en-GB"/>
        </w:rPr>
        <w:t>Iormbagah</w:t>
      </w:r>
      <w:proofErr w:type="spellEnd"/>
      <w:r w:rsidRPr="00F6730D">
        <w:rPr>
          <w:lang w:val="en-GB"/>
        </w:rPr>
        <w:t xml:space="preserve"> (2020)</w:t>
      </w:r>
      <w:r w:rsidR="00482891">
        <w:rPr>
          <w:lang w:val="en-GB"/>
        </w:rPr>
        <w:t>,</w:t>
      </w:r>
      <w:r w:rsidRPr="00F6730D">
        <w:rPr>
          <w:lang w:val="en-GB"/>
        </w:rPr>
        <w:t xml:space="preserve"> and are linked to pollution, emissions, environmental degradation, and </w:t>
      </w:r>
      <w:r w:rsidR="00482891">
        <w:rPr>
          <w:lang w:val="en-GB"/>
        </w:rPr>
        <w:t xml:space="preserve">the </w:t>
      </w:r>
      <w:r w:rsidRPr="00F6730D">
        <w:rPr>
          <w:lang w:val="en-GB"/>
        </w:rPr>
        <w:t xml:space="preserve">displacement of community villagers. Solomon (2020) observed that the company's operations are the primary cause of the environmental challenge that the world is currently confronting, which is climate change and global warming. Sheharyar (2024) revealed that the Global Reporting Initiative (GRI) has been recognized as the best practice for reporting the environmental and social impacts of firms. Sustainability reporting presents insights into a firm's positive or negative contributions to sustainable development. A KPMG (2020) survey carried out revealed that 90 percent of the 250 largest global companies now report their sustainability reports compared to just 12% in 1993. The survey indicated significant improvement </w:t>
      </w:r>
      <w:r w:rsidRPr="00F6730D">
        <w:rPr>
          <w:lang w:val="en-GB"/>
        </w:rPr>
        <w:lastRenderedPageBreak/>
        <w:t>in the sustainability reporting, and in no time, there will be a convergence of reporting standards for non-financial reporting.</w:t>
      </w:r>
    </w:p>
    <w:p w14:paraId="6D4A6423" w14:textId="77777777" w:rsidR="00F6730D" w:rsidRPr="00F6730D" w:rsidRDefault="00F6730D" w:rsidP="00F6730D">
      <w:pPr>
        <w:pStyle w:val="NormalWeb"/>
        <w:spacing w:after="0" w:afterAutospacing="0" w:line="276" w:lineRule="auto"/>
        <w:jc w:val="both"/>
        <w:rPr>
          <w:lang w:val="en-GB"/>
        </w:rPr>
      </w:pPr>
      <w:r w:rsidRPr="00F6730D">
        <w:rPr>
          <w:lang w:val="en-GB"/>
        </w:rPr>
        <w:t>The World Health Organization ranked four (4) Nigerian cities (Onitsha, Kaduna, Aba, and Umuahia) among the most polluted cities in the world. Unfortunately, the high-level business in these cities has not improved the living standards of the residents, nor has it been able to improve the state of infrastructure in these cities. It is clear that high-level companies conduct business directly or indirectly in these cities, and their products and services enter, leave, and pass through these cities. These companies have created enormous wealth, bu</w:t>
      </w:r>
      <w:bookmarkStart w:id="0" w:name="_GoBack"/>
      <w:bookmarkEnd w:id="0"/>
      <w:r w:rsidRPr="00F6730D">
        <w:rPr>
          <w:lang w:val="en-GB"/>
        </w:rPr>
        <w:t>t the wealth created does not have enough money to purify these cities for future generations. Although the intent is not to belittle Nigerian companies, the message is that, like their financial reports, actions and activities affecting sustainability should receive primary attention to make sustainability reporting more desirable and relevant.</w:t>
      </w:r>
    </w:p>
    <w:p w14:paraId="59F088A7" w14:textId="77777777" w:rsidR="00F6730D" w:rsidRPr="00F6730D" w:rsidRDefault="00F6730D" w:rsidP="00F6730D">
      <w:pPr>
        <w:pStyle w:val="NormalWeb"/>
        <w:spacing w:after="0" w:afterAutospacing="0" w:line="276" w:lineRule="auto"/>
        <w:jc w:val="both"/>
        <w:rPr>
          <w:lang w:val="en-GB"/>
        </w:rPr>
      </w:pPr>
      <w:r w:rsidRPr="00F6730D">
        <w:rPr>
          <w:lang w:val="en-GB"/>
        </w:rPr>
        <w:t xml:space="preserve">The Niger Delta oil-rich region has suffered from oil spillage, environmental degradation, and loss of biodiversity, which have exposed residents of the communities to environmental disasters (Grace, 2021; Common Dreams, 2023). Therefore, companies must report how their operations have positive and negative economic, social, and environmental impacts on the community in which they operate and how they intend to improve the positive aspects and eliminate or improve the negative aspects. The study identified some literature gaps in the overall review. From the gaps identified after the review of sustainability reporting and financial performance in Nigeria, prior studies such as </w:t>
      </w:r>
      <w:proofErr w:type="spellStart"/>
      <w:r w:rsidRPr="00F6730D">
        <w:rPr>
          <w:lang w:val="en-GB"/>
        </w:rPr>
        <w:t>Aondoakaa</w:t>
      </w:r>
      <w:proofErr w:type="spellEnd"/>
      <w:r w:rsidRPr="00F6730D">
        <w:rPr>
          <w:lang w:val="en-GB"/>
        </w:rPr>
        <w:t xml:space="preserve"> (2015), </w:t>
      </w:r>
      <w:proofErr w:type="spellStart"/>
      <w:r w:rsidRPr="00F6730D">
        <w:rPr>
          <w:lang w:val="en-GB"/>
        </w:rPr>
        <w:t>Ezeokafor</w:t>
      </w:r>
      <w:proofErr w:type="spellEnd"/>
      <w:r w:rsidRPr="00F6730D">
        <w:rPr>
          <w:lang w:val="en-GB"/>
        </w:rPr>
        <w:t xml:space="preserve"> &amp; </w:t>
      </w:r>
      <w:proofErr w:type="spellStart"/>
      <w:r w:rsidRPr="00F6730D">
        <w:rPr>
          <w:lang w:val="en-GB"/>
        </w:rPr>
        <w:t>Amahalu</w:t>
      </w:r>
      <w:proofErr w:type="spellEnd"/>
      <w:r w:rsidRPr="00F6730D">
        <w:rPr>
          <w:lang w:val="en-GB"/>
        </w:rPr>
        <w:t xml:space="preserve"> (2019), Hebert et al. (2020), and Umar et al. (2021) showed that measurements of sustainability reporting were not appropriately in line with the GRI index, and the researcher identified a variable limitation gap. Their study did not look into the governance disclosure in the sustainability reporting indices. The researcher intends to fill this gap by using current data up to 2023, </w:t>
      </w:r>
      <w:proofErr w:type="spellStart"/>
      <w:r w:rsidRPr="00F6730D">
        <w:rPr>
          <w:lang w:val="en-GB"/>
        </w:rPr>
        <w:t>centered</w:t>
      </w:r>
      <w:proofErr w:type="spellEnd"/>
      <w:r w:rsidRPr="00F6730D">
        <w:rPr>
          <w:lang w:val="en-GB"/>
        </w:rPr>
        <w:t xml:space="preserve"> on the oil and gas sector.</w:t>
      </w:r>
    </w:p>
    <w:p w14:paraId="7BB7504C" w14:textId="0A22E818" w:rsidR="00F6730D" w:rsidRPr="00F6730D" w:rsidRDefault="00F6730D" w:rsidP="00F6730D">
      <w:pPr>
        <w:pStyle w:val="NormalWeb"/>
        <w:spacing w:after="0" w:afterAutospacing="0" w:line="276" w:lineRule="auto"/>
        <w:jc w:val="both"/>
        <w:rPr>
          <w:lang w:val="en-GB"/>
        </w:rPr>
      </w:pPr>
      <w:r w:rsidRPr="00F6730D">
        <w:rPr>
          <w:lang w:val="en-GB"/>
        </w:rPr>
        <w:t>Despite the growing body of literature on sustainability reporting and firm performance in Nigeria and other emerging markets (</w:t>
      </w:r>
      <w:proofErr w:type="spellStart"/>
      <w:r w:rsidRPr="00F6730D">
        <w:rPr>
          <w:lang w:val="en-GB"/>
        </w:rPr>
        <w:t>Aondoakaa</w:t>
      </w:r>
      <w:proofErr w:type="spellEnd"/>
      <w:r w:rsidRPr="00F6730D">
        <w:rPr>
          <w:lang w:val="en-GB"/>
        </w:rPr>
        <w:t xml:space="preserve">, 2015; </w:t>
      </w:r>
      <w:proofErr w:type="spellStart"/>
      <w:r w:rsidRPr="00F6730D">
        <w:rPr>
          <w:lang w:val="en-GB"/>
        </w:rPr>
        <w:t>Ezeokafor</w:t>
      </w:r>
      <w:proofErr w:type="spellEnd"/>
      <w:r w:rsidRPr="00F6730D">
        <w:rPr>
          <w:lang w:val="en-GB"/>
        </w:rPr>
        <w:t xml:space="preserve"> and </w:t>
      </w:r>
      <w:proofErr w:type="spellStart"/>
      <w:r w:rsidRPr="00F6730D">
        <w:rPr>
          <w:lang w:val="en-GB"/>
        </w:rPr>
        <w:t>Amahalu</w:t>
      </w:r>
      <w:proofErr w:type="spellEnd"/>
      <w:r w:rsidRPr="00F6730D">
        <w:rPr>
          <w:lang w:val="en-GB"/>
        </w:rPr>
        <w:t xml:space="preserve">, 2019; Herbert et al., 2020; </w:t>
      </w:r>
      <w:proofErr w:type="spellStart"/>
      <w:r w:rsidRPr="00F6730D">
        <w:rPr>
          <w:lang w:val="en-GB"/>
        </w:rPr>
        <w:t>Umae</w:t>
      </w:r>
      <w:proofErr w:type="spellEnd"/>
      <w:r w:rsidRPr="00F6730D">
        <w:rPr>
          <w:lang w:val="en-GB"/>
        </w:rPr>
        <w:t xml:space="preserve"> et al., 2021; Lucy, Ime, and Agnes, 2023), there are still certain gaps. First, most of the previous research either had a limited scope of sustainability reporting, often omitting governance reporting and focusing on only the economic, environmental, and social facets, and restricted the complete use of the GRI index. Second, the literature that remains published has a strong focus on the financial performance indicators of return on assets, return on equity, and market value (Ofoegbu and Asogwa, 2020; Yazid et al., 2021; Korolo and Korolo, 2023) and has minimal consideration of the performance indicators of operations, including the operating margin ratio, that is more effective in measuring efficiency in core operations. This study aims to address these gaps and use a full GRI-based index, including the governance reporting, focusing on the performance in operations based on the operating margin ratio, utilizing the latest data of the years 2019-202</w:t>
      </w:r>
      <w:r>
        <w:rPr>
          <w:lang w:val="en-GB"/>
        </w:rPr>
        <w:t>4</w:t>
      </w:r>
      <w:r w:rsidRPr="00F6730D">
        <w:rPr>
          <w:lang w:val="en-GB"/>
        </w:rPr>
        <w:t xml:space="preserve"> of </w:t>
      </w:r>
      <w:r>
        <w:rPr>
          <w:lang w:val="en-GB"/>
        </w:rPr>
        <w:t>environmentally sensitive firms in Nigeria.</w:t>
      </w:r>
    </w:p>
    <w:p w14:paraId="39B66BF6" w14:textId="77777777" w:rsidR="00324934" w:rsidRPr="007A773B" w:rsidRDefault="00324934" w:rsidP="007A773B">
      <w:pPr>
        <w:pStyle w:val="NormalWeb"/>
        <w:spacing w:after="0" w:afterAutospacing="0" w:line="276" w:lineRule="auto"/>
        <w:jc w:val="both"/>
      </w:pPr>
    </w:p>
    <w:p w14:paraId="2C674A7A" w14:textId="77777777" w:rsidR="00E65B94" w:rsidRPr="0097767C" w:rsidRDefault="00E65B94" w:rsidP="0097767C">
      <w:pPr>
        <w:spacing w:after="0"/>
        <w:jc w:val="both"/>
        <w:rPr>
          <w:rFonts w:ascii="Times New Roman" w:hAnsi="Times New Roman"/>
          <w:b/>
          <w:sz w:val="24"/>
          <w:szCs w:val="24"/>
        </w:rPr>
      </w:pPr>
    </w:p>
    <w:p w14:paraId="671E4FBD" w14:textId="1AB8C22B" w:rsidR="00E65B94" w:rsidRPr="0097767C" w:rsidRDefault="00E65B94" w:rsidP="0097767C">
      <w:pPr>
        <w:spacing w:after="0"/>
        <w:jc w:val="both"/>
        <w:rPr>
          <w:rFonts w:ascii="Times New Roman" w:hAnsi="Times New Roman"/>
          <w:b/>
          <w:sz w:val="24"/>
          <w:szCs w:val="24"/>
        </w:rPr>
      </w:pPr>
      <w:r w:rsidRPr="0097767C">
        <w:rPr>
          <w:rFonts w:ascii="Times New Roman" w:hAnsi="Times New Roman"/>
          <w:b/>
          <w:sz w:val="24"/>
          <w:szCs w:val="24"/>
        </w:rPr>
        <w:t>2.0</w:t>
      </w:r>
      <w:r w:rsidRPr="0097767C">
        <w:rPr>
          <w:rFonts w:ascii="Times New Roman" w:hAnsi="Times New Roman"/>
          <w:b/>
          <w:sz w:val="24"/>
          <w:szCs w:val="24"/>
        </w:rPr>
        <w:tab/>
        <w:t>Literature Review</w:t>
      </w:r>
    </w:p>
    <w:p w14:paraId="5F9715BD" w14:textId="77777777" w:rsidR="002B7684" w:rsidRPr="0097767C" w:rsidRDefault="002B7684" w:rsidP="0097767C">
      <w:pPr>
        <w:spacing w:after="0"/>
        <w:jc w:val="both"/>
        <w:rPr>
          <w:rFonts w:ascii="Times New Roman" w:hAnsi="Times New Roman"/>
          <w:b/>
          <w:sz w:val="24"/>
          <w:szCs w:val="24"/>
        </w:rPr>
      </w:pPr>
    </w:p>
    <w:p w14:paraId="153402FA" w14:textId="1CC70971" w:rsidR="0044578A" w:rsidRPr="0097767C" w:rsidRDefault="0079152D" w:rsidP="0097767C">
      <w:pPr>
        <w:spacing w:after="0"/>
        <w:jc w:val="both"/>
        <w:rPr>
          <w:rFonts w:ascii="Times New Roman" w:hAnsi="Times New Roman"/>
          <w:b/>
          <w:sz w:val="24"/>
          <w:szCs w:val="24"/>
        </w:rPr>
      </w:pPr>
      <w:r w:rsidRPr="0097767C">
        <w:rPr>
          <w:rFonts w:ascii="Times New Roman" w:hAnsi="Times New Roman"/>
          <w:b/>
          <w:sz w:val="24"/>
          <w:szCs w:val="24"/>
        </w:rPr>
        <w:t>Concept of Sustainability Reporting</w:t>
      </w:r>
    </w:p>
    <w:p w14:paraId="73FB3955"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 xml:space="preserve">Sustainability reporting is the structured and transparent process of summarising, analysing, and communicating an organisation's economic, environmental, social, and governance performance. A sustainability report allows an organisation to assess the impact of its activities and its dedication to a sustainable global economy within a comprehensive corporate framework. This entails addressing the current requirements of the environment and society without jeopardising the capacity of future generations to fulfil their own needs. </w:t>
      </w:r>
      <w:proofErr w:type="spellStart"/>
      <w:r w:rsidRPr="00F6730D">
        <w:rPr>
          <w:rFonts w:ascii="Times New Roman" w:eastAsia="Times New Roman" w:hAnsi="Times New Roman"/>
          <w:sz w:val="24"/>
          <w:szCs w:val="24"/>
          <w:lang w:val="en-GB"/>
        </w:rPr>
        <w:t>Nwaiwu</w:t>
      </w:r>
      <w:proofErr w:type="spellEnd"/>
      <w:r w:rsidRPr="00F6730D">
        <w:rPr>
          <w:rFonts w:ascii="Times New Roman" w:eastAsia="Times New Roman" w:hAnsi="Times New Roman"/>
          <w:sz w:val="24"/>
          <w:szCs w:val="24"/>
          <w:lang w:val="en-GB"/>
        </w:rPr>
        <w:t xml:space="preserve"> (2020) defines sustainability reporting as a collection of socially conditioned practices that significantly affect business operations and societal interactions, as well as the ways in which companies convey these activities to their stakeholders.</w:t>
      </w:r>
    </w:p>
    <w:p w14:paraId="07D378FA"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b/>
          <w:bCs/>
          <w:i/>
          <w:iCs/>
          <w:sz w:val="24"/>
          <w:szCs w:val="24"/>
          <w:lang w:val="en-GB"/>
        </w:rPr>
        <w:t>Environmental Reporting</w:t>
      </w:r>
    </w:p>
    <w:p w14:paraId="56D4D57A"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The environmental dimension of sustainability refers to the organisation's impact on biological and non-biological natural systems, which includes ecosystems, land, air, and water. Environmental indicators cover input performance (such as materials, energy, and water) and output performance (such as emissions, effluent, and waste). They also cover performance related to biodiversity, environmental compliance, and other related information (such as environmental expenditure and the impact of products and services). Social performance indicators focus on the impact of organisations on the local communities in which they operate and how they manage and mediate risks that may arise from interactions with other social institutions.</w:t>
      </w:r>
    </w:p>
    <w:p w14:paraId="3E0E8E2D" w14:textId="77777777" w:rsidR="00F6730D" w:rsidRPr="00F6730D" w:rsidRDefault="00F6730D" w:rsidP="00F6730D">
      <w:pPr>
        <w:spacing w:after="0"/>
        <w:jc w:val="both"/>
        <w:rPr>
          <w:rFonts w:ascii="Times New Roman" w:eastAsia="Times New Roman" w:hAnsi="Times New Roman"/>
          <w:sz w:val="24"/>
          <w:szCs w:val="24"/>
          <w:lang w:val="en-GB"/>
        </w:rPr>
      </w:pPr>
      <w:proofErr w:type="spellStart"/>
      <w:r w:rsidRPr="00F6730D">
        <w:rPr>
          <w:rFonts w:ascii="Times New Roman" w:eastAsia="Times New Roman" w:hAnsi="Times New Roman"/>
          <w:sz w:val="24"/>
          <w:szCs w:val="24"/>
          <w:lang w:val="en-GB"/>
        </w:rPr>
        <w:t>Ohidoa</w:t>
      </w:r>
      <w:proofErr w:type="spellEnd"/>
      <w:r w:rsidRPr="00F6730D">
        <w:rPr>
          <w:rFonts w:ascii="Times New Roman" w:eastAsia="Times New Roman" w:hAnsi="Times New Roman"/>
          <w:sz w:val="24"/>
          <w:szCs w:val="24"/>
          <w:lang w:val="en-GB"/>
        </w:rPr>
        <w:t xml:space="preserve">, </w:t>
      </w:r>
      <w:proofErr w:type="spellStart"/>
      <w:r w:rsidRPr="00F6730D">
        <w:rPr>
          <w:rFonts w:ascii="Times New Roman" w:eastAsia="Times New Roman" w:hAnsi="Times New Roman"/>
          <w:sz w:val="24"/>
          <w:szCs w:val="24"/>
          <w:lang w:val="en-GB"/>
        </w:rPr>
        <w:t>Omokhudu</w:t>
      </w:r>
      <w:proofErr w:type="spellEnd"/>
      <w:r w:rsidRPr="00F6730D">
        <w:rPr>
          <w:rFonts w:ascii="Times New Roman" w:eastAsia="Times New Roman" w:hAnsi="Times New Roman"/>
          <w:sz w:val="24"/>
          <w:szCs w:val="24"/>
          <w:lang w:val="en-GB"/>
        </w:rPr>
        <w:t xml:space="preserve">, and </w:t>
      </w:r>
      <w:proofErr w:type="spellStart"/>
      <w:r w:rsidRPr="00F6730D">
        <w:rPr>
          <w:rFonts w:ascii="Times New Roman" w:eastAsia="Times New Roman" w:hAnsi="Times New Roman"/>
          <w:sz w:val="24"/>
          <w:szCs w:val="24"/>
          <w:lang w:val="en-GB"/>
        </w:rPr>
        <w:t>Oserogho</w:t>
      </w:r>
      <w:proofErr w:type="spellEnd"/>
      <w:r w:rsidRPr="00F6730D">
        <w:rPr>
          <w:rFonts w:ascii="Times New Roman" w:eastAsia="Times New Roman" w:hAnsi="Times New Roman"/>
          <w:sz w:val="24"/>
          <w:szCs w:val="24"/>
          <w:lang w:val="en-GB"/>
        </w:rPr>
        <w:t xml:space="preserve"> (2016), as cited in </w:t>
      </w:r>
      <w:proofErr w:type="spellStart"/>
      <w:r w:rsidRPr="00F6730D">
        <w:rPr>
          <w:rFonts w:ascii="Times New Roman" w:eastAsia="Times New Roman" w:hAnsi="Times New Roman"/>
          <w:sz w:val="24"/>
          <w:szCs w:val="24"/>
          <w:lang w:val="en-GB"/>
        </w:rPr>
        <w:t>Etale</w:t>
      </w:r>
      <w:proofErr w:type="spellEnd"/>
      <w:r w:rsidRPr="00F6730D">
        <w:rPr>
          <w:rFonts w:ascii="Times New Roman" w:eastAsia="Times New Roman" w:hAnsi="Times New Roman"/>
          <w:sz w:val="24"/>
          <w:szCs w:val="24"/>
          <w:lang w:val="en-GB"/>
        </w:rPr>
        <w:t xml:space="preserve"> et al. (2021), assert that companies, particularly those with operations affecting the environment, ought to disclose their financial commitments to environmental improvement, particularly in relation to pollution and other hazards. </w:t>
      </w:r>
      <w:proofErr w:type="spellStart"/>
      <w:r w:rsidRPr="00F6730D">
        <w:rPr>
          <w:rFonts w:ascii="Times New Roman" w:eastAsia="Times New Roman" w:hAnsi="Times New Roman"/>
          <w:sz w:val="24"/>
          <w:szCs w:val="24"/>
          <w:lang w:val="en-GB"/>
        </w:rPr>
        <w:t>Aondoakaa</w:t>
      </w:r>
      <w:proofErr w:type="spellEnd"/>
      <w:r w:rsidRPr="00F6730D">
        <w:rPr>
          <w:rFonts w:ascii="Times New Roman" w:eastAsia="Times New Roman" w:hAnsi="Times New Roman"/>
          <w:sz w:val="24"/>
          <w:szCs w:val="24"/>
          <w:lang w:val="en-GB"/>
        </w:rPr>
        <w:t xml:space="preserve"> (2015) argued that the overall operation of a business can harm society, thereby undermining the social harmony essential for a stable operational environment. Consequently, such business activities lack economic and social sustainability. He emphasised that if companies responsible for environmental harm hinder the ability to sustain human life at an improved standard, this situation is inherently unsustainable, both socially and economically, as economic activity cannot exist under such conditions. Herbert et al. (2020) stressed that the serious health hazards normally associated with oil and gas exploration activities and the environmental, economic, and social makeup of indigenous communities in oil-producing areas are also negatively affected.</w:t>
      </w:r>
    </w:p>
    <w:p w14:paraId="4F711A8E"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b/>
          <w:bCs/>
          <w:i/>
          <w:iCs/>
          <w:sz w:val="24"/>
          <w:szCs w:val="24"/>
          <w:lang w:val="en-GB"/>
        </w:rPr>
        <w:t>Social Reporting</w:t>
      </w:r>
    </w:p>
    <w:p w14:paraId="41149AFE"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 xml:space="preserve">Social reporting reveals the activities that are associated with social and ecological factors, which provide an insight into the fulfilment of the firm's social responsibilities to the stakeholders. The work of </w:t>
      </w:r>
      <w:proofErr w:type="spellStart"/>
      <w:r w:rsidRPr="00F6730D">
        <w:rPr>
          <w:rFonts w:ascii="Times New Roman" w:eastAsia="Times New Roman" w:hAnsi="Times New Roman"/>
          <w:sz w:val="24"/>
          <w:szCs w:val="24"/>
          <w:lang w:val="en-GB"/>
        </w:rPr>
        <w:t>Najah</w:t>
      </w:r>
      <w:proofErr w:type="spellEnd"/>
      <w:r w:rsidRPr="00F6730D">
        <w:rPr>
          <w:rFonts w:ascii="Times New Roman" w:eastAsia="Times New Roman" w:hAnsi="Times New Roman"/>
          <w:sz w:val="24"/>
          <w:szCs w:val="24"/>
          <w:lang w:val="en-GB"/>
        </w:rPr>
        <w:t xml:space="preserve"> &amp; </w:t>
      </w:r>
      <w:proofErr w:type="spellStart"/>
      <w:r w:rsidRPr="00F6730D">
        <w:rPr>
          <w:rFonts w:ascii="Times New Roman" w:eastAsia="Times New Roman" w:hAnsi="Times New Roman"/>
          <w:sz w:val="24"/>
          <w:szCs w:val="24"/>
          <w:lang w:val="en-GB"/>
        </w:rPr>
        <w:t>Jarboui</w:t>
      </w:r>
      <w:proofErr w:type="spellEnd"/>
      <w:r w:rsidRPr="00F6730D">
        <w:rPr>
          <w:rFonts w:ascii="Times New Roman" w:eastAsia="Times New Roman" w:hAnsi="Times New Roman"/>
          <w:sz w:val="24"/>
          <w:szCs w:val="24"/>
          <w:lang w:val="en-GB"/>
        </w:rPr>
        <w:t xml:space="preserve"> (2013) suggested that the firm's social reporting should comprehensively outline the societal and environmental influences on its business operations. Social reporting has </w:t>
      </w:r>
      <w:r w:rsidRPr="00F6730D">
        <w:rPr>
          <w:rFonts w:ascii="Times New Roman" w:eastAsia="Times New Roman" w:hAnsi="Times New Roman"/>
          <w:sz w:val="24"/>
          <w:szCs w:val="24"/>
          <w:lang w:val="en-GB"/>
        </w:rPr>
        <w:lastRenderedPageBreak/>
        <w:t>become a strategic focus for companies to ensure that their daily business operations positively impact the environment. The societal impact could raise stakeholders' expectations for what firms give to the community, which could be basic healthcare, a conducive learning environment, donations, infrastructure, and lots more. Social reporting arises from the obligation firms have to their stakeholders, which extends beyond just their shareholders.</w:t>
      </w:r>
    </w:p>
    <w:p w14:paraId="4E8AE135"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b/>
          <w:bCs/>
          <w:i/>
          <w:iCs/>
          <w:sz w:val="24"/>
          <w:szCs w:val="24"/>
          <w:lang w:val="en-GB"/>
        </w:rPr>
        <w:t>Governance Reporting</w:t>
      </w:r>
    </w:p>
    <w:p w14:paraId="40EE8D6A"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Governance reporting is a systematic approach by a firm that outlines the processes, policies, and practices on which the business operation is based and for which it is accountable to stakeholders. It goes beyond the usual financial reporting, but it reveals how firms comply with the ethical standards of transparency, accountability, and strict regulatory compliance (Solomon, 2020). The governance reporting is embedded with the principles of corporate governance, like the composition of the board, the rights of shareholders, executive compensation, and internal control mechanisms, which assist in keeping the stakeholders informed on the decisions being carried out.</w:t>
      </w:r>
    </w:p>
    <w:p w14:paraId="1AB3E936"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b/>
          <w:bCs/>
          <w:i/>
          <w:iCs/>
          <w:sz w:val="24"/>
          <w:szCs w:val="24"/>
          <w:lang w:val="en-GB"/>
        </w:rPr>
        <w:t>Operational Performance</w:t>
      </w:r>
    </w:p>
    <w:p w14:paraId="03067DF5"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Operational performance refers to how efficiently a company conducts its core business activities to generate value, sustain growth, and remain competitive. In the oil and gas sector, operational performance is particularly critical because of the high capital intensity, environmental costs, and regulatory scrutiny involved.</w:t>
      </w:r>
    </w:p>
    <w:p w14:paraId="2B1AE278" w14:textId="77777777" w:rsid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The operating margin ratio can be defined as the operating income of a firm relative to its total revenue. It evaluates the firm's profit generated from its business operations preceding the interest consideration and taxes. It also signifies the proficiency of the firm in handling the production and administrative costs in relation to sales (Gitman &amp; Zutter, 2015). According to Brigham and Ehrhardt (2017), primary operations are the transformation of sales into profit, which indicates operational efficiency. This ratio illustrates the efficiency with which oil and gas enterprises handle exploration, refining, distribution, and environmental compliance expenses while maintaining profitability.</w:t>
      </w:r>
    </w:p>
    <w:p w14:paraId="4190134F" w14:textId="77777777" w:rsidR="00F6730D" w:rsidRPr="00F6730D" w:rsidRDefault="00F6730D" w:rsidP="00F6730D">
      <w:pPr>
        <w:spacing w:after="0"/>
        <w:jc w:val="both"/>
        <w:rPr>
          <w:rFonts w:ascii="Times New Roman" w:eastAsia="Times New Roman" w:hAnsi="Times New Roman"/>
          <w:sz w:val="24"/>
          <w:szCs w:val="24"/>
          <w:lang w:val="en-GB"/>
        </w:rPr>
      </w:pPr>
    </w:p>
    <w:p w14:paraId="792023F1" w14:textId="66408743" w:rsidR="00DE7B3A" w:rsidRDefault="00B23D50" w:rsidP="00C83AA1">
      <w:pPr>
        <w:spacing w:after="0"/>
        <w:jc w:val="both"/>
        <w:rPr>
          <w:rFonts w:ascii="Times New Roman" w:eastAsia="Times New Roman" w:hAnsi="Times New Roman"/>
          <w:b/>
          <w:bCs/>
          <w:sz w:val="24"/>
          <w:szCs w:val="24"/>
        </w:rPr>
      </w:pPr>
      <w:r w:rsidRPr="0097767C">
        <w:rPr>
          <w:rFonts w:ascii="Times New Roman" w:eastAsia="Times New Roman" w:hAnsi="Times New Roman"/>
          <w:b/>
          <w:bCs/>
          <w:sz w:val="24"/>
          <w:szCs w:val="24"/>
        </w:rPr>
        <w:t>Empirical Review</w:t>
      </w:r>
    </w:p>
    <w:p w14:paraId="00FB6212" w14:textId="77777777" w:rsidR="00C83AA1" w:rsidRPr="00C83AA1" w:rsidRDefault="00C83AA1" w:rsidP="00C83AA1">
      <w:pPr>
        <w:spacing w:after="0"/>
        <w:jc w:val="both"/>
        <w:rPr>
          <w:rFonts w:ascii="Times New Roman" w:eastAsia="Times New Roman" w:hAnsi="Times New Roman"/>
          <w:b/>
          <w:bCs/>
          <w:sz w:val="24"/>
          <w:szCs w:val="24"/>
        </w:rPr>
      </w:pPr>
    </w:p>
    <w:p w14:paraId="6707C78A" w14:textId="77777777" w:rsidR="00F6730D" w:rsidRPr="00F6730D" w:rsidRDefault="00F6730D" w:rsidP="00F6730D">
      <w:pPr>
        <w:spacing w:after="0"/>
        <w:jc w:val="both"/>
        <w:rPr>
          <w:rFonts w:ascii="Times New Roman" w:hAnsi="Times New Roman"/>
          <w:sz w:val="24"/>
          <w:szCs w:val="24"/>
          <w:lang w:val="en-GB"/>
        </w:rPr>
      </w:pPr>
      <w:r w:rsidRPr="00F6730D">
        <w:rPr>
          <w:rFonts w:ascii="Times New Roman" w:hAnsi="Times New Roman"/>
          <w:sz w:val="24"/>
          <w:szCs w:val="24"/>
          <w:lang w:val="en-GB"/>
        </w:rPr>
        <w:t xml:space="preserve">The study collated data from 2018 to 2023; </w:t>
      </w:r>
      <w:proofErr w:type="spellStart"/>
      <w:r w:rsidRPr="00F6730D">
        <w:rPr>
          <w:rFonts w:ascii="Times New Roman" w:hAnsi="Times New Roman"/>
          <w:sz w:val="24"/>
          <w:szCs w:val="24"/>
          <w:lang w:val="en-GB"/>
        </w:rPr>
        <w:t>Nkak</w:t>
      </w:r>
      <w:proofErr w:type="spellEnd"/>
      <w:r w:rsidRPr="00F6730D">
        <w:rPr>
          <w:rFonts w:ascii="Times New Roman" w:hAnsi="Times New Roman"/>
          <w:sz w:val="24"/>
          <w:szCs w:val="24"/>
          <w:lang w:val="en-GB"/>
        </w:rPr>
        <w:t xml:space="preserve">, </w:t>
      </w:r>
      <w:proofErr w:type="spellStart"/>
      <w:r w:rsidRPr="00F6730D">
        <w:rPr>
          <w:rFonts w:ascii="Times New Roman" w:hAnsi="Times New Roman"/>
          <w:sz w:val="24"/>
          <w:szCs w:val="24"/>
          <w:lang w:val="en-GB"/>
        </w:rPr>
        <w:t>Enoima</w:t>
      </w:r>
      <w:proofErr w:type="spellEnd"/>
      <w:r w:rsidRPr="00F6730D">
        <w:rPr>
          <w:rFonts w:ascii="Times New Roman" w:hAnsi="Times New Roman"/>
          <w:sz w:val="24"/>
          <w:szCs w:val="24"/>
          <w:lang w:val="en-GB"/>
        </w:rPr>
        <w:t xml:space="preserve">, </w:t>
      </w:r>
      <w:proofErr w:type="spellStart"/>
      <w:r w:rsidRPr="00F6730D">
        <w:rPr>
          <w:rFonts w:ascii="Times New Roman" w:hAnsi="Times New Roman"/>
          <w:sz w:val="24"/>
          <w:szCs w:val="24"/>
          <w:lang w:val="en-GB"/>
        </w:rPr>
        <w:t>Yetunde</w:t>
      </w:r>
      <w:proofErr w:type="spellEnd"/>
      <w:r w:rsidRPr="00F6730D">
        <w:rPr>
          <w:rFonts w:ascii="Times New Roman" w:hAnsi="Times New Roman"/>
          <w:sz w:val="24"/>
          <w:szCs w:val="24"/>
          <w:lang w:val="en-GB"/>
        </w:rPr>
        <w:t xml:space="preserve">, and </w:t>
      </w:r>
      <w:proofErr w:type="spellStart"/>
      <w:r w:rsidRPr="00F6730D">
        <w:rPr>
          <w:rFonts w:ascii="Times New Roman" w:hAnsi="Times New Roman"/>
          <w:sz w:val="24"/>
          <w:szCs w:val="24"/>
          <w:lang w:val="en-GB"/>
        </w:rPr>
        <w:t>Ibem</w:t>
      </w:r>
      <w:proofErr w:type="spellEnd"/>
      <w:r w:rsidRPr="00F6730D">
        <w:rPr>
          <w:rFonts w:ascii="Times New Roman" w:hAnsi="Times New Roman"/>
          <w:sz w:val="24"/>
          <w:szCs w:val="24"/>
          <w:lang w:val="en-GB"/>
        </w:rPr>
        <w:t xml:space="preserve"> (2025) examined the connection between green accounting practices and the market value of seven (7) Nigerian oil and gas companies. The gathered data was analysed by the Stata 19 program using panel data regression. The study's findings, green accounting, and the market value of Nigerian oil and gas companies that are listed have a favourable but statistically insignificant relationship. The data's descriptive analysis also revealed that, although all companies submitted the mandatory social and governance reports, not all of them included pertinent environmental information in their reports and statements that were made public.</w:t>
      </w:r>
    </w:p>
    <w:p w14:paraId="307EEE8C" w14:textId="77777777" w:rsidR="00F6730D" w:rsidRPr="00F6730D" w:rsidRDefault="00F6730D" w:rsidP="00F6730D">
      <w:pPr>
        <w:spacing w:after="0"/>
        <w:jc w:val="both"/>
        <w:rPr>
          <w:rFonts w:ascii="Times New Roman" w:hAnsi="Times New Roman"/>
          <w:sz w:val="24"/>
          <w:szCs w:val="24"/>
          <w:lang w:val="en-GB"/>
        </w:rPr>
      </w:pPr>
      <w:r w:rsidRPr="00F6730D">
        <w:rPr>
          <w:rFonts w:ascii="Times New Roman" w:hAnsi="Times New Roman"/>
          <w:sz w:val="24"/>
          <w:szCs w:val="24"/>
          <w:lang w:val="en-GB"/>
        </w:rPr>
        <w:t> </w:t>
      </w:r>
    </w:p>
    <w:p w14:paraId="10923C8A" w14:textId="77777777" w:rsidR="00F6730D" w:rsidRDefault="00F6730D" w:rsidP="00F6730D">
      <w:pPr>
        <w:spacing w:after="0"/>
        <w:jc w:val="both"/>
        <w:rPr>
          <w:rFonts w:ascii="Times New Roman" w:hAnsi="Times New Roman"/>
          <w:sz w:val="24"/>
          <w:szCs w:val="24"/>
          <w:lang w:val="en-GB"/>
        </w:rPr>
      </w:pPr>
      <w:r w:rsidRPr="00F6730D">
        <w:rPr>
          <w:rFonts w:ascii="Times New Roman" w:hAnsi="Times New Roman"/>
          <w:sz w:val="24"/>
          <w:szCs w:val="24"/>
          <w:lang w:val="en-GB"/>
        </w:rPr>
        <w:t xml:space="preserve">Li et al. (2024) applied content analysis and gave a comprehensive and systematic review of the literature. Based on the systematic approach, a sample of 165 studies was retrieved from Web of </w:t>
      </w:r>
      <w:r w:rsidRPr="00F6730D">
        <w:rPr>
          <w:rFonts w:ascii="Times New Roman" w:hAnsi="Times New Roman"/>
          <w:sz w:val="24"/>
          <w:szCs w:val="24"/>
          <w:lang w:val="en-GB"/>
        </w:rPr>
        <w:lastRenderedPageBreak/>
        <w:t>Science and assessed using an econometric model. Meanwhile, this study found that a new research field was the impact of ESG disclosure on the work of the analysts, audit fees, and earnings management. Finally, this study innovates new findings that institutional pressures may have an impact on the consequences of ESG disclosure.</w:t>
      </w:r>
    </w:p>
    <w:p w14:paraId="706641C5" w14:textId="77777777" w:rsidR="00B26DC8" w:rsidRPr="00F6730D" w:rsidRDefault="00B26DC8" w:rsidP="00F6730D">
      <w:pPr>
        <w:spacing w:after="0"/>
        <w:jc w:val="both"/>
        <w:rPr>
          <w:rFonts w:ascii="Times New Roman" w:hAnsi="Times New Roman"/>
          <w:sz w:val="24"/>
          <w:szCs w:val="24"/>
          <w:lang w:val="en-GB"/>
        </w:rPr>
      </w:pPr>
    </w:p>
    <w:p w14:paraId="5E2FA4A4" w14:textId="149BB14D" w:rsidR="00B26DC8" w:rsidRPr="00341A22" w:rsidRDefault="00B26DC8" w:rsidP="00B26DC8">
      <w:pPr>
        <w:spacing w:after="0"/>
        <w:jc w:val="both"/>
        <w:rPr>
          <w:rFonts w:ascii="Times New Roman" w:hAnsi="Times New Roman"/>
          <w:sz w:val="24"/>
          <w:szCs w:val="24"/>
        </w:rPr>
      </w:pPr>
      <w:r w:rsidRPr="00341A22">
        <w:rPr>
          <w:rFonts w:ascii="Times New Roman" w:hAnsi="Times New Roman"/>
          <w:sz w:val="24"/>
          <w:szCs w:val="24"/>
        </w:rPr>
        <w:t>Kapil and Shilpa (2024) examine the influence of aggregate and individual Environmental, Social, and Governance (ESG) disclosure scores on the performance of 95 financial and non-financial firms from 2020 to 2023. Utilizing panel data regression analysis, the study evaluates the relationship between ESG metrics and firm performance. The findings indicate that the overall ESG score, as well as the Environmental (ENV) and Social (SOC) disclosure scores</w:t>
      </w:r>
      <w:r w:rsidR="00482891">
        <w:rPr>
          <w:rFonts w:ascii="Times New Roman" w:hAnsi="Times New Roman"/>
          <w:sz w:val="24"/>
          <w:szCs w:val="24"/>
        </w:rPr>
        <w:t>, independently</w:t>
      </w:r>
      <w:r w:rsidRPr="00341A22">
        <w:rPr>
          <w:rFonts w:ascii="Times New Roman" w:hAnsi="Times New Roman"/>
          <w:sz w:val="24"/>
          <w:szCs w:val="24"/>
        </w:rPr>
        <w:t xml:space="preserve"> exert an insignificant impact on Return on Assets (ROA). Furthermore, the analysis reveals that the governance disclosure score has a negative, albeit statistically insignificant, effect on operational performance as measured by ROA. Conversely, regarding Return on Equity (ROE), the results demonstrate that individual Social (SOC) disclosure scores have a statistically significant positive effect on financial performance. In contrast, the individual environmental (ENV) and governance disclosure scores do not exert a significant negative impact on return on equity (ROE). Furthermore, the analysis indicates that the overall environmental, social, and governance (ESG) disclosure score has an insignificant positive effect on ROE. Regarding market-based performance, as measured by Tobin’s Q, the individual ENV disclosure score demonstrates a significant positive impact. Conversely, the individual social (SOC) and governance disclosure scores yield an insignificant positive effect on Tobin’s Q, while the overall ESG disclosure score reflects a significant positive impact on this metric. Finally, return on assets (ROA), ROE, and Tobin’s Q collectively demonstrate that firm size has a significant impact on overall firm performance.</w:t>
      </w:r>
    </w:p>
    <w:p w14:paraId="2A682D15" w14:textId="77777777" w:rsidR="00F6730D" w:rsidRPr="00F6730D" w:rsidRDefault="00F6730D" w:rsidP="00F6730D">
      <w:pPr>
        <w:spacing w:after="0"/>
        <w:jc w:val="both"/>
        <w:rPr>
          <w:rFonts w:ascii="Times New Roman" w:hAnsi="Times New Roman"/>
          <w:sz w:val="24"/>
          <w:szCs w:val="24"/>
          <w:lang w:val="en-GB"/>
        </w:rPr>
      </w:pPr>
      <w:r w:rsidRPr="00F6730D">
        <w:rPr>
          <w:rFonts w:ascii="Times New Roman" w:hAnsi="Times New Roman"/>
          <w:sz w:val="24"/>
          <w:szCs w:val="24"/>
          <w:lang w:val="en-GB"/>
        </w:rPr>
        <w:t> </w:t>
      </w:r>
    </w:p>
    <w:p w14:paraId="799652C5" w14:textId="77777777" w:rsidR="00F6730D" w:rsidRPr="00F6730D" w:rsidRDefault="00F6730D" w:rsidP="00F6730D">
      <w:pPr>
        <w:spacing w:after="0"/>
        <w:jc w:val="both"/>
        <w:rPr>
          <w:rFonts w:ascii="Times New Roman" w:hAnsi="Times New Roman"/>
          <w:sz w:val="24"/>
          <w:szCs w:val="24"/>
          <w:lang w:val="en-GB"/>
        </w:rPr>
      </w:pPr>
      <w:r w:rsidRPr="00F6730D">
        <w:rPr>
          <w:rFonts w:ascii="Times New Roman" w:hAnsi="Times New Roman"/>
          <w:sz w:val="24"/>
          <w:szCs w:val="24"/>
          <w:lang w:val="en-GB"/>
        </w:rPr>
        <w:t xml:space="preserve">An ex-post facto research approach was used in </w:t>
      </w:r>
      <w:proofErr w:type="spellStart"/>
      <w:r w:rsidRPr="00F6730D">
        <w:rPr>
          <w:rFonts w:ascii="Times New Roman" w:hAnsi="Times New Roman"/>
          <w:sz w:val="24"/>
          <w:szCs w:val="24"/>
          <w:lang w:val="en-GB"/>
        </w:rPr>
        <w:t>Akinleye</w:t>
      </w:r>
      <w:proofErr w:type="spellEnd"/>
      <w:r w:rsidRPr="00F6730D">
        <w:rPr>
          <w:rFonts w:ascii="Times New Roman" w:hAnsi="Times New Roman"/>
          <w:sz w:val="24"/>
          <w:szCs w:val="24"/>
          <w:lang w:val="en-GB"/>
        </w:rPr>
        <w:t xml:space="preserve"> and </w:t>
      </w:r>
      <w:proofErr w:type="spellStart"/>
      <w:r w:rsidRPr="00F6730D">
        <w:rPr>
          <w:rFonts w:ascii="Times New Roman" w:hAnsi="Times New Roman"/>
          <w:sz w:val="24"/>
          <w:szCs w:val="24"/>
          <w:lang w:val="en-GB"/>
        </w:rPr>
        <w:t>Owoniya's</w:t>
      </w:r>
      <w:proofErr w:type="spellEnd"/>
      <w:r w:rsidRPr="00F6730D">
        <w:rPr>
          <w:rFonts w:ascii="Times New Roman" w:hAnsi="Times New Roman"/>
          <w:sz w:val="24"/>
          <w:szCs w:val="24"/>
          <w:lang w:val="en-GB"/>
        </w:rPr>
        <w:t xml:space="preserve"> (2024) study to investigate the connection between sustainability reporting and financial performance for 153 publicly traded firms on the Nigerian Exchange Group (NGX) over the 2012–2021 period. Regression analysis was used in the study to find a statistically significant positive relationship between company performance and sustainability reporting.</w:t>
      </w:r>
    </w:p>
    <w:p w14:paraId="16F24F19" w14:textId="77777777" w:rsidR="00F6730D" w:rsidRPr="00F6730D" w:rsidRDefault="00F6730D" w:rsidP="00F6730D">
      <w:pPr>
        <w:spacing w:after="0"/>
        <w:jc w:val="both"/>
        <w:rPr>
          <w:rFonts w:ascii="Times New Roman" w:hAnsi="Times New Roman"/>
          <w:sz w:val="24"/>
          <w:szCs w:val="24"/>
          <w:lang w:val="en-GB"/>
        </w:rPr>
      </w:pPr>
      <w:r w:rsidRPr="00F6730D">
        <w:rPr>
          <w:rFonts w:ascii="Times New Roman" w:hAnsi="Times New Roman"/>
          <w:b/>
          <w:bCs/>
          <w:sz w:val="24"/>
          <w:szCs w:val="24"/>
          <w:lang w:val="en-GB"/>
        </w:rPr>
        <w:t> </w:t>
      </w:r>
    </w:p>
    <w:p w14:paraId="68D12B8D" w14:textId="77777777" w:rsidR="00F6730D" w:rsidRPr="00F6730D" w:rsidRDefault="00F6730D" w:rsidP="00F6730D">
      <w:pPr>
        <w:spacing w:after="0"/>
        <w:jc w:val="both"/>
        <w:rPr>
          <w:rFonts w:ascii="Times New Roman" w:hAnsi="Times New Roman"/>
          <w:sz w:val="24"/>
          <w:szCs w:val="24"/>
          <w:lang w:val="en-GB"/>
        </w:rPr>
      </w:pPr>
      <w:r w:rsidRPr="00F6730D">
        <w:rPr>
          <w:rFonts w:ascii="Times New Roman" w:hAnsi="Times New Roman"/>
          <w:sz w:val="24"/>
          <w:szCs w:val="24"/>
          <w:lang w:val="en-GB"/>
        </w:rPr>
        <w:t>Sunny and Apsara (2024) investigate sustainability reporting and financial performance in Bangladesh's 270 firms; the study employs pooled OLS regression. The findings reveal that economic and environmental sustainability reporting have significant positive relationships with both financial performance measures, while social sustainability reporting shows no significant impact. Environmental reporting emerges as the strongest predictor of financial performance, suggesting that environmental initiatives create value through multiple channels, including operational efficiency and market recognition.</w:t>
      </w:r>
    </w:p>
    <w:p w14:paraId="3B80A647" w14:textId="77777777" w:rsidR="00F6730D" w:rsidRPr="00F6730D" w:rsidRDefault="00F6730D" w:rsidP="00F6730D">
      <w:pPr>
        <w:spacing w:after="0"/>
        <w:jc w:val="both"/>
        <w:rPr>
          <w:rFonts w:ascii="Times New Roman" w:hAnsi="Times New Roman"/>
          <w:sz w:val="24"/>
          <w:szCs w:val="24"/>
          <w:lang w:val="en-GB"/>
        </w:rPr>
      </w:pPr>
      <w:r w:rsidRPr="00F6730D">
        <w:rPr>
          <w:rFonts w:ascii="Times New Roman" w:hAnsi="Times New Roman"/>
          <w:sz w:val="24"/>
          <w:szCs w:val="24"/>
          <w:lang w:val="en-GB"/>
        </w:rPr>
        <w:t> </w:t>
      </w:r>
    </w:p>
    <w:p w14:paraId="541D12D6" w14:textId="77777777" w:rsidR="006D7EDB" w:rsidRPr="006D7EDB" w:rsidRDefault="006D7EDB" w:rsidP="006D7EDB">
      <w:pPr>
        <w:spacing w:after="0"/>
        <w:jc w:val="both"/>
        <w:rPr>
          <w:rFonts w:ascii="Times New Roman" w:hAnsi="Times New Roman"/>
          <w:sz w:val="24"/>
          <w:szCs w:val="24"/>
          <w:lang w:val="en-GB"/>
        </w:rPr>
      </w:pPr>
      <w:r w:rsidRPr="006D7EDB">
        <w:rPr>
          <w:rFonts w:ascii="Times New Roman" w:hAnsi="Times New Roman"/>
          <w:sz w:val="24"/>
          <w:szCs w:val="24"/>
          <w:lang w:val="en-GB"/>
        </w:rPr>
        <w:lastRenderedPageBreak/>
        <w:t>Korolo &amp; Korolo (2023) assessed the financial performance of Nigerian deposit money banks on sustainability reporting between 2013 and 2022. The study adopted the panel least squares regression approach, which reported that environmental sustainability has a positive, negligible influence on performance, whereas reporting on economic sustainability has a negative effect. Reports on social sustainability, however, were shown to be statistically significant and detrimental. Based on the results, they suggest that enabling laws be established to require improved sustainability practices from all Nigerian deposit money banks.</w:t>
      </w:r>
    </w:p>
    <w:p w14:paraId="7A686B76" w14:textId="77777777" w:rsidR="006D7EDB" w:rsidRPr="006D7EDB" w:rsidRDefault="006D7EDB" w:rsidP="006D7EDB">
      <w:pPr>
        <w:spacing w:after="0"/>
        <w:jc w:val="both"/>
        <w:rPr>
          <w:rFonts w:ascii="Times New Roman" w:hAnsi="Times New Roman"/>
          <w:b/>
          <w:bCs/>
          <w:sz w:val="24"/>
          <w:szCs w:val="24"/>
        </w:rPr>
      </w:pPr>
    </w:p>
    <w:p w14:paraId="12EF9843" w14:textId="77777777" w:rsidR="006D7EDB" w:rsidRPr="006D7EDB" w:rsidRDefault="006D7EDB" w:rsidP="006D7EDB">
      <w:pPr>
        <w:spacing w:after="0"/>
        <w:jc w:val="both"/>
        <w:rPr>
          <w:rFonts w:ascii="Times New Roman" w:hAnsi="Times New Roman"/>
          <w:sz w:val="24"/>
          <w:szCs w:val="24"/>
          <w:lang w:val="en-GB"/>
        </w:rPr>
      </w:pPr>
      <w:r w:rsidRPr="006D7EDB">
        <w:rPr>
          <w:rFonts w:ascii="Times New Roman" w:hAnsi="Times New Roman"/>
          <w:sz w:val="24"/>
          <w:szCs w:val="24"/>
          <w:lang w:val="en-GB"/>
        </w:rPr>
        <w:t>Lucy, Ime, and Agnes (2023) use an ex post facto design with data collected from 2012 to 2021 to investigate the impact of sustainability reporting on the financial performance of listed oil and gas companies in Nigeria. The robust panel least squares regression was used to evaluate the data. According to the study, the return on capital utilized was significantly enhanced by social, health, safety, and environmental disclosures. The study recommended that the oil and gas business should establish a standardized sustainability index as a baseline to track compliance.</w:t>
      </w:r>
    </w:p>
    <w:p w14:paraId="52215E6A" w14:textId="77777777" w:rsidR="006D7EDB" w:rsidRDefault="006D7EDB" w:rsidP="006D7EDB">
      <w:pPr>
        <w:spacing w:after="0"/>
        <w:jc w:val="both"/>
        <w:rPr>
          <w:rFonts w:ascii="Times New Roman" w:hAnsi="Times New Roman"/>
          <w:sz w:val="24"/>
          <w:szCs w:val="24"/>
          <w:lang w:val="en-GB"/>
        </w:rPr>
      </w:pPr>
    </w:p>
    <w:p w14:paraId="0CB108B3" w14:textId="6A04B85B" w:rsidR="006D7EDB" w:rsidRPr="006D7EDB" w:rsidRDefault="006D7EDB" w:rsidP="006D7EDB">
      <w:pPr>
        <w:spacing w:after="0"/>
        <w:jc w:val="both"/>
        <w:rPr>
          <w:rFonts w:ascii="Times New Roman" w:hAnsi="Times New Roman"/>
          <w:sz w:val="24"/>
          <w:szCs w:val="24"/>
          <w:lang w:val="en-GB"/>
        </w:rPr>
      </w:pPr>
      <w:r w:rsidRPr="006D7EDB">
        <w:rPr>
          <w:rFonts w:ascii="Times New Roman" w:hAnsi="Times New Roman"/>
          <w:sz w:val="24"/>
          <w:szCs w:val="24"/>
          <w:lang w:val="en-GB"/>
        </w:rPr>
        <w:t>Shaban and Barakat (2023) examined the sustainability reporting and financial performance of 13 Jordanian commercial banks listed on the Amman Stock Exchange from 2012 to 2021. Multiple regression analysis was used, and the study found that sustainability reporting had a positive relationship with both LEV and ROA variables, but there is no statistically significant correlation between sustainability reporting (SR) and return on equity (ROE).</w:t>
      </w:r>
    </w:p>
    <w:p w14:paraId="56FE04A3" w14:textId="77777777" w:rsidR="006D7EDB" w:rsidRDefault="006D7EDB" w:rsidP="006D7EDB">
      <w:pPr>
        <w:spacing w:after="0"/>
        <w:jc w:val="both"/>
        <w:rPr>
          <w:rFonts w:ascii="Times New Roman" w:hAnsi="Times New Roman"/>
          <w:sz w:val="24"/>
          <w:szCs w:val="24"/>
          <w:lang w:val="en-GB"/>
        </w:rPr>
      </w:pPr>
    </w:p>
    <w:p w14:paraId="7EA78401" w14:textId="33ED9D1B" w:rsidR="006D7EDB" w:rsidRPr="006D7EDB" w:rsidRDefault="006D7EDB" w:rsidP="006D7EDB">
      <w:pPr>
        <w:spacing w:after="0"/>
        <w:jc w:val="both"/>
        <w:rPr>
          <w:rFonts w:ascii="Times New Roman" w:hAnsi="Times New Roman"/>
          <w:sz w:val="24"/>
          <w:szCs w:val="24"/>
          <w:lang w:val="en-GB"/>
        </w:rPr>
      </w:pPr>
      <w:r w:rsidRPr="006D7EDB">
        <w:rPr>
          <w:rFonts w:ascii="Times New Roman" w:hAnsi="Times New Roman"/>
          <w:sz w:val="24"/>
          <w:szCs w:val="24"/>
          <w:lang w:val="en-GB"/>
        </w:rPr>
        <w:t xml:space="preserve">Using panel regression analysis, </w:t>
      </w:r>
      <w:proofErr w:type="spellStart"/>
      <w:r w:rsidRPr="006D7EDB">
        <w:rPr>
          <w:rFonts w:ascii="Times New Roman" w:hAnsi="Times New Roman"/>
          <w:sz w:val="24"/>
          <w:szCs w:val="24"/>
          <w:lang w:val="en-GB"/>
        </w:rPr>
        <w:t>Tomomewo</w:t>
      </w:r>
      <w:proofErr w:type="spellEnd"/>
      <w:r w:rsidRPr="006D7EDB">
        <w:rPr>
          <w:rFonts w:ascii="Times New Roman" w:hAnsi="Times New Roman"/>
          <w:sz w:val="24"/>
          <w:szCs w:val="24"/>
          <w:lang w:val="en-GB"/>
        </w:rPr>
        <w:t xml:space="preserve">, </w:t>
      </w:r>
      <w:proofErr w:type="spellStart"/>
      <w:r w:rsidRPr="006D7EDB">
        <w:rPr>
          <w:rFonts w:ascii="Times New Roman" w:hAnsi="Times New Roman"/>
          <w:sz w:val="24"/>
          <w:szCs w:val="24"/>
          <w:lang w:val="en-GB"/>
        </w:rPr>
        <w:t>Rojugbokan</w:t>
      </w:r>
      <w:proofErr w:type="spellEnd"/>
      <w:r w:rsidRPr="006D7EDB">
        <w:rPr>
          <w:rFonts w:ascii="Times New Roman" w:hAnsi="Times New Roman"/>
          <w:sz w:val="24"/>
          <w:szCs w:val="24"/>
          <w:lang w:val="en-GB"/>
        </w:rPr>
        <w:t xml:space="preserve">, </w:t>
      </w:r>
      <w:proofErr w:type="spellStart"/>
      <w:r w:rsidRPr="006D7EDB">
        <w:rPr>
          <w:rFonts w:ascii="Times New Roman" w:hAnsi="Times New Roman"/>
          <w:sz w:val="24"/>
          <w:szCs w:val="24"/>
          <w:lang w:val="en-GB"/>
        </w:rPr>
        <w:t>Adegbie</w:t>
      </w:r>
      <w:proofErr w:type="spellEnd"/>
      <w:r w:rsidRPr="006D7EDB">
        <w:rPr>
          <w:rFonts w:ascii="Times New Roman" w:hAnsi="Times New Roman"/>
          <w:sz w:val="24"/>
          <w:szCs w:val="24"/>
          <w:lang w:val="en-GB"/>
        </w:rPr>
        <w:t>, and Ajibade (2022) examine the effects of sustainability disclosures on the financial performance of 11 listed DMBs over ten years (2009-2018). It was found that Nigerian deposit money banks' dividend per share and profit before taxes were positively and significantly impacted by LNSIZE</w:t>
      </w:r>
      <w:r w:rsidR="00482891">
        <w:rPr>
          <w:rFonts w:ascii="Times New Roman" w:hAnsi="Times New Roman"/>
          <w:sz w:val="24"/>
          <w:szCs w:val="24"/>
          <w:lang w:val="en-GB"/>
        </w:rPr>
        <w:t>,</w:t>
      </w:r>
      <w:r w:rsidRPr="006D7EDB">
        <w:rPr>
          <w:rFonts w:ascii="Times New Roman" w:hAnsi="Times New Roman"/>
          <w:sz w:val="24"/>
          <w:szCs w:val="24"/>
          <w:lang w:val="en-GB"/>
        </w:rPr>
        <w:t xml:space="preserve"> and that DMBs in Nigeria did not view sustainability reporting as a crucial part of annual financial statements. They believed that governance reporting was found to have a discernible impact on DMBs' financial success, as shown by dividends per share.</w:t>
      </w:r>
    </w:p>
    <w:p w14:paraId="7B80176A" w14:textId="77777777" w:rsidR="006D7EDB" w:rsidRPr="006D7EDB" w:rsidRDefault="006D7EDB" w:rsidP="006D7EDB">
      <w:pPr>
        <w:spacing w:after="0"/>
        <w:jc w:val="both"/>
        <w:rPr>
          <w:rFonts w:ascii="Times New Roman" w:hAnsi="Times New Roman"/>
          <w:sz w:val="24"/>
          <w:szCs w:val="24"/>
        </w:rPr>
      </w:pPr>
    </w:p>
    <w:p w14:paraId="4DE5B936"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In 2021, Umar, Mustapha, and Yahaya studied twenty-six (26) consumer companies for a period of ten years (10), utilising the multiple regression technique and the diagnostic checks and post-estimation test. The results show that social and environmental reporting has a significant positive effect on financial performance. The researchers recommend that management of firms should voluntarily report their social and environmental performances.</w:t>
      </w:r>
    </w:p>
    <w:p w14:paraId="00FF233D"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 xml:space="preserve">The impact of sustainability reporting on the financial performance of publicly traded Nigerian oil and gas companies is examined by Yazid, Ahmed, Samuel, Nasiru, and Umar (2021). The results of the regression showed that while environmental sustainability has a significant and positive impact on ROA, economic and social sustainability have a positive but insignificant influence. Therefore, this study suggests, among other things, that the listed Nigerian oil and gas companies </w:t>
      </w:r>
      <w:r w:rsidRPr="00F6730D">
        <w:rPr>
          <w:rFonts w:ascii="Times New Roman" w:eastAsia="Times New Roman" w:hAnsi="Times New Roman"/>
          <w:sz w:val="24"/>
          <w:szCs w:val="24"/>
          <w:lang w:val="en-GB"/>
        </w:rPr>
        <w:lastRenderedPageBreak/>
        <w:t>should focus more on disclosing their sustainability initiatives since it can enhance their financial results.</w:t>
      </w:r>
    </w:p>
    <w:p w14:paraId="56F78DBC"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 xml:space="preserve">In 2021, </w:t>
      </w:r>
      <w:proofErr w:type="spellStart"/>
      <w:r w:rsidRPr="00F6730D">
        <w:rPr>
          <w:rFonts w:ascii="Times New Roman" w:eastAsia="Times New Roman" w:hAnsi="Times New Roman"/>
          <w:sz w:val="24"/>
          <w:szCs w:val="24"/>
          <w:lang w:val="en-GB"/>
        </w:rPr>
        <w:t>Atanda</w:t>
      </w:r>
      <w:proofErr w:type="spellEnd"/>
      <w:r w:rsidRPr="00F6730D">
        <w:rPr>
          <w:rFonts w:ascii="Times New Roman" w:eastAsia="Times New Roman" w:hAnsi="Times New Roman"/>
          <w:sz w:val="24"/>
          <w:szCs w:val="24"/>
          <w:lang w:val="en-GB"/>
        </w:rPr>
        <w:t xml:space="preserve">, </w:t>
      </w:r>
      <w:proofErr w:type="spellStart"/>
      <w:r w:rsidRPr="00F6730D">
        <w:rPr>
          <w:rFonts w:ascii="Times New Roman" w:eastAsia="Times New Roman" w:hAnsi="Times New Roman"/>
          <w:sz w:val="24"/>
          <w:szCs w:val="24"/>
          <w:lang w:val="en-GB"/>
        </w:rPr>
        <w:t>Osemene</w:t>
      </w:r>
      <w:proofErr w:type="spellEnd"/>
      <w:r w:rsidRPr="00F6730D">
        <w:rPr>
          <w:rFonts w:ascii="Times New Roman" w:eastAsia="Times New Roman" w:hAnsi="Times New Roman"/>
          <w:sz w:val="24"/>
          <w:szCs w:val="24"/>
          <w:lang w:val="en-GB"/>
        </w:rPr>
        <w:t xml:space="preserve">, and </w:t>
      </w:r>
      <w:proofErr w:type="spellStart"/>
      <w:r w:rsidRPr="00F6730D">
        <w:rPr>
          <w:rFonts w:ascii="Times New Roman" w:eastAsia="Times New Roman" w:hAnsi="Times New Roman"/>
          <w:sz w:val="24"/>
          <w:szCs w:val="24"/>
          <w:lang w:val="en-GB"/>
        </w:rPr>
        <w:t>Ogundana</w:t>
      </w:r>
      <w:proofErr w:type="spellEnd"/>
      <w:r w:rsidRPr="00F6730D">
        <w:rPr>
          <w:rFonts w:ascii="Times New Roman" w:eastAsia="Times New Roman" w:hAnsi="Times New Roman"/>
          <w:sz w:val="24"/>
          <w:szCs w:val="24"/>
          <w:lang w:val="en-GB"/>
        </w:rPr>
        <w:t xml:space="preserve"> focused on deposit money banks that spanned from 2014 to 2018 and utilised the ordinary least squares fixed effects. From the statistical output, it was found that sustainability reporting indexes do not influence the firm value of DMBs in Nigeria.</w:t>
      </w:r>
    </w:p>
    <w:p w14:paraId="72055670"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Mohammad, Alaa, Ayman, and Mohammad (2020) assessed the business performance and sustainability reporting of 1,705 Jordanian companies that were registered on the Amman Stock Exchange. using robust standard errors in fixed-effect regression. The findings indicate positive social and governance disclosures relate to financial success but not to environmental disclosures. Interestingly, there is a strong and positive correlation between sustainability disclosures when they are examined as a whole.</w:t>
      </w:r>
    </w:p>
    <w:p w14:paraId="51D1F6A1"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Ofoegbu and Asogwa (2020) focused on gathering data from fifteen (15) consumer goods companies covering 2009 to 2018 in Nigeria, utilising SPSS. The statistical output revealed that economic and social reporting has a positive and insignificant effect on both earnings and return on equity.</w:t>
      </w:r>
    </w:p>
    <w:p w14:paraId="7EEF66B6" w14:textId="77777777" w:rsidR="00F6730D" w:rsidRPr="00F6730D" w:rsidRDefault="00F6730D" w:rsidP="00F6730D">
      <w:pPr>
        <w:spacing w:after="0"/>
        <w:jc w:val="both"/>
        <w:rPr>
          <w:rFonts w:ascii="Times New Roman" w:eastAsia="Times New Roman" w:hAnsi="Times New Roman"/>
          <w:sz w:val="24"/>
          <w:szCs w:val="24"/>
          <w:lang w:val="en-GB"/>
        </w:rPr>
      </w:pPr>
      <w:r w:rsidRPr="00F6730D">
        <w:rPr>
          <w:rFonts w:ascii="Times New Roman" w:eastAsia="Times New Roman" w:hAnsi="Times New Roman"/>
          <w:sz w:val="24"/>
          <w:szCs w:val="24"/>
          <w:lang w:val="en-GB"/>
        </w:rPr>
        <w:t xml:space="preserve">Using a content analysis technique, Herbert, </w:t>
      </w:r>
      <w:proofErr w:type="spellStart"/>
      <w:r w:rsidRPr="00F6730D">
        <w:rPr>
          <w:rFonts w:ascii="Times New Roman" w:eastAsia="Times New Roman" w:hAnsi="Times New Roman"/>
          <w:sz w:val="24"/>
          <w:szCs w:val="24"/>
          <w:lang w:val="en-GB"/>
        </w:rPr>
        <w:t>Nwaorgu</w:t>
      </w:r>
      <w:proofErr w:type="spellEnd"/>
      <w:r w:rsidRPr="00F6730D">
        <w:rPr>
          <w:rFonts w:ascii="Times New Roman" w:eastAsia="Times New Roman" w:hAnsi="Times New Roman"/>
          <w:sz w:val="24"/>
          <w:szCs w:val="24"/>
          <w:lang w:val="en-GB"/>
        </w:rPr>
        <w:t xml:space="preserve">, </w:t>
      </w:r>
      <w:proofErr w:type="spellStart"/>
      <w:r w:rsidRPr="00F6730D">
        <w:rPr>
          <w:rFonts w:ascii="Times New Roman" w:eastAsia="Times New Roman" w:hAnsi="Times New Roman"/>
          <w:sz w:val="24"/>
          <w:szCs w:val="24"/>
          <w:lang w:val="en-GB"/>
        </w:rPr>
        <w:t>Onyilo</w:t>
      </w:r>
      <w:proofErr w:type="spellEnd"/>
      <w:r w:rsidRPr="00F6730D">
        <w:rPr>
          <w:rFonts w:ascii="Times New Roman" w:eastAsia="Times New Roman" w:hAnsi="Times New Roman"/>
          <w:sz w:val="24"/>
          <w:szCs w:val="24"/>
          <w:lang w:val="en-GB"/>
        </w:rPr>
        <w:t xml:space="preserve">, and </w:t>
      </w:r>
      <w:proofErr w:type="spellStart"/>
      <w:r w:rsidRPr="00F6730D">
        <w:rPr>
          <w:rFonts w:ascii="Times New Roman" w:eastAsia="Times New Roman" w:hAnsi="Times New Roman"/>
          <w:sz w:val="24"/>
          <w:szCs w:val="24"/>
          <w:lang w:val="en-GB"/>
        </w:rPr>
        <w:t>Iormbagah</w:t>
      </w:r>
      <w:proofErr w:type="spellEnd"/>
      <w:r w:rsidRPr="00F6730D">
        <w:rPr>
          <w:rFonts w:ascii="Times New Roman" w:eastAsia="Times New Roman" w:hAnsi="Times New Roman"/>
          <w:sz w:val="24"/>
          <w:szCs w:val="24"/>
          <w:lang w:val="en-GB"/>
        </w:rPr>
        <w:t xml:space="preserve"> (2020) investigated the sustainability reporting and performance of Nigerian listed upstream oil and gas companies during 2018. The information was taken from the oil and gas companies' annual reports. The quantitative methods were used to regress the data obtained. Their research showed that oil and gas companies fail to disclose their sustainability economic performance, particularly the financial consequences and other climate-related risks.</w:t>
      </w:r>
    </w:p>
    <w:p w14:paraId="5D3EF795" w14:textId="77777777" w:rsidR="005C5074" w:rsidRPr="0097767C" w:rsidRDefault="005C5074" w:rsidP="0097767C">
      <w:pPr>
        <w:spacing w:after="0"/>
        <w:jc w:val="both"/>
        <w:rPr>
          <w:rFonts w:ascii="Times New Roman" w:hAnsi="Times New Roman"/>
          <w:b/>
          <w:sz w:val="24"/>
          <w:szCs w:val="24"/>
        </w:rPr>
      </w:pPr>
    </w:p>
    <w:p w14:paraId="6D59D666" w14:textId="5A9D3203" w:rsidR="00723533" w:rsidRPr="0097767C" w:rsidRDefault="00723533" w:rsidP="0097767C">
      <w:pPr>
        <w:spacing w:after="0"/>
        <w:jc w:val="both"/>
        <w:rPr>
          <w:rFonts w:ascii="Times New Roman" w:hAnsi="Times New Roman"/>
          <w:b/>
          <w:sz w:val="24"/>
          <w:szCs w:val="24"/>
        </w:rPr>
      </w:pPr>
      <w:r w:rsidRPr="0097767C">
        <w:rPr>
          <w:rFonts w:ascii="Times New Roman" w:hAnsi="Times New Roman"/>
          <w:b/>
          <w:sz w:val="24"/>
          <w:szCs w:val="24"/>
        </w:rPr>
        <w:t>3.0</w:t>
      </w:r>
      <w:r w:rsidRPr="0097767C">
        <w:rPr>
          <w:rFonts w:ascii="Times New Roman" w:hAnsi="Times New Roman"/>
          <w:b/>
          <w:sz w:val="24"/>
          <w:szCs w:val="24"/>
        </w:rPr>
        <w:tab/>
        <w:t>Methodology</w:t>
      </w:r>
    </w:p>
    <w:p w14:paraId="54152596" w14:textId="3DB0EF3F" w:rsidR="00F6730D" w:rsidRPr="00F6730D" w:rsidRDefault="00F6730D" w:rsidP="00F6730D">
      <w:pPr>
        <w:pStyle w:val="NoSpacing"/>
        <w:spacing w:line="276" w:lineRule="auto"/>
        <w:jc w:val="both"/>
        <w:rPr>
          <w:rFonts w:ascii="Times New Roman" w:hAnsi="Times New Roman"/>
          <w:sz w:val="24"/>
          <w:szCs w:val="24"/>
          <w:lang w:val="en-GB"/>
        </w:rPr>
      </w:pPr>
      <w:r w:rsidRPr="00F6730D">
        <w:rPr>
          <w:rFonts w:ascii="Times New Roman" w:hAnsi="Times New Roman"/>
          <w:sz w:val="24"/>
          <w:szCs w:val="24"/>
          <w:lang w:val="en-GB"/>
        </w:rPr>
        <w:t xml:space="preserve">The study adopted the ex-post facto research design. The study used secondary data from the sampled companies covering a period of 6 years (2019 to 2023). The top eight environmentally sensitive firms are </w:t>
      </w:r>
      <w:proofErr w:type="spellStart"/>
      <w:r w:rsidRPr="00F6730D">
        <w:rPr>
          <w:rFonts w:ascii="Times New Roman" w:hAnsi="Times New Roman"/>
          <w:sz w:val="24"/>
          <w:szCs w:val="24"/>
          <w:lang w:val="en-GB"/>
        </w:rPr>
        <w:t>Seplat</w:t>
      </w:r>
      <w:proofErr w:type="spellEnd"/>
      <w:r w:rsidRPr="00F6730D">
        <w:rPr>
          <w:rFonts w:ascii="Times New Roman" w:hAnsi="Times New Roman"/>
          <w:sz w:val="24"/>
          <w:szCs w:val="24"/>
          <w:lang w:val="en-GB"/>
        </w:rPr>
        <w:t xml:space="preserve"> Energy, </w:t>
      </w:r>
      <w:proofErr w:type="spellStart"/>
      <w:r w:rsidRPr="00F6730D">
        <w:rPr>
          <w:rFonts w:ascii="Times New Roman" w:hAnsi="Times New Roman"/>
          <w:sz w:val="24"/>
          <w:szCs w:val="24"/>
          <w:lang w:val="en-GB"/>
        </w:rPr>
        <w:t>Oando</w:t>
      </w:r>
      <w:proofErr w:type="spellEnd"/>
      <w:r w:rsidRPr="00F6730D">
        <w:rPr>
          <w:rFonts w:ascii="Times New Roman" w:hAnsi="Times New Roman"/>
          <w:sz w:val="24"/>
          <w:szCs w:val="24"/>
          <w:lang w:val="en-GB"/>
        </w:rPr>
        <w:t xml:space="preserve"> Plc, </w:t>
      </w:r>
      <w:proofErr w:type="spellStart"/>
      <w:r w:rsidRPr="00F6730D">
        <w:rPr>
          <w:rFonts w:ascii="Times New Roman" w:hAnsi="Times New Roman"/>
          <w:sz w:val="24"/>
          <w:szCs w:val="24"/>
          <w:lang w:val="en-GB"/>
        </w:rPr>
        <w:t>Ardova</w:t>
      </w:r>
      <w:proofErr w:type="spellEnd"/>
      <w:r w:rsidRPr="00F6730D">
        <w:rPr>
          <w:rFonts w:ascii="Times New Roman" w:hAnsi="Times New Roman"/>
          <w:sz w:val="24"/>
          <w:szCs w:val="24"/>
          <w:lang w:val="en-GB"/>
        </w:rPr>
        <w:t xml:space="preserve"> Plc, </w:t>
      </w:r>
      <w:proofErr w:type="spellStart"/>
      <w:r w:rsidRPr="00F6730D">
        <w:rPr>
          <w:rFonts w:ascii="Times New Roman" w:hAnsi="Times New Roman"/>
          <w:sz w:val="24"/>
          <w:szCs w:val="24"/>
          <w:lang w:val="en-GB"/>
        </w:rPr>
        <w:t>Conoil</w:t>
      </w:r>
      <w:proofErr w:type="spellEnd"/>
      <w:r w:rsidRPr="00F6730D">
        <w:rPr>
          <w:rFonts w:ascii="Times New Roman" w:hAnsi="Times New Roman"/>
          <w:sz w:val="24"/>
          <w:szCs w:val="24"/>
          <w:lang w:val="en-GB"/>
        </w:rPr>
        <w:t>, Dangote Cement, BUA Cement Plc, Lafarge Africa, and Chemical and Allied Products Plc. The content analysis of annual and sustainability reports was extracted on environmental, social, and governance issues. The binary scoring approach was adopted</w:t>
      </w:r>
      <w:r w:rsidR="00482891">
        <w:rPr>
          <w:rFonts w:ascii="Times New Roman" w:hAnsi="Times New Roman"/>
          <w:sz w:val="24"/>
          <w:szCs w:val="24"/>
          <w:lang w:val="en-GB"/>
        </w:rPr>
        <w:t>,</w:t>
      </w:r>
      <w:r w:rsidRPr="00F6730D">
        <w:rPr>
          <w:rFonts w:ascii="Times New Roman" w:hAnsi="Times New Roman"/>
          <w:sz w:val="24"/>
          <w:szCs w:val="24"/>
          <w:lang w:val="en-GB"/>
        </w:rPr>
        <w:t xml:space="preserve"> whereby a score of one (1) was assigned when a disclosure item was reported in the financial statement and zero (0) otherwise. The aggregate score for each dimension was converted into a disclosure index.</w:t>
      </w:r>
    </w:p>
    <w:p w14:paraId="4A4FE061" w14:textId="77777777" w:rsidR="00F6730D" w:rsidRPr="00F6730D" w:rsidRDefault="00F6730D" w:rsidP="00F6730D">
      <w:pPr>
        <w:pStyle w:val="NoSpacing"/>
        <w:spacing w:line="276" w:lineRule="auto"/>
        <w:jc w:val="both"/>
        <w:rPr>
          <w:rFonts w:ascii="Times New Roman" w:hAnsi="Times New Roman"/>
          <w:sz w:val="24"/>
          <w:szCs w:val="24"/>
          <w:lang w:val="en-GB"/>
        </w:rPr>
      </w:pPr>
      <w:r w:rsidRPr="00F6730D">
        <w:rPr>
          <w:rFonts w:ascii="Times New Roman" w:hAnsi="Times New Roman"/>
          <w:sz w:val="24"/>
          <w:szCs w:val="24"/>
          <w:lang w:val="en-GB"/>
        </w:rPr>
        <w:t> </w:t>
      </w:r>
    </w:p>
    <w:p w14:paraId="2DFB7E34" w14:textId="54763826" w:rsidR="00E80AFB" w:rsidRPr="0097767C" w:rsidRDefault="00E80AFB" w:rsidP="0097767C">
      <w:pPr>
        <w:pStyle w:val="NoSpacing"/>
        <w:spacing w:line="276" w:lineRule="auto"/>
        <w:jc w:val="both"/>
        <w:rPr>
          <w:rFonts w:ascii="Times New Roman" w:hAnsi="Times New Roman"/>
          <w:b/>
          <w:sz w:val="24"/>
          <w:szCs w:val="24"/>
        </w:rPr>
      </w:pPr>
      <w:r w:rsidRPr="0097767C">
        <w:rPr>
          <w:rFonts w:ascii="Times New Roman" w:hAnsi="Times New Roman"/>
          <w:b/>
          <w:sz w:val="24"/>
          <w:szCs w:val="24"/>
        </w:rPr>
        <w:t>Measurement of Variables</w:t>
      </w:r>
    </w:p>
    <w:p w14:paraId="38017ACC" w14:textId="77777777" w:rsidR="0002157D" w:rsidRPr="0002157D" w:rsidRDefault="0002157D" w:rsidP="0002157D">
      <w:pPr>
        <w:jc w:val="both"/>
        <w:rPr>
          <w:rFonts w:ascii="Times New Roman" w:hAnsi="Times New Roman"/>
          <w:sz w:val="24"/>
          <w:szCs w:val="24"/>
        </w:rPr>
      </w:pPr>
      <w:r w:rsidRPr="0002157D">
        <w:rPr>
          <w:rFonts w:ascii="Times New Roman" w:hAnsi="Times New Roman"/>
          <w:sz w:val="24"/>
          <w:szCs w:val="24"/>
        </w:rPr>
        <w:t>ESG Disclosure Scores (Researcher Content Analysis)</w:t>
      </w:r>
      <w:r w:rsidRPr="0002157D">
        <w:rPr>
          <w:rFonts w:ascii="Times New Roman" w:hAnsi="Times New Roman"/>
        </w:rPr>
        <w:t xml:space="preserve">. </w:t>
      </w:r>
      <w:r w:rsidRPr="0002157D">
        <w:rPr>
          <w:rFonts w:ascii="Times New Roman" w:hAnsi="Times New Roman"/>
          <w:sz w:val="24"/>
          <w:szCs w:val="24"/>
        </w:rPr>
        <w:t>Using the same 10-point disclosure index</w:t>
      </w:r>
    </w:p>
    <w:p w14:paraId="2BD0BD33" w14:textId="139D9380" w:rsidR="0002157D" w:rsidRPr="00A64C2D" w:rsidRDefault="0002157D" w:rsidP="0002157D">
      <w:pPr>
        <w:rPr>
          <w:rFonts w:ascii="Times New Roman" w:hAnsi="Times New Roman"/>
          <w:b/>
          <w:bCs/>
          <w:sz w:val="24"/>
          <w:szCs w:val="24"/>
        </w:rPr>
      </w:pPr>
      <w:r w:rsidRPr="00A64C2D">
        <w:rPr>
          <w:rFonts w:ascii="Times New Roman" w:hAnsi="Times New Roman"/>
          <w:b/>
          <w:bCs/>
          <w:sz w:val="24"/>
          <w:szCs w:val="24"/>
        </w:rPr>
        <w:t>Environmental Reporting (E</w:t>
      </w:r>
      <w:r>
        <w:rPr>
          <w:rFonts w:ascii="Times New Roman" w:hAnsi="Times New Roman"/>
          <w:b/>
          <w:bCs/>
          <w:sz w:val="24"/>
          <w:szCs w:val="24"/>
        </w:rPr>
        <w:t>NV</w:t>
      </w:r>
      <w:r w:rsidR="00BE39DA">
        <w:rPr>
          <w:rFonts w:ascii="Times New Roman" w:hAnsi="Times New Roman"/>
          <w:b/>
          <w:bCs/>
          <w:sz w:val="24"/>
          <w:szCs w:val="24"/>
        </w:rPr>
        <w:t>R</w:t>
      </w:r>
      <w:r w:rsidRPr="00A64C2D">
        <w:rPr>
          <w:rFonts w:ascii="Times New Roman" w:hAnsi="Times New Roman"/>
          <w:b/>
          <w:bCs/>
          <w:sz w:val="24"/>
          <w:szCs w:val="24"/>
        </w:rPr>
        <w:t>)</w:t>
      </w:r>
    </w:p>
    <w:p w14:paraId="0182F4C4" w14:textId="77777777" w:rsidR="0002157D" w:rsidRPr="00576883" w:rsidRDefault="0002157D" w:rsidP="00576883">
      <w:pPr>
        <w:numPr>
          <w:ilvl w:val="0"/>
          <w:numId w:val="13"/>
        </w:numPr>
        <w:spacing w:after="0" w:line="278" w:lineRule="auto"/>
        <w:jc w:val="both"/>
        <w:rPr>
          <w:rFonts w:ascii="Times New Roman" w:hAnsi="Times New Roman"/>
          <w:sz w:val="24"/>
          <w:szCs w:val="24"/>
        </w:rPr>
      </w:pPr>
      <w:r w:rsidRPr="00576883">
        <w:rPr>
          <w:rFonts w:ascii="Times New Roman" w:hAnsi="Times New Roman"/>
          <w:sz w:val="24"/>
          <w:szCs w:val="24"/>
        </w:rPr>
        <w:t xml:space="preserve">Emissions reporting </w:t>
      </w:r>
    </w:p>
    <w:p w14:paraId="17F4A753" w14:textId="77777777" w:rsidR="0002157D" w:rsidRPr="00576883" w:rsidRDefault="0002157D" w:rsidP="00576883">
      <w:pPr>
        <w:numPr>
          <w:ilvl w:val="0"/>
          <w:numId w:val="13"/>
        </w:numPr>
        <w:spacing w:after="0" w:line="278" w:lineRule="auto"/>
        <w:jc w:val="both"/>
        <w:rPr>
          <w:rFonts w:ascii="Times New Roman" w:hAnsi="Times New Roman"/>
          <w:sz w:val="24"/>
          <w:szCs w:val="24"/>
        </w:rPr>
      </w:pPr>
      <w:r w:rsidRPr="00576883">
        <w:rPr>
          <w:rFonts w:ascii="Times New Roman" w:hAnsi="Times New Roman"/>
          <w:sz w:val="24"/>
          <w:szCs w:val="24"/>
        </w:rPr>
        <w:t xml:space="preserve">Environmental management </w:t>
      </w:r>
    </w:p>
    <w:p w14:paraId="1FC3D465" w14:textId="77777777" w:rsidR="0002157D" w:rsidRPr="00576883" w:rsidRDefault="0002157D" w:rsidP="00576883">
      <w:pPr>
        <w:numPr>
          <w:ilvl w:val="0"/>
          <w:numId w:val="13"/>
        </w:numPr>
        <w:spacing w:after="0" w:line="278" w:lineRule="auto"/>
        <w:jc w:val="both"/>
        <w:rPr>
          <w:rFonts w:ascii="Times New Roman" w:hAnsi="Times New Roman"/>
          <w:sz w:val="24"/>
          <w:szCs w:val="24"/>
        </w:rPr>
      </w:pPr>
      <w:r w:rsidRPr="00576883">
        <w:rPr>
          <w:rFonts w:ascii="Times New Roman" w:hAnsi="Times New Roman"/>
          <w:sz w:val="24"/>
          <w:szCs w:val="24"/>
        </w:rPr>
        <w:t xml:space="preserve">Gas-flaring reduction </w:t>
      </w:r>
    </w:p>
    <w:p w14:paraId="36B7E4B7" w14:textId="77777777" w:rsidR="0002157D" w:rsidRPr="00576883" w:rsidRDefault="0002157D" w:rsidP="00576883">
      <w:pPr>
        <w:numPr>
          <w:ilvl w:val="0"/>
          <w:numId w:val="13"/>
        </w:numPr>
        <w:spacing w:after="0" w:line="278" w:lineRule="auto"/>
        <w:jc w:val="both"/>
        <w:rPr>
          <w:rFonts w:ascii="Times New Roman" w:hAnsi="Times New Roman"/>
          <w:sz w:val="24"/>
          <w:szCs w:val="24"/>
        </w:rPr>
      </w:pPr>
      <w:r w:rsidRPr="00576883">
        <w:rPr>
          <w:rFonts w:ascii="Times New Roman" w:hAnsi="Times New Roman"/>
          <w:sz w:val="24"/>
          <w:szCs w:val="24"/>
        </w:rPr>
        <w:t xml:space="preserve">Climate initiatives </w:t>
      </w:r>
    </w:p>
    <w:p w14:paraId="47CE0B1C" w14:textId="77777777" w:rsidR="0002157D" w:rsidRPr="00576883" w:rsidRDefault="0002157D" w:rsidP="00576883">
      <w:pPr>
        <w:numPr>
          <w:ilvl w:val="0"/>
          <w:numId w:val="13"/>
        </w:numPr>
        <w:spacing w:after="0" w:line="278" w:lineRule="auto"/>
        <w:jc w:val="both"/>
        <w:rPr>
          <w:rFonts w:ascii="Times New Roman" w:hAnsi="Times New Roman"/>
          <w:sz w:val="24"/>
          <w:szCs w:val="24"/>
        </w:rPr>
      </w:pPr>
      <w:r w:rsidRPr="00576883">
        <w:rPr>
          <w:rFonts w:ascii="Times New Roman" w:hAnsi="Times New Roman"/>
          <w:sz w:val="24"/>
          <w:szCs w:val="24"/>
        </w:rPr>
        <w:lastRenderedPageBreak/>
        <w:t xml:space="preserve">Energy efficiency </w:t>
      </w:r>
    </w:p>
    <w:p w14:paraId="468D07B7" w14:textId="77777777" w:rsidR="0002157D" w:rsidRPr="00576883" w:rsidRDefault="0002157D" w:rsidP="00576883">
      <w:pPr>
        <w:numPr>
          <w:ilvl w:val="0"/>
          <w:numId w:val="13"/>
        </w:numPr>
        <w:spacing w:after="0" w:line="278" w:lineRule="auto"/>
        <w:jc w:val="both"/>
        <w:rPr>
          <w:rFonts w:ascii="Times New Roman" w:hAnsi="Times New Roman"/>
          <w:sz w:val="24"/>
          <w:szCs w:val="24"/>
        </w:rPr>
      </w:pPr>
      <w:r w:rsidRPr="00576883">
        <w:rPr>
          <w:rFonts w:ascii="Times New Roman" w:hAnsi="Times New Roman"/>
          <w:sz w:val="24"/>
          <w:szCs w:val="24"/>
        </w:rPr>
        <w:t xml:space="preserve">Biodiversity </w:t>
      </w:r>
    </w:p>
    <w:p w14:paraId="2B6DC974" w14:textId="77777777" w:rsidR="0002157D" w:rsidRPr="00576883" w:rsidRDefault="0002157D" w:rsidP="00576883">
      <w:pPr>
        <w:numPr>
          <w:ilvl w:val="0"/>
          <w:numId w:val="13"/>
        </w:numPr>
        <w:spacing w:after="0" w:line="278" w:lineRule="auto"/>
        <w:jc w:val="both"/>
        <w:rPr>
          <w:rFonts w:ascii="Times New Roman" w:hAnsi="Times New Roman"/>
          <w:sz w:val="24"/>
          <w:szCs w:val="24"/>
        </w:rPr>
      </w:pPr>
      <w:r w:rsidRPr="00576883">
        <w:rPr>
          <w:rFonts w:ascii="Times New Roman" w:hAnsi="Times New Roman"/>
          <w:sz w:val="24"/>
          <w:szCs w:val="24"/>
        </w:rPr>
        <w:t xml:space="preserve">Waste management </w:t>
      </w:r>
    </w:p>
    <w:p w14:paraId="2DD6360B" w14:textId="77777777" w:rsidR="0002157D" w:rsidRPr="00576883" w:rsidRDefault="0002157D" w:rsidP="00576883">
      <w:pPr>
        <w:numPr>
          <w:ilvl w:val="0"/>
          <w:numId w:val="13"/>
        </w:numPr>
        <w:spacing w:after="0" w:line="278" w:lineRule="auto"/>
        <w:jc w:val="both"/>
        <w:rPr>
          <w:rFonts w:ascii="Times New Roman" w:hAnsi="Times New Roman"/>
          <w:sz w:val="24"/>
          <w:szCs w:val="24"/>
        </w:rPr>
      </w:pPr>
      <w:r w:rsidRPr="00576883">
        <w:rPr>
          <w:rFonts w:ascii="Times New Roman" w:hAnsi="Times New Roman"/>
          <w:sz w:val="24"/>
          <w:szCs w:val="24"/>
        </w:rPr>
        <w:t xml:space="preserve">Spill prevention </w:t>
      </w:r>
    </w:p>
    <w:p w14:paraId="0DE401BE" w14:textId="77777777" w:rsidR="0002157D" w:rsidRPr="00576883" w:rsidRDefault="0002157D" w:rsidP="00576883">
      <w:pPr>
        <w:numPr>
          <w:ilvl w:val="0"/>
          <w:numId w:val="13"/>
        </w:numPr>
        <w:spacing w:after="0" w:line="278" w:lineRule="auto"/>
        <w:jc w:val="both"/>
        <w:rPr>
          <w:rFonts w:ascii="Times New Roman" w:hAnsi="Times New Roman"/>
          <w:sz w:val="24"/>
          <w:szCs w:val="24"/>
        </w:rPr>
      </w:pPr>
      <w:r w:rsidRPr="00576883">
        <w:rPr>
          <w:rFonts w:ascii="Times New Roman" w:hAnsi="Times New Roman"/>
          <w:sz w:val="24"/>
          <w:szCs w:val="24"/>
        </w:rPr>
        <w:t xml:space="preserve">Environmental compliance </w:t>
      </w:r>
    </w:p>
    <w:p w14:paraId="7F237CE8" w14:textId="77777777" w:rsidR="0002157D" w:rsidRPr="00A64C2D" w:rsidRDefault="0002157D" w:rsidP="00576883">
      <w:pPr>
        <w:numPr>
          <w:ilvl w:val="0"/>
          <w:numId w:val="13"/>
        </w:numPr>
        <w:spacing w:after="0" w:line="278" w:lineRule="auto"/>
        <w:jc w:val="both"/>
        <w:rPr>
          <w:rFonts w:ascii="Times New Roman" w:hAnsi="Times New Roman"/>
          <w:b/>
          <w:bCs/>
          <w:sz w:val="24"/>
          <w:szCs w:val="24"/>
        </w:rPr>
      </w:pPr>
      <w:r w:rsidRPr="00576883">
        <w:rPr>
          <w:rFonts w:ascii="Times New Roman" w:hAnsi="Times New Roman"/>
          <w:sz w:val="24"/>
          <w:szCs w:val="24"/>
        </w:rPr>
        <w:t xml:space="preserve">Sustainability targets </w:t>
      </w:r>
    </w:p>
    <w:p w14:paraId="0885087C" w14:textId="77777777" w:rsidR="00576883" w:rsidRDefault="00576883" w:rsidP="0002157D">
      <w:pPr>
        <w:rPr>
          <w:rFonts w:ascii="Times New Roman" w:hAnsi="Times New Roman"/>
          <w:b/>
          <w:bCs/>
          <w:sz w:val="24"/>
          <w:szCs w:val="24"/>
        </w:rPr>
      </w:pPr>
    </w:p>
    <w:p w14:paraId="0F7BDAE7" w14:textId="7A3D100C" w:rsidR="0002157D" w:rsidRPr="00A64C2D" w:rsidRDefault="0002157D" w:rsidP="0002157D">
      <w:pPr>
        <w:rPr>
          <w:rFonts w:ascii="Times New Roman" w:hAnsi="Times New Roman"/>
          <w:b/>
          <w:bCs/>
          <w:sz w:val="24"/>
          <w:szCs w:val="24"/>
        </w:rPr>
      </w:pPr>
      <w:r w:rsidRPr="00A64C2D">
        <w:rPr>
          <w:rFonts w:ascii="Times New Roman" w:hAnsi="Times New Roman"/>
          <w:b/>
          <w:bCs/>
          <w:sz w:val="24"/>
          <w:szCs w:val="24"/>
        </w:rPr>
        <w:t>Social Reporting (S</w:t>
      </w:r>
      <w:r w:rsidR="00576883">
        <w:rPr>
          <w:rFonts w:ascii="Times New Roman" w:hAnsi="Times New Roman"/>
          <w:b/>
          <w:bCs/>
          <w:sz w:val="24"/>
          <w:szCs w:val="24"/>
        </w:rPr>
        <w:t>OC</w:t>
      </w:r>
      <w:r w:rsidR="00BE39DA">
        <w:rPr>
          <w:rFonts w:ascii="Times New Roman" w:hAnsi="Times New Roman"/>
          <w:b/>
          <w:bCs/>
          <w:sz w:val="24"/>
          <w:szCs w:val="24"/>
        </w:rPr>
        <w:t>R</w:t>
      </w:r>
      <w:r w:rsidRPr="00A64C2D">
        <w:rPr>
          <w:rFonts w:ascii="Times New Roman" w:hAnsi="Times New Roman"/>
          <w:b/>
          <w:bCs/>
          <w:sz w:val="24"/>
          <w:szCs w:val="24"/>
        </w:rPr>
        <w:t>)</w:t>
      </w:r>
    </w:p>
    <w:p w14:paraId="3FBC08C7" w14:textId="77777777" w:rsidR="0002157D" w:rsidRPr="00576883" w:rsidRDefault="0002157D" w:rsidP="00576883">
      <w:pPr>
        <w:numPr>
          <w:ilvl w:val="0"/>
          <w:numId w:val="14"/>
        </w:numPr>
        <w:spacing w:after="0" w:line="278" w:lineRule="auto"/>
        <w:rPr>
          <w:rFonts w:ascii="Times New Roman" w:hAnsi="Times New Roman"/>
          <w:sz w:val="24"/>
          <w:szCs w:val="24"/>
        </w:rPr>
      </w:pPr>
      <w:r w:rsidRPr="00576883">
        <w:rPr>
          <w:rFonts w:ascii="Times New Roman" w:hAnsi="Times New Roman"/>
          <w:sz w:val="24"/>
          <w:szCs w:val="24"/>
        </w:rPr>
        <w:t xml:space="preserve">Employee welfare </w:t>
      </w:r>
    </w:p>
    <w:p w14:paraId="2BA98DFD" w14:textId="77777777" w:rsidR="0002157D" w:rsidRPr="00576883" w:rsidRDefault="0002157D" w:rsidP="00576883">
      <w:pPr>
        <w:numPr>
          <w:ilvl w:val="0"/>
          <w:numId w:val="14"/>
        </w:numPr>
        <w:spacing w:after="0" w:line="278" w:lineRule="auto"/>
        <w:rPr>
          <w:rFonts w:ascii="Times New Roman" w:hAnsi="Times New Roman"/>
          <w:sz w:val="24"/>
          <w:szCs w:val="24"/>
        </w:rPr>
      </w:pPr>
      <w:r w:rsidRPr="00576883">
        <w:rPr>
          <w:rFonts w:ascii="Times New Roman" w:hAnsi="Times New Roman"/>
          <w:sz w:val="24"/>
          <w:szCs w:val="24"/>
        </w:rPr>
        <w:t xml:space="preserve">Occupational safety </w:t>
      </w:r>
    </w:p>
    <w:p w14:paraId="22B8F8A1" w14:textId="77777777" w:rsidR="0002157D" w:rsidRPr="00576883" w:rsidRDefault="0002157D" w:rsidP="00576883">
      <w:pPr>
        <w:numPr>
          <w:ilvl w:val="0"/>
          <w:numId w:val="14"/>
        </w:numPr>
        <w:spacing w:after="0" w:line="278" w:lineRule="auto"/>
        <w:rPr>
          <w:rFonts w:ascii="Times New Roman" w:hAnsi="Times New Roman"/>
          <w:sz w:val="24"/>
          <w:szCs w:val="24"/>
        </w:rPr>
      </w:pPr>
      <w:r w:rsidRPr="00576883">
        <w:rPr>
          <w:rFonts w:ascii="Times New Roman" w:hAnsi="Times New Roman"/>
          <w:sz w:val="24"/>
          <w:szCs w:val="24"/>
        </w:rPr>
        <w:t xml:space="preserve">Community development </w:t>
      </w:r>
    </w:p>
    <w:p w14:paraId="2D270A89" w14:textId="77777777" w:rsidR="0002157D" w:rsidRPr="00576883" w:rsidRDefault="0002157D" w:rsidP="00576883">
      <w:pPr>
        <w:numPr>
          <w:ilvl w:val="0"/>
          <w:numId w:val="14"/>
        </w:numPr>
        <w:spacing w:after="0" w:line="278" w:lineRule="auto"/>
        <w:rPr>
          <w:rFonts w:ascii="Times New Roman" w:hAnsi="Times New Roman"/>
          <w:sz w:val="24"/>
          <w:szCs w:val="24"/>
        </w:rPr>
      </w:pPr>
      <w:r w:rsidRPr="00576883">
        <w:rPr>
          <w:rFonts w:ascii="Times New Roman" w:hAnsi="Times New Roman"/>
          <w:sz w:val="24"/>
          <w:szCs w:val="24"/>
        </w:rPr>
        <w:t xml:space="preserve">Local content initiatives </w:t>
      </w:r>
    </w:p>
    <w:p w14:paraId="4DCBFFA3" w14:textId="77777777" w:rsidR="0002157D" w:rsidRPr="00576883" w:rsidRDefault="0002157D" w:rsidP="00576883">
      <w:pPr>
        <w:numPr>
          <w:ilvl w:val="0"/>
          <w:numId w:val="14"/>
        </w:numPr>
        <w:spacing w:after="0" w:line="278" w:lineRule="auto"/>
        <w:rPr>
          <w:rFonts w:ascii="Times New Roman" w:hAnsi="Times New Roman"/>
          <w:sz w:val="24"/>
          <w:szCs w:val="24"/>
        </w:rPr>
      </w:pPr>
      <w:r w:rsidRPr="00576883">
        <w:rPr>
          <w:rFonts w:ascii="Times New Roman" w:hAnsi="Times New Roman"/>
          <w:sz w:val="24"/>
          <w:szCs w:val="24"/>
        </w:rPr>
        <w:t xml:space="preserve">Training and development </w:t>
      </w:r>
    </w:p>
    <w:p w14:paraId="261AF033" w14:textId="77777777" w:rsidR="0002157D" w:rsidRPr="00576883" w:rsidRDefault="0002157D" w:rsidP="00576883">
      <w:pPr>
        <w:numPr>
          <w:ilvl w:val="0"/>
          <w:numId w:val="14"/>
        </w:numPr>
        <w:spacing w:after="0" w:line="278" w:lineRule="auto"/>
        <w:rPr>
          <w:rFonts w:ascii="Times New Roman" w:hAnsi="Times New Roman"/>
          <w:sz w:val="24"/>
          <w:szCs w:val="24"/>
        </w:rPr>
      </w:pPr>
      <w:r w:rsidRPr="00576883">
        <w:rPr>
          <w:rFonts w:ascii="Times New Roman" w:hAnsi="Times New Roman"/>
          <w:sz w:val="24"/>
          <w:szCs w:val="24"/>
        </w:rPr>
        <w:t xml:space="preserve">Human rights </w:t>
      </w:r>
    </w:p>
    <w:p w14:paraId="727DA226" w14:textId="77777777" w:rsidR="0002157D" w:rsidRPr="00576883" w:rsidRDefault="0002157D" w:rsidP="00576883">
      <w:pPr>
        <w:numPr>
          <w:ilvl w:val="0"/>
          <w:numId w:val="14"/>
        </w:numPr>
        <w:spacing w:after="0" w:line="278" w:lineRule="auto"/>
        <w:rPr>
          <w:rFonts w:ascii="Times New Roman" w:hAnsi="Times New Roman"/>
          <w:sz w:val="24"/>
          <w:szCs w:val="24"/>
        </w:rPr>
      </w:pPr>
      <w:r w:rsidRPr="00576883">
        <w:rPr>
          <w:rFonts w:ascii="Times New Roman" w:hAnsi="Times New Roman"/>
          <w:sz w:val="24"/>
          <w:szCs w:val="24"/>
        </w:rPr>
        <w:t xml:space="preserve">Stakeholder engagement </w:t>
      </w:r>
    </w:p>
    <w:p w14:paraId="58C292E6" w14:textId="77777777" w:rsidR="0002157D" w:rsidRPr="00576883" w:rsidRDefault="0002157D" w:rsidP="00576883">
      <w:pPr>
        <w:numPr>
          <w:ilvl w:val="0"/>
          <w:numId w:val="14"/>
        </w:numPr>
        <w:spacing w:after="0" w:line="278" w:lineRule="auto"/>
        <w:rPr>
          <w:rFonts w:ascii="Times New Roman" w:hAnsi="Times New Roman"/>
          <w:sz w:val="24"/>
          <w:szCs w:val="24"/>
        </w:rPr>
      </w:pPr>
      <w:r w:rsidRPr="00576883">
        <w:rPr>
          <w:rFonts w:ascii="Times New Roman" w:hAnsi="Times New Roman"/>
          <w:sz w:val="24"/>
          <w:szCs w:val="24"/>
        </w:rPr>
        <w:t xml:space="preserve">Diversity </w:t>
      </w:r>
    </w:p>
    <w:p w14:paraId="3B8A6E93" w14:textId="77777777" w:rsidR="0002157D" w:rsidRPr="00576883" w:rsidRDefault="0002157D" w:rsidP="00576883">
      <w:pPr>
        <w:numPr>
          <w:ilvl w:val="0"/>
          <w:numId w:val="14"/>
        </w:numPr>
        <w:spacing w:after="0" w:line="278" w:lineRule="auto"/>
        <w:rPr>
          <w:rFonts w:ascii="Times New Roman" w:hAnsi="Times New Roman"/>
          <w:sz w:val="24"/>
          <w:szCs w:val="24"/>
        </w:rPr>
      </w:pPr>
      <w:r w:rsidRPr="00576883">
        <w:rPr>
          <w:rFonts w:ascii="Times New Roman" w:hAnsi="Times New Roman"/>
          <w:sz w:val="24"/>
          <w:szCs w:val="24"/>
        </w:rPr>
        <w:t xml:space="preserve">Education </w:t>
      </w:r>
      <w:proofErr w:type="spellStart"/>
      <w:r w:rsidRPr="00576883">
        <w:rPr>
          <w:rFonts w:ascii="Times New Roman" w:hAnsi="Times New Roman"/>
          <w:sz w:val="24"/>
          <w:szCs w:val="24"/>
        </w:rPr>
        <w:t>programmes</w:t>
      </w:r>
      <w:proofErr w:type="spellEnd"/>
      <w:r w:rsidRPr="00576883">
        <w:rPr>
          <w:rFonts w:ascii="Times New Roman" w:hAnsi="Times New Roman"/>
          <w:sz w:val="24"/>
          <w:szCs w:val="24"/>
        </w:rPr>
        <w:t xml:space="preserve"> </w:t>
      </w:r>
    </w:p>
    <w:p w14:paraId="48C0E241" w14:textId="77777777" w:rsidR="0002157D" w:rsidRPr="00A64C2D" w:rsidRDefault="0002157D" w:rsidP="00576883">
      <w:pPr>
        <w:numPr>
          <w:ilvl w:val="0"/>
          <w:numId w:val="14"/>
        </w:numPr>
        <w:spacing w:after="0" w:line="278" w:lineRule="auto"/>
        <w:rPr>
          <w:rFonts w:ascii="Times New Roman" w:hAnsi="Times New Roman"/>
          <w:b/>
          <w:bCs/>
          <w:sz w:val="24"/>
          <w:szCs w:val="24"/>
        </w:rPr>
      </w:pPr>
      <w:r w:rsidRPr="00576883">
        <w:rPr>
          <w:rFonts w:ascii="Times New Roman" w:hAnsi="Times New Roman"/>
          <w:sz w:val="24"/>
          <w:szCs w:val="24"/>
        </w:rPr>
        <w:t>Social investments</w:t>
      </w:r>
      <w:r w:rsidRPr="00A64C2D">
        <w:rPr>
          <w:rFonts w:ascii="Times New Roman" w:hAnsi="Times New Roman"/>
          <w:b/>
          <w:bCs/>
          <w:sz w:val="24"/>
          <w:szCs w:val="24"/>
        </w:rPr>
        <w:t xml:space="preserve"> </w:t>
      </w:r>
    </w:p>
    <w:p w14:paraId="2AB4C430" w14:textId="396F347A" w:rsidR="0002157D" w:rsidRPr="00A64C2D" w:rsidRDefault="0002157D" w:rsidP="0002157D">
      <w:pPr>
        <w:rPr>
          <w:rFonts w:ascii="Times New Roman" w:hAnsi="Times New Roman"/>
          <w:b/>
          <w:bCs/>
          <w:sz w:val="24"/>
          <w:szCs w:val="24"/>
        </w:rPr>
      </w:pPr>
      <w:r w:rsidRPr="00A64C2D">
        <w:rPr>
          <w:rFonts w:ascii="Times New Roman" w:hAnsi="Times New Roman"/>
          <w:b/>
          <w:bCs/>
          <w:sz w:val="24"/>
          <w:szCs w:val="24"/>
        </w:rPr>
        <w:t>Governance Reporting (G</w:t>
      </w:r>
      <w:r w:rsidR="002B6028">
        <w:rPr>
          <w:rFonts w:ascii="Times New Roman" w:hAnsi="Times New Roman"/>
          <w:b/>
          <w:bCs/>
          <w:sz w:val="24"/>
          <w:szCs w:val="24"/>
        </w:rPr>
        <w:t>OV</w:t>
      </w:r>
      <w:r w:rsidR="00BE39DA">
        <w:rPr>
          <w:rFonts w:ascii="Times New Roman" w:hAnsi="Times New Roman"/>
          <w:b/>
          <w:bCs/>
          <w:sz w:val="24"/>
          <w:szCs w:val="24"/>
        </w:rPr>
        <w:t>R</w:t>
      </w:r>
      <w:r w:rsidRPr="00A64C2D">
        <w:rPr>
          <w:rFonts w:ascii="Times New Roman" w:hAnsi="Times New Roman"/>
          <w:b/>
          <w:bCs/>
          <w:sz w:val="24"/>
          <w:szCs w:val="24"/>
        </w:rPr>
        <w:t>)</w:t>
      </w:r>
    </w:p>
    <w:p w14:paraId="1F05ED9F" w14:textId="77777777" w:rsidR="0002157D" w:rsidRPr="002B6028" w:rsidRDefault="0002157D" w:rsidP="002B6028">
      <w:pPr>
        <w:numPr>
          <w:ilvl w:val="0"/>
          <w:numId w:val="15"/>
        </w:numPr>
        <w:spacing w:after="0" w:line="278" w:lineRule="auto"/>
        <w:jc w:val="both"/>
        <w:rPr>
          <w:rFonts w:ascii="Times New Roman" w:hAnsi="Times New Roman"/>
          <w:sz w:val="24"/>
          <w:szCs w:val="24"/>
        </w:rPr>
      </w:pPr>
      <w:r w:rsidRPr="002B6028">
        <w:rPr>
          <w:rFonts w:ascii="Times New Roman" w:hAnsi="Times New Roman"/>
          <w:sz w:val="24"/>
          <w:szCs w:val="24"/>
        </w:rPr>
        <w:t xml:space="preserve">Board independence </w:t>
      </w:r>
    </w:p>
    <w:p w14:paraId="4179A5A2" w14:textId="77777777" w:rsidR="0002157D" w:rsidRPr="002B6028" w:rsidRDefault="0002157D" w:rsidP="002B6028">
      <w:pPr>
        <w:numPr>
          <w:ilvl w:val="0"/>
          <w:numId w:val="15"/>
        </w:numPr>
        <w:spacing w:after="0" w:line="278" w:lineRule="auto"/>
        <w:jc w:val="both"/>
        <w:rPr>
          <w:rFonts w:ascii="Times New Roman" w:hAnsi="Times New Roman"/>
          <w:sz w:val="24"/>
          <w:szCs w:val="24"/>
        </w:rPr>
      </w:pPr>
      <w:r w:rsidRPr="002B6028">
        <w:rPr>
          <w:rFonts w:ascii="Times New Roman" w:hAnsi="Times New Roman"/>
          <w:sz w:val="24"/>
          <w:szCs w:val="24"/>
        </w:rPr>
        <w:t xml:space="preserve">Audit committee </w:t>
      </w:r>
    </w:p>
    <w:p w14:paraId="72D40C85" w14:textId="77777777" w:rsidR="0002157D" w:rsidRPr="002B6028" w:rsidRDefault="0002157D" w:rsidP="002B6028">
      <w:pPr>
        <w:numPr>
          <w:ilvl w:val="0"/>
          <w:numId w:val="15"/>
        </w:numPr>
        <w:spacing w:after="0" w:line="278" w:lineRule="auto"/>
        <w:jc w:val="both"/>
        <w:rPr>
          <w:rFonts w:ascii="Times New Roman" w:hAnsi="Times New Roman"/>
          <w:sz w:val="24"/>
          <w:szCs w:val="24"/>
        </w:rPr>
      </w:pPr>
      <w:r w:rsidRPr="002B6028">
        <w:rPr>
          <w:rFonts w:ascii="Times New Roman" w:hAnsi="Times New Roman"/>
          <w:sz w:val="24"/>
          <w:szCs w:val="24"/>
        </w:rPr>
        <w:t xml:space="preserve">Risk management </w:t>
      </w:r>
    </w:p>
    <w:p w14:paraId="4BF12DE5" w14:textId="77777777" w:rsidR="0002157D" w:rsidRPr="002B6028" w:rsidRDefault="0002157D" w:rsidP="002B6028">
      <w:pPr>
        <w:numPr>
          <w:ilvl w:val="0"/>
          <w:numId w:val="15"/>
        </w:numPr>
        <w:spacing w:after="0" w:line="278" w:lineRule="auto"/>
        <w:jc w:val="both"/>
        <w:rPr>
          <w:rFonts w:ascii="Times New Roman" w:hAnsi="Times New Roman"/>
          <w:sz w:val="24"/>
          <w:szCs w:val="24"/>
        </w:rPr>
      </w:pPr>
      <w:r w:rsidRPr="002B6028">
        <w:rPr>
          <w:rFonts w:ascii="Times New Roman" w:hAnsi="Times New Roman"/>
          <w:sz w:val="24"/>
          <w:szCs w:val="24"/>
        </w:rPr>
        <w:t xml:space="preserve">Ethics policy </w:t>
      </w:r>
    </w:p>
    <w:p w14:paraId="7E7A9376" w14:textId="77777777" w:rsidR="0002157D" w:rsidRPr="002B6028" w:rsidRDefault="0002157D" w:rsidP="002B6028">
      <w:pPr>
        <w:numPr>
          <w:ilvl w:val="0"/>
          <w:numId w:val="15"/>
        </w:numPr>
        <w:spacing w:after="0" w:line="278" w:lineRule="auto"/>
        <w:jc w:val="both"/>
        <w:rPr>
          <w:rFonts w:ascii="Times New Roman" w:hAnsi="Times New Roman"/>
          <w:sz w:val="24"/>
          <w:szCs w:val="24"/>
        </w:rPr>
      </w:pPr>
      <w:r w:rsidRPr="002B6028">
        <w:rPr>
          <w:rFonts w:ascii="Times New Roman" w:hAnsi="Times New Roman"/>
          <w:sz w:val="24"/>
          <w:szCs w:val="24"/>
        </w:rPr>
        <w:t xml:space="preserve">Anti-corruption measures </w:t>
      </w:r>
    </w:p>
    <w:p w14:paraId="3F781DF0" w14:textId="77777777" w:rsidR="0002157D" w:rsidRPr="002B6028" w:rsidRDefault="0002157D" w:rsidP="002B6028">
      <w:pPr>
        <w:numPr>
          <w:ilvl w:val="0"/>
          <w:numId w:val="15"/>
        </w:numPr>
        <w:spacing w:after="0" w:line="278" w:lineRule="auto"/>
        <w:jc w:val="both"/>
        <w:rPr>
          <w:rFonts w:ascii="Times New Roman" w:hAnsi="Times New Roman"/>
          <w:sz w:val="24"/>
          <w:szCs w:val="24"/>
        </w:rPr>
      </w:pPr>
      <w:r w:rsidRPr="002B6028">
        <w:rPr>
          <w:rFonts w:ascii="Times New Roman" w:hAnsi="Times New Roman"/>
          <w:sz w:val="24"/>
          <w:szCs w:val="24"/>
        </w:rPr>
        <w:t xml:space="preserve">Whistleblowing framework </w:t>
      </w:r>
    </w:p>
    <w:p w14:paraId="7E2154A1" w14:textId="77777777" w:rsidR="0002157D" w:rsidRPr="002B6028" w:rsidRDefault="0002157D" w:rsidP="002B6028">
      <w:pPr>
        <w:numPr>
          <w:ilvl w:val="0"/>
          <w:numId w:val="15"/>
        </w:numPr>
        <w:spacing w:after="0" w:line="278" w:lineRule="auto"/>
        <w:jc w:val="both"/>
        <w:rPr>
          <w:rFonts w:ascii="Times New Roman" w:hAnsi="Times New Roman"/>
          <w:sz w:val="24"/>
          <w:szCs w:val="24"/>
        </w:rPr>
      </w:pPr>
      <w:r w:rsidRPr="002B6028">
        <w:rPr>
          <w:rFonts w:ascii="Times New Roman" w:hAnsi="Times New Roman"/>
          <w:sz w:val="24"/>
          <w:szCs w:val="24"/>
        </w:rPr>
        <w:t xml:space="preserve">Sustainability governance </w:t>
      </w:r>
    </w:p>
    <w:p w14:paraId="5FB89986" w14:textId="77777777" w:rsidR="0002157D" w:rsidRPr="002B6028" w:rsidRDefault="0002157D" w:rsidP="002B6028">
      <w:pPr>
        <w:numPr>
          <w:ilvl w:val="0"/>
          <w:numId w:val="15"/>
        </w:numPr>
        <w:spacing w:after="0" w:line="278" w:lineRule="auto"/>
        <w:jc w:val="both"/>
        <w:rPr>
          <w:rFonts w:ascii="Times New Roman" w:hAnsi="Times New Roman"/>
          <w:sz w:val="24"/>
          <w:szCs w:val="24"/>
        </w:rPr>
      </w:pPr>
      <w:r w:rsidRPr="002B6028">
        <w:rPr>
          <w:rFonts w:ascii="Times New Roman" w:hAnsi="Times New Roman"/>
          <w:sz w:val="24"/>
          <w:szCs w:val="24"/>
        </w:rPr>
        <w:t xml:space="preserve">Shareholder protection </w:t>
      </w:r>
    </w:p>
    <w:p w14:paraId="47E69F64" w14:textId="77777777" w:rsidR="0002157D" w:rsidRPr="002B6028" w:rsidRDefault="0002157D" w:rsidP="002B6028">
      <w:pPr>
        <w:numPr>
          <w:ilvl w:val="0"/>
          <w:numId w:val="15"/>
        </w:numPr>
        <w:spacing w:after="0" w:line="278" w:lineRule="auto"/>
        <w:jc w:val="both"/>
        <w:rPr>
          <w:rFonts w:ascii="Times New Roman" w:hAnsi="Times New Roman"/>
          <w:sz w:val="24"/>
          <w:szCs w:val="24"/>
        </w:rPr>
      </w:pPr>
      <w:r w:rsidRPr="002B6028">
        <w:rPr>
          <w:rFonts w:ascii="Times New Roman" w:hAnsi="Times New Roman"/>
          <w:sz w:val="24"/>
          <w:szCs w:val="24"/>
        </w:rPr>
        <w:t xml:space="preserve">Internal controls </w:t>
      </w:r>
    </w:p>
    <w:p w14:paraId="41F140B4" w14:textId="6C0D5453" w:rsidR="0002157D" w:rsidRPr="002B6028" w:rsidRDefault="0002157D" w:rsidP="0002157D">
      <w:pPr>
        <w:numPr>
          <w:ilvl w:val="0"/>
          <w:numId w:val="15"/>
        </w:numPr>
        <w:spacing w:after="0" w:line="278" w:lineRule="auto"/>
        <w:jc w:val="both"/>
        <w:rPr>
          <w:rFonts w:ascii="Times New Roman" w:hAnsi="Times New Roman"/>
          <w:sz w:val="24"/>
          <w:szCs w:val="24"/>
        </w:rPr>
      </w:pPr>
      <w:r w:rsidRPr="002B6028">
        <w:rPr>
          <w:rFonts w:ascii="Times New Roman" w:hAnsi="Times New Roman"/>
          <w:sz w:val="24"/>
          <w:szCs w:val="24"/>
        </w:rPr>
        <w:t>Governance compliance</w:t>
      </w:r>
    </w:p>
    <w:p w14:paraId="5F4C067E" w14:textId="77777777" w:rsidR="0002157D" w:rsidRDefault="0002157D" w:rsidP="0002157D">
      <w:pPr>
        <w:rPr>
          <w:b/>
          <w:bCs/>
        </w:rPr>
      </w:pPr>
    </w:p>
    <w:p w14:paraId="4A33D388" w14:textId="545B99B8" w:rsidR="00073B44" w:rsidRDefault="00837922" w:rsidP="00400247">
      <w:pPr>
        <w:jc w:val="both"/>
        <w:rPr>
          <w:rFonts w:ascii="Times New Roman" w:hAnsi="Times New Roman"/>
          <w:sz w:val="24"/>
          <w:szCs w:val="24"/>
        </w:rPr>
      </w:pPr>
      <w:r w:rsidRPr="0097767C">
        <w:rPr>
          <w:rFonts w:ascii="Times New Roman" w:hAnsi="Times New Roman"/>
          <w:b/>
          <w:bCs/>
          <w:sz w:val="24"/>
          <w:szCs w:val="24"/>
        </w:rPr>
        <w:t>The operational margin ratio</w:t>
      </w:r>
      <w:r w:rsidRPr="0097767C">
        <w:rPr>
          <w:rFonts w:ascii="Times New Roman" w:hAnsi="Times New Roman"/>
          <w:sz w:val="24"/>
          <w:szCs w:val="24"/>
        </w:rPr>
        <w:t xml:space="preserve"> is </w:t>
      </w:r>
      <w:r w:rsidR="00BE415E">
        <w:rPr>
          <w:rFonts w:ascii="Times New Roman" w:hAnsi="Times New Roman"/>
          <w:sz w:val="24"/>
          <w:szCs w:val="24"/>
        </w:rPr>
        <w:t>subject</w:t>
      </w:r>
      <w:r w:rsidRPr="0097767C">
        <w:rPr>
          <w:rFonts w:ascii="Times New Roman" w:hAnsi="Times New Roman"/>
          <w:sz w:val="24"/>
          <w:szCs w:val="24"/>
        </w:rPr>
        <w:t xml:space="preserve"> to the proxying of operational performance. These dependent variables show the adjustment existing in financial value because of sustainability reporting</w:t>
      </w:r>
      <w:r w:rsidR="00BE415E">
        <w:rPr>
          <w:rFonts w:ascii="Times New Roman" w:hAnsi="Times New Roman"/>
          <w:sz w:val="24"/>
          <w:szCs w:val="24"/>
        </w:rPr>
        <w:t>,</w:t>
      </w:r>
      <w:r w:rsidRPr="0097767C">
        <w:rPr>
          <w:rFonts w:ascii="Times New Roman" w:hAnsi="Times New Roman"/>
          <w:sz w:val="24"/>
          <w:szCs w:val="24"/>
        </w:rPr>
        <w:t xml:space="preserve"> and the measures employed in the empirical review were the financial performance measures.</w:t>
      </w:r>
    </w:p>
    <w:p w14:paraId="49A1CD10" w14:textId="77777777" w:rsidR="005569C7" w:rsidRPr="00F31FE9" w:rsidRDefault="005569C7" w:rsidP="005569C7">
      <w:pPr>
        <w:spacing w:before="100" w:beforeAutospacing="1" w:after="100" w:afterAutospacing="1" w:line="240" w:lineRule="auto"/>
        <w:rPr>
          <w:rFonts w:ascii="Times New Roman" w:eastAsia="Times New Roman" w:hAnsi="Times New Roman"/>
          <w:sz w:val="24"/>
          <w:szCs w:val="24"/>
        </w:rPr>
      </w:pPr>
      <w:r w:rsidRPr="00F31FE9">
        <w:rPr>
          <w:rFonts w:ascii="Times New Roman" w:eastAsia="Times New Roman" w:hAnsi="Times New Roman"/>
          <w:sz w:val="24"/>
          <w:szCs w:val="24"/>
        </w:rPr>
        <w:t>Mathematically, the ratio is expressed as:</w:t>
      </w:r>
    </w:p>
    <w:p w14:paraId="5BDB45F5" w14:textId="7E7608F2" w:rsidR="005569C7" w:rsidRPr="005569C7" w:rsidRDefault="005569C7" w:rsidP="005569C7">
      <w:pPr>
        <w:spacing w:after="0" w:line="240" w:lineRule="auto"/>
        <w:rPr>
          <w:rFonts w:ascii="Times New Roman" w:eastAsia="Times New Roman" w:hAnsi="Times New Roman"/>
          <w:sz w:val="24"/>
          <w:szCs w:val="24"/>
          <w:u w:val="single"/>
        </w:rPr>
      </w:pPr>
      <w:r w:rsidRPr="00A7384C">
        <w:rPr>
          <w:rFonts w:ascii="Times New Roman" w:eastAsia="Times New Roman" w:hAnsi="Times New Roman"/>
          <w:sz w:val="24"/>
          <w:szCs w:val="24"/>
        </w:rPr>
        <w:t>Operating Margin </w:t>
      </w:r>
      <w:r w:rsidR="00BE415E">
        <w:rPr>
          <w:rFonts w:ascii="Times New Roman" w:eastAsia="Times New Roman" w:hAnsi="Times New Roman"/>
          <w:sz w:val="24"/>
          <w:szCs w:val="24"/>
        </w:rPr>
        <w:t>Ratio =</w:t>
      </w:r>
      <w:r>
        <w:rPr>
          <w:rFonts w:ascii="Times New Roman" w:eastAsia="Times New Roman" w:hAnsi="Times New Roman"/>
          <w:sz w:val="24"/>
          <w:szCs w:val="24"/>
        </w:rPr>
        <w:t xml:space="preserve"> </w:t>
      </w:r>
      <w:r w:rsidRPr="00A7384C">
        <w:rPr>
          <w:rFonts w:ascii="Times New Roman" w:eastAsia="Times New Roman" w:hAnsi="Times New Roman"/>
          <w:sz w:val="24"/>
          <w:szCs w:val="24"/>
          <w:u w:val="single"/>
        </w:rPr>
        <w:t>Operating Income</w:t>
      </w:r>
    </w:p>
    <w:p w14:paraId="56159135" w14:textId="74F8A6C9" w:rsidR="005569C7" w:rsidRDefault="008C3295" w:rsidP="005569C7">
      <w:pPr>
        <w:spacing w:after="0" w:line="240" w:lineRule="auto"/>
        <w:ind w:left="2160" w:firstLine="720"/>
        <w:rPr>
          <w:rFonts w:ascii="Times New Roman" w:eastAsia="Times New Roman" w:hAnsi="Times New Roman"/>
          <w:sz w:val="24"/>
          <w:szCs w:val="24"/>
        </w:rPr>
      </w:pPr>
      <w:r>
        <w:rPr>
          <w:rFonts w:ascii="Times New Roman" w:eastAsia="Times New Roman" w:hAnsi="Times New Roman"/>
          <w:sz w:val="24"/>
          <w:szCs w:val="24"/>
        </w:rPr>
        <w:lastRenderedPageBreak/>
        <w:t>Rev</w:t>
      </w:r>
      <w:r w:rsidR="005569C7" w:rsidRPr="00A7384C">
        <w:rPr>
          <w:rFonts w:ascii="Times New Roman" w:eastAsia="Times New Roman" w:hAnsi="Times New Roman"/>
          <w:sz w:val="24"/>
          <w:szCs w:val="24"/>
        </w:rPr>
        <w:t>e</w:t>
      </w:r>
      <w:r>
        <w:rPr>
          <w:rFonts w:ascii="Times New Roman" w:eastAsia="Times New Roman" w:hAnsi="Times New Roman"/>
          <w:sz w:val="24"/>
          <w:szCs w:val="24"/>
        </w:rPr>
        <w:t>nue</w:t>
      </w:r>
      <w:r w:rsidR="005569C7">
        <w:rPr>
          <w:rFonts w:ascii="Times New Roman" w:eastAsia="Times New Roman" w:hAnsi="Times New Roman"/>
          <w:sz w:val="24"/>
          <w:szCs w:val="24"/>
        </w:rPr>
        <w:t xml:space="preserve">          </w:t>
      </w:r>
      <w:r w:rsidR="005569C7" w:rsidRPr="00A7384C">
        <w:rPr>
          <w:rFonts w:ascii="Times New Roman" w:eastAsia="Times New Roman" w:hAnsi="Times New Roman"/>
          <w:sz w:val="24"/>
          <w:szCs w:val="24"/>
        </w:rPr>
        <w:t>×100</w:t>
      </w:r>
    </w:p>
    <w:p w14:paraId="3D1B78B5" w14:textId="77777777" w:rsidR="005569C7" w:rsidRDefault="005569C7" w:rsidP="00400247">
      <w:pPr>
        <w:pStyle w:val="NoSpacing"/>
        <w:spacing w:line="276" w:lineRule="auto"/>
        <w:jc w:val="both"/>
        <w:rPr>
          <w:rFonts w:ascii="Times New Roman" w:hAnsi="Times New Roman"/>
          <w:sz w:val="24"/>
          <w:szCs w:val="24"/>
        </w:rPr>
      </w:pPr>
    </w:p>
    <w:p w14:paraId="323580FA" w14:textId="77777777" w:rsidR="005569C7" w:rsidRDefault="005569C7" w:rsidP="00E80AFB">
      <w:pPr>
        <w:pStyle w:val="NoSpacing"/>
        <w:spacing w:line="276" w:lineRule="auto"/>
        <w:ind w:left="720"/>
        <w:jc w:val="both"/>
        <w:rPr>
          <w:rFonts w:ascii="Times New Roman" w:hAnsi="Times New Roman"/>
          <w:sz w:val="24"/>
          <w:szCs w:val="24"/>
        </w:rPr>
      </w:pPr>
    </w:p>
    <w:p w14:paraId="109A9443" w14:textId="23FDCA56" w:rsidR="00400247" w:rsidRPr="00BE39DA" w:rsidRDefault="00E80AFB" w:rsidP="00BE39DA">
      <w:pPr>
        <w:pStyle w:val="NoSpacing"/>
        <w:spacing w:line="276" w:lineRule="auto"/>
        <w:jc w:val="both"/>
        <w:rPr>
          <w:rFonts w:ascii="Times New Roman" w:hAnsi="Times New Roman"/>
          <w:sz w:val="24"/>
          <w:szCs w:val="24"/>
        </w:rPr>
      </w:pPr>
      <w:r>
        <w:rPr>
          <w:rFonts w:ascii="Times New Roman" w:hAnsi="Times New Roman"/>
          <w:sz w:val="24"/>
          <w:szCs w:val="24"/>
        </w:rPr>
        <w:t>The moderating variable</w:t>
      </w:r>
      <w:r w:rsidR="00BE415E">
        <w:rPr>
          <w:rFonts w:ascii="Times New Roman" w:hAnsi="Times New Roman"/>
          <w:sz w:val="24"/>
          <w:szCs w:val="24"/>
        </w:rPr>
        <w:t>,</w:t>
      </w:r>
      <w:r>
        <w:rPr>
          <w:rFonts w:ascii="Times New Roman" w:hAnsi="Times New Roman"/>
          <w:sz w:val="24"/>
          <w:szCs w:val="24"/>
        </w:rPr>
        <w:t xml:space="preserve"> which is the firm age</w:t>
      </w:r>
      <w:r w:rsidR="00BE415E">
        <w:rPr>
          <w:rFonts w:ascii="Times New Roman" w:hAnsi="Times New Roman"/>
          <w:sz w:val="24"/>
          <w:szCs w:val="24"/>
        </w:rPr>
        <w:t>,</w:t>
      </w:r>
      <w:r>
        <w:rPr>
          <w:rFonts w:ascii="Times New Roman" w:hAnsi="Times New Roman"/>
          <w:sz w:val="24"/>
          <w:szCs w:val="24"/>
        </w:rPr>
        <w:t xml:space="preserve"> was measured by the number of years a firm </w:t>
      </w:r>
      <w:r w:rsidR="00482891">
        <w:rPr>
          <w:rFonts w:ascii="Times New Roman" w:hAnsi="Times New Roman"/>
          <w:sz w:val="24"/>
          <w:szCs w:val="24"/>
        </w:rPr>
        <w:t>has been listed</w:t>
      </w:r>
      <w:r>
        <w:rPr>
          <w:rFonts w:ascii="Times New Roman" w:hAnsi="Times New Roman"/>
          <w:sz w:val="24"/>
          <w:szCs w:val="24"/>
        </w:rPr>
        <w:t>.</w:t>
      </w:r>
    </w:p>
    <w:p w14:paraId="67F976C4" w14:textId="77777777" w:rsidR="00400247" w:rsidRDefault="00400247" w:rsidP="00E80AFB">
      <w:pPr>
        <w:pStyle w:val="NoSpacing"/>
        <w:spacing w:line="276" w:lineRule="auto"/>
        <w:ind w:left="720"/>
        <w:jc w:val="both"/>
        <w:rPr>
          <w:rFonts w:ascii="Times New Roman" w:hAnsi="Times New Roman"/>
          <w:b/>
          <w:sz w:val="24"/>
          <w:szCs w:val="24"/>
        </w:rPr>
      </w:pPr>
    </w:p>
    <w:p w14:paraId="1B93DC18" w14:textId="77777777" w:rsidR="00400247" w:rsidRDefault="00400247" w:rsidP="00E80AFB">
      <w:pPr>
        <w:pStyle w:val="NoSpacing"/>
        <w:spacing w:line="276" w:lineRule="auto"/>
        <w:ind w:left="720"/>
        <w:jc w:val="both"/>
        <w:rPr>
          <w:rFonts w:ascii="Times New Roman" w:hAnsi="Times New Roman"/>
          <w:b/>
          <w:sz w:val="24"/>
          <w:szCs w:val="24"/>
        </w:rPr>
      </w:pPr>
    </w:p>
    <w:p w14:paraId="743BB75C" w14:textId="3DF4CCB8" w:rsidR="00E80AFB" w:rsidRPr="00136236" w:rsidRDefault="00E80AFB" w:rsidP="00F31FE9">
      <w:pPr>
        <w:pStyle w:val="NoSpacing"/>
        <w:spacing w:line="276" w:lineRule="auto"/>
        <w:jc w:val="both"/>
        <w:rPr>
          <w:rFonts w:ascii="Times New Roman" w:hAnsi="Times New Roman"/>
          <w:sz w:val="24"/>
          <w:szCs w:val="24"/>
        </w:rPr>
      </w:pPr>
      <w:r w:rsidRPr="00136236">
        <w:rPr>
          <w:rFonts w:ascii="Times New Roman" w:hAnsi="Times New Roman"/>
          <w:b/>
          <w:sz w:val="24"/>
          <w:szCs w:val="24"/>
        </w:rPr>
        <w:t>Model Specification</w:t>
      </w:r>
    </w:p>
    <w:p w14:paraId="31F63B2F" w14:textId="22A357EB" w:rsidR="00E80AFB" w:rsidRDefault="00E80AFB" w:rsidP="00F31FE9">
      <w:pPr>
        <w:pStyle w:val="NoSpacing"/>
        <w:spacing w:line="276" w:lineRule="auto"/>
        <w:jc w:val="both"/>
        <w:rPr>
          <w:rFonts w:ascii="Times New Roman" w:hAnsi="Times New Roman"/>
          <w:sz w:val="24"/>
          <w:szCs w:val="24"/>
        </w:rPr>
      </w:pPr>
      <w:r>
        <w:rPr>
          <w:rFonts w:ascii="Times New Roman" w:hAnsi="Times New Roman"/>
          <w:sz w:val="24"/>
          <w:szCs w:val="24"/>
        </w:rPr>
        <w:t xml:space="preserve">In order </w:t>
      </w:r>
      <w:r w:rsidRPr="00136236">
        <w:rPr>
          <w:rFonts w:ascii="Times New Roman" w:hAnsi="Times New Roman"/>
          <w:sz w:val="24"/>
          <w:szCs w:val="24"/>
        </w:rPr>
        <w:t xml:space="preserve">to test the relevance of the hypotheses regarding the impact of </w:t>
      </w:r>
      <w:r w:rsidR="00A924DD" w:rsidRPr="00136236">
        <w:rPr>
          <w:rFonts w:ascii="Times New Roman" w:hAnsi="Times New Roman"/>
          <w:sz w:val="24"/>
          <w:szCs w:val="24"/>
        </w:rPr>
        <w:t xml:space="preserve">sustainability </w:t>
      </w:r>
      <w:r w:rsidR="000C09F2" w:rsidRPr="00136236">
        <w:rPr>
          <w:rFonts w:ascii="Times New Roman" w:hAnsi="Times New Roman"/>
          <w:sz w:val="24"/>
          <w:szCs w:val="24"/>
        </w:rPr>
        <w:t xml:space="preserve">reporting </w:t>
      </w:r>
      <w:r w:rsidRPr="00136236">
        <w:rPr>
          <w:rFonts w:ascii="Times New Roman" w:hAnsi="Times New Roman"/>
          <w:sz w:val="24"/>
          <w:szCs w:val="24"/>
        </w:rPr>
        <w:t xml:space="preserve">on </w:t>
      </w:r>
      <w:r w:rsidR="00BE415E">
        <w:rPr>
          <w:rFonts w:ascii="Times New Roman" w:hAnsi="Times New Roman"/>
          <w:sz w:val="24"/>
          <w:szCs w:val="24"/>
        </w:rPr>
        <w:t xml:space="preserve">the </w:t>
      </w:r>
      <w:r w:rsidR="00073B44">
        <w:rPr>
          <w:rFonts w:ascii="Times New Roman" w:hAnsi="Times New Roman"/>
          <w:sz w:val="24"/>
          <w:szCs w:val="24"/>
        </w:rPr>
        <w:t>operational</w:t>
      </w:r>
      <w:r w:rsidRPr="00136236">
        <w:rPr>
          <w:rFonts w:ascii="Times New Roman" w:hAnsi="Times New Roman"/>
          <w:sz w:val="24"/>
          <w:szCs w:val="24"/>
        </w:rPr>
        <w:t xml:space="preserve"> performance of </w:t>
      </w:r>
      <w:r>
        <w:rPr>
          <w:rFonts w:ascii="Times New Roman" w:hAnsi="Times New Roman"/>
          <w:sz w:val="24"/>
          <w:szCs w:val="24"/>
        </w:rPr>
        <w:t xml:space="preserve">oil and gas </w:t>
      </w:r>
      <w:r w:rsidRPr="00136236">
        <w:rPr>
          <w:rFonts w:ascii="Times New Roman" w:hAnsi="Times New Roman"/>
          <w:sz w:val="24"/>
          <w:szCs w:val="24"/>
        </w:rPr>
        <w:t xml:space="preserve">companies listed </w:t>
      </w:r>
      <w:r>
        <w:rPr>
          <w:rFonts w:ascii="Times New Roman" w:hAnsi="Times New Roman"/>
          <w:sz w:val="24"/>
          <w:szCs w:val="24"/>
        </w:rPr>
        <w:t>i</w:t>
      </w:r>
      <w:r w:rsidRPr="00136236">
        <w:rPr>
          <w:rFonts w:ascii="Times New Roman" w:hAnsi="Times New Roman"/>
          <w:sz w:val="24"/>
          <w:szCs w:val="24"/>
        </w:rPr>
        <w:t>n Nigeria</w:t>
      </w:r>
      <w:r w:rsidR="00724B8C">
        <w:rPr>
          <w:rFonts w:ascii="Times New Roman" w:hAnsi="Times New Roman"/>
          <w:sz w:val="24"/>
          <w:szCs w:val="24"/>
        </w:rPr>
        <w:t>.</w:t>
      </w:r>
    </w:p>
    <w:p w14:paraId="4E49502B" w14:textId="77777777" w:rsidR="00E80AFB" w:rsidRDefault="00E80AFB" w:rsidP="00E80AFB">
      <w:pPr>
        <w:pStyle w:val="NoSpacing"/>
        <w:spacing w:line="276" w:lineRule="auto"/>
        <w:ind w:left="720"/>
        <w:jc w:val="both"/>
        <w:rPr>
          <w:rFonts w:ascii="Times New Roman" w:hAnsi="Times New Roman"/>
          <w:sz w:val="24"/>
          <w:szCs w:val="24"/>
        </w:rPr>
      </w:pPr>
    </w:p>
    <w:p w14:paraId="6D955025" w14:textId="4DF63971" w:rsidR="00E80AFB" w:rsidRPr="00136236" w:rsidRDefault="00E80AFB" w:rsidP="00F31FE9">
      <w:pPr>
        <w:pStyle w:val="NoSpacing"/>
        <w:spacing w:line="276" w:lineRule="auto"/>
        <w:jc w:val="both"/>
        <w:rPr>
          <w:rFonts w:ascii="Times New Roman" w:hAnsi="Times New Roman"/>
          <w:sz w:val="24"/>
          <w:szCs w:val="24"/>
        </w:rPr>
      </w:pPr>
      <w:r w:rsidRPr="00136236">
        <w:rPr>
          <w:rFonts w:ascii="Times New Roman" w:hAnsi="Times New Roman"/>
          <w:sz w:val="24"/>
          <w:szCs w:val="24"/>
        </w:rPr>
        <w:t>Y = b0+b1X1+b2X2 +b3X3+ b4X4 +E……………</w:t>
      </w:r>
      <w:r>
        <w:rPr>
          <w:rFonts w:ascii="Times New Roman" w:hAnsi="Times New Roman"/>
          <w:sz w:val="24"/>
          <w:szCs w:val="24"/>
        </w:rPr>
        <w:t>….</w:t>
      </w:r>
      <w:r w:rsidRPr="00136236">
        <w:rPr>
          <w:rFonts w:ascii="Times New Roman" w:hAnsi="Times New Roman"/>
          <w:sz w:val="24"/>
          <w:szCs w:val="24"/>
        </w:rPr>
        <w:tab/>
      </w:r>
      <w:r w:rsidRPr="00136236">
        <w:rPr>
          <w:rFonts w:ascii="Times New Roman" w:hAnsi="Times New Roman"/>
          <w:sz w:val="24"/>
          <w:szCs w:val="24"/>
        </w:rPr>
        <w:tab/>
      </w:r>
      <w:r w:rsidRPr="00136236">
        <w:rPr>
          <w:rFonts w:ascii="Times New Roman" w:hAnsi="Times New Roman"/>
          <w:sz w:val="24"/>
          <w:szCs w:val="24"/>
        </w:rPr>
        <w:tab/>
        <w:t>(1)</w:t>
      </w:r>
    </w:p>
    <w:p w14:paraId="14308312" w14:textId="32F72293" w:rsidR="00E80AFB" w:rsidRPr="00136236" w:rsidRDefault="000C09F2" w:rsidP="00F31FE9">
      <w:pPr>
        <w:pStyle w:val="NoSpacing"/>
        <w:spacing w:line="276" w:lineRule="auto"/>
        <w:jc w:val="both"/>
        <w:rPr>
          <w:rFonts w:ascii="Times New Roman" w:hAnsi="Times New Roman"/>
          <w:sz w:val="24"/>
          <w:szCs w:val="24"/>
        </w:rPr>
      </w:pPr>
      <w:r>
        <w:rPr>
          <w:rFonts w:ascii="Times New Roman" w:hAnsi="Times New Roman"/>
          <w:sz w:val="24"/>
          <w:szCs w:val="24"/>
        </w:rPr>
        <w:t>OPMR</w:t>
      </w:r>
      <w:r w:rsidR="00E80AFB" w:rsidRPr="00136236">
        <w:rPr>
          <w:rFonts w:ascii="Times New Roman" w:hAnsi="Times New Roman"/>
          <w:sz w:val="24"/>
          <w:szCs w:val="24"/>
        </w:rPr>
        <w:t>= f (</w:t>
      </w:r>
      <w:proofErr w:type="spellStart"/>
      <w:r w:rsidR="00E80AFB" w:rsidRPr="00136236">
        <w:rPr>
          <w:rFonts w:ascii="Times New Roman" w:hAnsi="Times New Roman"/>
          <w:sz w:val="24"/>
          <w:szCs w:val="24"/>
        </w:rPr>
        <w:t>ENV</w:t>
      </w:r>
      <w:r w:rsidR="00F31FE9">
        <w:rPr>
          <w:rFonts w:ascii="Times New Roman" w:hAnsi="Times New Roman"/>
          <w:sz w:val="24"/>
          <w:szCs w:val="24"/>
        </w:rPr>
        <w:t>R</w:t>
      </w:r>
      <w:r w:rsidR="00E80AFB" w:rsidRPr="00136236">
        <w:rPr>
          <w:rFonts w:ascii="Times New Roman" w:hAnsi="Times New Roman"/>
          <w:sz w:val="24"/>
          <w:szCs w:val="24"/>
        </w:rPr>
        <w:t>it</w:t>
      </w:r>
      <w:proofErr w:type="spellEnd"/>
      <w:r w:rsidR="00E80AFB" w:rsidRPr="00136236">
        <w:rPr>
          <w:rFonts w:ascii="Times New Roman" w:hAnsi="Times New Roman"/>
          <w:sz w:val="24"/>
          <w:szCs w:val="24"/>
        </w:rPr>
        <w:t xml:space="preserve"> + </w:t>
      </w:r>
      <w:proofErr w:type="spellStart"/>
      <w:r w:rsidR="00E80AFB" w:rsidRPr="00136236">
        <w:rPr>
          <w:rFonts w:ascii="Times New Roman" w:hAnsi="Times New Roman"/>
          <w:sz w:val="24"/>
          <w:szCs w:val="24"/>
        </w:rPr>
        <w:t>SOC</w:t>
      </w:r>
      <w:r w:rsidR="00A924DD">
        <w:rPr>
          <w:rFonts w:ascii="Times New Roman" w:hAnsi="Times New Roman"/>
          <w:sz w:val="24"/>
          <w:szCs w:val="24"/>
        </w:rPr>
        <w:t>R</w:t>
      </w:r>
      <w:r w:rsidR="00E80AFB" w:rsidRPr="00136236">
        <w:rPr>
          <w:rFonts w:ascii="Times New Roman" w:hAnsi="Times New Roman"/>
          <w:sz w:val="24"/>
          <w:szCs w:val="24"/>
        </w:rPr>
        <w:t>it</w:t>
      </w:r>
      <w:proofErr w:type="spellEnd"/>
      <w:r w:rsidR="00E80AFB" w:rsidRPr="00136236">
        <w:rPr>
          <w:rFonts w:ascii="Times New Roman" w:hAnsi="Times New Roman"/>
          <w:sz w:val="24"/>
          <w:szCs w:val="24"/>
        </w:rPr>
        <w:t xml:space="preserve"> + </w:t>
      </w:r>
      <w:proofErr w:type="spellStart"/>
      <w:r w:rsidR="00E80AFB" w:rsidRPr="00136236">
        <w:rPr>
          <w:rFonts w:ascii="Times New Roman" w:hAnsi="Times New Roman"/>
          <w:sz w:val="24"/>
          <w:szCs w:val="24"/>
        </w:rPr>
        <w:t>GOV</w:t>
      </w:r>
      <w:r w:rsidR="00A924DD">
        <w:rPr>
          <w:rFonts w:ascii="Times New Roman" w:hAnsi="Times New Roman"/>
          <w:sz w:val="24"/>
          <w:szCs w:val="24"/>
        </w:rPr>
        <w:t>R</w:t>
      </w:r>
      <w:r w:rsidR="00E80AFB" w:rsidRPr="00136236">
        <w:rPr>
          <w:rFonts w:ascii="Times New Roman" w:hAnsi="Times New Roman"/>
          <w:sz w:val="24"/>
          <w:szCs w:val="24"/>
        </w:rPr>
        <w:t>it</w:t>
      </w:r>
      <w:proofErr w:type="spellEnd"/>
      <w:r w:rsidR="00E80AFB" w:rsidRPr="00136236">
        <w:rPr>
          <w:rFonts w:ascii="Times New Roman" w:hAnsi="Times New Roman"/>
          <w:sz w:val="24"/>
          <w:szCs w:val="24"/>
        </w:rPr>
        <w:t xml:space="preserve"> + </w:t>
      </w:r>
      <w:proofErr w:type="gramStart"/>
      <w:r w:rsidR="00E80AFB" w:rsidRPr="00136236">
        <w:rPr>
          <w:rFonts w:ascii="Times New Roman" w:hAnsi="Times New Roman"/>
          <w:sz w:val="24"/>
          <w:szCs w:val="24"/>
        </w:rPr>
        <w:t>FIRA)…</w:t>
      </w:r>
      <w:proofErr w:type="gramEnd"/>
      <w:r w:rsidR="00E80AFB" w:rsidRPr="00136236">
        <w:rPr>
          <w:rFonts w:ascii="Times New Roman" w:hAnsi="Times New Roman"/>
          <w:sz w:val="24"/>
          <w:szCs w:val="24"/>
        </w:rPr>
        <w:t xml:space="preserve">……….. </w:t>
      </w:r>
      <w:r w:rsidR="00E80AFB" w:rsidRPr="00136236">
        <w:rPr>
          <w:rFonts w:ascii="Times New Roman" w:hAnsi="Times New Roman"/>
          <w:sz w:val="24"/>
          <w:szCs w:val="24"/>
        </w:rPr>
        <w:tab/>
      </w:r>
      <w:r w:rsidR="00E80AFB" w:rsidRPr="00136236">
        <w:rPr>
          <w:rFonts w:ascii="Times New Roman" w:hAnsi="Times New Roman"/>
          <w:sz w:val="24"/>
          <w:szCs w:val="24"/>
        </w:rPr>
        <w:tab/>
        <w:t>(2)</w:t>
      </w:r>
    </w:p>
    <w:p w14:paraId="246FBD49" w14:textId="77777777" w:rsidR="00A924DD" w:rsidRDefault="00A924DD" w:rsidP="00A924DD">
      <w:pPr>
        <w:pStyle w:val="NoSpacing"/>
        <w:spacing w:line="276" w:lineRule="auto"/>
        <w:jc w:val="both"/>
        <w:rPr>
          <w:rFonts w:ascii="Times New Roman" w:hAnsi="Times New Roman"/>
          <w:sz w:val="24"/>
          <w:szCs w:val="24"/>
        </w:rPr>
      </w:pPr>
    </w:p>
    <w:p w14:paraId="21CDC629" w14:textId="578BACC4" w:rsidR="00E80AFB" w:rsidRPr="00136236" w:rsidRDefault="00E80AFB" w:rsidP="00A924DD">
      <w:pPr>
        <w:pStyle w:val="NoSpacing"/>
        <w:spacing w:line="276" w:lineRule="auto"/>
        <w:jc w:val="both"/>
        <w:rPr>
          <w:rFonts w:ascii="Times New Roman" w:hAnsi="Times New Roman"/>
          <w:sz w:val="24"/>
          <w:szCs w:val="24"/>
        </w:rPr>
      </w:pPr>
      <w:r w:rsidRPr="00136236">
        <w:rPr>
          <w:rFonts w:ascii="Times New Roman" w:hAnsi="Times New Roman"/>
          <w:sz w:val="24"/>
          <w:szCs w:val="24"/>
        </w:rPr>
        <w:t xml:space="preserve">Where Y is the dependent variable which describes </w:t>
      </w:r>
      <w:r w:rsidR="000C09F2">
        <w:rPr>
          <w:rFonts w:ascii="Times New Roman" w:hAnsi="Times New Roman"/>
          <w:sz w:val="24"/>
          <w:szCs w:val="24"/>
        </w:rPr>
        <w:t>operation</w:t>
      </w:r>
      <w:r>
        <w:rPr>
          <w:rFonts w:ascii="Times New Roman" w:hAnsi="Times New Roman"/>
          <w:sz w:val="24"/>
          <w:szCs w:val="24"/>
        </w:rPr>
        <w:t>al</w:t>
      </w:r>
      <w:r w:rsidRPr="00136236">
        <w:rPr>
          <w:rFonts w:ascii="Times New Roman" w:hAnsi="Times New Roman"/>
          <w:sz w:val="24"/>
          <w:szCs w:val="24"/>
        </w:rPr>
        <w:t xml:space="preserve"> performance indicators such as; </w:t>
      </w:r>
    </w:p>
    <w:p w14:paraId="6E37D534" w14:textId="4ECAF977" w:rsidR="00E80AFB" w:rsidRPr="00136236" w:rsidRDefault="00BE415E" w:rsidP="00A924DD">
      <w:pPr>
        <w:pStyle w:val="NoSpacing"/>
        <w:spacing w:line="276" w:lineRule="auto"/>
        <w:jc w:val="both"/>
        <w:rPr>
          <w:rFonts w:ascii="Times New Roman" w:hAnsi="Times New Roman"/>
          <w:sz w:val="24"/>
          <w:szCs w:val="24"/>
        </w:rPr>
      </w:pPr>
      <w:r>
        <w:rPr>
          <w:rFonts w:ascii="Times New Roman" w:hAnsi="Times New Roman"/>
          <w:sz w:val="24"/>
          <w:szCs w:val="24"/>
        </w:rPr>
        <w:t>OPMR =</w:t>
      </w:r>
      <w:r w:rsidR="000C09F2">
        <w:rPr>
          <w:rFonts w:ascii="Times New Roman" w:hAnsi="Times New Roman"/>
          <w:sz w:val="24"/>
          <w:szCs w:val="24"/>
        </w:rPr>
        <w:t xml:space="preserve"> Operational Margin Ratio</w:t>
      </w:r>
    </w:p>
    <w:p w14:paraId="1076EE31" w14:textId="01917DCD" w:rsidR="00E80AFB" w:rsidRPr="00136236" w:rsidRDefault="00E80AFB" w:rsidP="00A924DD">
      <w:pPr>
        <w:pStyle w:val="NoSpacing"/>
        <w:spacing w:line="276" w:lineRule="auto"/>
        <w:jc w:val="both"/>
        <w:rPr>
          <w:rFonts w:ascii="Times New Roman" w:hAnsi="Times New Roman"/>
          <w:sz w:val="24"/>
          <w:szCs w:val="24"/>
        </w:rPr>
      </w:pPr>
      <w:proofErr w:type="spellStart"/>
      <w:r w:rsidRPr="00136236">
        <w:rPr>
          <w:rFonts w:ascii="Times New Roman" w:hAnsi="Times New Roman"/>
          <w:sz w:val="24"/>
          <w:szCs w:val="24"/>
        </w:rPr>
        <w:t>ENV</w:t>
      </w:r>
      <w:r w:rsidR="00A924DD">
        <w:rPr>
          <w:rFonts w:ascii="Times New Roman" w:hAnsi="Times New Roman"/>
          <w:sz w:val="24"/>
          <w:szCs w:val="24"/>
        </w:rPr>
        <w:t>R</w:t>
      </w:r>
      <w:r>
        <w:rPr>
          <w:rFonts w:ascii="Times New Roman" w:hAnsi="Times New Roman"/>
          <w:sz w:val="24"/>
          <w:szCs w:val="24"/>
        </w:rPr>
        <w:t>it</w:t>
      </w:r>
      <w:proofErr w:type="spellEnd"/>
      <w:r w:rsidRPr="00136236">
        <w:rPr>
          <w:rFonts w:ascii="Times New Roman" w:hAnsi="Times New Roman"/>
          <w:sz w:val="24"/>
          <w:szCs w:val="24"/>
        </w:rPr>
        <w:t xml:space="preserve"> = Environmental </w:t>
      </w:r>
      <w:r w:rsidR="000C09F2">
        <w:rPr>
          <w:rFonts w:ascii="Times New Roman" w:hAnsi="Times New Roman"/>
          <w:sz w:val="24"/>
          <w:szCs w:val="24"/>
        </w:rPr>
        <w:t>reporting</w:t>
      </w:r>
    </w:p>
    <w:p w14:paraId="3D9C8852" w14:textId="52210E2D" w:rsidR="00E80AFB" w:rsidRPr="00136236" w:rsidRDefault="00E80AFB" w:rsidP="00A924DD">
      <w:pPr>
        <w:pStyle w:val="NoSpacing"/>
        <w:spacing w:line="276" w:lineRule="auto"/>
        <w:jc w:val="both"/>
        <w:rPr>
          <w:rFonts w:ascii="Times New Roman" w:hAnsi="Times New Roman"/>
          <w:sz w:val="24"/>
          <w:szCs w:val="24"/>
        </w:rPr>
      </w:pPr>
      <w:proofErr w:type="spellStart"/>
      <w:r w:rsidRPr="00136236">
        <w:rPr>
          <w:rFonts w:ascii="Times New Roman" w:hAnsi="Times New Roman"/>
          <w:sz w:val="24"/>
          <w:szCs w:val="24"/>
        </w:rPr>
        <w:t>SOC</w:t>
      </w:r>
      <w:r w:rsidR="00A924DD">
        <w:rPr>
          <w:rFonts w:ascii="Times New Roman" w:hAnsi="Times New Roman"/>
          <w:sz w:val="24"/>
          <w:szCs w:val="24"/>
        </w:rPr>
        <w:t>R</w:t>
      </w:r>
      <w:r>
        <w:rPr>
          <w:rFonts w:ascii="Times New Roman" w:hAnsi="Times New Roman"/>
          <w:sz w:val="24"/>
          <w:szCs w:val="24"/>
        </w:rPr>
        <w:t>it</w:t>
      </w:r>
      <w:proofErr w:type="spellEnd"/>
      <w:r w:rsidRPr="00136236">
        <w:rPr>
          <w:rFonts w:ascii="Times New Roman" w:hAnsi="Times New Roman"/>
          <w:sz w:val="24"/>
          <w:szCs w:val="24"/>
        </w:rPr>
        <w:t xml:space="preserve"> = Social </w:t>
      </w:r>
      <w:r w:rsidR="000C09F2">
        <w:rPr>
          <w:rFonts w:ascii="Times New Roman" w:hAnsi="Times New Roman"/>
          <w:sz w:val="24"/>
          <w:szCs w:val="24"/>
        </w:rPr>
        <w:t>reporting</w:t>
      </w:r>
      <w:r w:rsidRPr="00136236">
        <w:rPr>
          <w:rFonts w:ascii="Times New Roman" w:hAnsi="Times New Roman"/>
          <w:sz w:val="24"/>
          <w:szCs w:val="24"/>
        </w:rPr>
        <w:t xml:space="preserve"> </w:t>
      </w:r>
    </w:p>
    <w:p w14:paraId="27C4E56C" w14:textId="2FA49242" w:rsidR="000C09F2" w:rsidRDefault="00E80AFB" w:rsidP="00A924DD">
      <w:pPr>
        <w:pStyle w:val="NoSpacing"/>
        <w:spacing w:line="276" w:lineRule="auto"/>
        <w:jc w:val="both"/>
        <w:rPr>
          <w:rFonts w:ascii="Times New Roman" w:hAnsi="Times New Roman"/>
          <w:sz w:val="24"/>
          <w:szCs w:val="24"/>
        </w:rPr>
      </w:pPr>
      <w:proofErr w:type="spellStart"/>
      <w:r w:rsidRPr="00136236">
        <w:rPr>
          <w:rFonts w:ascii="Times New Roman" w:hAnsi="Times New Roman"/>
          <w:sz w:val="24"/>
          <w:szCs w:val="24"/>
        </w:rPr>
        <w:t>GOV</w:t>
      </w:r>
      <w:r w:rsidR="00A924DD">
        <w:rPr>
          <w:rFonts w:ascii="Times New Roman" w:hAnsi="Times New Roman"/>
          <w:sz w:val="24"/>
          <w:szCs w:val="24"/>
        </w:rPr>
        <w:t>R</w:t>
      </w:r>
      <w:r>
        <w:rPr>
          <w:rFonts w:ascii="Times New Roman" w:hAnsi="Times New Roman"/>
          <w:sz w:val="24"/>
          <w:szCs w:val="24"/>
        </w:rPr>
        <w:t>it</w:t>
      </w:r>
      <w:proofErr w:type="spellEnd"/>
      <w:r>
        <w:rPr>
          <w:rFonts w:ascii="Times New Roman" w:hAnsi="Times New Roman"/>
          <w:sz w:val="24"/>
          <w:szCs w:val="24"/>
        </w:rPr>
        <w:t xml:space="preserve"> </w:t>
      </w:r>
      <w:r w:rsidRPr="00136236">
        <w:rPr>
          <w:rFonts w:ascii="Times New Roman" w:hAnsi="Times New Roman"/>
          <w:sz w:val="24"/>
          <w:szCs w:val="24"/>
        </w:rPr>
        <w:t xml:space="preserve">= Governance </w:t>
      </w:r>
      <w:r w:rsidR="000C09F2">
        <w:rPr>
          <w:rFonts w:ascii="Times New Roman" w:hAnsi="Times New Roman"/>
          <w:sz w:val="24"/>
          <w:szCs w:val="24"/>
        </w:rPr>
        <w:t>reporting</w:t>
      </w:r>
      <w:r w:rsidR="000C09F2" w:rsidRPr="00136236">
        <w:rPr>
          <w:rFonts w:ascii="Times New Roman" w:hAnsi="Times New Roman"/>
          <w:sz w:val="24"/>
          <w:szCs w:val="24"/>
        </w:rPr>
        <w:t xml:space="preserve"> </w:t>
      </w:r>
    </w:p>
    <w:p w14:paraId="2E31F231" w14:textId="350F89E5" w:rsidR="00F55AA8" w:rsidRDefault="00F55AA8" w:rsidP="00A924DD">
      <w:pPr>
        <w:pStyle w:val="NoSpacing"/>
        <w:spacing w:line="276" w:lineRule="auto"/>
        <w:jc w:val="both"/>
        <w:rPr>
          <w:rFonts w:ascii="Times New Roman" w:hAnsi="Times New Roman"/>
          <w:sz w:val="24"/>
          <w:szCs w:val="24"/>
        </w:rPr>
      </w:pPr>
      <w:r>
        <w:rPr>
          <w:rFonts w:ascii="Times New Roman" w:hAnsi="Times New Roman"/>
          <w:sz w:val="24"/>
          <w:szCs w:val="24"/>
        </w:rPr>
        <w:t>FIRA = Firm Age</w:t>
      </w:r>
    </w:p>
    <w:p w14:paraId="15FB5A58" w14:textId="3B00C651" w:rsidR="00E80AFB" w:rsidRDefault="00E80AFB" w:rsidP="00A924DD">
      <w:pPr>
        <w:pStyle w:val="NoSpacing"/>
        <w:spacing w:line="276" w:lineRule="auto"/>
        <w:jc w:val="both"/>
        <w:rPr>
          <w:rFonts w:ascii="Times New Roman" w:hAnsi="Times New Roman"/>
          <w:sz w:val="24"/>
          <w:szCs w:val="24"/>
        </w:rPr>
      </w:pPr>
      <w:r w:rsidRPr="00136236">
        <w:rPr>
          <w:rFonts w:ascii="Times New Roman" w:hAnsi="Times New Roman"/>
          <w:sz w:val="24"/>
          <w:szCs w:val="24"/>
        </w:rPr>
        <w:t xml:space="preserve">E is the error term capturing other explanatory variables not explicitly included in the model. </w:t>
      </w:r>
    </w:p>
    <w:p w14:paraId="4C4EE5E2" w14:textId="77777777" w:rsidR="00AD2809" w:rsidRDefault="00AD2809" w:rsidP="009110F6">
      <w:pPr>
        <w:jc w:val="both"/>
        <w:rPr>
          <w:rFonts w:ascii="Times New Roman" w:eastAsia="Arial Unicode MS" w:hAnsi="Times New Roman"/>
          <w:color w:val="000000"/>
          <w:sz w:val="24"/>
          <w:szCs w:val="24"/>
        </w:rPr>
      </w:pPr>
    </w:p>
    <w:p w14:paraId="186448FF" w14:textId="45E87AA8" w:rsidR="009110F6" w:rsidRPr="0061737D" w:rsidRDefault="00400247" w:rsidP="009110F6">
      <w:pPr>
        <w:jc w:val="both"/>
        <w:rPr>
          <w:rFonts w:ascii="Times New Roman" w:eastAsia="Arial Unicode MS" w:hAnsi="Times New Roman"/>
          <w:b/>
          <w:bCs/>
          <w:color w:val="000000"/>
          <w:sz w:val="24"/>
          <w:szCs w:val="24"/>
        </w:rPr>
      </w:pPr>
      <w:r>
        <w:rPr>
          <w:rFonts w:ascii="Times New Roman" w:eastAsia="Arial Unicode MS" w:hAnsi="Times New Roman"/>
          <w:b/>
          <w:bCs/>
          <w:color w:val="000000"/>
          <w:sz w:val="24"/>
          <w:szCs w:val="24"/>
        </w:rPr>
        <w:t>4.0</w:t>
      </w:r>
      <w:r>
        <w:rPr>
          <w:rFonts w:ascii="Times New Roman" w:eastAsia="Arial Unicode MS" w:hAnsi="Times New Roman"/>
          <w:b/>
          <w:bCs/>
          <w:color w:val="000000"/>
          <w:sz w:val="24"/>
          <w:szCs w:val="24"/>
        </w:rPr>
        <w:tab/>
      </w:r>
      <w:r w:rsidRPr="0061737D">
        <w:rPr>
          <w:rFonts w:ascii="Times New Roman" w:eastAsia="Arial Unicode MS" w:hAnsi="Times New Roman"/>
          <w:b/>
          <w:bCs/>
          <w:color w:val="000000"/>
          <w:sz w:val="24"/>
          <w:szCs w:val="24"/>
        </w:rPr>
        <w:t>Result and Analysis</w:t>
      </w:r>
    </w:p>
    <w:p w14:paraId="345B19C1" w14:textId="021BEB44" w:rsidR="001A12E2" w:rsidRPr="00432C69" w:rsidRDefault="002C3C4C" w:rsidP="00432C69">
      <w:pPr>
        <w:rPr>
          <w:rFonts w:ascii="Times New Roman" w:hAnsi="Times New Roman"/>
          <w:b/>
          <w:bCs/>
          <w:sz w:val="24"/>
          <w:szCs w:val="24"/>
        </w:rPr>
      </w:pPr>
      <w:r>
        <w:rPr>
          <w:rFonts w:ascii="Times New Roman" w:hAnsi="Times New Roman"/>
          <w:b/>
          <w:bCs/>
          <w:sz w:val="24"/>
          <w:szCs w:val="24"/>
        </w:rPr>
        <w:t xml:space="preserve">Table </w:t>
      </w:r>
      <w:r w:rsidR="00432C69" w:rsidRPr="005043C7">
        <w:rPr>
          <w:rFonts w:ascii="Times New Roman" w:hAnsi="Times New Roman"/>
          <w:b/>
          <w:bCs/>
          <w:sz w:val="24"/>
          <w:szCs w:val="24"/>
        </w:rPr>
        <w:t>1</w:t>
      </w:r>
      <w:r w:rsidR="00BE415E">
        <w:rPr>
          <w:rFonts w:ascii="Times New Roman" w:hAnsi="Times New Roman"/>
          <w:b/>
          <w:bCs/>
          <w:sz w:val="24"/>
          <w:szCs w:val="24"/>
        </w:rPr>
        <w:t xml:space="preserve">: </w:t>
      </w:r>
      <w:r w:rsidR="00432C69" w:rsidRPr="005043C7">
        <w:rPr>
          <w:rFonts w:ascii="Times New Roman" w:hAnsi="Times New Roman"/>
          <w:b/>
          <w:bCs/>
          <w:sz w:val="24"/>
          <w:szCs w:val="24"/>
        </w:rPr>
        <w:t>Descriptive Statistics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D23DAF" w:rsidRPr="00D23DAF" w14:paraId="1395FC9D" w14:textId="77777777" w:rsidTr="00D23DAF">
        <w:trPr>
          <w:trHeight w:val="225"/>
        </w:trPr>
        <w:tc>
          <w:tcPr>
            <w:tcW w:w="1492" w:type="dxa"/>
            <w:vAlign w:val="bottom"/>
          </w:tcPr>
          <w:p w14:paraId="4D478D10"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3" w:type="dxa"/>
            <w:vAlign w:val="bottom"/>
          </w:tcPr>
          <w:p w14:paraId="4CFB8577" w14:textId="77777777" w:rsidR="00D23DAF" w:rsidRPr="005A164B" w:rsidRDefault="00D23DAF" w:rsidP="00575DB7">
            <w:pPr>
              <w:autoSpaceDE w:val="0"/>
              <w:autoSpaceDN w:val="0"/>
              <w:adjustRightInd w:val="0"/>
              <w:spacing w:after="0" w:line="240" w:lineRule="auto"/>
              <w:jc w:val="center"/>
              <w:rPr>
                <w:rFonts w:ascii="Times New Roman" w:hAnsi="Times New Roman"/>
                <w:b/>
                <w:bCs/>
                <w:color w:val="000000"/>
                <w:sz w:val="24"/>
                <w:szCs w:val="24"/>
              </w:rPr>
            </w:pPr>
            <w:r w:rsidRPr="005A164B">
              <w:rPr>
                <w:rFonts w:ascii="Times New Roman" w:hAnsi="Times New Roman"/>
                <w:b/>
                <w:bCs/>
                <w:color w:val="000000"/>
                <w:sz w:val="24"/>
                <w:szCs w:val="24"/>
              </w:rPr>
              <w:t>OPMR</w:t>
            </w:r>
          </w:p>
        </w:tc>
        <w:tc>
          <w:tcPr>
            <w:tcW w:w="1312" w:type="dxa"/>
            <w:vAlign w:val="bottom"/>
          </w:tcPr>
          <w:p w14:paraId="683BFA39" w14:textId="041D48C4" w:rsidR="00D23DAF" w:rsidRPr="005A164B" w:rsidRDefault="00D23DAF" w:rsidP="00575DB7">
            <w:pPr>
              <w:autoSpaceDE w:val="0"/>
              <w:autoSpaceDN w:val="0"/>
              <w:adjustRightInd w:val="0"/>
              <w:spacing w:after="0" w:line="240" w:lineRule="auto"/>
              <w:jc w:val="center"/>
              <w:rPr>
                <w:rFonts w:ascii="Times New Roman" w:hAnsi="Times New Roman"/>
                <w:b/>
                <w:bCs/>
                <w:color w:val="000000"/>
                <w:sz w:val="24"/>
                <w:szCs w:val="24"/>
              </w:rPr>
            </w:pPr>
            <w:r w:rsidRPr="005A164B">
              <w:rPr>
                <w:rFonts w:ascii="Times New Roman" w:hAnsi="Times New Roman"/>
                <w:b/>
                <w:bCs/>
                <w:color w:val="000000"/>
                <w:sz w:val="24"/>
                <w:szCs w:val="24"/>
              </w:rPr>
              <w:t>ENV</w:t>
            </w:r>
            <w:r w:rsidR="005A164B">
              <w:rPr>
                <w:rFonts w:ascii="Times New Roman" w:hAnsi="Times New Roman"/>
                <w:b/>
                <w:bCs/>
                <w:color w:val="000000"/>
                <w:sz w:val="24"/>
                <w:szCs w:val="24"/>
              </w:rPr>
              <w:t>R</w:t>
            </w:r>
          </w:p>
        </w:tc>
        <w:tc>
          <w:tcPr>
            <w:tcW w:w="1313" w:type="dxa"/>
            <w:vAlign w:val="bottom"/>
          </w:tcPr>
          <w:p w14:paraId="5FFB4E4C" w14:textId="727D33BF" w:rsidR="00D23DAF" w:rsidRPr="005A164B" w:rsidRDefault="00D23DAF" w:rsidP="00575DB7">
            <w:pPr>
              <w:autoSpaceDE w:val="0"/>
              <w:autoSpaceDN w:val="0"/>
              <w:adjustRightInd w:val="0"/>
              <w:spacing w:after="0" w:line="240" w:lineRule="auto"/>
              <w:jc w:val="center"/>
              <w:rPr>
                <w:rFonts w:ascii="Times New Roman" w:hAnsi="Times New Roman"/>
                <w:b/>
                <w:bCs/>
                <w:color w:val="000000"/>
                <w:sz w:val="24"/>
                <w:szCs w:val="24"/>
              </w:rPr>
            </w:pPr>
            <w:r w:rsidRPr="005A164B">
              <w:rPr>
                <w:rFonts w:ascii="Times New Roman" w:hAnsi="Times New Roman"/>
                <w:b/>
                <w:bCs/>
                <w:color w:val="000000"/>
                <w:sz w:val="24"/>
                <w:szCs w:val="24"/>
              </w:rPr>
              <w:t>SOC</w:t>
            </w:r>
            <w:r w:rsidR="005A164B">
              <w:rPr>
                <w:rFonts w:ascii="Times New Roman" w:hAnsi="Times New Roman"/>
                <w:b/>
                <w:bCs/>
                <w:color w:val="000000"/>
                <w:sz w:val="24"/>
                <w:szCs w:val="24"/>
              </w:rPr>
              <w:t>R</w:t>
            </w:r>
          </w:p>
        </w:tc>
        <w:tc>
          <w:tcPr>
            <w:tcW w:w="1312" w:type="dxa"/>
            <w:vAlign w:val="bottom"/>
          </w:tcPr>
          <w:p w14:paraId="46F7A189" w14:textId="483729D7" w:rsidR="00D23DAF" w:rsidRPr="005A164B" w:rsidRDefault="00D23DAF" w:rsidP="00575DB7">
            <w:pPr>
              <w:autoSpaceDE w:val="0"/>
              <w:autoSpaceDN w:val="0"/>
              <w:adjustRightInd w:val="0"/>
              <w:spacing w:after="0" w:line="240" w:lineRule="auto"/>
              <w:jc w:val="center"/>
              <w:rPr>
                <w:rFonts w:ascii="Times New Roman" w:hAnsi="Times New Roman"/>
                <w:b/>
                <w:bCs/>
                <w:color w:val="000000"/>
                <w:sz w:val="24"/>
                <w:szCs w:val="24"/>
              </w:rPr>
            </w:pPr>
            <w:r w:rsidRPr="005A164B">
              <w:rPr>
                <w:rFonts w:ascii="Times New Roman" w:hAnsi="Times New Roman"/>
                <w:b/>
                <w:bCs/>
                <w:color w:val="000000"/>
                <w:sz w:val="24"/>
                <w:szCs w:val="24"/>
              </w:rPr>
              <w:t>GOV</w:t>
            </w:r>
            <w:r w:rsidR="005A164B">
              <w:rPr>
                <w:rFonts w:ascii="Times New Roman" w:hAnsi="Times New Roman"/>
                <w:b/>
                <w:bCs/>
                <w:color w:val="000000"/>
                <w:sz w:val="24"/>
                <w:szCs w:val="24"/>
              </w:rPr>
              <w:t>R</w:t>
            </w:r>
          </w:p>
        </w:tc>
        <w:tc>
          <w:tcPr>
            <w:tcW w:w="1313" w:type="dxa"/>
            <w:vAlign w:val="bottom"/>
          </w:tcPr>
          <w:p w14:paraId="24FCDC23" w14:textId="3029E04C" w:rsidR="00D23DAF" w:rsidRPr="005A164B" w:rsidRDefault="00D23DAF" w:rsidP="00575DB7">
            <w:pPr>
              <w:autoSpaceDE w:val="0"/>
              <w:autoSpaceDN w:val="0"/>
              <w:adjustRightInd w:val="0"/>
              <w:spacing w:after="0" w:line="240" w:lineRule="auto"/>
              <w:jc w:val="center"/>
              <w:rPr>
                <w:rFonts w:ascii="Times New Roman" w:hAnsi="Times New Roman"/>
                <w:b/>
                <w:bCs/>
                <w:color w:val="000000"/>
                <w:sz w:val="24"/>
                <w:szCs w:val="24"/>
              </w:rPr>
            </w:pPr>
            <w:r w:rsidRPr="005A164B">
              <w:rPr>
                <w:rFonts w:ascii="Times New Roman" w:hAnsi="Times New Roman"/>
                <w:b/>
                <w:bCs/>
                <w:color w:val="000000"/>
                <w:sz w:val="24"/>
                <w:szCs w:val="24"/>
              </w:rPr>
              <w:t>F</w:t>
            </w:r>
            <w:r w:rsidR="00F55AA8">
              <w:rPr>
                <w:rFonts w:ascii="Times New Roman" w:hAnsi="Times New Roman"/>
                <w:b/>
                <w:bCs/>
                <w:color w:val="000000"/>
                <w:sz w:val="24"/>
                <w:szCs w:val="24"/>
              </w:rPr>
              <w:t>I</w:t>
            </w:r>
            <w:r w:rsidRPr="005A164B">
              <w:rPr>
                <w:rFonts w:ascii="Times New Roman" w:hAnsi="Times New Roman"/>
                <w:b/>
                <w:bCs/>
                <w:color w:val="000000"/>
                <w:sz w:val="24"/>
                <w:szCs w:val="24"/>
              </w:rPr>
              <w:t>RA</w:t>
            </w:r>
          </w:p>
        </w:tc>
      </w:tr>
      <w:tr w:rsidR="00D23DAF" w:rsidRPr="00D23DAF" w14:paraId="295C56AB" w14:textId="77777777" w:rsidTr="00D23DAF">
        <w:trPr>
          <w:trHeight w:val="225"/>
        </w:trPr>
        <w:tc>
          <w:tcPr>
            <w:tcW w:w="1492" w:type="dxa"/>
            <w:vAlign w:val="bottom"/>
          </w:tcPr>
          <w:p w14:paraId="7C08DAF7"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Mean</w:t>
            </w:r>
          </w:p>
        </w:tc>
        <w:tc>
          <w:tcPr>
            <w:tcW w:w="1313" w:type="dxa"/>
            <w:vAlign w:val="bottom"/>
          </w:tcPr>
          <w:p w14:paraId="7AC51DF4"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0.161483</w:t>
            </w:r>
          </w:p>
        </w:tc>
        <w:tc>
          <w:tcPr>
            <w:tcW w:w="1312" w:type="dxa"/>
            <w:vAlign w:val="bottom"/>
          </w:tcPr>
          <w:p w14:paraId="771B0CF4"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8.312500</w:t>
            </w:r>
          </w:p>
        </w:tc>
        <w:tc>
          <w:tcPr>
            <w:tcW w:w="1313" w:type="dxa"/>
            <w:vAlign w:val="bottom"/>
          </w:tcPr>
          <w:p w14:paraId="63CCDB75"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8.458333</w:t>
            </w:r>
          </w:p>
        </w:tc>
        <w:tc>
          <w:tcPr>
            <w:tcW w:w="1312" w:type="dxa"/>
            <w:vAlign w:val="bottom"/>
          </w:tcPr>
          <w:p w14:paraId="450C0A38"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9.041667</w:t>
            </w:r>
          </w:p>
        </w:tc>
        <w:tc>
          <w:tcPr>
            <w:tcW w:w="1313" w:type="dxa"/>
            <w:vAlign w:val="bottom"/>
          </w:tcPr>
          <w:p w14:paraId="79F0E3B4"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45.87500</w:t>
            </w:r>
          </w:p>
        </w:tc>
      </w:tr>
      <w:tr w:rsidR="00D23DAF" w:rsidRPr="00D23DAF" w14:paraId="7475AAD6" w14:textId="77777777" w:rsidTr="00D23DAF">
        <w:trPr>
          <w:trHeight w:val="225"/>
        </w:trPr>
        <w:tc>
          <w:tcPr>
            <w:tcW w:w="1492" w:type="dxa"/>
            <w:vAlign w:val="bottom"/>
          </w:tcPr>
          <w:p w14:paraId="5675B5B6"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Median</w:t>
            </w:r>
          </w:p>
        </w:tc>
        <w:tc>
          <w:tcPr>
            <w:tcW w:w="1313" w:type="dxa"/>
            <w:vAlign w:val="bottom"/>
          </w:tcPr>
          <w:p w14:paraId="7CC8EDEA"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0.096400</w:t>
            </w:r>
          </w:p>
        </w:tc>
        <w:tc>
          <w:tcPr>
            <w:tcW w:w="1312" w:type="dxa"/>
            <w:vAlign w:val="bottom"/>
          </w:tcPr>
          <w:p w14:paraId="435C324D"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8.000000</w:t>
            </w:r>
          </w:p>
        </w:tc>
        <w:tc>
          <w:tcPr>
            <w:tcW w:w="1313" w:type="dxa"/>
            <w:vAlign w:val="bottom"/>
          </w:tcPr>
          <w:p w14:paraId="43029D66"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8.000000</w:t>
            </w:r>
          </w:p>
        </w:tc>
        <w:tc>
          <w:tcPr>
            <w:tcW w:w="1312" w:type="dxa"/>
            <w:vAlign w:val="bottom"/>
          </w:tcPr>
          <w:p w14:paraId="565D1B55"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9.000000</w:t>
            </w:r>
          </w:p>
        </w:tc>
        <w:tc>
          <w:tcPr>
            <w:tcW w:w="1313" w:type="dxa"/>
            <w:vAlign w:val="bottom"/>
          </w:tcPr>
          <w:p w14:paraId="4CEE7E72"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59.50000</w:t>
            </w:r>
          </w:p>
        </w:tc>
      </w:tr>
      <w:tr w:rsidR="00D23DAF" w:rsidRPr="00D23DAF" w14:paraId="4AEA7955" w14:textId="77777777" w:rsidTr="00D23DAF">
        <w:trPr>
          <w:trHeight w:val="225"/>
        </w:trPr>
        <w:tc>
          <w:tcPr>
            <w:tcW w:w="1492" w:type="dxa"/>
            <w:vAlign w:val="bottom"/>
          </w:tcPr>
          <w:p w14:paraId="6127C242"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Maximum</w:t>
            </w:r>
          </w:p>
        </w:tc>
        <w:tc>
          <w:tcPr>
            <w:tcW w:w="1313" w:type="dxa"/>
            <w:vAlign w:val="bottom"/>
          </w:tcPr>
          <w:p w14:paraId="4D545B2E"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0.447100</w:t>
            </w:r>
          </w:p>
        </w:tc>
        <w:tc>
          <w:tcPr>
            <w:tcW w:w="1312" w:type="dxa"/>
            <w:vAlign w:val="bottom"/>
          </w:tcPr>
          <w:p w14:paraId="383AE18E"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10.00000</w:t>
            </w:r>
          </w:p>
        </w:tc>
        <w:tc>
          <w:tcPr>
            <w:tcW w:w="1313" w:type="dxa"/>
            <w:vAlign w:val="bottom"/>
          </w:tcPr>
          <w:p w14:paraId="45EBE95D"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10.00000</w:t>
            </w:r>
          </w:p>
        </w:tc>
        <w:tc>
          <w:tcPr>
            <w:tcW w:w="1312" w:type="dxa"/>
            <w:vAlign w:val="bottom"/>
          </w:tcPr>
          <w:p w14:paraId="06647A64"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10.00000</w:t>
            </w:r>
          </w:p>
        </w:tc>
        <w:tc>
          <w:tcPr>
            <w:tcW w:w="1313" w:type="dxa"/>
            <w:vAlign w:val="bottom"/>
          </w:tcPr>
          <w:p w14:paraId="57B80D7E"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68.00000</w:t>
            </w:r>
          </w:p>
        </w:tc>
      </w:tr>
      <w:tr w:rsidR="00D23DAF" w:rsidRPr="00D23DAF" w14:paraId="48D00FA5" w14:textId="77777777" w:rsidTr="00D23DAF">
        <w:trPr>
          <w:trHeight w:val="225"/>
        </w:trPr>
        <w:tc>
          <w:tcPr>
            <w:tcW w:w="1492" w:type="dxa"/>
            <w:vAlign w:val="bottom"/>
          </w:tcPr>
          <w:p w14:paraId="203D9490"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Minimum</w:t>
            </w:r>
          </w:p>
        </w:tc>
        <w:tc>
          <w:tcPr>
            <w:tcW w:w="1313" w:type="dxa"/>
            <w:vAlign w:val="bottom"/>
          </w:tcPr>
          <w:p w14:paraId="75791441"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-0.157000</w:t>
            </w:r>
          </w:p>
        </w:tc>
        <w:tc>
          <w:tcPr>
            <w:tcW w:w="1312" w:type="dxa"/>
            <w:vAlign w:val="bottom"/>
          </w:tcPr>
          <w:p w14:paraId="410AE771"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6.000000</w:t>
            </w:r>
          </w:p>
        </w:tc>
        <w:tc>
          <w:tcPr>
            <w:tcW w:w="1313" w:type="dxa"/>
            <w:vAlign w:val="bottom"/>
          </w:tcPr>
          <w:p w14:paraId="5A5DAE32"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7.000000</w:t>
            </w:r>
          </w:p>
        </w:tc>
        <w:tc>
          <w:tcPr>
            <w:tcW w:w="1312" w:type="dxa"/>
            <w:vAlign w:val="bottom"/>
          </w:tcPr>
          <w:p w14:paraId="56F08D54"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8.000000</w:t>
            </w:r>
          </w:p>
        </w:tc>
        <w:tc>
          <w:tcPr>
            <w:tcW w:w="1313" w:type="dxa"/>
            <w:vAlign w:val="bottom"/>
          </w:tcPr>
          <w:p w14:paraId="656AAF32"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10.00000</w:t>
            </w:r>
          </w:p>
        </w:tc>
      </w:tr>
      <w:tr w:rsidR="00D23DAF" w:rsidRPr="00D23DAF" w14:paraId="7C4C0AE4" w14:textId="77777777" w:rsidTr="00D23DAF">
        <w:trPr>
          <w:trHeight w:val="225"/>
        </w:trPr>
        <w:tc>
          <w:tcPr>
            <w:tcW w:w="1492" w:type="dxa"/>
            <w:vAlign w:val="bottom"/>
          </w:tcPr>
          <w:p w14:paraId="70F4F7CB"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Std. Dev.</w:t>
            </w:r>
          </w:p>
        </w:tc>
        <w:tc>
          <w:tcPr>
            <w:tcW w:w="1313" w:type="dxa"/>
            <w:vAlign w:val="bottom"/>
          </w:tcPr>
          <w:p w14:paraId="00D31233"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0.166626</w:t>
            </w:r>
          </w:p>
        </w:tc>
        <w:tc>
          <w:tcPr>
            <w:tcW w:w="1312" w:type="dxa"/>
            <w:vAlign w:val="bottom"/>
          </w:tcPr>
          <w:p w14:paraId="3C6DCDEC"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1.205594</w:t>
            </w:r>
          </w:p>
        </w:tc>
        <w:tc>
          <w:tcPr>
            <w:tcW w:w="1313" w:type="dxa"/>
            <w:vAlign w:val="bottom"/>
          </w:tcPr>
          <w:p w14:paraId="5B81B4B2"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0.988408</w:t>
            </w:r>
          </w:p>
        </w:tc>
        <w:tc>
          <w:tcPr>
            <w:tcW w:w="1312" w:type="dxa"/>
            <w:vAlign w:val="bottom"/>
          </w:tcPr>
          <w:p w14:paraId="19FDED6E"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0.797825</w:t>
            </w:r>
          </w:p>
        </w:tc>
        <w:tc>
          <w:tcPr>
            <w:tcW w:w="1313" w:type="dxa"/>
            <w:vAlign w:val="bottom"/>
          </w:tcPr>
          <w:p w14:paraId="3D8A437E"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22.14423</w:t>
            </w:r>
          </w:p>
        </w:tc>
      </w:tr>
      <w:tr w:rsidR="00D23DAF" w:rsidRPr="00D23DAF" w14:paraId="0E83D71D" w14:textId="77777777" w:rsidTr="00D23DAF">
        <w:trPr>
          <w:trHeight w:val="225"/>
        </w:trPr>
        <w:tc>
          <w:tcPr>
            <w:tcW w:w="1492" w:type="dxa"/>
            <w:vAlign w:val="bottom"/>
          </w:tcPr>
          <w:p w14:paraId="0C4AD008"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Skewness</w:t>
            </w:r>
          </w:p>
        </w:tc>
        <w:tc>
          <w:tcPr>
            <w:tcW w:w="1313" w:type="dxa"/>
            <w:vAlign w:val="bottom"/>
          </w:tcPr>
          <w:p w14:paraId="2D1B787B"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0.367354</w:t>
            </w:r>
          </w:p>
        </w:tc>
        <w:tc>
          <w:tcPr>
            <w:tcW w:w="1312" w:type="dxa"/>
            <w:vAlign w:val="bottom"/>
          </w:tcPr>
          <w:p w14:paraId="11E9DBA8"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-0.104397</w:t>
            </w:r>
          </w:p>
        </w:tc>
        <w:tc>
          <w:tcPr>
            <w:tcW w:w="1313" w:type="dxa"/>
            <w:vAlign w:val="bottom"/>
          </w:tcPr>
          <w:p w14:paraId="539C6EC2"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0.183550</w:t>
            </w:r>
          </w:p>
        </w:tc>
        <w:tc>
          <w:tcPr>
            <w:tcW w:w="1312" w:type="dxa"/>
            <w:vAlign w:val="bottom"/>
          </w:tcPr>
          <w:p w14:paraId="3351E131"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-0.073801</w:t>
            </w:r>
          </w:p>
        </w:tc>
        <w:tc>
          <w:tcPr>
            <w:tcW w:w="1313" w:type="dxa"/>
            <w:vAlign w:val="bottom"/>
          </w:tcPr>
          <w:p w14:paraId="6738F109"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-0.611864</w:t>
            </w:r>
          </w:p>
        </w:tc>
      </w:tr>
      <w:tr w:rsidR="00D23DAF" w:rsidRPr="00D23DAF" w14:paraId="40D3F319" w14:textId="77777777" w:rsidTr="00D23DAF">
        <w:trPr>
          <w:trHeight w:val="225"/>
        </w:trPr>
        <w:tc>
          <w:tcPr>
            <w:tcW w:w="1492" w:type="dxa"/>
            <w:vAlign w:val="bottom"/>
          </w:tcPr>
          <w:p w14:paraId="72E03C23"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Kurtosis</w:t>
            </w:r>
          </w:p>
        </w:tc>
        <w:tc>
          <w:tcPr>
            <w:tcW w:w="1313" w:type="dxa"/>
            <w:vAlign w:val="bottom"/>
          </w:tcPr>
          <w:p w14:paraId="1F700B4B"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1.754818</w:t>
            </w:r>
          </w:p>
        </w:tc>
        <w:tc>
          <w:tcPr>
            <w:tcW w:w="1312" w:type="dxa"/>
            <w:vAlign w:val="bottom"/>
          </w:tcPr>
          <w:p w14:paraId="286E0A66"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2.048432</w:t>
            </w:r>
          </w:p>
        </w:tc>
        <w:tc>
          <w:tcPr>
            <w:tcW w:w="1313" w:type="dxa"/>
            <w:vAlign w:val="bottom"/>
          </w:tcPr>
          <w:p w14:paraId="2091AFD7"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2.023857</w:t>
            </w:r>
          </w:p>
        </w:tc>
        <w:tc>
          <w:tcPr>
            <w:tcW w:w="1312" w:type="dxa"/>
            <w:vAlign w:val="bottom"/>
          </w:tcPr>
          <w:p w14:paraId="10139B35"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1.607785</w:t>
            </w:r>
          </w:p>
        </w:tc>
        <w:tc>
          <w:tcPr>
            <w:tcW w:w="1313" w:type="dxa"/>
            <w:vAlign w:val="bottom"/>
          </w:tcPr>
          <w:p w14:paraId="5B35FA66"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1.572961</w:t>
            </w:r>
          </w:p>
        </w:tc>
      </w:tr>
      <w:tr w:rsidR="00D23DAF" w:rsidRPr="00D23DAF" w14:paraId="183422EE" w14:textId="77777777" w:rsidTr="00D23DAF">
        <w:trPr>
          <w:trHeight w:val="225"/>
        </w:trPr>
        <w:tc>
          <w:tcPr>
            <w:tcW w:w="1492" w:type="dxa"/>
            <w:vAlign w:val="bottom"/>
          </w:tcPr>
          <w:p w14:paraId="1E21C9F8"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3" w:type="dxa"/>
            <w:vAlign w:val="bottom"/>
          </w:tcPr>
          <w:p w14:paraId="114DF84D"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2" w:type="dxa"/>
            <w:vAlign w:val="bottom"/>
          </w:tcPr>
          <w:p w14:paraId="773B6734"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3" w:type="dxa"/>
            <w:vAlign w:val="bottom"/>
          </w:tcPr>
          <w:p w14:paraId="3CF32FCD"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2" w:type="dxa"/>
            <w:vAlign w:val="bottom"/>
          </w:tcPr>
          <w:p w14:paraId="587D9354"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3" w:type="dxa"/>
            <w:vAlign w:val="bottom"/>
          </w:tcPr>
          <w:p w14:paraId="6489DEC5"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r>
      <w:tr w:rsidR="00D23DAF" w:rsidRPr="00D23DAF" w14:paraId="45FFDAB7" w14:textId="77777777" w:rsidTr="00D23DAF">
        <w:trPr>
          <w:trHeight w:val="225"/>
        </w:trPr>
        <w:tc>
          <w:tcPr>
            <w:tcW w:w="1492" w:type="dxa"/>
            <w:vAlign w:val="bottom"/>
          </w:tcPr>
          <w:p w14:paraId="232CC580"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Jarque-Bera</w:t>
            </w:r>
          </w:p>
        </w:tc>
        <w:tc>
          <w:tcPr>
            <w:tcW w:w="1313" w:type="dxa"/>
            <w:vAlign w:val="bottom"/>
          </w:tcPr>
          <w:p w14:paraId="07A18C75"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4.180548</w:t>
            </w:r>
          </w:p>
        </w:tc>
        <w:tc>
          <w:tcPr>
            <w:tcW w:w="1312" w:type="dxa"/>
            <w:vAlign w:val="bottom"/>
          </w:tcPr>
          <w:p w14:paraId="5B960685"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1.898154</w:t>
            </w:r>
          </w:p>
        </w:tc>
        <w:tc>
          <w:tcPr>
            <w:tcW w:w="1313" w:type="dxa"/>
            <w:vAlign w:val="bottom"/>
          </w:tcPr>
          <w:p w14:paraId="258507FE"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2.175234</w:t>
            </w:r>
          </w:p>
        </w:tc>
        <w:tc>
          <w:tcPr>
            <w:tcW w:w="1312" w:type="dxa"/>
            <w:vAlign w:val="bottom"/>
          </w:tcPr>
          <w:p w14:paraId="7B904F6C"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3.920095</w:t>
            </w:r>
          </w:p>
        </w:tc>
        <w:tc>
          <w:tcPr>
            <w:tcW w:w="1313" w:type="dxa"/>
            <w:vAlign w:val="bottom"/>
          </w:tcPr>
          <w:p w14:paraId="6A43CC41"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7.067900</w:t>
            </w:r>
          </w:p>
        </w:tc>
      </w:tr>
      <w:tr w:rsidR="00D23DAF" w:rsidRPr="00D23DAF" w14:paraId="7260A5A0" w14:textId="77777777" w:rsidTr="00D23DAF">
        <w:trPr>
          <w:trHeight w:val="225"/>
        </w:trPr>
        <w:tc>
          <w:tcPr>
            <w:tcW w:w="1492" w:type="dxa"/>
            <w:vAlign w:val="bottom"/>
          </w:tcPr>
          <w:p w14:paraId="0376770D"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Probability</w:t>
            </w:r>
          </w:p>
        </w:tc>
        <w:tc>
          <w:tcPr>
            <w:tcW w:w="1313" w:type="dxa"/>
            <w:vAlign w:val="bottom"/>
          </w:tcPr>
          <w:p w14:paraId="72C1D5A8"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0.123653</w:t>
            </w:r>
          </w:p>
        </w:tc>
        <w:tc>
          <w:tcPr>
            <w:tcW w:w="1312" w:type="dxa"/>
            <w:vAlign w:val="bottom"/>
          </w:tcPr>
          <w:p w14:paraId="112E871E"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0.387098</w:t>
            </w:r>
          </w:p>
        </w:tc>
        <w:tc>
          <w:tcPr>
            <w:tcW w:w="1313" w:type="dxa"/>
            <w:vAlign w:val="bottom"/>
          </w:tcPr>
          <w:p w14:paraId="410251C1"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0.337019</w:t>
            </w:r>
          </w:p>
        </w:tc>
        <w:tc>
          <w:tcPr>
            <w:tcW w:w="1312" w:type="dxa"/>
            <w:vAlign w:val="bottom"/>
          </w:tcPr>
          <w:p w14:paraId="11073A60"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0.140852</w:t>
            </w:r>
          </w:p>
        </w:tc>
        <w:tc>
          <w:tcPr>
            <w:tcW w:w="1313" w:type="dxa"/>
            <w:vAlign w:val="bottom"/>
          </w:tcPr>
          <w:p w14:paraId="5D571F82"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0.029189</w:t>
            </w:r>
          </w:p>
        </w:tc>
      </w:tr>
      <w:tr w:rsidR="00D23DAF" w:rsidRPr="00D23DAF" w14:paraId="7BEE2E97" w14:textId="77777777" w:rsidTr="00D23DAF">
        <w:trPr>
          <w:trHeight w:val="225"/>
        </w:trPr>
        <w:tc>
          <w:tcPr>
            <w:tcW w:w="1492" w:type="dxa"/>
            <w:vAlign w:val="bottom"/>
          </w:tcPr>
          <w:p w14:paraId="00BEDE72"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3" w:type="dxa"/>
            <w:vAlign w:val="bottom"/>
          </w:tcPr>
          <w:p w14:paraId="35685D82"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2" w:type="dxa"/>
            <w:vAlign w:val="bottom"/>
          </w:tcPr>
          <w:p w14:paraId="7FD81080"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3" w:type="dxa"/>
            <w:vAlign w:val="bottom"/>
          </w:tcPr>
          <w:p w14:paraId="1EFE06B9"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2" w:type="dxa"/>
            <w:vAlign w:val="bottom"/>
          </w:tcPr>
          <w:p w14:paraId="1254A361"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3" w:type="dxa"/>
            <w:vAlign w:val="bottom"/>
          </w:tcPr>
          <w:p w14:paraId="540C6E3E"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r>
      <w:tr w:rsidR="00D23DAF" w:rsidRPr="00D23DAF" w14:paraId="434442A4" w14:textId="77777777" w:rsidTr="00D23DAF">
        <w:trPr>
          <w:trHeight w:val="225"/>
        </w:trPr>
        <w:tc>
          <w:tcPr>
            <w:tcW w:w="1492" w:type="dxa"/>
            <w:vAlign w:val="bottom"/>
          </w:tcPr>
          <w:p w14:paraId="7B7E5089"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Sum</w:t>
            </w:r>
          </w:p>
        </w:tc>
        <w:tc>
          <w:tcPr>
            <w:tcW w:w="1313" w:type="dxa"/>
            <w:vAlign w:val="bottom"/>
          </w:tcPr>
          <w:p w14:paraId="37E49760"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7.751200</w:t>
            </w:r>
          </w:p>
        </w:tc>
        <w:tc>
          <w:tcPr>
            <w:tcW w:w="1312" w:type="dxa"/>
            <w:vAlign w:val="bottom"/>
          </w:tcPr>
          <w:p w14:paraId="578FFE3D"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399.0000</w:t>
            </w:r>
          </w:p>
        </w:tc>
        <w:tc>
          <w:tcPr>
            <w:tcW w:w="1313" w:type="dxa"/>
            <w:vAlign w:val="bottom"/>
          </w:tcPr>
          <w:p w14:paraId="4A19451F"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406.0000</w:t>
            </w:r>
          </w:p>
        </w:tc>
        <w:tc>
          <w:tcPr>
            <w:tcW w:w="1312" w:type="dxa"/>
            <w:vAlign w:val="bottom"/>
          </w:tcPr>
          <w:p w14:paraId="467DA3BB"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434.0000</w:t>
            </w:r>
          </w:p>
        </w:tc>
        <w:tc>
          <w:tcPr>
            <w:tcW w:w="1313" w:type="dxa"/>
            <w:vAlign w:val="bottom"/>
          </w:tcPr>
          <w:p w14:paraId="5CFF253B"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2202.000</w:t>
            </w:r>
          </w:p>
        </w:tc>
      </w:tr>
      <w:tr w:rsidR="00D23DAF" w:rsidRPr="00D23DAF" w14:paraId="56D4CFD1" w14:textId="77777777" w:rsidTr="00D23DAF">
        <w:trPr>
          <w:trHeight w:val="225"/>
        </w:trPr>
        <w:tc>
          <w:tcPr>
            <w:tcW w:w="1492" w:type="dxa"/>
            <w:vAlign w:val="bottom"/>
          </w:tcPr>
          <w:p w14:paraId="2CBD713C"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Sum Sq. Dev.</w:t>
            </w:r>
          </w:p>
        </w:tc>
        <w:tc>
          <w:tcPr>
            <w:tcW w:w="1313" w:type="dxa"/>
            <w:vAlign w:val="bottom"/>
          </w:tcPr>
          <w:p w14:paraId="7AADD499"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1.304924</w:t>
            </w:r>
          </w:p>
        </w:tc>
        <w:tc>
          <w:tcPr>
            <w:tcW w:w="1312" w:type="dxa"/>
            <w:vAlign w:val="bottom"/>
          </w:tcPr>
          <w:p w14:paraId="79C1EE8F"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68.31250</w:t>
            </w:r>
          </w:p>
        </w:tc>
        <w:tc>
          <w:tcPr>
            <w:tcW w:w="1313" w:type="dxa"/>
            <w:vAlign w:val="bottom"/>
          </w:tcPr>
          <w:p w14:paraId="1FE9E341"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45.91667</w:t>
            </w:r>
          </w:p>
        </w:tc>
        <w:tc>
          <w:tcPr>
            <w:tcW w:w="1312" w:type="dxa"/>
            <w:vAlign w:val="bottom"/>
          </w:tcPr>
          <w:p w14:paraId="6ABFFF77"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29.91667</w:t>
            </w:r>
          </w:p>
        </w:tc>
        <w:tc>
          <w:tcPr>
            <w:tcW w:w="1313" w:type="dxa"/>
            <w:vAlign w:val="bottom"/>
          </w:tcPr>
          <w:p w14:paraId="62B863AD"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23047.25</w:t>
            </w:r>
          </w:p>
        </w:tc>
      </w:tr>
      <w:tr w:rsidR="00D23DAF" w:rsidRPr="00D23DAF" w14:paraId="0B07CE00" w14:textId="77777777" w:rsidTr="00D23DAF">
        <w:trPr>
          <w:trHeight w:val="225"/>
        </w:trPr>
        <w:tc>
          <w:tcPr>
            <w:tcW w:w="1492" w:type="dxa"/>
            <w:vAlign w:val="bottom"/>
          </w:tcPr>
          <w:p w14:paraId="3D357B50"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3" w:type="dxa"/>
            <w:vAlign w:val="bottom"/>
          </w:tcPr>
          <w:p w14:paraId="47C8859A"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2" w:type="dxa"/>
            <w:vAlign w:val="bottom"/>
          </w:tcPr>
          <w:p w14:paraId="72BA411B"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3" w:type="dxa"/>
            <w:vAlign w:val="bottom"/>
          </w:tcPr>
          <w:p w14:paraId="6E6092AE"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2" w:type="dxa"/>
            <w:vAlign w:val="bottom"/>
          </w:tcPr>
          <w:p w14:paraId="09E81061"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c>
          <w:tcPr>
            <w:tcW w:w="1313" w:type="dxa"/>
            <w:vAlign w:val="bottom"/>
          </w:tcPr>
          <w:p w14:paraId="26C913C2"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p>
        </w:tc>
      </w:tr>
      <w:tr w:rsidR="00D23DAF" w:rsidRPr="00D23DAF" w14:paraId="7F3DDCC9" w14:textId="77777777" w:rsidTr="00D23DAF">
        <w:trPr>
          <w:trHeight w:val="225"/>
        </w:trPr>
        <w:tc>
          <w:tcPr>
            <w:tcW w:w="1492" w:type="dxa"/>
            <w:vAlign w:val="bottom"/>
          </w:tcPr>
          <w:p w14:paraId="45768548" w14:textId="77777777" w:rsidR="00D23DAF" w:rsidRPr="00D23DAF" w:rsidRDefault="00D23DAF" w:rsidP="00575DB7">
            <w:pPr>
              <w:autoSpaceDE w:val="0"/>
              <w:autoSpaceDN w:val="0"/>
              <w:adjustRightInd w:val="0"/>
              <w:spacing w:after="0" w:line="240" w:lineRule="auto"/>
              <w:rPr>
                <w:rFonts w:ascii="Times New Roman" w:hAnsi="Times New Roman"/>
                <w:color w:val="000000"/>
                <w:sz w:val="24"/>
                <w:szCs w:val="24"/>
              </w:rPr>
            </w:pPr>
            <w:r w:rsidRPr="00D23DAF">
              <w:rPr>
                <w:rFonts w:ascii="Times New Roman" w:hAnsi="Times New Roman"/>
                <w:color w:val="000000"/>
                <w:sz w:val="24"/>
                <w:szCs w:val="24"/>
              </w:rPr>
              <w:t> Observations</w:t>
            </w:r>
          </w:p>
        </w:tc>
        <w:tc>
          <w:tcPr>
            <w:tcW w:w="1313" w:type="dxa"/>
            <w:vAlign w:val="bottom"/>
          </w:tcPr>
          <w:p w14:paraId="6EE3E63B"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48</w:t>
            </w:r>
          </w:p>
        </w:tc>
        <w:tc>
          <w:tcPr>
            <w:tcW w:w="1312" w:type="dxa"/>
            <w:vAlign w:val="bottom"/>
          </w:tcPr>
          <w:p w14:paraId="380465C9"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48</w:t>
            </w:r>
          </w:p>
        </w:tc>
        <w:tc>
          <w:tcPr>
            <w:tcW w:w="1313" w:type="dxa"/>
            <w:vAlign w:val="bottom"/>
          </w:tcPr>
          <w:p w14:paraId="1BC1AFB5"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48</w:t>
            </w:r>
          </w:p>
        </w:tc>
        <w:tc>
          <w:tcPr>
            <w:tcW w:w="1312" w:type="dxa"/>
            <w:vAlign w:val="bottom"/>
          </w:tcPr>
          <w:p w14:paraId="707E6481"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48</w:t>
            </w:r>
          </w:p>
        </w:tc>
        <w:tc>
          <w:tcPr>
            <w:tcW w:w="1313" w:type="dxa"/>
            <w:vAlign w:val="bottom"/>
          </w:tcPr>
          <w:p w14:paraId="3BE29A15" w14:textId="77777777" w:rsidR="00D23DAF" w:rsidRPr="00D23DAF" w:rsidRDefault="00D23DAF" w:rsidP="00575DB7">
            <w:pPr>
              <w:autoSpaceDE w:val="0"/>
              <w:autoSpaceDN w:val="0"/>
              <w:adjustRightInd w:val="0"/>
              <w:spacing w:after="0" w:line="240" w:lineRule="auto"/>
              <w:jc w:val="center"/>
              <w:rPr>
                <w:rFonts w:ascii="Times New Roman" w:hAnsi="Times New Roman"/>
                <w:color w:val="000000"/>
                <w:sz w:val="24"/>
                <w:szCs w:val="24"/>
              </w:rPr>
            </w:pPr>
            <w:r w:rsidRPr="00D23DAF">
              <w:rPr>
                <w:rFonts w:ascii="Times New Roman" w:hAnsi="Times New Roman"/>
                <w:color w:val="000000"/>
                <w:sz w:val="24"/>
                <w:szCs w:val="24"/>
              </w:rPr>
              <w:t> 48</w:t>
            </w:r>
          </w:p>
        </w:tc>
      </w:tr>
    </w:tbl>
    <w:p w14:paraId="2D393B1D" w14:textId="7FF1A8C3" w:rsidR="001A12E2" w:rsidRPr="00E13272" w:rsidRDefault="00E13272" w:rsidP="009110F6">
      <w:pPr>
        <w:jc w:val="both"/>
        <w:rPr>
          <w:rFonts w:ascii="Times New Roman" w:eastAsia="Arial Unicode MS" w:hAnsi="Times New Roman"/>
          <w:color w:val="000000"/>
          <w:sz w:val="24"/>
          <w:szCs w:val="24"/>
        </w:rPr>
      </w:pPr>
      <w:r w:rsidRPr="00E13272">
        <w:rPr>
          <w:rFonts w:ascii="Times New Roman" w:eastAsiaTheme="minorHAnsi" w:hAnsi="Times New Roman"/>
          <w:sz w:val="18"/>
          <w:szCs w:val="18"/>
          <w14:ligatures w14:val="standardContextual"/>
        </w:rPr>
        <w:lastRenderedPageBreak/>
        <w:t>Source:</w:t>
      </w:r>
      <w:r w:rsidR="00BE415E">
        <w:rPr>
          <w:rFonts w:ascii="Times New Roman" w:eastAsiaTheme="minorHAnsi" w:hAnsi="Times New Roman"/>
          <w:sz w:val="18"/>
          <w:szCs w:val="18"/>
          <w14:ligatures w14:val="standardContextual"/>
        </w:rPr>
        <w:t xml:space="preserve"> </w:t>
      </w:r>
      <w:proofErr w:type="spellStart"/>
      <w:r w:rsidRPr="00E13272">
        <w:rPr>
          <w:rFonts w:ascii="Times New Roman" w:eastAsiaTheme="minorHAnsi" w:hAnsi="Times New Roman"/>
          <w:sz w:val="18"/>
          <w:szCs w:val="18"/>
          <w14:ligatures w14:val="standardContextual"/>
        </w:rPr>
        <w:t>Eview</w:t>
      </w:r>
      <w:proofErr w:type="spellEnd"/>
    </w:p>
    <w:p w14:paraId="2927E7CF" w14:textId="16EFED3F" w:rsidR="00820FF0" w:rsidRPr="00820FF0" w:rsidRDefault="00820FF0" w:rsidP="00820FF0">
      <w:pPr>
        <w:jc w:val="both"/>
        <w:rPr>
          <w:rFonts w:ascii="Times New Roman" w:hAnsi="Times New Roman"/>
          <w:sz w:val="24"/>
          <w:szCs w:val="24"/>
          <w:lang w:val="en-GB"/>
        </w:rPr>
      </w:pPr>
      <w:r w:rsidRPr="00820FF0">
        <w:rPr>
          <w:rFonts w:ascii="Times New Roman" w:hAnsi="Times New Roman"/>
          <w:sz w:val="24"/>
          <w:szCs w:val="24"/>
          <w:lang w:val="en-GB"/>
        </w:rPr>
        <w:t>Descriptive statistics indicate that the sampled environmentally sensitive firms achieved a mean operating margin ratio (OPMR) of approximately 0.161, representing an average operating profit of 16.1% relative to revenue during the study period. The disparity between the minimum and maximum OPMR values reflects significant variance in operational performance across the sample.</w:t>
      </w:r>
    </w:p>
    <w:p w14:paraId="3936350C" w14:textId="7AF4A878" w:rsidR="002E370C" w:rsidRPr="002E370C" w:rsidRDefault="00820FF0" w:rsidP="00820FF0">
      <w:pPr>
        <w:jc w:val="both"/>
        <w:rPr>
          <w:rFonts w:ascii="Times New Roman" w:hAnsi="Times New Roman"/>
          <w:sz w:val="24"/>
          <w:szCs w:val="24"/>
          <w:lang w:val="en-GB"/>
        </w:rPr>
      </w:pPr>
      <w:r w:rsidRPr="00820FF0">
        <w:rPr>
          <w:rFonts w:ascii="Times New Roman" w:hAnsi="Times New Roman"/>
          <w:sz w:val="24"/>
          <w:szCs w:val="24"/>
          <w:lang w:val="en-GB"/>
        </w:rPr>
        <w:t>Regarding sustainability reporting, the firms demonstrated high average disclosure scores. Social reporting attained the highest mean score, followed by governance and environmental reporting, suggesting a prioritization of social and governance disclosures over environmental metrics. Furthermore, the low standard deviations suggest that disclosure practices remained relatively consistent among the firms throughout the observed period.</w:t>
      </w:r>
    </w:p>
    <w:p w14:paraId="0F3D80B3" w14:textId="77777777" w:rsidR="00820FF0" w:rsidRPr="00341A22" w:rsidRDefault="00820FF0" w:rsidP="00820FF0">
      <w:pPr>
        <w:jc w:val="both"/>
      </w:pPr>
      <w:r w:rsidRPr="00341A22">
        <w:rPr>
          <w:rFonts w:ascii="Times New Roman" w:hAnsi="Times New Roman"/>
          <w:sz w:val="24"/>
          <w:szCs w:val="24"/>
          <w:lang w:val="en-GB"/>
        </w:rPr>
        <w:t>Jarque-Bera statistics indicate that most variables follow a normal distribution, as their respective probability values exceed the 5% significance threshold. Firm age (FIRA) is a notable exception, recording a probability value of 0.029, which signifies a minor deviation from normality.</w:t>
      </w:r>
    </w:p>
    <w:p w14:paraId="3E0B2E2A" w14:textId="51052600" w:rsidR="00D60B69" w:rsidRPr="00616D3D" w:rsidRDefault="002C3C4C" w:rsidP="00616D3D">
      <w:pPr>
        <w:rPr>
          <w:rFonts w:ascii="Times New Roman" w:hAnsi="Times New Roman"/>
          <w:b/>
          <w:bCs/>
          <w:sz w:val="24"/>
          <w:szCs w:val="24"/>
        </w:rPr>
      </w:pPr>
      <w:r>
        <w:rPr>
          <w:rFonts w:ascii="Times New Roman" w:hAnsi="Times New Roman"/>
          <w:b/>
          <w:bCs/>
          <w:sz w:val="24"/>
          <w:szCs w:val="24"/>
        </w:rPr>
        <w:t xml:space="preserve">Table </w:t>
      </w:r>
      <w:r w:rsidR="00356480">
        <w:rPr>
          <w:rFonts w:ascii="Times New Roman" w:hAnsi="Times New Roman"/>
          <w:b/>
          <w:bCs/>
          <w:sz w:val="24"/>
          <w:szCs w:val="24"/>
        </w:rPr>
        <w:t>2</w:t>
      </w:r>
      <w:r w:rsidR="00347A1F" w:rsidRPr="005043C7">
        <w:rPr>
          <w:rFonts w:ascii="Times New Roman" w:hAnsi="Times New Roman"/>
          <w:b/>
          <w:bCs/>
          <w:sz w:val="24"/>
          <w:szCs w:val="24"/>
        </w:rPr>
        <w:tab/>
      </w:r>
      <w:r w:rsidR="00356480" w:rsidRPr="00356480">
        <w:rPr>
          <w:rFonts w:ascii="Times New Roman" w:eastAsia="Times New Roman" w:hAnsi="Times New Roman"/>
          <w:b/>
          <w:bCs/>
          <w:sz w:val="24"/>
          <w:szCs w:val="24"/>
        </w:rPr>
        <w:t xml:space="preserve">Correlation Analysis </w:t>
      </w:r>
      <w:r w:rsidR="00356480" w:rsidRPr="005043C7">
        <w:rPr>
          <w:rFonts w:ascii="Times New Roman" w:eastAsia="Times New Roman" w:hAnsi="Times New Roman"/>
          <w:sz w:val="24"/>
          <w:szCs w:val="24"/>
        </w:rPr>
        <w:t xml:space="preserve"> </w:t>
      </w:r>
    </w:p>
    <w:tbl>
      <w:tblPr>
        <w:tblW w:w="0" w:type="auto"/>
        <w:tblInd w:w="30" w:type="dxa"/>
        <w:tblLayout w:type="fixed"/>
        <w:tblCellMar>
          <w:left w:w="0" w:type="dxa"/>
          <w:right w:w="0" w:type="dxa"/>
        </w:tblCellMar>
        <w:tblLook w:val="0000" w:firstRow="0" w:lastRow="0" w:firstColumn="0" w:lastColumn="0" w:noHBand="0" w:noVBand="0"/>
      </w:tblPr>
      <w:tblGrid>
        <w:gridCol w:w="1807"/>
        <w:gridCol w:w="1313"/>
        <w:gridCol w:w="1312"/>
        <w:gridCol w:w="1313"/>
        <w:gridCol w:w="1312"/>
        <w:gridCol w:w="1313"/>
        <w:gridCol w:w="1312"/>
      </w:tblGrid>
      <w:tr w:rsidR="00B41426" w14:paraId="07846B8E" w14:textId="77777777" w:rsidTr="00575DB7">
        <w:trPr>
          <w:trHeight w:val="225"/>
        </w:trPr>
        <w:tc>
          <w:tcPr>
            <w:tcW w:w="4432" w:type="dxa"/>
            <w:gridSpan w:val="3"/>
            <w:tcBorders>
              <w:top w:val="nil"/>
              <w:left w:val="nil"/>
              <w:bottom w:val="nil"/>
              <w:right w:val="nil"/>
            </w:tcBorders>
            <w:vAlign w:val="bottom"/>
          </w:tcPr>
          <w:p w14:paraId="040BD8D2" w14:textId="77777777" w:rsidR="00B41426" w:rsidRDefault="00B41426" w:rsidP="00E65C8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Covariance Analysis: Ordinary</w:t>
            </w:r>
          </w:p>
        </w:tc>
        <w:tc>
          <w:tcPr>
            <w:tcW w:w="1313" w:type="dxa"/>
            <w:tcBorders>
              <w:top w:val="nil"/>
              <w:left w:val="nil"/>
              <w:bottom w:val="nil"/>
              <w:right w:val="nil"/>
            </w:tcBorders>
            <w:vAlign w:val="bottom"/>
          </w:tcPr>
          <w:p w14:paraId="55899C6C"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1B42B48D"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69154C7A"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7123DA8E"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3B1B2AD4" w14:textId="77777777" w:rsidTr="00575DB7">
        <w:trPr>
          <w:trHeight w:val="225"/>
        </w:trPr>
        <w:tc>
          <w:tcPr>
            <w:tcW w:w="4432" w:type="dxa"/>
            <w:gridSpan w:val="3"/>
            <w:tcBorders>
              <w:top w:val="nil"/>
              <w:left w:val="nil"/>
              <w:bottom w:val="nil"/>
              <w:right w:val="nil"/>
            </w:tcBorders>
            <w:vAlign w:val="bottom"/>
          </w:tcPr>
          <w:p w14:paraId="7E1EE4B3" w14:textId="77777777" w:rsidR="00B41426" w:rsidRDefault="00B41426" w:rsidP="00E65C8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05/21/26   Time: 13:32</w:t>
            </w:r>
          </w:p>
        </w:tc>
        <w:tc>
          <w:tcPr>
            <w:tcW w:w="1313" w:type="dxa"/>
            <w:tcBorders>
              <w:top w:val="nil"/>
              <w:left w:val="nil"/>
              <w:bottom w:val="nil"/>
              <w:right w:val="nil"/>
            </w:tcBorders>
            <w:vAlign w:val="bottom"/>
          </w:tcPr>
          <w:p w14:paraId="02389720"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500A4FE9"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36A87AB5"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78785328"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790DF8C0" w14:textId="77777777" w:rsidTr="00575DB7">
        <w:trPr>
          <w:trHeight w:val="225"/>
        </w:trPr>
        <w:tc>
          <w:tcPr>
            <w:tcW w:w="3120" w:type="dxa"/>
            <w:gridSpan w:val="2"/>
            <w:tcBorders>
              <w:top w:val="nil"/>
              <w:left w:val="nil"/>
              <w:bottom w:val="nil"/>
              <w:right w:val="nil"/>
            </w:tcBorders>
            <w:vAlign w:val="bottom"/>
          </w:tcPr>
          <w:p w14:paraId="1C46E641" w14:textId="77777777" w:rsidR="00B41426" w:rsidRDefault="00B41426" w:rsidP="00E65C8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2019 2024</w:t>
            </w:r>
          </w:p>
        </w:tc>
        <w:tc>
          <w:tcPr>
            <w:tcW w:w="1312" w:type="dxa"/>
            <w:tcBorders>
              <w:top w:val="nil"/>
              <w:left w:val="nil"/>
              <w:bottom w:val="nil"/>
              <w:right w:val="nil"/>
            </w:tcBorders>
            <w:vAlign w:val="bottom"/>
          </w:tcPr>
          <w:p w14:paraId="66FBF9EB"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6BAF8FF3"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4932467A"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28C6910F"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64B7C503"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5629CBC8" w14:textId="77777777" w:rsidTr="00575DB7">
        <w:trPr>
          <w:trHeight w:val="225"/>
        </w:trPr>
        <w:tc>
          <w:tcPr>
            <w:tcW w:w="4432" w:type="dxa"/>
            <w:gridSpan w:val="3"/>
            <w:tcBorders>
              <w:top w:val="nil"/>
              <w:left w:val="nil"/>
              <w:bottom w:val="nil"/>
              <w:right w:val="nil"/>
            </w:tcBorders>
            <w:vAlign w:val="bottom"/>
          </w:tcPr>
          <w:p w14:paraId="280CD6D6" w14:textId="77777777" w:rsidR="00B41426" w:rsidRDefault="00B41426" w:rsidP="00E65C8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48</w:t>
            </w:r>
          </w:p>
        </w:tc>
        <w:tc>
          <w:tcPr>
            <w:tcW w:w="1313" w:type="dxa"/>
            <w:tcBorders>
              <w:top w:val="nil"/>
              <w:left w:val="nil"/>
              <w:bottom w:val="nil"/>
              <w:right w:val="nil"/>
            </w:tcBorders>
            <w:vAlign w:val="bottom"/>
          </w:tcPr>
          <w:p w14:paraId="0F9A979A"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38B6A9D7"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529E6E1A"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22F2C2D9"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368EC35F" w14:textId="77777777" w:rsidTr="00575DB7">
        <w:trPr>
          <w:trHeight w:hRule="exact" w:val="90"/>
        </w:trPr>
        <w:tc>
          <w:tcPr>
            <w:tcW w:w="1807" w:type="dxa"/>
            <w:tcBorders>
              <w:top w:val="nil"/>
              <w:left w:val="nil"/>
              <w:bottom w:val="double" w:sz="6" w:space="2" w:color="auto"/>
              <w:right w:val="nil"/>
            </w:tcBorders>
            <w:vAlign w:val="bottom"/>
          </w:tcPr>
          <w:p w14:paraId="1C7BA667"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double" w:sz="6" w:space="2" w:color="auto"/>
              <w:right w:val="nil"/>
            </w:tcBorders>
            <w:vAlign w:val="bottom"/>
          </w:tcPr>
          <w:p w14:paraId="4EAB82BA"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double" w:sz="6" w:space="2" w:color="auto"/>
              <w:right w:val="nil"/>
            </w:tcBorders>
            <w:vAlign w:val="bottom"/>
          </w:tcPr>
          <w:p w14:paraId="24C2F416"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double" w:sz="6" w:space="2" w:color="auto"/>
              <w:right w:val="nil"/>
            </w:tcBorders>
            <w:vAlign w:val="bottom"/>
          </w:tcPr>
          <w:p w14:paraId="661AB3A7"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double" w:sz="6" w:space="2" w:color="auto"/>
              <w:right w:val="nil"/>
            </w:tcBorders>
            <w:vAlign w:val="bottom"/>
          </w:tcPr>
          <w:p w14:paraId="296AE855"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double" w:sz="6" w:space="2" w:color="auto"/>
              <w:right w:val="nil"/>
            </w:tcBorders>
            <w:vAlign w:val="bottom"/>
          </w:tcPr>
          <w:p w14:paraId="055FD67B"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nil"/>
              <w:right w:val="nil"/>
            </w:tcBorders>
            <w:vAlign w:val="bottom"/>
          </w:tcPr>
          <w:p w14:paraId="48B3D8BE"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7E90ED92" w14:textId="77777777" w:rsidTr="00575DB7">
        <w:trPr>
          <w:trHeight w:hRule="exact" w:val="135"/>
        </w:trPr>
        <w:tc>
          <w:tcPr>
            <w:tcW w:w="1807" w:type="dxa"/>
            <w:tcBorders>
              <w:top w:val="nil"/>
              <w:left w:val="nil"/>
              <w:bottom w:val="nil"/>
              <w:right w:val="nil"/>
            </w:tcBorders>
            <w:vAlign w:val="bottom"/>
          </w:tcPr>
          <w:p w14:paraId="1DE9DEE4"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nil"/>
              <w:right w:val="nil"/>
            </w:tcBorders>
            <w:vAlign w:val="bottom"/>
          </w:tcPr>
          <w:p w14:paraId="3018A054"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nil"/>
              <w:right w:val="nil"/>
            </w:tcBorders>
            <w:vAlign w:val="bottom"/>
          </w:tcPr>
          <w:p w14:paraId="3BCB85A4"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nil"/>
              <w:right w:val="nil"/>
            </w:tcBorders>
            <w:vAlign w:val="bottom"/>
          </w:tcPr>
          <w:p w14:paraId="09D2B73A"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nil"/>
              <w:right w:val="nil"/>
            </w:tcBorders>
            <w:vAlign w:val="bottom"/>
          </w:tcPr>
          <w:p w14:paraId="73CBECF5"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nil"/>
              <w:right w:val="nil"/>
            </w:tcBorders>
            <w:vAlign w:val="bottom"/>
          </w:tcPr>
          <w:p w14:paraId="714E5861"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nil"/>
              <w:right w:val="nil"/>
            </w:tcBorders>
            <w:vAlign w:val="bottom"/>
          </w:tcPr>
          <w:p w14:paraId="65A1784C"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6A2E17F8" w14:textId="77777777" w:rsidTr="00575DB7">
        <w:trPr>
          <w:trHeight w:val="225"/>
        </w:trPr>
        <w:tc>
          <w:tcPr>
            <w:tcW w:w="3120" w:type="dxa"/>
            <w:gridSpan w:val="2"/>
            <w:tcBorders>
              <w:top w:val="nil"/>
              <w:left w:val="nil"/>
              <w:bottom w:val="nil"/>
              <w:right w:val="nil"/>
            </w:tcBorders>
            <w:vAlign w:val="bottom"/>
          </w:tcPr>
          <w:p w14:paraId="18F704CF" w14:textId="77777777" w:rsidR="00B41426" w:rsidRDefault="00B41426" w:rsidP="00E65C8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Correlation</w:t>
            </w:r>
          </w:p>
        </w:tc>
        <w:tc>
          <w:tcPr>
            <w:tcW w:w="1312" w:type="dxa"/>
            <w:tcBorders>
              <w:top w:val="nil"/>
              <w:left w:val="nil"/>
              <w:bottom w:val="nil"/>
              <w:right w:val="nil"/>
            </w:tcBorders>
            <w:vAlign w:val="bottom"/>
          </w:tcPr>
          <w:p w14:paraId="57803BF6"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6D892022"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40A2BB67"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3DFC2C6B"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0E40E216"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196E8D3C" w14:textId="77777777" w:rsidTr="00575DB7">
        <w:trPr>
          <w:trHeight w:val="225"/>
        </w:trPr>
        <w:tc>
          <w:tcPr>
            <w:tcW w:w="1807" w:type="dxa"/>
            <w:tcBorders>
              <w:top w:val="nil"/>
              <w:left w:val="nil"/>
              <w:bottom w:val="single" w:sz="6" w:space="0" w:color="auto"/>
              <w:right w:val="single" w:sz="6" w:space="0" w:color="auto"/>
            </w:tcBorders>
            <w:vAlign w:val="bottom"/>
          </w:tcPr>
          <w:p w14:paraId="055A64DB" w14:textId="77777777" w:rsidR="00B41426" w:rsidRDefault="00B41426" w:rsidP="00E65C8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Probability</w:t>
            </w:r>
          </w:p>
        </w:tc>
        <w:tc>
          <w:tcPr>
            <w:tcW w:w="1313" w:type="dxa"/>
            <w:tcBorders>
              <w:top w:val="nil"/>
              <w:left w:val="single" w:sz="6" w:space="0" w:color="auto"/>
              <w:bottom w:val="single" w:sz="6" w:space="0" w:color="auto"/>
              <w:right w:val="nil"/>
            </w:tcBorders>
            <w:vAlign w:val="bottom"/>
          </w:tcPr>
          <w:p w14:paraId="77DBDE47"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OPMR </w:t>
            </w:r>
          </w:p>
        </w:tc>
        <w:tc>
          <w:tcPr>
            <w:tcW w:w="1312" w:type="dxa"/>
            <w:tcBorders>
              <w:top w:val="nil"/>
              <w:left w:val="nil"/>
              <w:bottom w:val="single" w:sz="6" w:space="0" w:color="auto"/>
              <w:right w:val="nil"/>
            </w:tcBorders>
            <w:vAlign w:val="bottom"/>
          </w:tcPr>
          <w:p w14:paraId="48EB36E3"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ENV </w:t>
            </w:r>
          </w:p>
        </w:tc>
        <w:tc>
          <w:tcPr>
            <w:tcW w:w="1313" w:type="dxa"/>
            <w:tcBorders>
              <w:top w:val="nil"/>
              <w:left w:val="nil"/>
              <w:bottom w:val="single" w:sz="6" w:space="0" w:color="auto"/>
              <w:right w:val="nil"/>
            </w:tcBorders>
            <w:vAlign w:val="bottom"/>
          </w:tcPr>
          <w:p w14:paraId="02A58E4A"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SOC </w:t>
            </w:r>
          </w:p>
        </w:tc>
        <w:tc>
          <w:tcPr>
            <w:tcW w:w="1312" w:type="dxa"/>
            <w:tcBorders>
              <w:top w:val="nil"/>
              <w:left w:val="nil"/>
              <w:bottom w:val="single" w:sz="6" w:space="0" w:color="auto"/>
              <w:right w:val="nil"/>
            </w:tcBorders>
            <w:vAlign w:val="bottom"/>
          </w:tcPr>
          <w:p w14:paraId="24506EF9"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GOV </w:t>
            </w:r>
          </w:p>
        </w:tc>
        <w:tc>
          <w:tcPr>
            <w:tcW w:w="1313" w:type="dxa"/>
            <w:tcBorders>
              <w:top w:val="nil"/>
              <w:left w:val="nil"/>
              <w:bottom w:val="single" w:sz="6" w:space="0" w:color="auto"/>
              <w:right w:val="nil"/>
            </w:tcBorders>
            <w:vAlign w:val="bottom"/>
          </w:tcPr>
          <w:p w14:paraId="3CBE01E1"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FRA </w:t>
            </w:r>
          </w:p>
        </w:tc>
        <w:tc>
          <w:tcPr>
            <w:tcW w:w="1312" w:type="dxa"/>
            <w:tcBorders>
              <w:top w:val="nil"/>
              <w:left w:val="nil"/>
              <w:bottom w:val="nil"/>
              <w:right w:val="nil"/>
            </w:tcBorders>
            <w:vAlign w:val="bottom"/>
          </w:tcPr>
          <w:p w14:paraId="605AE0CA"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1C2E92D6" w14:textId="77777777" w:rsidTr="00575DB7">
        <w:trPr>
          <w:trHeight w:val="225"/>
        </w:trPr>
        <w:tc>
          <w:tcPr>
            <w:tcW w:w="1807" w:type="dxa"/>
            <w:tcBorders>
              <w:top w:val="single" w:sz="6" w:space="0" w:color="auto"/>
              <w:left w:val="nil"/>
              <w:bottom w:val="nil"/>
              <w:right w:val="single" w:sz="6" w:space="0" w:color="auto"/>
            </w:tcBorders>
            <w:vAlign w:val="bottom"/>
          </w:tcPr>
          <w:p w14:paraId="412D0732"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OPMR </w:t>
            </w:r>
          </w:p>
        </w:tc>
        <w:tc>
          <w:tcPr>
            <w:tcW w:w="1313" w:type="dxa"/>
            <w:tcBorders>
              <w:top w:val="single" w:sz="6" w:space="0" w:color="auto"/>
              <w:left w:val="single" w:sz="6" w:space="0" w:color="auto"/>
              <w:bottom w:val="nil"/>
              <w:right w:val="nil"/>
            </w:tcBorders>
            <w:vAlign w:val="bottom"/>
          </w:tcPr>
          <w:p w14:paraId="7779DF2E"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1.000000</w:t>
            </w:r>
          </w:p>
        </w:tc>
        <w:tc>
          <w:tcPr>
            <w:tcW w:w="1312" w:type="dxa"/>
            <w:tcBorders>
              <w:top w:val="single" w:sz="6" w:space="0" w:color="auto"/>
              <w:left w:val="nil"/>
              <w:bottom w:val="nil"/>
              <w:right w:val="nil"/>
            </w:tcBorders>
            <w:vAlign w:val="bottom"/>
          </w:tcPr>
          <w:p w14:paraId="1973D5A2"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3" w:type="dxa"/>
            <w:tcBorders>
              <w:top w:val="single" w:sz="6" w:space="0" w:color="auto"/>
              <w:left w:val="nil"/>
              <w:bottom w:val="nil"/>
              <w:right w:val="nil"/>
            </w:tcBorders>
            <w:vAlign w:val="bottom"/>
          </w:tcPr>
          <w:p w14:paraId="0BD76D50"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single" w:sz="6" w:space="0" w:color="auto"/>
              <w:left w:val="nil"/>
              <w:bottom w:val="nil"/>
              <w:right w:val="nil"/>
            </w:tcBorders>
            <w:vAlign w:val="bottom"/>
          </w:tcPr>
          <w:p w14:paraId="62895826"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3" w:type="dxa"/>
            <w:tcBorders>
              <w:top w:val="single" w:sz="6" w:space="0" w:color="auto"/>
              <w:left w:val="nil"/>
              <w:bottom w:val="nil"/>
              <w:right w:val="nil"/>
            </w:tcBorders>
            <w:vAlign w:val="bottom"/>
          </w:tcPr>
          <w:p w14:paraId="4A078B96"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1E82D4E8"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33E8C32A" w14:textId="77777777" w:rsidTr="00575DB7">
        <w:trPr>
          <w:trHeight w:val="225"/>
        </w:trPr>
        <w:tc>
          <w:tcPr>
            <w:tcW w:w="1807" w:type="dxa"/>
            <w:tcBorders>
              <w:top w:val="nil"/>
              <w:left w:val="nil"/>
              <w:bottom w:val="nil"/>
              <w:right w:val="single" w:sz="6" w:space="0" w:color="auto"/>
            </w:tcBorders>
            <w:vAlign w:val="bottom"/>
          </w:tcPr>
          <w:p w14:paraId="41C3EB51"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single" w:sz="6" w:space="0" w:color="auto"/>
              <w:bottom w:val="nil"/>
              <w:right w:val="nil"/>
            </w:tcBorders>
            <w:vAlign w:val="bottom"/>
          </w:tcPr>
          <w:p w14:paraId="14275885"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w:t>
            </w:r>
          </w:p>
        </w:tc>
        <w:tc>
          <w:tcPr>
            <w:tcW w:w="1312" w:type="dxa"/>
            <w:tcBorders>
              <w:top w:val="nil"/>
              <w:left w:val="nil"/>
              <w:bottom w:val="nil"/>
              <w:right w:val="nil"/>
            </w:tcBorders>
            <w:vAlign w:val="bottom"/>
          </w:tcPr>
          <w:p w14:paraId="447BB4D7"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3" w:type="dxa"/>
            <w:tcBorders>
              <w:top w:val="nil"/>
              <w:left w:val="nil"/>
              <w:bottom w:val="nil"/>
              <w:right w:val="nil"/>
            </w:tcBorders>
            <w:vAlign w:val="bottom"/>
          </w:tcPr>
          <w:p w14:paraId="58D583BB"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122B7ECB"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3" w:type="dxa"/>
            <w:tcBorders>
              <w:top w:val="nil"/>
              <w:left w:val="nil"/>
              <w:bottom w:val="nil"/>
              <w:right w:val="nil"/>
            </w:tcBorders>
            <w:vAlign w:val="bottom"/>
          </w:tcPr>
          <w:p w14:paraId="29ABEDC4"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43CD3EA3"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6C71ECC9" w14:textId="77777777" w:rsidTr="00575DB7">
        <w:trPr>
          <w:trHeight w:val="225"/>
        </w:trPr>
        <w:tc>
          <w:tcPr>
            <w:tcW w:w="1807" w:type="dxa"/>
            <w:tcBorders>
              <w:top w:val="nil"/>
              <w:left w:val="nil"/>
              <w:bottom w:val="nil"/>
              <w:right w:val="single" w:sz="6" w:space="0" w:color="auto"/>
            </w:tcBorders>
            <w:vAlign w:val="bottom"/>
          </w:tcPr>
          <w:p w14:paraId="0393F4D5"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single" w:sz="6" w:space="0" w:color="auto"/>
              <w:bottom w:val="nil"/>
              <w:right w:val="nil"/>
            </w:tcBorders>
            <w:vAlign w:val="bottom"/>
          </w:tcPr>
          <w:p w14:paraId="5E24494C"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311CD21C"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39B54C6C"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7B419350"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1DBD5A3A"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043B27C9"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13F0CC68" w14:textId="77777777" w:rsidTr="00575DB7">
        <w:trPr>
          <w:trHeight w:val="225"/>
        </w:trPr>
        <w:tc>
          <w:tcPr>
            <w:tcW w:w="1807" w:type="dxa"/>
            <w:tcBorders>
              <w:top w:val="nil"/>
              <w:left w:val="nil"/>
              <w:bottom w:val="nil"/>
              <w:right w:val="single" w:sz="6" w:space="0" w:color="auto"/>
            </w:tcBorders>
            <w:vAlign w:val="bottom"/>
          </w:tcPr>
          <w:p w14:paraId="6995BFA5"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ENV </w:t>
            </w:r>
          </w:p>
        </w:tc>
        <w:tc>
          <w:tcPr>
            <w:tcW w:w="1313" w:type="dxa"/>
            <w:tcBorders>
              <w:top w:val="nil"/>
              <w:left w:val="single" w:sz="6" w:space="0" w:color="auto"/>
              <w:bottom w:val="nil"/>
              <w:right w:val="nil"/>
            </w:tcBorders>
            <w:vAlign w:val="bottom"/>
          </w:tcPr>
          <w:p w14:paraId="30E61B0C"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0.440664</w:t>
            </w:r>
          </w:p>
        </w:tc>
        <w:tc>
          <w:tcPr>
            <w:tcW w:w="1312" w:type="dxa"/>
            <w:tcBorders>
              <w:top w:val="nil"/>
              <w:left w:val="nil"/>
              <w:bottom w:val="nil"/>
              <w:right w:val="nil"/>
            </w:tcBorders>
            <w:vAlign w:val="bottom"/>
          </w:tcPr>
          <w:p w14:paraId="06A869BD"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1.000000</w:t>
            </w:r>
          </w:p>
        </w:tc>
        <w:tc>
          <w:tcPr>
            <w:tcW w:w="1313" w:type="dxa"/>
            <w:tcBorders>
              <w:top w:val="nil"/>
              <w:left w:val="nil"/>
              <w:bottom w:val="nil"/>
              <w:right w:val="nil"/>
            </w:tcBorders>
            <w:vAlign w:val="bottom"/>
          </w:tcPr>
          <w:p w14:paraId="05ED2AFD"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7696EFA4"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3" w:type="dxa"/>
            <w:tcBorders>
              <w:top w:val="nil"/>
              <w:left w:val="nil"/>
              <w:bottom w:val="nil"/>
              <w:right w:val="nil"/>
            </w:tcBorders>
            <w:vAlign w:val="bottom"/>
          </w:tcPr>
          <w:p w14:paraId="17746E93"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68C2CAF3"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08693FFC" w14:textId="77777777" w:rsidTr="00575DB7">
        <w:trPr>
          <w:trHeight w:val="225"/>
        </w:trPr>
        <w:tc>
          <w:tcPr>
            <w:tcW w:w="1807" w:type="dxa"/>
            <w:tcBorders>
              <w:top w:val="nil"/>
              <w:left w:val="nil"/>
              <w:bottom w:val="nil"/>
              <w:right w:val="single" w:sz="6" w:space="0" w:color="auto"/>
            </w:tcBorders>
            <w:vAlign w:val="bottom"/>
          </w:tcPr>
          <w:p w14:paraId="17DE7C7D"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single" w:sz="6" w:space="0" w:color="auto"/>
              <w:bottom w:val="nil"/>
              <w:right w:val="nil"/>
            </w:tcBorders>
            <w:vAlign w:val="bottom"/>
          </w:tcPr>
          <w:p w14:paraId="4D5A7E8F"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0.0017</w:t>
            </w:r>
          </w:p>
        </w:tc>
        <w:tc>
          <w:tcPr>
            <w:tcW w:w="1312" w:type="dxa"/>
            <w:tcBorders>
              <w:top w:val="nil"/>
              <w:left w:val="nil"/>
              <w:bottom w:val="nil"/>
              <w:right w:val="nil"/>
            </w:tcBorders>
            <w:vAlign w:val="bottom"/>
          </w:tcPr>
          <w:p w14:paraId="23B601CD"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w:t>
            </w:r>
          </w:p>
        </w:tc>
        <w:tc>
          <w:tcPr>
            <w:tcW w:w="1313" w:type="dxa"/>
            <w:tcBorders>
              <w:top w:val="nil"/>
              <w:left w:val="nil"/>
              <w:bottom w:val="nil"/>
              <w:right w:val="nil"/>
            </w:tcBorders>
            <w:vAlign w:val="bottom"/>
          </w:tcPr>
          <w:p w14:paraId="186FE4C0"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17A753F9"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3" w:type="dxa"/>
            <w:tcBorders>
              <w:top w:val="nil"/>
              <w:left w:val="nil"/>
              <w:bottom w:val="nil"/>
              <w:right w:val="nil"/>
            </w:tcBorders>
            <w:vAlign w:val="bottom"/>
          </w:tcPr>
          <w:p w14:paraId="094D301B"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713B3B92"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6AEEDADF" w14:textId="77777777" w:rsidTr="00575DB7">
        <w:trPr>
          <w:trHeight w:val="225"/>
        </w:trPr>
        <w:tc>
          <w:tcPr>
            <w:tcW w:w="1807" w:type="dxa"/>
            <w:tcBorders>
              <w:top w:val="nil"/>
              <w:left w:val="nil"/>
              <w:bottom w:val="nil"/>
              <w:right w:val="single" w:sz="6" w:space="0" w:color="auto"/>
            </w:tcBorders>
            <w:vAlign w:val="bottom"/>
          </w:tcPr>
          <w:p w14:paraId="48C86869"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single" w:sz="6" w:space="0" w:color="auto"/>
              <w:bottom w:val="nil"/>
              <w:right w:val="nil"/>
            </w:tcBorders>
            <w:vAlign w:val="bottom"/>
          </w:tcPr>
          <w:p w14:paraId="4B5A5105"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62E31497"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3C99D4A6"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747FBE71"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63B9E298"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6D36D0A2"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18940620" w14:textId="77777777" w:rsidTr="00575DB7">
        <w:trPr>
          <w:trHeight w:val="225"/>
        </w:trPr>
        <w:tc>
          <w:tcPr>
            <w:tcW w:w="1807" w:type="dxa"/>
            <w:tcBorders>
              <w:top w:val="nil"/>
              <w:left w:val="nil"/>
              <w:bottom w:val="nil"/>
              <w:right w:val="single" w:sz="6" w:space="0" w:color="auto"/>
            </w:tcBorders>
            <w:vAlign w:val="bottom"/>
          </w:tcPr>
          <w:p w14:paraId="684F9F4F"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SOC </w:t>
            </w:r>
          </w:p>
        </w:tc>
        <w:tc>
          <w:tcPr>
            <w:tcW w:w="1313" w:type="dxa"/>
            <w:tcBorders>
              <w:top w:val="nil"/>
              <w:left w:val="single" w:sz="6" w:space="0" w:color="auto"/>
              <w:bottom w:val="nil"/>
              <w:right w:val="nil"/>
            </w:tcBorders>
            <w:vAlign w:val="bottom"/>
          </w:tcPr>
          <w:p w14:paraId="519F951B"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0.322061</w:t>
            </w:r>
          </w:p>
        </w:tc>
        <w:tc>
          <w:tcPr>
            <w:tcW w:w="1312" w:type="dxa"/>
            <w:tcBorders>
              <w:top w:val="nil"/>
              <w:left w:val="nil"/>
              <w:bottom w:val="nil"/>
              <w:right w:val="nil"/>
            </w:tcBorders>
            <w:vAlign w:val="bottom"/>
          </w:tcPr>
          <w:p w14:paraId="72280CDD"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0.894992</w:t>
            </w:r>
          </w:p>
        </w:tc>
        <w:tc>
          <w:tcPr>
            <w:tcW w:w="1313" w:type="dxa"/>
            <w:tcBorders>
              <w:top w:val="nil"/>
              <w:left w:val="nil"/>
              <w:bottom w:val="nil"/>
              <w:right w:val="nil"/>
            </w:tcBorders>
            <w:vAlign w:val="bottom"/>
          </w:tcPr>
          <w:p w14:paraId="0582753F"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1.000000</w:t>
            </w:r>
          </w:p>
        </w:tc>
        <w:tc>
          <w:tcPr>
            <w:tcW w:w="1312" w:type="dxa"/>
            <w:tcBorders>
              <w:top w:val="nil"/>
              <w:left w:val="nil"/>
              <w:bottom w:val="nil"/>
              <w:right w:val="nil"/>
            </w:tcBorders>
            <w:vAlign w:val="bottom"/>
          </w:tcPr>
          <w:p w14:paraId="78D8A835"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3" w:type="dxa"/>
            <w:tcBorders>
              <w:top w:val="nil"/>
              <w:left w:val="nil"/>
              <w:bottom w:val="nil"/>
              <w:right w:val="nil"/>
            </w:tcBorders>
            <w:vAlign w:val="bottom"/>
          </w:tcPr>
          <w:p w14:paraId="2AB9ED8B"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39DAC3BD"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452AA921" w14:textId="77777777" w:rsidTr="00575DB7">
        <w:trPr>
          <w:trHeight w:val="225"/>
        </w:trPr>
        <w:tc>
          <w:tcPr>
            <w:tcW w:w="1807" w:type="dxa"/>
            <w:tcBorders>
              <w:top w:val="nil"/>
              <w:left w:val="nil"/>
              <w:bottom w:val="nil"/>
              <w:right w:val="single" w:sz="6" w:space="0" w:color="auto"/>
            </w:tcBorders>
            <w:vAlign w:val="bottom"/>
          </w:tcPr>
          <w:p w14:paraId="01BBB2A6"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single" w:sz="6" w:space="0" w:color="auto"/>
              <w:bottom w:val="nil"/>
              <w:right w:val="nil"/>
            </w:tcBorders>
            <w:vAlign w:val="bottom"/>
          </w:tcPr>
          <w:p w14:paraId="18C1468D"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0.0256</w:t>
            </w:r>
          </w:p>
        </w:tc>
        <w:tc>
          <w:tcPr>
            <w:tcW w:w="1312" w:type="dxa"/>
            <w:tcBorders>
              <w:top w:val="nil"/>
              <w:left w:val="nil"/>
              <w:bottom w:val="nil"/>
              <w:right w:val="nil"/>
            </w:tcBorders>
            <w:vAlign w:val="bottom"/>
          </w:tcPr>
          <w:p w14:paraId="49BC4433"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c>
          <w:tcPr>
            <w:tcW w:w="1313" w:type="dxa"/>
            <w:tcBorders>
              <w:top w:val="nil"/>
              <w:left w:val="nil"/>
              <w:bottom w:val="nil"/>
              <w:right w:val="nil"/>
            </w:tcBorders>
            <w:vAlign w:val="bottom"/>
          </w:tcPr>
          <w:p w14:paraId="5691331D"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w:t>
            </w:r>
          </w:p>
        </w:tc>
        <w:tc>
          <w:tcPr>
            <w:tcW w:w="1312" w:type="dxa"/>
            <w:tcBorders>
              <w:top w:val="nil"/>
              <w:left w:val="nil"/>
              <w:bottom w:val="nil"/>
              <w:right w:val="nil"/>
            </w:tcBorders>
            <w:vAlign w:val="bottom"/>
          </w:tcPr>
          <w:p w14:paraId="1B62D088"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3" w:type="dxa"/>
            <w:tcBorders>
              <w:top w:val="nil"/>
              <w:left w:val="nil"/>
              <w:bottom w:val="nil"/>
              <w:right w:val="nil"/>
            </w:tcBorders>
            <w:vAlign w:val="bottom"/>
          </w:tcPr>
          <w:p w14:paraId="38E6A196"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02D1C978"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6B322624" w14:textId="77777777" w:rsidTr="00575DB7">
        <w:trPr>
          <w:trHeight w:val="225"/>
        </w:trPr>
        <w:tc>
          <w:tcPr>
            <w:tcW w:w="1807" w:type="dxa"/>
            <w:tcBorders>
              <w:top w:val="nil"/>
              <w:left w:val="nil"/>
              <w:bottom w:val="nil"/>
              <w:right w:val="single" w:sz="6" w:space="0" w:color="auto"/>
            </w:tcBorders>
            <w:vAlign w:val="bottom"/>
          </w:tcPr>
          <w:p w14:paraId="10A73B19"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single" w:sz="6" w:space="0" w:color="auto"/>
              <w:bottom w:val="nil"/>
              <w:right w:val="nil"/>
            </w:tcBorders>
            <w:vAlign w:val="bottom"/>
          </w:tcPr>
          <w:p w14:paraId="7A92EBF8"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71738AA4"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789AB806"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6292C785"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33FD3792"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1449B85B"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11027AED" w14:textId="77777777" w:rsidTr="00575DB7">
        <w:trPr>
          <w:trHeight w:val="225"/>
        </w:trPr>
        <w:tc>
          <w:tcPr>
            <w:tcW w:w="1807" w:type="dxa"/>
            <w:tcBorders>
              <w:top w:val="nil"/>
              <w:left w:val="nil"/>
              <w:bottom w:val="nil"/>
              <w:right w:val="single" w:sz="6" w:space="0" w:color="auto"/>
            </w:tcBorders>
            <w:vAlign w:val="bottom"/>
          </w:tcPr>
          <w:p w14:paraId="7DEE1DEC"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GOV </w:t>
            </w:r>
          </w:p>
        </w:tc>
        <w:tc>
          <w:tcPr>
            <w:tcW w:w="1313" w:type="dxa"/>
            <w:tcBorders>
              <w:top w:val="nil"/>
              <w:left w:val="single" w:sz="6" w:space="0" w:color="auto"/>
              <w:bottom w:val="nil"/>
              <w:right w:val="nil"/>
            </w:tcBorders>
            <w:vAlign w:val="bottom"/>
          </w:tcPr>
          <w:p w14:paraId="32FEE7D6"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0.396589</w:t>
            </w:r>
          </w:p>
        </w:tc>
        <w:tc>
          <w:tcPr>
            <w:tcW w:w="1312" w:type="dxa"/>
            <w:tcBorders>
              <w:top w:val="nil"/>
              <w:left w:val="nil"/>
              <w:bottom w:val="nil"/>
              <w:right w:val="nil"/>
            </w:tcBorders>
            <w:vAlign w:val="bottom"/>
          </w:tcPr>
          <w:p w14:paraId="7810D561"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0.893112</w:t>
            </w:r>
          </w:p>
        </w:tc>
        <w:tc>
          <w:tcPr>
            <w:tcW w:w="1313" w:type="dxa"/>
            <w:tcBorders>
              <w:top w:val="nil"/>
              <w:left w:val="nil"/>
              <w:bottom w:val="nil"/>
              <w:right w:val="nil"/>
            </w:tcBorders>
            <w:vAlign w:val="bottom"/>
          </w:tcPr>
          <w:p w14:paraId="38D6E5DF"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0.865641</w:t>
            </w:r>
          </w:p>
        </w:tc>
        <w:tc>
          <w:tcPr>
            <w:tcW w:w="1312" w:type="dxa"/>
            <w:tcBorders>
              <w:top w:val="nil"/>
              <w:left w:val="nil"/>
              <w:bottom w:val="nil"/>
              <w:right w:val="nil"/>
            </w:tcBorders>
            <w:vAlign w:val="bottom"/>
          </w:tcPr>
          <w:p w14:paraId="273D6AC3"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1.000000</w:t>
            </w:r>
          </w:p>
        </w:tc>
        <w:tc>
          <w:tcPr>
            <w:tcW w:w="1313" w:type="dxa"/>
            <w:tcBorders>
              <w:top w:val="nil"/>
              <w:left w:val="nil"/>
              <w:bottom w:val="nil"/>
              <w:right w:val="nil"/>
            </w:tcBorders>
            <w:vAlign w:val="bottom"/>
          </w:tcPr>
          <w:p w14:paraId="7A359101"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7408CF38"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64A6F99F" w14:textId="77777777" w:rsidTr="00575DB7">
        <w:trPr>
          <w:trHeight w:val="225"/>
        </w:trPr>
        <w:tc>
          <w:tcPr>
            <w:tcW w:w="1807" w:type="dxa"/>
            <w:tcBorders>
              <w:top w:val="nil"/>
              <w:left w:val="nil"/>
              <w:bottom w:val="nil"/>
              <w:right w:val="single" w:sz="6" w:space="0" w:color="auto"/>
            </w:tcBorders>
            <w:vAlign w:val="bottom"/>
          </w:tcPr>
          <w:p w14:paraId="27329903"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single" w:sz="6" w:space="0" w:color="auto"/>
              <w:bottom w:val="nil"/>
              <w:right w:val="nil"/>
            </w:tcBorders>
            <w:vAlign w:val="bottom"/>
          </w:tcPr>
          <w:p w14:paraId="5B24C36F"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w:t>
            </w:r>
          </w:p>
        </w:tc>
        <w:tc>
          <w:tcPr>
            <w:tcW w:w="1312" w:type="dxa"/>
            <w:tcBorders>
              <w:top w:val="nil"/>
              <w:left w:val="nil"/>
              <w:bottom w:val="nil"/>
              <w:right w:val="nil"/>
            </w:tcBorders>
            <w:vAlign w:val="bottom"/>
          </w:tcPr>
          <w:p w14:paraId="2C6A4DC5"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c>
          <w:tcPr>
            <w:tcW w:w="1313" w:type="dxa"/>
            <w:tcBorders>
              <w:top w:val="nil"/>
              <w:left w:val="nil"/>
              <w:bottom w:val="nil"/>
              <w:right w:val="nil"/>
            </w:tcBorders>
            <w:vAlign w:val="bottom"/>
          </w:tcPr>
          <w:p w14:paraId="05364D3F"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c>
          <w:tcPr>
            <w:tcW w:w="1312" w:type="dxa"/>
            <w:tcBorders>
              <w:top w:val="nil"/>
              <w:left w:val="nil"/>
              <w:bottom w:val="nil"/>
              <w:right w:val="nil"/>
            </w:tcBorders>
            <w:vAlign w:val="bottom"/>
          </w:tcPr>
          <w:p w14:paraId="0F3E12BA"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w:t>
            </w:r>
          </w:p>
        </w:tc>
        <w:tc>
          <w:tcPr>
            <w:tcW w:w="1313" w:type="dxa"/>
            <w:tcBorders>
              <w:top w:val="nil"/>
              <w:left w:val="nil"/>
              <w:bottom w:val="nil"/>
              <w:right w:val="nil"/>
            </w:tcBorders>
            <w:vAlign w:val="bottom"/>
          </w:tcPr>
          <w:p w14:paraId="5B611CD2"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c>
          <w:tcPr>
            <w:tcW w:w="1312" w:type="dxa"/>
            <w:tcBorders>
              <w:top w:val="nil"/>
              <w:left w:val="nil"/>
              <w:bottom w:val="nil"/>
              <w:right w:val="nil"/>
            </w:tcBorders>
            <w:vAlign w:val="bottom"/>
          </w:tcPr>
          <w:p w14:paraId="379B876C"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5C2C7CC3" w14:textId="77777777" w:rsidTr="00575DB7">
        <w:trPr>
          <w:trHeight w:val="225"/>
        </w:trPr>
        <w:tc>
          <w:tcPr>
            <w:tcW w:w="1807" w:type="dxa"/>
            <w:tcBorders>
              <w:top w:val="nil"/>
              <w:left w:val="nil"/>
              <w:bottom w:val="nil"/>
              <w:right w:val="single" w:sz="6" w:space="0" w:color="auto"/>
            </w:tcBorders>
            <w:vAlign w:val="bottom"/>
          </w:tcPr>
          <w:p w14:paraId="74C33C39"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single" w:sz="6" w:space="0" w:color="auto"/>
              <w:bottom w:val="nil"/>
              <w:right w:val="nil"/>
            </w:tcBorders>
            <w:vAlign w:val="bottom"/>
          </w:tcPr>
          <w:p w14:paraId="00EA5364"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388DE065"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35E65DF5"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61AF4815"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nil"/>
              <w:bottom w:val="nil"/>
              <w:right w:val="nil"/>
            </w:tcBorders>
            <w:vAlign w:val="bottom"/>
          </w:tcPr>
          <w:p w14:paraId="1C6D43CB"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2" w:type="dxa"/>
            <w:tcBorders>
              <w:top w:val="nil"/>
              <w:left w:val="nil"/>
              <w:bottom w:val="nil"/>
              <w:right w:val="nil"/>
            </w:tcBorders>
            <w:vAlign w:val="bottom"/>
          </w:tcPr>
          <w:p w14:paraId="26CE8762"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3CAA0B87" w14:textId="77777777" w:rsidTr="00575DB7">
        <w:trPr>
          <w:trHeight w:val="225"/>
        </w:trPr>
        <w:tc>
          <w:tcPr>
            <w:tcW w:w="1807" w:type="dxa"/>
            <w:tcBorders>
              <w:top w:val="nil"/>
              <w:left w:val="nil"/>
              <w:bottom w:val="nil"/>
              <w:right w:val="single" w:sz="6" w:space="0" w:color="auto"/>
            </w:tcBorders>
            <w:vAlign w:val="bottom"/>
          </w:tcPr>
          <w:p w14:paraId="31BB2D97"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FRA </w:t>
            </w:r>
          </w:p>
        </w:tc>
        <w:tc>
          <w:tcPr>
            <w:tcW w:w="1313" w:type="dxa"/>
            <w:tcBorders>
              <w:top w:val="nil"/>
              <w:left w:val="single" w:sz="6" w:space="0" w:color="auto"/>
              <w:bottom w:val="nil"/>
              <w:right w:val="nil"/>
            </w:tcBorders>
            <w:vAlign w:val="bottom"/>
          </w:tcPr>
          <w:p w14:paraId="74D0D125"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-0.741318</w:t>
            </w:r>
          </w:p>
        </w:tc>
        <w:tc>
          <w:tcPr>
            <w:tcW w:w="1312" w:type="dxa"/>
            <w:tcBorders>
              <w:top w:val="nil"/>
              <w:left w:val="nil"/>
              <w:bottom w:val="nil"/>
              <w:right w:val="nil"/>
            </w:tcBorders>
            <w:vAlign w:val="bottom"/>
          </w:tcPr>
          <w:p w14:paraId="09F469BD"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-0.218469</w:t>
            </w:r>
          </w:p>
        </w:tc>
        <w:tc>
          <w:tcPr>
            <w:tcW w:w="1313" w:type="dxa"/>
            <w:tcBorders>
              <w:top w:val="nil"/>
              <w:left w:val="nil"/>
              <w:bottom w:val="nil"/>
              <w:right w:val="nil"/>
            </w:tcBorders>
            <w:vAlign w:val="bottom"/>
          </w:tcPr>
          <w:p w14:paraId="00891D5A"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-0.107173</w:t>
            </w:r>
          </w:p>
        </w:tc>
        <w:tc>
          <w:tcPr>
            <w:tcW w:w="1312" w:type="dxa"/>
            <w:tcBorders>
              <w:top w:val="nil"/>
              <w:left w:val="nil"/>
              <w:bottom w:val="nil"/>
              <w:right w:val="nil"/>
            </w:tcBorders>
            <w:vAlign w:val="bottom"/>
          </w:tcPr>
          <w:p w14:paraId="2737C72F"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-0.179139</w:t>
            </w:r>
          </w:p>
        </w:tc>
        <w:tc>
          <w:tcPr>
            <w:tcW w:w="1313" w:type="dxa"/>
            <w:tcBorders>
              <w:top w:val="nil"/>
              <w:left w:val="nil"/>
              <w:bottom w:val="nil"/>
              <w:right w:val="nil"/>
            </w:tcBorders>
            <w:vAlign w:val="bottom"/>
          </w:tcPr>
          <w:p w14:paraId="21E1267A"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1.000000</w:t>
            </w:r>
          </w:p>
        </w:tc>
        <w:tc>
          <w:tcPr>
            <w:tcW w:w="1312" w:type="dxa"/>
            <w:tcBorders>
              <w:top w:val="nil"/>
              <w:left w:val="nil"/>
              <w:bottom w:val="nil"/>
              <w:right w:val="nil"/>
            </w:tcBorders>
            <w:vAlign w:val="bottom"/>
          </w:tcPr>
          <w:p w14:paraId="558DD17A"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15FB125A" w14:textId="77777777" w:rsidTr="00575DB7">
        <w:trPr>
          <w:trHeight w:val="225"/>
        </w:trPr>
        <w:tc>
          <w:tcPr>
            <w:tcW w:w="1807" w:type="dxa"/>
            <w:tcBorders>
              <w:top w:val="nil"/>
              <w:left w:val="nil"/>
              <w:bottom w:val="nil"/>
              <w:right w:val="single" w:sz="6" w:space="0" w:color="auto"/>
            </w:tcBorders>
            <w:vAlign w:val="bottom"/>
          </w:tcPr>
          <w:p w14:paraId="6288FFE0"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c>
          <w:tcPr>
            <w:tcW w:w="1313" w:type="dxa"/>
            <w:tcBorders>
              <w:top w:val="nil"/>
              <w:left w:val="single" w:sz="6" w:space="0" w:color="auto"/>
              <w:bottom w:val="nil"/>
              <w:right w:val="nil"/>
            </w:tcBorders>
            <w:vAlign w:val="bottom"/>
          </w:tcPr>
          <w:p w14:paraId="3CCD194E"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c>
          <w:tcPr>
            <w:tcW w:w="1312" w:type="dxa"/>
            <w:tcBorders>
              <w:top w:val="nil"/>
              <w:left w:val="nil"/>
              <w:bottom w:val="nil"/>
              <w:right w:val="nil"/>
            </w:tcBorders>
            <w:vAlign w:val="bottom"/>
          </w:tcPr>
          <w:p w14:paraId="23509284"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0.1358</w:t>
            </w:r>
          </w:p>
        </w:tc>
        <w:tc>
          <w:tcPr>
            <w:tcW w:w="1313" w:type="dxa"/>
            <w:tcBorders>
              <w:top w:val="nil"/>
              <w:left w:val="nil"/>
              <w:bottom w:val="nil"/>
              <w:right w:val="nil"/>
            </w:tcBorders>
            <w:vAlign w:val="bottom"/>
          </w:tcPr>
          <w:p w14:paraId="651188E0"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0.4684</w:t>
            </w:r>
          </w:p>
        </w:tc>
        <w:tc>
          <w:tcPr>
            <w:tcW w:w="1312" w:type="dxa"/>
            <w:tcBorders>
              <w:top w:val="nil"/>
              <w:left w:val="nil"/>
              <w:bottom w:val="nil"/>
              <w:right w:val="nil"/>
            </w:tcBorders>
            <w:vAlign w:val="bottom"/>
          </w:tcPr>
          <w:p w14:paraId="6CBCD8AE"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0.2231</w:t>
            </w:r>
          </w:p>
        </w:tc>
        <w:tc>
          <w:tcPr>
            <w:tcW w:w="1313" w:type="dxa"/>
            <w:tcBorders>
              <w:top w:val="nil"/>
              <w:left w:val="nil"/>
              <w:bottom w:val="nil"/>
              <w:right w:val="nil"/>
            </w:tcBorders>
            <w:vAlign w:val="bottom"/>
          </w:tcPr>
          <w:p w14:paraId="23D18D37" w14:textId="77777777" w:rsidR="00B41426" w:rsidRDefault="00B41426" w:rsidP="00E65C8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w:t>
            </w:r>
          </w:p>
        </w:tc>
        <w:tc>
          <w:tcPr>
            <w:tcW w:w="1312" w:type="dxa"/>
            <w:tcBorders>
              <w:top w:val="nil"/>
              <w:left w:val="nil"/>
              <w:bottom w:val="nil"/>
              <w:right w:val="nil"/>
            </w:tcBorders>
            <w:vAlign w:val="bottom"/>
          </w:tcPr>
          <w:p w14:paraId="39233027" w14:textId="77777777" w:rsidR="00B41426" w:rsidRDefault="00B41426" w:rsidP="00E65C86">
            <w:pPr>
              <w:autoSpaceDE w:val="0"/>
              <w:autoSpaceDN w:val="0"/>
              <w:adjustRightInd w:val="0"/>
              <w:spacing w:after="0" w:line="240" w:lineRule="auto"/>
              <w:ind w:right="10"/>
              <w:jc w:val="center"/>
              <w:rPr>
                <w:rFonts w:ascii="Arial" w:hAnsi="Arial" w:cs="Arial"/>
                <w:color w:val="000000"/>
                <w:sz w:val="18"/>
                <w:szCs w:val="18"/>
              </w:rPr>
            </w:pPr>
          </w:p>
        </w:tc>
      </w:tr>
      <w:tr w:rsidR="00B41426" w14:paraId="52873BEF" w14:textId="77777777" w:rsidTr="00575DB7">
        <w:trPr>
          <w:trHeight w:hRule="exact" w:val="90"/>
        </w:trPr>
        <w:tc>
          <w:tcPr>
            <w:tcW w:w="1807" w:type="dxa"/>
            <w:tcBorders>
              <w:top w:val="nil"/>
              <w:left w:val="nil"/>
              <w:bottom w:val="double" w:sz="6" w:space="0" w:color="auto"/>
              <w:right w:val="nil"/>
            </w:tcBorders>
            <w:vAlign w:val="bottom"/>
          </w:tcPr>
          <w:p w14:paraId="5BFBB36D"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double" w:sz="6" w:space="0" w:color="auto"/>
              <w:right w:val="nil"/>
            </w:tcBorders>
            <w:vAlign w:val="bottom"/>
          </w:tcPr>
          <w:p w14:paraId="621F474B"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double" w:sz="6" w:space="0" w:color="auto"/>
              <w:right w:val="nil"/>
            </w:tcBorders>
            <w:vAlign w:val="bottom"/>
          </w:tcPr>
          <w:p w14:paraId="64FEFB42"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double" w:sz="6" w:space="0" w:color="auto"/>
              <w:right w:val="nil"/>
            </w:tcBorders>
            <w:vAlign w:val="bottom"/>
          </w:tcPr>
          <w:p w14:paraId="24FA0C36"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double" w:sz="6" w:space="0" w:color="auto"/>
              <w:right w:val="nil"/>
            </w:tcBorders>
            <w:vAlign w:val="bottom"/>
          </w:tcPr>
          <w:p w14:paraId="27B34969"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double" w:sz="6" w:space="0" w:color="auto"/>
              <w:right w:val="nil"/>
            </w:tcBorders>
            <w:vAlign w:val="bottom"/>
          </w:tcPr>
          <w:p w14:paraId="24141A29"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nil"/>
              <w:right w:val="nil"/>
            </w:tcBorders>
            <w:vAlign w:val="bottom"/>
          </w:tcPr>
          <w:p w14:paraId="323C68A4"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r w:rsidR="00B41426" w14:paraId="38EABD34" w14:textId="77777777" w:rsidTr="00575DB7">
        <w:trPr>
          <w:trHeight w:hRule="exact" w:val="135"/>
        </w:trPr>
        <w:tc>
          <w:tcPr>
            <w:tcW w:w="1807" w:type="dxa"/>
            <w:tcBorders>
              <w:top w:val="nil"/>
              <w:left w:val="nil"/>
              <w:bottom w:val="nil"/>
              <w:right w:val="nil"/>
            </w:tcBorders>
            <w:vAlign w:val="bottom"/>
          </w:tcPr>
          <w:p w14:paraId="2913304B"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nil"/>
              <w:right w:val="nil"/>
            </w:tcBorders>
            <w:vAlign w:val="bottom"/>
          </w:tcPr>
          <w:p w14:paraId="6030795F"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nil"/>
              <w:right w:val="nil"/>
            </w:tcBorders>
            <w:vAlign w:val="bottom"/>
          </w:tcPr>
          <w:p w14:paraId="3EAD2055"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nil"/>
              <w:right w:val="nil"/>
            </w:tcBorders>
            <w:vAlign w:val="bottom"/>
          </w:tcPr>
          <w:p w14:paraId="12BE2929"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nil"/>
              <w:right w:val="nil"/>
            </w:tcBorders>
            <w:vAlign w:val="bottom"/>
          </w:tcPr>
          <w:p w14:paraId="243DB9ED"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3" w:type="dxa"/>
            <w:tcBorders>
              <w:top w:val="nil"/>
              <w:left w:val="nil"/>
              <w:bottom w:val="nil"/>
              <w:right w:val="nil"/>
            </w:tcBorders>
            <w:vAlign w:val="bottom"/>
          </w:tcPr>
          <w:p w14:paraId="6F127D21" w14:textId="77777777" w:rsidR="00B41426" w:rsidRDefault="00B41426" w:rsidP="00E65C86">
            <w:pPr>
              <w:autoSpaceDE w:val="0"/>
              <w:autoSpaceDN w:val="0"/>
              <w:adjustRightInd w:val="0"/>
              <w:spacing w:after="0" w:line="240" w:lineRule="auto"/>
              <w:rPr>
                <w:rFonts w:ascii="Arial" w:hAnsi="Arial" w:cs="Arial"/>
                <w:color w:val="000000"/>
                <w:sz w:val="18"/>
                <w:szCs w:val="18"/>
              </w:rPr>
            </w:pPr>
          </w:p>
        </w:tc>
        <w:tc>
          <w:tcPr>
            <w:tcW w:w="1312" w:type="dxa"/>
            <w:tcBorders>
              <w:top w:val="nil"/>
              <w:left w:val="nil"/>
              <w:bottom w:val="nil"/>
              <w:right w:val="nil"/>
            </w:tcBorders>
            <w:vAlign w:val="bottom"/>
          </w:tcPr>
          <w:p w14:paraId="3357587F" w14:textId="77777777" w:rsidR="00B41426" w:rsidRDefault="00B41426" w:rsidP="00E65C86">
            <w:pPr>
              <w:autoSpaceDE w:val="0"/>
              <w:autoSpaceDN w:val="0"/>
              <w:adjustRightInd w:val="0"/>
              <w:spacing w:after="0" w:line="240" w:lineRule="auto"/>
              <w:jc w:val="center"/>
              <w:rPr>
                <w:rFonts w:ascii="Arial" w:hAnsi="Arial" w:cs="Arial"/>
                <w:color w:val="000000"/>
                <w:sz w:val="18"/>
                <w:szCs w:val="18"/>
              </w:rPr>
            </w:pPr>
          </w:p>
        </w:tc>
      </w:tr>
    </w:tbl>
    <w:p w14:paraId="1C5D0A9E" w14:textId="327E9EAA" w:rsidR="00356480" w:rsidRPr="005043C7" w:rsidRDefault="000005F0" w:rsidP="000005F0">
      <w:pPr>
        <w:spacing w:after="100" w:afterAutospacing="1" w:line="240" w:lineRule="auto"/>
        <w:jc w:val="both"/>
        <w:rPr>
          <w:rFonts w:ascii="Times New Roman" w:eastAsia="Times New Roman" w:hAnsi="Times New Roman"/>
          <w:sz w:val="24"/>
          <w:szCs w:val="24"/>
        </w:rPr>
      </w:pPr>
      <w:r w:rsidRPr="00E13272">
        <w:rPr>
          <w:rFonts w:ascii="Times New Roman" w:eastAsiaTheme="minorHAnsi" w:hAnsi="Times New Roman"/>
          <w:sz w:val="18"/>
          <w:szCs w:val="18"/>
          <w14:ligatures w14:val="standardContextual"/>
        </w:rPr>
        <w:t>Source:</w:t>
      </w:r>
      <w:r w:rsidR="00BE415E">
        <w:rPr>
          <w:rFonts w:ascii="Times New Roman" w:eastAsiaTheme="minorHAnsi" w:hAnsi="Times New Roman"/>
          <w:sz w:val="18"/>
          <w:szCs w:val="18"/>
          <w14:ligatures w14:val="standardContextual"/>
        </w:rPr>
        <w:t xml:space="preserve"> </w:t>
      </w:r>
      <w:proofErr w:type="spellStart"/>
      <w:r w:rsidRPr="00E13272">
        <w:rPr>
          <w:rFonts w:ascii="Times New Roman" w:eastAsiaTheme="minorHAnsi" w:hAnsi="Times New Roman"/>
          <w:sz w:val="18"/>
          <w:szCs w:val="18"/>
          <w14:ligatures w14:val="standardContextual"/>
        </w:rPr>
        <w:t>Eview</w:t>
      </w:r>
      <w:proofErr w:type="spellEnd"/>
    </w:p>
    <w:p w14:paraId="35A36F7B" w14:textId="77777777" w:rsidR="00820FF0" w:rsidRPr="00341A22" w:rsidRDefault="00820FF0" w:rsidP="00820FF0">
      <w:pPr>
        <w:jc w:val="both"/>
        <w:rPr>
          <w:rFonts w:ascii="Times New Roman" w:hAnsi="Times New Roman"/>
          <w:sz w:val="24"/>
          <w:szCs w:val="24"/>
          <w:lang w:val="en-GB"/>
        </w:rPr>
      </w:pPr>
      <w:r w:rsidRPr="00341A22">
        <w:rPr>
          <w:rFonts w:ascii="Times New Roman" w:hAnsi="Times New Roman"/>
          <w:sz w:val="24"/>
          <w:szCs w:val="24"/>
          <w:lang w:val="en-GB"/>
        </w:rPr>
        <w:t>The correlation analysis demonstrates a positive relationship between operational performance and environmental reporting (r = 0.4407, p &lt; 0.05), governance reporting (r = 0.3966, p &lt; 0.05), and social reporting (r = 0.3221, p &lt; 0.05). These findings suggest that organizations with higher sustainability disclosure scores generally achieve superior operating margins, although it is important to note that correlation does not establish causation.</w:t>
      </w:r>
    </w:p>
    <w:p w14:paraId="59F88B69" w14:textId="77777777" w:rsidR="00820FF0" w:rsidRPr="00341A22" w:rsidRDefault="00820FF0" w:rsidP="00820FF0">
      <w:pPr>
        <w:jc w:val="both"/>
        <w:rPr>
          <w:rFonts w:ascii="Times New Roman" w:hAnsi="Times New Roman"/>
          <w:sz w:val="24"/>
          <w:szCs w:val="24"/>
          <w:lang w:val="en-GB"/>
        </w:rPr>
      </w:pPr>
    </w:p>
    <w:p w14:paraId="2F093128" w14:textId="77777777" w:rsidR="00820FF0" w:rsidRPr="00341A22" w:rsidRDefault="00820FF0" w:rsidP="00820FF0">
      <w:pPr>
        <w:jc w:val="both"/>
        <w:rPr>
          <w:rFonts w:ascii="Times New Roman" w:hAnsi="Times New Roman"/>
          <w:sz w:val="24"/>
          <w:szCs w:val="24"/>
          <w:lang w:val="en-GB"/>
        </w:rPr>
      </w:pPr>
      <w:r w:rsidRPr="00341A22">
        <w:rPr>
          <w:rFonts w:ascii="Times New Roman" w:hAnsi="Times New Roman"/>
          <w:sz w:val="24"/>
          <w:szCs w:val="24"/>
          <w:lang w:val="en-GB"/>
        </w:rPr>
        <w:t>Firm age displays a significant negative correlation with operational performance (r = -0.7413, p &lt; 0.01), indicating that older firms within the sample tend to report lower operating margins compared to their younger counterparts. Furthermore, the correlation matrix confirms strong interdependencies among environmental, social, and governance reporting metrics.</w:t>
      </w:r>
    </w:p>
    <w:p w14:paraId="5BE970CD" w14:textId="77777777" w:rsidR="00216007" w:rsidRDefault="00216007" w:rsidP="00D60B69">
      <w:pPr>
        <w:jc w:val="both"/>
        <w:rPr>
          <w:rFonts w:ascii="Times New Roman" w:eastAsia="Arial Unicode MS" w:hAnsi="Times New Roman"/>
          <w:color w:val="000000"/>
          <w:sz w:val="24"/>
          <w:szCs w:val="24"/>
        </w:rPr>
      </w:pPr>
    </w:p>
    <w:p w14:paraId="2BA690BB" w14:textId="451C8720" w:rsidR="00281EA8" w:rsidRPr="00115BC5" w:rsidRDefault="002C3C4C" w:rsidP="00115BC5">
      <w:pPr>
        <w:rPr>
          <w:rFonts w:ascii="Times New Roman" w:hAnsi="Times New Roman"/>
          <w:b/>
          <w:bCs/>
          <w:sz w:val="24"/>
          <w:szCs w:val="24"/>
        </w:rPr>
      </w:pPr>
      <w:r>
        <w:rPr>
          <w:rFonts w:ascii="Times New Roman" w:hAnsi="Times New Roman"/>
          <w:b/>
          <w:bCs/>
          <w:sz w:val="24"/>
          <w:szCs w:val="24"/>
        </w:rPr>
        <w:t xml:space="preserve">Table </w:t>
      </w:r>
      <w:r w:rsidR="004C379B">
        <w:rPr>
          <w:rFonts w:ascii="Times New Roman" w:hAnsi="Times New Roman"/>
          <w:b/>
          <w:bCs/>
          <w:sz w:val="24"/>
          <w:szCs w:val="24"/>
        </w:rPr>
        <w:t>3</w:t>
      </w:r>
      <w:r w:rsidR="008050C1">
        <w:rPr>
          <w:rFonts w:ascii="Times New Roman" w:hAnsi="Times New Roman"/>
          <w:b/>
          <w:bCs/>
          <w:sz w:val="24"/>
          <w:szCs w:val="24"/>
        </w:rPr>
        <w:t>:</w:t>
      </w:r>
      <w:r w:rsidR="00115BC5" w:rsidRPr="005043C7">
        <w:rPr>
          <w:rFonts w:ascii="Times New Roman" w:hAnsi="Times New Roman"/>
          <w:b/>
          <w:bCs/>
          <w:sz w:val="24"/>
          <w:szCs w:val="24"/>
        </w:rPr>
        <w:tab/>
      </w:r>
      <w:r w:rsidR="00115BC5">
        <w:rPr>
          <w:rFonts w:ascii="Times New Roman" w:eastAsia="Times New Roman" w:hAnsi="Times New Roman"/>
          <w:b/>
          <w:bCs/>
          <w:sz w:val="24"/>
          <w:szCs w:val="24"/>
        </w:rPr>
        <w:t>Regression Result</w:t>
      </w:r>
      <w:r w:rsidR="00216007">
        <w:rPr>
          <w:rFonts w:ascii="Times New Roman" w:eastAsia="Times New Roman" w:hAnsi="Times New Roman"/>
          <w:b/>
          <w:bCs/>
          <w:sz w:val="24"/>
          <w:szCs w:val="24"/>
        </w:rPr>
        <w:t>s</w:t>
      </w:r>
      <w:r w:rsidR="00115BC5" w:rsidRPr="005043C7">
        <w:rPr>
          <w:rFonts w:ascii="Times New Roman" w:eastAsia="Times New Roman" w:hAnsi="Times New Roman"/>
          <w:sz w:val="24"/>
          <w:szCs w:val="24"/>
        </w:rPr>
        <w:t xml:space="preserve">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3046C" w14:paraId="6D594E5B" w14:textId="77777777" w:rsidTr="00575DB7">
        <w:trPr>
          <w:trHeight w:val="225"/>
        </w:trPr>
        <w:tc>
          <w:tcPr>
            <w:tcW w:w="4327" w:type="dxa"/>
            <w:gridSpan w:val="3"/>
            <w:tcBorders>
              <w:top w:val="nil"/>
              <w:left w:val="nil"/>
              <w:bottom w:val="nil"/>
              <w:right w:val="nil"/>
            </w:tcBorders>
            <w:vAlign w:val="bottom"/>
          </w:tcPr>
          <w:p w14:paraId="55BE94D2"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OPMR</w:t>
            </w:r>
          </w:p>
        </w:tc>
        <w:tc>
          <w:tcPr>
            <w:tcW w:w="1208" w:type="dxa"/>
            <w:tcBorders>
              <w:top w:val="nil"/>
              <w:left w:val="nil"/>
              <w:bottom w:val="nil"/>
              <w:right w:val="nil"/>
            </w:tcBorders>
            <w:vAlign w:val="bottom"/>
          </w:tcPr>
          <w:p w14:paraId="0B602E69"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3E117C3"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6B983383" w14:textId="77777777" w:rsidTr="00575DB7">
        <w:trPr>
          <w:trHeight w:val="225"/>
        </w:trPr>
        <w:tc>
          <w:tcPr>
            <w:tcW w:w="4327" w:type="dxa"/>
            <w:gridSpan w:val="3"/>
            <w:tcBorders>
              <w:top w:val="nil"/>
              <w:left w:val="nil"/>
              <w:bottom w:val="nil"/>
              <w:right w:val="nil"/>
            </w:tcBorders>
            <w:vAlign w:val="bottom"/>
          </w:tcPr>
          <w:p w14:paraId="161FF3F2"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Panel Least Squares</w:t>
            </w:r>
          </w:p>
        </w:tc>
        <w:tc>
          <w:tcPr>
            <w:tcW w:w="1208" w:type="dxa"/>
            <w:tcBorders>
              <w:top w:val="nil"/>
              <w:left w:val="nil"/>
              <w:bottom w:val="nil"/>
              <w:right w:val="nil"/>
            </w:tcBorders>
            <w:vAlign w:val="bottom"/>
          </w:tcPr>
          <w:p w14:paraId="62DE3A31"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26B5B3F"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4059BDB0" w14:textId="77777777" w:rsidTr="00575DB7">
        <w:trPr>
          <w:trHeight w:val="225"/>
        </w:trPr>
        <w:tc>
          <w:tcPr>
            <w:tcW w:w="4327" w:type="dxa"/>
            <w:gridSpan w:val="3"/>
            <w:tcBorders>
              <w:top w:val="nil"/>
              <w:left w:val="nil"/>
              <w:bottom w:val="nil"/>
              <w:right w:val="nil"/>
            </w:tcBorders>
            <w:vAlign w:val="bottom"/>
          </w:tcPr>
          <w:p w14:paraId="48FD0833"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05/21/26   Time: 13:21</w:t>
            </w:r>
          </w:p>
        </w:tc>
        <w:tc>
          <w:tcPr>
            <w:tcW w:w="1208" w:type="dxa"/>
            <w:tcBorders>
              <w:top w:val="nil"/>
              <w:left w:val="nil"/>
              <w:bottom w:val="nil"/>
              <w:right w:val="nil"/>
            </w:tcBorders>
            <w:vAlign w:val="bottom"/>
          </w:tcPr>
          <w:p w14:paraId="2E3074C1"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3FBDCFE"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681F8514" w14:textId="77777777" w:rsidTr="00575DB7">
        <w:trPr>
          <w:trHeight w:val="225"/>
        </w:trPr>
        <w:tc>
          <w:tcPr>
            <w:tcW w:w="4327" w:type="dxa"/>
            <w:gridSpan w:val="3"/>
            <w:tcBorders>
              <w:top w:val="nil"/>
              <w:left w:val="nil"/>
              <w:bottom w:val="nil"/>
              <w:right w:val="nil"/>
            </w:tcBorders>
            <w:vAlign w:val="bottom"/>
          </w:tcPr>
          <w:p w14:paraId="4DCED25E"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2019 2024</w:t>
            </w:r>
          </w:p>
        </w:tc>
        <w:tc>
          <w:tcPr>
            <w:tcW w:w="1208" w:type="dxa"/>
            <w:tcBorders>
              <w:top w:val="nil"/>
              <w:left w:val="nil"/>
              <w:bottom w:val="nil"/>
              <w:right w:val="nil"/>
            </w:tcBorders>
            <w:vAlign w:val="bottom"/>
          </w:tcPr>
          <w:p w14:paraId="12693A4A"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9EDF010"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1FFB4293" w14:textId="77777777" w:rsidTr="00575DB7">
        <w:trPr>
          <w:trHeight w:val="225"/>
        </w:trPr>
        <w:tc>
          <w:tcPr>
            <w:tcW w:w="4327" w:type="dxa"/>
            <w:gridSpan w:val="3"/>
            <w:tcBorders>
              <w:top w:val="nil"/>
              <w:left w:val="nil"/>
              <w:bottom w:val="nil"/>
              <w:right w:val="nil"/>
            </w:tcBorders>
            <w:vAlign w:val="bottom"/>
          </w:tcPr>
          <w:p w14:paraId="1C41465B"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Periods included: 6</w:t>
            </w:r>
          </w:p>
        </w:tc>
        <w:tc>
          <w:tcPr>
            <w:tcW w:w="1208" w:type="dxa"/>
            <w:tcBorders>
              <w:top w:val="nil"/>
              <w:left w:val="nil"/>
              <w:bottom w:val="nil"/>
              <w:right w:val="nil"/>
            </w:tcBorders>
            <w:vAlign w:val="bottom"/>
          </w:tcPr>
          <w:p w14:paraId="0F34CEBA"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7EB7BDA"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3528EEE9" w14:textId="77777777" w:rsidTr="00575DB7">
        <w:trPr>
          <w:trHeight w:val="225"/>
        </w:trPr>
        <w:tc>
          <w:tcPr>
            <w:tcW w:w="4327" w:type="dxa"/>
            <w:gridSpan w:val="3"/>
            <w:tcBorders>
              <w:top w:val="nil"/>
              <w:left w:val="nil"/>
              <w:bottom w:val="nil"/>
              <w:right w:val="nil"/>
            </w:tcBorders>
            <w:vAlign w:val="bottom"/>
          </w:tcPr>
          <w:p w14:paraId="0535B5EE"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Cross-sections included: 8</w:t>
            </w:r>
          </w:p>
        </w:tc>
        <w:tc>
          <w:tcPr>
            <w:tcW w:w="1208" w:type="dxa"/>
            <w:tcBorders>
              <w:top w:val="nil"/>
              <w:left w:val="nil"/>
              <w:bottom w:val="nil"/>
              <w:right w:val="nil"/>
            </w:tcBorders>
            <w:vAlign w:val="bottom"/>
          </w:tcPr>
          <w:p w14:paraId="78912B99"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4427900"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42A2BEA0" w14:textId="77777777" w:rsidTr="00575DB7">
        <w:trPr>
          <w:trHeight w:val="225"/>
        </w:trPr>
        <w:tc>
          <w:tcPr>
            <w:tcW w:w="5535" w:type="dxa"/>
            <w:gridSpan w:val="4"/>
            <w:tcBorders>
              <w:top w:val="nil"/>
              <w:left w:val="nil"/>
              <w:bottom w:val="nil"/>
              <w:right w:val="nil"/>
            </w:tcBorders>
            <w:vAlign w:val="bottom"/>
          </w:tcPr>
          <w:p w14:paraId="7E62287F"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Total panel (balanced) observations: 48</w:t>
            </w:r>
          </w:p>
        </w:tc>
        <w:tc>
          <w:tcPr>
            <w:tcW w:w="997" w:type="dxa"/>
            <w:tcBorders>
              <w:top w:val="nil"/>
              <w:left w:val="nil"/>
              <w:bottom w:val="nil"/>
              <w:right w:val="nil"/>
            </w:tcBorders>
            <w:vAlign w:val="bottom"/>
          </w:tcPr>
          <w:p w14:paraId="16B897C3"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46A48D71" w14:textId="77777777" w:rsidTr="00575DB7">
        <w:trPr>
          <w:trHeight w:hRule="exact" w:val="90"/>
        </w:trPr>
        <w:tc>
          <w:tcPr>
            <w:tcW w:w="2017" w:type="dxa"/>
            <w:tcBorders>
              <w:top w:val="nil"/>
              <w:left w:val="nil"/>
              <w:bottom w:val="double" w:sz="6" w:space="2" w:color="auto"/>
              <w:right w:val="nil"/>
            </w:tcBorders>
            <w:vAlign w:val="bottom"/>
          </w:tcPr>
          <w:p w14:paraId="7877CF19"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750DD28"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44110BC"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F2BE7E5"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26C0FBD"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5275B698" w14:textId="77777777" w:rsidTr="00575DB7">
        <w:trPr>
          <w:trHeight w:hRule="exact" w:val="135"/>
        </w:trPr>
        <w:tc>
          <w:tcPr>
            <w:tcW w:w="2017" w:type="dxa"/>
            <w:tcBorders>
              <w:top w:val="nil"/>
              <w:left w:val="nil"/>
              <w:bottom w:val="nil"/>
              <w:right w:val="nil"/>
            </w:tcBorders>
            <w:vAlign w:val="bottom"/>
          </w:tcPr>
          <w:p w14:paraId="31D30257"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70D98BA"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FA8D83C"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B7C4644"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9A0A20D"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7CCDED5C" w14:textId="77777777" w:rsidTr="00575DB7">
        <w:trPr>
          <w:trHeight w:val="225"/>
        </w:trPr>
        <w:tc>
          <w:tcPr>
            <w:tcW w:w="2017" w:type="dxa"/>
            <w:tcBorders>
              <w:top w:val="nil"/>
              <w:left w:val="nil"/>
              <w:bottom w:val="nil"/>
              <w:right w:val="nil"/>
            </w:tcBorders>
            <w:vAlign w:val="bottom"/>
          </w:tcPr>
          <w:p w14:paraId="08EAD850"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14:paraId="3479288A"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14:paraId="271507CE"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14:paraId="6CD94339"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14:paraId="65F4D64B"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23046C" w14:paraId="6772949C" w14:textId="77777777" w:rsidTr="00575DB7">
        <w:trPr>
          <w:trHeight w:hRule="exact" w:val="90"/>
        </w:trPr>
        <w:tc>
          <w:tcPr>
            <w:tcW w:w="2017" w:type="dxa"/>
            <w:tcBorders>
              <w:top w:val="nil"/>
              <w:left w:val="nil"/>
              <w:bottom w:val="double" w:sz="6" w:space="2" w:color="auto"/>
              <w:right w:val="nil"/>
            </w:tcBorders>
            <w:vAlign w:val="bottom"/>
          </w:tcPr>
          <w:p w14:paraId="0317D4C4"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44A1DDF"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A68D678"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2F89DFF"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6D228C3"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768C7677" w14:textId="77777777" w:rsidTr="00575DB7">
        <w:trPr>
          <w:trHeight w:hRule="exact" w:val="135"/>
        </w:trPr>
        <w:tc>
          <w:tcPr>
            <w:tcW w:w="2017" w:type="dxa"/>
            <w:tcBorders>
              <w:top w:val="nil"/>
              <w:left w:val="nil"/>
              <w:bottom w:val="nil"/>
              <w:right w:val="nil"/>
            </w:tcBorders>
            <w:vAlign w:val="bottom"/>
          </w:tcPr>
          <w:p w14:paraId="31BC015C"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48CF45A"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E86D092"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4FC73DE"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3F5C4D2"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725BE88E" w14:textId="77777777" w:rsidTr="00575DB7">
        <w:trPr>
          <w:trHeight w:val="225"/>
        </w:trPr>
        <w:tc>
          <w:tcPr>
            <w:tcW w:w="2017" w:type="dxa"/>
            <w:tcBorders>
              <w:top w:val="nil"/>
              <w:left w:val="nil"/>
              <w:bottom w:val="nil"/>
              <w:right w:val="nil"/>
            </w:tcBorders>
            <w:vAlign w:val="bottom"/>
          </w:tcPr>
          <w:p w14:paraId="05A9ACB1"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14:paraId="5952C6B6"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0.007510</w:t>
            </w:r>
          </w:p>
        </w:tc>
        <w:tc>
          <w:tcPr>
            <w:tcW w:w="1207" w:type="dxa"/>
            <w:tcBorders>
              <w:top w:val="nil"/>
              <w:left w:val="nil"/>
              <w:bottom w:val="nil"/>
              <w:right w:val="nil"/>
            </w:tcBorders>
            <w:vAlign w:val="bottom"/>
          </w:tcPr>
          <w:p w14:paraId="579E07BC"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0.213320</w:t>
            </w:r>
          </w:p>
        </w:tc>
        <w:tc>
          <w:tcPr>
            <w:tcW w:w="1208" w:type="dxa"/>
            <w:tcBorders>
              <w:top w:val="nil"/>
              <w:left w:val="nil"/>
              <w:bottom w:val="nil"/>
              <w:right w:val="nil"/>
            </w:tcBorders>
            <w:vAlign w:val="bottom"/>
          </w:tcPr>
          <w:p w14:paraId="649BAC68"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0.035207</w:t>
            </w:r>
          </w:p>
        </w:tc>
        <w:tc>
          <w:tcPr>
            <w:tcW w:w="997" w:type="dxa"/>
            <w:tcBorders>
              <w:top w:val="nil"/>
              <w:left w:val="nil"/>
              <w:bottom w:val="nil"/>
              <w:right w:val="nil"/>
            </w:tcBorders>
            <w:vAlign w:val="bottom"/>
          </w:tcPr>
          <w:p w14:paraId="43320E50"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0.9721</w:t>
            </w:r>
          </w:p>
        </w:tc>
      </w:tr>
      <w:tr w:rsidR="0023046C" w14:paraId="4C9851D8" w14:textId="77777777" w:rsidTr="00575DB7">
        <w:trPr>
          <w:trHeight w:val="225"/>
        </w:trPr>
        <w:tc>
          <w:tcPr>
            <w:tcW w:w="2017" w:type="dxa"/>
            <w:tcBorders>
              <w:top w:val="nil"/>
              <w:left w:val="nil"/>
              <w:bottom w:val="nil"/>
              <w:right w:val="nil"/>
            </w:tcBorders>
            <w:vAlign w:val="bottom"/>
          </w:tcPr>
          <w:p w14:paraId="4AF57317"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ENV</w:t>
            </w:r>
          </w:p>
        </w:tc>
        <w:tc>
          <w:tcPr>
            <w:tcW w:w="1103" w:type="dxa"/>
            <w:tcBorders>
              <w:top w:val="nil"/>
              <w:left w:val="nil"/>
              <w:bottom w:val="nil"/>
              <w:right w:val="nil"/>
            </w:tcBorders>
            <w:vAlign w:val="bottom"/>
          </w:tcPr>
          <w:p w14:paraId="454D1B96"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0.040592</w:t>
            </w:r>
          </w:p>
        </w:tc>
        <w:tc>
          <w:tcPr>
            <w:tcW w:w="1207" w:type="dxa"/>
            <w:tcBorders>
              <w:top w:val="nil"/>
              <w:left w:val="nil"/>
              <w:bottom w:val="nil"/>
              <w:right w:val="nil"/>
            </w:tcBorders>
            <w:vAlign w:val="bottom"/>
          </w:tcPr>
          <w:p w14:paraId="3A28285A"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0.034573</w:t>
            </w:r>
          </w:p>
        </w:tc>
        <w:tc>
          <w:tcPr>
            <w:tcW w:w="1208" w:type="dxa"/>
            <w:tcBorders>
              <w:top w:val="nil"/>
              <w:left w:val="nil"/>
              <w:bottom w:val="nil"/>
              <w:right w:val="nil"/>
            </w:tcBorders>
            <w:vAlign w:val="bottom"/>
          </w:tcPr>
          <w:p w14:paraId="31A0DCE3"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1.174110</w:t>
            </w:r>
          </w:p>
        </w:tc>
        <w:tc>
          <w:tcPr>
            <w:tcW w:w="997" w:type="dxa"/>
            <w:tcBorders>
              <w:top w:val="nil"/>
              <w:left w:val="nil"/>
              <w:bottom w:val="nil"/>
              <w:right w:val="nil"/>
            </w:tcBorders>
            <w:vAlign w:val="bottom"/>
          </w:tcPr>
          <w:p w14:paraId="0346C24A"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0.2468</w:t>
            </w:r>
          </w:p>
        </w:tc>
      </w:tr>
      <w:tr w:rsidR="0023046C" w14:paraId="2F81D751" w14:textId="77777777" w:rsidTr="00575DB7">
        <w:trPr>
          <w:trHeight w:val="225"/>
        </w:trPr>
        <w:tc>
          <w:tcPr>
            <w:tcW w:w="2017" w:type="dxa"/>
            <w:tcBorders>
              <w:top w:val="nil"/>
              <w:left w:val="nil"/>
              <w:bottom w:val="nil"/>
              <w:right w:val="nil"/>
            </w:tcBorders>
            <w:vAlign w:val="bottom"/>
          </w:tcPr>
          <w:p w14:paraId="0A88B7D2"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SOC</w:t>
            </w:r>
          </w:p>
        </w:tc>
        <w:tc>
          <w:tcPr>
            <w:tcW w:w="1103" w:type="dxa"/>
            <w:tcBorders>
              <w:top w:val="nil"/>
              <w:left w:val="nil"/>
              <w:bottom w:val="nil"/>
              <w:right w:val="nil"/>
            </w:tcBorders>
            <w:vAlign w:val="bottom"/>
          </w:tcPr>
          <w:p w14:paraId="3A00B06E"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-0.016782</w:t>
            </w:r>
          </w:p>
        </w:tc>
        <w:tc>
          <w:tcPr>
            <w:tcW w:w="1207" w:type="dxa"/>
            <w:tcBorders>
              <w:top w:val="nil"/>
              <w:left w:val="nil"/>
              <w:bottom w:val="nil"/>
              <w:right w:val="nil"/>
            </w:tcBorders>
            <w:vAlign w:val="bottom"/>
          </w:tcPr>
          <w:p w14:paraId="477D4E31"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0.037735</w:t>
            </w:r>
          </w:p>
        </w:tc>
        <w:tc>
          <w:tcPr>
            <w:tcW w:w="1208" w:type="dxa"/>
            <w:tcBorders>
              <w:top w:val="nil"/>
              <w:left w:val="nil"/>
              <w:bottom w:val="nil"/>
              <w:right w:val="nil"/>
            </w:tcBorders>
            <w:vAlign w:val="bottom"/>
          </w:tcPr>
          <w:p w14:paraId="2D2D8CA9"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-0.444746</w:t>
            </w:r>
          </w:p>
        </w:tc>
        <w:tc>
          <w:tcPr>
            <w:tcW w:w="997" w:type="dxa"/>
            <w:tcBorders>
              <w:top w:val="nil"/>
              <w:left w:val="nil"/>
              <w:bottom w:val="nil"/>
              <w:right w:val="nil"/>
            </w:tcBorders>
            <w:vAlign w:val="bottom"/>
          </w:tcPr>
          <w:p w14:paraId="477A0796"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0.6587</w:t>
            </w:r>
          </w:p>
        </w:tc>
      </w:tr>
      <w:tr w:rsidR="0023046C" w14:paraId="26739719" w14:textId="77777777" w:rsidTr="00575DB7">
        <w:trPr>
          <w:trHeight w:val="225"/>
        </w:trPr>
        <w:tc>
          <w:tcPr>
            <w:tcW w:w="2017" w:type="dxa"/>
            <w:tcBorders>
              <w:top w:val="nil"/>
              <w:left w:val="nil"/>
              <w:bottom w:val="nil"/>
              <w:right w:val="nil"/>
            </w:tcBorders>
            <w:vAlign w:val="bottom"/>
          </w:tcPr>
          <w:p w14:paraId="232DFF64"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GOV</w:t>
            </w:r>
          </w:p>
        </w:tc>
        <w:tc>
          <w:tcPr>
            <w:tcW w:w="1103" w:type="dxa"/>
            <w:tcBorders>
              <w:top w:val="nil"/>
              <w:left w:val="nil"/>
              <w:bottom w:val="nil"/>
              <w:right w:val="nil"/>
            </w:tcBorders>
            <w:vAlign w:val="bottom"/>
          </w:tcPr>
          <w:p w14:paraId="36AB6550"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0.020983</w:t>
            </w:r>
          </w:p>
        </w:tc>
        <w:tc>
          <w:tcPr>
            <w:tcW w:w="1207" w:type="dxa"/>
            <w:tcBorders>
              <w:top w:val="nil"/>
              <w:left w:val="nil"/>
              <w:bottom w:val="nil"/>
              <w:right w:val="nil"/>
            </w:tcBorders>
            <w:vAlign w:val="bottom"/>
          </w:tcPr>
          <w:p w14:paraId="685A7A90"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0.045424</w:t>
            </w:r>
          </w:p>
        </w:tc>
        <w:tc>
          <w:tcPr>
            <w:tcW w:w="1208" w:type="dxa"/>
            <w:tcBorders>
              <w:top w:val="nil"/>
              <w:left w:val="nil"/>
              <w:bottom w:val="nil"/>
              <w:right w:val="nil"/>
            </w:tcBorders>
            <w:vAlign w:val="bottom"/>
          </w:tcPr>
          <w:p w14:paraId="721CD19B"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0.461934</w:t>
            </w:r>
          </w:p>
        </w:tc>
        <w:tc>
          <w:tcPr>
            <w:tcW w:w="997" w:type="dxa"/>
            <w:tcBorders>
              <w:top w:val="nil"/>
              <w:left w:val="nil"/>
              <w:bottom w:val="nil"/>
              <w:right w:val="nil"/>
            </w:tcBorders>
            <w:vAlign w:val="bottom"/>
          </w:tcPr>
          <w:p w14:paraId="56A22BB5"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0.6465</w:t>
            </w:r>
          </w:p>
        </w:tc>
      </w:tr>
      <w:tr w:rsidR="0023046C" w14:paraId="22716C01" w14:textId="77777777" w:rsidTr="00575DB7">
        <w:trPr>
          <w:trHeight w:val="225"/>
        </w:trPr>
        <w:tc>
          <w:tcPr>
            <w:tcW w:w="2017" w:type="dxa"/>
            <w:tcBorders>
              <w:top w:val="nil"/>
              <w:left w:val="nil"/>
              <w:bottom w:val="nil"/>
              <w:right w:val="nil"/>
            </w:tcBorders>
            <w:vAlign w:val="bottom"/>
          </w:tcPr>
          <w:p w14:paraId="3B78537A"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FRA</w:t>
            </w:r>
          </w:p>
        </w:tc>
        <w:tc>
          <w:tcPr>
            <w:tcW w:w="1103" w:type="dxa"/>
            <w:tcBorders>
              <w:top w:val="nil"/>
              <w:left w:val="nil"/>
              <w:bottom w:val="nil"/>
              <w:right w:val="nil"/>
            </w:tcBorders>
            <w:vAlign w:val="bottom"/>
          </w:tcPr>
          <w:p w14:paraId="12274E68"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-0.005040</w:t>
            </w:r>
          </w:p>
        </w:tc>
        <w:tc>
          <w:tcPr>
            <w:tcW w:w="1207" w:type="dxa"/>
            <w:tcBorders>
              <w:top w:val="nil"/>
              <w:left w:val="nil"/>
              <w:bottom w:val="nil"/>
              <w:right w:val="nil"/>
            </w:tcBorders>
            <w:vAlign w:val="bottom"/>
          </w:tcPr>
          <w:p w14:paraId="08F7B284"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0.000727</w:t>
            </w:r>
          </w:p>
        </w:tc>
        <w:tc>
          <w:tcPr>
            <w:tcW w:w="1208" w:type="dxa"/>
            <w:tcBorders>
              <w:top w:val="nil"/>
              <w:left w:val="nil"/>
              <w:bottom w:val="nil"/>
              <w:right w:val="nil"/>
            </w:tcBorders>
            <w:vAlign w:val="bottom"/>
          </w:tcPr>
          <w:p w14:paraId="2188376A"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-6.931358</w:t>
            </w:r>
          </w:p>
        </w:tc>
        <w:tc>
          <w:tcPr>
            <w:tcW w:w="997" w:type="dxa"/>
            <w:tcBorders>
              <w:top w:val="nil"/>
              <w:left w:val="nil"/>
              <w:bottom w:val="nil"/>
              <w:right w:val="nil"/>
            </w:tcBorders>
            <w:vAlign w:val="bottom"/>
          </w:tcPr>
          <w:p w14:paraId="01C29F99"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23046C" w14:paraId="0A0F74C6" w14:textId="77777777" w:rsidTr="00575DB7">
        <w:trPr>
          <w:trHeight w:hRule="exact" w:val="90"/>
        </w:trPr>
        <w:tc>
          <w:tcPr>
            <w:tcW w:w="2017" w:type="dxa"/>
            <w:tcBorders>
              <w:top w:val="nil"/>
              <w:left w:val="nil"/>
              <w:bottom w:val="double" w:sz="6" w:space="2" w:color="auto"/>
              <w:right w:val="nil"/>
            </w:tcBorders>
            <w:vAlign w:val="bottom"/>
          </w:tcPr>
          <w:p w14:paraId="74491769"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3141F11"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5F895D6"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C98F13B"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26B5102"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6B42C1EC" w14:textId="77777777" w:rsidTr="00575DB7">
        <w:trPr>
          <w:trHeight w:hRule="exact" w:val="135"/>
        </w:trPr>
        <w:tc>
          <w:tcPr>
            <w:tcW w:w="2017" w:type="dxa"/>
            <w:tcBorders>
              <w:top w:val="nil"/>
              <w:left w:val="nil"/>
              <w:bottom w:val="nil"/>
              <w:right w:val="nil"/>
            </w:tcBorders>
            <w:vAlign w:val="bottom"/>
          </w:tcPr>
          <w:p w14:paraId="0DFF8881"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F2475A9"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4C2A218"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9D15A6B"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F86A3B1"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6A63F5E4" w14:textId="77777777" w:rsidTr="00575DB7">
        <w:trPr>
          <w:trHeight w:val="225"/>
        </w:trPr>
        <w:tc>
          <w:tcPr>
            <w:tcW w:w="2017" w:type="dxa"/>
            <w:tcBorders>
              <w:top w:val="nil"/>
              <w:left w:val="nil"/>
              <w:bottom w:val="nil"/>
              <w:right w:val="nil"/>
            </w:tcBorders>
            <w:vAlign w:val="bottom"/>
          </w:tcPr>
          <w:p w14:paraId="7B16680D"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14:paraId="25A2BB87"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0.633759</w:t>
            </w:r>
          </w:p>
        </w:tc>
        <w:tc>
          <w:tcPr>
            <w:tcW w:w="2415" w:type="dxa"/>
            <w:gridSpan w:val="2"/>
            <w:tcBorders>
              <w:top w:val="nil"/>
              <w:left w:val="nil"/>
              <w:bottom w:val="nil"/>
              <w:right w:val="nil"/>
            </w:tcBorders>
            <w:vAlign w:val="bottom"/>
          </w:tcPr>
          <w:p w14:paraId="6F00E6CF" w14:textId="77777777" w:rsidR="0023046C" w:rsidRDefault="0023046C" w:rsidP="00575DB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14:paraId="10A378F4"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0.161483</w:t>
            </w:r>
          </w:p>
        </w:tc>
      </w:tr>
      <w:tr w:rsidR="0023046C" w14:paraId="3542AC98" w14:textId="77777777" w:rsidTr="00575DB7">
        <w:trPr>
          <w:trHeight w:val="225"/>
        </w:trPr>
        <w:tc>
          <w:tcPr>
            <w:tcW w:w="2017" w:type="dxa"/>
            <w:tcBorders>
              <w:top w:val="nil"/>
              <w:left w:val="nil"/>
              <w:bottom w:val="nil"/>
              <w:right w:val="nil"/>
            </w:tcBorders>
            <w:vAlign w:val="bottom"/>
          </w:tcPr>
          <w:p w14:paraId="17DD1016"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14:paraId="16BED0D2"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0.599690</w:t>
            </w:r>
          </w:p>
        </w:tc>
        <w:tc>
          <w:tcPr>
            <w:tcW w:w="2415" w:type="dxa"/>
            <w:gridSpan w:val="2"/>
            <w:tcBorders>
              <w:top w:val="nil"/>
              <w:left w:val="nil"/>
              <w:bottom w:val="nil"/>
              <w:right w:val="nil"/>
            </w:tcBorders>
            <w:vAlign w:val="bottom"/>
          </w:tcPr>
          <w:p w14:paraId="315DBDF0" w14:textId="77777777" w:rsidR="0023046C" w:rsidRDefault="0023046C" w:rsidP="00575DB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14:paraId="744C7C1F"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0.166626</w:t>
            </w:r>
          </w:p>
        </w:tc>
      </w:tr>
      <w:tr w:rsidR="0023046C" w14:paraId="279A55FE" w14:textId="77777777" w:rsidTr="00575DB7">
        <w:trPr>
          <w:trHeight w:val="225"/>
        </w:trPr>
        <w:tc>
          <w:tcPr>
            <w:tcW w:w="2017" w:type="dxa"/>
            <w:tcBorders>
              <w:top w:val="nil"/>
              <w:left w:val="nil"/>
              <w:bottom w:val="nil"/>
              <w:right w:val="nil"/>
            </w:tcBorders>
            <w:vAlign w:val="bottom"/>
          </w:tcPr>
          <w:p w14:paraId="59E41C75"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14:paraId="1F249B28"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0.105425</w:t>
            </w:r>
          </w:p>
        </w:tc>
        <w:tc>
          <w:tcPr>
            <w:tcW w:w="2415" w:type="dxa"/>
            <w:gridSpan w:val="2"/>
            <w:tcBorders>
              <w:top w:val="nil"/>
              <w:left w:val="nil"/>
              <w:bottom w:val="nil"/>
              <w:right w:val="nil"/>
            </w:tcBorders>
            <w:vAlign w:val="bottom"/>
          </w:tcPr>
          <w:p w14:paraId="5A612186" w14:textId="77777777" w:rsidR="0023046C" w:rsidRDefault="0023046C" w:rsidP="00575DB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14:paraId="5B500345"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-1.563309</w:t>
            </w:r>
          </w:p>
        </w:tc>
      </w:tr>
      <w:tr w:rsidR="0023046C" w14:paraId="46C80932" w14:textId="77777777" w:rsidTr="00575DB7">
        <w:trPr>
          <w:trHeight w:val="225"/>
        </w:trPr>
        <w:tc>
          <w:tcPr>
            <w:tcW w:w="2017" w:type="dxa"/>
            <w:tcBorders>
              <w:top w:val="nil"/>
              <w:left w:val="nil"/>
              <w:bottom w:val="nil"/>
              <w:right w:val="nil"/>
            </w:tcBorders>
            <w:vAlign w:val="bottom"/>
          </w:tcPr>
          <w:p w14:paraId="66E1C8A3"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14:paraId="7EDB0D79"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0.477917</w:t>
            </w:r>
          </w:p>
        </w:tc>
        <w:tc>
          <w:tcPr>
            <w:tcW w:w="2415" w:type="dxa"/>
            <w:gridSpan w:val="2"/>
            <w:tcBorders>
              <w:top w:val="nil"/>
              <w:left w:val="nil"/>
              <w:bottom w:val="nil"/>
              <w:right w:val="nil"/>
            </w:tcBorders>
            <w:vAlign w:val="bottom"/>
          </w:tcPr>
          <w:p w14:paraId="34A0C941" w14:textId="77777777" w:rsidR="0023046C" w:rsidRDefault="0023046C" w:rsidP="00575DB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14:paraId="1755847A"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-1.368392</w:t>
            </w:r>
          </w:p>
        </w:tc>
      </w:tr>
      <w:tr w:rsidR="0023046C" w14:paraId="6413D684" w14:textId="77777777" w:rsidTr="00575DB7">
        <w:trPr>
          <w:trHeight w:val="225"/>
        </w:trPr>
        <w:tc>
          <w:tcPr>
            <w:tcW w:w="2017" w:type="dxa"/>
            <w:tcBorders>
              <w:top w:val="nil"/>
              <w:left w:val="nil"/>
              <w:bottom w:val="nil"/>
              <w:right w:val="nil"/>
            </w:tcBorders>
            <w:vAlign w:val="bottom"/>
          </w:tcPr>
          <w:p w14:paraId="0315AAF2"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14:paraId="714BA8FA"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42.51942</w:t>
            </w:r>
          </w:p>
        </w:tc>
        <w:tc>
          <w:tcPr>
            <w:tcW w:w="2415" w:type="dxa"/>
            <w:gridSpan w:val="2"/>
            <w:tcBorders>
              <w:top w:val="nil"/>
              <w:left w:val="nil"/>
              <w:bottom w:val="nil"/>
              <w:right w:val="nil"/>
            </w:tcBorders>
            <w:vAlign w:val="bottom"/>
          </w:tcPr>
          <w:p w14:paraId="7E9E7F52" w14:textId="1A92A92D" w:rsidR="0023046C" w:rsidRDefault="0023046C" w:rsidP="00482891">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Hannan</w:t>
            </w:r>
            <w:proofErr w:type="spellEnd"/>
            <w:r>
              <w:rPr>
                <w:rFonts w:ascii="Arial" w:hAnsi="Arial" w:cs="Arial"/>
                <w:color w:val="000000"/>
                <w:sz w:val="18"/>
                <w:szCs w:val="18"/>
              </w:rPr>
              <w:t xml:space="preserve">-Quinn </w:t>
            </w:r>
            <w:r w:rsidR="00482891">
              <w:rPr>
                <w:rFonts w:ascii="Arial" w:hAnsi="Arial" w:cs="Arial"/>
                <w:color w:val="000000"/>
                <w:sz w:val="18"/>
                <w:szCs w:val="18"/>
              </w:rPr>
              <w:t>criterion</w:t>
            </w:r>
            <w:r>
              <w:rPr>
                <w:rFonts w:ascii="Arial" w:hAnsi="Arial" w:cs="Arial"/>
                <w:color w:val="000000"/>
                <w:sz w:val="18"/>
                <w:szCs w:val="18"/>
              </w:rPr>
              <w:t>.</w:t>
            </w:r>
          </w:p>
        </w:tc>
        <w:tc>
          <w:tcPr>
            <w:tcW w:w="997" w:type="dxa"/>
            <w:tcBorders>
              <w:top w:val="nil"/>
              <w:left w:val="nil"/>
              <w:bottom w:val="nil"/>
              <w:right w:val="nil"/>
            </w:tcBorders>
            <w:vAlign w:val="bottom"/>
          </w:tcPr>
          <w:p w14:paraId="21877157"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-1.489650</w:t>
            </w:r>
          </w:p>
        </w:tc>
      </w:tr>
      <w:tr w:rsidR="0023046C" w14:paraId="2DAAD8FE" w14:textId="77777777" w:rsidTr="00575DB7">
        <w:trPr>
          <w:trHeight w:val="225"/>
        </w:trPr>
        <w:tc>
          <w:tcPr>
            <w:tcW w:w="2017" w:type="dxa"/>
            <w:tcBorders>
              <w:top w:val="nil"/>
              <w:left w:val="nil"/>
              <w:bottom w:val="nil"/>
              <w:right w:val="nil"/>
            </w:tcBorders>
            <w:vAlign w:val="bottom"/>
          </w:tcPr>
          <w:p w14:paraId="681983D5"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14:paraId="35E36237"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18.60225</w:t>
            </w:r>
          </w:p>
        </w:tc>
        <w:tc>
          <w:tcPr>
            <w:tcW w:w="2415" w:type="dxa"/>
            <w:gridSpan w:val="2"/>
            <w:tcBorders>
              <w:top w:val="nil"/>
              <w:left w:val="nil"/>
              <w:bottom w:val="nil"/>
              <w:right w:val="nil"/>
            </w:tcBorders>
            <w:vAlign w:val="bottom"/>
          </w:tcPr>
          <w:p w14:paraId="6F3B97AB" w14:textId="77777777" w:rsidR="0023046C" w:rsidRDefault="0023046C" w:rsidP="00575DB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14:paraId="5C366418"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1.648207</w:t>
            </w:r>
          </w:p>
        </w:tc>
      </w:tr>
      <w:tr w:rsidR="0023046C" w14:paraId="45104235" w14:textId="77777777" w:rsidTr="00575DB7">
        <w:trPr>
          <w:trHeight w:val="225"/>
        </w:trPr>
        <w:tc>
          <w:tcPr>
            <w:tcW w:w="2017" w:type="dxa"/>
            <w:tcBorders>
              <w:top w:val="nil"/>
              <w:left w:val="nil"/>
              <w:bottom w:val="nil"/>
              <w:right w:val="nil"/>
            </w:tcBorders>
            <w:vAlign w:val="bottom"/>
          </w:tcPr>
          <w:p w14:paraId="0E534DCF" w14:textId="77777777" w:rsidR="0023046C" w:rsidRDefault="0023046C"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14:paraId="2CDCC741" w14:textId="77777777" w:rsidR="0023046C" w:rsidRDefault="0023046C"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tcBorders>
              <w:top w:val="nil"/>
              <w:left w:val="nil"/>
              <w:bottom w:val="nil"/>
              <w:right w:val="nil"/>
            </w:tcBorders>
            <w:vAlign w:val="bottom"/>
          </w:tcPr>
          <w:p w14:paraId="2CD4E646" w14:textId="77777777" w:rsidR="0023046C" w:rsidRDefault="0023046C" w:rsidP="00575DB7">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7E92E737" w14:textId="77777777" w:rsidR="0023046C" w:rsidRDefault="0023046C" w:rsidP="00575DB7">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64BD1660" w14:textId="77777777" w:rsidR="0023046C" w:rsidRDefault="0023046C" w:rsidP="00575DB7">
            <w:pPr>
              <w:autoSpaceDE w:val="0"/>
              <w:autoSpaceDN w:val="0"/>
              <w:adjustRightInd w:val="0"/>
              <w:spacing w:after="0" w:line="240" w:lineRule="auto"/>
              <w:ind w:right="10"/>
              <w:jc w:val="center"/>
              <w:rPr>
                <w:rFonts w:ascii="Arial" w:hAnsi="Arial" w:cs="Arial"/>
                <w:color w:val="000000"/>
                <w:sz w:val="18"/>
                <w:szCs w:val="18"/>
              </w:rPr>
            </w:pPr>
          </w:p>
        </w:tc>
      </w:tr>
      <w:tr w:rsidR="0023046C" w14:paraId="034B83B7" w14:textId="77777777" w:rsidTr="00575DB7">
        <w:trPr>
          <w:trHeight w:hRule="exact" w:val="90"/>
        </w:trPr>
        <w:tc>
          <w:tcPr>
            <w:tcW w:w="2017" w:type="dxa"/>
            <w:tcBorders>
              <w:top w:val="nil"/>
              <w:left w:val="nil"/>
              <w:bottom w:val="double" w:sz="6" w:space="0" w:color="auto"/>
              <w:right w:val="nil"/>
            </w:tcBorders>
            <w:vAlign w:val="bottom"/>
          </w:tcPr>
          <w:p w14:paraId="1BC8C339"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FF61E9F"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2001AD74"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B67FFFF"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5FD4D711"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r w:rsidR="0023046C" w14:paraId="6CC586C9" w14:textId="77777777" w:rsidTr="00575DB7">
        <w:trPr>
          <w:trHeight w:hRule="exact" w:val="135"/>
        </w:trPr>
        <w:tc>
          <w:tcPr>
            <w:tcW w:w="2017" w:type="dxa"/>
            <w:tcBorders>
              <w:top w:val="nil"/>
              <w:left w:val="nil"/>
              <w:bottom w:val="nil"/>
              <w:right w:val="nil"/>
            </w:tcBorders>
            <w:vAlign w:val="bottom"/>
          </w:tcPr>
          <w:p w14:paraId="0308C379"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23FB116"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0793EF9"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671D28E"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7A76B1F" w14:textId="77777777" w:rsidR="0023046C" w:rsidRDefault="0023046C" w:rsidP="00575DB7">
            <w:pPr>
              <w:autoSpaceDE w:val="0"/>
              <w:autoSpaceDN w:val="0"/>
              <w:adjustRightInd w:val="0"/>
              <w:spacing w:after="0" w:line="240" w:lineRule="auto"/>
              <w:jc w:val="center"/>
              <w:rPr>
                <w:rFonts w:ascii="Arial" w:hAnsi="Arial" w:cs="Arial"/>
                <w:color w:val="000000"/>
                <w:sz w:val="18"/>
                <w:szCs w:val="18"/>
              </w:rPr>
            </w:pPr>
          </w:p>
        </w:tc>
      </w:tr>
    </w:tbl>
    <w:p w14:paraId="5FAD2977" w14:textId="0770E3F1" w:rsidR="00281EA8" w:rsidRDefault="00115BC5" w:rsidP="00D60B69">
      <w:pPr>
        <w:jc w:val="both"/>
        <w:rPr>
          <w:rFonts w:ascii="Times New Roman" w:eastAsia="Arial Unicode MS" w:hAnsi="Times New Roman"/>
          <w:color w:val="000000"/>
          <w:sz w:val="24"/>
          <w:szCs w:val="24"/>
        </w:rPr>
      </w:pPr>
      <w:r w:rsidRPr="00E13272">
        <w:rPr>
          <w:rFonts w:ascii="Times New Roman" w:eastAsiaTheme="minorHAnsi" w:hAnsi="Times New Roman"/>
          <w:sz w:val="18"/>
          <w:szCs w:val="18"/>
          <w14:ligatures w14:val="standardContextual"/>
        </w:rPr>
        <w:t>Source:</w:t>
      </w:r>
      <w:r w:rsidR="00482891">
        <w:rPr>
          <w:rFonts w:ascii="Times New Roman" w:eastAsiaTheme="minorHAnsi" w:hAnsi="Times New Roman"/>
          <w:sz w:val="18"/>
          <w:szCs w:val="18"/>
          <w14:ligatures w14:val="standardContextual"/>
        </w:rPr>
        <w:t xml:space="preserve"> </w:t>
      </w:r>
      <w:proofErr w:type="spellStart"/>
      <w:r w:rsidRPr="00E13272">
        <w:rPr>
          <w:rFonts w:ascii="Times New Roman" w:eastAsiaTheme="minorHAnsi" w:hAnsi="Times New Roman"/>
          <w:sz w:val="18"/>
          <w:szCs w:val="18"/>
          <w14:ligatures w14:val="standardContextual"/>
        </w:rPr>
        <w:t>Eview</w:t>
      </w:r>
      <w:proofErr w:type="spellEnd"/>
    </w:p>
    <w:p w14:paraId="7D2822BB" w14:textId="77777777" w:rsidR="008276CB" w:rsidRPr="00341A22" w:rsidRDefault="008276CB" w:rsidP="008276CB">
      <w:pPr>
        <w:jc w:val="both"/>
        <w:rPr>
          <w:rFonts w:ascii="Times New Roman" w:hAnsi="Times New Roman"/>
          <w:sz w:val="24"/>
          <w:szCs w:val="24"/>
          <w:lang w:val="en-GB"/>
        </w:rPr>
      </w:pPr>
      <w:r w:rsidRPr="00341A22">
        <w:rPr>
          <w:rFonts w:ascii="Times New Roman" w:hAnsi="Times New Roman"/>
          <w:sz w:val="24"/>
          <w:szCs w:val="24"/>
          <w:lang w:val="en-GB"/>
        </w:rPr>
        <w:t>A regression analysis was conducted to evaluate the impact of environmental reporting (ENVR), social reporting (SOCR), governance reporting (GOVR), and firm age (FIRA) on the operational performance (OPMR) of environmentally sensitive firms listed on the Nigerian Exchange Group from 2019 to 2024. The model yielded an R-squared value of 0.6338, suggesting that 63.38% of the variance in operational performance is collectively explained by the independent variables. The adjusted R-squared of 0.5997 confirms the strong predictive capacity of the model. Furthermore, the F-statistic of 18.6023 (p &lt; 0.0000) indicates that the model is statistically significant and robust for analytical purposes.</w:t>
      </w:r>
    </w:p>
    <w:p w14:paraId="07C950C8" w14:textId="77777777" w:rsidR="008276CB" w:rsidRPr="00341A22" w:rsidRDefault="008276CB" w:rsidP="008276CB">
      <w:pPr>
        <w:jc w:val="both"/>
        <w:rPr>
          <w:rFonts w:ascii="Times New Roman" w:hAnsi="Times New Roman"/>
          <w:sz w:val="24"/>
          <w:szCs w:val="24"/>
          <w:lang w:val="en-GB"/>
        </w:rPr>
      </w:pPr>
      <w:r w:rsidRPr="00341A22">
        <w:rPr>
          <w:rFonts w:ascii="Times New Roman" w:hAnsi="Times New Roman"/>
          <w:sz w:val="24"/>
          <w:szCs w:val="24"/>
          <w:lang w:val="en-GB"/>
        </w:rPr>
        <w:t xml:space="preserve">Environmental </w:t>
      </w:r>
      <w:r>
        <w:rPr>
          <w:rFonts w:ascii="Times New Roman" w:hAnsi="Times New Roman"/>
          <w:sz w:val="24"/>
          <w:szCs w:val="24"/>
          <w:lang w:val="en-GB"/>
        </w:rPr>
        <w:t>Reporting</w:t>
      </w:r>
    </w:p>
    <w:p w14:paraId="512CAB0C" w14:textId="77777777" w:rsidR="008276CB" w:rsidRPr="00341A22" w:rsidRDefault="008276CB" w:rsidP="008276CB">
      <w:pPr>
        <w:jc w:val="both"/>
        <w:rPr>
          <w:rFonts w:ascii="Times New Roman" w:hAnsi="Times New Roman"/>
          <w:sz w:val="24"/>
          <w:szCs w:val="24"/>
          <w:lang w:val="en-GB"/>
        </w:rPr>
      </w:pPr>
      <w:r w:rsidRPr="00341A22">
        <w:rPr>
          <w:rFonts w:ascii="Times New Roman" w:hAnsi="Times New Roman"/>
          <w:sz w:val="24"/>
          <w:szCs w:val="24"/>
          <w:lang w:val="en-GB"/>
        </w:rPr>
        <w:t>Regarding Environmental Reporting (ENVR), the analysis recorded a coefficient of 0.040592 with a probability value of 0.2468.</w:t>
      </w:r>
      <w:r>
        <w:rPr>
          <w:rFonts w:ascii="Times New Roman" w:hAnsi="Times New Roman"/>
          <w:sz w:val="24"/>
          <w:szCs w:val="24"/>
          <w:lang w:val="en-GB"/>
        </w:rPr>
        <w:t xml:space="preserve"> </w:t>
      </w:r>
      <w:r w:rsidRPr="00341A22">
        <w:rPr>
          <w:rFonts w:ascii="Times New Roman" w:hAnsi="Times New Roman"/>
          <w:sz w:val="24"/>
          <w:szCs w:val="24"/>
          <w:lang w:val="en-GB"/>
        </w:rPr>
        <w:t xml:space="preserve">The positive coefficient suggests that increased environmental </w:t>
      </w:r>
      <w:r w:rsidRPr="00341A22">
        <w:rPr>
          <w:rFonts w:ascii="Times New Roman" w:hAnsi="Times New Roman"/>
          <w:sz w:val="24"/>
          <w:szCs w:val="24"/>
          <w:lang w:val="en-GB"/>
        </w:rPr>
        <w:lastRenderedPageBreak/>
        <w:t>disclosure correlates with improved operational performance; specifically, a one-unit increase in environmental reporting is associated with an approximate 4.06% rise in the operating margin ratio. However, as the p-value exceeds the 5% significance threshold, this relationship is not statistically significant. Consequently, environmental reporting does not exert a significant impact on the operational performance of the firms sampled.</w:t>
      </w:r>
    </w:p>
    <w:p w14:paraId="7AA752D2" w14:textId="77777777" w:rsidR="004B0CCA" w:rsidRPr="00EA55DB" w:rsidRDefault="004B0CCA" w:rsidP="004B0CCA">
      <w:pPr>
        <w:jc w:val="both"/>
        <w:rPr>
          <w:rFonts w:ascii="Times New Roman" w:eastAsiaTheme="minorHAnsi" w:hAnsi="Times New Roman"/>
          <w:b/>
          <w:bCs/>
          <w:color w:val="000000"/>
          <w:sz w:val="24"/>
          <w:szCs w:val="24"/>
          <w:lang w:val="en-GB"/>
          <w14:ligatures w14:val="standardContextual"/>
        </w:rPr>
      </w:pPr>
      <w:r w:rsidRPr="00EA55DB">
        <w:rPr>
          <w:rFonts w:ascii="Times New Roman" w:eastAsiaTheme="minorHAnsi" w:hAnsi="Times New Roman"/>
          <w:b/>
          <w:bCs/>
          <w:color w:val="000000"/>
          <w:sz w:val="24"/>
          <w:szCs w:val="24"/>
          <w:lang w:val="en-GB"/>
          <w14:ligatures w14:val="standardContextual"/>
        </w:rPr>
        <w:t>Social Reporting (SOCR)</w:t>
      </w:r>
    </w:p>
    <w:p w14:paraId="76B5E1FB" w14:textId="77777777" w:rsidR="00C518E5" w:rsidRPr="009C6A26" w:rsidRDefault="00C518E5" w:rsidP="00C518E5">
      <w:pPr>
        <w:jc w:val="both"/>
        <w:rPr>
          <w:rFonts w:ascii="Times New Roman" w:hAnsi="Times New Roman"/>
          <w:sz w:val="24"/>
          <w:szCs w:val="24"/>
          <w:lang w:val="en-GB"/>
        </w:rPr>
      </w:pPr>
      <w:r w:rsidRPr="00341A22">
        <w:rPr>
          <w:rFonts w:ascii="Times New Roman" w:hAnsi="Times New Roman"/>
          <w:sz w:val="24"/>
          <w:szCs w:val="24"/>
          <w:lang w:val="en-GB"/>
        </w:rPr>
        <w:t>Social reporting yielded a coefficient of –0.016782 with a p-value of 0.6587, indicating that increased social disclosure is associated with a marginal decline in operational performance. These findings suggest that expenditures related to employee welfare, community development, health and safety initiatives, and stakeholder engagement may elevate operating costs without yielding immediate, measurable operational benefits.</w:t>
      </w:r>
      <w:r>
        <w:rPr>
          <w:rFonts w:ascii="Times New Roman" w:hAnsi="Times New Roman"/>
          <w:sz w:val="24"/>
          <w:szCs w:val="24"/>
          <w:lang w:val="en-GB"/>
        </w:rPr>
        <w:t xml:space="preserve"> </w:t>
      </w:r>
      <w:r w:rsidRPr="00EA55DB">
        <w:rPr>
          <w:rFonts w:ascii="Times New Roman" w:eastAsiaTheme="minorHAnsi" w:hAnsi="Times New Roman"/>
          <w:color w:val="000000"/>
          <w:sz w:val="24"/>
          <w:szCs w:val="24"/>
          <w:lang w:val="en-GB"/>
          <w14:ligatures w14:val="standardContextual"/>
        </w:rPr>
        <w:t>Nevertheless, the effect is statistically insignificant and cannot be regarded as a meaningful determinant of operational performance.</w:t>
      </w:r>
    </w:p>
    <w:p w14:paraId="180C016C" w14:textId="77777777" w:rsidR="004B0CCA" w:rsidRPr="00EA55DB" w:rsidRDefault="004B0CCA" w:rsidP="004B0CCA">
      <w:pPr>
        <w:jc w:val="both"/>
        <w:rPr>
          <w:rFonts w:ascii="Times New Roman" w:eastAsiaTheme="minorHAnsi" w:hAnsi="Times New Roman"/>
          <w:b/>
          <w:bCs/>
          <w:color w:val="000000"/>
          <w:sz w:val="24"/>
          <w:szCs w:val="24"/>
          <w:lang w:val="en-GB"/>
          <w14:ligatures w14:val="standardContextual"/>
        </w:rPr>
      </w:pPr>
      <w:r w:rsidRPr="00EA55DB">
        <w:rPr>
          <w:rFonts w:ascii="Times New Roman" w:eastAsiaTheme="minorHAnsi" w:hAnsi="Times New Roman"/>
          <w:b/>
          <w:bCs/>
          <w:color w:val="000000"/>
          <w:sz w:val="24"/>
          <w:szCs w:val="24"/>
          <w:lang w:val="en-GB"/>
          <w14:ligatures w14:val="standardContextual"/>
        </w:rPr>
        <w:t>Governance Reporting (GOVR)</w:t>
      </w:r>
    </w:p>
    <w:p w14:paraId="1F9F3FA4" w14:textId="77777777" w:rsidR="004B0CCA" w:rsidRPr="00EA55DB" w:rsidRDefault="004B0CCA" w:rsidP="004B0CCA">
      <w:pPr>
        <w:jc w:val="both"/>
        <w:rPr>
          <w:rFonts w:ascii="Times New Roman" w:eastAsiaTheme="minorHAnsi" w:hAnsi="Times New Roman"/>
          <w:color w:val="000000"/>
          <w:sz w:val="24"/>
          <w:szCs w:val="24"/>
          <w:lang w:val="en-GB"/>
          <w14:ligatures w14:val="standardContextual"/>
        </w:rPr>
      </w:pPr>
      <w:r w:rsidRPr="00EA55DB">
        <w:rPr>
          <w:rFonts w:ascii="Times New Roman" w:eastAsiaTheme="minorHAnsi" w:hAnsi="Times New Roman"/>
          <w:color w:val="000000"/>
          <w:sz w:val="24"/>
          <w:szCs w:val="24"/>
          <w:lang w:val="en-GB"/>
          <w14:ligatures w14:val="standardContextual"/>
        </w:rPr>
        <w:t>Governance reporting recorded a positive coefficient of 0.020983 and a probability value of 0.6465. This indicates that improved governance disclosure may enhance operational performance through stronger accountability mechanisms, better risk management structures, enhanced board oversight, and improved internal controls. However, the probability value exceeds the conventional significance level, indicating that governance reporting does not significantly influence operational performance during the study period.</w:t>
      </w:r>
    </w:p>
    <w:p w14:paraId="3B592949" w14:textId="77777777" w:rsidR="004B0CCA" w:rsidRPr="00EA55DB" w:rsidRDefault="004B0CCA" w:rsidP="004B0CCA">
      <w:pPr>
        <w:jc w:val="both"/>
        <w:rPr>
          <w:rFonts w:ascii="Times New Roman" w:eastAsiaTheme="minorHAnsi" w:hAnsi="Times New Roman"/>
          <w:b/>
          <w:bCs/>
          <w:color w:val="000000"/>
          <w:sz w:val="24"/>
          <w:szCs w:val="24"/>
          <w:lang w:val="en-GB"/>
          <w14:ligatures w14:val="standardContextual"/>
        </w:rPr>
      </w:pPr>
      <w:r w:rsidRPr="00EA55DB">
        <w:rPr>
          <w:rFonts w:ascii="Times New Roman" w:eastAsiaTheme="minorHAnsi" w:hAnsi="Times New Roman"/>
          <w:b/>
          <w:bCs/>
          <w:color w:val="000000"/>
          <w:sz w:val="24"/>
          <w:szCs w:val="24"/>
          <w:lang w:val="en-GB"/>
          <w14:ligatures w14:val="standardContextual"/>
        </w:rPr>
        <w:t>Firm Age (FIRA)</w:t>
      </w:r>
    </w:p>
    <w:p w14:paraId="6691B61A" w14:textId="10E537B2" w:rsidR="004B0CCA" w:rsidRPr="00EA55DB" w:rsidRDefault="004B0CCA" w:rsidP="004B0CCA">
      <w:pPr>
        <w:jc w:val="both"/>
        <w:rPr>
          <w:rFonts w:ascii="Times New Roman" w:eastAsiaTheme="minorHAnsi" w:hAnsi="Times New Roman"/>
          <w:color w:val="000000"/>
          <w:sz w:val="24"/>
          <w:szCs w:val="24"/>
          <w:lang w:val="en-GB"/>
          <w14:ligatures w14:val="standardContextual"/>
        </w:rPr>
      </w:pPr>
      <w:r w:rsidRPr="00EA55DB">
        <w:rPr>
          <w:rFonts w:ascii="Times New Roman" w:eastAsiaTheme="minorHAnsi" w:hAnsi="Times New Roman"/>
          <w:color w:val="000000"/>
          <w:sz w:val="24"/>
          <w:szCs w:val="24"/>
          <w:lang w:val="en-GB"/>
          <w14:ligatures w14:val="standardContextual"/>
        </w:rPr>
        <w:t xml:space="preserve">Firm age produced a coefficient of –0.005040 with a probability value of 0.0000. This indicates a statistically significant negative relationship between firm age and operational performance. Specifically, each additional year in firm age reduces </w:t>
      </w:r>
      <w:r w:rsidR="00482891">
        <w:rPr>
          <w:rFonts w:ascii="Times New Roman" w:eastAsiaTheme="minorHAnsi" w:hAnsi="Times New Roman"/>
          <w:color w:val="000000"/>
          <w:sz w:val="24"/>
          <w:szCs w:val="24"/>
          <w:lang w:val="en-GB"/>
          <w14:ligatures w14:val="standardContextual"/>
        </w:rPr>
        <w:t xml:space="preserve">the </w:t>
      </w:r>
      <w:r w:rsidRPr="00EA55DB">
        <w:rPr>
          <w:rFonts w:ascii="Times New Roman" w:eastAsiaTheme="minorHAnsi" w:hAnsi="Times New Roman"/>
          <w:color w:val="000000"/>
          <w:sz w:val="24"/>
          <w:szCs w:val="24"/>
          <w:lang w:val="en-GB"/>
          <w14:ligatures w14:val="standardContextual"/>
        </w:rPr>
        <w:t>operating margin ratio by approximately 0.50%. The finding implies that older firms may experience declining operational efficiency arising from bureaucratic structures, organisational rigidity, ageing infrastructure, and slower adaptation to technological and sustainability innovations.</w:t>
      </w:r>
    </w:p>
    <w:p w14:paraId="1A03E864" w14:textId="77777777" w:rsidR="00920FCF" w:rsidRPr="00A64C2D" w:rsidRDefault="00920FCF" w:rsidP="00920FCF">
      <w:pPr>
        <w:jc w:val="both"/>
      </w:pPr>
    </w:p>
    <w:p w14:paraId="76048F8A" w14:textId="77777777" w:rsidR="0023046C" w:rsidRDefault="0023046C" w:rsidP="000D19E6">
      <w:pPr>
        <w:autoSpaceDE w:val="0"/>
        <w:autoSpaceDN w:val="0"/>
        <w:adjustRightInd w:val="0"/>
        <w:spacing w:after="0" w:line="240" w:lineRule="auto"/>
        <w:rPr>
          <w:rFonts w:ascii="Times New Roman" w:eastAsiaTheme="minorHAnsi" w:hAnsi="Times New Roman"/>
          <w:b/>
          <w:bCs/>
          <w:sz w:val="24"/>
          <w:szCs w:val="24"/>
          <w14:ligatures w14:val="standardContextual"/>
        </w:rPr>
      </w:pPr>
    </w:p>
    <w:p w14:paraId="2B90F1C0" w14:textId="77777777" w:rsidR="0023046C" w:rsidRDefault="0023046C" w:rsidP="000D19E6">
      <w:pPr>
        <w:autoSpaceDE w:val="0"/>
        <w:autoSpaceDN w:val="0"/>
        <w:adjustRightInd w:val="0"/>
        <w:spacing w:after="0" w:line="240" w:lineRule="auto"/>
        <w:rPr>
          <w:rFonts w:ascii="Times New Roman" w:eastAsiaTheme="minorHAnsi" w:hAnsi="Times New Roman"/>
          <w:b/>
          <w:bCs/>
          <w:sz w:val="24"/>
          <w:szCs w:val="24"/>
          <w14:ligatures w14:val="standardContextual"/>
        </w:rPr>
      </w:pPr>
    </w:p>
    <w:p w14:paraId="2AB0A463" w14:textId="77777777" w:rsidR="0023046C" w:rsidRDefault="0023046C" w:rsidP="000D19E6">
      <w:pPr>
        <w:autoSpaceDE w:val="0"/>
        <w:autoSpaceDN w:val="0"/>
        <w:adjustRightInd w:val="0"/>
        <w:spacing w:after="0" w:line="240" w:lineRule="auto"/>
        <w:rPr>
          <w:rFonts w:ascii="Times New Roman" w:eastAsiaTheme="minorHAnsi" w:hAnsi="Times New Roman"/>
          <w:b/>
          <w:bCs/>
          <w:sz w:val="24"/>
          <w:szCs w:val="24"/>
          <w14:ligatures w14:val="standardContextual"/>
        </w:rPr>
      </w:pPr>
    </w:p>
    <w:p w14:paraId="5B06C490" w14:textId="3BF806AD" w:rsidR="000D19E6" w:rsidRDefault="002C3C4C" w:rsidP="000D19E6">
      <w:pPr>
        <w:autoSpaceDE w:val="0"/>
        <w:autoSpaceDN w:val="0"/>
        <w:adjustRightInd w:val="0"/>
        <w:spacing w:after="0" w:line="240" w:lineRule="auto"/>
        <w:rPr>
          <w:rFonts w:ascii="Times New Roman" w:eastAsiaTheme="minorHAnsi" w:hAnsi="Times New Roman"/>
          <w:b/>
          <w:bCs/>
          <w:sz w:val="24"/>
          <w:szCs w:val="24"/>
          <w14:ligatures w14:val="standardContextual"/>
        </w:rPr>
      </w:pPr>
      <w:r w:rsidRPr="002F23ED">
        <w:rPr>
          <w:rFonts w:ascii="Times New Roman" w:eastAsiaTheme="minorHAnsi" w:hAnsi="Times New Roman"/>
          <w:b/>
          <w:bCs/>
          <w:sz w:val="24"/>
          <w:szCs w:val="24"/>
          <w14:ligatures w14:val="standardContextual"/>
        </w:rPr>
        <w:t>Table 4</w:t>
      </w:r>
      <w:r w:rsidR="00BE415E">
        <w:rPr>
          <w:rFonts w:ascii="Times New Roman" w:eastAsiaTheme="minorHAnsi" w:hAnsi="Times New Roman"/>
          <w:b/>
          <w:bCs/>
          <w:sz w:val="24"/>
          <w:szCs w:val="24"/>
          <w14:ligatures w14:val="standardContextual"/>
        </w:rPr>
        <w:t xml:space="preserve">: </w:t>
      </w:r>
      <w:r w:rsidRPr="002F23ED">
        <w:rPr>
          <w:rFonts w:ascii="Times New Roman" w:eastAsiaTheme="minorHAnsi" w:hAnsi="Times New Roman"/>
          <w:b/>
          <w:bCs/>
          <w:sz w:val="24"/>
          <w:szCs w:val="24"/>
          <w14:ligatures w14:val="standardContextual"/>
        </w:rPr>
        <w:t>Hausman Test</w:t>
      </w:r>
    </w:p>
    <w:p w14:paraId="28C634CF" w14:textId="77777777" w:rsidR="00910698" w:rsidRDefault="00910698" w:rsidP="000D19E6">
      <w:pPr>
        <w:autoSpaceDE w:val="0"/>
        <w:autoSpaceDN w:val="0"/>
        <w:adjustRightInd w:val="0"/>
        <w:spacing w:after="0" w:line="240" w:lineRule="auto"/>
        <w:rPr>
          <w:rFonts w:ascii="Times New Roman" w:eastAsiaTheme="minorHAnsi" w:hAnsi="Times New Roman"/>
          <w:b/>
          <w:bCs/>
          <w:sz w:val="24"/>
          <w:szCs w:val="24"/>
          <w14:ligatures w14:val="standardContextual"/>
        </w:rPr>
      </w:pPr>
    </w:p>
    <w:p w14:paraId="1D89116F" w14:textId="77777777" w:rsidR="00910698" w:rsidRDefault="00910698" w:rsidP="000D19E6">
      <w:pPr>
        <w:autoSpaceDE w:val="0"/>
        <w:autoSpaceDN w:val="0"/>
        <w:adjustRightInd w:val="0"/>
        <w:spacing w:after="0" w:line="240" w:lineRule="auto"/>
        <w:rPr>
          <w:rFonts w:ascii="Times New Roman" w:eastAsiaTheme="minorHAnsi" w:hAnsi="Times New Roman"/>
          <w:b/>
          <w:bCs/>
          <w:sz w:val="24"/>
          <w:szCs w:val="24"/>
          <w14:ligatures w14:val="standardContextual"/>
        </w:rPr>
      </w:pPr>
    </w:p>
    <w:p w14:paraId="61773A50" w14:textId="77777777" w:rsidR="00910698" w:rsidRDefault="00910698" w:rsidP="000D19E6">
      <w:pPr>
        <w:autoSpaceDE w:val="0"/>
        <w:autoSpaceDN w:val="0"/>
        <w:adjustRightInd w:val="0"/>
        <w:spacing w:after="0" w:line="240" w:lineRule="auto"/>
        <w:rPr>
          <w:rFonts w:ascii="Times New Roman" w:eastAsiaTheme="minorHAnsi" w:hAnsi="Times New Roman"/>
          <w:b/>
          <w:bCs/>
          <w:sz w:val="24"/>
          <w:szCs w:val="24"/>
          <w14:ligatures w14:val="standardContextual"/>
        </w:rPr>
      </w:pPr>
    </w:p>
    <w:p w14:paraId="7A24C103" w14:textId="77777777" w:rsidR="00910698" w:rsidRDefault="00910698" w:rsidP="000D19E6">
      <w:pPr>
        <w:autoSpaceDE w:val="0"/>
        <w:autoSpaceDN w:val="0"/>
        <w:adjustRightInd w:val="0"/>
        <w:spacing w:after="0" w:line="240" w:lineRule="auto"/>
        <w:rPr>
          <w:rFonts w:ascii="Times New Roman" w:eastAsiaTheme="minorHAnsi" w:hAnsi="Times New Roman"/>
          <w:b/>
          <w:bCs/>
          <w:sz w:val="24"/>
          <w:szCs w:val="24"/>
          <w14:ligatures w14:val="standardContextual"/>
        </w:rPr>
      </w:pPr>
    </w:p>
    <w:p w14:paraId="746B75C0" w14:textId="77777777" w:rsidR="00910698" w:rsidRPr="002F23ED" w:rsidRDefault="00910698" w:rsidP="000D19E6">
      <w:pPr>
        <w:autoSpaceDE w:val="0"/>
        <w:autoSpaceDN w:val="0"/>
        <w:adjustRightInd w:val="0"/>
        <w:spacing w:after="0" w:line="240" w:lineRule="auto"/>
        <w:rPr>
          <w:rFonts w:ascii="Times New Roman" w:eastAsiaTheme="minorHAnsi" w:hAnsi="Times New Roman"/>
          <w:b/>
          <w:bCs/>
          <w:sz w:val="24"/>
          <w:szCs w:val="24"/>
          <w14:ligatures w14:val="standardContextual"/>
        </w:rPr>
      </w:pPr>
    </w:p>
    <w:p w14:paraId="61FCA591" w14:textId="77777777" w:rsidR="002C3C4C" w:rsidRDefault="002C3C4C" w:rsidP="000D19E6">
      <w:pPr>
        <w:autoSpaceDE w:val="0"/>
        <w:autoSpaceDN w:val="0"/>
        <w:adjustRightInd w:val="0"/>
        <w:spacing w:after="0" w:line="240" w:lineRule="auto"/>
        <w:rPr>
          <w:rFonts w:ascii="Arial" w:eastAsiaTheme="minorHAnsi" w:hAnsi="Arial" w:cs="Arial"/>
          <w:sz w:val="18"/>
          <w:szCs w:val="18"/>
          <w14:ligatures w14:val="standardContextual"/>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10698" w14:paraId="24676914" w14:textId="77777777" w:rsidTr="00575DB7">
        <w:trPr>
          <w:trHeight w:val="225"/>
        </w:trPr>
        <w:tc>
          <w:tcPr>
            <w:tcW w:w="5535" w:type="dxa"/>
            <w:gridSpan w:val="4"/>
            <w:tcBorders>
              <w:top w:val="nil"/>
              <w:left w:val="nil"/>
              <w:bottom w:val="nil"/>
              <w:right w:val="nil"/>
            </w:tcBorders>
            <w:vAlign w:val="bottom"/>
          </w:tcPr>
          <w:p w14:paraId="76328C20" w14:textId="77777777" w:rsidR="00910698" w:rsidRDefault="00910698"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Correlated Random Effects - Hausman Test</w:t>
            </w:r>
          </w:p>
        </w:tc>
        <w:tc>
          <w:tcPr>
            <w:tcW w:w="997" w:type="dxa"/>
            <w:tcBorders>
              <w:top w:val="nil"/>
              <w:left w:val="nil"/>
              <w:bottom w:val="nil"/>
              <w:right w:val="nil"/>
            </w:tcBorders>
            <w:vAlign w:val="bottom"/>
          </w:tcPr>
          <w:p w14:paraId="0C36910D"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r>
      <w:tr w:rsidR="00910698" w14:paraId="427E6815" w14:textId="77777777" w:rsidTr="00575DB7">
        <w:trPr>
          <w:trHeight w:val="225"/>
        </w:trPr>
        <w:tc>
          <w:tcPr>
            <w:tcW w:w="4327" w:type="dxa"/>
            <w:gridSpan w:val="3"/>
            <w:tcBorders>
              <w:top w:val="nil"/>
              <w:left w:val="nil"/>
              <w:bottom w:val="nil"/>
              <w:right w:val="nil"/>
            </w:tcBorders>
            <w:vAlign w:val="bottom"/>
          </w:tcPr>
          <w:p w14:paraId="2E36F770" w14:textId="77777777" w:rsidR="00910698" w:rsidRDefault="00910698"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Equation: Untitled</w:t>
            </w:r>
          </w:p>
        </w:tc>
        <w:tc>
          <w:tcPr>
            <w:tcW w:w="1208" w:type="dxa"/>
            <w:tcBorders>
              <w:top w:val="nil"/>
              <w:left w:val="nil"/>
              <w:bottom w:val="nil"/>
              <w:right w:val="nil"/>
            </w:tcBorders>
            <w:vAlign w:val="bottom"/>
          </w:tcPr>
          <w:p w14:paraId="0DBF4EFE"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F462ECD"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r>
      <w:tr w:rsidR="00910698" w14:paraId="09BE6508" w14:textId="77777777" w:rsidTr="00575DB7">
        <w:trPr>
          <w:trHeight w:val="225"/>
        </w:trPr>
        <w:tc>
          <w:tcPr>
            <w:tcW w:w="5535" w:type="dxa"/>
            <w:gridSpan w:val="4"/>
            <w:tcBorders>
              <w:top w:val="nil"/>
              <w:left w:val="nil"/>
              <w:bottom w:val="nil"/>
              <w:right w:val="nil"/>
            </w:tcBorders>
            <w:vAlign w:val="bottom"/>
          </w:tcPr>
          <w:p w14:paraId="066BBFFB" w14:textId="77777777" w:rsidR="00910698" w:rsidRDefault="00910698"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cross-section random effects</w:t>
            </w:r>
          </w:p>
        </w:tc>
        <w:tc>
          <w:tcPr>
            <w:tcW w:w="997" w:type="dxa"/>
            <w:tcBorders>
              <w:top w:val="nil"/>
              <w:left w:val="nil"/>
              <w:bottom w:val="nil"/>
              <w:right w:val="nil"/>
            </w:tcBorders>
            <w:vAlign w:val="bottom"/>
          </w:tcPr>
          <w:p w14:paraId="6EB0A532"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r>
      <w:tr w:rsidR="00910698" w14:paraId="0CF4F605" w14:textId="77777777" w:rsidTr="00575DB7">
        <w:trPr>
          <w:trHeight w:hRule="exact" w:val="90"/>
        </w:trPr>
        <w:tc>
          <w:tcPr>
            <w:tcW w:w="2017" w:type="dxa"/>
            <w:tcBorders>
              <w:top w:val="nil"/>
              <w:left w:val="nil"/>
              <w:bottom w:val="double" w:sz="6" w:space="2" w:color="auto"/>
              <w:right w:val="nil"/>
            </w:tcBorders>
            <w:vAlign w:val="bottom"/>
          </w:tcPr>
          <w:p w14:paraId="68368CBD"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C22EA4"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7840659"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EF443BA"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BD6DD4F"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r>
      <w:tr w:rsidR="00910698" w14:paraId="6CA8A95A" w14:textId="77777777" w:rsidTr="00575DB7">
        <w:trPr>
          <w:trHeight w:hRule="exact" w:val="135"/>
        </w:trPr>
        <w:tc>
          <w:tcPr>
            <w:tcW w:w="2017" w:type="dxa"/>
            <w:tcBorders>
              <w:top w:val="nil"/>
              <w:left w:val="nil"/>
              <w:bottom w:val="nil"/>
              <w:right w:val="nil"/>
            </w:tcBorders>
            <w:vAlign w:val="bottom"/>
          </w:tcPr>
          <w:p w14:paraId="2C8EDAE2"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F6FEB5C"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3A531C5"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3730417"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E70E908"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r>
      <w:tr w:rsidR="00910698" w14:paraId="00BE21B8" w14:textId="77777777" w:rsidTr="00575DB7">
        <w:trPr>
          <w:trHeight w:val="225"/>
        </w:trPr>
        <w:tc>
          <w:tcPr>
            <w:tcW w:w="3120" w:type="dxa"/>
            <w:gridSpan w:val="2"/>
            <w:tcBorders>
              <w:top w:val="nil"/>
              <w:left w:val="nil"/>
              <w:bottom w:val="nil"/>
              <w:right w:val="nil"/>
            </w:tcBorders>
            <w:vAlign w:val="bottom"/>
          </w:tcPr>
          <w:p w14:paraId="1D75CC8C" w14:textId="77777777" w:rsidR="00910698" w:rsidRDefault="00910698"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4B34CB3C" w14:textId="77777777" w:rsidR="00910698" w:rsidRDefault="00910698"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4365955D" w14:textId="77777777" w:rsidR="00910698" w:rsidRDefault="00910698"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nil"/>
            </w:tcBorders>
            <w:vAlign w:val="bottom"/>
          </w:tcPr>
          <w:p w14:paraId="2B1FDF16" w14:textId="77777777" w:rsidR="00910698" w:rsidRDefault="00910698"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910698" w14:paraId="433AE5DC" w14:textId="77777777" w:rsidTr="00575DB7">
        <w:trPr>
          <w:trHeight w:hRule="exact" w:val="90"/>
        </w:trPr>
        <w:tc>
          <w:tcPr>
            <w:tcW w:w="2017" w:type="dxa"/>
            <w:tcBorders>
              <w:top w:val="nil"/>
              <w:left w:val="nil"/>
              <w:bottom w:val="double" w:sz="6" w:space="2" w:color="auto"/>
              <w:right w:val="nil"/>
            </w:tcBorders>
            <w:vAlign w:val="bottom"/>
          </w:tcPr>
          <w:p w14:paraId="19203157"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3119181"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407B800"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72AA7B0"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A6FEF44"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r>
      <w:tr w:rsidR="00910698" w14:paraId="4BC9EBF7" w14:textId="77777777" w:rsidTr="00575DB7">
        <w:trPr>
          <w:trHeight w:hRule="exact" w:val="135"/>
        </w:trPr>
        <w:tc>
          <w:tcPr>
            <w:tcW w:w="2017" w:type="dxa"/>
            <w:tcBorders>
              <w:top w:val="nil"/>
              <w:left w:val="nil"/>
              <w:bottom w:val="nil"/>
              <w:right w:val="nil"/>
            </w:tcBorders>
            <w:vAlign w:val="bottom"/>
          </w:tcPr>
          <w:p w14:paraId="459100D0"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6D907DF"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F0FEDD3"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1237C24"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95E254E"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r>
      <w:tr w:rsidR="00910698" w14:paraId="184D7BA9" w14:textId="77777777" w:rsidTr="00575DB7">
        <w:trPr>
          <w:trHeight w:val="225"/>
        </w:trPr>
        <w:tc>
          <w:tcPr>
            <w:tcW w:w="3120" w:type="dxa"/>
            <w:gridSpan w:val="2"/>
            <w:tcBorders>
              <w:top w:val="nil"/>
              <w:left w:val="nil"/>
              <w:bottom w:val="nil"/>
              <w:right w:val="nil"/>
            </w:tcBorders>
            <w:vAlign w:val="bottom"/>
          </w:tcPr>
          <w:p w14:paraId="1C6E3946" w14:textId="77777777" w:rsidR="00910698" w:rsidRDefault="00910698" w:rsidP="00575DB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4B980467" w14:textId="77777777" w:rsidR="00910698" w:rsidRDefault="00910698"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3.656691</w:t>
            </w:r>
          </w:p>
        </w:tc>
        <w:tc>
          <w:tcPr>
            <w:tcW w:w="1208" w:type="dxa"/>
            <w:tcBorders>
              <w:top w:val="nil"/>
              <w:left w:val="nil"/>
              <w:bottom w:val="nil"/>
              <w:right w:val="nil"/>
            </w:tcBorders>
            <w:vAlign w:val="bottom"/>
          </w:tcPr>
          <w:p w14:paraId="21EDB252" w14:textId="77777777" w:rsidR="00910698" w:rsidRDefault="00910698"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w:t>
            </w:r>
          </w:p>
        </w:tc>
        <w:tc>
          <w:tcPr>
            <w:tcW w:w="997" w:type="dxa"/>
            <w:tcBorders>
              <w:top w:val="nil"/>
              <w:left w:val="nil"/>
              <w:bottom w:val="nil"/>
              <w:right w:val="nil"/>
            </w:tcBorders>
            <w:vAlign w:val="bottom"/>
          </w:tcPr>
          <w:p w14:paraId="36DEB188" w14:textId="77777777" w:rsidR="00910698" w:rsidRDefault="00910698" w:rsidP="00575DB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0.4545</w:t>
            </w:r>
          </w:p>
        </w:tc>
      </w:tr>
      <w:tr w:rsidR="00910698" w14:paraId="4481BCA7" w14:textId="77777777" w:rsidTr="00575DB7">
        <w:trPr>
          <w:trHeight w:hRule="exact" w:val="90"/>
        </w:trPr>
        <w:tc>
          <w:tcPr>
            <w:tcW w:w="2017" w:type="dxa"/>
            <w:tcBorders>
              <w:top w:val="nil"/>
              <w:left w:val="nil"/>
              <w:bottom w:val="double" w:sz="6" w:space="2" w:color="auto"/>
              <w:right w:val="nil"/>
            </w:tcBorders>
            <w:vAlign w:val="bottom"/>
          </w:tcPr>
          <w:p w14:paraId="6F8DC048"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C168BB5"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7FA7AD6"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F476D02"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22DDCF0"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r>
      <w:tr w:rsidR="00910698" w14:paraId="1595D733" w14:textId="77777777" w:rsidTr="00575DB7">
        <w:trPr>
          <w:trHeight w:hRule="exact" w:val="135"/>
        </w:trPr>
        <w:tc>
          <w:tcPr>
            <w:tcW w:w="2017" w:type="dxa"/>
            <w:tcBorders>
              <w:top w:val="nil"/>
              <w:left w:val="nil"/>
              <w:bottom w:val="nil"/>
              <w:right w:val="nil"/>
            </w:tcBorders>
            <w:vAlign w:val="bottom"/>
          </w:tcPr>
          <w:p w14:paraId="402F27DD"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C1910EA"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8AAD3BA"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C893DA4"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80EA9D2" w14:textId="77777777" w:rsidR="00910698" w:rsidRDefault="00910698" w:rsidP="00575DB7">
            <w:pPr>
              <w:autoSpaceDE w:val="0"/>
              <w:autoSpaceDN w:val="0"/>
              <w:adjustRightInd w:val="0"/>
              <w:spacing w:after="0" w:line="240" w:lineRule="auto"/>
              <w:jc w:val="center"/>
              <w:rPr>
                <w:rFonts w:ascii="Arial" w:hAnsi="Arial" w:cs="Arial"/>
                <w:color w:val="000000"/>
                <w:sz w:val="18"/>
                <w:szCs w:val="18"/>
              </w:rPr>
            </w:pPr>
          </w:p>
        </w:tc>
      </w:tr>
    </w:tbl>
    <w:p w14:paraId="35CECB37" w14:textId="44966268" w:rsidR="00910698" w:rsidRDefault="00910698" w:rsidP="00910698">
      <w:pPr>
        <w:jc w:val="both"/>
        <w:rPr>
          <w:rFonts w:ascii="Times New Roman" w:eastAsia="Arial Unicode MS" w:hAnsi="Times New Roman"/>
          <w:color w:val="000000"/>
          <w:sz w:val="24"/>
          <w:szCs w:val="24"/>
        </w:rPr>
      </w:pPr>
      <w:r w:rsidRPr="00E13272">
        <w:rPr>
          <w:rFonts w:ascii="Times New Roman" w:eastAsiaTheme="minorHAnsi" w:hAnsi="Times New Roman"/>
          <w:sz w:val="18"/>
          <w:szCs w:val="18"/>
          <w14:ligatures w14:val="standardContextual"/>
        </w:rPr>
        <w:t>Source:</w:t>
      </w:r>
      <w:r w:rsidR="00482891">
        <w:rPr>
          <w:rFonts w:ascii="Times New Roman" w:eastAsiaTheme="minorHAnsi" w:hAnsi="Times New Roman"/>
          <w:sz w:val="18"/>
          <w:szCs w:val="18"/>
          <w14:ligatures w14:val="standardContextual"/>
        </w:rPr>
        <w:t xml:space="preserve"> </w:t>
      </w:r>
      <w:proofErr w:type="spellStart"/>
      <w:r w:rsidRPr="00E13272">
        <w:rPr>
          <w:rFonts w:ascii="Times New Roman" w:eastAsiaTheme="minorHAnsi" w:hAnsi="Times New Roman"/>
          <w:sz w:val="18"/>
          <w:szCs w:val="18"/>
          <w14:ligatures w14:val="standardContextual"/>
        </w:rPr>
        <w:t>Eview</w:t>
      </w:r>
      <w:proofErr w:type="spellEnd"/>
    </w:p>
    <w:p w14:paraId="4A3CAF27" w14:textId="77777777" w:rsidR="004B0CCA" w:rsidRPr="004B0CCA" w:rsidRDefault="004B0CCA" w:rsidP="004B0CCA">
      <w:pPr>
        <w:jc w:val="both"/>
        <w:rPr>
          <w:rFonts w:ascii="Times New Roman" w:eastAsiaTheme="minorHAnsi" w:hAnsi="Times New Roman"/>
          <w:color w:val="000000"/>
          <w:sz w:val="24"/>
          <w:szCs w:val="24"/>
          <w:lang w:val="en-GB"/>
          <w14:ligatures w14:val="standardContextual"/>
        </w:rPr>
      </w:pPr>
      <w:r w:rsidRPr="004B0CCA">
        <w:rPr>
          <w:rFonts w:ascii="Times New Roman" w:eastAsiaTheme="minorHAnsi" w:hAnsi="Times New Roman"/>
          <w:color w:val="000000"/>
          <w:sz w:val="24"/>
          <w:szCs w:val="24"/>
          <w:lang w:val="en-GB"/>
          <w14:ligatures w14:val="standardContextual"/>
        </w:rPr>
        <w:t>The Hausman specification test was conducted to determine the most appropriate panel estimator between the Fixed Effects Model and the Random Effects Model. The test produced a Chi-square statistic of 3.6567 and a probability value of 0.4545. Since the probability value is greater than 0.05, the null hypothesis cannot be rejected. Consequently, the Random Effects Model is preferred because the unobserved firm-specific effects are not significantly correlated with the explanatory variables. Therefore, the Random Effects estimator provides more efficient and consistent estimates for the study.</w:t>
      </w:r>
    </w:p>
    <w:p w14:paraId="5D1AA418" w14:textId="16FB4CFC" w:rsidR="004B0CCA" w:rsidRDefault="004B0CCA" w:rsidP="004B0CCA">
      <w:pPr>
        <w:jc w:val="both"/>
        <w:rPr>
          <w:rFonts w:ascii="Times New Roman" w:eastAsiaTheme="minorHAnsi" w:hAnsi="Times New Roman"/>
          <w:b/>
          <w:bCs/>
          <w:color w:val="000000"/>
          <w:sz w:val="24"/>
          <w:szCs w:val="24"/>
          <w:lang w:val="en-GB"/>
          <w14:ligatures w14:val="standardContextual"/>
        </w:rPr>
      </w:pPr>
      <w:r>
        <w:rPr>
          <w:rFonts w:ascii="Times New Roman" w:eastAsiaTheme="minorHAnsi" w:hAnsi="Times New Roman"/>
          <w:b/>
          <w:bCs/>
          <w:color w:val="000000"/>
          <w:sz w:val="24"/>
          <w:szCs w:val="24"/>
          <w:lang w:val="en-GB"/>
          <w14:ligatures w14:val="standardContextual"/>
        </w:rPr>
        <w:t>Discussion of findings</w:t>
      </w:r>
    </w:p>
    <w:p w14:paraId="32401F71" w14:textId="0A2C35DA" w:rsidR="004B0CCA" w:rsidRPr="004B0CCA" w:rsidRDefault="004B0CCA" w:rsidP="004B0CCA">
      <w:pPr>
        <w:jc w:val="both"/>
        <w:rPr>
          <w:rFonts w:ascii="Times New Roman" w:eastAsiaTheme="minorHAnsi" w:hAnsi="Times New Roman"/>
          <w:b/>
          <w:bCs/>
          <w:color w:val="000000"/>
          <w:sz w:val="24"/>
          <w:szCs w:val="24"/>
          <w:lang w:val="en-GB"/>
          <w14:ligatures w14:val="standardContextual"/>
        </w:rPr>
      </w:pPr>
      <w:r w:rsidRPr="004B0CCA">
        <w:rPr>
          <w:rFonts w:ascii="Times New Roman" w:eastAsiaTheme="minorHAnsi" w:hAnsi="Times New Roman"/>
          <w:b/>
          <w:bCs/>
          <w:color w:val="000000"/>
          <w:sz w:val="24"/>
          <w:szCs w:val="24"/>
          <w:lang w:val="en-GB"/>
          <w14:ligatures w14:val="standardContextual"/>
        </w:rPr>
        <w:t>Environmental Reporting and Operational Performance</w:t>
      </w:r>
    </w:p>
    <w:p w14:paraId="4B374D61" w14:textId="77777777" w:rsidR="00B2108F" w:rsidRPr="00B2108F" w:rsidRDefault="00B2108F" w:rsidP="00B2108F">
      <w:pPr>
        <w:jc w:val="both"/>
        <w:rPr>
          <w:rFonts w:ascii="Times New Roman" w:eastAsiaTheme="minorHAnsi" w:hAnsi="Times New Roman"/>
          <w:color w:val="000000"/>
          <w:sz w:val="24"/>
          <w:szCs w:val="24"/>
          <w:lang w:val="en-GB"/>
          <w14:ligatures w14:val="standardContextual"/>
        </w:rPr>
      </w:pPr>
      <w:r w:rsidRPr="00B2108F">
        <w:rPr>
          <w:rFonts w:ascii="Times New Roman" w:eastAsiaTheme="minorHAnsi" w:hAnsi="Times New Roman"/>
          <w:color w:val="000000"/>
          <w:sz w:val="24"/>
          <w:szCs w:val="24"/>
          <w:lang w:val="en-GB"/>
          <w14:ligatures w14:val="standardContextual"/>
        </w:rPr>
        <w:t>The study found that environmental reporting exerts a positive but statistically insignificant influence on operational performance. This finding suggests that environmental disclosure practices such as pollution control initiatives, environmental compliance reporting, waste management programs, and climate-related disclosures may contribute to improved stakeholder perception and corporate legitimacy. However, these benefits do not appear sufficiently strong to translate into measurable improvements in operating margins during the study period.</w:t>
      </w:r>
    </w:p>
    <w:p w14:paraId="23A06CF0" w14:textId="77777777" w:rsidR="00B2108F" w:rsidRPr="00B2108F" w:rsidRDefault="00B2108F" w:rsidP="00B2108F">
      <w:pPr>
        <w:jc w:val="both"/>
        <w:rPr>
          <w:rFonts w:ascii="Times New Roman" w:eastAsiaTheme="minorHAnsi" w:hAnsi="Times New Roman"/>
          <w:color w:val="000000"/>
          <w:sz w:val="24"/>
          <w:szCs w:val="24"/>
          <w:lang w:val="en-GB"/>
          <w14:ligatures w14:val="standardContextual"/>
        </w:rPr>
      </w:pPr>
      <w:r w:rsidRPr="00B2108F">
        <w:rPr>
          <w:rFonts w:ascii="Times New Roman" w:eastAsiaTheme="minorHAnsi" w:hAnsi="Times New Roman"/>
          <w:color w:val="000000"/>
          <w:sz w:val="24"/>
          <w:szCs w:val="24"/>
          <w:lang w:val="en-GB"/>
          <w14:ligatures w14:val="standardContextual"/>
        </w:rPr>
        <w:t xml:space="preserve">This finding is consistent with </w:t>
      </w:r>
      <w:proofErr w:type="spellStart"/>
      <w:r w:rsidRPr="00B2108F">
        <w:rPr>
          <w:rFonts w:ascii="Times New Roman" w:eastAsiaTheme="minorHAnsi" w:hAnsi="Times New Roman"/>
          <w:color w:val="000000"/>
          <w:sz w:val="24"/>
          <w:szCs w:val="24"/>
          <w:lang w:val="en-GB"/>
          <w14:ligatures w14:val="standardContextual"/>
        </w:rPr>
        <w:t>Nkak</w:t>
      </w:r>
      <w:proofErr w:type="spellEnd"/>
      <w:r w:rsidRPr="00B2108F">
        <w:rPr>
          <w:rFonts w:ascii="Times New Roman" w:eastAsiaTheme="minorHAnsi" w:hAnsi="Times New Roman"/>
          <w:color w:val="000000"/>
          <w:sz w:val="24"/>
          <w:szCs w:val="24"/>
          <w:lang w:val="en-GB"/>
          <w14:ligatures w14:val="standardContextual"/>
        </w:rPr>
        <w:t xml:space="preserve">, </w:t>
      </w:r>
      <w:proofErr w:type="spellStart"/>
      <w:r w:rsidRPr="00B2108F">
        <w:rPr>
          <w:rFonts w:ascii="Times New Roman" w:eastAsiaTheme="minorHAnsi" w:hAnsi="Times New Roman"/>
          <w:color w:val="000000"/>
          <w:sz w:val="24"/>
          <w:szCs w:val="24"/>
          <w:lang w:val="en-GB"/>
          <w14:ligatures w14:val="standardContextual"/>
        </w:rPr>
        <w:t>Enoima</w:t>
      </w:r>
      <w:proofErr w:type="spellEnd"/>
      <w:r w:rsidRPr="00B2108F">
        <w:rPr>
          <w:rFonts w:ascii="Times New Roman" w:eastAsiaTheme="minorHAnsi" w:hAnsi="Times New Roman"/>
          <w:color w:val="000000"/>
          <w:sz w:val="24"/>
          <w:szCs w:val="24"/>
          <w:lang w:val="en-GB"/>
          <w14:ligatures w14:val="standardContextual"/>
        </w:rPr>
        <w:t xml:space="preserve">, </w:t>
      </w:r>
      <w:proofErr w:type="spellStart"/>
      <w:r w:rsidRPr="00B2108F">
        <w:rPr>
          <w:rFonts w:ascii="Times New Roman" w:eastAsiaTheme="minorHAnsi" w:hAnsi="Times New Roman"/>
          <w:color w:val="000000"/>
          <w:sz w:val="24"/>
          <w:szCs w:val="24"/>
          <w:lang w:val="en-GB"/>
          <w14:ligatures w14:val="standardContextual"/>
        </w:rPr>
        <w:t>Yetunde</w:t>
      </w:r>
      <w:proofErr w:type="spellEnd"/>
      <w:r w:rsidRPr="00B2108F">
        <w:rPr>
          <w:rFonts w:ascii="Times New Roman" w:eastAsiaTheme="minorHAnsi" w:hAnsi="Times New Roman"/>
          <w:color w:val="000000"/>
          <w:sz w:val="24"/>
          <w:szCs w:val="24"/>
          <w:lang w:val="en-GB"/>
          <w14:ligatures w14:val="standardContextual"/>
        </w:rPr>
        <w:t xml:space="preserve">, and </w:t>
      </w:r>
      <w:proofErr w:type="spellStart"/>
      <w:r w:rsidRPr="00B2108F">
        <w:rPr>
          <w:rFonts w:ascii="Times New Roman" w:eastAsiaTheme="minorHAnsi" w:hAnsi="Times New Roman"/>
          <w:color w:val="000000"/>
          <w:sz w:val="24"/>
          <w:szCs w:val="24"/>
          <w:lang w:val="en-GB"/>
          <w14:ligatures w14:val="standardContextual"/>
        </w:rPr>
        <w:t>Ibem</w:t>
      </w:r>
      <w:proofErr w:type="spellEnd"/>
      <w:r w:rsidRPr="00B2108F">
        <w:rPr>
          <w:rFonts w:ascii="Times New Roman" w:eastAsiaTheme="minorHAnsi" w:hAnsi="Times New Roman"/>
          <w:color w:val="000000"/>
          <w:sz w:val="24"/>
          <w:szCs w:val="24"/>
          <w:lang w:val="en-GB"/>
          <w14:ligatures w14:val="standardContextual"/>
        </w:rPr>
        <w:t xml:space="preserve"> (2025), who reported that green accounting practices positively influenced the value of quoted oil and gas firms in Nigeria but that some environmental accounting indicators lacked statistical significance. It also supports Korolo and Korolo (2023), who documented that sustainability disclosures generated only marginal improvements in firm performance among Nigerian deposit money banks.</w:t>
      </w:r>
    </w:p>
    <w:p w14:paraId="0ACD259E" w14:textId="77777777" w:rsidR="00B2108F" w:rsidRDefault="00B2108F" w:rsidP="00B2108F">
      <w:pPr>
        <w:jc w:val="both"/>
        <w:rPr>
          <w:rFonts w:ascii="Times New Roman" w:eastAsiaTheme="minorHAnsi" w:hAnsi="Times New Roman"/>
          <w:color w:val="000000"/>
          <w:sz w:val="24"/>
          <w:szCs w:val="24"/>
          <w:lang w:val="en-GB"/>
          <w14:ligatures w14:val="standardContextual"/>
        </w:rPr>
      </w:pPr>
      <w:r w:rsidRPr="00B2108F">
        <w:rPr>
          <w:rFonts w:ascii="Times New Roman" w:eastAsiaTheme="minorHAnsi" w:hAnsi="Times New Roman"/>
          <w:color w:val="000000"/>
          <w:sz w:val="24"/>
          <w:szCs w:val="24"/>
          <w:lang w:val="en-GB"/>
          <w14:ligatures w14:val="standardContextual"/>
        </w:rPr>
        <w:t>However, the finding contradicts Sunny and Apsara (2024), who found a significant positive relationship between sustainability reporting and financial performance in emerging economies. The disparity may be attributable to differences in institutional environments, regulatory enforcement, stakeholder pressure, and sustainability reporting maturity across countries.</w:t>
      </w:r>
    </w:p>
    <w:p w14:paraId="4689C2BD" w14:textId="3586ADFA" w:rsidR="004B0CCA" w:rsidRPr="004B0CCA" w:rsidRDefault="004B0CCA" w:rsidP="00B2108F">
      <w:pPr>
        <w:jc w:val="both"/>
        <w:rPr>
          <w:rFonts w:ascii="Times New Roman" w:eastAsiaTheme="minorHAnsi" w:hAnsi="Times New Roman"/>
          <w:b/>
          <w:bCs/>
          <w:color w:val="000000"/>
          <w:sz w:val="24"/>
          <w:szCs w:val="24"/>
          <w:lang w:val="en-GB"/>
          <w14:ligatures w14:val="standardContextual"/>
        </w:rPr>
      </w:pPr>
      <w:r w:rsidRPr="004B0CCA">
        <w:rPr>
          <w:rFonts w:ascii="Times New Roman" w:eastAsiaTheme="minorHAnsi" w:hAnsi="Times New Roman"/>
          <w:b/>
          <w:bCs/>
          <w:color w:val="000000"/>
          <w:sz w:val="24"/>
          <w:szCs w:val="24"/>
          <w:lang w:val="en-GB"/>
          <w14:ligatures w14:val="standardContextual"/>
        </w:rPr>
        <w:t>Social Reporting and Operational Performance</w:t>
      </w:r>
    </w:p>
    <w:p w14:paraId="2E00B2CA" w14:textId="77777777" w:rsidR="004B0CCA" w:rsidRPr="00762B52" w:rsidRDefault="004B0CCA" w:rsidP="004B0CCA">
      <w:pPr>
        <w:jc w:val="both"/>
        <w:rPr>
          <w:rFonts w:ascii="Times New Roman" w:eastAsiaTheme="minorHAnsi" w:hAnsi="Times New Roman"/>
          <w:color w:val="000000"/>
          <w:sz w:val="24"/>
          <w:szCs w:val="24"/>
          <w:lang w:val="en-GB"/>
          <w14:ligatures w14:val="standardContextual"/>
        </w:rPr>
      </w:pPr>
      <w:r w:rsidRPr="00762B52">
        <w:rPr>
          <w:rFonts w:ascii="Times New Roman" w:eastAsiaTheme="minorHAnsi" w:hAnsi="Times New Roman"/>
          <w:color w:val="000000"/>
          <w:sz w:val="24"/>
          <w:szCs w:val="24"/>
          <w:lang w:val="en-GB"/>
          <w14:ligatures w14:val="standardContextual"/>
        </w:rPr>
        <w:t xml:space="preserve">The study reveals that social reporting has a negative and statistically insignificant effect on operational performance. This implies that disclosures relating to employee welfare, occupational health and safety, community development, education programmes, and stakeholder engagement </w:t>
      </w:r>
      <w:r w:rsidRPr="00762B52">
        <w:rPr>
          <w:rFonts w:ascii="Times New Roman" w:eastAsiaTheme="minorHAnsi" w:hAnsi="Times New Roman"/>
          <w:color w:val="000000"/>
          <w:sz w:val="24"/>
          <w:szCs w:val="24"/>
          <w:lang w:val="en-GB"/>
          <w14:ligatures w14:val="standardContextual"/>
        </w:rPr>
        <w:lastRenderedPageBreak/>
        <w:t>may increase operational expenditures without producing immediate financial benefits. Consequently, firms may experience short-term cost pressures associated with implementing social sustainability initiatives.</w:t>
      </w:r>
    </w:p>
    <w:p w14:paraId="6BD7B8F6" w14:textId="77777777" w:rsidR="004B0CCA" w:rsidRPr="004B0CCA" w:rsidRDefault="004B0CCA" w:rsidP="004B0CCA">
      <w:pPr>
        <w:jc w:val="both"/>
        <w:rPr>
          <w:rFonts w:ascii="Times New Roman" w:eastAsiaTheme="minorHAnsi" w:hAnsi="Times New Roman"/>
          <w:color w:val="000000"/>
          <w:sz w:val="24"/>
          <w:szCs w:val="24"/>
          <w:lang w:val="en-GB"/>
          <w14:ligatures w14:val="standardContextual"/>
        </w:rPr>
      </w:pPr>
      <w:r w:rsidRPr="00762B52">
        <w:rPr>
          <w:rFonts w:ascii="Times New Roman" w:eastAsiaTheme="minorHAnsi" w:hAnsi="Times New Roman"/>
          <w:color w:val="000000"/>
          <w:sz w:val="24"/>
          <w:szCs w:val="24"/>
          <w:lang w:val="en-GB"/>
          <w14:ligatures w14:val="standardContextual"/>
        </w:rPr>
        <w:t>The finding agrees with Korolo and Korolo (2023), who reported that some dimensions of sustainability reporting exerted negative effects on firm performance. The result also aligns with the argument that social investments often generate long-term reputational and relational benefits</w:t>
      </w:r>
      <w:r w:rsidRPr="004B0CCA">
        <w:rPr>
          <w:rFonts w:ascii="Times New Roman" w:eastAsiaTheme="minorHAnsi" w:hAnsi="Times New Roman"/>
          <w:color w:val="000000"/>
          <w:sz w:val="24"/>
          <w:szCs w:val="24"/>
          <w:lang w:val="en-GB"/>
          <w14:ligatures w14:val="standardContextual"/>
        </w:rPr>
        <w:t xml:space="preserve"> rather than immediate operational gains.</w:t>
      </w:r>
    </w:p>
    <w:p w14:paraId="4DDF9D71" w14:textId="584A1934" w:rsidR="004B0CCA" w:rsidRPr="004B0CCA" w:rsidRDefault="004B0CCA" w:rsidP="004B0CCA">
      <w:pPr>
        <w:jc w:val="both"/>
        <w:rPr>
          <w:rFonts w:ascii="Times New Roman" w:eastAsiaTheme="minorHAnsi" w:hAnsi="Times New Roman"/>
          <w:color w:val="000000"/>
          <w:sz w:val="24"/>
          <w:szCs w:val="24"/>
          <w:lang w:val="en-GB"/>
          <w14:ligatures w14:val="standardContextual"/>
        </w:rPr>
      </w:pPr>
      <w:r w:rsidRPr="004B0CCA">
        <w:rPr>
          <w:rFonts w:ascii="Times New Roman" w:eastAsiaTheme="minorHAnsi" w:hAnsi="Times New Roman"/>
          <w:color w:val="000000"/>
          <w:sz w:val="24"/>
          <w:szCs w:val="24"/>
          <w:lang w:val="en-GB"/>
          <w14:ligatures w14:val="standardContextual"/>
        </w:rPr>
        <w:t xml:space="preserve">Conversely, the finding disagrees with </w:t>
      </w:r>
      <w:r w:rsidRPr="00C63E13">
        <w:rPr>
          <w:rFonts w:ascii="Times New Roman" w:eastAsiaTheme="minorHAnsi" w:hAnsi="Times New Roman"/>
          <w:color w:val="000000"/>
          <w:sz w:val="24"/>
          <w:szCs w:val="24"/>
          <w:lang w:val="en-GB"/>
          <w14:ligatures w14:val="standardContextual"/>
        </w:rPr>
        <w:t xml:space="preserve">Lucy, </w:t>
      </w:r>
      <w:proofErr w:type="spellStart"/>
      <w:r w:rsidRPr="00C63E13">
        <w:rPr>
          <w:rFonts w:ascii="Times New Roman" w:eastAsiaTheme="minorHAnsi" w:hAnsi="Times New Roman"/>
          <w:color w:val="000000"/>
          <w:sz w:val="24"/>
          <w:szCs w:val="24"/>
          <w:lang w:val="en-GB"/>
          <w14:ligatures w14:val="standardContextual"/>
        </w:rPr>
        <w:t>Ime</w:t>
      </w:r>
      <w:proofErr w:type="spellEnd"/>
      <w:r w:rsidR="00482891">
        <w:rPr>
          <w:rFonts w:ascii="Times New Roman" w:eastAsiaTheme="minorHAnsi" w:hAnsi="Times New Roman"/>
          <w:color w:val="000000"/>
          <w:sz w:val="24"/>
          <w:szCs w:val="24"/>
          <w:lang w:val="en-GB"/>
          <w14:ligatures w14:val="standardContextual"/>
        </w:rPr>
        <w:t>,</w:t>
      </w:r>
      <w:r w:rsidRPr="00C63E13">
        <w:rPr>
          <w:rFonts w:ascii="Times New Roman" w:eastAsiaTheme="minorHAnsi" w:hAnsi="Times New Roman"/>
          <w:color w:val="000000"/>
          <w:sz w:val="24"/>
          <w:szCs w:val="24"/>
          <w:lang w:val="en-GB"/>
          <w14:ligatures w14:val="standardContextual"/>
        </w:rPr>
        <w:t xml:space="preserve"> and Agnes (2023), who found that sustainability reporting significantly enhanced financial performance among Nigerian firms. It also contrasts with Shaban and Barakat (2023),</w:t>
      </w:r>
      <w:r w:rsidRPr="004B0CCA">
        <w:rPr>
          <w:rFonts w:ascii="Times New Roman" w:eastAsiaTheme="minorHAnsi" w:hAnsi="Times New Roman"/>
          <w:color w:val="000000"/>
          <w:sz w:val="24"/>
          <w:szCs w:val="24"/>
          <w:lang w:val="en-GB"/>
          <w14:ligatures w14:val="standardContextual"/>
        </w:rPr>
        <w:t xml:space="preserve"> who reported that sustainability disclosures positively influence corporate financial outcomes in emerging markets. These differences may stem from variations in measurement approaches, industrial sectors, and performance indicators adopted across studies.</w:t>
      </w:r>
    </w:p>
    <w:p w14:paraId="16A7DD6E" w14:textId="77777777" w:rsidR="004B0CCA" w:rsidRPr="004B0CCA" w:rsidRDefault="004B0CCA" w:rsidP="004B0CCA">
      <w:pPr>
        <w:jc w:val="both"/>
        <w:rPr>
          <w:rFonts w:ascii="Times New Roman" w:eastAsiaTheme="minorHAnsi" w:hAnsi="Times New Roman"/>
          <w:b/>
          <w:bCs/>
          <w:color w:val="000000"/>
          <w:sz w:val="24"/>
          <w:szCs w:val="24"/>
          <w:lang w:val="en-GB"/>
          <w14:ligatures w14:val="standardContextual"/>
        </w:rPr>
      </w:pPr>
      <w:r w:rsidRPr="004B0CCA">
        <w:rPr>
          <w:rFonts w:ascii="Times New Roman" w:eastAsiaTheme="minorHAnsi" w:hAnsi="Times New Roman"/>
          <w:b/>
          <w:bCs/>
          <w:color w:val="000000"/>
          <w:sz w:val="24"/>
          <w:szCs w:val="24"/>
          <w:lang w:val="en-GB"/>
          <w14:ligatures w14:val="standardContextual"/>
        </w:rPr>
        <w:t>Governance Reporting and Operational Performance</w:t>
      </w:r>
    </w:p>
    <w:p w14:paraId="40E69596" w14:textId="77777777" w:rsidR="004B0CCA" w:rsidRPr="004B0CCA" w:rsidRDefault="004B0CCA" w:rsidP="004B0CCA">
      <w:pPr>
        <w:jc w:val="both"/>
        <w:rPr>
          <w:rFonts w:ascii="Times New Roman" w:eastAsiaTheme="minorHAnsi" w:hAnsi="Times New Roman"/>
          <w:color w:val="000000"/>
          <w:sz w:val="24"/>
          <w:szCs w:val="24"/>
          <w:lang w:val="en-GB"/>
          <w14:ligatures w14:val="standardContextual"/>
        </w:rPr>
      </w:pPr>
      <w:r w:rsidRPr="004B0CCA">
        <w:rPr>
          <w:rFonts w:ascii="Times New Roman" w:eastAsiaTheme="minorHAnsi" w:hAnsi="Times New Roman"/>
          <w:color w:val="000000"/>
          <w:sz w:val="24"/>
          <w:szCs w:val="24"/>
          <w:lang w:val="en-GB"/>
          <w14:ligatures w14:val="standardContextual"/>
        </w:rPr>
        <w:t>Governance reporting was found to have a positive but statistically insignificant effect on operational performance. This suggests that governance mechanisms such as board independence, risk management frameworks, audit committee effectiveness, internal control systems, and ethical compliance structures may contribute positively to operational outcomes, but the magnitude of the effect remains insufficient to achieve statistical significance.</w:t>
      </w:r>
    </w:p>
    <w:p w14:paraId="6905600D" w14:textId="7731CDE1" w:rsidR="004B0CCA" w:rsidRPr="00C63E13" w:rsidRDefault="004B0CCA" w:rsidP="00C63E13">
      <w:pPr>
        <w:jc w:val="both"/>
        <w:rPr>
          <w:rFonts w:ascii="Times New Roman" w:hAnsi="Times New Roman"/>
          <w:sz w:val="24"/>
          <w:szCs w:val="24"/>
          <w:lang w:val="en-GB"/>
        </w:rPr>
      </w:pPr>
      <w:r w:rsidRPr="00C63E13">
        <w:rPr>
          <w:rFonts w:ascii="Times New Roman" w:hAnsi="Times New Roman"/>
          <w:sz w:val="24"/>
          <w:szCs w:val="24"/>
          <w:lang w:val="en-GB"/>
        </w:rPr>
        <w:t xml:space="preserve">The finding is broadly consistent with </w:t>
      </w:r>
      <w:proofErr w:type="spellStart"/>
      <w:r w:rsidRPr="00C63E13">
        <w:rPr>
          <w:rFonts w:ascii="Times New Roman" w:hAnsi="Times New Roman"/>
          <w:sz w:val="24"/>
          <w:szCs w:val="24"/>
          <w:lang w:val="en-GB"/>
        </w:rPr>
        <w:t>Tomomewo</w:t>
      </w:r>
      <w:proofErr w:type="spellEnd"/>
      <w:r w:rsidRPr="00C63E13">
        <w:rPr>
          <w:rFonts w:ascii="Times New Roman" w:hAnsi="Times New Roman"/>
          <w:sz w:val="24"/>
          <w:szCs w:val="24"/>
          <w:lang w:val="en-GB"/>
        </w:rPr>
        <w:t xml:space="preserve">, </w:t>
      </w:r>
      <w:proofErr w:type="spellStart"/>
      <w:r w:rsidRPr="00C63E13">
        <w:rPr>
          <w:rFonts w:ascii="Times New Roman" w:hAnsi="Times New Roman"/>
          <w:sz w:val="24"/>
          <w:szCs w:val="24"/>
          <w:lang w:val="en-GB"/>
        </w:rPr>
        <w:t>Rojugbokan</w:t>
      </w:r>
      <w:proofErr w:type="spellEnd"/>
      <w:r w:rsidRPr="00C63E13">
        <w:rPr>
          <w:rFonts w:ascii="Times New Roman" w:hAnsi="Times New Roman"/>
          <w:sz w:val="24"/>
          <w:szCs w:val="24"/>
          <w:lang w:val="en-GB"/>
        </w:rPr>
        <w:t xml:space="preserve">, </w:t>
      </w:r>
      <w:proofErr w:type="spellStart"/>
      <w:r w:rsidRPr="00C63E13">
        <w:rPr>
          <w:rFonts w:ascii="Times New Roman" w:hAnsi="Times New Roman"/>
          <w:sz w:val="24"/>
          <w:szCs w:val="24"/>
          <w:lang w:val="en-GB"/>
        </w:rPr>
        <w:t>Adegbie</w:t>
      </w:r>
      <w:proofErr w:type="spellEnd"/>
      <w:r w:rsidR="00482891">
        <w:rPr>
          <w:rFonts w:ascii="Times New Roman" w:hAnsi="Times New Roman"/>
          <w:sz w:val="24"/>
          <w:szCs w:val="24"/>
          <w:lang w:val="en-GB"/>
        </w:rPr>
        <w:t>,</w:t>
      </w:r>
      <w:r w:rsidRPr="00C63E13">
        <w:rPr>
          <w:rFonts w:ascii="Times New Roman" w:hAnsi="Times New Roman"/>
          <w:sz w:val="24"/>
          <w:szCs w:val="24"/>
          <w:lang w:val="en-GB"/>
        </w:rPr>
        <w:t xml:space="preserve"> and </w:t>
      </w:r>
      <w:proofErr w:type="spellStart"/>
      <w:r w:rsidRPr="00C63E13">
        <w:rPr>
          <w:rFonts w:ascii="Times New Roman" w:hAnsi="Times New Roman"/>
          <w:sz w:val="24"/>
          <w:szCs w:val="24"/>
          <w:lang w:val="en-GB"/>
        </w:rPr>
        <w:t>Ajibade</w:t>
      </w:r>
      <w:proofErr w:type="spellEnd"/>
      <w:r w:rsidRPr="00C63E13">
        <w:rPr>
          <w:rFonts w:ascii="Times New Roman" w:hAnsi="Times New Roman"/>
          <w:sz w:val="24"/>
          <w:szCs w:val="24"/>
          <w:lang w:val="en-GB"/>
        </w:rPr>
        <w:t xml:space="preserve"> (2022), who found that sustainability reporting practices exhibited limited influence on the financial performance of Nigerian firms. It also aligns with Li, </w:t>
      </w:r>
      <w:proofErr w:type="spellStart"/>
      <w:r w:rsidRPr="00C63E13">
        <w:rPr>
          <w:rFonts w:ascii="Times New Roman" w:hAnsi="Times New Roman"/>
          <w:sz w:val="24"/>
          <w:szCs w:val="24"/>
          <w:lang w:val="en-GB"/>
        </w:rPr>
        <w:t>Saat</w:t>
      </w:r>
      <w:proofErr w:type="spellEnd"/>
      <w:r w:rsidRPr="00C63E13">
        <w:rPr>
          <w:rFonts w:ascii="Times New Roman" w:hAnsi="Times New Roman"/>
          <w:sz w:val="24"/>
          <w:szCs w:val="24"/>
          <w:lang w:val="en-GB"/>
        </w:rPr>
        <w:t xml:space="preserve">, </w:t>
      </w:r>
      <w:proofErr w:type="spellStart"/>
      <w:r w:rsidRPr="00C63E13">
        <w:rPr>
          <w:rFonts w:ascii="Times New Roman" w:hAnsi="Times New Roman"/>
          <w:sz w:val="24"/>
          <w:szCs w:val="24"/>
          <w:lang w:val="en-GB"/>
        </w:rPr>
        <w:t>Khatib</w:t>
      </w:r>
      <w:proofErr w:type="spellEnd"/>
      <w:r w:rsidRPr="00C63E13">
        <w:rPr>
          <w:rFonts w:ascii="Times New Roman" w:hAnsi="Times New Roman"/>
          <w:sz w:val="24"/>
          <w:szCs w:val="24"/>
          <w:lang w:val="en-GB"/>
        </w:rPr>
        <w:t>, Chu</w:t>
      </w:r>
      <w:r w:rsidR="00482891">
        <w:rPr>
          <w:rFonts w:ascii="Times New Roman" w:hAnsi="Times New Roman"/>
          <w:sz w:val="24"/>
          <w:szCs w:val="24"/>
          <w:lang w:val="en-GB"/>
        </w:rPr>
        <w:t>,</w:t>
      </w:r>
      <w:r w:rsidRPr="00C63E13">
        <w:rPr>
          <w:rFonts w:ascii="Times New Roman" w:hAnsi="Times New Roman"/>
          <w:sz w:val="24"/>
          <w:szCs w:val="24"/>
          <w:lang w:val="en-GB"/>
        </w:rPr>
        <w:t xml:space="preserve"> and </w:t>
      </w:r>
      <w:proofErr w:type="spellStart"/>
      <w:r w:rsidRPr="00C63E13">
        <w:rPr>
          <w:rFonts w:ascii="Times New Roman" w:hAnsi="Times New Roman"/>
          <w:sz w:val="24"/>
          <w:szCs w:val="24"/>
          <w:lang w:val="en-GB"/>
        </w:rPr>
        <w:t>Sulimany</w:t>
      </w:r>
      <w:proofErr w:type="spellEnd"/>
      <w:r w:rsidRPr="00C63E13">
        <w:rPr>
          <w:rFonts w:ascii="Times New Roman" w:hAnsi="Times New Roman"/>
          <w:sz w:val="24"/>
          <w:szCs w:val="24"/>
          <w:lang w:val="en-GB"/>
        </w:rPr>
        <w:t xml:space="preserve"> (2024), whose systematic review observed that ESG disclosures often produce mixed performance outcomes depending on contextual and institutional factors.</w:t>
      </w:r>
    </w:p>
    <w:p w14:paraId="0E42B448" w14:textId="77777777" w:rsidR="004B0CCA" w:rsidRPr="004B0CCA" w:rsidRDefault="004B0CCA" w:rsidP="004B0CCA">
      <w:pPr>
        <w:jc w:val="both"/>
        <w:rPr>
          <w:rFonts w:ascii="Times New Roman" w:eastAsiaTheme="minorHAnsi" w:hAnsi="Times New Roman"/>
          <w:b/>
          <w:bCs/>
          <w:color w:val="000000"/>
          <w:sz w:val="24"/>
          <w:szCs w:val="24"/>
          <w:lang w:val="en-GB"/>
          <w14:ligatures w14:val="standardContextual"/>
        </w:rPr>
      </w:pPr>
      <w:r w:rsidRPr="004B0CCA">
        <w:rPr>
          <w:rFonts w:ascii="Times New Roman" w:eastAsiaTheme="minorHAnsi" w:hAnsi="Times New Roman"/>
          <w:b/>
          <w:bCs/>
          <w:color w:val="000000"/>
          <w:sz w:val="24"/>
          <w:szCs w:val="24"/>
          <w:lang w:val="en-GB"/>
          <w14:ligatures w14:val="standardContextual"/>
        </w:rPr>
        <w:t>Firm Age and Operational Performance</w:t>
      </w:r>
    </w:p>
    <w:p w14:paraId="300AF4AA" w14:textId="77777777" w:rsidR="004B0CCA" w:rsidRPr="004B0CCA" w:rsidRDefault="004B0CCA" w:rsidP="004B0CCA">
      <w:pPr>
        <w:jc w:val="both"/>
        <w:rPr>
          <w:rFonts w:ascii="Times New Roman" w:eastAsiaTheme="minorHAnsi" w:hAnsi="Times New Roman"/>
          <w:color w:val="000000"/>
          <w:sz w:val="24"/>
          <w:szCs w:val="24"/>
          <w:lang w:val="en-GB"/>
          <w14:ligatures w14:val="standardContextual"/>
        </w:rPr>
      </w:pPr>
      <w:r w:rsidRPr="004B0CCA">
        <w:rPr>
          <w:rFonts w:ascii="Times New Roman" w:eastAsiaTheme="minorHAnsi" w:hAnsi="Times New Roman"/>
          <w:color w:val="000000"/>
          <w:sz w:val="24"/>
          <w:szCs w:val="24"/>
          <w:lang w:val="en-GB"/>
          <w14:ligatures w14:val="standardContextual"/>
        </w:rPr>
        <w:t>The study found that firm age significantly and negatively influences operational performance. This indicates that older firms tend to record lower operating margins than younger firms. The result may reflect organisational rigidity, bureaucratic decision-making processes, higher maintenance costs, and slower adaptation to technological innovations and sustainability-related business practices.</w:t>
      </w:r>
    </w:p>
    <w:p w14:paraId="2E14FCCA" w14:textId="109375D3" w:rsidR="00910698" w:rsidRPr="00785D57" w:rsidRDefault="004B0CCA" w:rsidP="00D60B69">
      <w:pPr>
        <w:jc w:val="both"/>
        <w:rPr>
          <w:rFonts w:ascii="Times New Roman" w:eastAsiaTheme="minorHAnsi" w:hAnsi="Times New Roman"/>
          <w:color w:val="000000"/>
          <w:sz w:val="24"/>
          <w:szCs w:val="24"/>
          <w:lang w:val="en-GB"/>
          <w14:ligatures w14:val="standardContextual"/>
        </w:rPr>
      </w:pPr>
      <w:r w:rsidRPr="004B0CCA">
        <w:rPr>
          <w:rFonts w:ascii="Times New Roman" w:eastAsiaTheme="minorHAnsi" w:hAnsi="Times New Roman"/>
          <w:color w:val="000000"/>
          <w:sz w:val="24"/>
          <w:szCs w:val="24"/>
          <w:lang w:val="en-GB"/>
          <w14:ligatures w14:val="standardContextual"/>
        </w:rPr>
        <w:t>The finding supports organisational lifecycle theory, which posits that mature firms often experience declining efficiency unless continuous innovation and strategic renewal are pursued.</w:t>
      </w:r>
    </w:p>
    <w:p w14:paraId="1B38131F" w14:textId="26CF08CF" w:rsidR="00D60B69" w:rsidRPr="00400247" w:rsidRDefault="00B418B6" w:rsidP="00D60B69">
      <w:pPr>
        <w:jc w:val="both"/>
        <w:rPr>
          <w:rFonts w:ascii="Times New Roman" w:eastAsiaTheme="minorHAnsi" w:hAnsi="Times New Roman"/>
          <w:b/>
          <w:bCs/>
          <w:sz w:val="24"/>
          <w:szCs w:val="24"/>
          <w14:ligatures w14:val="standardContextual"/>
        </w:rPr>
      </w:pPr>
      <w:r w:rsidRPr="00B418B6">
        <w:rPr>
          <w:rFonts w:ascii="Times New Roman" w:eastAsiaTheme="minorHAnsi" w:hAnsi="Times New Roman"/>
          <w:b/>
          <w:bCs/>
          <w:sz w:val="24"/>
          <w:szCs w:val="24"/>
          <w14:ligatures w14:val="standardContextual"/>
        </w:rPr>
        <w:t>Conclusion and Recommendation</w:t>
      </w:r>
    </w:p>
    <w:p w14:paraId="229D5709" w14:textId="245C4797" w:rsidR="005E79D4" w:rsidRPr="005E79D4" w:rsidRDefault="005E79D4" w:rsidP="005E79D4">
      <w:pPr>
        <w:jc w:val="both"/>
        <w:rPr>
          <w:rFonts w:ascii="Times New Roman" w:eastAsia="Arial Unicode MS" w:hAnsi="Times New Roman"/>
          <w:color w:val="000000"/>
          <w:sz w:val="24"/>
          <w:szCs w:val="24"/>
        </w:rPr>
      </w:pPr>
      <w:r w:rsidRPr="005E79D4">
        <w:rPr>
          <w:rFonts w:ascii="Times New Roman" w:eastAsia="Arial Unicode MS" w:hAnsi="Times New Roman"/>
          <w:color w:val="000000"/>
          <w:sz w:val="24"/>
          <w:szCs w:val="24"/>
        </w:rPr>
        <w:t xml:space="preserve">This study investigated the impact of Sustainability Reporting on </w:t>
      </w:r>
      <w:r w:rsidR="00482891">
        <w:rPr>
          <w:rFonts w:ascii="Times New Roman" w:eastAsia="Arial Unicode MS" w:hAnsi="Times New Roman"/>
          <w:color w:val="000000"/>
          <w:sz w:val="24"/>
          <w:szCs w:val="24"/>
        </w:rPr>
        <w:t xml:space="preserve">the </w:t>
      </w:r>
      <w:r w:rsidRPr="005E79D4">
        <w:rPr>
          <w:rFonts w:ascii="Times New Roman" w:eastAsia="Arial Unicode MS" w:hAnsi="Times New Roman"/>
          <w:color w:val="000000"/>
          <w:sz w:val="24"/>
          <w:szCs w:val="24"/>
        </w:rPr>
        <w:t>Operation</w:t>
      </w:r>
      <w:r w:rsidR="00EE4429">
        <w:rPr>
          <w:rFonts w:ascii="Times New Roman" w:eastAsia="Arial Unicode MS" w:hAnsi="Times New Roman"/>
          <w:color w:val="000000"/>
          <w:sz w:val="24"/>
          <w:szCs w:val="24"/>
        </w:rPr>
        <w:t>al</w:t>
      </w:r>
      <w:r w:rsidRPr="005E79D4">
        <w:rPr>
          <w:rFonts w:ascii="Times New Roman" w:eastAsia="Arial Unicode MS" w:hAnsi="Times New Roman"/>
          <w:color w:val="000000"/>
          <w:sz w:val="24"/>
          <w:szCs w:val="24"/>
        </w:rPr>
        <w:t xml:space="preserve"> Performance of Environmentally Sensitive Companies on the Nigerian Exchange Group from 2019 to 2024. In </w:t>
      </w:r>
      <w:r w:rsidRPr="005E79D4">
        <w:rPr>
          <w:rFonts w:ascii="Times New Roman" w:eastAsia="Arial Unicode MS" w:hAnsi="Times New Roman"/>
          <w:color w:val="000000"/>
          <w:sz w:val="24"/>
          <w:szCs w:val="24"/>
        </w:rPr>
        <w:lastRenderedPageBreak/>
        <w:t>particular, the study aimed to analyze the effect of environmental report, social report, governance report</w:t>
      </w:r>
      <w:r w:rsidR="00482891">
        <w:rPr>
          <w:rFonts w:ascii="Times New Roman" w:eastAsia="Arial Unicode MS" w:hAnsi="Times New Roman"/>
          <w:color w:val="000000"/>
          <w:sz w:val="24"/>
          <w:szCs w:val="24"/>
        </w:rPr>
        <w:t>,</w:t>
      </w:r>
      <w:r w:rsidRPr="005E79D4">
        <w:rPr>
          <w:rFonts w:ascii="Times New Roman" w:eastAsia="Arial Unicode MS" w:hAnsi="Times New Roman"/>
          <w:color w:val="000000"/>
          <w:sz w:val="24"/>
          <w:szCs w:val="24"/>
        </w:rPr>
        <w:t xml:space="preserve"> and firm age on </w:t>
      </w:r>
      <w:r w:rsidR="00482891">
        <w:rPr>
          <w:rFonts w:ascii="Times New Roman" w:eastAsia="Arial Unicode MS" w:hAnsi="Times New Roman"/>
          <w:color w:val="000000"/>
          <w:sz w:val="24"/>
          <w:szCs w:val="24"/>
        </w:rPr>
        <w:t xml:space="preserve">the </w:t>
      </w:r>
      <w:r w:rsidRPr="005E79D4">
        <w:rPr>
          <w:rFonts w:ascii="Times New Roman" w:eastAsia="Arial Unicode MS" w:hAnsi="Times New Roman"/>
          <w:color w:val="000000"/>
          <w:sz w:val="24"/>
          <w:szCs w:val="24"/>
        </w:rPr>
        <w:t>operating margin ratio.</w:t>
      </w:r>
    </w:p>
    <w:p w14:paraId="649DD0C7" w14:textId="7D8D8BBB" w:rsidR="005E79D4" w:rsidRPr="005E79D4" w:rsidRDefault="005E79D4" w:rsidP="005E79D4">
      <w:pPr>
        <w:jc w:val="both"/>
        <w:rPr>
          <w:rFonts w:ascii="Times New Roman" w:eastAsia="Arial Unicode MS" w:hAnsi="Times New Roman"/>
          <w:color w:val="000000"/>
          <w:sz w:val="24"/>
          <w:szCs w:val="24"/>
        </w:rPr>
      </w:pPr>
      <w:r w:rsidRPr="005E79D4">
        <w:rPr>
          <w:rFonts w:ascii="Times New Roman" w:eastAsia="Arial Unicode MS" w:hAnsi="Times New Roman"/>
          <w:color w:val="000000"/>
          <w:sz w:val="24"/>
          <w:szCs w:val="24"/>
        </w:rPr>
        <w:t>The results have shown that environmental reporting and governance reporting are positive factors in the operational performance</w:t>
      </w:r>
      <w:r w:rsidR="00482891">
        <w:rPr>
          <w:rFonts w:ascii="Times New Roman" w:eastAsia="Arial Unicode MS" w:hAnsi="Times New Roman"/>
          <w:color w:val="000000"/>
          <w:sz w:val="24"/>
          <w:szCs w:val="24"/>
        </w:rPr>
        <w:t>,</w:t>
      </w:r>
      <w:r w:rsidRPr="005E79D4">
        <w:rPr>
          <w:rFonts w:ascii="Times New Roman" w:eastAsia="Arial Unicode MS" w:hAnsi="Times New Roman"/>
          <w:color w:val="000000"/>
          <w:sz w:val="24"/>
          <w:szCs w:val="24"/>
        </w:rPr>
        <w:t xml:space="preserve"> and social reporting is negative. But none of the three aspects of sustainability reporting is statistically significant. In contrast, the operational performance of the firms shows a statistically significant negative correlation with the firms' age. Based on the study results, it is clear that sustainability reporting is significantly helping to increase corporate transparency, accountability</w:t>
      </w:r>
      <w:r w:rsidR="00482891">
        <w:rPr>
          <w:rFonts w:ascii="Times New Roman" w:eastAsia="Arial Unicode MS" w:hAnsi="Times New Roman"/>
          <w:color w:val="000000"/>
          <w:sz w:val="24"/>
          <w:szCs w:val="24"/>
        </w:rPr>
        <w:t>,</w:t>
      </w:r>
      <w:r w:rsidRPr="005E79D4">
        <w:rPr>
          <w:rFonts w:ascii="Times New Roman" w:eastAsia="Arial Unicode MS" w:hAnsi="Times New Roman"/>
          <w:color w:val="000000"/>
          <w:sz w:val="24"/>
          <w:szCs w:val="24"/>
        </w:rPr>
        <w:t xml:space="preserve"> and engagement of stakeholders, but its contribution in the area of operational performances of </w:t>
      </w:r>
      <w:r w:rsidR="00482891">
        <w:rPr>
          <w:rFonts w:ascii="Times New Roman" w:eastAsia="Arial Unicode MS" w:hAnsi="Times New Roman"/>
          <w:color w:val="000000"/>
          <w:sz w:val="24"/>
          <w:szCs w:val="24"/>
        </w:rPr>
        <w:t>environmentally</w:t>
      </w:r>
      <w:r w:rsidRPr="005E79D4">
        <w:rPr>
          <w:rFonts w:ascii="Times New Roman" w:eastAsia="Arial Unicode MS" w:hAnsi="Times New Roman"/>
          <w:color w:val="000000"/>
          <w:sz w:val="24"/>
          <w:szCs w:val="24"/>
        </w:rPr>
        <w:t xml:space="preserve"> sensitive companies in Nigeria is still limited. Hence, the effects of the operational efficiency seem to be more driven by the management and structural factors in the firms, rather than </w:t>
      </w:r>
      <w:r w:rsidR="00482891">
        <w:rPr>
          <w:rFonts w:ascii="Times New Roman" w:eastAsia="Arial Unicode MS" w:hAnsi="Times New Roman"/>
          <w:color w:val="000000"/>
          <w:sz w:val="24"/>
          <w:szCs w:val="24"/>
        </w:rPr>
        <w:t>by</w:t>
      </w:r>
      <w:r w:rsidRPr="005E79D4">
        <w:rPr>
          <w:rFonts w:ascii="Times New Roman" w:eastAsia="Arial Unicode MS" w:hAnsi="Times New Roman"/>
          <w:color w:val="000000"/>
          <w:sz w:val="24"/>
          <w:szCs w:val="24"/>
        </w:rPr>
        <w:t xml:space="preserve"> the sustainability disclosure practices alone. Based on the findings, the study recommends that environment</w:t>
      </w:r>
      <w:r w:rsidR="00353CEB">
        <w:rPr>
          <w:rFonts w:ascii="Times New Roman" w:eastAsia="Arial Unicode MS" w:hAnsi="Times New Roman"/>
          <w:color w:val="000000"/>
          <w:sz w:val="24"/>
          <w:szCs w:val="24"/>
        </w:rPr>
        <w:t>ally</w:t>
      </w:r>
      <w:r w:rsidRPr="005E79D4">
        <w:rPr>
          <w:rFonts w:ascii="Times New Roman" w:eastAsia="Arial Unicode MS" w:hAnsi="Times New Roman"/>
          <w:color w:val="000000"/>
          <w:sz w:val="24"/>
          <w:szCs w:val="24"/>
        </w:rPr>
        <w:t xml:space="preserve"> sensitive companies should boost their implementation of environmental sustainability initiatives</w:t>
      </w:r>
      <w:r w:rsidR="00482891">
        <w:rPr>
          <w:rFonts w:ascii="Times New Roman" w:eastAsia="Arial Unicode MS" w:hAnsi="Times New Roman"/>
          <w:color w:val="000000"/>
          <w:sz w:val="24"/>
          <w:szCs w:val="24"/>
        </w:rPr>
        <w:t>,</w:t>
      </w:r>
      <w:r w:rsidRPr="005E79D4">
        <w:rPr>
          <w:rFonts w:ascii="Times New Roman" w:eastAsia="Arial Unicode MS" w:hAnsi="Times New Roman"/>
          <w:color w:val="000000"/>
          <w:sz w:val="24"/>
          <w:szCs w:val="24"/>
        </w:rPr>
        <w:t xml:space="preserve"> </w:t>
      </w:r>
      <w:r w:rsidR="004C21F2">
        <w:rPr>
          <w:rFonts w:ascii="Times New Roman" w:eastAsia="Arial Unicode MS" w:hAnsi="Times New Roman"/>
          <w:color w:val="000000"/>
          <w:sz w:val="24"/>
          <w:szCs w:val="24"/>
        </w:rPr>
        <w:t xml:space="preserve">which </w:t>
      </w:r>
      <w:r w:rsidRPr="005E79D4">
        <w:rPr>
          <w:rFonts w:ascii="Times New Roman" w:eastAsia="Arial Unicode MS" w:hAnsi="Times New Roman"/>
          <w:color w:val="000000"/>
          <w:sz w:val="24"/>
          <w:szCs w:val="24"/>
        </w:rPr>
        <w:t>could provide measurable operational benefits</w:t>
      </w:r>
      <w:r w:rsidR="00482891">
        <w:rPr>
          <w:rFonts w:ascii="Times New Roman" w:eastAsia="Arial Unicode MS" w:hAnsi="Times New Roman"/>
          <w:color w:val="000000"/>
          <w:sz w:val="24"/>
          <w:szCs w:val="24"/>
        </w:rPr>
        <w:t>.</w:t>
      </w:r>
      <w:r w:rsidRPr="005E79D4">
        <w:rPr>
          <w:rFonts w:ascii="Times New Roman" w:eastAsia="Arial Unicode MS" w:hAnsi="Times New Roman"/>
          <w:color w:val="000000"/>
          <w:sz w:val="24"/>
          <w:szCs w:val="24"/>
        </w:rPr>
        <w:t xml:space="preserve"> In relation to social sustainability, management should ensure that investments in social sustainability are strategically aligned with the operational goals, in order to turn social expenditure into value-creating activities that increase productivity and operational efficiency.</w:t>
      </w:r>
    </w:p>
    <w:p w14:paraId="592B9778" w14:textId="0ADF3652" w:rsidR="00AD2809" w:rsidRPr="005569C7" w:rsidRDefault="00AD2809" w:rsidP="005569C7">
      <w:pPr>
        <w:jc w:val="both"/>
        <w:rPr>
          <w:rFonts w:ascii="Times New Roman" w:eastAsia="Arial Unicode MS" w:hAnsi="Times New Roman"/>
          <w:b/>
          <w:bCs/>
          <w:color w:val="000000"/>
          <w:sz w:val="24"/>
          <w:szCs w:val="24"/>
        </w:rPr>
      </w:pPr>
      <w:r w:rsidRPr="005569C7">
        <w:rPr>
          <w:rFonts w:ascii="Times New Roman" w:eastAsia="Arial Unicode MS" w:hAnsi="Times New Roman"/>
          <w:b/>
          <w:bCs/>
          <w:color w:val="000000"/>
          <w:sz w:val="24"/>
          <w:szCs w:val="24"/>
        </w:rPr>
        <w:t>References</w:t>
      </w:r>
    </w:p>
    <w:p w14:paraId="22182477" w14:textId="57DDCA0D" w:rsidR="00962ED4" w:rsidRPr="00400247" w:rsidRDefault="00962ED4" w:rsidP="001A51A7">
      <w:pPr>
        <w:spacing w:before="100" w:beforeAutospacing="1" w:after="100" w:afterAutospacing="1" w:line="240" w:lineRule="auto"/>
        <w:ind w:left="720" w:hanging="720"/>
        <w:jc w:val="both"/>
        <w:rPr>
          <w:rFonts w:ascii="Times New Roman" w:eastAsia="Times New Roman" w:hAnsi="Times New Roman"/>
          <w:sz w:val="24"/>
          <w:szCs w:val="24"/>
        </w:rPr>
      </w:pPr>
      <w:r w:rsidRPr="00400247">
        <w:rPr>
          <w:rFonts w:ascii="Times New Roman" w:hAnsi="Times New Roman"/>
          <w:sz w:val="24"/>
          <w:szCs w:val="24"/>
        </w:rPr>
        <w:t xml:space="preserve">Akinleye, G. </w:t>
      </w:r>
      <w:r w:rsidR="00482891">
        <w:rPr>
          <w:rFonts w:ascii="Times New Roman" w:hAnsi="Times New Roman"/>
          <w:sz w:val="24"/>
          <w:szCs w:val="24"/>
        </w:rPr>
        <w:t>T.,</w:t>
      </w:r>
      <w:r w:rsidRPr="00400247">
        <w:rPr>
          <w:rFonts w:ascii="Times New Roman" w:hAnsi="Times New Roman"/>
          <w:sz w:val="24"/>
          <w:szCs w:val="24"/>
        </w:rPr>
        <w:t xml:space="preserve"> and </w:t>
      </w:r>
      <w:proofErr w:type="spellStart"/>
      <w:r w:rsidRPr="00400247">
        <w:rPr>
          <w:rFonts w:ascii="Times New Roman" w:hAnsi="Times New Roman"/>
          <w:sz w:val="24"/>
          <w:szCs w:val="24"/>
        </w:rPr>
        <w:t>Owoniya</w:t>
      </w:r>
      <w:proofErr w:type="spellEnd"/>
      <w:r w:rsidRPr="00400247">
        <w:rPr>
          <w:rFonts w:ascii="Times New Roman" w:hAnsi="Times New Roman"/>
          <w:sz w:val="24"/>
          <w:szCs w:val="24"/>
        </w:rPr>
        <w:t>, B. O. (2024). Sustainability reporting and performance of selected quoted firms in Nigeria. </w:t>
      </w:r>
      <w:r w:rsidRPr="00400247">
        <w:rPr>
          <w:rFonts w:ascii="Times New Roman" w:hAnsi="Times New Roman"/>
          <w:i/>
          <w:iCs/>
          <w:sz w:val="24"/>
          <w:szCs w:val="24"/>
        </w:rPr>
        <w:t>Asian Journal of Economics, Business and Accounting,</w:t>
      </w:r>
      <w:r w:rsidRPr="00400247">
        <w:rPr>
          <w:rFonts w:ascii="Times New Roman" w:hAnsi="Times New Roman"/>
          <w:sz w:val="24"/>
          <w:szCs w:val="24"/>
        </w:rPr>
        <w:t> 24 (6):53–67. https://doi.org/10.9734/ajeba/2024/v24i61342.</w:t>
      </w:r>
    </w:p>
    <w:p w14:paraId="017C2550" w14:textId="44868F5C" w:rsidR="00962ED4" w:rsidRPr="00400247" w:rsidRDefault="005569C7" w:rsidP="001A51A7">
      <w:pPr>
        <w:spacing w:before="100" w:beforeAutospacing="1" w:after="100" w:afterAutospacing="1" w:line="240" w:lineRule="auto"/>
        <w:ind w:left="720" w:hanging="720"/>
        <w:jc w:val="both"/>
        <w:rPr>
          <w:rFonts w:ascii="Times New Roman" w:eastAsia="Times New Roman" w:hAnsi="Times New Roman"/>
          <w:sz w:val="24"/>
          <w:szCs w:val="24"/>
        </w:rPr>
      </w:pPr>
      <w:r w:rsidRPr="00400247">
        <w:rPr>
          <w:rFonts w:ascii="Times New Roman" w:eastAsia="Times New Roman" w:hAnsi="Times New Roman"/>
          <w:sz w:val="24"/>
          <w:szCs w:val="24"/>
        </w:rPr>
        <w:t xml:space="preserve">Brigham, E. F., &amp; Ehrhardt, M. C. (2017). </w:t>
      </w:r>
      <w:r w:rsidRPr="00400247">
        <w:rPr>
          <w:rFonts w:ascii="Times New Roman" w:eastAsia="Times New Roman" w:hAnsi="Times New Roman"/>
          <w:i/>
          <w:iCs/>
          <w:sz w:val="24"/>
          <w:szCs w:val="24"/>
        </w:rPr>
        <w:t>Financial Management: Theory and Practice</w:t>
      </w:r>
      <w:r w:rsidRPr="00400247">
        <w:rPr>
          <w:rFonts w:ascii="Times New Roman" w:eastAsia="Times New Roman" w:hAnsi="Times New Roman"/>
          <w:sz w:val="24"/>
          <w:szCs w:val="24"/>
        </w:rPr>
        <w:t>. Cengage Learning.</w:t>
      </w:r>
    </w:p>
    <w:p w14:paraId="09099950" w14:textId="140D960B" w:rsidR="00AD2809" w:rsidRPr="00400247" w:rsidRDefault="005569C7" w:rsidP="006B2FA3">
      <w:pPr>
        <w:spacing w:before="100" w:beforeAutospacing="1" w:after="100" w:afterAutospacing="1" w:line="240" w:lineRule="auto"/>
        <w:ind w:left="720" w:hanging="720"/>
        <w:jc w:val="both"/>
        <w:rPr>
          <w:rFonts w:ascii="Times New Roman" w:eastAsia="Times New Roman" w:hAnsi="Times New Roman"/>
          <w:sz w:val="24"/>
          <w:szCs w:val="24"/>
        </w:rPr>
      </w:pPr>
      <w:r w:rsidRPr="00400247">
        <w:rPr>
          <w:rFonts w:ascii="Times New Roman" w:eastAsia="Times New Roman" w:hAnsi="Times New Roman"/>
          <w:sz w:val="24"/>
          <w:szCs w:val="24"/>
        </w:rPr>
        <w:t xml:space="preserve">Chong, W., Ong, T., &amp; Tan, S. (2018). Corporate performance measurement: A review of operating and financial metrics. </w:t>
      </w:r>
      <w:r w:rsidRPr="00400247">
        <w:rPr>
          <w:rFonts w:ascii="Times New Roman" w:eastAsia="Times New Roman" w:hAnsi="Times New Roman"/>
          <w:i/>
          <w:iCs/>
          <w:sz w:val="24"/>
          <w:szCs w:val="24"/>
        </w:rPr>
        <w:t>Asian Journal of Business and Accounting</w:t>
      </w:r>
      <w:r w:rsidRPr="00400247">
        <w:rPr>
          <w:rFonts w:ascii="Times New Roman" w:eastAsia="Times New Roman" w:hAnsi="Times New Roman"/>
          <w:sz w:val="24"/>
          <w:szCs w:val="24"/>
        </w:rPr>
        <w:t>, 11(2), 25–47.</w:t>
      </w:r>
    </w:p>
    <w:p w14:paraId="68846D6D" w14:textId="7FD5D0CA" w:rsidR="000D0D1A" w:rsidRPr="00400247" w:rsidRDefault="000D0D1A" w:rsidP="006B2FA3">
      <w:pPr>
        <w:ind w:left="720" w:hanging="720"/>
        <w:jc w:val="both"/>
        <w:rPr>
          <w:rFonts w:ascii="Times New Roman" w:eastAsia="Arial Unicode MS" w:hAnsi="Times New Roman"/>
          <w:color w:val="000000"/>
          <w:sz w:val="24"/>
          <w:szCs w:val="24"/>
        </w:rPr>
      </w:pPr>
      <w:r w:rsidRPr="00400247">
        <w:rPr>
          <w:rFonts w:ascii="Times New Roman" w:eastAsia="Arial Unicode MS" w:hAnsi="Times New Roman"/>
          <w:color w:val="000000"/>
          <w:sz w:val="24"/>
          <w:szCs w:val="24"/>
        </w:rPr>
        <w:t>Common Dreams. (2023, May 17). Shell’s oil pollution: Niger Delta people “Sick of waiting” for justice. Common Dreams. https://www.commondreams.org/newswire/2020/06/18/shells-oil-pollution-niger-delta-people-sick-waiting-justice.</w:t>
      </w:r>
    </w:p>
    <w:p w14:paraId="71646010" w14:textId="582FB7A0" w:rsidR="00AD2809" w:rsidRPr="00400247" w:rsidRDefault="00AD2809" w:rsidP="006B2FA3">
      <w:pPr>
        <w:ind w:left="720" w:hanging="720"/>
        <w:jc w:val="both"/>
        <w:rPr>
          <w:rFonts w:ascii="Times New Roman" w:hAnsi="Times New Roman"/>
          <w:sz w:val="24"/>
          <w:szCs w:val="24"/>
        </w:rPr>
      </w:pPr>
      <w:proofErr w:type="spellStart"/>
      <w:r w:rsidRPr="00400247">
        <w:rPr>
          <w:rFonts w:ascii="Times New Roman" w:hAnsi="Times New Roman"/>
          <w:sz w:val="24"/>
          <w:szCs w:val="24"/>
        </w:rPr>
        <w:t>Etale</w:t>
      </w:r>
      <w:proofErr w:type="spellEnd"/>
      <w:r w:rsidRPr="00400247">
        <w:rPr>
          <w:rFonts w:ascii="Times New Roman" w:hAnsi="Times New Roman"/>
          <w:sz w:val="24"/>
          <w:szCs w:val="24"/>
        </w:rPr>
        <w:t xml:space="preserve">, L. M., </w:t>
      </w:r>
      <w:proofErr w:type="spellStart"/>
      <w:r w:rsidRPr="00400247">
        <w:rPr>
          <w:rFonts w:ascii="Times New Roman" w:hAnsi="Times New Roman"/>
          <w:sz w:val="24"/>
          <w:szCs w:val="24"/>
        </w:rPr>
        <w:t>Tueridei</w:t>
      </w:r>
      <w:proofErr w:type="spellEnd"/>
      <w:r w:rsidRPr="00400247">
        <w:rPr>
          <w:rFonts w:ascii="Times New Roman" w:hAnsi="Times New Roman"/>
          <w:sz w:val="24"/>
          <w:szCs w:val="24"/>
        </w:rPr>
        <w:t xml:space="preserve">, S. W. (2021). Cost of Capital and Environmental Accounting Practices of </w:t>
      </w:r>
      <w:r w:rsidR="00482891">
        <w:rPr>
          <w:rFonts w:ascii="Times New Roman" w:hAnsi="Times New Roman"/>
          <w:sz w:val="24"/>
          <w:szCs w:val="24"/>
        </w:rPr>
        <w:t>Listed</w:t>
      </w:r>
      <w:r w:rsidRPr="00400247">
        <w:rPr>
          <w:rFonts w:ascii="Times New Roman" w:hAnsi="Times New Roman"/>
          <w:sz w:val="24"/>
          <w:szCs w:val="24"/>
        </w:rPr>
        <w:t xml:space="preserve"> Oil and Gas Companies in Nigeria. </w:t>
      </w:r>
      <w:r w:rsidRPr="00400247">
        <w:rPr>
          <w:rFonts w:ascii="Times New Roman" w:hAnsi="Times New Roman"/>
          <w:i/>
          <w:iCs/>
          <w:sz w:val="24"/>
          <w:szCs w:val="24"/>
        </w:rPr>
        <w:t>IOSR Journal of Economics and Finance</w:t>
      </w:r>
      <w:r w:rsidRPr="00400247">
        <w:rPr>
          <w:rFonts w:ascii="Times New Roman" w:hAnsi="Times New Roman"/>
          <w:sz w:val="24"/>
          <w:szCs w:val="24"/>
        </w:rPr>
        <w:t xml:space="preserve">, Vol. 12, Issue 6, pp. 48–54). </w:t>
      </w:r>
      <w:hyperlink r:id="rId5" w:history="1">
        <w:r w:rsidR="009D62AC" w:rsidRPr="00400247">
          <w:rPr>
            <w:rStyle w:val="Hyperlink"/>
            <w:rFonts w:ascii="Times New Roman" w:hAnsi="Times New Roman"/>
            <w:sz w:val="24"/>
            <w:szCs w:val="24"/>
          </w:rPr>
          <w:t>https://doi.org/10.9790/5933-1206024854</w:t>
        </w:r>
      </w:hyperlink>
    </w:p>
    <w:p w14:paraId="2BDD4096" w14:textId="33425D99" w:rsidR="009D62AC" w:rsidRPr="00400247" w:rsidRDefault="005569C7" w:rsidP="006B2FA3">
      <w:pPr>
        <w:spacing w:before="100" w:beforeAutospacing="1" w:after="100" w:afterAutospacing="1" w:line="240" w:lineRule="auto"/>
        <w:ind w:left="720" w:hanging="720"/>
        <w:jc w:val="both"/>
        <w:rPr>
          <w:rFonts w:ascii="Times New Roman" w:eastAsia="Times New Roman" w:hAnsi="Times New Roman"/>
          <w:sz w:val="24"/>
          <w:szCs w:val="24"/>
        </w:rPr>
      </w:pPr>
      <w:r w:rsidRPr="00400247">
        <w:rPr>
          <w:rFonts w:ascii="Times New Roman" w:eastAsia="Times New Roman" w:hAnsi="Times New Roman"/>
          <w:sz w:val="24"/>
          <w:szCs w:val="24"/>
        </w:rPr>
        <w:t xml:space="preserve">Gitman, L. J., &amp; Zutter, C. J. (2015). </w:t>
      </w:r>
      <w:r w:rsidRPr="00400247">
        <w:rPr>
          <w:rFonts w:ascii="Times New Roman" w:eastAsia="Times New Roman" w:hAnsi="Times New Roman"/>
          <w:i/>
          <w:iCs/>
          <w:sz w:val="24"/>
          <w:szCs w:val="24"/>
        </w:rPr>
        <w:t>Principles of Managerial Finance</w:t>
      </w:r>
      <w:r w:rsidRPr="00400247">
        <w:rPr>
          <w:rFonts w:ascii="Times New Roman" w:eastAsia="Times New Roman" w:hAnsi="Times New Roman"/>
          <w:sz w:val="24"/>
          <w:szCs w:val="24"/>
        </w:rPr>
        <w:t>. Pearson.</w:t>
      </w:r>
    </w:p>
    <w:p w14:paraId="1C0555FE" w14:textId="6E599834" w:rsidR="006A5363" w:rsidRDefault="007650D3" w:rsidP="006A5363">
      <w:pPr>
        <w:ind w:left="720" w:hanging="720"/>
        <w:jc w:val="both"/>
      </w:pPr>
      <w:r w:rsidRPr="00400247">
        <w:rPr>
          <w:rFonts w:ascii="Times New Roman" w:hAnsi="Times New Roman"/>
          <w:sz w:val="24"/>
          <w:szCs w:val="24"/>
        </w:rPr>
        <w:lastRenderedPageBreak/>
        <w:t>Grace, I. (2021, May 20). Shell Exit: Ogoni group insists it must pay for damages</w:t>
      </w:r>
      <w:r w:rsidR="00482891">
        <w:rPr>
          <w:rFonts w:ascii="Times New Roman" w:hAnsi="Times New Roman"/>
          <w:sz w:val="24"/>
          <w:szCs w:val="24"/>
        </w:rPr>
        <w:t xml:space="preserve"> and</w:t>
      </w:r>
      <w:r w:rsidRPr="00400247">
        <w:rPr>
          <w:rFonts w:ascii="Times New Roman" w:hAnsi="Times New Roman"/>
          <w:sz w:val="24"/>
          <w:szCs w:val="24"/>
        </w:rPr>
        <w:t xml:space="preserve"> pollution. DAILY TIMES Nigeria. </w:t>
      </w:r>
      <w:hyperlink r:id="rId6" w:history="1">
        <w:r w:rsidR="00073204" w:rsidRPr="00400247">
          <w:rPr>
            <w:rStyle w:val="Hyperlink"/>
            <w:rFonts w:ascii="Times New Roman" w:hAnsi="Times New Roman"/>
            <w:sz w:val="24"/>
            <w:szCs w:val="24"/>
          </w:rPr>
          <w:t>https://dailytimesng.com/shell-exit-ogoni-group-insists-it-must-pay-for-damages-pollution/</w:t>
        </w:r>
      </w:hyperlink>
    </w:p>
    <w:p w14:paraId="36AA8A84" w14:textId="7E30F4A1" w:rsidR="006A5363" w:rsidRPr="006A5363" w:rsidRDefault="006A5363" w:rsidP="006A5363">
      <w:pPr>
        <w:ind w:left="720" w:hanging="720"/>
        <w:jc w:val="both"/>
      </w:pPr>
      <w:r w:rsidRPr="00473321">
        <w:rPr>
          <w:rFonts w:ascii="Times New Roman" w:hAnsi="Times New Roman"/>
          <w:sz w:val="24"/>
          <w:szCs w:val="24"/>
        </w:rPr>
        <w:t>Kapil</w:t>
      </w:r>
      <w:r>
        <w:rPr>
          <w:rFonts w:ascii="Times New Roman" w:hAnsi="Times New Roman"/>
          <w:sz w:val="24"/>
          <w:szCs w:val="24"/>
        </w:rPr>
        <w:t>,</w:t>
      </w:r>
      <w:r w:rsidRPr="00473321">
        <w:rPr>
          <w:rFonts w:ascii="Times New Roman" w:hAnsi="Times New Roman"/>
          <w:sz w:val="24"/>
          <w:szCs w:val="24"/>
        </w:rPr>
        <w:t xml:space="preserve"> S</w:t>
      </w:r>
      <w:r>
        <w:rPr>
          <w:rFonts w:ascii="Times New Roman" w:hAnsi="Times New Roman"/>
          <w:sz w:val="24"/>
          <w:szCs w:val="24"/>
        </w:rPr>
        <w:t>.</w:t>
      </w:r>
      <w:r w:rsidRPr="00473321">
        <w:rPr>
          <w:rFonts w:ascii="Times New Roman" w:hAnsi="Times New Roman"/>
          <w:sz w:val="24"/>
          <w:szCs w:val="24"/>
        </w:rPr>
        <w:t xml:space="preserve"> and Shilpa</w:t>
      </w:r>
      <w:r>
        <w:rPr>
          <w:rFonts w:ascii="Times New Roman" w:hAnsi="Times New Roman"/>
          <w:sz w:val="24"/>
          <w:szCs w:val="24"/>
        </w:rPr>
        <w:t>,</w:t>
      </w:r>
      <w:r w:rsidRPr="00473321">
        <w:rPr>
          <w:rFonts w:ascii="Times New Roman" w:hAnsi="Times New Roman"/>
          <w:sz w:val="24"/>
          <w:szCs w:val="24"/>
        </w:rPr>
        <w:t xml:space="preserve"> L</w:t>
      </w:r>
      <w:r>
        <w:rPr>
          <w:rFonts w:ascii="Times New Roman" w:hAnsi="Times New Roman"/>
          <w:sz w:val="24"/>
          <w:szCs w:val="24"/>
        </w:rPr>
        <w:t xml:space="preserve">. (2024). </w:t>
      </w:r>
      <w:r w:rsidRPr="006A5363">
        <w:rPr>
          <w:rFonts w:ascii="Times New Roman" w:hAnsi="Times New Roman"/>
          <w:sz w:val="24"/>
          <w:szCs w:val="24"/>
        </w:rPr>
        <w:t>Impact of ESG disclosure scores on financial, operating</w:t>
      </w:r>
      <w:r w:rsidR="00482891">
        <w:rPr>
          <w:rFonts w:ascii="Times New Roman" w:hAnsi="Times New Roman"/>
          <w:sz w:val="24"/>
          <w:szCs w:val="24"/>
        </w:rPr>
        <w:t>,</w:t>
      </w:r>
      <w:r w:rsidRPr="006A5363">
        <w:rPr>
          <w:rFonts w:ascii="Times New Roman" w:hAnsi="Times New Roman"/>
          <w:sz w:val="24"/>
          <w:szCs w:val="24"/>
        </w:rPr>
        <w:t xml:space="preserve"> and market-based performance: Evidence from NSE-100 Companies</w:t>
      </w:r>
      <w:r>
        <w:rPr>
          <w:rFonts w:ascii="Times New Roman" w:hAnsi="Times New Roman"/>
          <w:sz w:val="24"/>
          <w:szCs w:val="24"/>
        </w:rPr>
        <w:t xml:space="preserve">. </w:t>
      </w:r>
      <w:r w:rsidRPr="006A5363">
        <w:rPr>
          <w:rFonts w:ascii="Times New Roman" w:hAnsi="Times New Roman"/>
          <w:i/>
          <w:iCs/>
          <w:sz w:val="24"/>
          <w:szCs w:val="24"/>
        </w:rPr>
        <w:t>Management Review</w:t>
      </w:r>
      <w:r>
        <w:rPr>
          <w:rFonts w:ascii="Times New Roman" w:hAnsi="Times New Roman"/>
          <w:sz w:val="24"/>
          <w:szCs w:val="24"/>
        </w:rPr>
        <w:t>,</w:t>
      </w:r>
      <w:r w:rsidRPr="00473321">
        <w:rPr>
          <w:rFonts w:ascii="Times New Roman" w:hAnsi="Times New Roman"/>
          <w:sz w:val="24"/>
          <w:szCs w:val="24"/>
        </w:rPr>
        <w:t xml:space="preserve"> 32(3) 211–223</w:t>
      </w:r>
      <w:r>
        <w:rPr>
          <w:rFonts w:ascii="Times New Roman" w:hAnsi="Times New Roman"/>
          <w:sz w:val="24"/>
          <w:szCs w:val="24"/>
        </w:rPr>
        <w:t xml:space="preserve">. </w:t>
      </w:r>
      <w:r w:rsidRPr="006A5363">
        <w:rPr>
          <w:rFonts w:ascii="Times New Roman" w:hAnsi="Times New Roman"/>
          <w:sz w:val="24"/>
          <w:szCs w:val="24"/>
        </w:rPr>
        <w:t>DOI: 10.1177/09711023241306219</w:t>
      </w:r>
    </w:p>
    <w:p w14:paraId="2DC3413D" w14:textId="77777777" w:rsidR="006A5363" w:rsidRPr="00400247" w:rsidRDefault="006A5363" w:rsidP="006B2FA3">
      <w:pPr>
        <w:ind w:left="720" w:hanging="720"/>
        <w:jc w:val="both"/>
        <w:rPr>
          <w:rFonts w:ascii="Times New Roman" w:hAnsi="Times New Roman"/>
          <w:sz w:val="24"/>
          <w:szCs w:val="24"/>
        </w:rPr>
      </w:pPr>
    </w:p>
    <w:p w14:paraId="41E08280" w14:textId="3725BA80" w:rsidR="00073204" w:rsidRDefault="00073204" w:rsidP="006B2FA3">
      <w:pPr>
        <w:ind w:left="720" w:hanging="720"/>
        <w:jc w:val="both"/>
        <w:rPr>
          <w:rFonts w:ascii="Times New Roman" w:hAnsi="Times New Roman"/>
          <w:sz w:val="24"/>
          <w:szCs w:val="24"/>
          <w:shd w:val="clear" w:color="auto" w:fill="FFFFFF"/>
        </w:rPr>
      </w:pPr>
      <w:r w:rsidRPr="00400247">
        <w:rPr>
          <w:rFonts w:ascii="Times New Roman" w:hAnsi="Times New Roman"/>
          <w:sz w:val="24"/>
          <w:szCs w:val="24"/>
          <w:shd w:val="clear" w:color="auto" w:fill="FFFFFF"/>
        </w:rPr>
        <w:t xml:space="preserve">Korolo, E. O., &amp; </w:t>
      </w:r>
      <w:proofErr w:type="spellStart"/>
      <w:r w:rsidRPr="00400247">
        <w:rPr>
          <w:rFonts w:ascii="Times New Roman" w:hAnsi="Times New Roman"/>
          <w:sz w:val="24"/>
          <w:szCs w:val="24"/>
          <w:shd w:val="clear" w:color="auto" w:fill="FFFFFF"/>
        </w:rPr>
        <w:t>Korolo</w:t>
      </w:r>
      <w:proofErr w:type="spellEnd"/>
      <w:r w:rsidRPr="00400247">
        <w:rPr>
          <w:rFonts w:ascii="Times New Roman" w:hAnsi="Times New Roman"/>
          <w:sz w:val="24"/>
          <w:szCs w:val="24"/>
          <w:shd w:val="clear" w:color="auto" w:fill="FFFFFF"/>
        </w:rPr>
        <w:t xml:space="preserve">, A. S. (2023). Corporate </w:t>
      </w:r>
      <w:r w:rsidR="00F561EB" w:rsidRPr="00400247">
        <w:rPr>
          <w:rFonts w:ascii="Times New Roman" w:hAnsi="Times New Roman"/>
          <w:sz w:val="24"/>
          <w:szCs w:val="24"/>
          <w:shd w:val="clear" w:color="auto" w:fill="FFFFFF"/>
        </w:rPr>
        <w:t>sustainability reporting and financial performance of deposit money banks</w:t>
      </w:r>
      <w:r w:rsidRPr="00400247">
        <w:rPr>
          <w:rFonts w:ascii="Times New Roman" w:hAnsi="Times New Roman"/>
          <w:sz w:val="24"/>
          <w:szCs w:val="24"/>
          <w:shd w:val="clear" w:color="auto" w:fill="FFFFFF"/>
        </w:rPr>
        <w:t xml:space="preserve"> in Nigeria. </w:t>
      </w:r>
      <w:r w:rsidRPr="00400247">
        <w:rPr>
          <w:rFonts w:ascii="Times New Roman" w:hAnsi="Times New Roman"/>
          <w:i/>
          <w:iCs/>
          <w:sz w:val="24"/>
          <w:szCs w:val="24"/>
          <w:shd w:val="clear" w:color="auto" w:fill="FFFFFF"/>
        </w:rPr>
        <w:t>FUDMA Journal of Accounting and Finance Research [FUJAFR]</w:t>
      </w:r>
      <w:r w:rsidRPr="00400247">
        <w:rPr>
          <w:rFonts w:ascii="Times New Roman" w:hAnsi="Times New Roman"/>
          <w:sz w:val="24"/>
          <w:szCs w:val="24"/>
          <w:shd w:val="clear" w:color="auto" w:fill="FFFFFF"/>
        </w:rPr>
        <w:t>, </w:t>
      </w:r>
      <w:r w:rsidRPr="00400247">
        <w:rPr>
          <w:rFonts w:ascii="Times New Roman" w:hAnsi="Times New Roman"/>
          <w:i/>
          <w:iCs/>
          <w:sz w:val="24"/>
          <w:szCs w:val="24"/>
          <w:shd w:val="clear" w:color="auto" w:fill="FFFFFF"/>
        </w:rPr>
        <w:t>1</w:t>
      </w:r>
      <w:r w:rsidRPr="00400247">
        <w:rPr>
          <w:rFonts w:ascii="Times New Roman" w:hAnsi="Times New Roman"/>
          <w:sz w:val="24"/>
          <w:szCs w:val="24"/>
          <w:shd w:val="clear" w:color="auto" w:fill="FFFFFF"/>
        </w:rPr>
        <w:t xml:space="preserve">(3), 75–86. </w:t>
      </w:r>
      <w:hyperlink r:id="rId7" w:history="1">
        <w:r w:rsidR="00DE7B3A" w:rsidRPr="00E01962">
          <w:rPr>
            <w:rStyle w:val="Hyperlink"/>
            <w:rFonts w:ascii="Times New Roman" w:hAnsi="Times New Roman"/>
            <w:sz w:val="24"/>
            <w:szCs w:val="24"/>
            <w:shd w:val="clear" w:color="auto" w:fill="FFFFFF"/>
          </w:rPr>
          <w:t>https://doi.org/10.33003/fujafr-2023.v1i3.63.75-86</w:t>
        </w:r>
      </w:hyperlink>
      <w:r w:rsidR="00DE7B3A">
        <w:rPr>
          <w:rFonts w:ascii="Times New Roman" w:hAnsi="Times New Roman"/>
          <w:sz w:val="24"/>
          <w:szCs w:val="24"/>
          <w:shd w:val="clear" w:color="auto" w:fill="FFFFFF"/>
        </w:rPr>
        <w:t>.</w:t>
      </w:r>
    </w:p>
    <w:p w14:paraId="5C980A2E" w14:textId="6D7682EB" w:rsidR="00DE7B3A" w:rsidRPr="00400247" w:rsidRDefault="00DE7B3A" w:rsidP="006B2FA3">
      <w:pPr>
        <w:ind w:left="720" w:hanging="720"/>
        <w:jc w:val="both"/>
        <w:rPr>
          <w:rFonts w:ascii="Times New Roman" w:hAnsi="Times New Roman"/>
          <w:sz w:val="24"/>
          <w:szCs w:val="24"/>
        </w:rPr>
      </w:pPr>
      <w:r w:rsidRPr="00DE7B3A">
        <w:rPr>
          <w:rFonts w:ascii="Times New Roman" w:hAnsi="Times New Roman"/>
          <w:sz w:val="24"/>
          <w:szCs w:val="24"/>
        </w:rPr>
        <w:t xml:space="preserve">Li, L., Saat, M. M., Khatib, S. F. A., Chu, P., &amp; </w:t>
      </w:r>
      <w:proofErr w:type="spellStart"/>
      <w:r w:rsidRPr="00DE7B3A">
        <w:rPr>
          <w:rFonts w:ascii="Times New Roman" w:hAnsi="Times New Roman"/>
          <w:sz w:val="24"/>
          <w:szCs w:val="24"/>
        </w:rPr>
        <w:t>Sulimany</w:t>
      </w:r>
      <w:proofErr w:type="spellEnd"/>
      <w:r w:rsidRPr="00DE7B3A">
        <w:rPr>
          <w:rFonts w:ascii="Times New Roman" w:hAnsi="Times New Roman"/>
          <w:sz w:val="24"/>
          <w:szCs w:val="24"/>
        </w:rPr>
        <w:t xml:space="preserve">, H. G. H. (2024). Navigating the impact: A comprehensive analysis of ESG disclosure consequences through systematic review. </w:t>
      </w:r>
      <w:r w:rsidRPr="00DE7B3A">
        <w:rPr>
          <w:rFonts w:ascii="Times New Roman" w:hAnsi="Times New Roman"/>
          <w:i/>
          <w:iCs/>
          <w:sz w:val="24"/>
          <w:szCs w:val="24"/>
        </w:rPr>
        <w:t>Business Strategy &amp; Development</w:t>
      </w:r>
      <w:r w:rsidRPr="00DE7B3A">
        <w:rPr>
          <w:rFonts w:ascii="Times New Roman" w:hAnsi="Times New Roman"/>
          <w:sz w:val="24"/>
          <w:szCs w:val="24"/>
        </w:rPr>
        <w:t>, 7(2), e382. https://doi.org/10.1002/bsd2.382</w:t>
      </w:r>
    </w:p>
    <w:p w14:paraId="3AE1617B" w14:textId="77777777" w:rsidR="007F66EA" w:rsidRPr="00400247" w:rsidRDefault="006B2FA3" w:rsidP="007F66EA">
      <w:pPr>
        <w:ind w:left="720" w:hanging="720"/>
        <w:jc w:val="both"/>
        <w:rPr>
          <w:rFonts w:ascii="Times New Roman" w:hAnsi="Times New Roman"/>
          <w:sz w:val="24"/>
          <w:szCs w:val="24"/>
        </w:rPr>
      </w:pPr>
      <w:r w:rsidRPr="00400247">
        <w:rPr>
          <w:rFonts w:ascii="Times New Roman" w:hAnsi="Times New Roman"/>
          <w:sz w:val="24"/>
          <w:szCs w:val="24"/>
        </w:rPr>
        <w:t xml:space="preserve">Lucy J. </w:t>
      </w:r>
      <w:proofErr w:type="gramStart"/>
      <w:r w:rsidRPr="00400247">
        <w:rPr>
          <w:rFonts w:ascii="Times New Roman" w:hAnsi="Times New Roman"/>
          <w:sz w:val="24"/>
          <w:szCs w:val="24"/>
        </w:rPr>
        <w:t>O. ,</w:t>
      </w:r>
      <w:proofErr w:type="gramEnd"/>
      <w:r w:rsidRPr="00400247">
        <w:rPr>
          <w:rFonts w:ascii="Times New Roman" w:hAnsi="Times New Roman"/>
          <w:sz w:val="24"/>
          <w:szCs w:val="24"/>
        </w:rPr>
        <w:t xml:space="preserve"> Ime. B. P. and Agnes, S. O.  (2023). Sustainability Reporting and Financial Performance, </w:t>
      </w:r>
      <w:r w:rsidRPr="00400247">
        <w:rPr>
          <w:rFonts w:ascii="Times New Roman" w:hAnsi="Times New Roman"/>
          <w:i/>
          <w:iCs/>
          <w:sz w:val="24"/>
          <w:szCs w:val="24"/>
        </w:rPr>
        <w:t>AKSU Journal of Administration and Corporate Governance</w:t>
      </w:r>
      <w:r w:rsidRPr="00400247">
        <w:rPr>
          <w:rFonts w:ascii="Times New Roman" w:hAnsi="Times New Roman"/>
          <w:sz w:val="24"/>
          <w:szCs w:val="24"/>
        </w:rPr>
        <w:t>, 3 (1), 32-44.</w:t>
      </w:r>
    </w:p>
    <w:p w14:paraId="29C79993" w14:textId="3CBDFB09" w:rsidR="007F66EA" w:rsidRPr="00400247" w:rsidRDefault="007F66EA" w:rsidP="007F66EA">
      <w:pPr>
        <w:ind w:left="720" w:hanging="720"/>
        <w:jc w:val="both"/>
        <w:rPr>
          <w:rFonts w:ascii="Times New Roman" w:hAnsi="Times New Roman"/>
          <w:sz w:val="24"/>
          <w:szCs w:val="24"/>
        </w:rPr>
      </w:pPr>
      <w:r w:rsidRPr="00400247">
        <w:rPr>
          <w:rFonts w:ascii="Times New Roman" w:hAnsi="Times New Roman"/>
          <w:sz w:val="24"/>
          <w:szCs w:val="24"/>
        </w:rPr>
        <w:t xml:space="preserve">Nkak, P., </w:t>
      </w:r>
      <w:proofErr w:type="spellStart"/>
      <w:r w:rsidRPr="00400247">
        <w:rPr>
          <w:rFonts w:ascii="Times New Roman" w:hAnsi="Times New Roman"/>
          <w:sz w:val="24"/>
          <w:szCs w:val="24"/>
        </w:rPr>
        <w:t>Enoima</w:t>
      </w:r>
      <w:proofErr w:type="spellEnd"/>
      <w:r w:rsidRPr="00400247">
        <w:rPr>
          <w:rFonts w:ascii="Times New Roman" w:hAnsi="Times New Roman"/>
          <w:sz w:val="24"/>
          <w:szCs w:val="24"/>
        </w:rPr>
        <w:t xml:space="preserve">, A., Yetunde A. A &amp; </w:t>
      </w:r>
      <w:proofErr w:type="spellStart"/>
      <w:r w:rsidRPr="00400247">
        <w:rPr>
          <w:rFonts w:ascii="Times New Roman" w:hAnsi="Times New Roman"/>
          <w:sz w:val="24"/>
          <w:szCs w:val="24"/>
        </w:rPr>
        <w:t>Ibem</w:t>
      </w:r>
      <w:proofErr w:type="spellEnd"/>
      <w:r w:rsidRPr="00400247">
        <w:rPr>
          <w:rFonts w:ascii="Times New Roman" w:hAnsi="Times New Roman"/>
          <w:sz w:val="24"/>
          <w:szCs w:val="24"/>
        </w:rPr>
        <w:t xml:space="preserve">, M.A. (2025). Green accounting and value of quoted oil and gas firms in Nigeria, </w:t>
      </w:r>
      <w:r w:rsidRPr="00400247">
        <w:rPr>
          <w:rFonts w:ascii="Times New Roman" w:hAnsi="Times New Roman"/>
          <w:i/>
          <w:iCs/>
          <w:sz w:val="24"/>
          <w:szCs w:val="24"/>
        </w:rPr>
        <w:t>Journal of Financial Reporting and Corporate Governance</w:t>
      </w:r>
      <w:r w:rsidRPr="00400247">
        <w:rPr>
          <w:rFonts w:ascii="Times New Roman" w:hAnsi="Times New Roman"/>
          <w:sz w:val="24"/>
          <w:szCs w:val="24"/>
        </w:rPr>
        <w:t xml:space="preserve">, Vol. 1(1), </w:t>
      </w:r>
      <w:r w:rsidR="001A51A7">
        <w:rPr>
          <w:rFonts w:ascii="Times New Roman" w:hAnsi="Times New Roman"/>
          <w:sz w:val="24"/>
          <w:szCs w:val="24"/>
        </w:rPr>
        <w:t>96-116</w:t>
      </w:r>
      <w:r w:rsidRPr="00400247">
        <w:rPr>
          <w:rFonts w:ascii="Times New Roman" w:hAnsi="Times New Roman"/>
          <w:sz w:val="24"/>
          <w:szCs w:val="24"/>
        </w:rPr>
        <w:t>.</w:t>
      </w:r>
    </w:p>
    <w:p w14:paraId="257F9017" w14:textId="7936949C" w:rsidR="007F66EA" w:rsidRPr="001A51A7" w:rsidRDefault="003D1910" w:rsidP="001A51A7">
      <w:pPr>
        <w:spacing w:before="100" w:beforeAutospacing="1" w:after="100" w:afterAutospacing="1" w:line="240" w:lineRule="auto"/>
        <w:ind w:left="720" w:hanging="720"/>
        <w:jc w:val="both"/>
        <w:rPr>
          <w:rFonts w:ascii="Times New Roman" w:eastAsia="Times New Roman" w:hAnsi="Times New Roman"/>
          <w:sz w:val="24"/>
          <w:szCs w:val="24"/>
        </w:rPr>
      </w:pPr>
      <w:r w:rsidRPr="00400247">
        <w:rPr>
          <w:rFonts w:ascii="Times New Roman" w:eastAsia="Times New Roman" w:hAnsi="Times New Roman"/>
          <w:sz w:val="24"/>
          <w:szCs w:val="24"/>
        </w:rPr>
        <w:t xml:space="preserve">OECD. (2015). </w:t>
      </w:r>
      <w:r w:rsidRPr="00400247">
        <w:rPr>
          <w:rFonts w:ascii="Times New Roman" w:eastAsia="Times New Roman" w:hAnsi="Times New Roman"/>
          <w:i/>
          <w:iCs/>
          <w:sz w:val="24"/>
          <w:szCs w:val="24"/>
        </w:rPr>
        <w:t>G20/OECD Principles of Corporate Governance</w:t>
      </w:r>
      <w:r w:rsidRPr="00400247">
        <w:rPr>
          <w:rFonts w:ascii="Times New Roman" w:eastAsia="Times New Roman" w:hAnsi="Times New Roman"/>
          <w:sz w:val="24"/>
          <w:szCs w:val="24"/>
        </w:rPr>
        <w:t>. Paris: OECD Publishing.</w:t>
      </w:r>
    </w:p>
    <w:p w14:paraId="682D06DC" w14:textId="77777777" w:rsidR="0077015B" w:rsidRPr="00400247" w:rsidRDefault="00D64EE4" w:rsidP="0077015B">
      <w:pPr>
        <w:spacing w:before="100" w:beforeAutospacing="1" w:after="100" w:afterAutospacing="1" w:line="240" w:lineRule="auto"/>
        <w:ind w:left="720" w:hanging="720"/>
        <w:jc w:val="both"/>
        <w:rPr>
          <w:rFonts w:ascii="Times New Roman" w:hAnsi="Times New Roman"/>
          <w:sz w:val="24"/>
          <w:szCs w:val="24"/>
        </w:rPr>
      </w:pPr>
      <w:r w:rsidRPr="00400247">
        <w:rPr>
          <w:rFonts w:ascii="Times New Roman" w:hAnsi="Times New Roman"/>
          <w:sz w:val="24"/>
          <w:szCs w:val="24"/>
        </w:rPr>
        <w:t xml:space="preserve">Shaban, O. S., &amp; Barakat, A. (2023). The impact of sustainability reporting on a company’s financial performance: Evidence from the emerging market. </w:t>
      </w:r>
      <w:r w:rsidRPr="00400247">
        <w:rPr>
          <w:rFonts w:ascii="Times New Roman" w:hAnsi="Times New Roman"/>
          <w:i/>
          <w:iCs/>
          <w:sz w:val="24"/>
          <w:szCs w:val="24"/>
        </w:rPr>
        <w:t>Journal of Governance &amp; Regulation</w:t>
      </w:r>
      <w:r w:rsidRPr="00400247">
        <w:rPr>
          <w:rFonts w:ascii="Times New Roman" w:hAnsi="Times New Roman"/>
          <w:sz w:val="24"/>
          <w:szCs w:val="24"/>
        </w:rPr>
        <w:t xml:space="preserve">, 12(4), 306–314. </w:t>
      </w:r>
      <w:hyperlink r:id="rId8" w:history="1">
        <w:r w:rsidR="0077015B" w:rsidRPr="00400247">
          <w:rPr>
            <w:rStyle w:val="Hyperlink"/>
            <w:rFonts w:ascii="Times New Roman" w:hAnsi="Times New Roman"/>
            <w:sz w:val="24"/>
            <w:szCs w:val="24"/>
          </w:rPr>
          <w:t>https://doi.org/10.22495/jgrv12i4siart10</w:t>
        </w:r>
      </w:hyperlink>
    </w:p>
    <w:p w14:paraId="06D61EE2" w14:textId="3DF01CDB" w:rsidR="001D5DC3" w:rsidRPr="00400247" w:rsidRDefault="0077015B" w:rsidP="001A51A7">
      <w:pPr>
        <w:spacing w:before="100" w:beforeAutospacing="1" w:after="100" w:afterAutospacing="1" w:line="240" w:lineRule="auto"/>
        <w:ind w:left="720" w:hanging="720"/>
        <w:jc w:val="both"/>
        <w:rPr>
          <w:rFonts w:ascii="Times New Roman" w:hAnsi="Times New Roman"/>
          <w:sz w:val="24"/>
          <w:szCs w:val="24"/>
        </w:rPr>
      </w:pPr>
      <w:r w:rsidRPr="00400247">
        <w:rPr>
          <w:rFonts w:ascii="Times New Roman" w:hAnsi="Times New Roman"/>
          <w:sz w:val="24"/>
          <w:szCs w:val="24"/>
          <w:shd w:val="clear" w:color="auto" w:fill="FFFFFF"/>
        </w:rPr>
        <w:t>Sunny, S. A., &amp; Apsara, F. A. (2024). Impact of sustainability reporting on financial performance: Evidence from an emerging economy. </w:t>
      </w:r>
      <w:r w:rsidRPr="00400247">
        <w:rPr>
          <w:rFonts w:ascii="Times New Roman" w:hAnsi="Times New Roman"/>
          <w:i/>
          <w:iCs/>
          <w:sz w:val="24"/>
          <w:szCs w:val="24"/>
          <w:shd w:val="clear" w:color="auto" w:fill="FFFFFF"/>
        </w:rPr>
        <w:t>Journal of Risk Analysis and Crisis Response</w:t>
      </w:r>
      <w:r w:rsidRPr="00400247">
        <w:rPr>
          <w:rFonts w:ascii="Times New Roman" w:hAnsi="Times New Roman"/>
          <w:sz w:val="24"/>
          <w:szCs w:val="24"/>
          <w:shd w:val="clear" w:color="auto" w:fill="FFFFFF"/>
        </w:rPr>
        <w:t>, </w:t>
      </w:r>
      <w:r w:rsidRPr="00400247">
        <w:rPr>
          <w:rFonts w:ascii="Times New Roman" w:hAnsi="Times New Roman"/>
          <w:i/>
          <w:iCs/>
          <w:sz w:val="24"/>
          <w:szCs w:val="24"/>
          <w:shd w:val="clear" w:color="auto" w:fill="FFFFFF"/>
        </w:rPr>
        <w:t>14</w:t>
      </w:r>
      <w:r w:rsidRPr="00400247">
        <w:rPr>
          <w:rFonts w:ascii="Times New Roman" w:hAnsi="Times New Roman"/>
          <w:sz w:val="24"/>
          <w:szCs w:val="24"/>
          <w:shd w:val="clear" w:color="auto" w:fill="FFFFFF"/>
        </w:rPr>
        <w:t xml:space="preserve">(4). </w:t>
      </w:r>
      <w:hyperlink r:id="rId9" w:history="1">
        <w:r w:rsidRPr="00400247">
          <w:rPr>
            <w:rStyle w:val="Hyperlink"/>
            <w:rFonts w:ascii="Times New Roman" w:hAnsi="Times New Roman"/>
            <w:sz w:val="24"/>
            <w:szCs w:val="24"/>
            <w:shd w:val="clear" w:color="auto" w:fill="FFFFFF"/>
          </w:rPr>
          <w:t>https://doi.org/10.54560/jracr.v14i4.559</w:t>
        </w:r>
      </w:hyperlink>
    </w:p>
    <w:p w14:paraId="3FB56A61" w14:textId="4CF00796" w:rsidR="009D62AC" w:rsidRPr="00400247" w:rsidRDefault="009D62AC" w:rsidP="006B2FA3">
      <w:pPr>
        <w:ind w:left="720" w:hanging="720"/>
        <w:jc w:val="both"/>
        <w:rPr>
          <w:rFonts w:ascii="Times New Roman" w:hAnsi="Times New Roman"/>
          <w:sz w:val="24"/>
          <w:szCs w:val="24"/>
        </w:rPr>
      </w:pPr>
      <w:r w:rsidRPr="00400247">
        <w:rPr>
          <w:rFonts w:ascii="Times New Roman" w:hAnsi="Times New Roman"/>
          <w:sz w:val="24"/>
          <w:szCs w:val="24"/>
        </w:rPr>
        <w:t xml:space="preserve">Sheharyar. (2024). Comprehensive ESG Reporting and Disclosure | Insights KSA. Insights KSA. </w:t>
      </w:r>
      <w:hyperlink r:id="rId10" w:history="1">
        <w:r w:rsidR="001D5DC3" w:rsidRPr="00400247">
          <w:rPr>
            <w:rStyle w:val="Hyperlink"/>
            <w:rFonts w:ascii="Times New Roman" w:hAnsi="Times New Roman"/>
            <w:sz w:val="24"/>
            <w:szCs w:val="24"/>
          </w:rPr>
          <w:t>https://insightss.co/services/esg-reporting-and-disclosure/</w:t>
        </w:r>
      </w:hyperlink>
    </w:p>
    <w:p w14:paraId="6205C449" w14:textId="77777777" w:rsidR="003D1910" w:rsidRPr="00400247" w:rsidRDefault="00690C59" w:rsidP="003D1910">
      <w:pPr>
        <w:ind w:left="720" w:hanging="720"/>
        <w:jc w:val="both"/>
        <w:rPr>
          <w:rFonts w:ascii="Times New Roman" w:hAnsi="Times New Roman"/>
          <w:sz w:val="24"/>
          <w:szCs w:val="24"/>
        </w:rPr>
      </w:pPr>
      <w:r w:rsidRPr="00400247">
        <w:rPr>
          <w:rFonts w:ascii="Times New Roman" w:hAnsi="Times New Roman"/>
          <w:sz w:val="24"/>
          <w:szCs w:val="24"/>
        </w:rPr>
        <w:t xml:space="preserve">Solomon, J. (2020). </w:t>
      </w:r>
      <w:r w:rsidRPr="00400247">
        <w:rPr>
          <w:rStyle w:val="Emphasis"/>
          <w:rFonts w:ascii="Times New Roman" w:hAnsi="Times New Roman"/>
          <w:sz w:val="24"/>
          <w:szCs w:val="24"/>
        </w:rPr>
        <w:t>Corporate Governance and Accountability</w:t>
      </w:r>
      <w:r w:rsidRPr="00400247">
        <w:rPr>
          <w:rFonts w:ascii="Times New Roman" w:hAnsi="Times New Roman"/>
          <w:sz w:val="24"/>
          <w:szCs w:val="24"/>
        </w:rPr>
        <w:t xml:space="preserve"> (5th ed.). Wiley.</w:t>
      </w:r>
    </w:p>
    <w:p w14:paraId="6E36C303" w14:textId="3D709DA3" w:rsidR="003D1910" w:rsidRPr="001A51A7" w:rsidRDefault="003D1910" w:rsidP="001A51A7">
      <w:pPr>
        <w:ind w:left="720" w:hanging="720"/>
        <w:jc w:val="both"/>
        <w:rPr>
          <w:rFonts w:ascii="Times New Roman" w:hAnsi="Times New Roman"/>
          <w:sz w:val="24"/>
          <w:szCs w:val="24"/>
        </w:rPr>
      </w:pPr>
      <w:proofErr w:type="spellStart"/>
      <w:r w:rsidRPr="00400247">
        <w:rPr>
          <w:rFonts w:ascii="Times New Roman" w:hAnsi="Times New Roman"/>
          <w:sz w:val="24"/>
          <w:szCs w:val="24"/>
        </w:rPr>
        <w:t>Tomomewo</w:t>
      </w:r>
      <w:proofErr w:type="spellEnd"/>
      <w:r w:rsidRPr="00400247">
        <w:rPr>
          <w:rFonts w:ascii="Times New Roman" w:hAnsi="Times New Roman"/>
          <w:sz w:val="24"/>
          <w:szCs w:val="24"/>
        </w:rPr>
        <w:t xml:space="preserve">, A. O., </w:t>
      </w:r>
      <w:proofErr w:type="spellStart"/>
      <w:r w:rsidRPr="00400247">
        <w:rPr>
          <w:rFonts w:ascii="Times New Roman" w:hAnsi="Times New Roman"/>
          <w:sz w:val="24"/>
          <w:szCs w:val="24"/>
        </w:rPr>
        <w:t>Rojugbokan</w:t>
      </w:r>
      <w:proofErr w:type="spellEnd"/>
      <w:r w:rsidRPr="00400247">
        <w:rPr>
          <w:rFonts w:ascii="Times New Roman" w:hAnsi="Times New Roman"/>
          <w:sz w:val="24"/>
          <w:szCs w:val="24"/>
        </w:rPr>
        <w:t xml:space="preserve">, A. O., Adegbie, F. F. &amp; Ajibade, A. T. (2022). Sustainability reporting and financial performance of deposit money banks listed on </w:t>
      </w:r>
      <w:r w:rsidR="00482891">
        <w:rPr>
          <w:rFonts w:ascii="Times New Roman" w:hAnsi="Times New Roman"/>
          <w:sz w:val="24"/>
          <w:szCs w:val="24"/>
        </w:rPr>
        <w:t xml:space="preserve">the </w:t>
      </w:r>
      <w:r w:rsidRPr="00400247">
        <w:rPr>
          <w:rFonts w:ascii="Times New Roman" w:hAnsi="Times New Roman"/>
          <w:sz w:val="24"/>
          <w:szCs w:val="24"/>
        </w:rPr>
        <w:t xml:space="preserve">Nigerian stock exchange. </w:t>
      </w:r>
      <w:r w:rsidRPr="00400247">
        <w:rPr>
          <w:rFonts w:ascii="Times New Roman" w:hAnsi="Times New Roman"/>
          <w:i/>
          <w:iCs/>
          <w:sz w:val="24"/>
          <w:szCs w:val="24"/>
        </w:rPr>
        <w:t>Academy of Accounting and Financial Studies Journal</w:t>
      </w:r>
      <w:r w:rsidRPr="00400247">
        <w:rPr>
          <w:rFonts w:ascii="Times New Roman" w:hAnsi="Times New Roman"/>
          <w:sz w:val="24"/>
          <w:szCs w:val="24"/>
        </w:rPr>
        <w:t>, 26(4), 1-17.</w:t>
      </w:r>
    </w:p>
    <w:sectPr w:rsidR="003D1910" w:rsidRPr="001A5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E3CFB"/>
    <w:multiLevelType w:val="multilevel"/>
    <w:tmpl w:val="350677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666C1"/>
    <w:multiLevelType w:val="multilevel"/>
    <w:tmpl w:val="B3E4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81CCC"/>
    <w:multiLevelType w:val="multilevel"/>
    <w:tmpl w:val="79AA12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27F09"/>
    <w:multiLevelType w:val="multilevel"/>
    <w:tmpl w:val="B2864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17319"/>
    <w:multiLevelType w:val="multilevel"/>
    <w:tmpl w:val="D050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15F43"/>
    <w:multiLevelType w:val="multilevel"/>
    <w:tmpl w:val="C558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8326E"/>
    <w:multiLevelType w:val="multilevel"/>
    <w:tmpl w:val="E32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C181B"/>
    <w:multiLevelType w:val="multilevel"/>
    <w:tmpl w:val="909AE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E65DD"/>
    <w:multiLevelType w:val="multilevel"/>
    <w:tmpl w:val="5548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A77D3"/>
    <w:multiLevelType w:val="multilevel"/>
    <w:tmpl w:val="63B4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C37DA"/>
    <w:multiLevelType w:val="multilevel"/>
    <w:tmpl w:val="24509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55E75"/>
    <w:multiLevelType w:val="multilevel"/>
    <w:tmpl w:val="06F6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B2096"/>
    <w:multiLevelType w:val="multilevel"/>
    <w:tmpl w:val="A0BE27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A76EE6"/>
    <w:multiLevelType w:val="multilevel"/>
    <w:tmpl w:val="99D04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441E49"/>
    <w:multiLevelType w:val="multilevel"/>
    <w:tmpl w:val="FA62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0041C8"/>
    <w:multiLevelType w:val="multilevel"/>
    <w:tmpl w:val="960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9"/>
  </w:num>
  <w:num w:numId="4">
    <w:abstractNumId w:val="1"/>
  </w:num>
  <w:num w:numId="5">
    <w:abstractNumId w:val="13"/>
  </w:num>
  <w:num w:numId="6">
    <w:abstractNumId w:val="14"/>
  </w:num>
  <w:num w:numId="7">
    <w:abstractNumId w:val="0"/>
  </w:num>
  <w:num w:numId="8">
    <w:abstractNumId w:val="12"/>
  </w:num>
  <w:num w:numId="9">
    <w:abstractNumId w:val="4"/>
  </w:num>
  <w:num w:numId="10">
    <w:abstractNumId w:val="15"/>
  </w:num>
  <w:num w:numId="11">
    <w:abstractNumId w:val="8"/>
  </w:num>
  <w:num w:numId="12">
    <w:abstractNumId w:val="11"/>
  </w:num>
  <w:num w:numId="13">
    <w:abstractNumId w:val="2"/>
  </w:num>
  <w:num w:numId="14">
    <w:abstractNumId w:val="7"/>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FB"/>
    <w:rsid w:val="000005F0"/>
    <w:rsid w:val="00003B0D"/>
    <w:rsid w:val="0001324A"/>
    <w:rsid w:val="0002157D"/>
    <w:rsid w:val="00025C4B"/>
    <w:rsid w:val="00026F03"/>
    <w:rsid w:val="00045F5C"/>
    <w:rsid w:val="00052D4F"/>
    <w:rsid w:val="00056CF0"/>
    <w:rsid w:val="00057F51"/>
    <w:rsid w:val="00060E0B"/>
    <w:rsid w:val="00073204"/>
    <w:rsid w:val="00073733"/>
    <w:rsid w:val="00073B44"/>
    <w:rsid w:val="000869E5"/>
    <w:rsid w:val="000904BB"/>
    <w:rsid w:val="000A6DB4"/>
    <w:rsid w:val="000C09F2"/>
    <w:rsid w:val="000D0D1A"/>
    <w:rsid w:val="000D19E6"/>
    <w:rsid w:val="000E5F1D"/>
    <w:rsid w:val="000F36A7"/>
    <w:rsid w:val="000F7121"/>
    <w:rsid w:val="001102E0"/>
    <w:rsid w:val="00115BC5"/>
    <w:rsid w:val="0011752E"/>
    <w:rsid w:val="00124C95"/>
    <w:rsid w:val="001367E6"/>
    <w:rsid w:val="001408A3"/>
    <w:rsid w:val="00162A42"/>
    <w:rsid w:val="00162A5F"/>
    <w:rsid w:val="00162EFB"/>
    <w:rsid w:val="001735B4"/>
    <w:rsid w:val="00183841"/>
    <w:rsid w:val="00196FB9"/>
    <w:rsid w:val="001A0454"/>
    <w:rsid w:val="001A12E2"/>
    <w:rsid w:val="001A51A7"/>
    <w:rsid w:val="001B1DFD"/>
    <w:rsid w:val="001D15AB"/>
    <w:rsid w:val="001D294F"/>
    <w:rsid w:val="001D5DC3"/>
    <w:rsid w:val="001D668C"/>
    <w:rsid w:val="00206D26"/>
    <w:rsid w:val="002109F5"/>
    <w:rsid w:val="00216007"/>
    <w:rsid w:val="00217F72"/>
    <w:rsid w:val="002223F5"/>
    <w:rsid w:val="0023046C"/>
    <w:rsid w:val="00241AFB"/>
    <w:rsid w:val="00253029"/>
    <w:rsid w:val="00256900"/>
    <w:rsid w:val="00281EA8"/>
    <w:rsid w:val="002832F7"/>
    <w:rsid w:val="002B6028"/>
    <w:rsid w:val="002B7684"/>
    <w:rsid w:val="002C3C4C"/>
    <w:rsid w:val="002C6960"/>
    <w:rsid w:val="002D7943"/>
    <w:rsid w:val="002E370C"/>
    <w:rsid w:val="002E77E6"/>
    <w:rsid w:val="002F23ED"/>
    <w:rsid w:val="002F3C43"/>
    <w:rsid w:val="003034A6"/>
    <w:rsid w:val="00303CF9"/>
    <w:rsid w:val="00317DF5"/>
    <w:rsid w:val="00320AF9"/>
    <w:rsid w:val="00324934"/>
    <w:rsid w:val="003375AD"/>
    <w:rsid w:val="00347A1F"/>
    <w:rsid w:val="00352440"/>
    <w:rsid w:val="00353CEB"/>
    <w:rsid w:val="00354371"/>
    <w:rsid w:val="00356480"/>
    <w:rsid w:val="00356930"/>
    <w:rsid w:val="003663D9"/>
    <w:rsid w:val="00367879"/>
    <w:rsid w:val="00382040"/>
    <w:rsid w:val="00387974"/>
    <w:rsid w:val="00394138"/>
    <w:rsid w:val="003B0D0C"/>
    <w:rsid w:val="003B2384"/>
    <w:rsid w:val="003D1910"/>
    <w:rsid w:val="003E3F6D"/>
    <w:rsid w:val="003F079D"/>
    <w:rsid w:val="00400247"/>
    <w:rsid w:val="00402769"/>
    <w:rsid w:val="00422900"/>
    <w:rsid w:val="00430DFF"/>
    <w:rsid w:val="00432C69"/>
    <w:rsid w:val="00436375"/>
    <w:rsid w:val="00445699"/>
    <w:rsid w:val="0044578A"/>
    <w:rsid w:val="00457483"/>
    <w:rsid w:val="00473321"/>
    <w:rsid w:val="004779B7"/>
    <w:rsid w:val="00482891"/>
    <w:rsid w:val="004915B3"/>
    <w:rsid w:val="004933DF"/>
    <w:rsid w:val="004B0CCA"/>
    <w:rsid w:val="004C21F2"/>
    <w:rsid w:val="004C379B"/>
    <w:rsid w:val="004C6325"/>
    <w:rsid w:val="004C7965"/>
    <w:rsid w:val="004D0983"/>
    <w:rsid w:val="004D71C6"/>
    <w:rsid w:val="004E12E2"/>
    <w:rsid w:val="004F1A98"/>
    <w:rsid w:val="004F3718"/>
    <w:rsid w:val="005043C7"/>
    <w:rsid w:val="00510A8A"/>
    <w:rsid w:val="00516BB3"/>
    <w:rsid w:val="005208B9"/>
    <w:rsid w:val="00527CFC"/>
    <w:rsid w:val="00531052"/>
    <w:rsid w:val="00532844"/>
    <w:rsid w:val="005569C7"/>
    <w:rsid w:val="005736CD"/>
    <w:rsid w:val="00576883"/>
    <w:rsid w:val="00583A9E"/>
    <w:rsid w:val="005A164B"/>
    <w:rsid w:val="005A20A6"/>
    <w:rsid w:val="005A6038"/>
    <w:rsid w:val="005C5074"/>
    <w:rsid w:val="005E4A42"/>
    <w:rsid w:val="005E5F27"/>
    <w:rsid w:val="005E79D4"/>
    <w:rsid w:val="005F78C0"/>
    <w:rsid w:val="00600782"/>
    <w:rsid w:val="00614386"/>
    <w:rsid w:val="00616D3D"/>
    <w:rsid w:val="0061737D"/>
    <w:rsid w:val="006260B2"/>
    <w:rsid w:val="0062640D"/>
    <w:rsid w:val="00646B53"/>
    <w:rsid w:val="00651EF1"/>
    <w:rsid w:val="00652103"/>
    <w:rsid w:val="006534D1"/>
    <w:rsid w:val="006569F0"/>
    <w:rsid w:val="00677B08"/>
    <w:rsid w:val="0068071A"/>
    <w:rsid w:val="006815CA"/>
    <w:rsid w:val="0068312B"/>
    <w:rsid w:val="006850E3"/>
    <w:rsid w:val="00690C59"/>
    <w:rsid w:val="006A5363"/>
    <w:rsid w:val="006B2FA3"/>
    <w:rsid w:val="006C7743"/>
    <w:rsid w:val="006D15C0"/>
    <w:rsid w:val="006D79A6"/>
    <w:rsid w:val="006D7EDB"/>
    <w:rsid w:val="00701B07"/>
    <w:rsid w:val="00713BB7"/>
    <w:rsid w:val="0071536A"/>
    <w:rsid w:val="0072167D"/>
    <w:rsid w:val="00723533"/>
    <w:rsid w:val="00724B8C"/>
    <w:rsid w:val="00734275"/>
    <w:rsid w:val="007454C3"/>
    <w:rsid w:val="00753789"/>
    <w:rsid w:val="00762B52"/>
    <w:rsid w:val="007650D3"/>
    <w:rsid w:val="0077015B"/>
    <w:rsid w:val="007821E1"/>
    <w:rsid w:val="00785D57"/>
    <w:rsid w:val="0079152D"/>
    <w:rsid w:val="007A773B"/>
    <w:rsid w:val="007B3186"/>
    <w:rsid w:val="007C2B5E"/>
    <w:rsid w:val="007F66EA"/>
    <w:rsid w:val="008050C1"/>
    <w:rsid w:val="00820FF0"/>
    <w:rsid w:val="008276CB"/>
    <w:rsid w:val="008317F7"/>
    <w:rsid w:val="00837922"/>
    <w:rsid w:val="00840FF4"/>
    <w:rsid w:val="00855CB8"/>
    <w:rsid w:val="008769EF"/>
    <w:rsid w:val="008B1506"/>
    <w:rsid w:val="008B2D5D"/>
    <w:rsid w:val="008C3295"/>
    <w:rsid w:val="008D0069"/>
    <w:rsid w:val="008D2B05"/>
    <w:rsid w:val="008E2F46"/>
    <w:rsid w:val="00910698"/>
    <w:rsid w:val="009110F6"/>
    <w:rsid w:val="00920FCF"/>
    <w:rsid w:val="009273FE"/>
    <w:rsid w:val="00932170"/>
    <w:rsid w:val="0094069B"/>
    <w:rsid w:val="009511FF"/>
    <w:rsid w:val="009618F9"/>
    <w:rsid w:val="00962ED4"/>
    <w:rsid w:val="0096368F"/>
    <w:rsid w:val="0097767C"/>
    <w:rsid w:val="00991080"/>
    <w:rsid w:val="009A4777"/>
    <w:rsid w:val="009D62AC"/>
    <w:rsid w:val="009F33C6"/>
    <w:rsid w:val="009F3417"/>
    <w:rsid w:val="00A0045A"/>
    <w:rsid w:val="00A024AB"/>
    <w:rsid w:val="00A247FC"/>
    <w:rsid w:val="00A50BE9"/>
    <w:rsid w:val="00A735AD"/>
    <w:rsid w:val="00A7384C"/>
    <w:rsid w:val="00A74262"/>
    <w:rsid w:val="00A872D5"/>
    <w:rsid w:val="00A924DD"/>
    <w:rsid w:val="00AA152F"/>
    <w:rsid w:val="00AA1783"/>
    <w:rsid w:val="00AA7523"/>
    <w:rsid w:val="00AD2809"/>
    <w:rsid w:val="00AD2A0B"/>
    <w:rsid w:val="00AE0AF6"/>
    <w:rsid w:val="00AE3C99"/>
    <w:rsid w:val="00AE7602"/>
    <w:rsid w:val="00B103C7"/>
    <w:rsid w:val="00B134A4"/>
    <w:rsid w:val="00B1460F"/>
    <w:rsid w:val="00B2108F"/>
    <w:rsid w:val="00B21562"/>
    <w:rsid w:val="00B238CD"/>
    <w:rsid w:val="00B23D50"/>
    <w:rsid w:val="00B26DC8"/>
    <w:rsid w:val="00B41426"/>
    <w:rsid w:val="00B418B6"/>
    <w:rsid w:val="00B424FD"/>
    <w:rsid w:val="00B51C19"/>
    <w:rsid w:val="00B65956"/>
    <w:rsid w:val="00B77FA7"/>
    <w:rsid w:val="00BA28E8"/>
    <w:rsid w:val="00BA6D45"/>
    <w:rsid w:val="00BC110B"/>
    <w:rsid w:val="00BE39DA"/>
    <w:rsid w:val="00BE415E"/>
    <w:rsid w:val="00BE71AF"/>
    <w:rsid w:val="00BF16AF"/>
    <w:rsid w:val="00C24592"/>
    <w:rsid w:val="00C24A45"/>
    <w:rsid w:val="00C518E5"/>
    <w:rsid w:val="00C549D8"/>
    <w:rsid w:val="00C5550B"/>
    <w:rsid w:val="00C5680E"/>
    <w:rsid w:val="00C61EBA"/>
    <w:rsid w:val="00C63E13"/>
    <w:rsid w:val="00C64A15"/>
    <w:rsid w:val="00C64DC0"/>
    <w:rsid w:val="00C83AA1"/>
    <w:rsid w:val="00C85B6B"/>
    <w:rsid w:val="00C90986"/>
    <w:rsid w:val="00CA6946"/>
    <w:rsid w:val="00CB523A"/>
    <w:rsid w:val="00CC2509"/>
    <w:rsid w:val="00CD2022"/>
    <w:rsid w:val="00CD2917"/>
    <w:rsid w:val="00CE4095"/>
    <w:rsid w:val="00CF3A90"/>
    <w:rsid w:val="00D0121D"/>
    <w:rsid w:val="00D033A3"/>
    <w:rsid w:val="00D1535C"/>
    <w:rsid w:val="00D23DAF"/>
    <w:rsid w:val="00D3297C"/>
    <w:rsid w:val="00D5664D"/>
    <w:rsid w:val="00D60B69"/>
    <w:rsid w:val="00D6153F"/>
    <w:rsid w:val="00D64EE4"/>
    <w:rsid w:val="00D73509"/>
    <w:rsid w:val="00D74A1C"/>
    <w:rsid w:val="00D821AF"/>
    <w:rsid w:val="00D8754B"/>
    <w:rsid w:val="00DA193B"/>
    <w:rsid w:val="00DB392D"/>
    <w:rsid w:val="00DC65F0"/>
    <w:rsid w:val="00DE7B3A"/>
    <w:rsid w:val="00E12B6A"/>
    <w:rsid w:val="00E13272"/>
    <w:rsid w:val="00E136DF"/>
    <w:rsid w:val="00E174EB"/>
    <w:rsid w:val="00E21EB6"/>
    <w:rsid w:val="00E32BD9"/>
    <w:rsid w:val="00E55023"/>
    <w:rsid w:val="00E65B94"/>
    <w:rsid w:val="00E65C86"/>
    <w:rsid w:val="00E6646D"/>
    <w:rsid w:val="00E67CCC"/>
    <w:rsid w:val="00E7175A"/>
    <w:rsid w:val="00E8017F"/>
    <w:rsid w:val="00E80AFB"/>
    <w:rsid w:val="00E906B2"/>
    <w:rsid w:val="00E90BBE"/>
    <w:rsid w:val="00EC2DF2"/>
    <w:rsid w:val="00EC7668"/>
    <w:rsid w:val="00EC7A47"/>
    <w:rsid w:val="00ED1C44"/>
    <w:rsid w:val="00ED3A0D"/>
    <w:rsid w:val="00EE12E9"/>
    <w:rsid w:val="00EE31CC"/>
    <w:rsid w:val="00EE4429"/>
    <w:rsid w:val="00EF407C"/>
    <w:rsid w:val="00F03226"/>
    <w:rsid w:val="00F30FBD"/>
    <w:rsid w:val="00F31FE9"/>
    <w:rsid w:val="00F37CE3"/>
    <w:rsid w:val="00F51F8C"/>
    <w:rsid w:val="00F55AA8"/>
    <w:rsid w:val="00F561EB"/>
    <w:rsid w:val="00F60F16"/>
    <w:rsid w:val="00F6730D"/>
    <w:rsid w:val="00F8633C"/>
    <w:rsid w:val="00FA21C0"/>
    <w:rsid w:val="00FA5C46"/>
    <w:rsid w:val="00FD46C4"/>
    <w:rsid w:val="00FD5C50"/>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304A"/>
  <w15:chartTrackingRefBased/>
  <w15:docId w15:val="{AC68F992-166F-4D17-B869-D511C3C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F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80AF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80AF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80AF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0AFB"/>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0AFB"/>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0AF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0AF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0AF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0AF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0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80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AFB"/>
    <w:rPr>
      <w:rFonts w:eastAsiaTheme="majorEastAsia" w:cstheme="majorBidi"/>
      <w:color w:val="272727" w:themeColor="text1" w:themeTint="D8"/>
    </w:rPr>
  </w:style>
  <w:style w:type="paragraph" w:styleId="Title">
    <w:name w:val="Title"/>
    <w:basedOn w:val="Normal"/>
    <w:next w:val="Normal"/>
    <w:link w:val="TitleChar"/>
    <w:uiPriority w:val="10"/>
    <w:qFormat/>
    <w:rsid w:val="00E80A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0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A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0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AF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80AFB"/>
    <w:rPr>
      <w:i/>
      <w:iCs/>
      <w:color w:val="404040" w:themeColor="text1" w:themeTint="BF"/>
    </w:rPr>
  </w:style>
  <w:style w:type="paragraph" w:styleId="ListParagraph">
    <w:name w:val="List Paragraph"/>
    <w:basedOn w:val="Normal"/>
    <w:uiPriority w:val="34"/>
    <w:qFormat/>
    <w:rsid w:val="00E80AF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80AFB"/>
    <w:rPr>
      <w:i/>
      <w:iCs/>
      <w:color w:val="2F5496" w:themeColor="accent1" w:themeShade="BF"/>
    </w:rPr>
  </w:style>
  <w:style w:type="paragraph" w:styleId="IntenseQuote">
    <w:name w:val="Intense Quote"/>
    <w:basedOn w:val="Normal"/>
    <w:next w:val="Normal"/>
    <w:link w:val="IntenseQuoteChar"/>
    <w:uiPriority w:val="30"/>
    <w:qFormat/>
    <w:rsid w:val="00E80AF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80AFB"/>
    <w:rPr>
      <w:i/>
      <w:iCs/>
      <w:color w:val="2F5496" w:themeColor="accent1" w:themeShade="BF"/>
    </w:rPr>
  </w:style>
  <w:style w:type="character" w:styleId="IntenseReference">
    <w:name w:val="Intense Reference"/>
    <w:basedOn w:val="DefaultParagraphFont"/>
    <w:uiPriority w:val="32"/>
    <w:qFormat/>
    <w:rsid w:val="00E80AFB"/>
    <w:rPr>
      <w:b/>
      <w:bCs/>
      <w:smallCaps/>
      <w:color w:val="2F5496" w:themeColor="accent1" w:themeShade="BF"/>
      <w:spacing w:val="5"/>
    </w:rPr>
  </w:style>
  <w:style w:type="paragraph" w:styleId="NoSpacing">
    <w:name w:val="No Spacing"/>
    <w:uiPriority w:val="1"/>
    <w:qFormat/>
    <w:rsid w:val="00E80AFB"/>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A7426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D62AC"/>
    <w:rPr>
      <w:color w:val="0563C1" w:themeColor="hyperlink"/>
      <w:u w:val="single"/>
    </w:rPr>
  </w:style>
  <w:style w:type="character" w:customStyle="1" w:styleId="UnresolvedMention1">
    <w:name w:val="Unresolved Mention1"/>
    <w:basedOn w:val="DefaultParagraphFont"/>
    <w:uiPriority w:val="99"/>
    <w:semiHidden/>
    <w:unhideWhenUsed/>
    <w:rsid w:val="009D62AC"/>
    <w:rPr>
      <w:color w:val="605E5C"/>
      <w:shd w:val="clear" w:color="auto" w:fill="E1DFDD"/>
    </w:rPr>
  </w:style>
  <w:style w:type="character" w:styleId="Emphasis">
    <w:name w:val="Emphasis"/>
    <w:basedOn w:val="DefaultParagraphFont"/>
    <w:uiPriority w:val="20"/>
    <w:qFormat/>
    <w:rsid w:val="0062640D"/>
    <w:rPr>
      <w:i/>
      <w:iCs/>
    </w:rPr>
  </w:style>
  <w:style w:type="character" w:styleId="Strong">
    <w:name w:val="Strong"/>
    <w:basedOn w:val="DefaultParagraphFont"/>
    <w:uiPriority w:val="22"/>
    <w:qFormat/>
    <w:rsid w:val="0062640D"/>
    <w:rPr>
      <w:b/>
      <w:bCs/>
    </w:rPr>
  </w:style>
  <w:style w:type="character" w:customStyle="1" w:styleId="katex">
    <w:name w:val="katex"/>
    <w:basedOn w:val="DefaultParagraphFont"/>
    <w:rsid w:val="00A7384C"/>
  </w:style>
  <w:style w:type="paragraph" w:styleId="BodyText">
    <w:name w:val="Body Text"/>
    <w:basedOn w:val="Normal"/>
    <w:link w:val="BodyTextChar"/>
    <w:uiPriority w:val="1"/>
    <w:qFormat/>
    <w:rsid w:val="005C5074"/>
    <w:pPr>
      <w:widowControl w:val="0"/>
      <w:autoSpaceDE w:val="0"/>
      <w:autoSpaceDN w:val="0"/>
      <w:spacing w:after="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uiPriority w:val="1"/>
    <w:rsid w:val="005C5074"/>
    <w:rPr>
      <w:rFonts w:ascii="Times New Roman" w:eastAsia="Times New Roman" w:hAnsi="Times New Roman" w:cs="Times New Roman"/>
      <w:kern w:val="0"/>
      <w:sz w:val="24"/>
      <w:szCs w:val="24"/>
      <w:lang w:val="x-none" w:eastAsia="x-none"/>
      <w14:ligatures w14:val="none"/>
    </w:rPr>
  </w:style>
  <w:style w:type="character" w:customStyle="1" w:styleId="UnresolvedMention">
    <w:name w:val="Unresolved Mention"/>
    <w:basedOn w:val="DefaultParagraphFont"/>
    <w:uiPriority w:val="99"/>
    <w:semiHidden/>
    <w:unhideWhenUsed/>
    <w:rsid w:val="00DE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4851">
      <w:bodyDiv w:val="1"/>
      <w:marLeft w:val="0"/>
      <w:marRight w:val="0"/>
      <w:marTop w:val="0"/>
      <w:marBottom w:val="0"/>
      <w:divBdr>
        <w:top w:val="none" w:sz="0" w:space="0" w:color="auto"/>
        <w:left w:val="none" w:sz="0" w:space="0" w:color="auto"/>
        <w:bottom w:val="none" w:sz="0" w:space="0" w:color="auto"/>
        <w:right w:val="none" w:sz="0" w:space="0" w:color="auto"/>
      </w:divBdr>
    </w:div>
    <w:div w:id="86387575">
      <w:bodyDiv w:val="1"/>
      <w:marLeft w:val="0"/>
      <w:marRight w:val="0"/>
      <w:marTop w:val="0"/>
      <w:marBottom w:val="0"/>
      <w:divBdr>
        <w:top w:val="none" w:sz="0" w:space="0" w:color="auto"/>
        <w:left w:val="none" w:sz="0" w:space="0" w:color="auto"/>
        <w:bottom w:val="none" w:sz="0" w:space="0" w:color="auto"/>
        <w:right w:val="none" w:sz="0" w:space="0" w:color="auto"/>
      </w:divBdr>
    </w:div>
    <w:div w:id="104740826">
      <w:bodyDiv w:val="1"/>
      <w:marLeft w:val="0"/>
      <w:marRight w:val="0"/>
      <w:marTop w:val="0"/>
      <w:marBottom w:val="0"/>
      <w:divBdr>
        <w:top w:val="none" w:sz="0" w:space="0" w:color="auto"/>
        <w:left w:val="none" w:sz="0" w:space="0" w:color="auto"/>
        <w:bottom w:val="none" w:sz="0" w:space="0" w:color="auto"/>
        <w:right w:val="none" w:sz="0" w:space="0" w:color="auto"/>
      </w:divBdr>
    </w:div>
    <w:div w:id="106312924">
      <w:bodyDiv w:val="1"/>
      <w:marLeft w:val="0"/>
      <w:marRight w:val="0"/>
      <w:marTop w:val="0"/>
      <w:marBottom w:val="0"/>
      <w:divBdr>
        <w:top w:val="none" w:sz="0" w:space="0" w:color="auto"/>
        <w:left w:val="none" w:sz="0" w:space="0" w:color="auto"/>
        <w:bottom w:val="none" w:sz="0" w:space="0" w:color="auto"/>
        <w:right w:val="none" w:sz="0" w:space="0" w:color="auto"/>
      </w:divBdr>
    </w:div>
    <w:div w:id="212739500">
      <w:bodyDiv w:val="1"/>
      <w:marLeft w:val="0"/>
      <w:marRight w:val="0"/>
      <w:marTop w:val="0"/>
      <w:marBottom w:val="0"/>
      <w:divBdr>
        <w:top w:val="none" w:sz="0" w:space="0" w:color="auto"/>
        <w:left w:val="none" w:sz="0" w:space="0" w:color="auto"/>
        <w:bottom w:val="none" w:sz="0" w:space="0" w:color="auto"/>
        <w:right w:val="none" w:sz="0" w:space="0" w:color="auto"/>
      </w:divBdr>
    </w:div>
    <w:div w:id="236676734">
      <w:bodyDiv w:val="1"/>
      <w:marLeft w:val="0"/>
      <w:marRight w:val="0"/>
      <w:marTop w:val="0"/>
      <w:marBottom w:val="0"/>
      <w:divBdr>
        <w:top w:val="none" w:sz="0" w:space="0" w:color="auto"/>
        <w:left w:val="none" w:sz="0" w:space="0" w:color="auto"/>
        <w:bottom w:val="none" w:sz="0" w:space="0" w:color="auto"/>
        <w:right w:val="none" w:sz="0" w:space="0" w:color="auto"/>
      </w:divBdr>
    </w:div>
    <w:div w:id="318851899">
      <w:bodyDiv w:val="1"/>
      <w:marLeft w:val="0"/>
      <w:marRight w:val="0"/>
      <w:marTop w:val="0"/>
      <w:marBottom w:val="0"/>
      <w:divBdr>
        <w:top w:val="none" w:sz="0" w:space="0" w:color="auto"/>
        <w:left w:val="none" w:sz="0" w:space="0" w:color="auto"/>
        <w:bottom w:val="none" w:sz="0" w:space="0" w:color="auto"/>
        <w:right w:val="none" w:sz="0" w:space="0" w:color="auto"/>
      </w:divBdr>
    </w:div>
    <w:div w:id="409813664">
      <w:bodyDiv w:val="1"/>
      <w:marLeft w:val="0"/>
      <w:marRight w:val="0"/>
      <w:marTop w:val="0"/>
      <w:marBottom w:val="0"/>
      <w:divBdr>
        <w:top w:val="none" w:sz="0" w:space="0" w:color="auto"/>
        <w:left w:val="none" w:sz="0" w:space="0" w:color="auto"/>
        <w:bottom w:val="none" w:sz="0" w:space="0" w:color="auto"/>
        <w:right w:val="none" w:sz="0" w:space="0" w:color="auto"/>
      </w:divBdr>
    </w:div>
    <w:div w:id="411045477">
      <w:bodyDiv w:val="1"/>
      <w:marLeft w:val="0"/>
      <w:marRight w:val="0"/>
      <w:marTop w:val="0"/>
      <w:marBottom w:val="0"/>
      <w:divBdr>
        <w:top w:val="none" w:sz="0" w:space="0" w:color="auto"/>
        <w:left w:val="none" w:sz="0" w:space="0" w:color="auto"/>
        <w:bottom w:val="none" w:sz="0" w:space="0" w:color="auto"/>
        <w:right w:val="none" w:sz="0" w:space="0" w:color="auto"/>
      </w:divBdr>
    </w:div>
    <w:div w:id="520895618">
      <w:bodyDiv w:val="1"/>
      <w:marLeft w:val="0"/>
      <w:marRight w:val="0"/>
      <w:marTop w:val="0"/>
      <w:marBottom w:val="0"/>
      <w:divBdr>
        <w:top w:val="none" w:sz="0" w:space="0" w:color="auto"/>
        <w:left w:val="none" w:sz="0" w:space="0" w:color="auto"/>
        <w:bottom w:val="none" w:sz="0" w:space="0" w:color="auto"/>
        <w:right w:val="none" w:sz="0" w:space="0" w:color="auto"/>
      </w:divBdr>
    </w:div>
    <w:div w:id="525216398">
      <w:bodyDiv w:val="1"/>
      <w:marLeft w:val="0"/>
      <w:marRight w:val="0"/>
      <w:marTop w:val="0"/>
      <w:marBottom w:val="0"/>
      <w:divBdr>
        <w:top w:val="none" w:sz="0" w:space="0" w:color="auto"/>
        <w:left w:val="none" w:sz="0" w:space="0" w:color="auto"/>
        <w:bottom w:val="none" w:sz="0" w:space="0" w:color="auto"/>
        <w:right w:val="none" w:sz="0" w:space="0" w:color="auto"/>
      </w:divBdr>
    </w:div>
    <w:div w:id="535049887">
      <w:bodyDiv w:val="1"/>
      <w:marLeft w:val="0"/>
      <w:marRight w:val="0"/>
      <w:marTop w:val="0"/>
      <w:marBottom w:val="0"/>
      <w:divBdr>
        <w:top w:val="none" w:sz="0" w:space="0" w:color="auto"/>
        <w:left w:val="none" w:sz="0" w:space="0" w:color="auto"/>
        <w:bottom w:val="none" w:sz="0" w:space="0" w:color="auto"/>
        <w:right w:val="none" w:sz="0" w:space="0" w:color="auto"/>
      </w:divBdr>
    </w:div>
    <w:div w:id="541291622">
      <w:bodyDiv w:val="1"/>
      <w:marLeft w:val="0"/>
      <w:marRight w:val="0"/>
      <w:marTop w:val="0"/>
      <w:marBottom w:val="0"/>
      <w:divBdr>
        <w:top w:val="none" w:sz="0" w:space="0" w:color="auto"/>
        <w:left w:val="none" w:sz="0" w:space="0" w:color="auto"/>
        <w:bottom w:val="none" w:sz="0" w:space="0" w:color="auto"/>
        <w:right w:val="none" w:sz="0" w:space="0" w:color="auto"/>
      </w:divBdr>
    </w:div>
    <w:div w:id="546530282">
      <w:bodyDiv w:val="1"/>
      <w:marLeft w:val="0"/>
      <w:marRight w:val="0"/>
      <w:marTop w:val="0"/>
      <w:marBottom w:val="0"/>
      <w:divBdr>
        <w:top w:val="none" w:sz="0" w:space="0" w:color="auto"/>
        <w:left w:val="none" w:sz="0" w:space="0" w:color="auto"/>
        <w:bottom w:val="none" w:sz="0" w:space="0" w:color="auto"/>
        <w:right w:val="none" w:sz="0" w:space="0" w:color="auto"/>
      </w:divBdr>
    </w:div>
    <w:div w:id="559368426">
      <w:bodyDiv w:val="1"/>
      <w:marLeft w:val="0"/>
      <w:marRight w:val="0"/>
      <w:marTop w:val="0"/>
      <w:marBottom w:val="0"/>
      <w:divBdr>
        <w:top w:val="none" w:sz="0" w:space="0" w:color="auto"/>
        <w:left w:val="none" w:sz="0" w:space="0" w:color="auto"/>
        <w:bottom w:val="none" w:sz="0" w:space="0" w:color="auto"/>
        <w:right w:val="none" w:sz="0" w:space="0" w:color="auto"/>
      </w:divBdr>
    </w:div>
    <w:div w:id="621962928">
      <w:bodyDiv w:val="1"/>
      <w:marLeft w:val="0"/>
      <w:marRight w:val="0"/>
      <w:marTop w:val="0"/>
      <w:marBottom w:val="0"/>
      <w:divBdr>
        <w:top w:val="none" w:sz="0" w:space="0" w:color="auto"/>
        <w:left w:val="none" w:sz="0" w:space="0" w:color="auto"/>
        <w:bottom w:val="none" w:sz="0" w:space="0" w:color="auto"/>
        <w:right w:val="none" w:sz="0" w:space="0" w:color="auto"/>
      </w:divBdr>
    </w:div>
    <w:div w:id="677659528">
      <w:bodyDiv w:val="1"/>
      <w:marLeft w:val="0"/>
      <w:marRight w:val="0"/>
      <w:marTop w:val="0"/>
      <w:marBottom w:val="0"/>
      <w:divBdr>
        <w:top w:val="none" w:sz="0" w:space="0" w:color="auto"/>
        <w:left w:val="none" w:sz="0" w:space="0" w:color="auto"/>
        <w:bottom w:val="none" w:sz="0" w:space="0" w:color="auto"/>
        <w:right w:val="none" w:sz="0" w:space="0" w:color="auto"/>
      </w:divBdr>
    </w:div>
    <w:div w:id="704524763">
      <w:bodyDiv w:val="1"/>
      <w:marLeft w:val="0"/>
      <w:marRight w:val="0"/>
      <w:marTop w:val="0"/>
      <w:marBottom w:val="0"/>
      <w:divBdr>
        <w:top w:val="none" w:sz="0" w:space="0" w:color="auto"/>
        <w:left w:val="none" w:sz="0" w:space="0" w:color="auto"/>
        <w:bottom w:val="none" w:sz="0" w:space="0" w:color="auto"/>
        <w:right w:val="none" w:sz="0" w:space="0" w:color="auto"/>
      </w:divBdr>
    </w:div>
    <w:div w:id="709231482">
      <w:bodyDiv w:val="1"/>
      <w:marLeft w:val="0"/>
      <w:marRight w:val="0"/>
      <w:marTop w:val="0"/>
      <w:marBottom w:val="0"/>
      <w:divBdr>
        <w:top w:val="none" w:sz="0" w:space="0" w:color="auto"/>
        <w:left w:val="none" w:sz="0" w:space="0" w:color="auto"/>
        <w:bottom w:val="none" w:sz="0" w:space="0" w:color="auto"/>
        <w:right w:val="none" w:sz="0" w:space="0" w:color="auto"/>
      </w:divBdr>
    </w:div>
    <w:div w:id="731973199">
      <w:bodyDiv w:val="1"/>
      <w:marLeft w:val="0"/>
      <w:marRight w:val="0"/>
      <w:marTop w:val="0"/>
      <w:marBottom w:val="0"/>
      <w:divBdr>
        <w:top w:val="none" w:sz="0" w:space="0" w:color="auto"/>
        <w:left w:val="none" w:sz="0" w:space="0" w:color="auto"/>
        <w:bottom w:val="none" w:sz="0" w:space="0" w:color="auto"/>
        <w:right w:val="none" w:sz="0" w:space="0" w:color="auto"/>
      </w:divBdr>
    </w:div>
    <w:div w:id="760226947">
      <w:bodyDiv w:val="1"/>
      <w:marLeft w:val="0"/>
      <w:marRight w:val="0"/>
      <w:marTop w:val="0"/>
      <w:marBottom w:val="0"/>
      <w:divBdr>
        <w:top w:val="none" w:sz="0" w:space="0" w:color="auto"/>
        <w:left w:val="none" w:sz="0" w:space="0" w:color="auto"/>
        <w:bottom w:val="none" w:sz="0" w:space="0" w:color="auto"/>
        <w:right w:val="none" w:sz="0" w:space="0" w:color="auto"/>
      </w:divBdr>
    </w:div>
    <w:div w:id="770315141">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60165522">
      <w:bodyDiv w:val="1"/>
      <w:marLeft w:val="0"/>
      <w:marRight w:val="0"/>
      <w:marTop w:val="0"/>
      <w:marBottom w:val="0"/>
      <w:divBdr>
        <w:top w:val="none" w:sz="0" w:space="0" w:color="auto"/>
        <w:left w:val="none" w:sz="0" w:space="0" w:color="auto"/>
        <w:bottom w:val="none" w:sz="0" w:space="0" w:color="auto"/>
        <w:right w:val="none" w:sz="0" w:space="0" w:color="auto"/>
      </w:divBdr>
    </w:div>
    <w:div w:id="917859260">
      <w:bodyDiv w:val="1"/>
      <w:marLeft w:val="0"/>
      <w:marRight w:val="0"/>
      <w:marTop w:val="0"/>
      <w:marBottom w:val="0"/>
      <w:divBdr>
        <w:top w:val="none" w:sz="0" w:space="0" w:color="auto"/>
        <w:left w:val="none" w:sz="0" w:space="0" w:color="auto"/>
        <w:bottom w:val="none" w:sz="0" w:space="0" w:color="auto"/>
        <w:right w:val="none" w:sz="0" w:space="0" w:color="auto"/>
      </w:divBdr>
    </w:div>
    <w:div w:id="932930883">
      <w:bodyDiv w:val="1"/>
      <w:marLeft w:val="0"/>
      <w:marRight w:val="0"/>
      <w:marTop w:val="0"/>
      <w:marBottom w:val="0"/>
      <w:divBdr>
        <w:top w:val="none" w:sz="0" w:space="0" w:color="auto"/>
        <w:left w:val="none" w:sz="0" w:space="0" w:color="auto"/>
        <w:bottom w:val="none" w:sz="0" w:space="0" w:color="auto"/>
        <w:right w:val="none" w:sz="0" w:space="0" w:color="auto"/>
      </w:divBdr>
    </w:div>
    <w:div w:id="947154083">
      <w:bodyDiv w:val="1"/>
      <w:marLeft w:val="0"/>
      <w:marRight w:val="0"/>
      <w:marTop w:val="0"/>
      <w:marBottom w:val="0"/>
      <w:divBdr>
        <w:top w:val="none" w:sz="0" w:space="0" w:color="auto"/>
        <w:left w:val="none" w:sz="0" w:space="0" w:color="auto"/>
        <w:bottom w:val="none" w:sz="0" w:space="0" w:color="auto"/>
        <w:right w:val="none" w:sz="0" w:space="0" w:color="auto"/>
      </w:divBdr>
    </w:div>
    <w:div w:id="1072850370">
      <w:bodyDiv w:val="1"/>
      <w:marLeft w:val="0"/>
      <w:marRight w:val="0"/>
      <w:marTop w:val="0"/>
      <w:marBottom w:val="0"/>
      <w:divBdr>
        <w:top w:val="none" w:sz="0" w:space="0" w:color="auto"/>
        <w:left w:val="none" w:sz="0" w:space="0" w:color="auto"/>
        <w:bottom w:val="none" w:sz="0" w:space="0" w:color="auto"/>
        <w:right w:val="none" w:sz="0" w:space="0" w:color="auto"/>
      </w:divBdr>
    </w:div>
    <w:div w:id="1121651595">
      <w:bodyDiv w:val="1"/>
      <w:marLeft w:val="0"/>
      <w:marRight w:val="0"/>
      <w:marTop w:val="0"/>
      <w:marBottom w:val="0"/>
      <w:divBdr>
        <w:top w:val="none" w:sz="0" w:space="0" w:color="auto"/>
        <w:left w:val="none" w:sz="0" w:space="0" w:color="auto"/>
        <w:bottom w:val="none" w:sz="0" w:space="0" w:color="auto"/>
        <w:right w:val="none" w:sz="0" w:space="0" w:color="auto"/>
      </w:divBdr>
    </w:div>
    <w:div w:id="1131165074">
      <w:bodyDiv w:val="1"/>
      <w:marLeft w:val="0"/>
      <w:marRight w:val="0"/>
      <w:marTop w:val="0"/>
      <w:marBottom w:val="0"/>
      <w:divBdr>
        <w:top w:val="none" w:sz="0" w:space="0" w:color="auto"/>
        <w:left w:val="none" w:sz="0" w:space="0" w:color="auto"/>
        <w:bottom w:val="none" w:sz="0" w:space="0" w:color="auto"/>
        <w:right w:val="none" w:sz="0" w:space="0" w:color="auto"/>
      </w:divBdr>
    </w:div>
    <w:div w:id="1133206451">
      <w:bodyDiv w:val="1"/>
      <w:marLeft w:val="0"/>
      <w:marRight w:val="0"/>
      <w:marTop w:val="0"/>
      <w:marBottom w:val="0"/>
      <w:divBdr>
        <w:top w:val="none" w:sz="0" w:space="0" w:color="auto"/>
        <w:left w:val="none" w:sz="0" w:space="0" w:color="auto"/>
        <w:bottom w:val="none" w:sz="0" w:space="0" w:color="auto"/>
        <w:right w:val="none" w:sz="0" w:space="0" w:color="auto"/>
      </w:divBdr>
    </w:div>
    <w:div w:id="1168449442">
      <w:bodyDiv w:val="1"/>
      <w:marLeft w:val="0"/>
      <w:marRight w:val="0"/>
      <w:marTop w:val="0"/>
      <w:marBottom w:val="0"/>
      <w:divBdr>
        <w:top w:val="none" w:sz="0" w:space="0" w:color="auto"/>
        <w:left w:val="none" w:sz="0" w:space="0" w:color="auto"/>
        <w:bottom w:val="none" w:sz="0" w:space="0" w:color="auto"/>
        <w:right w:val="none" w:sz="0" w:space="0" w:color="auto"/>
      </w:divBdr>
    </w:div>
    <w:div w:id="1181235088">
      <w:bodyDiv w:val="1"/>
      <w:marLeft w:val="0"/>
      <w:marRight w:val="0"/>
      <w:marTop w:val="0"/>
      <w:marBottom w:val="0"/>
      <w:divBdr>
        <w:top w:val="none" w:sz="0" w:space="0" w:color="auto"/>
        <w:left w:val="none" w:sz="0" w:space="0" w:color="auto"/>
        <w:bottom w:val="none" w:sz="0" w:space="0" w:color="auto"/>
        <w:right w:val="none" w:sz="0" w:space="0" w:color="auto"/>
      </w:divBdr>
    </w:div>
    <w:div w:id="1185703270">
      <w:bodyDiv w:val="1"/>
      <w:marLeft w:val="0"/>
      <w:marRight w:val="0"/>
      <w:marTop w:val="0"/>
      <w:marBottom w:val="0"/>
      <w:divBdr>
        <w:top w:val="none" w:sz="0" w:space="0" w:color="auto"/>
        <w:left w:val="none" w:sz="0" w:space="0" w:color="auto"/>
        <w:bottom w:val="none" w:sz="0" w:space="0" w:color="auto"/>
        <w:right w:val="none" w:sz="0" w:space="0" w:color="auto"/>
      </w:divBdr>
    </w:div>
    <w:div w:id="1186940760">
      <w:bodyDiv w:val="1"/>
      <w:marLeft w:val="0"/>
      <w:marRight w:val="0"/>
      <w:marTop w:val="0"/>
      <w:marBottom w:val="0"/>
      <w:divBdr>
        <w:top w:val="none" w:sz="0" w:space="0" w:color="auto"/>
        <w:left w:val="none" w:sz="0" w:space="0" w:color="auto"/>
        <w:bottom w:val="none" w:sz="0" w:space="0" w:color="auto"/>
        <w:right w:val="none" w:sz="0" w:space="0" w:color="auto"/>
      </w:divBdr>
    </w:div>
    <w:div w:id="1218082428">
      <w:bodyDiv w:val="1"/>
      <w:marLeft w:val="0"/>
      <w:marRight w:val="0"/>
      <w:marTop w:val="0"/>
      <w:marBottom w:val="0"/>
      <w:divBdr>
        <w:top w:val="none" w:sz="0" w:space="0" w:color="auto"/>
        <w:left w:val="none" w:sz="0" w:space="0" w:color="auto"/>
        <w:bottom w:val="none" w:sz="0" w:space="0" w:color="auto"/>
        <w:right w:val="none" w:sz="0" w:space="0" w:color="auto"/>
      </w:divBdr>
    </w:div>
    <w:div w:id="1261529487">
      <w:bodyDiv w:val="1"/>
      <w:marLeft w:val="0"/>
      <w:marRight w:val="0"/>
      <w:marTop w:val="0"/>
      <w:marBottom w:val="0"/>
      <w:divBdr>
        <w:top w:val="none" w:sz="0" w:space="0" w:color="auto"/>
        <w:left w:val="none" w:sz="0" w:space="0" w:color="auto"/>
        <w:bottom w:val="none" w:sz="0" w:space="0" w:color="auto"/>
        <w:right w:val="none" w:sz="0" w:space="0" w:color="auto"/>
      </w:divBdr>
    </w:div>
    <w:div w:id="1276449379">
      <w:bodyDiv w:val="1"/>
      <w:marLeft w:val="0"/>
      <w:marRight w:val="0"/>
      <w:marTop w:val="0"/>
      <w:marBottom w:val="0"/>
      <w:divBdr>
        <w:top w:val="none" w:sz="0" w:space="0" w:color="auto"/>
        <w:left w:val="none" w:sz="0" w:space="0" w:color="auto"/>
        <w:bottom w:val="none" w:sz="0" w:space="0" w:color="auto"/>
        <w:right w:val="none" w:sz="0" w:space="0" w:color="auto"/>
      </w:divBdr>
    </w:div>
    <w:div w:id="1302148165">
      <w:bodyDiv w:val="1"/>
      <w:marLeft w:val="0"/>
      <w:marRight w:val="0"/>
      <w:marTop w:val="0"/>
      <w:marBottom w:val="0"/>
      <w:divBdr>
        <w:top w:val="none" w:sz="0" w:space="0" w:color="auto"/>
        <w:left w:val="none" w:sz="0" w:space="0" w:color="auto"/>
        <w:bottom w:val="none" w:sz="0" w:space="0" w:color="auto"/>
        <w:right w:val="none" w:sz="0" w:space="0" w:color="auto"/>
      </w:divBdr>
    </w:div>
    <w:div w:id="1348944089">
      <w:bodyDiv w:val="1"/>
      <w:marLeft w:val="0"/>
      <w:marRight w:val="0"/>
      <w:marTop w:val="0"/>
      <w:marBottom w:val="0"/>
      <w:divBdr>
        <w:top w:val="none" w:sz="0" w:space="0" w:color="auto"/>
        <w:left w:val="none" w:sz="0" w:space="0" w:color="auto"/>
        <w:bottom w:val="none" w:sz="0" w:space="0" w:color="auto"/>
        <w:right w:val="none" w:sz="0" w:space="0" w:color="auto"/>
      </w:divBdr>
    </w:div>
    <w:div w:id="1466661538">
      <w:bodyDiv w:val="1"/>
      <w:marLeft w:val="0"/>
      <w:marRight w:val="0"/>
      <w:marTop w:val="0"/>
      <w:marBottom w:val="0"/>
      <w:divBdr>
        <w:top w:val="none" w:sz="0" w:space="0" w:color="auto"/>
        <w:left w:val="none" w:sz="0" w:space="0" w:color="auto"/>
        <w:bottom w:val="none" w:sz="0" w:space="0" w:color="auto"/>
        <w:right w:val="none" w:sz="0" w:space="0" w:color="auto"/>
      </w:divBdr>
    </w:div>
    <w:div w:id="1474787593">
      <w:bodyDiv w:val="1"/>
      <w:marLeft w:val="0"/>
      <w:marRight w:val="0"/>
      <w:marTop w:val="0"/>
      <w:marBottom w:val="0"/>
      <w:divBdr>
        <w:top w:val="none" w:sz="0" w:space="0" w:color="auto"/>
        <w:left w:val="none" w:sz="0" w:space="0" w:color="auto"/>
        <w:bottom w:val="none" w:sz="0" w:space="0" w:color="auto"/>
        <w:right w:val="none" w:sz="0" w:space="0" w:color="auto"/>
      </w:divBdr>
    </w:div>
    <w:div w:id="1489635500">
      <w:bodyDiv w:val="1"/>
      <w:marLeft w:val="0"/>
      <w:marRight w:val="0"/>
      <w:marTop w:val="0"/>
      <w:marBottom w:val="0"/>
      <w:divBdr>
        <w:top w:val="none" w:sz="0" w:space="0" w:color="auto"/>
        <w:left w:val="none" w:sz="0" w:space="0" w:color="auto"/>
        <w:bottom w:val="none" w:sz="0" w:space="0" w:color="auto"/>
        <w:right w:val="none" w:sz="0" w:space="0" w:color="auto"/>
      </w:divBdr>
    </w:div>
    <w:div w:id="1502037924">
      <w:bodyDiv w:val="1"/>
      <w:marLeft w:val="0"/>
      <w:marRight w:val="0"/>
      <w:marTop w:val="0"/>
      <w:marBottom w:val="0"/>
      <w:divBdr>
        <w:top w:val="none" w:sz="0" w:space="0" w:color="auto"/>
        <w:left w:val="none" w:sz="0" w:space="0" w:color="auto"/>
        <w:bottom w:val="none" w:sz="0" w:space="0" w:color="auto"/>
        <w:right w:val="none" w:sz="0" w:space="0" w:color="auto"/>
      </w:divBdr>
    </w:div>
    <w:div w:id="1537812845">
      <w:bodyDiv w:val="1"/>
      <w:marLeft w:val="0"/>
      <w:marRight w:val="0"/>
      <w:marTop w:val="0"/>
      <w:marBottom w:val="0"/>
      <w:divBdr>
        <w:top w:val="none" w:sz="0" w:space="0" w:color="auto"/>
        <w:left w:val="none" w:sz="0" w:space="0" w:color="auto"/>
        <w:bottom w:val="none" w:sz="0" w:space="0" w:color="auto"/>
        <w:right w:val="none" w:sz="0" w:space="0" w:color="auto"/>
      </w:divBdr>
    </w:div>
    <w:div w:id="1552423966">
      <w:bodyDiv w:val="1"/>
      <w:marLeft w:val="0"/>
      <w:marRight w:val="0"/>
      <w:marTop w:val="0"/>
      <w:marBottom w:val="0"/>
      <w:divBdr>
        <w:top w:val="none" w:sz="0" w:space="0" w:color="auto"/>
        <w:left w:val="none" w:sz="0" w:space="0" w:color="auto"/>
        <w:bottom w:val="none" w:sz="0" w:space="0" w:color="auto"/>
        <w:right w:val="none" w:sz="0" w:space="0" w:color="auto"/>
      </w:divBdr>
    </w:div>
    <w:div w:id="1559170009">
      <w:bodyDiv w:val="1"/>
      <w:marLeft w:val="0"/>
      <w:marRight w:val="0"/>
      <w:marTop w:val="0"/>
      <w:marBottom w:val="0"/>
      <w:divBdr>
        <w:top w:val="none" w:sz="0" w:space="0" w:color="auto"/>
        <w:left w:val="none" w:sz="0" w:space="0" w:color="auto"/>
        <w:bottom w:val="none" w:sz="0" w:space="0" w:color="auto"/>
        <w:right w:val="none" w:sz="0" w:space="0" w:color="auto"/>
      </w:divBdr>
    </w:div>
    <w:div w:id="1590655884">
      <w:bodyDiv w:val="1"/>
      <w:marLeft w:val="0"/>
      <w:marRight w:val="0"/>
      <w:marTop w:val="0"/>
      <w:marBottom w:val="0"/>
      <w:divBdr>
        <w:top w:val="none" w:sz="0" w:space="0" w:color="auto"/>
        <w:left w:val="none" w:sz="0" w:space="0" w:color="auto"/>
        <w:bottom w:val="none" w:sz="0" w:space="0" w:color="auto"/>
        <w:right w:val="none" w:sz="0" w:space="0" w:color="auto"/>
      </w:divBdr>
    </w:div>
    <w:div w:id="1631011843">
      <w:bodyDiv w:val="1"/>
      <w:marLeft w:val="0"/>
      <w:marRight w:val="0"/>
      <w:marTop w:val="0"/>
      <w:marBottom w:val="0"/>
      <w:divBdr>
        <w:top w:val="none" w:sz="0" w:space="0" w:color="auto"/>
        <w:left w:val="none" w:sz="0" w:space="0" w:color="auto"/>
        <w:bottom w:val="none" w:sz="0" w:space="0" w:color="auto"/>
        <w:right w:val="none" w:sz="0" w:space="0" w:color="auto"/>
      </w:divBdr>
    </w:div>
    <w:div w:id="1635329793">
      <w:bodyDiv w:val="1"/>
      <w:marLeft w:val="0"/>
      <w:marRight w:val="0"/>
      <w:marTop w:val="0"/>
      <w:marBottom w:val="0"/>
      <w:divBdr>
        <w:top w:val="none" w:sz="0" w:space="0" w:color="auto"/>
        <w:left w:val="none" w:sz="0" w:space="0" w:color="auto"/>
        <w:bottom w:val="none" w:sz="0" w:space="0" w:color="auto"/>
        <w:right w:val="none" w:sz="0" w:space="0" w:color="auto"/>
      </w:divBdr>
    </w:div>
    <w:div w:id="1666859377">
      <w:bodyDiv w:val="1"/>
      <w:marLeft w:val="0"/>
      <w:marRight w:val="0"/>
      <w:marTop w:val="0"/>
      <w:marBottom w:val="0"/>
      <w:divBdr>
        <w:top w:val="none" w:sz="0" w:space="0" w:color="auto"/>
        <w:left w:val="none" w:sz="0" w:space="0" w:color="auto"/>
        <w:bottom w:val="none" w:sz="0" w:space="0" w:color="auto"/>
        <w:right w:val="none" w:sz="0" w:space="0" w:color="auto"/>
      </w:divBdr>
    </w:div>
    <w:div w:id="1669946271">
      <w:bodyDiv w:val="1"/>
      <w:marLeft w:val="0"/>
      <w:marRight w:val="0"/>
      <w:marTop w:val="0"/>
      <w:marBottom w:val="0"/>
      <w:divBdr>
        <w:top w:val="none" w:sz="0" w:space="0" w:color="auto"/>
        <w:left w:val="none" w:sz="0" w:space="0" w:color="auto"/>
        <w:bottom w:val="none" w:sz="0" w:space="0" w:color="auto"/>
        <w:right w:val="none" w:sz="0" w:space="0" w:color="auto"/>
      </w:divBdr>
    </w:div>
    <w:div w:id="1765609232">
      <w:bodyDiv w:val="1"/>
      <w:marLeft w:val="0"/>
      <w:marRight w:val="0"/>
      <w:marTop w:val="0"/>
      <w:marBottom w:val="0"/>
      <w:divBdr>
        <w:top w:val="none" w:sz="0" w:space="0" w:color="auto"/>
        <w:left w:val="none" w:sz="0" w:space="0" w:color="auto"/>
        <w:bottom w:val="none" w:sz="0" w:space="0" w:color="auto"/>
        <w:right w:val="none" w:sz="0" w:space="0" w:color="auto"/>
      </w:divBdr>
    </w:div>
    <w:div w:id="1845893201">
      <w:bodyDiv w:val="1"/>
      <w:marLeft w:val="0"/>
      <w:marRight w:val="0"/>
      <w:marTop w:val="0"/>
      <w:marBottom w:val="0"/>
      <w:divBdr>
        <w:top w:val="none" w:sz="0" w:space="0" w:color="auto"/>
        <w:left w:val="none" w:sz="0" w:space="0" w:color="auto"/>
        <w:bottom w:val="none" w:sz="0" w:space="0" w:color="auto"/>
        <w:right w:val="none" w:sz="0" w:space="0" w:color="auto"/>
      </w:divBdr>
    </w:div>
    <w:div w:id="1861628605">
      <w:bodyDiv w:val="1"/>
      <w:marLeft w:val="0"/>
      <w:marRight w:val="0"/>
      <w:marTop w:val="0"/>
      <w:marBottom w:val="0"/>
      <w:divBdr>
        <w:top w:val="none" w:sz="0" w:space="0" w:color="auto"/>
        <w:left w:val="none" w:sz="0" w:space="0" w:color="auto"/>
        <w:bottom w:val="none" w:sz="0" w:space="0" w:color="auto"/>
        <w:right w:val="none" w:sz="0" w:space="0" w:color="auto"/>
      </w:divBdr>
    </w:div>
    <w:div w:id="1887832318">
      <w:bodyDiv w:val="1"/>
      <w:marLeft w:val="0"/>
      <w:marRight w:val="0"/>
      <w:marTop w:val="0"/>
      <w:marBottom w:val="0"/>
      <w:divBdr>
        <w:top w:val="none" w:sz="0" w:space="0" w:color="auto"/>
        <w:left w:val="none" w:sz="0" w:space="0" w:color="auto"/>
        <w:bottom w:val="none" w:sz="0" w:space="0" w:color="auto"/>
        <w:right w:val="none" w:sz="0" w:space="0" w:color="auto"/>
      </w:divBdr>
    </w:div>
    <w:div w:id="1903053742">
      <w:bodyDiv w:val="1"/>
      <w:marLeft w:val="0"/>
      <w:marRight w:val="0"/>
      <w:marTop w:val="0"/>
      <w:marBottom w:val="0"/>
      <w:divBdr>
        <w:top w:val="none" w:sz="0" w:space="0" w:color="auto"/>
        <w:left w:val="none" w:sz="0" w:space="0" w:color="auto"/>
        <w:bottom w:val="none" w:sz="0" w:space="0" w:color="auto"/>
        <w:right w:val="none" w:sz="0" w:space="0" w:color="auto"/>
      </w:divBdr>
    </w:div>
    <w:div w:id="1936404649">
      <w:bodyDiv w:val="1"/>
      <w:marLeft w:val="0"/>
      <w:marRight w:val="0"/>
      <w:marTop w:val="0"/>
      <w:marBottom w:val="0"/>
      <w:divBdr>
        <w:top w:val="none" w:sz="0" w:space="0" w:color="auto"/>
        <w:left w:val="none" w:sz="0" w:space="0" w:color="auto"/>
        <w:bottom w:val="none" w:sz="0" w:space="0" w:color="auto"/>
        <w:right w:val="none" w:sz="0" w:space="0" w:color="auto"/>
      </w:divBdr>
    </w:div>
    <w:div w:id="1964573793">
      <w:bodyDiv w:val="1"/>
      <w:marLeft w:val="0"/>
      <w:marRight w:val="0"/>
      <w:marTop w:val="0"/>
      <w:marBottom w:val="0"/>
      <w:divBdr>
        <w:top w:val="none" w:sz="0" w:space="0" w:color="auto"/>
        <w:left w:val="none" w:sz="0" w:space="0" w:color="auto"/>
        <w:bottom w:val="none" w:sz="0" w:space="0" w:color="auto"/>
        <w:right w:val="none" w:sz="0" w:space="0" w:color="auto"/>
      </w:divBdr>
    </w:div>
    <w:div w:id="2044593490">
      <w:bodyDiv w:val="1"/>
      <w:marLeft w:val="0"/>
      <w:marRight w:val="0"/>
      <w:marTop w:val="0"/>
      <w:marBottom w:val="0"/>
      <w:divBdr>
        <w:top w:val="none" w:sz="0" w:space="0" w:color="auto"/>
        <w:left w:val="none" w:sz="0" w:space="0" w:color="auto"/>
        <w:bottom w:val="none" w:sz="0" w:space="0" w:color="auto"/>
        <w:right w:val="none" w:sz="0" w:space="0" w:color="auto"/>
      </w:divBdr>
    </w:div>
    <w:div w:id="2061172797">
      <w:bodyDiv w:val="1"/>
      <w:marLeft w:val="0"/>
      <w:marRight w:val="0"/>
      <w:marTop w:val="0"/>
      <w:marBottom w:val="0"/>
      <w:divBdr>
        <w:top w:val="none" w:sz="0" w:space="0" w:color="auto"/>
        <w:left w:val="none" w:sz="0" w:space="0" w:color="auto"/>
        <w:bottom w:val="none" w:sz="0" w:space="0" w:color="auto"/>
        <w:right w:val="none" w:sz="0" w:space="0" w:color="auto"/>
      </w:divBdr>
    </w:div>
    <w:div w:id="2067756265">
      <w:bodyDiv w:val="1"/>
      <w:marLeft w:val="0"/>
      <w:marRight w:val="0"/>
      <w:marTop w:val="0"/>
      <w:marBottom w:val="0"/>
      <w:divBdr>
        <w:top w:val="none" w:sz="0" w:space="0" w:color="auto"/>
        <w:left w:val="none" w:sz="0" w:space="0" w:color="auto"/>
        <w:bottom w:val="none" w:sz="0" w:space="0" w:color="auto"/>
        <w:right w:val="none" w:sz="0" w:space="0" w:color="auto"/>
      </w:divBdr>
    </w:div>
    <w:div w:id="2081711023">
      <w:bodyDiv w:val="1"/>
      <w:marLeft w:val="0"/>
      <w:marRight w:val="0"/>
      <w:marTop w:val="0"/>
      <w:marBottom w:val="0"/>
      <w:divBdr>
        <w:top w:val="none" w:sz="0" w:space="0" w:color="auto"/>
        <w:left w:val="none" w:sz="0" w:space="0" w:color="auto"/>
        <w:bottom w:val="none" w:sz="0" w:space="0" w:color="auto"/>
        <w:right w:val="none" w:sz="0" w:space="0" w:color="auto"/>
      </w:divBdr>
    </w:div>
    <w:div w:id="2082361665">
      <w:bodyDiv w:val="1"/>
      <w:marLeft w:val="0"/>
      <w:marRight w:val="0"/>
      <w:marTop w:val="0"/>
      <w:marBottom w:val="0"/>
      <w:divBdr>
        <w:top w:val="none" w:sz="0" w:space="0" w:color="auto"/>
        <w:left w:val="none" w:sz="0" w:space="0" w:color="auto"/>
        <w:bottom w:val="none" w:sz="0" w:space="0" w:color="auto"/>
        <w:right w:val="none" w:sz="0" w:space="0" w:color="auto"/>
      </w:divBdr>
    </w:div>
    <w:div w:id="2134906594">
      <w:bodyDiv w:val="1"/>
      <w:marLeft w:val="0"/>
      <w:marRight w:val="0"/>
      <w:marTop w:val="0"/>
      <w:marBottom w:val="0"/>
      <w:divBdr>
        <w:top w:val="none" w:sz="0" w:space="0" w:color="auto"/>
        <w:left w:val="none" w:sz="0" w:space="0" w:color="auto"/>
        <w:bottom w:val="none" w:sz="0" w:space="0" w:color="auto"/>
        <w:right w:val="none" w:sz="0" w:space="0" w:color="auto"/>
      </w:divBdr>
    </w:div>
    <w:div w:id="21416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495/jgrv12i4siart10" TargetMode="External"/><Relationship Id="rId3" Type="http://schemas.openxmlformats.org/officeDocument/2006/relationships/settings" Target="settings.xml"/><Relationship Id="rId7" Type="http://schemas.openxmlformats.org/officeDocument/2006/relationships/hyperlink" Target="https://doi.org/10.33003/fujafr-2023.v1i3.63.75-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ilytimesng.com/shell-exit-ogoni-group-insists-it-must-pay-for-damages-pollution/" TargetMode="External"/><Relationship Id="rId11" Type="http://schemas.openxmlformats.org/officeDocument/2006/relationships/fontTable" Target="fontTable.xml"/><Relationship Id="rId5" Type="http://schemas.openxmlformats.org/officeDocument/2006/relationships/hyperlink" Target="https://doi.org/10.9790/5933-1206024854" TargetMode="External"/><Relationship Id="rId10" Type="http://schemas.openxmlformats.org/officeDocument/2006/relationships/hyperlink" Target="https://insightss.co/services/esg-reporting-and-disclosure/" TargetMode="External"/><Relationship Id="rId4" Type="http://schemas.openxmlformats.org/officeDocument/2006/relationships/webSettings" Target="webSettings.xml"/><Relationship Id="rId9" Type="http://schemas.openxmlformats.org/officeDocument/2006/relationships/hyperlink" Target="https://doi.org/10.54560/jracr.v14i4.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2240</TotalTime>
  <Pages>17</Pages>
  <Words>6583</Words>
  <Characters>37529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184</cp:revision>
  <dcterms:created xsi:type="dcterms:W3CDTF">2025-08-25T10:40:00Z</dcterms:created>
  <dcterms:modified xsi:type="dcterms:W3CDTF">2026-05-25T14:58:00Z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53557a71-4f0a-472d-b9ee-8b75eb95de25</vt:lpwstr>
  </property>
</Properties>
</file>