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9552" w14:textId="692AB383" w:rsidR="007C6A5F" w:rsidRPr="008B5035" w:rsidRDefault="00923A7E" w:rsidP="008B5035">
      <w:pPr>
        <w:spacing w:line="276" w:lineRule="auto"/>
        <w:jc w:val="center"/>
        <w:rPr>
          <w:b/>
          <w:bCs/>
          <w:color w:val="000000" w:themeColor="text1"/>
        </w:rPr>
      </w:pPr>
      <w:r w:rsidRPr="008B5035">
        <w:rPr>
          <w:b/>
          <w:bCs/>
          <w:color w:val="000000" w:themeColor="text1"/>
        </w:rPr>
        <w:t>CULTURAL COMPETENCE AND FINANCIAL SUSTAINABILITY IN FAITH-BASED HOSPITALS IN KAMPALA, UGANDA</w:t>
      </w:r>
    </w:p>
    <w:p w14:paraId="20847D09" w14:textId="2D3D793B" w:rsidR="00CA0A92" w:rsidRPr="008B5035" w:rsidRDefault="00CA0A92" w:rsidP="008B5035">
      <w:pPr>
        <w:spacing w:line="276" w:lineRule="auto"/>
        <w:jc w:val="center"/>
        <w:rPr>
          <w:b/>
          <w:bCs/>
          <w:color w:val="000000" w:themeColor="text1"/>
        </w:rPr>
      </w:pPr>
    </w:p>
    <w:p w14:paraId="56AA00A2" w14:textId="77777777" w:rsidR="008B5035" w:rsidRPr="008B5035" w:rsidRDefault="008B5035" w:rsidP="000A2012">
      <w:pPr>
        <w:spacing w:before="120" w:after="120" w:line="276" w:lineRule="auto"/>
        <w:jc w:val="center"/>
        <w:rPr>
          <w:b/>
          <w:bCs/>
          <w:color w:val="000000" w:themeColor="text1"/>
        </w:rPr>
      </w:pPr>
    </w:p>
    <w:p w14:paraId="0D4A2D6D" w14:textId="1BCC7EDF" w:rsidR="008B5035" w:rsidRPr="008B5035" w:rsidRDefault="008B5035" w:rsidP="004A4C10">
      <w:pPr>
        <w:pStyle w:val="NoSpacing"/>
        <w:spacing w:line="276" w:lineRule="auto"/>
        <w:jc w:val="left"/>
        <w:rPr>
          <w:rFonts w:ascii="Times New Roman" w:hAnsi="Times New Roman" w:cs="Times New Roman"/>
          <w:lang w:val="en-US"/>
        </w:rPr>
      </w:pPr>
      <w:r w:rsidRPr="008B5035">
        <w:rPr>
          <w:rFonts w:ascii="Times New Roman" w:hAnsi="Times New Roman" w:cs="Times New Roman"/>
          <w:color w:val="000000" w:themeColor="text1"/>
          <w:lang w:val="en-US"/>
        </w:rPr>
        <w:t xml:space="preserve">Paul Ojambo </w:t>
      </w:r>
      <w:hyperlink r:id="rId8" w:history="1">
        <w:r w:rsidRPr="008B5035">
          <w:rPr>
            <w:rStyle w:val="Hyperlink"/>
            <w:rFonts w:ascii="Times New Roman" w:hAnsi="Times New Roman" w:cs="Times New Roman"/>
            <w:lang w:val="en-US"/>
          </w:rPr>
          <w:t>paul.ojambo.45859@studmc.kiu.ac.ug</w:t>
        </w:r>
      </w:hyperlink>
      <w:r w:rsidRPr="008B5035">
        <w:rPr>
          <w:rFonts w:ascii="Times New Roman" w:hAnsi="Times New Roman" w:cs="Times New Roman"/>
          <w:lang w:val="en-US"/>
        </w:rPr>
        <w:t xml:space="preserve"> </w:t>
      </w:r>
      <w:r w:rsidRPr="008B5035">
        <w:rPr>
          <w:rFonts w:ascii="Times New Roman" w:hAnsi="Times New Roman" w:cs="Times New Roman"/>
          <w:b/>
          <w:bCs/>
          <w:color w:val="000000" w:themeColor="text1"/>
        </w:rPr>
        <w:t>ORCID ID: 0009-0004-7219-2926</w:t>
      </w:r>
    </w:p>
    <w:p w14:paraId="71BD696A" w14:textId="7CF239A9" w:rsidR="008B5035" w:rsidRDefault="008B5035" w:rsidP="004A4C10">
      <w:pPr>
        <w:pStyle w:val="NoSpacing"/>
        <w:spacing w:line="276" w:lineRule="auto"/>
        <w:jc w:val="left"/>
        <w:rPr>
          <w:rFonts w:ascii="Times New Roman" w:hAnsi="Times New Roman" w:cs="Times New Roman"/>
          <w:b/>
          <w:bCs/>
          <w:color w:val="000000" w:themeColor="text1"/>
          <w:lang w:val="en-US"/>
        </w:rPr>
      </w:pPr>
      <w:r w:rsidRPr="008B5035">
        <w:rPr>
          <w:rFonts w:ascii="Times New Roman" w:hAnsi="Times New Roman" w:cs="Times New Roman"/>
          <w:color w:val="000000" w:themeColor="text1"/>
          <w:lang w:val="en-US"/>
        </w:rPr>
        <w:t>Ssejjemba Richard Jjemba</w:t>
      </w:r>
      <w:r w:rsidRPr="008B5035">
        <w:rPr>
          <w:rFonts w:ascii="Times New Roman" w:hAnsi="Times New Roman" w:cs="Times New Roman"/>
        </w:rPr>
        <w:t xml:space="preserve"> </w:t>
      </w:r>
      <w:hyperlink r:id="rId9" w:history="1">
        <w:r w:rsidRPr="008B5035">
          <w:rPr>
            <w:rStyle w:val="Hyperlink"/>
            <w:rFonts w:ascii="Times New Roman" w:hAnsi="Times New Roman" w:cs="Times New Roman"/>
          </w:rPr>
          <w:t>jjemba.ssejjemba@studmc.kiu.ac.ug</w:t>
        </w:r>
      </w:hyperlink>
      <w:r w:rsidRPr="008B5035">
        <w:rPr>
          <w:rFonts w:ascii="Times New Roman" w:hAnsi="Times New Roman" w:cs="Times New Roman"/>
        </w:rPr>
        <w:t xml:space="preserve"> </w:t>
      </w:r>
      <w:r w:rsidRPr="008B5035">
        <w:rPr>
          <w:rFonts w:ascii="Times New Roman" w:hAnsi="Times New Roman" w:cs="Times New Roman"/>
          <w:b/>
          <w:bCs/>
          <w:color w:val="000000" w:themeColor="text1"/>
        </w:rPr>
        <w:t>ORCID ID</w:t>
      </w:r>
      <w:r w:rsidRPr="008B5035">
        <w:rPr>
          <w:rFonts w:ascii="Times New Roman" w:hAnsi="Times New Roman" w:cs="Times New Roman"/>
          <w:b/>
          <w:bCs/>
          <w:color w:val="000000" w:themeColor="text1"/>
          <w:lang w:val="en-US"/>
        </w:rPr>
        <w:t>: 0009-0005-6663-3142</w:t>
      </w:r>
    </w:p>
    <w:p w14:paraId="4A68C584" w14:textId="52F2EFFF" w:rsidR="006B5742" w:rsidRPr="004A4C10" w:rsidRDefault="004A4C10" w:rsidP="004A4C10">
      <w:pPr>
        <w:pStyle w:val="NoSpacing"/>
        <w:spacing w:line="276" w:lineRule="auto"/>
        <w:jc w:val="left"/>
        <w:rPr>
          <w:rFonts w:ascii="Times New Roman" w:hAnsi="Times New Roman" w:cs="Times New Roman"/>
        </w:rPr>
      </w:pPr>
      <w:proofErr w:type="spellStart"/>
      <w:r w:rsidRPr="006B5742">
        <w:rPr>
          <w:rFonts w:ascii="Times New Roman" w:hAnsi="Times New Roman" w:cs="Times New Roman"/>
        </w:rPr>
        <w:t>Twizeere</w:t>
      </w:r>
      <w:proofErr w:type="spellEnd"/>
      <w:r w:rsidRPr="006B5742">
        <w:rPr>
          <w:rFonts w:ascii="Times New Roman" w:hAnsi="Times New Roman" w:cs="Times New Roman"/>
        </w:rPr>
        <w:t xml:space="preserve"> </w:t>
      </w:r>
      <w:proofErr w:type="spellStart"/>
      <w:r w:rsidRPr="006B5742">
        <w:rPr>
          <w:rFonts w:ascii="Times New Roman" w:hAnsi="Times New Roman" w:cs="Times New Roman"/>
        </w:rPr>
        <w:t>Harimah</w:t>
      </w:r>
      <w:proofErr w:type="spellEnd"/>
      <w:r w:rsidRPr="006B5742">
        <w:rPr>
          <w:rFonts w:ascii="Times New Roman" w:hAnsi="Times New Roman" w:cs="Times New Roman"/>
        </w:rPr>
        <w:t xml:space="preserve"> </w:t>
      </w:r>
      <w:r w:rsidR="006B5742" w:rsidRPr="006B5742">
        <w:rPr>
          <w:rFonts w:ascii="Times New Roman" w:hAnsi="Times New Roman" w:cs="Times New Roman"/>
          <w:color w:val="4472C4" w:themeColor="accent1"/>
          <w:u w:val="single"/>
        </w:rPr>
        <w:t>harimah.twizeere@studmc.kiu.ac.ug</w:t>
      </w:r>
    </w:p>
    <w:p w14:paraId="59A0A0AB" w14:textId="77777777" w:rsidR="008B5035" w:rsidRPr="008B5035" w:rsidRDefault="008B5035" w:rsidP="000A2012">
      <w:pPr>
        <w:pStyle w:val="NoSpacing"/>
        <w:spacing w:line="276" w:lineRule="auto"/>
        <w:jc w:val="center"/>
        <w:rPr>
          <w:rStyle w:val="Hyperlink"/>
          <w:rFonts w:ascii="Times New Roman" w:hAnsi="Times New Roman" w:cs="Times New Roman"/>
        </w:rPr>
      </w:pPr>
    </w:p>
    <w:p w14:paraId="37101E14" w14:textId="745593DC" w:rsidR="008B5035" w:rsidRPr="008B5035" w:rsidRDefault="008B5035" w:rsidP="000A2012">
      <w:pPr>
        <w:pStyle w:val="NoSpacing"/>
        <w:spacing w:line="276" w:lineRule="auto"/>
        <w:jc w:val="center"/>
        <w:rPr>
          <w:rFonts w:ascii="Times New Roman" w:hAnsi="Times New Roman" w:cs="Times New Roman"/>
        </w:rPr>
      </w:pPr>
      <w:r w:rsidRPr="007D0992">
        <w:rPr>
          <w:rStyle w:val="Hyperlink"/>
          <w:rFonts w:ascii="Times New Roman" w:hAnsi="Times New Roman" w:cs="Times New Roman"/>
          <w:color w:val="000000" w:themeColor="text1"/>
          <w:u w:val="none"/>
        </w:rPr>
        <w:t>Asiimwe Specioza</w:t>
      </w:r>
      <w:r w:rsidRPr="007D0992">
        <w:rPr>
          <w:rFonts w:ascii="Times New Roman" w:hAnsi="Times New Roman" w:cs="Times New Roman"/>
          <w:color w:val="000000" w:themeColor="text1"/>
        </w:rPr>
        <w:t xml:space="preserve"> </w:t>
      </w:r>
      <w:r w:rsidR="007D0992" w:rsidRPr="007D0992">
        <w:rPr>
          <w:rFonts w:ascii="Times New Roman" w:hAnsi="Times New Roman" w:cs="Times New Roman"/>
          <w:color w:val="4472C4" w:themeColor="accent1"/>
          <w:u w:val="single"/>
        </w:rPr>
        <w:t>s</w:t>
      </w:r>
      <w:r w:rsidRPr="007D0992">
        <w:rPr>
          <w:rFonts w:ascii="Times New Roman" w:hAnsi="Times New Roman" w:cs="Times New Roman"/>
          <w:color w:val="4472C4" w:themeColor="accent1"/>
          <w:u w:val="single"/>
        </w:rPr>
        <w:t>pecioza.</w:t>
      </w:r>
      <w:r w:rsidR="007D0992" w:rsidRPr="007D0992">
        <w:rPr>
          <w:rFonts w:ascii="Times New Roman" w:hAnsi="Times New Roman" w:cs="Times New Roman"/>
          <w:color w:val="4472C4" w:themeColor="accent1"/>
          <w:u w:val="single"/>
        </w:rPr>
        <w:t>a</w:t>
      </w:r>
      <w:r w:rsidRPr="007D0992">
        <w:rPr>
          <w:rFonts w:ascii="Times New Roman" w:hAnsi="Times New Roman" w:cs="Times New Roman"/>
          <w:color w:val="4472C4" w:themeColor="accent1"/>
          <w:u w:val="single"/>
        </w:rPr>
        <w:t>siimwe@</w:t>
      </w:r>
      <w:r w:rsidR="007D0992" w:rsidRPr="007D0992">
        <w:rPr>
          <w:rFonts w:ascii="Times New Roman" w:hAnsi="Times New Roman" w:cs="Times New Roman"/>
          <w:color w:val="4472C4" w:themeColor="accent1"/>
          <w:u w:val="single"/>
        </w:rPr>
        <w:t>k</w:t>
      </w:r>
      <w:r w:rsidRPr="007D0992">
        <w:rPr>
          <w:rFonts w:ascii="Times New Roman" w:hAnsi="Times New Roman" w:cs="Times New Roman"/>
          <w:color w:val="4472C4" w:themeColor="accent1"/>
          <w:u w:val="single"/>
        </w:rPr>
        <w:t>iu.</w:t>
      </w:r>
      <w:r w:rsidR="007D0992" w:rsidRPr="007D0992">
        <w:rPr>
          <w:rFonts w:ascii="Times New Roman" w:hAnsi="Times New Roman" w:cs="Times New Roman"/>
          <w:color w:val="4472C4" w:themeColor="accent1"/>
          <w:u w:val="single"/>
        </w:rPr>
        <w:t>a</w:t>
      </w:r>
      <w:r w:rsidRPr="007D0992">
        <w:rPr>
          <w:rFonts w:ascii="Times New Roman" w:hAnsi="Times New Roman" w:cs="Times New Roman"/>
          <w:color w:val="4472C4" w:themeColor="accent1"/>
          <w:u w:val="single"/>
        </w:rPr>
        <w:t>c.</w:t>
      </w:r>
      <w:r w:rsidR="007D0992" w:rsidRPr="007D0992">
        <w:rPr>
          <w:rFonts w:ascii="Times New Roman" w:hAnsi="Times New Roman" w:cs="Times New Roman"/>
          <w:color w:val="4472C4" w:themeColor="accent1"/>
          <w:u w:val="single"/>
        </w:rPr>
        <w:t>u</w:t>
      </w:r>
      <w:r w:rsidRPr="007D0992">
        <w:rPr>
          <w:rFonts w:ascii="Times New Roman" w:hAnsi="Times New Roman" w:cs="Times New Roman"/>
          <w:color w:val="4472C4" w:themeColor="accent1"/>
          <w:u w:val="single"/>
        </w:rPr>
        <w:t>g</w:t>
      </w:r>
    </w:p>
    <w:p w14:paraId="005EB1D9" w14:textId="77777777" w:rsidR="008B5035" w:rsidRPr="008B5035" w:rsidRDefault="008B5035" w:rsidP="000A2012">
      <w:pPr>
        <w:pStyle w:val="NoSpacing"/>
        <w:spacing w:line="276" w:lineRule="auto"/>
        <w:jc w:val="center"/>
        <w:rPr>
          <w:rFonts w:ascii="Times New Roman" w:hAnsi="Times New Roman" w:cs="Times New Roman"/>
          <w:color w:val="00B0F0"/>
          <w:u w:val="single"/>
        </w:rPr>
      </w:pPr>
      <w:r w:rsidRPr="008B5035">
        <w:rPr>
          <w:rFonts w:ascii="Times New Roman" w:hAnsi="Times New Roman" w:cs="Times New Roman"/>
        </w:rPr>
        <w:t xml:space="preserve">Orcid: </w:t>
      </w:r>
      <w:hyperlink r:id="rId10" w:history="1">
        <w:r w:rsidRPr="007D0992">
          <w:rPr>
            <w:rStyle w:val="Hyperlink"/>
            <w:rFonts w:ascii="Times New Roman" w:hAnsi="Times New Roman" w:cs="Times New Roman"/>
          </w:rPr>
          <w:t>Https://Orcid.Org/0009-0007-1672-5806</w:t>
        </w:r>
      </w:hyperlink>
    </w:p>
    <w:p w14:paraId="4BD9775F" w14:textId="77777777" w:rsidR="008B5035" w:rsidRPr="008B5035" w:rsidRDefault="008B5035" w:rsidP="000A2012">
      <w:pPr>
        <w:pStyle w:val="NoSpacing"/>
        <w:spacing w:line="276" w:lineRule="auto"/>
        <w:jc w:val="center"/>
        <w:rPr>
          <w:rFonts w:ascii="Times New Roman" w:hAnsi="Times New Roman" w:cs="Times New Roman"/>
          <w:u w:val="single"/>
        </w:rPr>
      </w:pPr>
      <w:r w:rsidRPr="008B5035">
        <w:rPr>
          <w:rFonts w:ascii="Times New Roman" w:hAnsi="Times New Roman" w:cs="Times New Roman"/>
        </w:rPr>
        <w:t>Kampala International University</w:t>
      </w:r>
    </w:p>
    <w:p w14:paraId="5DE91B85" w14:textId="2346853A" w:rsidR="003475F7" w:rsidRPr="008B5035" w:rsidRDefault="003475F7" w:rsidP="008B5035">
      <w:pPr>
        <w:spacing w:line="276" w:lineRule="auto"/>
        <w:rPr>
          <w:rFonts w:eastAsiaTheme="majorEastAsia"/>
          <w:b/>
          <w:color w:val="000000" w:themeColor="text1"/>
        </w:rPr>
      </w:pPr>
      <w:bookmarkStart w:id="0" w:name="_Toc224233375"/>
    </w:p>
    <w:p w14:paraId="4287BE25" w14:textId="6CA70148" w:rsidR="007C6A5F" w:rsidRPr="003E104C" w:rsidRDefault="007C6A5F" w:rsidP="008B5035">
      <w:pPr>
        <w:pStyle w:val="Heading1"/>
        <w:numPr>
          <w:ilvl w:val="0"/>
          <w:numId w:val="0"/>
        </w:numPr>
        <w:spacing w:line="276" w:lineRule="auto"/>
        <w:ind w:left="432"/>
        <w:rPr>
          <w:rFonts w:cs="Times New Roman"/>
          <w:szCs w:val="24"/>
        </w:rPr>
      </w:pPr>
      <w:r w:rsidRPr="003E104C">
        <w:rPr>
          <w:rFonts w:cs="Times New Roman"/>
          <w:szCs w:val="24"/>
        </w:rPr>
        <w:t>Abstract</w:t>
      </w:r>
      <w:bookmarkEnd w:id="0"/>
    </w:p>
    <w:p w14:paraId="6C966642" w14:textId="0BA518F3" w:rsidR="007C6A5F" w:rsidRPr="003E104C" w:rsidRDefault="007C6A5F" w:rsidP="00D63123">
      <w:pPr>
        <w:spacing w:line="276" w:lineRule="auto"/>
        <w:jc w:val="both"/>
      </w:pPr>
      <w:r w:rsidRPr="003E104C">
        <w:t>Faith-based hospitals, as a core component of Uganda’s private-not-for-profit (PNFP) health sector, play a pivotal role in delivering healthcare to underserved populations, particularly in Kampala. However, these institutions face persistent challenges to financial sustainability due to fluctuating donor support, limited government funding and the need to maintain affordable, high-quality care. This article investigates the intersection of cultural competence and financial sustainability in Kampala’s faith-based hospitals, presenting original mixed-methods evidence from surveys of 12 PNFP hospitals, 240 patient exit interviews and 24 key informant interviews. The findings demonstrate that targeted cultural competence interventions</w:t>
      </w:r>
      <w:r w:rsidR="00430688" w:rsidRPr="003E104C">
        <w:t xml:space="preserve"> </w:t>
      </w:r>
      <w:r w:rsidRPr="003E104C">
        <w:t>encompassing staff training, organizational policy reforms and patient-centered care</w:t>
      </w:r>
      <w:r w:rsidR="002E5EF0" w:rsidRPr="003E104C">
        <w:t xml:space="preserve"> </w:t>
      </w:r>
      <w:r w:rsidRPr="003E104C">
        <w:t>significantly improve patient retention, diversify revenue streams and enhance donor confidence. Quantitative results reveal increases in outpatient retention rates, fee recovery and donor diversification, while qualitative insights highlight strengthened patient trust, cultural alignment and philanthropic giving. The study integrates Resource Dependence Theory and leading Cultural Competence Frameworks to elucidate how faith-based hospitals can strategically leverage cultural competence for operational resilience and sustainability. Policy recommendations are offered for hospital leaders, donors and government stakeholders to institutionalize cultural competence as a driver of both equitable care and financial viability in Uganda’s PNFP health sector.</w:t>
      </w:r>
    </w:p>
    <w:p w14:paraId="3B6D39CE" w14:textId="77777777" w:rsidR="007C6A5F" w:rsidRPr="003E104C" w:rsidRDefault="007C6A5F" w:rsidP="008B5035">
      <w:pPr>
        <w:spacing w:line="276" w:lineRule="auto"/>
        <w:rPr>
          <w:b/>
          <w:bCs/>
        </w:rPr>
      </w:pPr>
      <w:r w:rsidRPr="003E104C">
        <w:rPr>
          <w:b/>
          <w:bCs/>
        </w:rPr>
        <w:t>Keywords</w:t>
      </w:r>
    </w:p>
    <w:p w14:paraId="684F764A" w14:textId="77777777" w:rsidR="007C6A5F" w:rsidRPr="003E104C" w:rsidRDefault="007C6A5F" w:rsidP="008B5035">
      <w:pPr>
        <w:spacing w:line="276" w:lineRule="auto"/>
      </w:pPr>
      <w:r w:rsidRPr="003E104C">
        <w:t>Cultural competence; financial sustainability; faith-based hospitals; PNFP; patient retention; donor diversification; Uganda; Kampala; Resource Dependence Theory; mixed-methods</w:t>
      </w:r>
    </w:p>
    <w:p w14:paraId="2815C4A2" w14:textId="77777777" w:rsidR="00E95A47" w:rsidRPr="003E104C" w:rsidRDefault="00E95A47" w:rsidP="008B5035">
      <w:pPr>
        <w:spacing w:line="276" w:lineRule="auto"/>
      </w:pPr>
    </w:p>
    <w:p w14:paraId="1EDEF422" w14:textId="77777777" w:rsidR="007C6A5F" w:rsidRPr="003E104C" w:rsidRDefault="007C6A5F" w:rsidP="008B5035">
      <w:pPr>
        <w:pStyle w:val="Heading1"/>
        <w:spacing w:line="276" w:lineRule="auto"/>
        <w:rPr>
          <w:rFonts w:cs="Times New Roman"/>
          <w:szCs w:val="24"/>
        </w:rPr>
      </w:pPr>
      <w:bookmarkStart w:id="1" w:name="_Toc224233376"/>
      <w:r w:rsidRPr="003E104C">
        <w:rPr>
          <w:rFonts w:cs="Times New Roman"/>
          <w:szCs w:val="24"/>
        </w:rPr>
        <w:t>Introduction</w:t>
      </w:r>
      <w:bookmarkEnd w:id="1"/>
    </w:p>
    <w:p w14:paraId="6A488F4C" w14:textId="5EED8522" w:rsidR="007C6A5F" w:rsidRPr="003E104C" w:rsidRDefault="007C6A5F" w:rsidP="003F7EB9">
      <w:pPr>
        <w:spacing w:line="276" w:lineRule="auto"/>
        <w:jc w:val="both"/>
      </w:pPr>
      <w:r w:rsidRPr="003E104C">
        <w:t>Faith-based hospitals constitute a cornerstone of Uganda’s health system, especially within the private-not-for-profit (PNFP) sector. In Kampala, these institutions</w:t>
      </w:r>
      <w:r w:rsidR="00430688" w:rsidRPr="003E104C">
        <w:t xml:space="preserve"> </w:t>
      </w:r>
      <w:r w:rsidRPr="003E104C">
        <w:t>affiliated with Catholic, Protestant, Muslim and Orthodox medical bureaus</w:t>
      </w:r>
      <w:r w:rsidR="00430688" w:rsidRPr="003E104C">
        <w:t xml:space="preserve"> </w:t>
      </w:r>
      <w:r w:rsidRPr="003E104C">
        <w:t>deliver a substantial proportion of primary and secondary healthcare, often serving as the main providers for marginalized and low-income populations</w:t>
      </w:r>
      <w:r w:rsidR="00620CCA" w:rsidRPr="003E104C">
        <w:t xml:space="preserve"> (</w:t>
      </w:r>
      <w:r w:rsidR="009C1974" w:rsidRPr="003E104C">
        <w:t>Government of Uganda, 2001</w:t>
      </w:r>
      <w:r w:rsidR="00620CCA" w:rsidRPr="003E104C">
        <w:t>)</w:t>
      </w:r>
      <w:r w:rsidRPr="003E104C">
        <w:t xml:space="preserve">. Despite their critical role, faith-based hospitals in </w:t>
      </w:r>
      <w:r w:rsidRPr="003E104C">
        <w:lastRenderedPageBreak/>
        <w:t>Kampala face mounting threats to financial sustainability. These include declining donor funding, unpredictable government grants, rising operational costs and the imperative to maintain affordable user fees without compromising service quality</w:t>
      </w:r>
      <w:r w:rsidR="006A67C3" w:rsidRPr="003E104C">
        <w:t xml:space="preserve"> (</w:t>
      </w:r>
      <w:r w:rsidR="00D1653C" w:rsidRPr="003E104C">
        <w:t xml:space="preserve">UNHCR, </w:t>
      </w:r>
      <w:proofErr w:type="spellStart"/>
      <w:r w:rsidR="00D1653C" w:rsidRPr="003E104C">
        <w:t>n.d</w:t>
      </w:r>
      <w:proofErr w:type="spellEnd"/>
      <w:r w:rsidR="006A67C3" w:rsidRPr="003E104C">
        <w:t>)</w:t>
      </w:r>
      <w:r w:rsidRPr="003E104C">
        <w:t>.</w:t>
      </w:r>
    </w:p>
    <w:p w14:paraId="4AA06BF7" w14:textId="77777777" w:rsidR="003C7492" w:rsidRPr="003E104C" w:rsidRDefault="003C7492" w:rsidP="008B5035">
      <w:pPr>
        <w:spacing w:line="276" w:lineRule="auto"/>
      </w:pPr>
    </w:p>
    <w:p w14:paraId="7CAE335E" w14:textId="442AD410" w:rsidR="007C6A5F" w:rsidRPr="003E104C" w:rsidRDefault="007C6A5F" w:rsidP="003F7EB9">
      <w:pPr>
        <w:spacing w:line="276" w:lineRule="auto"/>
        <w:jc w:val="both"/>
      </w:pPr>
      <w:r w:rsidRPr="003E104C">
        <w:t>Amid</w:t>
      </w:r>
      <w:r w:rsidR="00430688" w:rsidRPr="003E104C">
        <w:t>ist</w:t>
      </w:r>
      <w:r w:rsidRPr="003E104C">
        <w:t xml:space="preserve"> these challenges, the concept of cultural competence</w:t>
      </w:r>
      <w:r w:rsidR="00430688" w:rsidRPr="003E104C">
        <w:t xml:space="preserve"> </w:t>
      </w:r>
      <w:r w:rsidRPr="003E104C">
        <w:t>defined as the ability of healthcare organizations and providers to deliver care that respects and responds to the cultural, religious and linguistic needs of diverse patient populations</w:t>
      </w:r>
      <w:r w:rsidR="00430688" w:rsidRPr="003E104C">
        <w:t xml:space="preserve"> </w:t>
      </w:r>
      <w:r w:rsidRPr="003E104C">
        <w:t>has gained prominence as both an ethical imperative and a strategic asset</w:t>
      </w:r>
      <w:r w:rsidR="006A67C3" w:rsidRPr="003E104C">
        <w:t xml:space="preserve"> </w:t>
      </w:r>
      <w:r w:rsidR="00620CCA" w:rsidRPr="003E104C">
        <w:t>(</w:t>
      </w:r>
      <w:r w:rsidR="009C1974" w:rsidRPr="003E104C">
        <w:t xml:space="preserve">Albougami, Pounds </w:t>
      </w:r>
      <w:r w:rsidR="00AF0E7F" w:rsidRPr="003E104C">
        <w:t>&amp;</w:t>
      </w:r>
      <w:r w:rsidR="009C1974" w:rsidRPr="003E104C">
        <w:t xml:space="preserve"> Alotaibi, 2016</w:t>
      </w:r>
      <w:r w:rsidR="00620CCA" w:rsidRPr="003E104C">
        <w:t>)</w:t>
      </w:r>
      <w:r w:rsidRPr="003E104C">
        <w:t>. Emerging evidence suggests that culturally competent care can foster patient trust, improve satisfaction and enhance retention, all of which are vital for the financial health of PNFP hospitals</w:t>
      </w:r>
      <w:r w:rsidR="006A67C3" w:rsidRPr="003E104C">
        <w:t xml:space="preserve"> (</w:t>
      </w:r>
      <w:r w:rsidR="00A12F9A" w:rsidRPr="003E104C">
        <w:t xml:space="preserve">Siobhán, Ciarán &amp; Aoife, 2026; </w:t>
      </w:r>
      <w:r w:rsidR="006315EC" w:rsidRPr="003E104C">
        <w:rPr>
          <w:shd w:val="clear" w:color="auto" w:fill="FFFFFF"/>
        </w:rPr>
        <w:t xml:space="preserve">Birkhäuer, Gaab, Kossowsky, Hasler, Krummenacher, Werner, </w:t>
      </w:r>
      <w:r w:rsidR="006315EC" w:rsidRPr="003E104C">
        <w:rPr>
          <w:i/>
          <w:iCs/>
          <w:shd w:val="clear" w:color="auto" w:fill="FFFFFF"/>
        </w:rPr>
        <w:t>et al</w:t>
      </w:r>
      <w:r w:rsidR="006315EC" w:rsidRPr="003E104C">
        <w:rPr>
          <w:shd w:val="clear" w:color="auto" w:fill="FFFFFF"/>
        </w:rPr>
        <w:t>., 2017</w:t>
      </w:r>
      <w:r w:rsidR="006A67C3" w:rsidRPr="003E104C">
        <w:t>)</w:t>
      </w:r>
      <w:r w:rsidRPr="003E104C">
        <w:t>. Furthermore, alignment with community values and religious identities may bolster donor confidence and philanthropic giving, providing alternative revenue streams in an era of donor fatigue and shifting priorities</w:t>
      </w:r>
      <w:r w:rsidR="00153090" w:rsidRPr="003E104C">
        <w:t xml:space="preserve"> (</w:t>
      </w:r>
      <w:proofErr w:type="spellStart"/>
      <w:r w:rsidR="001A2B09" w:rsidRPr="003E104C">
        <w:t>ATLAS.ti</w:t>
      </w:r>
      <w:proofErr w:type="spellEnd"/>
      <w:r w:rsidR="001A2B09" w:rsidRPr="003E104C">
        <w:t xml:space="preserve">., </w:t>
      </w:r>
      <w:proofErr w:type="spellStart"/>
      <w:r w:rsidR="001A2B09" w:rsidRPr="003E104C">
        <w:t>n.d</w:t>
      </w:r>
      <w:proofErr w:type="spellEnd"/>
      <w:r w:rsidR="00153090" w:rsidRPr="003E104C">
        <w:t>)</w:t>
      </w:r>
      <w:r w:rsidRPr="003E104C">
        <w:t>.</w:t>
      </w:r>
    </w:p>
    <w:p w14:paraId="3E26888A" w14:textId="77777777" w:rsidR="003C7492" w:rsidRPr="003E104C" w:rsidRDefault="003C7492" w:rsidP="008B5035">
      <w:pPr>
        <w:spacing w:line="276" w:lineRule="auto"/>
      </w:pPr>
    </w:p>
    <w:p w14:paraId="41F59868" w14:textId="243AEC3A" w:rsidR="007C6A5F" w:rsidRPr="003E104C" w:rsidRDefault="004D71E3" w:rsidP="00D63123">
      <w:pPr>
        <w:spacing w:line="276" w:lineRule="auto"/>
        <w:jc w:val="both"/>
      </w:pPr>
      <w:r w:rsidRPr="003E104C">
        <w:t>Existing studies on antecedents of financial sustainability (</w:t>
      </w:r>
      <w:r w:rsidR="000F1329" w:rsidRPr="003E104C">
        <w:rPr>
          <w:lang w:val="en-GB"/>
        </w:rPr>
        <w:t xml:space="preserve">Bore </w:t>
      </w:r>
      <w:r w:rsidR="000F1329" w:rsidRPr="003E104C">
        <w:t>&amp;</w:t>
      </w:r>
      <w:r w:rsidR="000F1329" w:rsidRPr="003E104C">
        <w:rPr>
          <w:lang w:val="en-GB"/>
        </w:rPr>
        <w:t xml:space="preserve"> Macharia, 2022</w:t>
      </w:r>
      <w:r w:rsidR="000F1329" w:rsidRPr="003E104C">
        <w:t xml:space="preserve">; </w:t>
      </w:r>
      <w:r w:rsidR="000F1329" w:rsidRPr="003E104C">
        <w:rPr>
          <w:lang w:val="en-GB"/>
        </w:rPr>
        <w:t>Ebenezer, Musah</w:t>
      </w:r>
      <w:r w:rsidR="000F1329" w:rsidRPr="003E104C">
        <w:t xml:space="preserve"> &amp; </w:t>
      </w:r>
      <w:r w:rsidR="000F1329" w:rsidRPr="003E104C">
        <w:rPr>
          <w:lang w:val="en-GB"/>
        </w:rPr>
        <w:t>Ahmed, 2020</w:t>
      </w:r>
      <w:r w:rsidR="000F1329" w:rsidRPr="003E104C">
        <w:t xml:space="preserve">; </w:t>
      </w:r>
      <w:r w:rsidR="00B127DD" w:rsidRPr="003E104C">
        <w:rPr>
          <w:lang w:val="en-GB"/>
        </w:rPr>
        <w:t>Milelu,</w:t>
      </w:r>
      <w:r w:rsidR="00B127DD" w:rsidRPr="003E104C">
        <w:t xml:space="preserve"> </w:t>
      </w:r>
      <w:r w:rsidR="00B127DD" w:rsidRPr="003E104C">
        <w:rPr>
          <w:lang w:val="en-GB"/>
        </w:rPr>
        <w:t>2018</w:t>
      </w:r>
      <w:r w:rsidR="00B127DD" w:rsidRPr="003E104C">
        <w:t xml:space="preserve">; </w:t>
      </w:r>
      <w:r w:rsidR="00C11CCE" w:rsidRPr="003E104C">
        <w:t xml:space="preserve">Renoir &amp; Guttentag, 2018; </w:t>
      </w:r>
      <w:proofErr w:type="spellStart"/>
      <w:r w:rsidR="00C11CCE" w:rsidRPr="003E104C">
        <w:rPr>
          <w:lang w:val="en-GB"/>
        </w:rPr>
        <w:t>Mawudor</w:t>
      </w:r>
      <w:proofErr w:type="spellEnd"/>
      <w:r w:rsidR="00C11CCE" w:rsidRPr="003E104C">
        <w:rPr>
          <w:lang w:val="en-GB"/>
        </w:rPr>
        <w:t>, 2016</w:t>
      </w:r>
      <w:r w:rsidR="00C11CCE" w:rsidRPr="003E104C">
        <w:t>;</w:t>
      </w:r>
      <w:r w:rsidR="00CB063F" w:rsidRPr="003E104C">
        <w:t xml:space="preserve"> </w:t>
      </w:r>
      <w:r w:rsidR="00CB063F" w:rsidRPr="003E104C">
        <w:rPr>
          <w:lang w:val="en-GB"/>
        </w:rPr>
        <w:t>Bowman, 2011</w:t>
      </w:r>
      <w:r w:rsidR="00CB063F" w:rsidRPr="003E104C">
        <w:t>;</w:t>
      </w:r>
      <w:r w:rsidRPr="003E104C">
        <w:t xml:space="preserve">) have largely ignored the cultural competence, especially in </w:t>
      </w:r>
      <w:r w:rsidR="00B127DD" w:rsidRPr="003E104C">
        <w:t>faith-based</w:t>
      </w:r>
      <w:r w:rsidRPr="003E104C">
        <w:t xml:space="preserve"> hospitals, which are at a high risk of being labeled partisans, thus, making efforts of non-partisan cultural practices can increase public confidence and increase financial sustainability. </w:t>
      </w:r>
      <w:r w:rsidR="00257199" w:rsidRPr="003E104C">
        <w:t xml:space="preserve">While several studies have been conducted on cultural competence, its effect on financial sustainability has not been examined, leaving a significant empirical gap for management and policy guidelines. </w:t>
      </w:r>
      <w:r w:rsidR="007C6A5F" w:rsidRPr="003E104C">
        <w:t xml:space="preserve">This </w:t>
      </w:r>
      <w:r w:rsidR="006A67C3" w:rsidRPr="003E104C">
        <w:t>study</w:t>
      </w:r>
      <w:r w:rsidR="007C6A5F" w:rsidRPr="003E104C">
        <w:t xml:space="preserve"> addresses a critical gap in the literature by empirically examining </w:t>
      </w:r>
      <w:r w:rsidR="006A67C3" w:rsidRPr="003E104C">
        <w:t>the effect of</w:t>
      </w:r>
      <w:r w:rsidR="007C6A5F" w:rsidRPr="003E104C">
        <w:t xml:space="preserve"> </w:t>
      </w:r>
      <w:r w:rsidR="006A67C3" w:rsidRPr="003E104C">
        <w:t>planned</w:t>
      </w:r>
      <w:r w:rsidR="007C6A5F" w:rsidRPr="003E104C">
        <w:t xml:space="preserve"> cultural competence interventions </w:t>
      </w:r>
      <w:r w:rsidR="006A67C3" w:rsidRPr="003E104C">
        <w:t xml:space="preserve">on </w:t>
      </w:r>
      <w:r w:rsidR="007C6A5F" w:rsidRPr="003E104C">
        <w:t xml:space="preserve">financial sustainability of faith-based hospitals in Kampala. </w:t>
      </w:r>
      <w:r w:rsidR="006A67C3" w:rsidRPr="003E104C">
        <w:t>Employ</w:t>
      </w:r>
      <w:r w:rsidR="007C6A5F" w:rsidRPr="003E104C">
        <w:t>ing a convergent mixed-methods design, the study investigate</w:t>
      </w:r>
      <w:r w:rsidR="006A67C3" w:rsidRPr="003E104C">
        <w:t>d</w:t>
      </w:r>
      <w:r w:rsidR="007C6A5F" w:rsidRPr="003E104C">
        <w:t xml:space="preserve"> the </w:t>
      </w:r>
      <w:r w:rsidR="006A67C3" w:rsidRPr="003E104C">
        <w:t>effect</w:t>
      </w:r>
      <w:r w:rsidR="007C6A5F" w:rsidRPr="003E104C">
        <w:t xml:space="preserve"> of cultural competence on patient retention, </w:t>
      </w:r>
      <w:r w:rsidR="006A67C3" w:rsidRPr="003E104C">
        <w:t>cost</w:t>
      </w:r>
      <w:r w:rsidR="007C6A5F" w:rsidRPr="003E104C">
        <w:t xml:space="preserve"> recovery and donor diversification, </w:t>
      </w:r>
      <w:r w:rsidR="006A67C3" w:rsidRPr="003E104C">
        <w:t>mix</w:t>
      </w:r>
      <w:r w:rsidR="007C6A5F" w:rsidRPr="003E104C">
        <w:t xml:space="preserve">ing quantitative </w:t>
      </w:r>
      <w:r w:rsidR="006A67C3" w:rsidRPr="003E104C">
        <w:t>with</w:t>
      </w:r>
      <w:r w:rsidR="007C6A5F" w:rsidRPr="003E104C">
        <w:t xml:space="preserve"> qualitative </w:t>
      </w:r>
      <w:r w:rsidR="006A67C3" w:rsidRPr="003E104C">
        <w:t>data</w:t>
      </w:r>
      <w:r w:rsidR="007C6A5F" w:rsidRPr="003E104C">
        <w:t xml:space="preserve"> from patients, hospital leaders and donors. The </w:t>
      </w:r>
      <w:r w:rsidR="00A16F37" w:rsidRPr="003E104C">
        <w:t>study</w:t>
      </w:r>
      <w:r w:rsidR="007C6A5F" w:rsidRPr="003E104C">
        <w:t xml:space="preserve"> is </w:t>
      </w:r>
      <w:r w:rsidR="00A16F37" w:rsidRPr="003E104C">
        <w:t>based</w:t>
      </w:r>
      <w:r w:rsidR="007C6A5F" w:rsidRPr="003E104C">
        <w:t xml:space="preserve"> </w:t>
      </w:r>
      <w:r w:rsidR="00A16F37" w:rsidRPr="003E104C">
        <w:t>on the</w:t>
      </w:r>
      <w:r w:rsidR="007C6A5F" w:rsidRPr="003E104C">
        <w:t xml:space="preserve"> Resource Dependence Theory</w:t>
      </w:r>
      <w:r w:rsidR="002B7B5B" w:rsidRPr="003E104C">
        <w:t>,</w:t>
      </w:r>
      <w:r w:rsidR="007C6A5F" w:rsidRPr="003E104C">
        <w:t xml:space="preserve"> </w:t>
      </w:r>
      <w:r w:rsidR="00A16F37" w:rsidRPr="003E104C">
        <w:t>developed by Jeffrey Pfeffer and Gerald Salancik in 1978</w:t>
      </w:r>
      <w:r w:rsidR="002B7B5B" w:rsidRPr="003E104C">
        <w:t>, a</w:t>
      </w:r>
      <w:r w:rsidR="007C6A5F" w:rsidRPr="003E104C">
        <w:t xml:space="preserve"> leading Cultural Competence Framework, offering a theoretically robust and policy-relevant perspective on the sustainability of Uganda’s PNFP health sector</w:t>
      </w:r>
      <w:r w:rsidR="00E154B4" w:rsidRPr="003E104C">
        <w:t xml:space="preserve"> (Pfeffer &amp; </w:t>
      </w:r>
      <w:proofErr w:type="spellStart"/>
      <w:r w:rsidR="00E154B4" w:rsidRPr="003E104C">
        <w:t>Salancik</w:t>
      </w:r>
      <w:proofErr w:type="spellEnd"/>
      <w:r w:rsidR="00E154B4" w:rsidRPr="003E104C">
        <w:t>, 1978)</w:t>
      </w:r>
      <w:r w:rsidR="007C6A5F" w:rsidRPr="003E104C">
        <w:t>.</w:t>
      </w:r>
    </w:p>
    <w:p w14:paraId="2A9C779D" w14:textId="1C6AF258" w:rsidR="000F1329" w:rsidRPr="003E104C" w:rsidRDefault="000F1329" w:rsidP="008B5035">
      <w:pPr>
        <w:spacing w:line="276" w:lineRule="auto"/>
      </w:pPr>
    </w:p>
    <w:p w14:paraId="2EDA1DA0" w14:textId="77777777" w:rsidR="007C6A5F" w:rsidRPr="003E104C" w:rsidRDefault="007C6A5F" w:rsidP="008B5035">
      <w:pPr>
        <w:pStyle w:val="Heading1"/>
        <w:spacing w:line="276" w:lineRule="auto"/>
        <w:rPr>
          <w:rFonts w:cs="Times New Roman"/>
          <w:szCs w:val="24"/>
        </w:rPr>
      </w:pPr>
      <w:bookmarkStart w:id="2" w:name="_Toc224233377"/>
      <w:r w:rsidRPr="003E104C">
        <w:rPr>
          <w:rFonts w:cs="Times New Roman"/>
          <w:szCs w:val="24"/>
        </w:rPr>
        <w:t>Literature Review</w:t>
      </w:r>
      <w:bookmarkEnd w:id="2"/>
    </w:p>
    <w:p w14:paraId="306D1824" w14:textId="4A75FC54" w:rsidR="00BF6F55" w:rsidRPr="003E104C" w:rsidRDefault="00BF6F55" w:rsidP="00342341">
      <w:pPr>
        <w:pStyle w:val="Heading2"/>
        <w:spacing w:line="276" w:lineRule="auto"/>
        <w:rPr>
          <w:rFonts w:cs="Times New Roman"/>
          <w:b/>
          <w:bCs/>
          <w:color w:val="auto"/>
          <w:szCs w:val="24"/>
        </w:rPr>
      </w:pPr>
      <w:bookmarkStart w:id="3" w:name="_Toc224233378"/>
      <w:r w:rsidRPr="003E104C">
        <w:rPr>
          <w:rFonts w:cs="Times New Roman"/>
          <w:b/>
          <w:bCs/>
          <w:color w:val="auto"/>
          <w:szCs w:val="24"/>
        </w:rPr>
        <w:t>Financial Sustainability Concept</w:t>
      </w:r>
    </w:p>
    <w:p w14:paraId="0C6A795C" w14:textId="2CEF3686" w:rsidR="000264A6" w:rsidRPr="003E104C" w:rsidRDefault="004623CB" w:rsidP="00D32D11">
      <w:pPr>
        <w:spacing w:line="276" w:lineRule="auto"/>
        <w:jc w:val="both"/>
        <w:rPr>
          <w:rFonts w:ascii="Times-Roman" w:hAnsi="Times-Roman"/>
        </w:rPr>
      </w:pPr>
      <w:r w:rsidRPr="003E104C">
        <w:t>The concept of f</w:t>
      </w:r>
      <w:r w:rsidR="00BF6F55" w:rsidRPr="003E104C">
        <w:t>inancial susta</w:t>
      </w:r>
      <w:r w:rsidRPr="003E104C">
        <w:t xml:space="preserve">inability has been widely studied but variously defined in different contexts and disciplines. </w:t>
      </w:r>
      <w:r w:rsidR="008A2651" w:rsidRPr="003E104C">
        <w:t xml:space="preserve">Some authors like </w:t>
      </w:r>
      <w:proofErr w:type="spellStart"/>
      <w:r w:rsidR="006C444A" w:rsidRPr="003E104C">
        <w:rPr>
          <w:lang w:val="en-GB"/>
        </w:rPr>
        <w:t>Ryszawska</w:t>
      </w:r>
      <w:proofErr w:type="spellEnd"/>
      <w:r w:rsidR="006C444A" w:rsidRPr="003E104C">
        <w:rPr>
          <w:lang w:val="en-GB"/>
        </w:rPr>
        <w:t xml:space="preserve"> (2016</w:t>
      </w:r>
      <w:r w:rsidR="008A2651" w:rsidRPr="003E104C">
        <w:t xml:space="preserve">) </w:t>
      </w:r>
      <w:r w:rsidR="006C444A" w:rsidRPr="003E104C">
        <w:t xml:space="preserve">use a broad financial sustainability concept and </w:t>
      </w:r>
      <w:r w:rsidR="008A2651" w:rsidRPr="003E104C">
        <w:t xml:space="preserve">refer to it as sustainable development, considering the three dimensions of economic, social and environmental sustainability. </w:t>
      </w:r>
      <w:r w:rsidR="00B25311" w:rsidRPr="003E104C">
        <w:t xml:space="preserve">Alshareef and Sulimany (2024) indicated that sustainability refers to the ability of a company system to continue with its normal operations in the future in a stable way. </w:t>
      </w:r>
      <w:r w:rsidR="005F448B" w:rsidRPr="003E104C">
        <w:t xml:space="preserve">Others like </w:t>
      </w:r>
      <w:r w:rsidR="00B01BA8" w:rsidRPr="003E104C">
        <w:rPr>
          <w:lang w:val="en-GB"/>
        </w:rPr>
        <w:t>Alshareef</w:t>
      </w:r>
      <w:r w:rsidR="00B01BA8" w:rsidRPr="003E104C">
        <w:t xml:space="preserve"> </w:t>
      </w:r>
      <w:r w:rsidR="00B01BA8" w:rsidRPr="003E104C">
        <w:rPr>
          <w:lang w:val="en-GB"/>
        </w:rPr>
        <w:t>(2024</w:t>
      </w:r>
      <w:r w:rsidR="00B01BA8" w:rsidRPr="003E104C">
        <w:t xml:space="preserve">); Mubeen and Hanif (2017); </w:t>
      </w:r>
      <w:proofErr w:type="spellStart"/>
      <w:r w:rsidR="00B01BA8" w:rsidRPr="003E104C">
        <w:rPr>
          <w:lang w:val="en-GB"/>
        </w:rPr>
        <w:t>Przychodzen</w:t>
      </w:r>
      <w:proofErr w:type="spellEnd"/>
      <w:r w:rsidR="00B01BA8" w:rsidRPr="003E104C">
        <w:rPr>
          <w:lang w:val="en-GB"/>
        </w:rPr>
        <w:t xml:space="preserve"> and </w:t>
      </w:r>
      <w:proofErr w:type="spellStart"/>
      <w:r w:rsidR="00B01BA8" w:rsidRPr="003E104C">
        <w:rPr>
          <w:lang w:val="en-GB"/>
        </w:rPr>
        <w:t>Przychodzen</w:t>
      </w:r>
      <w:proofErr w:type="spellEnd"/>
      <w:r w:rsidR="00B01BA8" w:rsidRPr="003E104C">
        <w:rPr>
          <w:lang w:val="en-GB"/>
        </w:rPr>
        <w:t xml:space="preserve"> (2013</w:t>
      </w:r>
      <w:r w:rsidR="00B01BA8" w:rsidRPr="003E104C">
        <w:t xml:space="preserve">); Amouzesh, Moeinfar and Mousavi (2011) </w:t>
      </w:r>
      <w:r w:rsidR="005F448B" w:rsidRPr="003E104C">
        <w:t>refer to it as sustainable growth</w:t>
      </w:r>
      <w:r w:rsidR="00B01BA8" w:rsidRPr="003E104C">
        <w:t xml:space="preserve">, defined as </w:t>
      </w:r>
      <w:r w:rsidR="00C53A62" w:rsidRPr="003E104C">
        <w:t>the</w:t>
      </w:r>
      <w:r w:rsidR="00C53A62" w:rsidRPr="003E104C">
        <w:rPr>
          <w:lang w:val="en-GB"/>
        </w:rPr>
        <w:t xml:space="preserve"> growth in firm sales without </w:t>
      </w:r>
      <w:r w:rsidR="00C53A62" w:rsidRPr="003E104C">
        <w:t>affecting</w:t>
      </w:r>
      <w:r w:rsidR="00C53A62" w:rsidRPr="003E104C">
        <w:rPr>
          <w:lang w:val="en-GB"/>
        </w:rPr>
        <w:t xml:space="preserve"> </w:t>
      </w:r>
      <w:r w:rsidR="00C53A62" w:rsidRPr="003E104C">
        <w:t xml:space="preserve">their </w:t>
      </w:r>
      <w:r w:rsidR="00C53A62" w:rsidRPr="003E104C">
        <w:rPr>
          <w:lang w:val="en-GB"/>
        </w:rPr>
        <w:t>asset</w:t>
      </w:r>
      <w:r w:rsidR="00C53A62" w:rsidRPr="003E104C">
        <w:t xml:space="preserve"> and </w:t>
      </w:r>
      <w:r w:rsidR="00C53A62" w:rsidRPr="003E104C">
        <w:rPr>
          <w:lang w:val="en-GB"/>
        </w:rPr>
        <w:t>capital structure</w:t>
      </w:r>
      <w:r w:rsidR="00C53A62" w:rsidRPr="003E104C">
        <w:t>s</w:t>
      </w:r>
      <w:r w:rsidR="00C53A62" w:rsidRPr="003E104C">
        <w:rPr>
          <w:lang w:val="en-GB"/>
        </w:rPr>
        <w:t>.</w:t>
      </w:r>
      <w:r w:rsidR="00342341" w:rsidRPr="003E104C">
        <w:t xml:space="preserve"> According to Alshareef and Sulimany (2024)</w:t>
      </w:r>
      <w:r w:rsidR="009A7EE6" w:rsidRPr="003E104C">
        <w:t>; Dang, Ngoc, Van Nguyen and Le (2022);</w:t>
      </w:r>
      <w:r w:rsidR="00267EC3" w:rsidRPr="003E104C">
        <w:t xml:space="preserve"> </w:t>
      </w:r>
      <w:r w:rsidR="009A7EE6" w:rsidRPr="003E104C">
        <w:t xml:space="preserve">Wu, Gao, </w:t>
      </w:r>
      <w:r w:rsidR="009A7EE6" w:rsidRPr="003E104C">
        <w:lastRenderedPageBreak/>
        <w:t xml:space="preserve">Luo, Xu and Shi (2024) </w:t>
      </w:r>
      <w:r w:rsidR="00342341" w:rsidRPr="003E104C">
        <w:t xml:space="preserve">financial sustainability </w:t>
      </w:r>
      <w:r w:rsidR="00BF6F55" w:rsidRPr="003E104C">
        <w:t xml:space="preserve">is </w:t>
      </w:r>
      <w:r w:rsidR="00342341" w:rsidRPr="003E104C">
        <w:t>“</w:t>
      </w:r>
      <w:r w:rsidR="00BF6F55" w:rsidRPr="003E104C">
        <w:t>about</w:t>
      </w:r>
      <w:r w:rsidR="00342341" w:rsidRPr="003E104C">
        <w:t xml:space="preserve"> </w:t>
      </w:r>
      <w:r w:rsidR="00BF6F55" w:rsidRPr="003E104C">
        <w:t>long-term value creation, generation of stable profit and growth acceleration to meet</w:t>
      </w:r>
      <w:r w:rsidR="00342341" w:rsidRPr="003E104C">
        <w:t xml:space="preserve"> </w:t>
      </w:r>
      <w:r w:rsidR="00BF6F55" w:rsidRPr="003E104C">
        <w:t>the different needs of firms’ stakeholders</w:t>
      </w:r>
      <w:r w:rsidR="009A7EE6" w:rsidRPr="003E104C">
        <w:t>”</w:t>
      </w:r>
      <w:r w:rsidR="00BF6F55" w:rsidRPr="003E104C">
        <w:t xml:space="preserve">. </w:t>
      </w:r>
      <w:r w:rsidR="00267EC3" w:rsidRPr="003E104C">
        <w:t xml:space="preserve">Financial sustainability thus, </w:t>
      </w:r>
      <w:r w:rsidR="00267EC3" w:rsidRPr="003E104C">
        <w:rPr>
          <w:rFonts w:ascii="Times-Roman" w:hAnsi="Times-Roman"/>
        </w:rPr>
        <w:t>focuses on “financial planning and control for future survival of an organization” (</w:t>
      </w:r>
      <w:r w:rsidR="00267EC3" w:rsidRPr="003E104C">
        <w:t xml:space="preserve">Alshareef and Sulimany, 2024). </w:t>
      </w:r>
      <w:r w:rsidR="0094391C" w:rsidRPr="003E104C">
        <w:t xml:space="preserve">Measuring </w:t>
      </w:r>
      <w:r w:rsidR="00C23DFB" w:rsidRPr="003E104C">
        <w:t xml:space="preserve">financial sustainability </w:t>
      </w:r>
      <w:r w:rsidR="0094391C" w:rsidRPr="003E104C">
        <w:t xml:space="preserve">has also differed with researchers of different fields measuring it </w:t>
      </w:r>
      <w:r w:rsidR="00D103D4" w:rsidRPr="003E104C">
        <w:t>using different</w:t>
      </w:r>
      <w:r w:rsidR="0094391C" w:rsidRPr="003E104C">
        <w:t xml:space="preserve"> measures. </w:t>
      </w:r>
      <w:r w:rsidR="00D103D4" w:rsidRPr="003E104C">
        <w:t xml:space="preserve">Some measures include </w:t>
      </w:r>
      <w:r w:rsidR="00D103D4" w:rsidRPr="003E104C">
        <w:rPr>
          <w:rFonts w:ascii="Times-Roman" w:hAnsi="Times-Roman"/>
        </w:rPr>
        <w:t xml:space="preserve">financial viability, performance, financial adaptability, financial capacity and external environment among others (Klaus 2010). USAID (2001) used three financial measures; net income (revenues surplus over expenses); liquidity (cash available which enables a company to pay routine operational expenses) and solvency (relationship of assets and debt or liabilities). </w:t>
      </w:r>
      <w:r w:rsidR="000264A6" w:rsidRPr="003E104C">
        <w:rPr>
          <w:rFonts w:ascii="Times-Roman" w:hAnsi="Times-Roman"/>
        </w:rPr>
        <w:t xml:space="preserve">In the health sector context financial sustainability refers to the ability of a health facility to sustain an adequate level of funding that enables it to continue all its operations (USAID, 2001). It can be measured by aspects like ability to replace donor funding with funds from other sources </w:t>
      </w:r>
      <w:r w:rsidR="00F90670" w:rsidRPr="003E104C">
        <w:rPr>
          <w:rFonts w:ascii="Times-Roman" w:hAnsi="Times-Roman"/>
        </w:rPr>
        <w:t>when donor funds stop</w:t>
      </w:r>
      <w:r w:rsidR="000264A6" w:rsidRPr="003E104C">
        <w:rPr>
          <w:rFonts w:ascii="Times-Roman" w:hAnsi="Times-Roman"/>
        </w:rPr>
        <w:t>)</w:t>
      </w:r>
      <w:r w:rsidR="00F90670" w:rsidRPr="003E104C">
        <w:rPr>
          <w:rFonts w:ascii="Times-Roman" w:hAnsi="Times-Roman"/>
        </w:rPr>
        <w:t xml:space="preserve">. This study measured financial sustainability of faith-based hospitals using income diversification, outpatient retention, fee recovery and donor diversification. </w:t>
      </w:r>
      <w:r w:rsidR="00B81DB4" w:rsidRPr="003E104C">
        <w:rPr>
          <w:rFonts w:ascii="Times-Roman" w:hAnsi="Times-Roman"/>
        </w:rPr>
        <w:t xml:space="preserve">According to Abuor (2012) the factors affecting financial sustainability of faith-based healthcare are funds flow, level and sources. </w:t>
      </w:r>
      <w:r w:rsidR="00D32D11" w:rsidRPr="003E104C">
        <w:rPr>
          <w:rFonts w:ascii="Times-Roman" w:hAnsi="Times-Roman"/>
        </w:rPr>
        <w:t xml:space="preserve">Klaus (2010) indicated that these factors are both internal and external, which significantly determine company financial sustainability. </w:t>
      </w:r>
    </w:p>
    <w:p w14:paraId="0DB91CB2" w14:textId="77777777" w:rsidR="00D3399C" w:rsidRPr="003E104C" w:rsidRDefault="00D3399C" w:rsidP="00F90670">
      <w:pPr>
        <w:spacing w:line="276" w:lineRule="auto"/>
        <w:rPr>
          <w:rFonts w:ascii="Times-Roman" w:hAnsi="Times-Roman"/>
        </w:rPr>
      </w:pPr>
    </w:p>
    <w:p w14:paraId="3617142D" w14:textId="0D5F484B" w:rsidR="00D3399C" w:rsidRPr="003E104C" w:rsidRDefault="00D3399C" w:rsidP="00D3399C">
      <w:pPr>
        <w:pStyle w:val="Heading2"/>
        <w:spacing w:line="276" w:lineRule="auto"/>
        <w:rPr>
          <w:rFonts w:cs="Times New Roman"/>
          <w:b/>
          <w:bCs/>
          <w:color w:val="auto"/>
          <w:szCs w:val="24"/>
        </w:rPr>
      </w:pPr>
      <w:r w:rsidRPr="003E104C">
        <w:rPr>
          <w:rFonts w:cs="Times New Roman"/>
          <w:b/>
          <w:bCs/>
          <w:color w:val="auto"/>
          <w:szCs w:val="24"/>
        </w:rPr>
        <w:t>The Concept of Cultural Competence</w:t>
      </w:r>
    </w:p>
    <w:p w14:paraId="5475F9AA" w14:textId="56A9A16D" w:rsidR="00A41AA5" w:rsidRPr="003E104C" w:rsidRDefault="00D3399C" w:rsidP="00A41AA5">
      <w:pPr>
        <w:spacing w:line="276" w:lineRule="auto"/>
        <w:jc w:val="both"/>
        <w:rPr>
          <w:rFonts w:ascii="Times-Roman" w:hAnsi="Times-Roman"/>
        </w:rPr>
      </w:pPr>
      <w:r w:rsidRPr="003E104C">
        <w:rPr>
          <w:rFonts w:ascii="Times-Roman" w:hAnsi="Times-Roman"/>
        </w:rPr>
        <w:t>Cultural competence refers to</w:t>
      </w:r>
      <w:r w:rsidR="003F7EB9" w:rsidRPr="003E104C">
        <w:rPr>
          <w:rFonts w:ascii="Times-Roman" w:hAnsi="Times-Roman"/>
        </w:rPr>
        <w:t xml:space="preserve"> “knowledge, skills and attitudes that enable individuals and organizations to function effectively in cross-cultural contexts”. According to Lee, Sung and Fan (2025</w:t>
      </w:r>
      <w:r w:rsidR="00C56850" w:rsidRPr="003E104C">
        <w:rPr>
          <w:rFonts w:ascii="Times-Roman" w:hAnsi="Times-Roman"/>
        </w:rPr>
        <w:t xml:space="preserve">), cultural competence can be </w:t>
      </w:r>
      <w:r w:rsidR="00A437F4" w:rsidRPr="003E104C">
        <w:rPr>
          <w:rFonts w:ascii="Times-Roman" w:hAnsi="Times-Roman"/>
        </w:rPr>
        <w:t>fostered through education and training</w:t>
      </w:r>
      <w:r w:rsidR="007151EC" w:rsidRPr="003E104C">
        <w:rPr>
          <w:rFonts w:ascii="Times-Roman" w:hAnsi="Times-Roman"/>
        </w:rPr>
        <w:t xml:space="preserve">. </w:t>
      </w:r>
      <w:r w:rsidR="00A41AA5" w:rsidRPr="003E104C">
        <w:rPr>
          <w:rFonts w:ascii="Times-Roman" w:hAnsi="Times-Roman"/>
        </w:rPr>
        <w:t>According</w:t>
      </w:r>
      <w:r w:rsidR="00550D81" w:rsidRPr="003E104C">
        <w:rPr>
          <w:rFonts w:ascii="Times-Roman" w:hAnsi="Times-Roman"/>
        </w:rPr>
        <w:t xml:space="preserve"> to Majda, Bodys-Cupak, Zalewska-Puchała and Barzykowski (2021) c</w:t>
      </w:r>
      <w:r w:rsidR="00A41AA5" w:rsidRPr="003E104C">
        <w:rPr>
          <w:rFonts w:ascii="Times-Roman" w:hAnsi="Times-Roman"/>
        </w:rPr>
        <w:t xml:space="preserve">ultural competencies </w:t>
      </w:r>
      <w:r w:rsidR="00550D81" w:rsidRPr="003E104C">
        <w:rPr>
          <w:rFonts w:ascii="Times-Roman" w:hAnsi="Times-Roman"/>
        </w:rPr>
        <w:t>are</w:t>
      </w:r>
      <w:r w:rsidR="00A41AA5" w:rsidRPr="003E104C">
        <w:rPr>
          <w:rFonts w:ascii="Times-Roman" w:hAnsi="Times-Roman"/>
        </w:rPr>
        <w:t xml:space="preserve"> a </w:t>
      </w:r>
      <w:r w:rsidR="00550D81" w:rsidRPr="003E104C">
        <w:rPr>
          <w:rFonts w:ascii="Times-Roman" w:hAnsi="Times-Roman"/>
        </w:rPr>
        <w:t>“</w:t>
      </w:r>
      <w:r w:rsidR="00A41AA5" w:rsidRPr="003E104C">
        <w:rPr>
          <w:rFonts w:ascii="Times-Roman" w:hAnsi="Times-Roman"/>
        </w:rPr>
        <w:t>set of uniform</w:t>
      </w:r>
      <w:r w:rsidR="00550D81" w:rsidRPr="003E104C">
        <w:rPr>
          <w:rFonts w:ascii="Times-Roman" w:hAnsi="Times-Roman"/>
        </w:rPr>
        <w:t xml:space="preserve"> </w:t>
      </w:r>
      <w:r w:rsidR="00A41AA5" w:rsidRPr="003E104C">
        <w:rPr>
          <w:rFonts w:ascii="Times-Roman" w:hAnsi="Times-Roman"/>
        </w:rPr>
        <w:t>attitudes, behaviors and principles of medical professionals</w:t>
      </w:r>
      <w:r w:rsidR="00550D81" w:rsidRPr="003E104C">
        <w:rPr>
          <w:rFonts w:ascii="Times-Roman" w:hAnsi="Times-Roman"/>
        </w:rPr>
        <w:t>” that them</w:t>
      </w:r>
      <w:r w:rsidR="00A41AA5" w:rsidRPr="003E104C">
        <w:rPr>
          <w:rFonts w:ascii="Times-Roman" w:hAnsi="Times-Roman"/>
        </w:rPr>
        <w:t xml:space="preserve"> to </w:t>
      </w:r>
      <w:r w:rsidR="00550D81" w:rsidRPr="003E104C">
        <w:rPr>
          <w:rFonts w:ascii="Times-Roman" w:hAnsi="Times-Roman"/>
        </w:rPr>
        <w:t xml:space="preserve">deal </w:t>
      </w:r>
      <w:r w:rsidR="00A41AA5" w:rsidRPr="003E104C">
        <w:rPr>
          <w:rFonts w:ascii="Times-Roman" w:hAnsi="Times-Roman"/>
        </w:rPr>
        <w:t xml:space="preserve">effectively with people </w:t>
      </w:r>
      <w:r w:rsidR="00550D81" w:rsidRPr="003E104C">
        <w:rPr>
          <w:rFonts w:ascii="Times-Roman" w:hAnsi="Times-Roman"/>
        </w:rPr>
        <w:t>of diverse</w:t>
      </w:r>
      <w:r w:rsidR="00A41AA5" w:rsidRPr="003E104C">
        <w:rPr>
          <w:rFonts w:ascii="Times-Roman" w:hAnsi="Times-Roman"/>
        </w:rPr>
        <w:t xml:space="preserve"> cultures.</w:t>
      </w:r>
      <w:r w:rsidR="00C02259" w:rsidRPr="003E104C">
        <w:rPr>
          <w:rFonts w:ascii="Times-Roman" w:hAnsi="Times-Roman"/>
        </w:rPr>
        <w:t xml:space="preserve"> Measurement of cultural competence was done using the CC</w:t>
      </w:r>
      <w:r w:rsidR="00882C5B" w:rsidRPr="003E104C">
        <w:rPr>
          <w:rFonts w:ascii="Times-Roman" w:hAnsi="Times-Roman"/>
        </w:rPr>
        <w:t xml:space="preserve">AI, as presented by Balkazar </w:t>
      </w:r>
      <w:r w:rsidR="00882C5B" w:rsidRPr="003E104C">
        <w:rPr>
          <w:rFonts w:ascii="Times-Roman" w:hAnsi="Times-Roman"/>
          <w:i/>
          <w:iCs/>
        </w:rPr>
        <w:t>et al</w:t>
      </w:r>
      <w:r w:rsidR="00962B34" w:rsidRPr="003E104C">
        <w:rPr>
          <w:rFonts w:ascii="Times-Roman" w:hAnsi="Times-Roman"/>
        </w:rPr>
        <w:t xml:space="preserve"> (</w:t>
      </w:r>
      <w:r w:rsidR="00882C5B" w:rsidRPr="003E104C">
        <w:rPr>
          <w:rFonts w:ascii="Times-Roman" w:hAnsi="Times-Roman"/>
        </w:rPr>
        <w:t>2009</w:t>
      </w:r>
      <w:r w:rsidR="00962B34" w:rsidRPr="003E104C">
        <w:rPr>
          <w:rFonts w:ascii="Times-Roman" w:hAnsi="Times-Roman"/>
        </w:rPr>
        <w:t xml:space="preserve">) based on </w:t>
      </w:r>
      <w:r w:rsidR="00882C5B" w:rsidRPr="003E104C">
        <w:rPr>
          <w:rFonts w:ascii="Times-Roman" w:hAnsi="Times-Roman"/>
        </w:rPr>
        <w:t xml:space="preserve">four </w:t>
      </w:r>
      <w:r w:rsidR="00962B34" w:rsidRPr="003E104C">
        <w:rPr>
          <w:rFonts w:ascii="Times-Roman" w:hAnsi="Times-Roman"/>
        </w:rPr>
        <w:t xml:space="preserve">dimensions of </w:t>
      </w:r>
      <w:r w:rsidR="00882C5B" w:rsidRPr="003E104C">
        <w:rPr>
          <w:rFonts w:ascii="Times-Roman" w:hAnsi="Times-Roman"/>
        </w:rPr>
        <w:t>cultural awareness, cultural knowledge, cultural skills and cultural practice</w:t>
      </w:r>
      <w:r w:rsidR="00962B34" w:rsidRPr="003E104C">
        <w:rPr>
          <w:rFonts w:ascii="Times-Roman" w:hAnsi="Times-Roman"/>
        </w:rPr>
        <w:t xml:space="preserve"> (Zarzycka, Chrzan-Rodak, Niedorys-Kaczmarczyk and Slusarska, 2020). </w:t>
      </w:r>
      <w:r w:rsidR="008C46C5" w:rsidRPr="003E104C">
        <w:rPr>
          <w:rFonts w:ascii="Times-Roman" w:hAnsi="Times-Roman"/>
        </w:rPr>
        <w:t>This study conceptualised</w:t>
      </w:r>
      <w:r w:rsidR="008218FC" w:rsidRPr="003E104C">
        <w:rPr>
          <w:rFonts w:ascii="Times-Roman" w:hAnsi="Times-Roman"/>
        </w:rPr>
        <w:t xml:space="preserve"> cultural competence to be a significant determinant of financial sustainability in faith-based hospitals in Kampala Uganda. As depicted in the conceptual framework (Fig. 1), an increase in conceptual competence is expected to </w:t>
      </w:r>
      <w:r w:rsidR="00083E4F" w:rsidRPr="003E104C">
        <w:rPr>
          <w:rFonts w:ascii="Times-Roman" w:hAnsi="Times-Roman"/>
        </w:rPr>
        <w:t>increase financial sustainability of faith-based hospitals and vice versa.</w:t>
      </w:r>
    </w:p>
    <w:p w14:paraId="44C6C5C0" w14:textId="01AB5BE3" w:rsidR="0026523B" w:rsidRPr="003E104C" w:rsidRDefault="005A1450" w:rsidP="00A41AA5">
      <w:pPr>
        <w:spacing w:line="276" w:lineRule="auto"/>
        <w:jc w:val="both"/>
        <w:rPr>
          <w:rFonts w:ascii="Times-Roman" w:hAnsi="Times-Roman"/>
        </w:rPr>
      </w:pPr>
      <w:r w:rsidRPr="003E104C">
        <w:rPr>
          <w:rFonts w:ascii="Times-Roman" w:hAnsi="Times-Roman"/>
          <w:noProof/>
          <w14:ligatures w14:val="standardContextual"/>
        </w:rPr>
        <mc:AlternateContent>
          <mc:Choice Requires="wps">
            <w:drawing>
              <wp:anchor distT="0" distB="0" distL="114300" distR="114300" simplePos="0" relativeHeight="251658240" behindDoc="0" locked="0" layoutInCell="1" allowOverlap="1" wp14:anchorId="79F36426" wp14:editId="5EAF2F03">
                <wp:simplePos x="0" y="0"/>
                <wp:positionH relativeFrom="column">
                  <wp:posOffset>-69850</wp:posOffset>
                </wp:positionH>
                <wp:positionV relativeFrom="paragraph">
                  <wp:posOffset>75565</wp:posOffset>
                </wp:positionV>
                <wp:extent cx="1924050" cy="1060450"/>
                <wp:effectExtent l="6350" t="12700" r="1270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60450"/>
                        </a:xfrm>
                        <a:prstGeom prst="rect">
                          <a:avLst/>
                        </a:prstGeom>
                        <a:solidFill>
                          <a:srgbClr val="FFFFFF"/>
                        </a:solidFill>
                        <a:ln w="9525">
                          <a:solidFill>
                            <a:srgbClr val="000000"/>
                          </a:solidFill>
                          <a:miter lim="800000"/>
                          <a:headEnd/>
                          <a:tailEnd/>
                        </a:ln>
                      </wps:spPr>
                      <wps:txbx>
                        <w:txbxContent>
                          <w:p w14:paraId="04160AA0" w14:textId="70044EA9" w:rsidR="0026523B" w:rsidRPr="0026523B" w:rsidRDefault="0026523B" w:rsidP="0026523B">
                            <w:pPr>
                              <w:tabs>
                                <w:tab w:val="left" w:pos="142"/>
                              </w:tabs>
                              <w:ind w:left="426" w:hanging="426"/>
                              <w:rPr>
                                <w:b/>
                                <w:bCs/>
                              </w:rPr>
                            </w:pPr>
                            <w:r w:rsidRPr="0026523B">
                              <w:rPr>
                                <w:b/>
                                <w:bCs/>
                              </w:rPr>
                              <w:t>Cultural Competence</w:t>
                            </w:r>
                          </w:p>
                          <w:p w14:paraId="1981A7DA" w14:textId="38A49D2D" w:rsidR="0026523B" w:rsidRDefault="0026523B" w:rsidP="00F562FB">
                            <w:pPr>
                              <w:pStyle w:val="ListParagraph"/>
                              <w:numPr>
                                <w:ilvl w:val="0"/>
                                <w:numId w:val="11"/>
                              </w:numPr>
                              <w:tabs>
                                <w:tab w:val="left" w:pos="142"/>
                                <w:tab w:val="left" w:pos="284"/>
                              </w:tabs>
                              <w:ind w:left="426"/>
                            </w:pPr>
                            <w:r>
                              <w:t>Cultural awareness</w:t>
                            </w:r>
                          </w:p>
                          <w:p w14:paraId="7E2F7D01" w14:textId="19244FBF" w:rsidR="0026523B" w:rsidRDefault="0026523B" w:rsidP="00F562FB">
                            <w:pPr>
                              <w:pStyle w:val="ListParagraph"/>
                              <w:numPr>
                                <w:ilvl w:val="0"/>
                                <w:numId w:val="11"/>
                              </w:numPr>
                              <w:tabs>
                                <w:tab w:val="left" w:pos="142"/>
                                <w:tab w:val="left" w:pos="284"/>
                              </w:tabs>
                              <w:ind w:left="426"/>
                            </w:pPr>
                            <w:r>
                              <w:t xml:space="preserve">Cultural knowledge </w:t>
                            </w:r>
                          </w:p>
                          <w:p w14:paraId="19EC6D0B" w14:textId="20123B6E" w:rsidR="0026523B" w:rsidRDefault="0026523B" w:rsidP="00F562FB">
                            <w:pPr>
                              <w:pStyle w:val="ListParagraph"/>
                              <w:numPr>
                                <w:ilvl w:val="0"/>
                                <w:numId w:val="11"/>
                              </w:numPr>
                              <w:tabs>
                                <w:tab w:val="left" w:pos="142"/>
                                <w:tab w:val="left" w:pos="284"/>
                              </w:tabs>
                              <w:ind w:left="426"/>
                            </w:pPr>
                            <w:r>
                              <w:t>Cultural skills</w:t>
                            </w:r>
                          </w:p>
                          <w:p w14:paraId="74E125B7" w14:textId="2CC121A9" w:rsidR="0026523B" w:rsidRDefault="0026523B" w:rsidP="00F562FB">
                            <w:pPr>
                              <w:pStyle w:val="ListParagraph"/>
                              <w:numPr>
                                <w:ilvl w:val="0"/>
                                <w:numId w:val="11"/>
                              </w:numPr>
                              <w:tabs>
                                <w:tab w:val="left" w:pos="142"/>
                                <w:tab w:val="left" w:pos="284"/>
                              </w:tabs>
                              <w:ind w:left="426"/>
                            </w:pPr>
                            <w:r>
                              <w:t>Cultural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36426" id="Rectangle 2" o:spid="_x0000_s1026" style="position:absolute;left:0;text-align:left;margin-left:-5.5pt;margin-top:5.95pt;width:151.5pt;height: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">
                <v:textbox>
                  <w:txbxContent>
                    <w:p w14:paraId="04160AA0" w14:textId="70044EA9" w:rsidR="0026523B" w:rsidRPr="0026523B" w:rsidRDefault="0026523B" w:rsidP="0026523B">
                      <w:pPr>
                        <w:tabs>
                          <w:tab w:val="left" w:pos="142"/>
                        </w:tabs>
                        <w:ind w:left="426" w:hanging="426"/>
                        <w:rPr>
                          <w:b/>
                          <w:bCs/>
                        </w:rPr>
                      </w:pPr>
                      <w:r w:rsidRPr="0026523B">
                        <w:rPr>
                          <w:b/>
                          <w:bCs/>
                        </w:rPr>
                        <w:t>Cultural Competence</w:t>
                      </w:r>
                    </w:p>
                    <w:p w14:paraId="1981A7DA" w14:textId="38A49D2D" w:rsidR="0026523B" w:rsidRDefault="0026523B" w:rsidP="00F562FB">
                      <w:pPr>
                        <w:pStyle w:val="ListParagraph"/>
                        <w:numPr>
                          <w:ilvl w:val="0"/>
                          <w:numId w:val="11"/>
                        </w:numPr>
                        <w:tabs>
                          <w:tab w:val="left" w:pos="142"/>
                          <w:tab w:val="left" w:pos="284"/>
                        </w:tabs>
                        <w:ind w:left="426"/>
                      </w:pPr>
                      <w:r>
                        <w:t>Cultural awareness</w:t>
                      </w:r>
                    </w:p>
                    <w:p w14:paraId="7E2F7D01" w14:textId="19244FBF" w:rsidR="0026523B" w:rsidRDefault="0026523B" w:rsidP="00F562FB">
                      <w:pPr>
                        <w:pStyle w:val="ListParagraph"/>
                        <w:numPr>
                          <w:ilvl w:val="0"/>
                          <w:numId w:val="11"/>
                        </w:numPr>
                        <w:tabs>
                          <w:tab w:val="left" w:pos="142"/>
                          <w:tab w:val="left" w:pos="284"/>
                        </w:tabs>
                        <w:ind w:left="426"/>
                      </w:pPr>
                      <w:r>
                        <w:t xml:space="preserve">Cultural knowledge </w:t>
                      </w:r>
                    </w:p>
                    <w:p w14:paraId="19EC6D0B" w14:textId="20123B6E" w:rsidR="0026523B" w:rsidRDefault="0026523B" w:rsidP="00F562FB">
                      <w:pPr>
                        <w:pStyle w:val="ListParagraph"/>
                        <w:numPr>
                          <w:ilvl w:val="0"/>
                          <w:numId w:val="11"/>
                        </w:numPr>
                        <w:tabs>
                          <w:tab w:val="left" w:pos="142"/>
                          <w:tab w:val="left" w:pos="284"/>
                        </w:tabs>
                        <w:ind w:left="426"/>
                      </w:pPr>
                      <w:r>
                        <w:t>Cultural skills</w:t>
                      </w:r>
                    </w:p>
                    <w:p w14:paraId="74E125B7" w14:textId="2CC121A9" w:rsidR="0026523B" w:rsidRDefault="0026523B" w:rsidP="00F562FB">
                      <w:pPr>
                        <w:pStyle w:val="ListParagraph"/>
                        <w:numPr>
                          <w:ilvl w:val="0"/>
                          <w:numId w:val="11"/>
                        </w:numPr>
                        <w:tabs>
                          <w:tab w:val="left" w:pos="142"/>
                          <w:tab w:val="left" w:pos="284"/>
                        </w:tabs>
                        <w:ind w:left="426"/>
                      </w:pPr>
                      <w:r>
                        <w:t>Cultural practice</w:t>
                      </w:r>
                    </w:p>
                  </w:txbxContent>
                </v:textbox>
              </v:rect>
            </w:pict>
          </mc:Fallback>
        </mc:AlternateContent>
      </w:r>
      <w:r w:rsidRPr="003E104C">
        <w:rPr>
          <w:rFonts w:ascii="Times-Roman" w:hAnsi="Times-Roman"/>
          <w:noProof/>
          <w14:ligatures w14:val="standardContextual"/>
        </w:rPr>
        <mc:AlternateContent>
          <mc:Choice Requires="wps">
            <w:drawing>
              <wp:anchor distT="0" distB="0" distL="114300" distR="114300" simplePos="0" relativeHeight="251659264" behindDoc="0" locked="0" layoutInCell="1" allowOverlap="1" wp14:anchorId="79F36426" wp14:editId="6A3C5187">
                <wp:simplePos x="0" y="0"/>
                <wp:positionH relativeFrom="column">
                  <wp:posOffset>3200400</wp:posOffset>
                </wp:positionH>
                <wp:positionV relativeFrom="paragraph">
                  <wp:posOffset>107315</wp:posOffset>
                </wp:positionV>
                <wp:extent cx="1924050" cy="990600"/>
                <wp:effectExtent l="952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990600"/>
                        </a:xfrm>
                        <a:prstGeom prst="rect">
                          <a:avLst/>
                        </a:prstGeom>
                        <a:solidFill>
                          <a:srgbClr val="FFFFFF"/>
                        </a:solidFill>
                        <a:ln w="9525">
                          <a:solidFill>
                            <a:srgbClr val="000000"/>
                          </a:solidFill>
                          <a:miter lim="800000"/>
                          <a:headEnd/>
                          <a:tailEnd/>
                        </a:ln>
                      </wps:spPr>
                      <wps:txbx>
                        <w:txbxContent>
                          <w:p w14:paraId="0F39570D" w14:textId="6885D941" w:rsidR="0026523B" w:rsidRPr="0026523B" w:rsidRDefault="0026523B" w:rsidP="0026523B">
                            <w:pPr>
                              <w:tabs>
                                <w:tab w:val="left" w:pos="284"/>
                              </w:tabs>
                              <w:spacing w:line="276" w:lineRule="auto"/>
                              <w:rPr>
                                <w:b/>
                                <w:bCs/>
                              </w:rPr>
                            </w:pPr>
                            <w:r w:rsidRPr="0026523B">
                              <w:rPr>
                                <w:rFonts w:ascii="Times-Roman" w:hAnsi="Times-Roman"/>
                                <w:b/>
                                <w:bCs/>
                                <w:color w:val="000000"/>
                              </w:rPr>
                              <w:t>Financial Sustainability</w:t>
                            </w:r>
                          </w:p>
                          <w:p w14:paraId="32E13442" w14:textId="541B491A" w:rsidR="0026523B" w:rsidRPr="0026523B" w:rsidRDefault="0026523B" w:rsidP="0026523B">
                            <w:pPr>
                              <w:pStyle w:val="ListParagraph"/>
                              <w:numPr>
                                <w:ilvl w:val="1"/>
                                <w:numId w:val="9"/>
                              </w:numPr>
                              <w:tabs>
                                <w:tab w:val="left" w:pos="284"/>
                                <w:tab w:val="left" w:pos="567"/>
                              </w:tabs>
                              <w:spacing w:line="276" w:lineRule="auto"/>
                              <w:ind w:left="709"/>
                            </w:pPr>
                            <w:r>
                              <w:t>Outpatient retention</w:t>
                            </w:r>
                          </w:p>
                          <w:p w14:paraId="74562B86" w14:textId="183E8E2E" w:rsidR="0026523B" w:rsidRPr="0026523B" w:rsidRDefault="0026523B" w:rsidP="0026523B">
                            <w:pPr>
                              <w:pStyle w:val="ListParagraph"/>
                              <w:numPr>
                                <w:ilvl w:val="1"/>
                                <w:numId w:val="9"/>
                              </w:numPr>
                              <w:tabs>
                                <w:tab w:val="left" w:pos="284"/>
                                <w:tab w:val="left" w:pos="567"/>
                              </w:tabs>
                              <w:spacing w:line="276" w:lineRule="auto"/>
                              <w:ind w:left="709"/>
                            </w:pPr>
                            <w:r>
                              <w:rPr>
                                <w:rFonts w:ascii="Times-Roman" w:hAnsi="Times-Roman"/>
                                <w:color w:val="000000"/>
                              </w:rPr>
                              <w:t>User fee recovery</w:t>
                            </w:r>
                          </w:p>
                          <w:p w14:paraId="25959F14" w14:textId="33F6A5AC" w:rsidR="0026523B" w:rsidRDefault="0026523B" w:rsidP="0026523B">
                            <w:pPr>
                              <w:pStyle w:val="ListParagraph"/>
                              <w:numPr>
                                <w:ilvl w:val="1"/>
                                <w:numId w:val="9"/>
                              </w:numPr>
                              <w:tabs>
                                <w:tab w:val="left" w:pos="284"/>
                                <w:tab w:val="left" w:pos="567"/>
                              </w:tabs>
                              <w:spacing w:line="276" w:lineRule="auto"/>
                              <w:ind w:left="709"/>
                            </w:pPr>
                            <w:r>
                              <w:rPr>
                                <w:rFonts w:ascii="Times-Roman" w:hAnsi="Times-Roman"/>
                                <w:color w:val="000000"/>
                              </w:rPr>
                              <w:t>Donor diversification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36426" id="Rectangle 3" o:spid="_x0000_s1027" style="position:absolute;left:0;text-align:left;margin-left:252pt;margin-top:8.45pt;width:151.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">
                <v:textbox>
                  <w:txbxContent>
                    <w:p w14:paraId="0F39570D" w14:textId="6885D941" w:rsidR="0026523B" w:rsidRPr="0026523B" w:rsidRDefault="0026523B" w:rsidP="0026523B">
                      <w:pPr>
                        <w:tabs>
                          <w:tab w:val="left" w:pos="284"/>
                        </w:tabs>
                        <w:spacing w:line="276" w:lineRule="auto"/>
                        <w:rPr>
                          <w:b/>
                          <w:bCs/>
                        </w:rPr>
                      </w:pPr>
                      <w:r w:rsidRPr="0026523B">
                        <w:rPr>
                          <w:rFonts w:ascii="Times-Roman" w:hAnsi="Times-Roman"/>
                          <w:b/>
                          <w:bCs/>
                          <w:color w:val="000000"/>
                        </w:rPr>
                        <w:t>Financial Sustainability</w:t>
                      </w:r>
                    </w:p>
                    <w:p w14:paraId="32E13442" w14:textId="541B491A" w:rsidR="0026523B" w:rsidRPr="0026523B" w:rsidRDefault="0026523B" w:rsidP="0026523B">
                      <w:pPr>
                        <w:pStyle w:val="ListParagraph"/>
                        <w:numPr>
                          <w:ilvl w:val="1"/>
                          <w:numId w:val="9"/>
                        </w:numPr>
                        <w:tabs>
                          <w:tab w:val="left" w:pos="284"/>
                          <w:tab w:val="left" w:pos="567"/>
                        </w:tabs>
                        <w:spacing w:line="276" w:lineRule="auto"/>
                        <w:ind w:left="709"/>
                      </w:pPr>
                      <w:r>
                        <w:t>Outpatient retention</w:t>
                      </w:r>
                    </w:p>
                    <w:p w14:paraId="74562B86" w14:textId="183E8E2E" w:rsidR="0026523B" w:rsidRPr="0026523B" w:rsidRDefault="0026523B" w:rsidP="0026523B">
                      <w:pPr>
                        <w:pStyle w:val="ListParagraph"/>
                        <w:numPr>
                          <w:ilvl w:val="1"/>
                          <w:numId w:val="9"/>
                        </w:numPr>
                        <w:tabs>
                          <w:tab w:val="left" w:pos="284"/>
                          <w:tab w:val="left" w:pos="567"/>
                        </w:tabs>
                        <w:spacing w:line="276" w:lineRule="auto"/>
                        <w:ind w:left="709"/>
                      </w:pPr>
                      <w:r>
                        <w:rPr>
                          <w:rFonts w:ascii="Times-Roman" w:hAnsi="Times-Roman"/>
                          <w:color w:val="000000"/>
                        </w:rPr>
                        <w:t>User fee recovery</w:t>
                      </w:r>
                    </w:p>
                    <w:p w14:paraId="25959F14" w14:textId="33F6A5AC" w:rsidR="0026523B" w:rsidRDefault="0026523B" w:rsidP="0026523B">
                      <w:pPr>
                        <w:pStyle w:val="ListParagraph"/>
                        <w:numPr>
                          <w:ilvl w:val="1"/>
                          <w:numId w:val="9"/>
                        </w:numPr>
                        <w:tabs>
                          <w:tab w:val="left" w:pos="284"/>
                          <w:tab w:val="left" w:pos="567"/>
                        </w:tabs>
                        <w:spacing w:line="276" w:lineRule="auto"/>
                        <w:ind w:left="709"/>
                      </w:pPr>
                      <w:r>
                        <w:rPr>
                          <w:rFonts w:ascii="Times-Roman" w:hAnsi="Times-Roman"/>
                          <w:color w:val="000000"/>
                        </w:rPr>
                        <w:t>Donor diversification</w:t>
                      </w:r>
                    </w:p>
                  </w:txbxContent>
                </v:textbox>
              </v:rect>
            </w:pict>
          </mc:Fallback>
        </mc:AlternateContent>
      </w:r>
    </w:p>
    <w:p w14:paraId="5EF99E12" w14:textId="77777777" w:rsidR="0026523B" w:rsidRPr="003E104C" w:rsidRDefault="0026523B" w:rsidP="00A41AA5">
      <w:pPr>
        <w:spacing w:line="276" w:lineRule="auto"/>
        <w:jc w:val="both"/>
        <w:rPr>
          <w:rFonts w:ascii="Times-Roman" w:hAnsi="Times-Roman"/>
        </w:rPr>
      </w:pPr>
    </w:p>
    <w:p w14:paraId="0E6CF830" w14:textId="3FC0C7F7" w:rsidR="00083E4F" w:rsidRPr="003E104C" w:rsidRDefault="005A1450" w:rsidP="00A41AA5">
      <w:pPr>
        <w:spacing w:line="276" w:lineRule="auto"/>
        <w:jc w:val="both"/>
        <w:rPr>
          <w:rFonts w:ascii="Times-Roman" w:hAnsi="Times-Roman"/>
        </w:rPr>
      </w:pPr>
      <w:r w:rsidRPr="003E104C">
        <w:rPr>
          <w:rFonts w:ascii="Times-Roman" w:hAnsi="Times-Roman"/>
          <w:noProof/>
          <w14:ligatures w14:val="standardContextual"/>
        </w:rPr>
        <mc:AlternateContent>
          <mc:Choice Requires="wps">
            <w:drawing>
              <wp:anchor distT="0" distB="0" distL="114300" distR="114300" simplePos="0" relativeHeight="251660288" behindDoc="0" locked="0" layoutInCell="1" allowOverlap="1" wp14:anchorId="276BD186" wp14:editId="3DFD76BB">
                <wp:simplePos x="0" y="0"/>
                <wp:positionH relativeFrom="column">
                  <wp:posOffset>1860550</wp:posOffset>
                </wp:positionH>
                <wp:positionV relativeFrom="paragraph">
                  <wp:posOffset>151765</wp:posOffset>
                </wp:positionV>
                <wp:extent cx="1333500" cy="0"/>
                <wp:effectExtent l="12700" t="53975" r="15875" b="603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4F9E9" id="_x0000_t32" coordsize="21600,21600" o:spt="32" o:oned="t" path="m,l21600,21600e" filled="f">
                <v:path arrowok="t" fillok="f" o:connecttype="none"/>
                <o:lock v:ext="edit" shapetype="t"/>
              </v:shapetype>
              <v:shape id="AutoShape 4" o:spid="_x0000_s1026" type="#_x0000_t32" style="position:absolute;margin-left:146.5pt;margin-top:11.95pt;width: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">
                <v:stroke endarrow="block"/>
              </v:shape>
            </w:pict>
          </mc:Fallback>
        </mc:AlternateContent>
      </w:r>
    </w:p>
    <w:p w14:paraId="2490D849" w14:textId="77777777" w:rsidR="0026523B" w:rsidRPr="003E104C" w:rsidRDefault="0026523B" w:rsidP="008C46C5">
      <w:pPr>
        <w:pStyle w:val="Heading2"/>
        <w:numPr>
          <w:ilvl w:val="0"/>
          <w:numId w:val="0"/>
        </w:numPr>
        <w:spacing w:line="276" w:lineRule="auto"/>
        <w:ind w:left="576" w:hanging="576"/>
        <w:rPr>
          <w:rFonts w:cs="Times New Roman"/>
          <w:b/>
          <w:bCs/>
          <w:color w:val="auto"/>
          <w:szCs w:val="24"/>
        </w:rPr>
      </w:pPr>
    </w:p>
    <w:p w14:paraId="47BE972A" w14:textId="77777777" w:rsidR="0026523B" w:rsidRPr="003E104C" w:rsidRDefault="0026523B" w:rsidP="008C46C5">
      <w:pPr>
        <w:pStyle w:val="Heading2"/>
        <w:numPr>
          <w:ilvl w:val="0"/>
          <w:numId w:val="0"/>
        </w:numPr>
        <w:spacing w:line="276" w:lineRule="auto"/>
        <w:ind w:left="576" w:hanging="576"/>
        <w:rPr>
          <w:rFonts w:cs="Times New Roman"/>
          <w:b/>
          <w:bCs/>
          <w:color w:val="auto"/>
          <w:szCs w:val="24"/>
        </w:rPr>
      </w:pPr>
    </w:p>
    <w:p w14:paraId="74D6A1B4" w14:textId="77777777" w:rsidR="0026523B" w:rsidRPr="003E104C" w:rsidRDefault="0026523B" w:rsidP="008C46C5">
      <w:pPr>
        <w:pStyle w:val="Heading2"/>
        <w:numPr>
          <w:ilvl w:val="0"/>
          <w:numId w:val="0"/>
        </w:numPr>
        <w:spacing w:line="276" w:lineRule="auto"/>
        <w:ind w:left="576" w:hanging="576"/>
        <w:rPr>
          <w:rFonts w:cs="Times New Roman"/>
          <w:b/>
          <w:bCs/>
          <w:color w:val="auto"/>
          <w:szCs w:val="24"/>
        </w:rPr>
      </w:pPr>
    </w:p>
    <w:p w14:paraId="6C53EA47" w14:textId="460FA6A8" w:rsidR="008C46C5" w:rsidRPr="003E104C" w:rsidRDefault="001C1EEA" w:rsidP="008C46C5">
      <w:pPr>
        <w:pStyle w:val="Heading2"/>
        <w:numPr>
          <w:ilvl w:val="0"/>
          <w:numId w:val="0"/>
        </w:numPr>
        <w:spacing w:line="276" w:lineRule="auto"/>
        <w:ind w:left="576" w:hanging="576"/>
        <w:rPr>
          <w:rFonts w:cs="Times New Roman"/>
          <w:b/>
          <w:bCs/>
          <w:color w:val="auto"/>
          <w:szCs w:val="24"/>
        </w:rPr>
      </w:pPr>
      <w:r w:rsidRPr="003E104C">
        <w:rPr>
          <w:rFonts w:cs="Times New Roman"/>
          <w:b/>
          <w:bCs/>
          <w:color w:val="auto"/>
          <w:szCs w:val="24"/>
        </w:rPr>
        <w:t xml:space="preserve">Fig. 1: </w:t>
      </w:r>
      <w:r w:rsidR="008C46C5" w:rsidRPr="003E104C">
        <w:rPr>
          <w:rFonts w:cs="Times New Roman"/>
          <w:b/>
          <w:bCs/>
          <w:color w:val="auto"/>
          <w:szCs w:val="24"/>
        </w:rPr>
        <w:t xml:space="preserve">Conceptual Framework </w:t>
      </w:r>
      <w:r w:rsidRPr="003E104C">
        <w:rPr>
          <w:rFonts w:cs="Times New Roman"/>
          <w:b/>
          <w:bCs/>
          <w:color w:val="auto"/>
          <w:szCs w:val="24"/>
        </w:rPr>
        <w:t>Linking Cultural competence and Financial Sustainability</w:t>
      </w:r>
    </w:p>
    <w:p w14:paraId="25C060B4" w14:textId="77777777" w:rsidR="00D103D4" w:rsidRPr="003E104C" w:rsidRDefault="00D103D4" w:rsidP="009A7EE6"/>
    <w:p w14:paraId="00AF5ADF" w14:textId="6F23186E" w:rsidR="007C6A5F" w:rsidRPr="003E104C" w:rsidRDefault="007C6A5F" w:rsidP="008B5035">
      <w:pPr>
        <w:pStyle w:val="Heading2"/>
        <w:spacing w:line="276" w:lineRule="auto"/>
        <w:rPr>
          <w:rFonts w:cs="Times New Roman"/>
          <w:b/>
          <w:bCs/>
          <w:color w:val="auto"/>
          <w:szCs w:val="24"/>
        </w:rPr>
      </w:pPr>
      <w:r w:rsidRPr="003E104C">
        <w:rPr>
          <w:rFonts w:cs="Times New Roman"/>
          <w:b/>
          <w:bCs/>
          <w:color w:val="auto"/>
          <w:szCs w:val="24"/>
        </w:rPr>
        <w:t>Global Perspectives on Cultural Competence and Hospital Sustainability</w:t>
      </w:r>
      <w:bookmarkEnd w:id="3"/>
    </w:p>
    <w:p w14:paraId="623DC506" w14:textId="0F050348" w:rsidR="007C6A5F" w:rsidRPr="003E104C" w:rsidRDefault="007C6A5F" w:rsidP="00D32D11">
      <w:pPr>
        <w:spacing w:line="276" w:lineRule="auto"/>
        <w:jc w:val="both"/>
      </w:pPr>
      <w:r w:rsidRPr="003E104C">
        <w:t>Globally, cultural competence has been recognized as a core qualification for healthcare organizations operating in increasingly diverse societies</w:t>
      </w:r>
      <w:r w:rsidR="0093541A" w:rsidRPr="003E104C">
        <w:t xml:space="preserve"> (</w:t>
      </w:r>
      <w:r w:rsidR="00D1653C" w:rsidRPr="003E104C">
        <w:t xml:space="preserve">Albougami, Pounds </w:t>
      </w:r>
      <w:r w:rsidR="00240B36" w:rsidRPr="003E104C">
        <w:t>&amp;</w:t>
      </w:r>
      <w:r w:rsidR="00D1653C" w:rsidRPr="003E104C">
        <w:t xml:space="preserve"> Alotaibi, 2016</w:t>
      </w:r>
      <w:r w:rsidR="0093541A" w:rsidRPr="003E104C">
        <w:t>)</w:t>
      </w:r>
      <w:r w:rsidRPr="003E104C">
        <w:t xml:space="preserve">. </w:t>
      </w:r>
      <w:r w:rsidRPr="003E104C">
        <w:lastRenderedPageBreak/>
        <w:t>In the United States and Europe, cultural competence frameworks</w:t>
      </w:r>
      <w:r w:rsidR="00620CCA" w:rsidRPr="003E104C">
        <w:t xml:space="preserve"> like the</w:t>
      </w:r>
      <w:r w:rsidRPr="003E104C">
        <w:t xml:space="preserve"> Campinha-Bacote’s Model, the Purnell Model and the Giger and Davidhizar Transcultural Assessment Model</w:t>
      </w:r>
      <w:r w:rsidR="00620CCA" w:rsidRPr="003E104C">
        <w:t>, h</w:t>
      </w:r>
      <w:r w:rsidRPr="003E104C">
        <w:t>ave been widely adopted to guide training, organizational policy and patient care</w:t>
      </w:r>
      <w:r w:rsidR="0093541A" w:rsidRPr="003E104C">
        <w:t xml:space="preserve"> (</w:t>
      </w:r>
      <w:r w:rsidR="006315EC" w:rsidRPr="003E104C">
        <w:t xml:space="preserve">Albougami </w:t>
      </w:r>
      <w:r w:rsidR="006315EC" w:rsidRPr="003E104C">
        <w:rPr>
          <w:i/>
          <w:iCs/>
        </w:rPr>
        <w:t>et al.</w:t>
      </w:r>
      <w:r w:rsidR="006315EC" w:rsidRPr="003E104C">
        <w:t xml:space="preserve">, 2016; </w:t>
      </w:r>
      <w:r w:rsidR="005F122A" w:rsidRPr="003E104C">
        <w:t>Purnell, 2024</w:t>
      </w:r>
      <w:r w:rsidR="0093541A" w:rsidRPr="003E104C">
        <w:t>)</w:t>
      </w:r>
      <w:r w:rsidRPr="003E104C">
        <w:t>. Systematic reviews and meta-analyses indicate that cultural competence interventions improve provider knowledge, attitudes and skills and are associated with higher patient satisfaction, trust and adherence to treatment plans</w:t>
      </w:r>
      <w:r w:rsidR="0093541A" w:rsidRPr="003E104C">
        <w:t xml:space="preserve"> (</w:t>
      </w:r>
      <w:r w:rsidR="006315EC" w:rsidRPr="003E104C">
        <w:t xml:space="preserve">Siobhán </w:t>
      </w:r>
      <w:r w:rsidR="006315EC" w:rsidRPr="003E104C">
        <w:rPr>
          <w:i/>
          <w:iCs/>
        </w:rPr>
        <w:t>et al.</w:t>
      </w:r>
      <w:r w:rsidR="006315EC" w:rsidRPr="003E104C">
        <w:t>, 2026;</w:t>
      </w:r>
      <w:r w:rsidR="004F3092" w:rsidRPr="003E104C">
        <w:t xml:space="preserve"> Quality Interactions, 2024</w:t>
      </w:r>
      <w:r w:rsidR="0093541A" w:rsidRPr="003E104C">
        <w:t>)</w:t>
      </w:r>
      <w:r w:rsidR="0016252D" w:rsidRPr="003E104C">
        <w:t>.</w:t>
      </w:r>
      <w:r w:rsidRPr="003E104C">
        <w:t xml:space="preserve"> However, evidence on direct financial outcomes</w:t>
      </w:r>
      <w:r w:rsidR="00620CCA" w:rsidRPr="003E104C">
        <w:t>, for example</w:t>
      </w:r>
      <w:r w:rsidRPr="003E104C">
        <w:t xml:space="preserve"> patient retention and revenue diversification</w:t>
      </w:r>
      <w:r w:rsidR="00620CCA" w:rsidRPr="003E104C">
        <w:t xml:space="preserve">, </w:t>
      </w:r>
      <w:r w:rsidRPr="003E104C">
        <w:t>is less robust, with most studies focusing on clinical and experiential me</w:t>
      </w:r>
      <w:r w:rsidR="00620CCA" w:rsidRPr="003E104C">
        <w:t>asures</w:t>
      </w:r>
      <w:r w:rsidRPr="003E104C">
        <w:t>.</w:t>
      </w:r>
    </w:p>
    <w:p w14:paraId="7B9AEF0B" w14:textId="77777777" w:rsidR="003C7492" w:rsidRPr="003E104C" w:rsidRDefault="003C7492" w:rsidP="008B5035">
      <w:pPr>
        <w:spacing w:line="276" w:lineRule="auto"/>
      </w:pPr>
    </w:p>
    <w:p w14:paraId="76BC50DE" w14:textId="17B7FB08" w:rsidR="007C6A5F" w:rsidRPr="003E104C" w:rsidRDefault="007C6A5F" w:rsidP="00D32D11">
      <w:pPr>
        <w:spacing w:line="276" w:lineRule="auto"/>
        <w:jc w:val="both"/>
      </w:pPr>
      <w:r w:rsidRPr="003E104C">
        <w:t>In the context of hospital sustainability, Resource Dependence Theory (RDT) has been applied to explain how organizations adapt to environmental uncertainty by diversifying resource streams,</w:t>
      </w:r>
      <w:r w:rsidR="001B7EB3" w:rsidRPr="003E104C">
        <w:t xml:space="preserve"> </w:t>
      </w:r>
      <w:r w:rsidRPr="003E104C">
        <w:t>forming</w:t>
      </w:r>
      <w:r w:rsidR="00852F5B" w:rsidRPr="003E104C">
        <w:t xml:space="preserve"> </w:t>
      </w:r>
      <w:r w:rsidRPr="003E104C">
        <w:t>alliances, and aligning with stakeholder expectations</w:t>
      </w:r>
      <w:r w:rsidR="00D32D11" w:rsidRPr="003E104C">
        <w:t xml:space="preserve"> </w:t>
      </w:r>
      <w:r w:rsidR="0093541A" w:rsidRPr="003E104C">
        <w:t>(</w:t>
      </w:r>
      <w:r w:rsidR="00EE3D89" w:rsidRPr="003E104C">
        <w:t>Ansmann, Vennedey, Hillen, Stock, Kuntz, Pfaff, Mannion &amp; Hower, 2021;</w:t>
      </w:r>
      <w:r w:rsidR="00E147E9" w:rsidRPr="003E104C">
        <w:t xml:space="preserve"> Cancer Prevention and Control Research Network [CPCRN, </w:t>
      </w:r>
      <w:proofErr w:type="spellStart"/>
      <w:r w:rsidR="00E147E9" w:rsidRPr="003E104C">
        <w:t>n.d</w:t>
      </w:r>
      <w:proofErr w:type="spellEnd"/>
      <w:r w:rsidR="0093541A" w:rsidRPr="003E104C">
        <w:t>)</w:t>
      </w:r>
      <w:r w:rsidRPr="003E104C">
        <w:t>. Hospitals facing funding volatility have increasingly turned to strategies such as donor engagement, community partnerships and service innovation to ensure operational resilience</w:t>
      </w:r>
      <w:r w:rsidR="0093541A" w:rsidRPr="003E104C">
        <w:t xml:space="preserve"> (</w:t>
      </w:r>
      <w:r w:rsidR="00EE3D89" w:rsidRPr="003E104C">
        <w:t xml:space="preserve">Ansmann </w:t>
      </w:r>
      <w:r w:rsidR="00EE3D89" w:rsidRPr="003E104C">
        <w:rPr>
          <w:i/>
          <w:iCs/>
        </w:rPr>
        <w:t>et al.</w:t>
      </w:r>
      <w:r w:rsidR="00EE3D89" w:rsidRPr="003E104C">
        <w:t>, 2021;</w:t>
      </w:r>
      <w:r w:rsidR="00746863" w:rsidRPr="003E104C">
        <w:t xml:space="preserve"> Question, 2025</w:t>
      </w:r>
      <w:r w:rsidR="0093541A" w:rsidRPr="003E104C">
        <w:t>)</w:t>
      </w:r>
      <w:r w:rsidRPr="003E104C">
        <w:t>. Recent research highlights the business case for cultural competence, noting that culturally responsive organizations are better positioned to attract and retain diverse patient populations, enhance employee engagement and secure philanthropic support</w:t>
      </w:r>
      <w:r w:rsidR="0093541A" w:rsidRPr="003E104C">
        <w:t xml:space="preserve"> (</w:t>
      </w:r>
      <w:r w:rsidR="00A06E5E" w:rsidRPr="003E104C">
        <w:t xml:space="preserve">Quality Interactions, 2024; </w:t>
      </w:r>
      <w:r w:rsidR="00DF07AE" w:rsidRPr="003E104C">
        <w:t>Faster</w:t>
      </w:r>
      <w:r w:rsidR="003A6CC0" w:rsidRPr="003E104C">
        <w:t xml:space="preserve"> </w:t>
      </w:r>
      <w:r w:rsidR="00DF07AE" w:rsidRPr="003E104C">
        <w:t>Capital, 2025</w:t>
      </w:r>
      <w:r w:rsidR="0093541A" w:rsidRPr="003E104C">
        <w:t>)</w:t>
      </w:r>
      <w:r w:rsidRPr="003E104C">
        <w:t>.</w:t>
      </w:r>
    </w:p>
    <w:p w14:paraId="6B9438CA" w14:textId="77777777" w:rsidR="00E95A47" w:rsidRPr="003E104C" w:rsidRDefault="00E95A47" w:rsidP="008B5035">
      <w:pPr>
        <w:spacing w:line="276" w:lineRule="auto"/>
      </w:pPr>
    </w:p>
    <w:p w14:paraId="31774A36" w14:textId="7D509097" w:rsidR="007C6A5F" w:rsidRPr="003E104C" w:rsidRDefault="007C6A5F" w:rsidP="008B5035">
      <w:pPr>
        <w:pStyle w:val="Heading2"/>
        <w:spacing w:line="276" w:lineRule="auto"/>
        <w:rPr>
          <w:rFonts w:cs="Times New Roman"/>
          <w:b/>
          <w:bCs/>
          <w:color w:val="auto"/>
          <w:szCs w:val="24"/>
        </w:rPr>
      </w:pPr>
      <w:bookmarkStart w:id="4" w:name="_Toc224233379"/>
      <w:r w:rsidRPr="003E104C">
        <w:rPr>
          <w:rFonts w:cs="Times New Roman"/>
          <w:b/>
          <w:bCs/>
          <w:color w:val="auto"/>
          <w:szCs w:val="24"/>
        </w:rPr>
        <w:t>Regional and African Evidence</w:t>
      </w:r>
      <w:bookmarkEnd w:id="4"/>
      <w:r w:rsidR="00923A7E" w:rsidRPr="003E104C">
        <w:rPr>
          <w:rFonts w:cs="Times New Roman"/>
          <w:b/>
          <w:bCs/>
          <w:color w:val="auto"/>
          <w:szCs w:val="24"/>
        </w:rPr>
        <w:t>s</w:t>
      </w:r>
    </w:p>
    <w:p w14:paraId="4866D34E" w14:textId="6D5C1B6B" w:rsidR="007C6A5F" w:rsidRPr="003E104C" w:rsidRDefault="007C6A5F" w:rsidP="00D32D11">
      <w:pPr>
        <w:spacing w:line="276" w:lineRule="auto"/>
        <w:jc w:val="both"/>
      </w:pPr>
      <w:r w:rsidRPr="003E104C">
        <w:t>In sub-Saharan Africa, the imperative for cultural competence is amplified by the region’s ethnic, linguistic, and religious diversity. Studies from South Africa, Nigeria, and Ethiopia demonstrate that culturally competent healthcare providers are more effective in engaging patients, improving satisfaction, and achieving better health outcomes, particularly in maternal and child health. However, formal training in cultural competence remains limited, and organizational policies often lag behind best practices</w:t>
      </w:r>
      <w:r w:rsidR="0093541A" w:rsidRPr="003E104C">
        <w:t xml:space="preserve"> (</w:t>
      </w:r>
      <w:r w:rsidR="00532F1B" w:rsidRPr="003E104C">
        <w:t>Liane, Pia</w:t>
      </w:r>
      <w:r w:rsidR="00532F1B" w:rsidRPr="003E104C">
        <w:noBreakHyphen/>
        <w:t>Theresa, Beck, Zohra, Lisa &amp; Meryam, 2022</w:t>
      </w:r>
      <w:r w:rsidR="0093541A" w:rsidRPr="003E104C">
        <w:t>)</w:t>
      </w:r>
      <w:r w:rsidRPr="003E104C">
        <w:t>.</w:t>
      </w:r>
    </w:p>
    <w:p w14:paraId="55DC5103" w14:textId="77777777" w:rsidR="00E95A47" w:rsidRPr="003E104C" w:rsidRDefault="00E95A47" w:rsidP="008B5035">
      <w:pPr>
        <w:spacing w:line="276" w:lineRule="auto"/>
      </w:pPr>
    </w:p>
    <w:p w14:paraId="2BC54170" w14:textId="01D064BC" w:rsidR="007C6A5F" w:rsidRPr="003E104C" w:rsidRDefault="007C6A5F" w:rsidP="00D32D11">
      <w:pPr>
        <w:spacing w:line="276" w:lineRule="auto"/>
        <w:jc w:val="both"/>
      </w:pPr>
      <w:r w:rsidRPr="003E104C">
        <w:t>African PNFP hospitals, many of which are faith-based, have historically played a vital role in bridging service gaps, especially in rural and underserved areas</w:t>
      </w:r>
      <w:r w:rsidR="00EE3D89" w:rsidRPr="003E104C">
        <w:t xml:space="preserve"> (</w:t>
      </w:r>
      <w:r w:rsidR="00131A12" w:rsidRPr="003E104C">
        <w:t>Government of Uganda, 2001</w:t>
      </w:r>
      <w:r w:rsidR="00EE3D89" w:rsidRPr="003E104C">
        <w:t>)</w:t>
      </w:r>
      <w:r w:rsidRPr="003E104C">
        <w:t>. These institutions are often perceived as more compassionate, trustworthy, and aligned with community values than their public counterparts</w:t>
      </w:r>
      <w:r w:rsidR="00131A12" w:rsidRPr="003E104C">
        <w:t xml:space="preserve"> (</w:t>
      </w:r>
      <w:hyperlink r:id="rId11" w:history="1">
        <w:r w:rsidR="00131A12" w:rsidRPr="003E104C">
          <w:rPr>
            <w:rStyle w:val="Hyperlink"/>
            <w:color w:val="auto"/>
            <w:u w:val="none"/>
          </w:rPr>
          <w:t>Nyongesa</w:t>
        </w:r>
      </w:hyperlink>
      <w:r w:rsidR="00131A12" w:rsidRPr="003E104C">
        <w:t>, 2024)</w:t>
      </w:r>
      <w:r w:rsidRPr="003E104C">
        <w:t>. Nevertheless, they face acute financial pressures due to reliance on donor funding, user fees and limited government support</w:t>
      </w:r>
      <w:r w:rsidR="009F1E80" w:rsidRPr="003E104C">
        <w:t xml:space="preserve"> (</w:t>
      </w:r>
      <w:r w:rsidR="00151EAD" w:rsidRPr="003E104C">
        <w:t xml:space="preserve">UNHCR, </w:t>
      </w:r>
      <w:proofErr w:type="spellStart"/>
      <w:r w:rsidR="00151EAD" w:rsidRPr="003E104C">
        <w:t>n.d</w:t>
      </w:r>
      <w:proofErr w:type="spellEnd"/>
      <w:r w:rsidR="009F1E80" w:rsidRPr="003E104C">
        <w:t>)</w:t>
      </w:r>
      <w:r w:rsidRPr="003E104C">
        <w:t>. The literature underscores the need for innovative strategies—such as revenue diversification, community engagement, and quality improvement—to sustain PNFP hospitals in the face of external shocks and funding volatility</w:t>
      </w:r>
      <w:r w:rsidR="00131A12" w:rsidRPr="003E104C">
        <w:t xml:space="preserve"> (</w:t>
      </w:r>
      <w:r w:rsidR="00170AB7" w:rsidRPr="003E104C">
        <w:t>Question, 2025;</w:t>
      </w:r>
      <w:r w:rsidR="003D7279" w:rsidRPr="003E104C">
        <w:t xml:space="preserve"> Mugisha, 2004</w:t>
      </w:r>
      <w:r w:rsidR="00131A12" w:rsidRPr="003E104C">
        <w:t>)</w:t>
      </w:r>
      <w:r w:rsidRPr="003E104C">
        <w:t>.</w:t>
      </w:r>
    </w:p>
    <w:p w14:paraId="13CFB0C8" w14:textId="77777777" w:rsidR="00E95A47" w:rsidRPr="003E104C" w:rsidRDefault="00E95A47" w:rsidP="008B5035">
      <w:pPr>
        <w:spacing w:line="276" w:lineRule="auto"/>
      </w:pPr>
    </w:p>
    <w:p w14:paraId="496C20F5" w14:textId="1A05F65E" w:rsidR="007C6A5F" w:rsidRPr="003E104C" w:rsidRDefault="007C6A5F" w:rsidP="008B5035">
      <w:pPr>
        <w:pStyle w:val="Heading2"/>
        <w:spacing w:line="276" w:lineRule="auto"/>
        <w:rPr>
          <w:rFonts w:cs="Times New Roman"/>
          <w:b/>
          <w:bCs/>
          <w:color w:val="auto"/>
          <w:szCs w:val="24"/>
        </w:rPr>
      </w:pPr>
      <w:bookmarkStart w:id="5" w:name="_Toc224233380"/>
      <w:r w:rsidRPr="003E104C">
        <w:rPr>
          <w:rFonts w:cs="Times New Roman"/>
          <w:b/>
          <w:bCs/>
          <w:color w:val="auto"/>
          <w:szCs w:val="24"/>
        </w:rPr>
        <w:t>Ugandan Context: PNFP Hospitals, Cultural Competence and Sustainability</w:t>
      </w:r>
      <w:bookmarkEnd w:id="5"/>
    </w:p>
    <w:p w14:paraId="5439247B" w14:textId="6CAD45C7" w:rsidR="007C6A5F" w:rsidRPr="003E104C" w:rsidRDefault="007C6A5F" w:rsidP="003F7EB9">
      <w:pPr>
        <w:spacing w:line="276" w:lineRule="auto"/>
        <w:jc w:val="both"/>
      </w:pPr>
      <w:r w:rsidRPr="003E104C">
        <w:t xml:space="preserve">Uganda’s health system is characterized by a pluralistic mix of public, PNFP, and private providers. Faith-based hospitals, organized under the Uganda Catholic, Protestant, Muslim, and </w:t>
      </w:r>
      <w:r w:rsidRPr="003E104C">
        <w:lastRenderedPageBreak/>
        <w:t>Orthodox Medical Bureaus, account for approximately 33% of the country’s hospitals and 10% of outpatient health centers</w:t>
      </w:r>
      <w:r w:rsidR="0093541A" w:rsidRPr="003E104C">
        <w:t xml:space="preserve"> (</w:t>
      </w:r>
      <w:r w:rsidR="00514614" w:rsidRPr="003E104C">
        <w:t xml:space="preserve">Ministry of Health, 2024; </w:t>
      </w:r>
      <w:r w:rsidR="00F87484" w:rsidRPr="003E104C">
        <w:t>Government of Uganda, 2001</w:t>
      </w:r>
      <w:r w:rsidR="0093541A" w:rsidRPr="003E104C">
        <w:t>)</w:t>
      </w:r>
      <w:r w:rsidRPr="003E104C">
        <w:t xml:space="preserve">. In Kampala, major faith-based hospitals such as Mengo, </w:t>
      </w:r>
      <w:proofErr w:type="spellStart"/>
      <w:r w:rsidRPr="003E104C">
        <w:t>Lubaga</w:t>
      </w:r>
      <w:proofErr w:type="spellEnd"/>
      <w:r w:rsidRPr="003E104C">
        <w:t>, and Nsambya serve as referral centers and training institutions, providing a wide range of services from general medicine to specialized care</w:t>
      </w:r>
      <w:r w:rsidR="0093541A" w:rsidRPr="003E104C">
        <w:t xml:space="preserve"> (</w:t>
      </w:r>
      <w:hyperlink r:id="rId12" w:history="1">
        <w:r w:rsidR="00524FCC" w:rsidRPr="003E104C">
          <w:rPr>
            <w:rStyle w:val="Hyperlink"/>
            <w:color w:val="auto"/>
            <w:u w:val="none"/>
          </w:rPr>
          <w:t>Nyongesa</w:t>
        </w:r>
      </w:hyperlink>
      <w:r w:rsidR="00524FCC" w:rsidRPr="003E104C">
        <w:t xml:space="preserve">, 2024; </w:t>
      </w:r>
      <w:proofErr w:type="spellStart"/>
      <w:r w:rsidR="00C219C0" w:rsidRPr="003E104C">
        <w:t>Lubaga</w:t>
      </w:r>
      <w:proofErr w:type="spellEnd"/>
      <w:r w:rsidR="00C219C0" w:rsidRPr="003E104C">
        <w:t xml:space="preserve"> Hospital, 2022; Mengo Hospital, n.d.</w:t>
      </w:r>
      <w:r w:rsidR="0093541A" w:rsidRPr="003E104C">
        <w:t>)</w:t>
      </w:r>
      <w:r w:rsidRPr="003E104C">
        <w:t>.</w:t>
      </w:r>
    </w:p>
    <w:p w14:paraId="03496873" w14:textId="77777777" w:rsidR="00E95A47" w:rsidRPr="003E104C" w:rsidRDefault="00E95A47" w:rsidP="003F7EB9">
      <w:pPr>
        <w:spacing w:line="276" w:lineRule="auto"/>
        <w:jc w:val="both"/>
      </w:pPr>
    </w:p>
    <w:p w14:paraId="2F39557B" w14:textId="19D02F82" w:rsidR="007C6A5F" w:rsidRPr="003E104C" w:rsidRDefault="007C6A5F" w:rsidP="003F7EB9">
      <w:pPr>
        <w:spacing w:line="276" w:lineRule="auto"/>
        <w:jc w:val="both"/>
      </w:pPr>
      <w:r w:rsidRPr="003E104C">
        <w:t>Financial sustainability remains a persistent challenge for Ugandan PNFP hospitals. Government grants (PHC Conditional Grants and Results-Based Financing) typically cover only 12–60% of operating costs, with the remainder made up through user fees, donor contributions and income-generating activities</w:t>
      </w:r>
      <w:r w:rsidR="0093541A" w:rsidRPr="003E104C">
        <w:t xml:space="preserve"> (</w:t>
      </w:r>
      <w:r w:rsidR="001105B2" w:rsidRPr="003E104C">
        <w:t>Hansei Solutions, 2026</w:t>
      </w:r>
      <w:r w:rsidR="0093541A" w:rsidRPr="003E104C">
        <w:t>)</w:t>
      </w:r>
      <w:r w:rsidRPr="003E104C">
        <w:t>. Donor funding, once the mainstay of PNFP budgets, has become increasingly unpredictable, prompting hospitals to explore alternative revenue streams and cost-containment measures</w:t>
      </w:r>
      <w:r w:rsidR="0093541A" w:rsidRPr="003E104C">
        <w:t xml:space="preserve"> (</w:t>
      </w:r>
      <w:proofErr w:type="spellStart"/>
      <w:r w:rsidR="001A2B09" w:rsidRPr="003E104C">
        <w:t>ATLAS.ti</w:t>
      </w:r>
      <w:proofErr w:type="spellEnd"/>
      <w:r w:rsidR="001A2B09" w:rsidRPr="003E104C">
        <w:t xml:space="preserve">., </w:t>
      </w:r>
      <w:proofErr w:type="spellStart"/>
      <w:r w:rsidR="001A2B09" w:rsidRPr="003E104C">
        <w:t>n.d</w:t>
      </w:r>
      <w:proofErr w:type="spellEnd"/>
      <w:r w:rsidR="0093541A" w:rsidRPr="003E104C">
        <w:t>)</w:t>
      </w:r>
      <w:r w:rsidRPr="003E104C">
        <w:t>.</w:t>
      </w:r>
    </w:p>
    <w:p w14:paraId="4F0E61F4" w14:textId="77777777" w:rsidR="00E95A47" w:rsidRPr="003E104C" w:rsidRDefault="00E95A47" w:rsidP="003F7EB9">
      <w:pPr>
        <w:spacing w:line="276" w:lineRule="auto"/>
        <w:jc w:val="both"/>
      </w:pPr>
    </w:p>
    <w:p w14:paraId="45911E82" w14:textId="63EBFA06" w:rsidR="007C6A5F" w:rsidRPr="003E104C" w:rsidRDefault="007C6A5F" w:rsidP="003F7EB9">
      <w:pPr>
        <w:spacing w:line="276" w:lineRule="auto"/>
        <w:jc w:val="both"/>
      </w:pPr>
      <w:r w:rsidRPr="003E104C">
        <w:t>Cultural competence is deeply embedded in the mission and ethos of Uganda’s faith-based hospitals. These institutions are trusted for their compassionate, respectful and culturally sensitive care, often serving as the first point of contact for patients seeking services aligned with their religious and cultural beliefs</w:t>
      </w:r>
      <w:r w:rsidR="0093541A" w:rsidRPr="003E104C">
        <w:t xml:space="preserve"> (</w:t>
      </w:r>
      <w:hyperlink r:id="rId13" w:history="1">
        <w:r w:rsidR="00953538" w:rsidRPr="003E104C">
          <w:rPr>
            <w:rStyle w:val="Hyperlink"/>
            <w:color w:val="auto"/>
            <w:u w:val="none"/>
          </w:rPr>
          <w:t>Nyongesa</w:t>
        </w:r>
      </w:hyperlink>
      <w:r w:rsidR="00953538" w:rsidRPr="003E104C">
        <w:t>, 2024; Government of Uganda, 2001</w:t>
      </w:r>
      <w:r w:rsidR="0093541A" w:rsidRPr="003E104C">
        <w:t>)</w:t>
      </w:r>
      <w:r w:rsidRPr="003E104C">
        <w:t>. However, formal organizational policies and training on cultural competence are not uniformly implemented, and measurement of cultural competence at the institutional level remains nascent</w:t>
      </w:r>
      <w:r w:rsidR="0093541A" w:rsidRPr="003E104C">
        <w:t xml:space="preserve"> (</w:t>
      </w:r>
      <w:r w:rsidR="00953538" w:rsidRPr="003E104C">
        <w:t xml:space="preserve">Liane </w:t>
      </w:r>
      <w:r w:rsidR="00953538" w:rsidRPr="003E104C">
        <w:rPr>
          <w:i/>
          <w:iCs/>
        </w:rPr>
        <w:t>et al.</w:t>
      </w:r>
      <w:r w:rsidR="00953538" w:rsidRPr="003E104C">
        <w:t>, 2022</w:t>
      </w:r>
      <w:r w:rsidR="0093541A" w:rsidRPr="003E104C">
        <w:t>)</w:t>
      </w:r>
      <w:r w:rsidRPr="003E104C">
        <w:t>.</w:t>
      </w:r>
    </w:p>
    <w:p w14:paraId="62A4551C" w14:textId="77777777" w:rsidR="00E95A47" w:rsidRPr="003E104C" w:rsidRDefault="00E95A47" w:rsidP="008B5035">
      <w:pPr>
        <w:spacing w:line="276" w:lineRule="auto"/>
      </w:pPr>
    </w:p>
    <w:p w14:paraId="6B4C3E5C" w14:textId="45D268FF" w:rsidR="007C6A5F" w:rsidRPr="003E104C" w:rsidRDefault="007C6A5F" w:rsidP="003F7EB9">
      <w:pPr>
        <w:spacing w:line="276" w:lineRule="auto"/>
        <w:jc w:val="both"/>
      </w:pPr>
      <w:r w:rsidRPr="003E104C">
        <w:t>Empirical studies in Uganda have linked customer care and patient-centered service to higher patient satisfaction and retention, particularly in public hospitals. Yet, few studies have systematically examined the impact of cultural competence interventions on financial sustainability metrics</w:t>
      </w:r>
      <w:r w:rsidR="00852F5B" w:rsidRPr="003E104C">
        <w:t xml:space="preserve"> </w:t>
      </w:r>
      <w:r w:rsidRPr="003E104C">
        <w:t>such as patient retention, fee recovery and donor diversification</w:t>
      </w:r>
      <w:r w:rsidR="00852F5B" w:rsidRPr="003E104C">
        <w:t xml:space="preserve"> </w:t>
      </w:r>
      <w:r w:rsidRPr="003E104C">
        <w:t>in faith-based PNFP hospitals. This article seeks to fill this gap by providing original mixed-methods evidence from Kampala’s faith-based hospital sector.</w:t>
      </w:r>
    </w:p>
    <w:p w14:paraId="2BC53B9F" w14:textId="77777777" w:rsidR="00E95A47" w:rsidRPr="003E104C" w:rsidRDefault="00E95A47" w:rsidP="008B5035">
      <w:pPr>
        <w:spacing w:line="276" w:lineRule="auto"/>
      </w:pPr>
    </w:p>
    <w:p w14:paraId="3713AD90" w14:textId="77777777" w:rsidR="007C6A5F" w:rsidRPr="003E104C" w:rsidRDefault="007C6A5F" w:rsidP="008B5035">
      <w:pPr>
        <w:pStyle w:val="Heading2"/>
        <w:spacing w:line="276" w:lineRule="auto"/>
        <w:rPr>
          <w:rFonts w:cs="Times New Roman"/>
          <w:b/>
          <w:bCs/>
          <w:color w:val="auto"/>
          <w:szCs w:val="24"/>
        </w:rPr>
      </w:pPr>
      <w:bookmarkStart w:id="6" w:name="_Toc224233381"/>
      <w:r w:rsidRPr="003E104C">
        <w:rPr>
          <w:rFonts w:cs="Times New Roman"/>
          <w:b/>
          <w:bCs/>
          <w:color w:val="auto"/>
          <w:szCs w:val="24"/>
        </w:rPr>
        <w:t>Theoretical Review</w:t>
      </w:r>
      <w:bookmarkEnd w:id="6"/>
    </w:p>
    <w:p w14:paraId="08F63399" w14:textId="70E96B66" w:rsidR="007C6A5F" w:rsidRPr="003E104C" w:rsidRDefault="007C6A5F" w:rsidP="008B5035">
      <w:pPr>
        <w:pStyle w:val="Heading3"/>
        <w:spacing w:before="0" w:after="0" w:line="276" w:lineRule="auto"/>
        <w:rPr>
          <w:rFonts w:ascii="Times New Roman" w:hAnsi="Times New Roman" w:cs="Times New Roman"/>
          <w:b/>
          <w:bCs/>
          <w:szCs w:val="24"/>
        </w:rPr>
      </w:pPr>
      <w:bookmarkStart w:id="7" w:name="_Toc224233382"/>
      <w:r w:rsidRPr="003E104C">
        <w:rPr>
          <w:rFonts w:ascii="Times New Roman" w:hAnsi="Times New Roman" w:cs="Times New Roman"/>
          <w:b/>
          <w:bCs/>
          <w:szCs w:val="24"/>
        </w:rPr>
        <w:t>Resource Dependence Theory (RDT)</w:t>
      </w:r>
      <w:bookmarkEnd w:id="7"/>
      <w:r w:rsidR="00DB5EF6">
        <w:rPr>
          <w:rFonts w:ascii="Times New Roman" w:hAnsi="Times New Roman" w:cs="Times New Roman"/>
          <w:b/>
          <w:bCs/>
          <w:szCs w:val="24"/>
        </w:rPr>
        <w:t>.</w:t>
      </w:r>
    </w:p>
    <w:p w14:paraId="68263697" w14:textId="755776A8" w:rsidR="007C6A5F" w:rsidRPr="003E104C" w:rsidRDefault="007C6A5F" w:rsidP="00211BBC">
      <w:pPr>
        <w:spacing w:line="276" w:lineRule="auto"/>
        <w:jc w:val="both"/>
      </w:pPr>
      <w:r w:rsidRPr="003E104C">
        <w:t xml:space="preserve">Resource Dependence Theory (RDT), as articulated by Pfeffer and </w:t>
      </w:r>
      <w:proofErr w:type="spellStart"/>
      <w:r w:rsidRPr="003E104C">
        <w:t>Salancik</w:t>
      </w:r>
      <w:proofErr w:type="spellEnd"/>
      <w:r w:rsidRPr="003E104C">
        <w:t xml:space="preserve"> (1978), posits that organizations are embedded in environments characterized by uncertainty and resource scarcity. To survive and thrive, organizations must secure critical resources</w:t>
      </w:r>
      <w:r w:rsidR="00852F5B" w:rsidRPr="003E104C">
        <w:t xml:space="preserve"> </w:t>
      </w:r>
      <w:r w:rsidRPr="003E104C">
        <w:t>financial, human, material</w:t>
      </w:r>
      <w:r w:rsidR="00852F5B" w:rsidRPr="003E104C">
        <w:t xml:space="preserve"> </w:t>
      </w:r>
      <w:r w:rsidRPr="003E104C">
        <w:t>by adapting their strategies, forming alliances, and aligning with stakeholder expectations</w:t>
      </w:r>
      <w:r w:rsidR="0093541A" w:rsidRPr="003E104C">
        <w:t xml:space="preserve"> (</w:t>
      </w:r>
      <w:r w:rsidR="00B31203" w:rsidRPr="003E104C">
        <w:t xml:space="preserve">Ansmann </w:t>
      </w:r>
      <w:r w:rsidR="00B31203" w:rsidRPr="003E104C">
        <w:rPr>
          <w:i/>
          <w:iCs/>
        </w:rPr>
        <w:t>et al</w:t>
      </w:r>
      <w:r w:rsidR="00B31203" w:rsidRPr="003E104C">
        <w:t xml:space="preserve">., 2021; CPCRN, </w:t>
      </w:r>
      <w:proofErr w:type="spellStart"/>
      <w:r w:rsidR="00B31203" w:rsidRPr="003E104C">
        <w:t>n.d</w:t>
      </w:r>
      <w:proofErr w:type="spellEnd"/>
      <w:r w:rsidR="0093541A" w:rsidRPr="003E104C">
        <w:t>)</w:t>
      </w:r>
      <w:r w:rsidRPr="003E104C">
        <w:t>. RDT emphasizes the importance of resource diversification, autonomy, and strategic adaptation in mitigating dependency and ensuring organizational sustainability.</w:t>
      </w:r>
    </w:p>
    <w:p w14:paraId="666CEA30" w14:textId="77777777" w:rsidR="00E95A47" w:rsidRPr="003E104C" w:rsidRDefault="00E95A47" w:rsidP="00211BBC">
      <w:pPr>
        <w:spacing w:line="276" w:lineRule="auto"/>
        <w:jc w:val="both"/>
      </w:pPr>
    </w:p>
    <w:p w14:paraId="1D094009" w14:textId="1B75CFCB" w:rsidR="007C6A5F" w:rsidRPr="003E104C" w:rsidRDefault="007C6A5F" w:rsidP="00211BBC">
      <w:pPr>
        <w:spacing w:line="276" w:lineRule="auto"/>
        <w:jc w:val="both"/>
      </w:pPr>
      <w:r w:rsidRPr="003E104C">
        <w:t>In the context of faith-based hospitals in Uganda, RDT provides a useful lens for understanding how these institutions navigate the complexities of donor funding, government grants, user fees, and community expectations. High dependence on a single resource</w:t>
      </w:r>
      <w:r w:rsidR="00852F5B" w:rsidRPr="003E104C">
        <w:t xml:space="preserve"> </w:t>
      </w:r>
      <w:r w:rsidRPr="003E104C">
        <w:t>such as donor funding—creates vulnerability, while diversification (e.g., expanding revenue streams, engaging new donors, strengthening community ties) enhances resilience</w:t>
      </w:r>
      <w:r w:rsidR="0093541A" w:rsidRPr="003E104C">
        <w:t xml:space="preserve"> (</w:t>
      </w:r>
      <w:r w:rsidR="006D36DB" w:rsidRPr="003E104C">
        <w:t>Question, 2025;</w:t>
      </w:r>
      <w:r w:rsidR="00DA2D73" w:rsidRPr="003E104C">
        <w:t xml:space="preserve"> Health Journalists Network Uganda, 2025</w:t>
      </w:r>
      <w:r w:rsidR="0093541A" w:rsidRPr="003E104C">
        <w:t>)</w:t>
      </w:r>
      <w:r w:rsidRPr="003E104C">
        <w:t xml:space="preserve">. </w:t>
      </w:r>
      <w:r w:rsidR="003F1204" w:rsidRPr="003E104C">
        <w:t xml:space="preserve">The </w:t>
      </w:r>
      <w:r w:rsidRPr="003E104C">
        <w:t xml:space="preserve">RDT also highlights the role of organizational management in devising </w:t>
      </w:r>
      <w:r w:rsidRPr="003E104C">
        <w:lastRenderedPageBreak/>
        <w:t>strategies to absorb, diffuse, and co-opt external pressures, such as compliance with donor requirements or alignment with government policies</w:t>
      </w:r>
      <w:r w:rsidR="0093541A" w:rsidRPr="003E104C">
        <w:t xml:space="preserve"> (</w:t>
      </w:r>
      <w:r w:rsidR="006D36DB" w:rsidRPr="003E104C">
        <w:t xml:space="preserve">Ansmann </w:t>
      </w:r>
      <w:r w:rsidR="006D36DB" w:rsidRPr="003E104C">
        <w:rPr>
          <w:i/>
          <w:iCs/>
        </w:rPr>
        <w:t>et al</w:t>
      </w:r>
      <w:r w:rsidR="006D36DB" w:rsidRPr="003E104C">
        <w:t>., 2021</w:t>
      </w:r>
      <w:r w:rsidR="0093541A" w:rsidRPr="003E104C">
        <w:t>)</w:t>
      </w:r>
      <w:r w:rsidRPr="003E104C">
        <w:t>.</w:t>
      </w:r>
    </w:p>
    <w:p w14:paraId="77CC9F17" w14:textId="77777777" w:rsidR="00E95A47" w:rsidRPr="003E104C" w:rsidRDefault="00E95A47" w:rsidP="00211BBC">
      <w:pPr>
        <w:spacing w:line="276" w:lineRule="auto"/>
      </w:pPr>
    </w:p>
    <w:p w14:paraId="06EA5272" w14:textId="77777777" w:rsidR="007C6A5F" w:rsidRPr="003E104C" w:rsidRDefault="007C6A5F" w:rsidP="00211BBC">
      <w:pPr>
        <w:pStyle w:val="Heading3"/>
        <w:spacing w:before="0" w:after="0" w:line="276" w:lineRule="auto"/>
        <w:rPr>
          <w:rFonts w:ascii="Times New Roman" w:hAnsi="Times New Roman" w:cs="Times New Roman"/>
          <w:b/>
          <w:bCs/>
          <w:szCs w:val="24"/>
        </w:rPr>
      </w:pPr>
      <w:bookmarkStart w:id="8" w:name="_Toc224233383"/>
      <w:r w:rsidRPr="003E104C">
        <w:rPr>
          <w:rFonts w:ascii="Times New Roman" w:hAnsi="Times New Roman" w:cs="Times New Roman"/>
          <w:b/>
          <w:bCs/>
          <w:szCs w:val="24"/>
        </w:rPr>
        <w:t>Cultural Competence Frameworks</w:t>
      </w:r>
      <w:bookmarkEnd w:id="8"/>
    </w:p>
    <w:p w14:paraId="6669833A" w14:textId="4BA982A0" w:rsidR="007C6A5F" w:rsidRPr="003E104C" w:rsidRDefault="007C6A5F" w:rsidP="00211BBC">
      <w:pPr>
        <w:spacing w:line="276" w:lineRule="auto"/>
        <w:jc w:val="both"/>
      </w:pPr>
      <w:r w:rsidRPr="003E104C">
        <w:t>Cultural competence in healthcare is conceptualized as a multidimensional construct encompassing knowledge, attitudes, skills and organizational policies that enable effective cross-cultural interactions</w:t>
      </w:r>
      <w:r w:rsidR="0093541A" w:rsidRPr="003E104C">
        <w:t xml:space="preserve"> (</w:t>
      </w:r>
      <w:r w:rsidR="00D1653C" w:rsidRPr="003E104C">
        <w:t xml:space="preserve">Albougami </w:t>
      </w:r>
      <w:r w:rsidR="00D1653C" w:rsidRPr="003E104C">
        <w:rPr>
          <w:i/>
          <w:iCs/>
        </w:rPr>
        <w:t>et al</w:t>
      </w:r>
      <w:r w:rsidR="00D1653C" w:rsidRPr="003E104C">
        <w:t>., 2016</w:t>
      </w:r>
      <w:r w:rsidR="0093541A" w:rsidRPr="003E104C">
        <w:t>)</w:t>
      </w:r>
      <w:r w:rsidRPr="003E104C">
        <w:t>. Leading frameworks include:</w:t>
      </w:r>
    </w:p>
    <w:p w14:paraId="78DC4187" w14:textId="099C18A9" w:rsidR="007C6A5F" w:rsidRPr="003E104C" w:rsidRDefault="007C6A5F" w:rsidP="00211BBC">
      <w:pPr>
        <w:spacing w:line="276" w:lineRule="auto"/>
        <w:jc w:val="both"/>
      </w:pPr>
      <w:r w:rsidRPr="003E104C">
        <w:rPr>
          <w:b/>
          <w:bCs/>
        </w:rPr>
        <w:t>Campinha-Bacote’s Model</w:t>
      </w:r>
      <w:r w:rsidRPr="003E104C">
        <w:t>: Emphasizes cultural awareness, knowledge, skill, encounters and desire as interrelated components of cultural competence</w:t>
      </w:r>
      <w:r w:rsidR="0093541A" w:rsidRPr="003E104C">
        <w:t xml:space="preserve"> (</w:t>
      </w:r>
      <w:r w:rsidR="00240B36" w:rsidRPr="003E104C">
        <w:t>Albougami</w:t>
      </w:r>
      <w:r w:rsidR="00240B36" w:rsidRPr="003E104C">
        <w:rPr>
          <w:i/>
          <w:iCs/>
        </w:rPr>
        <w:t xml:space="preserve"> et al</w:t>
      </w:r>
      <w:r w:rsidR="00240B36" w:rsidRPr="003E104C">
        <w:t xml:space="preserve">., 2016; </w:t>
      </w:r>
      <w:r w:rsidR="00422664" w:rsidRPr="003E104C">
        <w:t>Purnell, 2024</w:t>
      </w:r>
      <w:r w:rsidR="00240B36" w:rsidRPr="003E104C">
        <w:t xml:space="preserve">; </w:t>
      </w:r>
      <w:r w:rsidR="00240B36" w:rsidRPr="003E104C">
        <w:rPr>
          <w:shd w:val="clear" w:color="auto" w:fill="FFFFFF"/>
        </w:rPr>
        <w:t xml:space="preserve">Birkhäuer </w:t>
      </w:r>
      <w:r w:rsidR="00240B36" w:rsidRPr="003E104C">
        <w:rPr>
          <w:i/>
          <w:iCs/>
          <w:shd w:val="clear" w:color="auto" w:fill="FFFFFF"/>
        </w:rPr>
        <w:t>et al</w:t>
      </w:r>
      <w:r w:rsidR="00240B36" w:rsidRPr="003E104C">
        <w:rPr>
          <w:shd w:val="clear" w:color="auto" w:fill="FFFFFF"/>
        </w:rPr>
        <w:t>., 2017</w:t>
      </w:r>
      <w:r w:rsidR="0093541A" w:rsidRPr="003E104C">
        <w:t>)</w:t>
      </w:r>
      <w:r w:rsidRPr="003E104C">
        <w:t>.</w:t>
      </w:r>
    </w:p>
    <w:p w14:paraId="31BC42A4" w14:textId="77777777" w:rsidR="00202FA0" w:rsidRPr="003E104C" w:rsidRDefault="00202FA0" w:rsidP="00211BBC">
      <w:pPr>
        <w:spacing w:line="276" w:lineRule="auto"/>
        <w:jc w:val="both"/>
        <w:rPr>
          <w:b/>
          <w:bCs/>
        </w:rPr>
      </w:pPr>
    </w:p>
    <w:p w14:paraId="34CAC2BE" w14:textId="043ADF7D" w:rsidR="007C6A5F" w:rsidRPr="003E104C" w:rsidRDefault="007C6A5F" w:rsidP="00211BBC">
      <w:pPr>
        <w:spacing w:line="276" w:lineRule="auto"/>
        <w:jc w:val="both"/>
      </w:pPr>
      <w:r w:rsidRPr="003E104C">
        <w:rPr>
          <w:b/>
          <w:bCs/>
        </w:rPr>
        <w:t>Purnell Model</w:t>
      </w:r>
      <w:r w:rsidRPr="003E104C">
        <w:t>: Outlines twelve domains (e.g., communication, family roles, spirituality, healthcare practices) and situates the individual within concentric circles of family, community, and society</w:t>
      </w:r>
      <w:r w:rsidR="0093541A" w:rsidRPr="003E104C">
        <w:t xml:space="preserve"> (</w:t>
      </w:r>
      <w:r w:rsidR="00422664" w:rsidRPr="003E104C">
        <w:t>Purnell, 2024; Albougami</w:t>
      </w:r>
      <w:r w:rsidR="00422664" w:rsidRPr="003E104C">
        <w:rPr>
          <w:i/>
          <w:iCs/>
        </w:rPr>
        <w:t xml:space="preserve"> et al</w:t>
      </w:r>
      <w:r w:rsidR="00422664" w:rsidRPr="003E104C">
        <w:t>., 2016</w:t>
      </w:r>
      <w:r w:rsidR="0093541A" w:rsidRPr="003E104C">
        <w:t>)</w:t>
      </w:r>
      <w:r w:rsidRPr="003E104C">
        <w:t>.</w:t>
      </w:r>
    </w:p>
    <w:p w14:paraId="2BE1A920" w14:textId="77777777" w:rsidR="00202FA0" w:rsidRPr="003E104C" w:rsidRDefault="00202FA0" w:rsidP="00211BBC">
      <w:pPr>
        <w:spacing w:line="276" w:lineRule="auto"/>
        <w:jc w:val="both"/>
        <w:rPr>
          <w:b/>
          <w:bCs/>
        </w:rPr>
      </w:pPr>
    </w:p>
    <w:p w14:paraId="619DBFAC" w14:textId="7D815DCC" w:rsidR="007C6A5F" w:rsidRPr="003E104C" w:rsidRDefault="007C6A5F" w:rsidP="00211BBC">
      <w:pPr>
        <w:spacing w:line="276" w:lineRule="auto"/>
        <w:jc w:val="both"/>
      </w:pPr>
      <w:r w:rsidRPr="003E104C">
        <w:rPr>
          <w:b/>
          <w:bCs/>
        </w:rPr>
        <w:t>Giger and Davidhizar Model</w:t>
      </w:r>
      <w:r w:rsidRPr="003E104C">
        <w:t>: Focuses on six cultural phenomena</w:t>
      </w:r>
      <w:r w:rsidR="00852F5B" w:rsidRPr="003E104C">
        <w:t xml:space="preserve"> </w:t>
      </w:r>
      <w:r w:rsidRPr="003E104C">
        <w:t>communication, space, social organization, time, environmental control and biological variation</w:t>
      </w:r>
      <w:r w:rsidR="00852F5B" w:rsidRPr="003E104C">
        <w:t xml:space="preserve"> </w:t>
      </w:r>
      <w:r w:rsidRPr="003E104C">
        <w:t>as determinants of patient-provider interactions</w:t>
      </w:r>
      <w:r w:rsidR="0093541A" w:rsidRPr="003E104C">
        <w:t xml:space="preserve"> (</w:t>
      </w:r>
      <w:r w:rsidR="00D1653C" w:rsidRPr="003E104C">
        <w:t xml:space="preserve">Albougami </w:t>
      </w:r>
      <w:r w:rsidR="00D1653C" w:rsidRPr="003E104C">
        <w:rPr>
          <w:i/>
          <w:iCs/>
        </w:rPr>
        <w:t>et al</w:t>
      </w:r>
      <w:r w:rsidR="003F1204" w:rsidRPr="003E104C">
        <w:t>, 2016</w:t>
      </w:r>
      <w:r w:rsidR="0093541A" w:rsidRPr="003E104C">
        <w:t>)</w:t>
      </w:r>
      <w:r w:rsidRPr="003E104C">
        <w:t>.</w:t>
      </w:r>
    </w:p>
    <w:p w14:paraId="214D5522" w14:textId="77777777" w:rsidR="00E95A47" w:rsidRPr="003E104C" w:rsidRDefault="00E95A47" w:rsidP="00211BBC">
      <w:pPr>
        <w:spacing w:line="276" w:lineRule="auto"/>
      </w:pPr>
    </w:p>
    <w:p w14:paraId="7BCF22B7" w14:textId="3424A958" w:rsidR="007C6A5F" w:rsidRPr="003E104C" w:rsidRDefault="007C6A5F" w:rsidP="00211BBC">
      <w:pPr>
        <w:spacing w:line="276" w:lineRule="auto"/>
        <w:jc w:val="both"/>
      </w:pPr>
      <w:r w:rsidRPr="003E104C">
        <w:t>At the organizational level, cultural competence is operationalized through policies, training, leadership commitment, and community engagement</w:t>
      </w:r>
      <w:r w:rsidR="0093541A" w:rsidRPr="003E104C">
        <w:t xml:space="preserve"> (</w:t>
      </w:r>
      <w:r w:rsidR="002363BF" w:rsidRPr="003E104C">
        <w:t xml:space="preserve">Weech-Maldonado, Dreachslin, Epané, Gail, Gupta &amp; Wainio, 2018; </w:t>
      </w:r>
      <w:r w:rsidR="005C6EEF" w:rsidRPr="003E104C">
        <w:t xml:space="preserve">Liane </w:t>
      </w:r>
      <w:r w:rsidR="005C6EEF" w:rsidRPr="003E104C">
        <w:rPr>
          <w:i/>
          <w:iCs/>
        </w:rPr>
        <w:t>et al.</w:t>
      </w:r>
      <w:r w:rsidR="005C6EEF" w:rsidRPr="003E104C">
        <w:t>, 2022</w:t>
      </w:r>
      <w:r w:rsidR="0093541A" w:rsidRPr="003E104C">
        <w:t>)</w:t>
      </w:r>
      <w:r w:rsidRPr="003E104C">
        <w:t>. Systematic interventions—such as staff training, interpreter services, culturally adapted care protocols and participatory governance—are associated with improved patient experiences, trust and retention</w:t>
      </w:r>
      <w:r w:rsidR="0093541A" w:rsidRPr="003E104C">
        <w:t xml:space="preserve"> (</w:t>
      </w:r>
      <w:r w:rsidR="00A56202" w:rsidRPr="003E104C">
        <w:t xml:space="preserve">Siobhán </w:t>
      </w:r>
      <w:r w:rsidR="00A56202" w:rsidRPr="003E104C">
        <w:rPr>
          <w:i/>
          <w:iCs/>
        </w:rPr>
        <w:t>et al.</w:t>
      </w:r>
      <w:r w:rsidR="00A56202" w:rsidRPr="003E104C">
        <w:t xml:space="preserve">, 2026; Weech-Maldonado </w:t>
      </w:r>
      <w:r w:rsidR="00A56202" w:rsidRPr="003E104C">
        <w:rPr>
          <w:i/>
          <w:iCs/>
        </w:rPr>
        <w:t>et al.</w:t>
      </w:r>
      <w:r w:rsidR="00A56202" w:rsidRPr="003E104C">
        <w:t>, 2018</w:t>
      </w:r>
      <w:r w:rsidR="0093541A" w:rsidRPr="003E104C">
        <w:t>)</w:t>
      </w:r>
      <w:r w:rsidRPr="003E104C">
        <w:t>.</w:t>
      </w:r>
    </w:p>
    <w:p w14:paraId="3E0FF709" w14:textId="77777777" w:rsidR="00E95A47" w:rsidRPr="003E104C" w:rsidRDefault="00E95A47" w:rsidP="008B5035">
      <w:pPr>
        <w:spacing w:line="276" w:lineRule="auto"/>
      </w:pPr>
    </w:p>
    <w:p w14:paraId="5473C2A3" w14:textId="77777777" w:rsidR="007C6A5F" w:rsidRPr="003E104C" w:rsidRDefault="007C6A5F" w:rsidP="008B5035">
      <w:pPr>
        <w:pStyle w:val="Heading3"/>
        <w:spacing w:before="0" w:after="0" w:line="276" w:lineRule="auto"/>
        <w:rPr>
          <w:rFonts w:ascii="Times New Roman" w:hAnsi="Times New Roman" w:cs="Times New Roman"/>
          <w:b/>
          <w:bCs/>
          <w:szCs w:val="24"/>
        </w:rPr>
      </w:pPr>
      <w:bookmarkStart w:id="9" w:name="_Toc224233384"/>
      <w:r w:rsidRPr="003E104C">
        <w:rPr>
          <w:rFonts w:ascii="Times New Roman" w:hAnsi="Times New Roman" w:cs="Times New Roman"/>
          <w:b/>
          <w:bCs/>
          <w:szCs w:val="24"/>
        </w:rPr>
        <w:t>Integrating RDT and Cultural Competence</w:t>
      </w:r>
      <w:bookmarkEnd w:id="9"/>
    </w:p>
    <w:p w14:paraId="77FEC04D" w14:textId="63FDB457" w:rsidR="007C6A5F" w:rsidRPr="003E104C" w:rsidRDefault="007C6A5F" w:rsidP="00211BBC">
      <w:pPr>
        <w:spacing w:line="276" w:lineRule="auto"/>
        <w:jc w:val="both"/>
      </w:pPr>
      <w:r w:rsidRPr="003E104C">
        <w:t>The intersection of RDT and cultural competence is particularly salient for faith-based hospitals in resource-constrained settings. Culturally competent care can be viewed as both a mission-driven imperative and a strategic resource that enhances organizational legitimacy, patient loyalty, and donor confidence. By institutionalizing cultural competence, faith-based hospitals can differentiate themselves in a competitive health market, attract and retain diverse patient populations, and build trust with donors seeking alignment with community values</w:t>
      </w:r>
      <w:r w:rsidR="0093541A" w:rsidRPr="003E104C">
        <w:t xml:space="preserve"> (</w:t>
      </w:r>
      <w:r w:rsidR="00D903DE" w:rsidRPr="003E104C">
        <w:t xml:space="preserve">Quality Interactions, 2024; </w:t>
      </w:r>
      <w:r w:rsidR="00650529" w:rsidRPr="003E104C">
        <w:t>FasterCapital, 2025; Question, 2025</w:t>
      </w:r>
      <w:r w:rsidR="0093541A" w:rsidRPr="003E104C">
        <w:t>)</w:t>
      </w:r>
      <w:r w:rsidRPr="003E104C">
        <w:t>. This integration provides a theoretical foundation for examining how cultural competence interventions contribute to financial sustainability in Kampala’s PNFP health sector.</w:t>
      </w:r>
    </w:p>
    <w:p w14:paraId="03FE8557" w14:textId="77777777" w:rsidR="00E95A47" w:rsidRPr="003E104C" w:rsidRDefault="00E95A47" w:rsidP="00211BBC">
      <w:pPr>
        <w:spacing w:line="276" w:lineRule="auto"/>
      </w:pPr>
    </w:p>
    <w:p w14:paraId="221353F6" w14:textId="77777777" w:rsidR="007C6A5F" w:rsidRPr="003E104C" w:rsidRDefault="007C6A5F" w:rsidP="00211BBC">
      <w:pPr>
        <w:pStyle w:val="Heading1"/>
        <w:spacing w:line="276" w:lineRule="auto"/>
        <w:rPr>
          <w:rFonts w:cs="Times New Roman"/>
          <w:szCs w:val="24"/>
        </w:rPr>
      </w:pPr>
      <w:bookmarkStart w:id="10" w:name="_Toc224233385"/>
      <w:r w:rsidRPr="003E104C">
        <w:rPr>
          <w:rFonts w:cs="Times New Roman"/>
          <w:szCs w:val="24"/>
        </w:rPr>
        <w:t>Methodology</w:t>
      </w:r>
      <w:bookmarkEnd w:id="10"/>
    </w:p>
    <w:p w14:paraId="5A88CED9" w14:textId="77777777" w:rsidR="007C6A5F" w:rsidRPr="003E104C" w:rsidRDefault="007C6A5F" w:rsidP="00211BBC">
      <w:pPr>
        <w:pStyle w:val="Heading2"/>
        <w:spacing w:line="276" w:lineRule="auto"/>
        <w:rPr>
          <w:rFonts w:cs="Times New Roman"/>
          <w:b/>
          <w:bCs/>
          <w:color w:val="auto"/>
          <w:szCs w:val="24"/>
        </w:rPr>
      </w:pPr>
      <w:bookmarkStart w:id="11" w:name="_Toc224233386"/>
      <w:r w:rsidRPr="003E104C">
        <w:rPr>
          <w:rFonts w:cs="Times New Roman"/>
          <w:b/>
          <w:bCs/>
          <w:color w:val="auto"/>
          <w:szCs w:val="24"/>
        </w:rPr>
        <w:t>Study Design</w:t>
      </w:r>
      <w:bookmarkEnd w:id="11"/>
    </w:p>
    <w:p w14:paraId="4D743A71" w14:textId="265BDC71" w:rsidR="007C6A5F" w:rsidRPr="003E104C" w:rsidRDefault="007C6A5F" w:rsidP="00211BBC">
      <w:pPr>
        <w:spacing w:line="276" w:lineRule="auto"/>
        <w:jc w:val="both"/>
      </w:pPr>
      <w:r w:rsidRPr="003E104C">
        <w:t xml:space="preserve">A convergent mixed-methods </w:t>
      </w:r>
      <w:r w:rsidR="006452AE" w:rsidRPr="003E104C">
        <w:rPr>
          <w:rStyle w:val="aupe"/>
          <w:rFonts w:eastAsiaTheme="majorEastAsia"/>
        </w:rPr>
        <w:t xml:space="preserve">Pre-Post quasi-experimental </w:t>
      </w:r>
      <w:r w:rsidRPr="003E104C">
        <w:t>design was employed to capture both the measurable outcomes and contextual nuances of cultural competence interventions in faith-based hospitals</w:t>
      </w:r>
      <w:r w:rsidR="00B200F1" w:rsidRPr="003E104C">
        <w:t xml:space="preserve"> (Rana &amp; </w:t>
      </w:r>
      <w:proofErr w:type="spellStart"/>
      <w:r w:rsidR="00B200F1" w:rsidRPr="003E104C">
        <w:t>Chimoriya</w:t>
      </w:r>
      <w:proofErr w:type="spellEnd"/>
      <w:r w:rsidR="00B200F1" w:rsidRPr="003E104C">
        <w:t>, 2025</w:t>
      </w:r>
      <w:r w:rsidR="007F5709" w:rsidRPr="003E104C">
        <w:t>; Curry &amp; Nunez-Smith, 2014</w:t>
      </w:r>
      <w:r w:rsidR="00B200F1" w:rsidRPr="003E104C">
        <w:t>)</w:t>
      </w:r>
      <w:r w:rsidRPr="003E104C">
        <w:t xml:space="preserve">. Quantitative and </w:t>
      </w:r>
      <w:r w:rsidRPr="003E104C">
        <w:lastRenderedPageBreak/>
        <w:t>qualitative data were collected concurrently, analyzed independently and then integrated to provide a comprehensive understanding of the research questions.</w:t>
      </w:r>
    </w:p>
    <w:p w14:paraId="10CA11B3" w14:textId="77777777" w:rsidR="00E95A47" w:rsidRPr="003E104C" w:rsidRDefault="00E95A47" w:rsidP="00211BBC">
      <w:pPr>
        <w:spacing w:line="276" w:lineRule="auto"/>
      </w:pPr>
    </w:p>
    <w:p w14:paraId="7EF2D232" w14:textId="77777777" w:rsidR="007C6A5F" w:rsidRPr="003E104C" w:rsidRDefault="007C6A5F" w:rsidP="00211BBC">
      <w:pPr>
        <w:pStyle w:val="Heading2"/>
        <w:spacing w:line="276" w:lineRule="auto"/>
        <w:rPr>
          <w:rFonts w:cs="Times New Roman"/>
          <w:b/>
          <w:bCs/>
          <w:color w:val="auto"/>
          <w:szCs w:val="24"/>
        </w:rPr>
      </w:pPr>
      <w:bookmarkStart w:id="12" w:name="_Toc224233387"/>
      <w:r w:rsidRPr="003E104C">
        <w:rPr>
          <w:rFonts w:cs="Times New Roman"/>
          <w:b/>
          <w:bCs/>
          <w:color w:val="auto"/>
          <w:szCs w:val="24"/>
        </w:rPr>
        <w:t>Study Sites and Sampling</w:t>
      </w:r>
      <w:bookmarkEnd w:id="12"/>
    </w:p>
    <w:p w14:paraId="4476BD80" w14:textId="44F140B1" w:rsidR="007C6A5F" w:rsidRPr="003E104C" w:rsidRDefault="007C6A5F" w:rsidP="00211BBC">
      <w:pPr>
        <w:spacing w:line="276" w:lineRule="auto"/>
        <w:jc w:val="both"/>
      </w:pPr>
      <w:r w:rsidRPr="003E104C">
        <w:t xml:space="preserve">The study was conducted in 12 faith-based PNFP hospitals in Kampala, purposively selected to represent the major medical bureaus (Catholic, Protestant, Muslim, Orthodox) and a range of service levels (general, referral, specialized). Hospitals included Mengo, </w:t>
      </w:r>
      <w:proofErr w:type="spellStart"/>
      <w:r w:rsidRPr="003E104C">
        <w:t>Lubaga</w:t>
      </w:r>
      <w:proofErr w:type="spellEnd"/>
      <w:r w:rsidRPr="003E104C">
        <w:t>, Nsambya and others recognized for their historical and operational significance</w:t>
      </w:r>
      <w:r w:rsidR="00E5008A" w:rsidRPr="003E104C">
        <w:t xml:space="preserve"> (</w:t>
      </w:r>
      <w:hyperlink r:id="rId14" w:history="1">
        <w:r w:rsidR="00521C46" w:rsidRPr="003E104C">
          <w:rPr>
            <w:rStyle w:val="Hyperlink"/>
            <w:color w:val="auto"/>
            <w:u w:val="none"/>
          </w:rPr>
          <w:t>Nyongesa</w:t>
        </w:r>
      </w:hyperlink>
      <w:r w:rsidR="00521C46" w:rsidRPr="003E104C">
        <w:t xml:space="preserve">, 2024; </w:t>
      </w:r>
      <w:proofErr w:type="spellStart"/>
      <w:r w:rsidR="00521C46" w:rsidRPr="003E104C">
        <w:t>Lubaga</w:t>
      </w:r>
      <w:proofErr w:type="spellEnd"/>
      <w:r w:rsidR="00521C46" w:rsidRPr="003E104C">
        <w:t xml:space="preserve"> Hospital, 2022; Mengo Hospital, n.d.</w:t>
      </w:r>
      <w:r w:rsidR="00E5008A" w:rsidRPr="003E104C">
        <w:t>)</w:t>
      </w:r>
      <w:r w:rsidRPr="003E104C">
        <w:t>.</w:t>
      </w:r>
    </w:p>
    <w:p w14:paraId="69F96E7B" w14:textId="77777777" w:rsidR="00E95A47" w:rsidRPr="003E104C" w:rsidRDefault="00E95A47" w:rsidP="00211BBC">
      <w:pPr>
        <w:spacing w:line="276" w:lineRule="auto"/>
      </w:pPr>
    </w:p>
    <w:p w14:paraId="3A40EC6D" w14:textId="2A07DCCB" w:rsidR="006452AE" w:rsidRPr="003E104C" w:rsidRDefault="006452AE" w:rsidP="000B2D0D">
      <w:pPr>
        <w:pStyle w:val="Heading2"/>
        <w:spacing w:line="276" w:lineRule="auto"/>
        <w:rPr>
          <w:b/>
          <w:bCs/>
          <w:color w:val="auto"/>
        </w:rPr>
      </w:pPr>
      <w:r w:rsidRPr="003E104C">
        <w:rPr>
          <w:b/>
          <w:bCs/>
          <w:color w:val="auto"/>
        </w:rPr>
        <w:t>Pre-Post quasi-experiment</w:t>
      </w:r>
    </w:p>
    <w:p w14:paraId="5EF5205F" w14:textId="04B0ED2D" w:rsidR="00735750" w:rsidRPr="003E104C" w:rsidRDefault="00735750" w:rsidP="00211BBC">
      <w:pPr>
        <w:spacing w:line="276" w:lineRule="auto"/>
        <w:jc w:val="both"/>
      </w:pPr>
      <w:r w:rsidRPr="003E104C">
        <w:t xml:space="preserve">This quasi-experiment was conducted to evaluate the effect of cultural competence interventions without randomization on financial sustainability of faith-based hospitals in Kampala. The intervention involved the following steps; a) Pre-Intervention Assessment: This was done to measure cultural competence </w:t>
      </w:r>
      <w:r w:rsidR="007D3D7C" w:rsidRPr="003E104C">
        <w:t xml:space="preserve">and hospital financial sustainability </w:t>
      </w:r>
      <w:r w:rsidRPr="003E104C">
        <w:t xml:space="preserve">before the training intervention; b) Cultural Competence Training Intervention: </w:t>
      </w:r>
      <w:r w:rsidR="00FA3512" w:rsidRPr="003E104C">
        <w:t>This was a package designed with desirable cultural competence practices, d</w:t>
      </w:r>
      <w:r w:rsidRPr="003E104C">
        <w:t>eliver</w:t>
      </w:r>
      <w:r w:rsidR="00FA3512" w:rsidRPr="003E104C">
        <w:t>ed to</w:t>
      </w:r>
      <w:r w:rsidRPr="003E104C">
        <w:t xml:space="preserve"> the </w:t>
      </w:r>
      <w:r w:rsidR="00FA3512" w:rsidRPr="003E104C">
        <w:t>staff in hospitals</w:t>
      </w:r>
      <w:r w:rsidRPr="003E104C">
        <w:t>.</w:t>
      </w:r>
      <w:r w:rsidR="00FA3512" w:rsidRPr="003E104C">
        <w:t xml:space="preserve"> </w:t>
      </w:r>
      <w:r w:rsidR="00857814" w:rsidRPr="003E104C">
        <w:t xml:space="preserve">The Cultural Competence Assessment Instrument (CCAI) was used in designing the training content and in the assessment after. </w:t>
      </w:r>
      <w:r w:rsidR="00FA3512" w:rsidRPr="003E104C">
        <w:t xml:space="preserve">All staff were targeted, but to ensure inclusiveness, </w:t>
      </w:r>
      <w:r w:rsidR="0090077F" w:rsidRPr="003E104C">
        <w:t>the same cultural competence practices package was given three times in different departments, but staff from all departments were free to attend again when the session is offered in another unit.</w:t>
      </w:r>
      <w:r w:rsidR="00857814" w:rsidRPr="003E104C">
        <w:t xml:space="preserve"> </w:t>
      </w:r>
      <w:r w:rsidR="0090077F" w:rsidRPr="003E104C">
        <w:t xml:space="preserve">This increased uptake and understanding. A certificate of completion was given if a staff attended </w:t>
      </w:r>
      <w:r w:rsidR="00F140E8" w:rsidRPr="003E104C">
        <w:t>at least</w:t>
      </w:r>
      <w:r w:rsidR="0090077F" w:rsidRPr="003E104C">
        <w:t xml:space="preserve"> 85% of the sessions and completed all the session activities. Activities included practical demonstration of working with a client or staff of a different cultural orientation and </w:t>
      </w:r>
      <w:r w:rsidR="00F140E8" w:rsidRPr="003E104C">
        <w:t xml:space="preserve">a </w:t>
      </w:r>
      <w:r w:rsidR="0090077F" w:rsidRPr="003E104C">
        <w:t>report</w:t>
      </w:r>
      <w:r w:rsidR="00F140E8" w:rsidRPr="003E104C">
        <w:t xml:space="preserve"> was collected from the two parties; c) </w:t>
      </w:r>
      <w:r w:rsidRPr="003E104C">
        <w:t xml:space="preserve">Post-Intervention Assessment: </w:t>
      </w:r>
      <w:r w:rsidR="00F140E8" w:rsidRPr="003E104C">
        <w:t>This was done to m</w:t>
      </w:r>
      <w:r w:rsidRPr="003E104C">
        <w:t xml:space="preserve">easure changes </w:t>
      </w:r>
      <w:r w:rsidR="00F140E8" w:rsidRPr="003E104C">
        <w:t xml:space="preserve">in cultural competence practices </w:t>
      </w:r>
      <w:r w:rsidR="004539EF" w:rsidRPr="003E104C">
        <w:t xml:space="preserve">and hospital financial sustainability </w:t>
      </w:r>
      <w:r w:rsidRPr="003E104C">
        <w:t>after training.</w:t>
      </w:r>
      <w:r w:rsidR="004539EF" w:rsidRPr="003E104C">
        <w:t xml:space="preserve"> The pre-post data were compared to establish if the changes were significant or not.  </w:t>
      </w:r>
    </w:p>
    <w:p w14:paraId="73D0C527" w14:textId="77777777" w:rsidR="00735750" w:rsidRPr="003E104C" w:rsidRDefault="00735750" w:rsidP="00211BBC">
      <w:pPr>
        <w:spacing w:line="276" w:lineRule="auto"/>
        <w:jc w:val="both"/>
      </w:pPr>
    </w:p>
    <w:p w14:paraId="1A50C2BA" w14:textId="53DB8D00" w:rsidR="007C6A5F" w:rsidRPr="003E104C" w:rsidRDefault="007C6A5F" w:rsidP="00211BBC">
      <w:pPr>
        <w:spacing w:line="276" w:lineRule="auto"/>
        <w:jc w:val="both"/>
      </w:pPr>
      <w:r w:rsidRPr="003E104C">
        <w:rPr>
          <w:b/>
          <w:bCs/>
        </w:rPr>
        <w:t>Hospital Surveys</w:t>
      </w:r>
      <w:r w:rsidRPr="003E104C">
        <w:t>: Structured surveys were administered to hospital administrators and finance officers to collect data on outpatient retention, fee recovery, revenue streams and donor diversification.</w:t>
      </w:r>
    </w:p>
    <w:p w14:paraId="1C448E69" w14:textId="77777777" w:rsidR="007263A1" w:rsidRPr="003E104C" w:rsidRDefault="007263A1" w:rsidP="00211BBC">
      <w:pPr>
        <w:spacing w:line="276" w:lineRule="auto"/>
        <w:jc w:val="both"/>
      </w:pPr>
    </w:p>
    <w:p w14:paraId="274B0A47" w14:textId="0ED49775" w:rsidR="007C6A5F" w:rsidRPr="003E104C" w:rsidRDefault="007C6A5F" w:rsidP="00211BBC">
      <w:pPr>
        <w:spacing w:line="276" w:lineRule="auto"/>
        <w:jc w:val="both"/>
      </w:pPr>
      <w:r w:rsidRPr="003E104C">
        <w:rPr>
          <w:b/>
          <w:bCs/>
        </w:rPr>
        <w:t>Patient Exit Interviews</w:t>
      </w:r>
      <w:r w:rsidRPr="003E104C">
        <w:t>: A total of 240 patient exit interviews were conducted across the 12 hospitals, using a validated questionnaire adapted from the World Bank and Ministry of Health tools</w:t>
      </w:r>
      <w:r w:rsidR="00E5008A" w:rsidRPr="003E104C">
        <w:t xml:space="preserve"> (</w:t>
      </w:r>
      <w:r w:rsidR="00FB4A75" w:rsidRPr="003E104C">
        <w:t>Ministry of Health, Ministry of Finance, Planning &amp; Economic Development, World Bank &amp; Makerere University, 2000</w:t>
      </w:r>
      <w:r w:rsidR="00E5008A" w:rsidRPr="003E104C">
        <w:t>)</w:t>
      </w:r>
      <w:r w:rsidRPr="003E104C">
        <w:t>. Patients were systematically sampled at outpatient and inpatient departments, ensuring representation by age, gender and service type.</w:t>
      </w:r>
    </w:p>
    <w:p w14:paraId="700F1A3D" w14:textId="77777777" w:rsidR="007263A1" w:rsidRPr="003E104C" w:rsidRDefault="007263A1" w:rsidP="00211BBC">
      <w:pPr>
        <w:spacing w:line="276" w:lineRule="auto"/>
        <w:jc w:val="both"/>
        <w:rPr>
          <w:b/>
          <w:bCs/>
        </w:rPr>
      </w:pPr>
    </w:p>
    <w:p w14:paraId="0379DF5D" w14:textId="6521F36D" w:rsidR="006B3C96" w:rsidRPr="003E104C" w:rsidRDefault="007C6A5F" w:rsidP="0016252D">
      <w:pPr>
        <w:spacing w:line="276" w:lineRule="auto"/>
        <w:jc w:val="both"/>
      </w:pPr>
      <w:r w:rsidRPr="003E104C">
        <w:rPr>
          <w:b/>
          <w:bCs/>
        </w:rPr>
        <w:t>Key Informant Interviews</w:t>
      </w:r>
      <w:r w:rsidRPr="003E104C">
        <w:t>: 24 in-depth interviews were conducted with hospital leaders, donor representatives and community stakeholders, using a semi-structured guide informed by RDT and cultural competence frameworks</w:t>
      </w:r>
      <w:r w:rsidR="00E5008A" w:rsidRPr="003E104C">
        <w:t xml:space="preserve"> (</w:t>
      </w:r>
      <w:r w:rsidR="00D1653C" w:rsidRPr="003E104C">
        <w:t xml:space="preserve">UNHCR, </w:t>
      </w:r>
      <w:proofErr w:type="spellStart"/>
      <w:r w:rsidR="00D1653C" w:rsidRPr="003E104C">
        <w:t>n.d</w:t>
      </w:r>
      <w:proofErr w:type="spellEnd"/>
      <w:r w:rsidR="00D1653C" w:rsidRPr="003E104C">
        <w:t xml:space="preserve">; </w:t>
      </w:r>
      <w:r w:rsidR="00A00CB1" w:rsidRPr="003E104C">
        <w:t xml:space="preserve">UNHCR Africa </w:t>
      </w:r>
      <w:proofErr w:type="spellStart"/>
      <w:r w:rsidR="00A00CB1" w:rsidRPr="003E104C">
        <w:t>n.d</w:t>
      </w:r>
      <w:proofErr w:type="spellEnd"/>
      <w:r w:rsidR="00E5008A" w:rsidRPr="003E104C">
        <w:t>)</w:t>
      </w:r>
      <w:r w:rsidRPr="003E104C">
        <w:t>.</w:t>
      </w:r>
    </w:p>
    <w:p w14:paraId="202A5958" w14:textId="77777777" w:rsidR="007C6A5F" w:rsidRPr="003E104C" w:rsidRDefault="007C6A5F" w:rsidP="00211BBC">
      <w:pPr>
        <w:pStyle w:val="Heading2"/>
        <w:spacing w:line="276" w:lineRule="auto"/>
        <w:rPr>
          <w:rFonts w:cs="Times New Roman"/>
          <w:b/>
          <w:bCs/>
          <w:color w:val="auto"/>
          <w:szCs w:val="24"/>
        </w:rPr>
      </w:pPr>
      <w:bookmarkStart w:id="13" w:name="_Toc224233388"/>
      <w:r w:rsidRPr="003E104C">
        <w:rPr>
          <w:rFonts w:cs="Times New Roman"/>
          <w:b/>
          <w:bCs/>
          <w:color w:val="auto"/>
          <w:szCs w:val="24"/>
        </w:rPr>
        <w:lastRenderedPageBreak/>
        <w:t>Data Collection Instruments</w:t>
      </w:r>
      <w:bookmarkEnd w:id="13"/>
    </w:p>
    <w:p w14:paraId="13B24556" w14:textId="3D4123B8" w:rsidR="007C6A5F" w:rsidRPr="003E104C" w:rsidRDefault="007C6A5F" w:rsidP="00211BBC">
      <w:pPr>
        <w:spacing w:line="276" w:lineRule="auto"/>
        <w:jc w:val="both"/>
      </w:pPr>
      <w:r w:rsidRPr="003E104C">
        <w:rPr>
          <w:b/>
          <w:bCs/>
        </w:rPr>
        <w:t>Cultural Competence Assessment</w:t>
      </w:r>
      <w:r w:rsidRPr="003E104C">
        <w:t>: The Cultural Competence Assessment Instrument (CCAI) and the Short Form Cultural Intelligence Scale (SFCQ) were adapted to measure organizational and individual cultural competence among hospital staff</w:t>
      </w:r>
      <w:r w:rsidR="006822C8" w:rsidRPr="003E104C">
        <w:t xml:space="preserve"> (</w:t>
      </w:r>
      <w:r w:rsidR="00B200F1" w:rsidRPr="003E104C">
        <w:t>Balcazar, Suarez-Balcazar, Taylor-Ritzler, Juleen Rodakowski, Willis &amp; Portillo, 2009</w:t>
      </w:r>
      <w:r w:rsidR="009B0621" w:rsidRPr="003E104C">
        <w:t xml:space="preserve">; Liane </w:t>
      </w:r>
      <w:r w:rsidR="009B0621" w:rsidRPr="003E104C">
        <w:rPr>
          <w:i/>
          <w:iCs/>
        </w:rPr>
        <w:t>et al.</w:t>
      </w:r>
      <w:r w:rsidR="009B0621" w:rsidRPr="003E104C">
        <w:t>, 2022</w:t>
      </w:r>
      <w:r w:rsidR="006822C8" w:rsidRPr="003E104C">
        <w:t>)</w:t>
      </w:r>
      <w:r w:rsidRPr="003E104C">
        <w:t>.</w:t>
      </w:r>
    </w:p>
    <w:p w14:paraId="4112DBFC" w14:textId="77777777" w:rsidR="007263A1" w:rsidRPr="003E104C" w:rsidRDefault="007263A1" w:rsidP="00211BBC">
      <w:pPr>
        <w:spacing w:line="276" w:lineRule="auto"/>
        <w:jc w:val="both"/>
        <w:rPr>
          <w:b/>
          <w:bCs/>
        </w:rPr>
      </w:pPr>
    </w:p>
    <w:p w14:paraId="391AA8D8" w14:textId="2517CB00" w:rsidR="007C6A5F" w:rsidRPr="003E104C" w:rsidRDefault="007C6A5F" w:rsidP="00211BBC">
      <w:pPr>
        <w:spacing w:line="276" w:lineRule="auto"/>
        <w:jc w:val="both"/>
      </w:pPr>
      <w:r w:rsidRPr="003E104C">
        <w:rPr>
          <w:b/>
          <w:bCs/>
        </w:rPr>
        <w:t>Patient Experience and Retention Metrics</w:t>
      </w:r>
      <w:r w:rsidRPr="003E104C">
        <w:t>: Patient exit interviews captured data on satisfaction, trust, cultural alignment, likelihood of return and fee payment experiences</w:t>
      </w:r>
      <w:r w:rsidR="00E5008A" w:rsidRPr="003E104C">
        <w:t xml:space="preserve"> (</w:t>
      </w:r>
      <w:r w:rsidR="00620799" w:rsidRPr="003E104C">
        <w:t>Ministry of Health, Ministry of Finance, Planning &amp; Economic Development, World Bank &amp; Makerere University, 2000</w:t>
      </w:r>
      <w:r w:rsidR="00E5008A" w:rsidRPr="003E104C">
        <w:t>)</w:t>
      </w:r>
      <w:r w:rsidRPr="003E104C">
        <w:t>.</w:t>
      </w:r>
    </w:p>
    <w:p w14:paraId="672750B2" w14:textId="77777777" w:rsidR="007263A1" w:rsidRPr="003E104C" w:rsidRDefault="007263A1" w:rsidP="00211BBC">
      <w:pPr>
        <w:spacing w:line="276" w:lineRule="auto"/>
        <w:jc w:val="both"/>
        <w:rPr>
          <w:b/>
          <w:bCs/>
        </w:rPr>
      </w:pPr>
    </w:p>
    <w:p w14:paraId="4ECC2D93" w14:textId="6AFE6FF1" w:rsidR="007C6A5F" w:rsidRPr="003E104C" w:rsidRDefault="007C6A5F" w:rsidP="00211BBC">
      <w:pPr>
        <w:spacing w:line="276" w:lineRule="auto"/>
        <w:jc w:val="both"/>
      </w:pPr>
      <w:r w:rsidRPr="003E104C">
        <w:rPr>
          <w:b/>
          <w:bCs/>
        </w:rPr>
        <w:t>Financial Indicators</w:t>
      </w:r>
      <w:r w:rsidRPr="003E104C">
        <w:t>: Hospital surveys collected data on outpatient attendance, fee recovery rates, donor contributions and revenue diversification strategies, triangulated with hospital financial reports and DHIS2 data</w:t>
      </w:r>
      <w:r w:rsidR="00E5008A" w:rsidRPr="003E104C">
        <w:t xml:space="preserve"> (</w:t>
      </w:r>
      <w:r w:rsidR="008A353E" w:rsidRPr="003E104C">
        <w:t>Ministry of Health, 2024;</w:t>
      </w:r>
      <w:r w:rsidR="00F10092" w:rsidRPr="003E104C">
        <w:t xml:space="preserve"> </w:t>
      </w:r>
      <w:r w:rsidR="00D109F2" w:rsidRPr="003E104C">
        <w:t xml:space="preserve">cphl.go.ug. </w:t>
      </w:r>
      <w:proofErr w:type="spellStart"/>
      <w:r w:rsidR="00D109F2" w:rsidRPr="003E104C">
        <w:t>n.d</w:t>
      </w:r>
      <w:proofErr w:type="spellEnd"/>
      <w:r w:rsidR="00E5008A" w:rsidRPr="003E104C">
        <w:t>)</w:t>
      </w:r>
      <w:r w:rsidRPr="003E104C">
        <w:t>.</w:t>
      </w:r>
    </w:p>
    <w:p w14:paraId="1432B4EC" w14:textId="77777777" w:rsidR="006B3C96" w:rsidRPr="003E104C" w:rsidRDefault="006B3C96" w:rsidP="00211BBC">
      <w:pPr>
        <w:spacing w:line="276" w:lineRule="auto"/>
        <w:ind w:left="720"/>
      </w:pPr>
    </w:p>
    <w:p w14:paraId="09FD48B5" w14:textId="77777777" w:rsidR="007C6A5F" w:rsidRPr="003E104C" w:rsidRDefault="007C6A5F" w:rsidP="0016252D">
      <w:pPr>
        <w:pStyle w:val="Heading2"/>
        <w:spacing w:line="276" w:lineRule="auto"/>
        <w:rPr>
          <w:rFonts w:cs="Times New Roman"/>
          <w:b/>
          <w:bCs/>
          <w:color w:val="auto"/>
          <w:szCs w:val="24"/>
        </w:rPr>
      </w:pPr>
      <w:bookmarkStart w:id="14" w:name="_Toc224233389"/>
      <w:r w:rsidRPr="003E104C">
        <w:rPr>
          <w:rFonts w:cs="Times New Roman"/>
          <w:b/>
          <w:bCs/>
          <w:color w:val="auto"/>
          <w:szCs w:val="24"/>
        </w:rPr>
        <w:t>Data Analysis</w:t>
      </w:r>
      <w:bookmarkEnd w:id="14"/>
    </w:p>
    <w:p w14:paraId="54DAF53C" w14:textId="78537FD9" w:rsidR="007C6A5F" w:rsidRPr="003E104C" w:rsidRDefault="007C6A5F" w:rsidP="0016252D">
      <w:pPr>
        <w:spacing w:line="276" w:lineRule="auto"/>
        <w:jc w:val="both"/>
      </w:pPr>
      <w:r w:rsidRPr="003E104C">
        <w:rPr>
          <w:b/>
          <w:bCs/>
          <w:i/>
          <w:iCs/>
        </w:rPr>
        <w:t>Quantitative Analysis</w:t>
      </w:r>
      <w:r w:rsidRPr="003E104C">
        <w:t>: Descriptive statistics, correlation and regression analyses were conducted using SPSS to examine relationships between cultural competence interventions and financial outcomes (retention, fee recovery, donor diversification).</w:t>
      </w:r>
    </w:p>
    <w:p w14:paraId="0F1ECD0F" w14:textId="77777777" w:rsidR="007263A1" w:rsidRPr="003E104C" w:rsidRDefault="007263A1" w:rsidP="0016252D">
      <w:pPr>
        <w:spacing w:line="276" w:lineRule="auto"/>
        <w:jc w:val="both"/>
        <w:rPr>
          <w:b/>
          <w:bCs/>
          <w:i/>
          <w:iCs/>
        </w:rPr>
      </w:pPr>
    </w:p>
    <w:p w14:paraId="6EFEE273" w14:textId="44585735" w:rsidR="007C6A5F" w:rsidRPr="003E104C" w:rsidRDefault="007C6A5F" w:rsidP="0016252D">
      <w:pPr>
        <w:spacing w:line="276" w:lineRule="auto"/>
        <w:jc w:val="both"/>
      </w:pPr>
      <w:r w:rsidRPr="003E104C">
        <w:rPr>
          <w:b/>
          <w:bCs/>
          <w:i/>
          <w:iCs/>
        </w:rPr>
        <w:t>Qualitative Analysis</w:t>
      </w:r>
      <w:r w:rsidRPr="003E104C">
        <w:t xml:space="preserve">: Thematic analysis was applied to key informant interviews and open-ended patient responses, using NVivo and </w:t>
      </w:r>
      <w:proofErr w:type="spellStart"/>
      <w:r w:rsidRPr="003E104C">
        <w:t>Atlas.ti</w:t>
      </w:r>
      <w:proofErr w:type="spellEnd"/>
      <w:r w:rsidRPr="003E104C">
        <w:t xml:space="preserve"> to identify recurring themes related to trust, cultural alignment, and philanthropic giving</w:t>
      </w:r>
      <w:r w:rsidR="00DC37CF" w:rsidRPr="003E104C">
        <w:t xml:space="preserve"> (</w:t>
      </w:r>
      <w:proofErr w:type="spellStart"/>
      <w:r w:rsidR="001A2B09" w:rsidRPr="003E104C">
        <w:t>ATLAS.ti</w:t>
      </w:r>
      <w:proofErr w:type="spellEnd"/>
      <w:r w:rsidR="001A2B09" w:rsidRPr="003E104C">
        <w:t xml:space="preserve">., </w:t>
      </w:r>
      <w:proofErr w:type="spellStart"/>
      <w:r w:rsidR="001A2B09" w:rsidRPr="003E104C">
        <w:t>n.d</w:t>
      </w:r>
      <w:proofErr w:type="spellEnd"/>
      <w:r w:rsidR="001A2B09" w:rsidRPr="003E104C">
        <w:t xml:space="preserve">; </w:t>
      </w:r>
      <w:hyperlink r:id="rId15" w:history="1">
        <w:r w:rsidR="005D208D" w:rsidRPr="003E104C">
          <w:rPr>
            <w:rStyle w:val="Hyperlink"/>
            <w:color w:val="auto"/>
            <w:u w:val="none"/>
          </w:rPr>
          <w:t xml:space="preserve">Bella, </w:t>
        </w:r>
      </w:hyperlink>
      <w:r w:rsidR="005D208D" w:rsidRPr="003E104C">
        <w:t xml:space="preserve"> </w:t>
      </w:r>
      <w:proofErr w:type="spellStart"/>
      <w:r w:rsidR="005D208D" w:rsidRPr="003E104C">
        <w:t>n.d</w:t>
      </w:r>
      <w:proofErr w:type="spellEnd"/>
      <w:r w:rsidR="00DC37CF" w:rsidRPr="003E104C">
        <w:t>)</w:t>
      </w:r>
      <w:r w:rsidRPr="003E104C">
        <w:t>.</w:t>
      </w:r>
    </w:p>
    <w:p w14:paraId="0D589933" w14:textId="77777777" w:rsidR="00857814" w:rsidRPr="003E104C" w:rsidRDefault="00857814" w:rsidP="0016252D">
      <w:pPr>
        <w:spacing w:line="276" w:lineRule="auto"/>
        <w:jc w:val="both"/>
        <w:rPr>
          <w:b/>
          <w:bCs/>
          <w:i/>
          <w:iCs/>
        </w:rPr>
      </w:pPr>
    </w:p>
    <w:p w14:paraId="434245F2" w14:textId="3C9007AB" w:rsidR="007C6A5F" w:rsidRPr="003E104C" w:rsidRDefault="007C6A5F" w:rsidP="0016252D">
      <w:pPr>
        <w:spacing w:line="276" w:lineRule="auto"/>
        <w:jc w:val="both"/>
      </w:pPr>
      <w:r w:rsidRPr="003E104C">
        <w:rPr>
          <w:b/>
          <w:bCs/>
          <w:i/>
          <w:iCs/>
        </w:rPr>
        <w:t>Integration</w:t>
      </w:r>
      <w:r w:rsidRPr="003E104C">
        <w:t>: Quantitative and qualitative findings were integrated using joint displays and meta-inference techniques to elucidate convergent and divergent patterns</w:t>
      </w:r>
      <w:r w:rsidR="00DC37CF" w:rsidRPr="003E104C">
        <w:t xml:space="preserve"> (</w:t>
      </w:r>
      <w:r w:rsidR="008912EF" w:rsidRPr="003E104C">
        <w:t xml:space="preserve">Rana &amp; </w:t>
      </w:r>
      <w:proofErr w:type="spellStart"/>
      <w:r w:rsidR="008912EF" w:rsidRPr="003E104C">
        <w:t>Chimoriya</w:t>
      </w:r>
      <w:proofErr w:type="spellEnd"/>
      <w:r w:rsidR="008912EF" w:rsidRPr="003E104C">
        <w:t>, 2025; Curry &amp; Nunez-Smith, 2014</w:t>
      </w:r>
      <w:r w:rsidR="00DC37CF" w:rsidRPr="003E104C">
        <w:t>)</w:t>
      </w:r>
      <w:r w:rsidRPr="003E104C">
        <w:t>.</w:t>
      </w:r>
    </w:p>
    <w:p w14:paraId="77555642" w14:textId="77777777" w:rsidR="00857814" w:rsidRPr="003E104C" w:rsidRDefault="00857814" w:rsidP="0016252D">
      <w:pPr>
        <w:spacing w:line="276" w:lineRule="auto"/>
        <w:jc w:val="both"/>
      </w:pPr>
    </w:p>
    <w:p w14:paraId="60822B9B" w14:textId="77777777" w:rsidR="007C6A5F" w:rsidRPr="003E104C" w:rsidRDefault="007C6A5F" w:rsidP="0016252D">
      <w:pPr>
        <w:pStyle w:val="Heading2"/>
        <w:spacing w:line="276" w:lineRule="auto"/>
        <w:rPr>
          <w:rFonts w:cs="Times New Roman"/>
          <w:b/>
          <w:bCs/>
          <w:color w:val="auto"/>
          <w:szCs w:val="24"/>
        </w:rPr>
      </w:pPr>
      <w:bookmarkStart w:id="15" w:name="_Toc224233390"/>
      <w:r w:rsidRPr="003E104C">
        <w:rPr>
          <w:rFonts w:cs="Times New Roman"/>
          <w:b/>
          <w:bCs/>
          <w:color w:val="auto"/>
          <w:szCs w:val="24"/>
        </w:rPr>
        <w:t>Ethics and Approvals</w:t>
      </w:r>
      <w:bookmarkEnd w:id="15"/>
    </w:p>
    <w:p w14:paraId="7CCFB937" w14:textId="5E1BCF06" w:rsidR="007C6A5F" w:rsidRPr="003E104C" w:rsidRDefault="007C6A5F" w:rsidP="0016252D">
      <w:pPr>
        <w:spacing w:line="276" w:lineRule="auto"/>
        <w:jc w:val="both"/>
      </w:pPr>
      <w:r w:rsidRPr="003E104C">
        <w:t>The study protocol was approved by the relevant hospital ethics boards</w:t>
      </w:r>
      <w:r w:rsidR="00DC37CF" w:rsidRPr="003E104C">
        <w:t xml:space="preserve"> (</w:t>
      </w:r>
      <w:r w:rsidR="00BD10E2" w:rsidRPr="003E104C">
        <w:t xml:space="preserve">UNCST, 2025; </w:t>
      </w:r>
      <w:proofErr w:type="spellStart"/>
      <w:r w:rsidR="00BD10E2" w:rsidRPr="003E104C">
        <w:rPr>
          <w:i/>
          <w:iCs/>
        </w:rPr>
        <w:t>ClinRegs</w:t>
      </w:r>
      <w:proofErr w:type="spellEnd"/>
      <w:r w:rsidR="00BD10E2" w:rsidRPr="003E104C">
        <w:t xml:space="preserve">. </w:t>
      </w:r>
      <w:proofErr w:type="spellStart"/>
      <w:r w:rsidR="00BD10E2" w:rsidRPr="003E104C">
        <w:t>n.d</w:t>
      </w:r>
      <w:proofErr w:type="spellEnd"/>
      <w:r w:rsidR="00DC37CF" w:rsidRPr="003E104C">
        <w:t>)</w:t>
      </w:r>
      <w:r w:rsidRPr="003E104C">
        <w:t>. Informed consent was obtained from all participants and data confidentiality was strictly maintained.</w:t>
      </w:r>
    </w:p>
    <w:p w14:paraId="32E0C5DF" w14:textId="77777777" w:rsidR="00857814" w:rsidRPr="003E104C" w:rsidRDefault="00857814" w:rsidP="0016252D">
      <w:pPr>
        <w:spacing w:line="276" w:lineRule="auto"/>
      </w:pPr>
    </w:p>
    <w:p w14:paraId="77CCC4ED" w14:textId="77777777" w:rsidR="007C6A5F" w:rsidRPr="003E104C" w:rsidRDefault="007C6A5F" w:rsidP="0016252D">
      <w:pPr>
        <w:pStyle w:val="Heading1"/>
        <w:spacing w:line="276" w:lineRule="auto"/>
        <w:rPr>
          <w:rFonts w:cs="Times New Roman"/>
          <w:szCs w:val="24"/>
        </w:rPr>
      </w:pPr>
      <w:bookmarkStart w:id="16" w:name="_Toc224233391"/>
      <w:r w:rsidRPr="003E104C">
        <w:rPr>
          <w:rFonts w:cs="Times New Roman"/>
          <w:szCs w:val="24"/>
        </w:rPr>
        <w:t>Results</w:t>
      </w:r>
      <w:bookmarkEnd w:id="16"/>
    </w:p>
    <w:p w14:paraId="05ABABA4" w14:textId="77777777" w:rsidR="007C6A5F" w:rsidRPr="003E104C" w:rsidRDefault="007C6A5F" w:rsidP="00211BBC">
      <w:pPr>
        <w:pStyle w:val="Heading2"/>
        <w:spacing w:line="276" w:lineRule="auto"/>
        <w:rPr>
          <w:rFonts w:cs="Times New Roman"/>
          <w:b/>
          <w:bCs/>
          <w:i/>
          <w:iCs/>
          <w:color w:val="auto"/>
          <w:szCs w:val="24"/>
        </w:rPr>
      </w:pPr>
      <w:bookmarkStart w:id="17" w:name="_Toc224233392"/>
      <w:r w:rsidRPr="003E104C">
        <w:rPr>
          <w:rFonts w:cs="Times New Roman"/>
          <w:b/>
          <w:bCs/>
          <w:i/>
          <w:iCs/>
          <w:color w:val="auto"/>
          <w:szCs w:val="24"/>
        </w:rPr>
        <w:t>Quantitative Findings</w:t>
      </w:r>
      <w:bookmarkEnd w:id="17"/>
    </w:p>
    <w:p w14:paraId="25E469A7" w14:textId="178FBFAC" w:rsidR="007C6A5F" w:rsidRPr="003E104C" w:rsidRDefault="007C6A5F" w:rsidP="00211BBC">
      <w:pPr>
        <w:spacing w:line="276" w:lineRule="auto"/>
        <w:rPr>
          <w:b/>
          <w:bCs/>
        </w:rPr>
      </w:pPr>
      <w:r w:rsidRPr="003E104C">
        <w:rPr>
          <w:b/>
          <w:bCs/>
        </w:rPr>
        <w:t>Outpatient Retention</w:t>
      </w:r>
    </w:p>
    <w:p w14:paraId="2D6E3888" w14:textId="4FFC7408" w:rsidR="007C6A5F" w:rsidRPr="003E104C" w:rsidRDefault="007C6A5F" w:rsidP="00211BBC">
      <w:pPr>
        <w:pStyle w:val="Caption"/>
        <w:spacing w:after="0" w:line="276" w:lineRule="auto"/>
        <w:rPr>
          <w:color w:val="auto"/>
          <w:sz w:val="24"/>
          <w:szCs w:val="24"/>
        </w:rPr>
      </w:pPr>
      <w:r w:rsidRPr="003E104C">
        <w:rPr>
          <w:b/>
          <w:bCs/>
          <w:color w:val="auto"/>
          <w:sz w:val="24"/>
          <w:szCs w:val="24"/>
        </w:rPr>
        <w:t xml:space="preserve">Table </w:t>
      </w:r>
      <w:r w:rsidR="003475F7" w:rsidRPr="003E104C">
        <w:rPr>
          <w:b/>
          <w:bCs/>
          <w:color w:val="auto"/>
          <w:sz w:val="24"/>
          <w:szCs w:val="24"/>
        </w:rPr>
        <w:fldChar w:fldCharType="begin"/>
      </w:r>
      <w:r w:rsidR="003475F7" w:rsidRPr="003E104C">
        <w:rPr>
          <w:b/>
          <w:bCs/>
          <w:color w:val="auto"/>
          <w:sz w:val="24"/>
          <w:szCs w:val="24"/>
        </w:rPr>
        <w:instrText xml:space="preserve"> STYLEREF 1 \s </w:instrText>
      </w:r>
      <w:r w:rsidR="003475F7" w:rsidRPr="003E104C">
        <w:rPr>
          <w:b/>
          <w:bCs/>
          <w:color w:val="auto"/>
          <w:sz w:val="24"/>
          <w:szCs w:val="24"/>
        </w:rPr>
        <w:fldChar w:fldCharType="separate"/>
      </w:r>
      <w:r w:rsidR="003475F7" w:rsidRPr="003E104C">
        <w:rPr>
          <w:b/>
          <w:bCs/>
          <w:noProof/>
          <w:color w:val="auto"/>
          <w:sz w:val="24"/>
          <w:szCs w:val="24"/>
        </w:rPr>
        <w:t>4</w:t>
      </w:r>
      <w:r w:rsidR="003475F7" w:rsidRPr="003E104C">
        <w:rPr>
          <w:b/>
          <w:bCs/>
          <w:color w:val="auto"/>
          <w:sz w:val="24"/>
          <w:szCs w:val="24"/>
        </w:rPr>
        <w:fldChar w:fldCharType="end"/>
      </w:r>
      <w:r w:rsidR="003475F7" w:rsidRPr="003E104C">
        <w:rPr>
          <w:b/>
          <w:bCs/>
          <w:color w:val="auto"/>
          <w:sz w:val="24"/>
          <w:szCs w:val="24"/>
        </w:rPr>
        <w:t>.</w:t>
      </w:r>
      <w:r w:rsidR="003475F7" w:rsidRPr="003E104C">
        <w:rPr>
          <w:b/>
          <w:bCs/>
          <w:color w:val="auto"/>
          <w:sz w:val="24"/>
          <w:szCs w:val="24"/>
        </w:rPr>
        <w:fldChar w:fldCharType="begin"/>
      </w:r>
      <w:r w:rsidR="003475F7" w:rsidRPr="003E104C">
        <w:rPr>
          <w:b/>
          <w:bCs/>
          <w:color w:val="auto"/>
          <w:sz w:val="24"/>
          <w:szCs w:val="24"/>
        </w:rPr>
        <w:instrText xml:space="preserve"> SEQ Table \* ARABIC \s 1 </w:instrText>
      </w:r>
      <w:r w:rsidR="003475F7" w:rsidRPr="003E104C">
        <w:rPr>
          <w:b/>
          <w:bCs/>
          <w:color w:val="auto"/>
          <w:sz w:val="24"/>
          <w:szCs w:val="24"/>
        </w:rPr>
        <w:fldChar w:fldCharType="separate"/>
      </w:r>
      <w:r w:rsidR="003475F7" w:rsidRPr="003E104C">
        <w:rPr>
          <w:b/>
          <w:bCs/>
          <w:noProof/>
          <w:color w:val="auto"/>
          <w:sz w:val="24"/>
          <w:szCs w:val="24"/>
        </w:rPr>
        <w:t>1</w:t>
      </w:r>
      <w:r w:rsidR="003475F7" w:rsidRPr="003E104C">
        <w:rPr>
          <w:b/>
          <w:bCs/>
          <w:color w:val="auto"/>
          <w:sz w:val="24"/>
          <w:szCs w:val="24"/>
        </w:rPr>
        <w:fldChar w:fldCharType="end"/>
      </w:r>
      <w:r w:rsidRPr="003E104C">
        <w:rPr>
          <w:b/>
          <w:bCs/>
          <w:color w:val="auto"/>
          <w:sz w:val="24"/>
          <w:szCs w:val="24"/>
        </w:rPr>
        <w:t>: Outpatient Retention Rates Before and After Cultural Competence Interventions</w:t>
      </w:r>
    </w:p>
    <w:tbl>
      <w:tblPr>
        <w:tblStyle w:val="TableGrid"/>
        <w:tblW w:w="0" w:type="auto"/>
        <w:tblLook w:val="04A0" w:firstRow="1" w:lastRow="0" w:firstColumn="1" w:lastColumn="0" w:noHBand="0" w:noVBand="1"/>
      </w:tblPr>
      <w:tblGrid>
        <w:gridCol w:w="1745"/>
        <w:gridCol w:w="2590"/>
        <w:gridCol w:w="3536"/>
        <w:gridCol w:w="1463"/>
      </w:tblGrid>
      <w:tr w:rsidR="003E104C" w:rsidRPr="003E104C" w14:paraId="2B71437A" w14:textId="77777777" w:rsidTr="007C6A5F">
        <w:tc>
          <w:tcPr>
            <w:tcW w:w="0" w:type="auto"/>
            <w:hideMark/>
          </w:tcPr>
          <w:p w14:paraId="46B5F28D" w14:textId="77777777" w:rsidR="007C6A5F" w:rsidRPr="003E104C" w:rsidRDefault="007C6A5F" w:rsidP="00211BBC">
            <w:pPr>
              <w:spacing w:line="276" w:lineRule="auto"/>
              <w:rPr>
                <w:b/>
                <w:bCs/>
              </w:rPr>
            </w:pPr>
            <w:r w:rsidRPr="003E104C">
              <w:rPr>
                <w:b/>
                <w:bCs/>
              </w:rPr>
              <w:t>Hospital</w:t>
            </w:r>
          </w:p>
        </w:tc>
        <w:tc>
          <w:tcPr>
            <w:tcW w:w="0" w:type="auto"/>
            <w:hideMark/>
          </w:tcPr>
          <w:p w14:paraId="4D26DE9E" w14:textId="77777777" w:rsidR="007C6A5F" w:rsidRPr="003E104C" w:rsidRDefault="007C6A5F" w:rsidP="00211BBC">
            <w:pPr>
              <w:spacing w:line="276" w:lineRule="auto"/>
              <w:rPr>
                <w:b/>
                <w:bCs/>
              </w:rPr>
            </w:pPr>
            <w:r w:rsidRPr="003E104C">
              <w:rPr>
                <w:b/>
                <w:bCs/>
              </w:rPr>
              <w:t>Baseline Retention (%)</w:t>
            </w:r>
          </w:p>
        </w:tc>
        <w:tc>
          <w:tcPr>
            <w:tcW w:w="0" w:type="auto"/>
            <w:hideMark/>
          </w:tcPr>
          <w:p w14:paraId="6737339B" w14:textId="77777777" w:rsidR="007C6A5F" w:rsidRPr="003E104C" w:rsidRDefault="007C6A5F" w:rsidP="00211BBC">
            <w:pPr>
              <w:spacing w:line="276" w:lineRule="auto"/>
              <w:rPr>
                <w:b/>
                <w:bCs/>
              </w:rPr>
            </w:pPr>
            <w:r w:rsidRPr="003E104C">
              <w:rPr>
                <w:b/>
                <w:bCs/>
              </w:rPr>
              <w:t>Post-Intervention Retention (%)</w:t>
            </w:r>
          </w:p>
        </w:tc>
        <w:tc>
          <w:tcPr>
            <w:tcW w:w="0" w:type="auto"/>
            <w:hideMark/>
          </w:tcPr>
          <w:p w14:paraId="4BC3A3D7" w14:textId="77777777" w:rsidR="007C6A5F" w:rsidRPr="003E104C" w:rsidRDefault="007C6A5F" w:rsidP="00211BBC">
            <w:pPr>
              <w:spacing w:line="276" w:lineRule="auto"/>
              <w:rPr>
                <w:b/>
                <w:bCs/>
              </w:rPr>
            </w:pPr>
            <w:r w:rsidRPr="003E104C">
              <w:rPr>
                <w:b/>
                <w:bCs/>
              </w:rPr>
              <w:t>Change (%)</w:t>
            </w:r>
          </w:p>
        </w:tc>
      </w:tr>
      <w:tr w:rsidR="003E104C" w:rsidRPr="003E104C" w14:paraId="282120E0" w14:textId="77777777" w:rsidTr="007C6A5F">
        <w:tc>
          <w:tcPr>
            <w:tcW w:w="0" w:type="auto"/>
            <w:hideMark/>
          </w:tcPr>
          <w:p w14:paraId="33366707" w14:textId="77777777" w:rsidR="007C6A5F" w:rsidRPr="003E104C" w:rsidRDefault="007C6A5F" w:rsidP="00211BBC">
            <w:pPr>
              <w:spacing w:line="276" w:lineRule="auto"/>
            </w:pPr>
            <w:r w:rsidRPr="003E104C">
              <w:t>Mengo</w:t>
            </w:r>
          </w:p>
        </w:tc>
        <w:tc>
          <w:tcPr>
            <w:tcW w:w="0" w:type="auto"/>
            <w:hideMark/>
          </w:tcPr>
          <w:p w14:paraId="491B4ADD" w14:textId="77777777" w:rsidR="007C6A5F" w:rsidRPr="003E104C" w:rsidRDefault="007C6A5F" w:rsidP="00211BBC">
            <w:pPr>
              <w:spacing w:line="276" w:lineRule="auto"/>
            </w:pPr>
            <w:r w:rsidRPr="003E104C">
              <w:t>62</w:t>
            </w:r>
          </w:p>
        </w:tc>
        <w:tc>
          <w:tcPr>
            <w:tcW w:w="0" w:type="auto"/>
            <w:hideMark/>
          </w:tcPr>
          <w:p w14:paraId="3713D987" w14:textId="77777777" w:rsidR="007C6A5F" w:rsidRPr="003E104C" w:rsidRDefault="007C6A5F" w:rsidP="00211BBC">
            <w:pPr>
              <w:spacing w:line="276" w:lineRule="auto"/>
            </w:pPr>
            <w:r w:rsidRPr="003E104C">
              <w:t>78</w:t>
            </w:r>
          </w:p>
        </w:tc>
        <w:tc>
          <w:tcPr>
            <w:tcW w:w="0" w:type="auto"/>
            <w:hideMark/>
          </w:tcPr>
          <w:p w14:paraId="0F8CD056" w14:textId="77777777" w:rsidR="007C6A5F" w:rsidRPr="003E104C" w:rsidRDefault="007C6A5F" w:rsidP="00211BBC">
            <w:pPr>
              <w:spacing w:line="276" w:lineRule="auto"/>
            </w:pPr>
            <w:r w:rsidRPr="003E104C">
              <w:t>+16</w:t>
            </w:r>
          </w:p>
        </w:tc>
      </w:tr>
      <w:tr w:rsidR="003E104C" w:rsidRPr="003E104C" w14:paraId="56638AA5" w14:textId="77777777" w:rsidTr="007C6A5F">
        <w:tc>
          <w:tcPr>
            <w:tcW w:w="0" w:type="auto"/>
            <w:hideMark/>
          </w:tcPr>
          <w:p w14:paraId="19F6FC9B" w14:textId="77777777" w:rsidR="007C6A5F" w:rsidRPr="003E104C" w:rsidRDefault="007C6A5F" w:rsidP="00211BBC">
            <w:pPr>
              <w:spacing w:line="276" w:lineRule="auto"/>
            </w:pPr>
            <w:proofErr w:type="spellStart"/>
            <w:r w:rsidRPr="003E104C">
              <w:t>Lubaga</w:t>
            </w:r>
            <w:proofErr w:type="spellEnd"/>
          </w:p>
        </w:tc>
        <w:tc>
          <w:tcPr>
            <w:tcW w:w="0" w:type="auto"/>
            <w:hideMark/>
          </w:tcPr>
          <w:p w14:paraId="334587DF" w14:textId="77777777" w:rsidR="007C6A5F" w:rsidRPr="003E104C" w:rsidRDefault="007C6A5F" w:rsidP="00211BBC">
            <w:pPr>
              <w:spacing w:line="276" w:lineRule="auto"/>
            </w:pPr>
            <w:r w:rsidRPr="003E104C">
              <w:t>59</w:t>
            </w:r>
          </w:p>
        </w:tc>
        <w:tc>
          <w:tcPr>
            <w:tcW w:w="0" w:type="auto"/>
            <w:hideMark/>
          </w:tcPr>
          <w:p w14:paraId="0D7A4D62" w14:textId="77777777" w:rsidR="007C6A5F" w:rsidRPr="003E104C" w:rsidRDefault="007C6A5F" w:rsidP="00211BBC">
            <w:pPr>
              <w:spacing w:line="276" w:lineRule="auto"/>
            </w:pPr>
            <w:r w:rsidRPr="003E104C">
              <w:t>75</w:t>
            </w:r>
          </w:p>
        </w:tc>
        <w:tc>
          <w:tcPr>
            <w:tcW w:w="0" w:type="auto"/>
            <w:hideMark/>
          </w:tcPr>
          <w:p w14:paraId="27F75423" w14:textId="77777777" w:rsidR="007C6A5F" w:rsidRPr="003E104C" w:rsidRDefault="007C6A5F" w:rsidP="00211BBC">
            <w:pPr>
              <w:spacing w:line="276" w:lineRule="auto"/>
            </w:pPr>
            <w:r w:rsidRPr="003E104C">
              <w:t>+16</w:t>
            </w:r>
          </w:p>
        </w:tc>
      </w:tr>
      <w:tr w:rsidR="003E104C" w:rsidRPr="003E104C" w14:paraId="5D97B5D3" w14:textId="77777777" w:rsidTr="007C6A5F">
        <w:tc>
          <w:tcPr>
            <w:tcW w:w="0" w:type="auto"/>
            <w:hideMark/>
          </w:tcPr>
          <w:p w14:paraId="43CAC42B" w14:textId="77777777" w:rsidR="007C6A5F" w:rsidRPr="003E104C" w:rsidRDefault="007C6A5F" w:rsidP="00211BBC">
            <w:pPr>
              <w:spacing w:line="276" w:lineRule="auto"/>
            </w:pPr>
            <w:r w:rsidRPr="003E104C">
              <w:t>Nsambya</w:t>
            </w:r>
          </w:p>
        </w:tc>
        <w:tc>
          <w:tcPr>
            <w:tcW w:w="0" w:type="auto"/>
            <w:hideMark/>
          </w:tcPr>
          <w:p w14:paraId="54D4727F" w14:textId="77777777" w:rsidR="007C6A5F" w:rsidRPr="003E104C" w:rsidRDefault="007C6A5F" w:rsidP="00211BBC">
            <w:pPr>
              <w:spacing w:line="276" w:lineRule="auto"/>
            </w:pPr>
            <w:r w:rsidRPr="003E104C">
              <w:t>65</w:t>
            </w:r>
          </w:p>
        </w:tc>
        <w:tc>
          <w:tcPr>
            <w:tcW w:w="0" w:type="auto"/>
            <w:hideMark/>
          </w:tcPr>
          <w:p w14:paraId="753959E9" w14:textId="77777777" w:rsidR="007C6A5F" w:rsidRPr="003E104C" w:rsidRDefault="007C6A5F" w:rsidP="00211BBC">
            <w:pPr>
              <w:spacing w:line="276" w:lineRule="auto"/>
            </w:pPr>
            <w:r w:rsidRPr="003E104C">
              <w:t>81</w:t>
            </w:r>
          </w:p>
        </w:tc>
        <w:tc>
          <w:tcPr>
            <w:tcW w:w="0" w:type="auto"/>
            <w:hideMark/>
          </w:tcPr>
          <w:p w14:paraId="343B2F70" w14:textId="77777777" w:rsidR="007C6A5F" w:rsidRPr="003E104C" w:rsidRDefault="007C6A5F" w:rsidP="00211BBC">
            <w:pPr>
              <w:spacing w:line="276" w:lineRule="auto"/>
            </w:pPr>
            <w:r w:rsidRPr="003E104C">
              <w:t>+16</w:t>
            </w:r>
          </w:p>
        </w:tc>
      </w:tr>
      <w:tr w:rsidR="003E104C" w:rsidRPr="003E104C" w14:paraId="3679329D" w14:textId="77777777" w:rsidTr="007C6A5F">
        <w:tc>
          <w:tcPr>
            <w:tcW w:w="0" w:type="auto"/>
            <w:hideMark/>
          </w:tcPr>
          <w:p w14:paraId="20274D33" w14:textId="77777777" w:rsidR="007C6A5F" w:rsidRPr="003E104C" w:rsidRDefault="007C6A5F" w:rsidP="00211BBC">
            <w:pPr>
              <w:spacing w:line="276" w:lineRule="auto"/>
            </w:pPr>
            <w:r w:rsidRPr="003E104C">
              <w:t>Average (n=12)</w:t>
            </w:r>
          </w:p>
        </w:tc>
        <w:tc>
          <w:tcPr>
            <w:tcW w:w="0" w:type="auto"/>
            <w:hideMark/>
          </w:tcPr>
          <w:p w14:paraId="1EC9666F" w14:textId="77777777" w:rsidR="007C6A5F" w:rsidRPr="003E104C" w:rsidRDefault="007C6A5F" w:rsidP="00211BBC">
            <w:pPr>
              <w:spacing w:line="276" w:lineRule="auto"/>
            </w:pPr>
            <w:r w:rsidRPr="003E104C">
              <w:t>61</w:t>
            </w:r>
          </w:p>
        </w:tc>
        <w:tc>
          <w:tcPr>
            <w:tcW w:w="0" w:type="auto"/>
            <w:hideMark/>
          </w:tcPr>
          <w:p w14:paraId="2F6B800D" w14:textId="77777777" w:rsidR="007C6A5F" w:rsidRPr="003E104C" w:rsidRDefault="007C6A5F" w:rsidP="00211BBC">
            <w:pPr>
              <w:spacing w:line="276" w:lineRule="auto"/>
            </w:pPr>
            <w:r w:rsidRPr="003E104C">
              <w:t>77</w:t>
            </w:r>
          </w:p>
        </w:tc>
        <w:tc>
          <w:tcPr>
            <w:tcW w:w="0" w:type="auto"/>
            <w:hideMark/>
          </w:tcPr>
          <w:p w14:paraId="4A1C3063" w14:textId="77777777" w:rsidR="007C6A5F" w:rsidRPr="003E104C" w:rsidRDefault="007C6A5F" w:rsidP="00211BBC">
            <w:pPr>
              <w:spacing w:line="276" w:lineRule="auto"/>
            </w:pPr>
            <w:r w:rsidRPr="003E104C">
              <w:t>+16</w:t>
            </w:r>
          </w:p>
        </w:tc>
      </w:tr>
    </w:tbl>
    <w:p w14:paraId="6CF1D96E" w14:textId="1A159E36" w:rsidR="00923A7E" w:rsidRPr="003E104C" w:rsidRDefault="007C6A5F" w:rsidP="0016252D">
      <w:pPr>
        <w:spacing w:line="276" w:lineRule="auto"/>
        <w:jc w:val="both"/>
      </w:pPr>
      <w:r w:rsidRPr="003E104C">
        <w:lastRenderedPageBreak/>
        <w:t>Outpatient retention rates increased by an average of 16 percentage points across the 12 hospitals following the implementation of cultural competence interventions (e.g., staff training, interpreter services, culturally adapted care protocols). Regression analysis revealed a significant positive correlation between cultural competence scores and patient retention (r = 0.72, p &lt; 0.01), controlling for hospital size and service mix.</w:t>
      </w:r>
    </w:p>
    <w:p w14:paraId="22006D85" w14:textId="11044C5A" w:rsidR="007C6A5F" w:rsidRPr="003E104C" w:rsidRDefault="007C6A5F" w:rsidP="00211BBC">
      <w:pPr>
        <w:spacing w:line="276" w:lineRule="auto"/>
        <w:rPr>
          <w:b/>
          <w:bCs/>
        </w:rPr>
      </w:pPr>
      <w:r w:rsidRPr="003E104C">
        <w:rPr>
          <w:b/>
          <w:bCs/>
        </w:rPr>
        <w:t>Fee Recovery</w:t>
      </w:r>
    </w:p>
    <w:p w14:paraId="346FB531" w14:textId="75094AD2" w:rsidR="007C6A5F" w:rsidRPr="003E104C" w:rsidRDefault="007C6A5F" w:rsidP="00211BBC">
      <w:pPr>
        <w:pStyle w:val="Caption"/>
        <w:spacing w:after="0" w:line="276" w:lineRule="auto"/>
        <w:rPr>
          <w:b/>
          <w:bCs/>
          <w:color w:val="auto"/>
          <w:sz w:val="24"/>
          <w:szCs w:val="24"/>
        </w:rPr>
      </w:pPr>
      <w:r w:rsidRPr="003E104C">
        <w:rPr>
          <w:b/>
          <w:bCs/>
          <w:color w:val="auto"/>
          <w:sz w:val="24"/>
          <w:szCs w:val="24"/>
        </w:rPr>
        <w:t xml:space="preserve">Table </w:t>
      </w:r>
      <w:r w:rsidR="003475F7" w:rsidRPr="003E104C">
        <w:rPr>
          <w:b/>
          <w:bCs/>
          <w:color w:val="auto"/>
          <w:sz w:val="24"/>
          <w:szCs w:val="24"/>
        </w:rPr>
        <w:fldChar w:fldCharType="begin"/>
      </w:r>
      <w:r w:rsidR="003475F7" w:rsidRPr="003E104C">
        <w:rPr>
          <w:b/>
          <w:bCs/>
          <w:color w:val="auto"/>
          <w:sz w:val="24"/>
          <w:szCs w:val="24"/>
        </w:rPr>
        <w:instrText xml:space="preserve"> STYLEREF 1 \s </w:instrText>
      </w:r>
      <w:r w:rsidR="003475F7" w:rsidRPr="003E104C">
        <w:rPr>
          <w:b/>
          <w:bCs/>
          <w:color w:val="auto"/>
          <w:sz w:val="24"/>
          <w:szCs w:val="24"/>
        </w:rPr>
        <w:fldChar w:fldCharType="separate"/>
      </w:r>
      <w:r w:rsidR="003475F7" w:rsidRPr="003E104C">
        <w:rPr>
          <w:b/>
          <w:bCs/>
          <w:noProof/>
          <w:color w:val="auto"/>
          <w:sz w:val="24"/>
          <w:szCs w:val="24"/>
        </w:rPr>
        <w:t>4</w:t>
      </w:r>
      <w:r w:rsidR="003475F7" w:rsidRPr="003E104C">
        <w:rPr>
          <w:b/>
          <w:bCs/>
          <w:color w:val="auto"/>
          <w:sz w:val="24"/>
          <w:szCs w:val="24"/>
        </w:rPr>
        <w:fldChar w:fldCharType="end"/>
      </w:r>
      <w:r w:rsidR="003475F7" w:rsidRPr="003E104C">
        <w:rPr>
          <w:b/>
          <w:bCs/>
          <w:color w:val="auto"/>
          <w:sz w:val="24"/>
          <w:szCs w:val="24"/>
        </w:rPr>
        <w:t>.</w:t>
      </w:r>
      <w:r w:rsidR="003475F7" w:rsidRPr="003E104C">
        <w:rPr>
          <w:b/>
          <w:bCs/>
          <w:color w:val="auto"/>
          <w:sz w:val="24"/>
          <w:szCs w:val="24"/>
        </w:rPr>
        <w:fldChar w:fldCharType="begin"/>
      </w:r>
      <w:r w:rsidR="003475F7" w:rsidRPr="003E104C">
        <w:rPr>
          <w:b/>
          <w:bCs/>
          <w:color w:val="auto"/>
          <w:sz w:val="24"/>
          <w:szCs w:val="24"/>
        </w:rPr>
        <w:instrText xml:space="preserve"> SEQ Table \* ARABIC \s 1 </w:instrText>
      </w:r>
      <w:r w:rsidR="003475F7" w:rsidRPr="003E104C">
        <w:rPr>
          <w:b/>
          <w:bCs/>
          <w:color w:val="auto"/>
          <w:sz w:val="24"/>
          <w:szCs w:val="24"/>
        </w:rPr>
        <w:fldChar w:fldCharType="separate"/>
      </w:r>
      <w:r w:rsidR="003475F7" w:rsidRPr="003E104C">
        <w:rPr>
          <w:b/>
          <w:bCs/>
          <w:noProof/>
          <w:color w:val="auto"/>
          <w:sz w:val="24"/>
          <w:szCs w:val="24"/>
        </w:rPr>
        <w:t>2</w:t>
      </w:r>
      <w:r w:rsidR="003475F7" w:rsidRPr="003E104C">
        <w:rPr>
          <w:b/>
          <w:bCs/>
          <w:color w:val="auto"/>
          <w:sz w:val="24"/>
          <w:szCs w:val="24"/>
        </w:rPr>
        <w:fldChar w:fldCharType="end"/>
      </w:r>
      <w:r w:rsidRPr="003E104C">
        <w:rPr>
          <w:b/>
          <w:bCs/>
          <w:color w:val="auto"/>
          <w:sz w:val="24"/>
          <w:szCs w:val="24"/>
        </w:rPr>
        <w:t>: Fee Recovery Rates Before and After Cultural Competence Interventions</w:t>
      </w:r>
    </w:p>
    <w:tbl>
      <w:tblPr>
        <w:tblStyle w:val="TableGrid"/>
        <w:tblW w:w="0" w:type="auto"/>
        <w:tblLook w:val="04A0" w:firstRow="1" w:lastRow="0" w:firstColumn="1" w:lastColumn="0" w:noHBand="0" w:noVBand="1"/>
      </w:tblPr>
      <w:tblGrid>
        <w:gridCol w:w="1659"/>
        <w:gridCol w:w="2721"/>
        <w:gridCol w:w="3581"/>
        <w:gridCol w:w="1399"/>
      </w:tblGrid>
      <w:tr w:rsidR="003E104C" w:rsidRPr="003E104C" w14:paraId="46C0E43C" w14:textId="77777777" w:rsidTr="007C6A5F">
        <w:tc>
          <w:tcPr>
            <w:tcW w:w="0" w:type="auto"/>
            <w:hideMark/>
          </w:tcPr>
          <w:p w14:paraId="05765180" w14:textId="77777777" w:rsidR="007C6A5F" w:rsidRPr="003E104C" w:rsidRDefault="007C6A5F" w:rsidP="00211BBC">
            <w:pPr>
              <w:spacing w:line="276" w:lineRule="auto"/>
              <w:rPr>
                <w:b/>
                <w:bCs/>
              </w:rPr>
            </w:pPr>
            <w:r w:rsidRPr="003E104C">
              <w:rPr>
                <w:b/>
                <w:bCs/>
              </w:rPr>
              <w:t>Hospital</w:t>
            </w:r>
          </w:p>
        </w:tc>
        <w:tc>
          <w:tcPr>
            <w:tcW w:w="0" w:type="auto"/>
            <w:hideMark/>
          </w:tcPr>
          <w:p w14:paraId="2721483C" w14:textId="77777777" w:rsidR="007C6A5F" w:rsidRPr="003E104C" w:rsidRDefault="007C6A5F" w:rsidP="00211BBC">
            <w:pPr>
              <w:spacing w:line="276" w:lineRule="auto"/>
              <w:rPr>
                <w:b/>
                <w:bCs/>
              </w:rPr>
            </w:pPr>
            <w:r w:rsidRPr="003E104C">
              <w:rPr>
                <w:b/>
                <w:bCs/>
              </w:rPr>
              <w:t>Baseline Fee Recovery (%)</w:t>
            </w:r>
          </w:p>
        </w:tc>
        <w:tc>
          <w:tcPr>
            <w:tcW w:w="0" w:type="auto"/>
            <w:hideMark/>
          </w:tcPr>
          <w:p w14:paraId="42DCEA22" w14:textId="77777777" w:rsidR="007C6A5F" w:rsidRPr="003E104C" w:rsidRDefault="007C6A5F" w:rsidP="00211BBC">
            <w:pPr>
              <w:spacing w:line="276" w:lineRule="auto"/>
              <w:rPr>
                <w:b/>
                <w:bCs/>
              </w:rPr>
            </w:pPr>
            <w:r w:rsidRPr="003E104C">
              <w:rPr>
                <w:b/>
                <w:bCs/>
              </w:rPr>
              <w:t>Post-Intervention Fee Recovery (%)</w:t>
            </w:r>
          </w:p>
        </w:tc>
        <w:tc>
          <w:tcPr>
            <w:tcW w:w="0" w:type="auto"/>
            <w:hideMark/>
          </w:tcPr>
          <w:p w14:paraId="300EE701" w14:textId="77777777" w:rsidR="007C6A5F" w:rsidRPr="003E104C" w:rsidRDefault="007C6A5F" w:rsidP="00211BBC">
            <w:pPr>
              <w:spacing w:line="276" w:lineRule="auto"/>
              <w:rPr>
                <w:b/>
                <w:bCs/>
              </w:rPr>
            </w:pPr>
            <w:r w:rsidRPr="003E104C">
              <w:rPr>
                <w:b/>
                <w:bCs/>
              </w:rPr>
              <w:t>Change (%)</w:t>
            </w:r>
          </w:p>
        </w:tc>
      </w:tr>
      <w:tr w:rsidR="003E104C" w:rsidRPr="003E104C" w14:paraId="4EE195D8" w14:textId="77777777" w:rsidTr="007C6A5F">
        <w:tc>
          <w:tcPr>
            <w:tcW w:w="0" w:type="auto"/>
            <w:hideMark/>
          </w:tcPr>
          <w:p w14:paraId="7100A796" w14:textId="77777777" w:rsidR="007C6A5F" w:rsidRPr="003E104C" w:rsidRDefault="007C6A5F" w:rsidP="00211BBC">
            <w:pPr>
              <w:spacing w:line="276" w:lineRule="auto"/>
            </w:pPr>
            <w:r w:rsidRPr="003E104C">
              <w:t>Mengo</w:t>
            </w:r>
          </w:p>
        </w:tc>
        <w:tc>
          <w:tcPr>
            <w:tcW w:w="0" w:type="auto"/>
            <w:hideMark/>
          </w:tcPr>
          <w:p w14:paraId="412A24DF" w14:textId="77777777" w:rsidR="007C6A5F" w:rsidRPr="003E104C" w:rsidRDefault="007C6A5F" w:rsidP="00211BBC">
            <w:pPr>
              <w:spacing w:line="276" w:lineRule="auto"/>
            </w:pPr>
            <w:r w:rsidRPr="003E104C">
              <w:t>74</w:t>
            </w:r>
          </w:p>
        </w:tc>
        <w:tc>
          <w:tcPr>
            <w:tcW w:w="0" w:type="auto"/>
            <w:hideMark/>
          </w:tcPr>
          <w:p w14:paraId="08D550C3" w14:textId="77777777" w:rsidR="007C6A5F" w:rsidRPr="003E104C" w:rsidRDefault="007C6A5F" w:rsidP="00211BBC">
            <w:pPr>
              <w:spacing w:line="276" w:lineRule="auto"/>
            </w:pPr>
            <w:r w:rsidRPr="003E104C">
              <w:t>88</w:t>
            </w:r>
          </w:p>
        </w:tc>
        <w:tc>
          <w:tcPr>
            <w:tcW w:w="0" w:type="auto"/>
            <w:hideMark/>
          </w:tcPr>
          <w:p w14:paraId="7A8802D5" w14:textId="77777777" w:rsidR="007C6A5F" w:rsidRPr="003E104C" w:rsidRDefault="007C6A5F" w:rsidP="00211BBC">
            <w:pPr>
              <w:spacing w:line="276" w:lineRule="auto"/>
            </w:pPr>
            <w:r w:rsidRPr="003E104C">
              <w:t>+14</w:t>
            </w:r>
          </w:p>
        </w:tc>
      </w:tr>
      <w:tr w:rsidR="003E104C" w:rsidRPr="003E104C" w14:paraId="1CDFA0F7" w14:textId="77777777" w:rsidTr="007C6A5F">
        <w:tc>
          <w:tcPr>
            <w:tcW w:w="0" w:type="auto"/>
            <w:hideMark/>
          </w:tcPr>
          <w:p w14:paraId="3F3E7209" w14:textId="77777777" w:rsidR="007C6A5F" w:rsidRPr="003E104C" w:rsidRDefault="007C6A5F" w:rsidP="00211BBC">
            <w:pPr>
              <w:spacing w:line="276" w:lineRule="auto"/>
            </w:pPr>
            <w:proofErr w:type="spellStart"/>
            <w:r w:rsidRPr="003E104C">
              <w:t>Lubaga</w:t>
            </w:r>
            <w:proofErr w:type="spellEnd"/>
          </w:p>
        </w:tc>
        <w:tc>
          <w:tcPr>
            <w:tcW w:w="0" w:type="auto"/>
            <w:hideMark/>
          </w:tcPr>
          <w:p w14:paraId="59A992B1" w14:textId="77777777" w:rsidR="007C6A5F" w:rsidRPr="003E104C" w:rsidRDefault="007C6A5F" w:rsidP="00211BBC">
            <w:pPr>
              <w:spacing w:line="276" w:lineRule="auto"/>
            </w:pPr>
            <w:r w:rsidRPr="003E104C">
              <w:t>69</w:t>
            </w:r>
          </w:p>
        </w:tc>
        <w:tc>
          <w:tcPr>
            <w:tcW w:w="0" w:type="auto"/>
            <w:hideMark/>
          </w:tcPr>
          <w:p w14:paraId="596D7ED2" w14:textId="77777777" w:rsidR="007C6A5F" w:rsidRPr="003E104C" w:rsidRDefault="007C6A5F" w:rsidP="00211BBC">
            <w:pPr>
              <w:spacing w:line="276" w:lineRule="auto"/>
            </w:pPr>
            <w:r w:rsidRPr="003E104C">
              <w:t>85</w:t>
            </w:r>
          </w:p>
        </w:tc>
        <w:tc>
          <w:tcPr>
            <w:tcW w:w="0" w:type="auto"/>
            <w:hideMark/>
          </w:tcPr>
          <w:p w14:paraId="58A7150E" w14:textId="77777777" w:rsidR="007C6A5F" w:rsidRPr="003E104C" w:rsidRDefault="007C6A5F" w:rsidP="00211BBC">
            <w:pPr>
              <w:spacing w:line="276" w:lineRule="auto"/>
            </w:pPr>
            <w:r w:rsidRPr="003E104C">
              <w:t>+16</w:t>
            </w:r>
          </w:p>
        </w:tc>
      </w:tr>
      <w:tr w:rsidR="003E104C" w:rsidRPr="003E104C" w14:paraId="36916D23" w14:textId="77777777" w:rsidTr="007C6A5F">
        <w:tc>
          <w:tcPr>
            <w:tcW w:w="0" w:type="auto"/>
            <w:hideMark/>
          </w:tcPr>
          <w:p w14:paraId="4A2EE644" w14:textId="77777777" w:rsidR="007C6A5F" w:rsidRPr="003E104C" w:rsidRDefault="007C6A5F" w:rsidP="00211BBC">
            <w:pPr>
              <w:spacing w:line="276" w:lineRule="auto"/>
            </w:pPr>
            <w:r w:rsidRPr="003E104C">
              <w:t>Nsambya</w:t>
            </w:r>
          </w:p>
        </w:tc>
        <w:tc>
          <w:tcPr>
            <w:tcW w:w="0" w:type="auto"/>
            <w:hideMark/>
          </w:tcPr>
          <w:p w14:paraId="0444A3EF" w14:textId="77777777" w:rsidR="007C6A5F" w:rsidRPr="003E104C" w:rsidRDefault="007C6A5F" w:rsidP="00211BBC">
            <w:pPr>
              <w:spacing w:line="276" w:lineRule="auto"/>
            </w:pPr>
            <w:r w:rsidRPr="003E104C">
              <w:t>72</w:t>
            </w:r>
          </w:p>
        </w:tc>
        <w:tc>
          <w:tcPr>
            <w:tcW w:w="0" w:type="auto"/>
            <w:hideMark/>
          </w:tcPr>
          <w:p w14:paraId="5851CA82" w14:textId="77777777" w:rsidR="007C6A5F" w:rsidRPr="003E104C" w:rsidRDefault="007C6A5F" w:rsidP="00211BBC">
            <w:pPr>
              <w:spacing w:line="276" w:lineRule="auto"/>
            </w:pPr>
            <w:r w:rsidRPr="003E104C">
              <w:t>87</w:t>
            </w:r>
          </w:p>
        </w:tc>
        <w:tc>
          <w:tcPr>
            <w:tcW w:w="0" w:type="auto"/>
            <w:hideMark/>
          </w:tcPr>
          <w:p w14:paraId="54D2D064" w14:textId="77777777" w:rsidR="007C6A5F" w:rsidRPr="003E104C" w:rsidRDefault="007C6A5F" w:rsidP="00211BBC">
            <w:pPr>
              <w:spacing w:line="276" w:lineRule="auto"/>
            </w:pPr>
            <w:r w:rsidRPr="003E104C">
              <w:t>+15</w:t>
            </w:r>
          </w:p>
        </w:tc>
      </w:tr>
      <w:tr w:rsidR="003E104C" w:rsidRPr="003E104C" w14:paraId="525F6D1D" w14:textId="77777777" w:rsidTr="007C6A5F">
        <w:tc>
          <w:tcPr>
            <w:tcW w:w="0" w:type="auto"/>
            <w:hideMark/>
          </w:tcPr>
          <w:p w14:paraId="0414A545" w14:textId="77777777" w:rsidR="007C6A5F" w:rsidRPr="003E104C" w:rsidRDefault="007C6A5F" w:rsidP="00211BBC">
            <w:pPr>
              <w:spacing w:line="276" w:lineRule="auto"/>
            </w:pPr>
            <w:r w:rsidRPr="003E104C">
              <w:t>Average (n=12)</w:t>
            </w:r>
          </w:p>
        </w:tc>
        <w:tc>
          <w:tcPr>
            <w:tcW w:w="0" w:type="auto"/>
            <w:hideMark/>
          </w:tcPr>
          <w:p w14:paraId="2714FB78" w14:textId="77777777" w:rsidR="007C6A5F" w:rsidRPr="003E104C" w:rsidRDefault="007C6A5F" w:rsidP="00211BBC">
            <w:pPr>
              <w:spacing w:line="276" w:lineRule="auto"/>
            </w:pPr>
            <w:r w:rsidRPr="003E104C">
              <w:t>71</w:t>
            </w:r>
          </w:p>
        </w:tc>
        <w:tc>
          <w:tcPr>
            <w:tcW w:w="0" w:type="auto"/>
            <w:hideMark/>
          </w:tcPr>
          <w:p w14:paraId="6AFFF54C" w14:textId="77777777" w:rsidR="007C6A5F" w:rsidRPr="003E104C" w:rsidRDefault="007C6A5F" w:rsidP="00211BBC">
            <w:pPr>
              <w:spacing w:line="276" w:lineRule="auto"/>
            </w:pPr>
            <w:r w:rsidRPr="003E104C">
              <w:t>86</w:t>
            </w:r>
          </w:p>
        </w:tc>
        <w:tc>
          <w:tcPr>
            <w:tcW w:w="0" w:type="auto"/>
            <w:hideMark/>
          </w:tcPr>
          <w:p w14:paraId="7872421E" w14:textId="77777777" w:rsidR="007C6A5F" w:rsidRPr="003E104C" w:rsidRDefault="007C6A5F" w:rsidP="00211BBC">
            <w:pPr>
              <w:spacing w:line="276" w:lineRule="auto"/>
            </w:pPr>
            <w:r w:rsidRPr="003E104C">
              <w:t>+15</w:t>
            </w:r>
          </w:p>
        </w:tc>
      </w:tr>
    </w:tbl>
    <w:p w14:paraId="6F9985A6" w14:textId="77777777" w:rsidR="007C6A5F" w:rsidRPr="003E104C" w:rsidRDefault="007C6A5F" w:rsidP="0016252D">
      <w:pPr>
        <w:spacing w:line="276" w:lineRule="auto"/>
        <w:jc w:val="both"/>
      </w:pPr>
      <w:r w:rsidRPr="003E104C">
        <w:t>Fee recovery rates improved by an average of 15 percentage points, with hospitals reporting fewer defaults and increased willingness among patients to pay for services perceived as respectful and culturally aligned. Hospitals that implemented flexible payment options and transparent billing practices saw the largest gains.</w:t>
      </w:r>
    </w:p>
    <w:p w14:paraId="23304C89" w14:textId="77777777" w:rsidR="00DC37CF" w:rsidRPr="003E104C" w:rsidRDefault="00DC37CF" w:rsidP="00211BBC">
      <w:pPr>
        <w:spacing w:line="276" w:lineRule="auto"/>
      </w:pPr>
    </w:p>
    <w:p w14:paraId="6FA9328E" w14:textId="77777777" w:rsidR="007C6A5F" w:rsidRPr="003E104C" w:rsidRDefault="007C6A5F" w:rsidP="00211BBC">
      <w:pPr>
        <w:spacing w:line="276" w:lineRule="auto"/>
        <w:rPr>
          <w:b/>
          <w:bCs/>
        </w:rPr>
      </w:pPr>
      <w:r w:rsidRPr="003E104C">
        <w:rPr>
          <w:b/>
          <w:bCs/>
        </w:rPr>
        <w:t>Donor Diversification</w:t>
      </w:r>
    </w:p>
    <w:p w14:paraId="26E168A2" w14:textId="768321D2" w:rsidR="007C6A5F" w:rsidRPr="003E104C" w:rsidRDefault="003475F7" w:rsidP="00211BBC">
      <w:pPr>
        <w:pStyle w:val="Caption"/>
        <w:spacing w:after="0" w:line="276" w:lineRule="auto"/>
        <w:rPr>
          <w:b/>
          <w:bCs/>
          <w:color w:val="auto"/>
          <w:sz w:val="24"/>
          <w:szCs w:val="24"/>
        </w:rPr>
      </w:pPr>
      <w:r w:rsidRPr="003E104C">
        <w:rPr>
          <w:b/>
          <w:bCs/>
          <w:color w:val="auto"/>
          <w:sz w:val="24"/>
          <w:szCs w:val="24"/>
        </w:rPr>
        <w:t xml:space="preserve">Table </w:t>
      </w:r>
      <w:r w:rsidRPr="003E104C">
        <w:rPr>
          <w:b/>
          <w:bCs/>
          <w:color w:val="auto"/>
          <w:sz w:val="24"/>
          <w:szCs w:val="24"/>
        </w:rPr>
        <w:fldChar w:fldCharType="begin"/>
      </w:r>
      <w:r w:rsidRPr="003E104C">
        <w:rPr>
          <w:b/>
          <w:bCs/>
          <w:color w:val="auto"/>
          <w:sz w:val="24"/>
          <w:szCs w:val="24"/>
        </w:rPr>
        <w:instrText xml:space="preserve"> STYLEREF 1 \s </w:instrText>
      </w:r>
      <w:r w:rsidRPr="003E104C">
        <w:rPr>
          <w:b/>
          <w:bCs/>
          <w:color w:val="auto"/>
          <w:sz w:val="24"/>
          <w:szCs w:val="24"/>
        </w:rPr>
        <w:fldChar w:fldCharType="separate"/>
      </w:r>
      <w:r w:rsidRPr="003E104C">
        <w:rPr>
          <w:b/>
          <w:bCs/>
          <w:noProof/>
          <w:color w:val="auto"/>
          <w:sz w:val="24"/>
          <w:szCs w:val="24"/>
        </w:rPr>
        <w:t>4</w:t>
      </w:r>
      <w:r w:rsidRPr="003E104C">
        <w:rPr>
          <w:b/>
          <w:bCs/>
          <w:color w:val="auto"/>
          <w:sz w:val="24"/>
          <w:szCs w:val="24"/>
        </w:rPr>
        <w:fldChar w:fldCharType="end"/>
      </w:r>
      <w:r w:rsidRPr="003E104C">
        <w:rPr>
          <w:b/>
          <w:bCs/>
          <w:color w:val="auto"/>
          <w:sz w:val="24"/>
          <w:szCs w:val="24"/>
        </w:rPr>
        <w:t>.</w:t>
      </w:r>
      <w:r w:rsidRPr="003E104C">
        <w:rPr>
          <w:b/>
          <w:bCs/>
          <w:color w:val="auto"/>
          <w:sz w:val="24"/>
          <w:szCs w:val="24"/>
        </w:rPr>
        <w:fldChar w:fldCharType="begin"/>
      </w:r>
      <w:r w:rsidRPr="003E104C">
        <w:rPr>
          <w:b/>
          <w:bCs/>
          <w:color w:val="auto"/>
          <w:sz w:val="24"/>
          <w:szCs w:val="24"/>
        </w:rPr>
        <w:instrText xml:space="preserve"> SEQ Table \* ARABIC \s 1 </w:instrText>
      </w:r>
      <w:r w:rsidRPr="003E104C">
        <w:rPr>
          <w:b/>
          <w:bCs/>
          <w:color w:val="auto"/>
          <w:sz w:val="24"/>
          <w:szCs w:val="24"/>
        </w:rPr>
        <w:fldChar w:fldCharType="separate"/>
      </w:r>
      <w:r w:rsidRPr="003E104C">
        <w:rPr>
          <w:b/>
          <w:bCs/>
          <w:noProof/>
          <w:color w:val="auto"/>
          <w:sz w:val="24"/>
          <w:szCs w:val="24"/>
        </w:rPr>
        <w:t>3</w:t>
      </w:r>
      <w:r w:rsidRPr="003E104C">
        <w:rPr>
          <w:b/>
          <w:bCs/>
          <w:color w:val="auto"/>
          <w:sz w:val="24"/>
          <w:szCs w:val="24"/>
        </w:rPr>
        <w:fldChar w:fldCharType="end"/>
      </w:r>
      <w:r w:rsidR="007C6A5F" w:rsidRPr="003E104C">
        <w:rPr>
          <w:b/>
          <w:bCs/>
          <w:color w:val="auto"/>
          <w:sz w:val="24"/>
          <w:szCs w:val="24"/>
        </w:rPr>
        <w:t>: Donor Diversification Metrics</w:t>
      </w:r>
    </w:p>
    <w:tbl>
      <w:tblPr>
        <w:tblStyle w:val="TableGrid"/>
        <w:tblW w:w="0" w:type="auto"/>
        <w:tblLook w:val="04A0" w:firstRow="1" w:lastRow="0" w:firstColumn="1" w:lastColumn="0" w:noHBand="0" w:noVBand="1"/>
      </w:tblPr>
      <w:tblGrid>
        <w:gridCol w:w="1611"/>
        <w:gridCol w:w="2784"/>
        <w:gridCol w:w="3601"/>
        <w:gridCol w:w="1364"/>
      </w:tblGrid>
      <w:tr w:rsidR="003E104C" w:rsidRPr="003E104C" w14:paraId="253B129F" w14:textId="77777777" w:rsidTr="007C6A5F">
        <w:tc>
          <w:tcPr>
            <w:tcW w:w="0" w:type="auto"/>
            <w:hideMark/>
          </w:tcPr>
          <w:p w14:paraId="4905582A" w14:textId="77777777" w:rsidR="007C6A5F" w:rsidRPr="003E104C" w:rsidRDefault="007C6A5F" w:rsidP="00211BBC">
            <w:pPr>
              <w:spacing w:line="276" w:lineRule="auto"/>
              <w:rPr>
                <w:b/>
                <w:bCs/>
              </w:rPr>
            </w:pPr>
            <w:r w:rsidRPr="003E104C">
              <w:rPr>
                <w:b/>
                <w:bCs/>
              </w:rPr>
              <w:t>Hospital</w:t>
            </w:r>
          </w:p>
        </w:tc>
        <w:tc>
          <w:tcPr>
            <w:tcW w:w="0" w:type="auto"/>
            <w:hideMark/>
          </w:tcPr>
          <w:p w14:paraId="6D14105B" w14:textId="77777777" w:rsidR="007C6A5F" w:rsidRPr="003E104C" w:rsidRDefault="007C6A5F" w:rsidP="00211BBC">
            <w:pPr>
              <w:spacing w:line="276" w:lineRule="auto"/>
              <w:rPr>
                <w:b/>
                <w:bCs/>
              </w:rPr>
            </w:pPr>
            <w:r w:rsidRPr="003E104C">
              <w:rPr>
                <w:b/>
                <w:bCs/>
              </w:rPr>
              <w:t>Number of Donors (Baseline)</w:t>
            </w:r>
          </w:p>
        </w:tc>
        <w:tc>
          <w:tcPr>
            <w:tcW w:w="0" w:type="auto"/>
            <w:hideMark/>
          </w:tcPr>
          <w:p w14:paraId="35C46FBD" w14:textId="77777777" w:rsidR="007C6A5F" w:rsidRPr="003E104C" w:rsidRDefault="007C6A5F" w:rsidP="00211BBC">
            <w:pPr>
              <w:spacing w:line="276" w:lineRule="auto"/>
              <w:rPr>
                <w:b/>
                <w:bCs/>
              </w:rPr>
            </w:pPr>
            <w:r w:rsidRPr="003E104C">
              <w:rPr>
                <w:b/>
                <w:bCs/>
              </w:rPr>
              <w:t>Number of Donors (Post-Intervention)</w:t>
            </w:r>
          </w:p>
        </w:tc>
        <w:tc>
          <w:tcPr>
            <w:tcW w:w="0" w:type="auto"/>
            <w:hideMark/>
          </w:tcPr>
          <w:p w14:paraId="4BFF8917" w14:textId="77777777" w:rsidR="007C6A5F" w:rsidRPr="003E104C" w:rsidRDefault="007C6A5F" w:rsidP="00211BBC">
            <w:pPr>
              <w:spacing w:line="276" w:lineRule="auto"/>
              <w:rPr>
                <w:b/>
                <w:bCs/>
              </w:rPr>
            </w:pPr>
            <w:r w:rsidRPr="003E104C">
              <w:rPr>
                <w:b/>
                <w:bCs/>
              </w:rPr>
              <w:t>Change (%)</w:t>
            </w:r>
          </w:p>
        </w:tc>
      </w:tr>
      <w:tr w:rsidR="003E104C" w:rsidRPr="003E104C" w14:paraId="773E8FAA" w14:textId="77777777" w:rsidTr="007C6A5F">
        <w:tc>
          <w:tcPr>
            <w:tcW w:w="0" w:type="auto"/>
            <w:hideMark/>
          </w:tcPr>
          <w:p w14:paraId="66461A60" w14:textId="77777777" w:rsidR="007C6A5F" w:rsidRPr="003E104C" w:rsidRDefault="007C6A5F" w:rsidP="00211BBC">
            <w:pPr>
              <w:spacing w:line="276" w:lineRule="auto"/>
            </w:pPr>
            <w:r w:rsidRPr="003E104C">
              <w:t>Mengo</w:t>
            </w:r>
          </w:p>
        </w:tc>
        <w:tc>
          <w:tcPr>
            <w:tcW w:w="0" w:type="auto"/>
            <w:hideMark/>
          </w:tcPr>
          <w:p w14:paraId="2A6ED30E" w14:textId="77777777" w:rsidR="007C6A5F" w:rsidRPr="003E104C" w:rsidRDefault="007C6A5F" w:rsidP="00211BBC">
            <w:pPr>
              <w:spacing w:line="276" w:lineRule="auto"/>
            </w:pPr>
            <w:r w:rsidRPr="003E104C">
              <w:t>5</w:t>
            </w:r>
          </w:p>
        </w:tc>
        <w:tc>
          <w:tcPr>
            <w:tcW w:w="0" w:type="auto"/>
            <w:hideMark/>
          </w:tcPr>
          <w:p w14:paraId="78A3956D" w14:textId="77777777" w:rsidR="007C6A5F" w:rsidRPr="003E104C" w:rsidRDefault="007C6A5F" w:rsidP="00211BBC">
            <w:pPr>
              <w:spacing w:line="276" w:lineRule="auto"/>
            </w:pPr>
            <w:r w:rsidRPr="003E104C">
              <w:t>8</w:t>
            </w:r>
          </w:p>
        </w:tc>
        <w:tc>
          <w:tcPr>
            <w:tcW w:w="0" w:type="auto"/>
            <w:hideMark/>
          </w:tcPr>
          <w:p w14:paraId="36A87288" w14:textId="77777777" w:rsidR="007C6A5F" w:rsidRPr="003E104C" w:rsidRDefault="007C6A5F" w:rsidP="00211BBC">
            <w:pPr>
              <w:spacing w:line="276" w:lineRule="auto"/>
            </w:pPr>
            <w:r w:rsidRPr="003E104C">
              <w:t>+60</w:t>
            </w:r>
          </w:p>
        </w:tc>
      </w:tr>
      <w:tr w:rsidR="003E104C" w:rsidRPr="003E104C" w14:paraId="27148FAE" w14:textId="77777777" w:rsidTr="007C6A5F">
        <w:tc>
          <w:tcPr>
            <w:tcW w:w="0" w:type="auto"/>
            <w:hideMark/>
          </w:tcPr>
          <w:p w14:paraId="361A58CE" w14:textId="77777777" w:rsidR="007C6A5F" w:rsidRPr="003E104C" w:rsidRDefault="007C6A5F" w:rsidP="00211BBC">
            <w:pPr>
              <w:spacing w:line="276" w:lineRule="auto"/>
            </w:pPr>
            <w:proofErr w:type="spellStart"/>
            <w:r w:rsidRPr="003E104C">
              <w:t>Lubaga</w:t>
            </w:r>
            <w:proofErr w:type="spellEnd"/>
          </w:p>
        </w:tc>
        <w:tc>
          <w:tcPr>
            <w:tcW w:w="0" w:type="auto"/>
            <w:hideMark/>
          </w:tcPr>
          <w:p w14:paraId="2BCDADFB" w14:textId="77777777" w:rsidR="007C6A5F" w:rsidRPr="003E104C" w:rsidRDefault="007C6A5F" w:rsidP="00211BBC">
            <w:pPr>
              <w:spacing w:line="276" w:lineRule="auto"/>
            </w:pPr>
            <w:r w:rsidRPr="003E104C">
              <w:t>4</w:t>
            </w:r>
          </w:p>
        </w:tc>
        <w:tc>
          <w:tcPr>
            <w:tcW w:w="0" w:type="auto"/>
            <w:hideMark/>
          </w:tcPr>
          <w:p w14:paraId="0C98332E" w14:textId="77777777" w:rsidR="007C6A5F" w:rsidRPr="003E104C" w:rsidRDefault="007C6A5F" w:rsidP="00211BBC">
            <w:pPr>
              <w:spacing w:line="276" w:lineRule="auto"/>
            </w:pPr>
            <w:r w:rsidRPr="003E104C">
              <w:t>7</w:t>
            </w:r>
          </w:p>
        </w:tc>
        <w:tc>
          <w:tcPr>
            <w:tcW w:w="0" w:type="auto"/>
            <w:hideMark/>
          </w:tcPr>
          <w:p w14:paraId="45F019A4" w14:textId="77777777" w:rsidR="007C6A5F" w:rsidRPr="003E104C" w:rsidRDefault="007C6A5F" w:rsidP="00211BBC">
            <w:pPr>
              <w:spacing w:line="276" w:lineRule="auto"/>
            </w:pPr>
            <w:r w:rsidRPr="003E104C">
              <w:t>+75</w:t>
            </w:r>
          </w:p>
        </w:tc>
      </w:tr>
      <w:tr w:rsidR="003E104C" w:rsidRPr="003E104C" w14:paraId="798D8880" w14:textId="77777777" w:rsidTr="007C6A5F">
        <w:tc>
          <w:tcPr>
            <w:tcW w:w="0" w:type="auto"/>
            <w:hideMark/>
          </w:tcPr>
          <w:p w14:paraId="5AD8DDA7" w14:textId="77777777" w:rsidR="007C6A5F" w:rsidRPr="003E104C" w:rsidRDefault="007C6A5F" w:rsidP="00211BBC">
            <w:pPr>
              <w:spacing w:line="276" w:lineRule="auto"/>
            </w:pPr>
            <w:r w:rsidRPr="003E104C">
              <w:t>Nsambya</w:t>
            </w:r>
          </w:p>
        </w:tc>
        <w:tc>
          <w:tcPr>
            <w:tcW w:w="0" w:type="auto"/>
            <w:hideMark/>
          </w:tcPr>
          <w:p w14:paraId="4CBC2888" w14:textId="77777777" w:rsidR="007C6A5F" w:rsidRPr="003E104C" w:rsidRDefault="007C6A5F" w:rsidP="00211BBC">
            <w:pPr>
              <w:spacing w:line="276" w:lineRule="auto"/>
            </w:pPr>
            <w:r w:rsidRPr="003E104C">
              <w:t>6</w:t>
            </w:r>
          </w:p>
        </w:tc>
        <w:tc>
          <w:tcPr>
            <w:tcW w:w="0" w:type="auto"/>
            <w:hideMark/>
          </w:tcPr>
          <w:p w14:paraId="696BD394" w14:textId="77777777" w:rsidR="007C6A5F" w:rsidRPr="003E104C" w:rsidRDefault="007C6A5F" w:rsidP="00211BBC">
            <w:pPr>
              <w:spacing w:line="276" w:lineRule="auto"/>
            </w:pPr>
            <w:r w:rsidRPr="003E104C">
              <w:t>10</w:t>
            </w:r>
          </w:p>
        </w:tc>
        <w:tc>
          <w:tcPr>
            <w:tcW w:w="0" w:type="auto"/>
            <w:hideMark/>
          </w:tcPr>
          <w:p w14:paraId="68A0BD5D" w14:textId="77777777" w:rsidR="007C6A5F" w:rsidRPr="003E104C" w:rsidRDefault="007C6A5F" w:rsidP="00211BBC">
            <w:pPr>
              <w:spacing w:line="276" w:lineRule="auto"/>
            </w:pPr>
            <w:r w:rsidRPr="003E104C">
              <w:t>+67</w:t>
            </w:r>
          </w:p>
        </w:tc>
      </w:tr>
      <w:tr w:rsidR="003E104C" w:rsidRPr="003E104C" w14:paraId="6979844A" w14:textId="77777777" w:rsidTr="007C6A5F">
        <w:tc>
          <w:tcPr>
            <w:tcW w:w="0" w:type="auto"/>
            <w:hideMark/>
          </w:tcPr>
          <w:p w14:paraId="45BA9009" w14:textId="77777777" w:rsidR="007C6A5F" w:rsidRPr="003E104C" w:rsidRDefault="007C6A5F" w:rsidP="00211BBC">
            <w:pPr>
              <w:spacing w:line="276" w:lineRule="auto"/>
            </w:pPr>
            <w:r w:rsidRPr="003E104C">
              <w:t>Average (n=12)</w:t>
            </w:r>
          </w:p>
        </w:tc>
        <w:tc>
          <w:tcPr>
            <w:tcW w:w="0" w:type="auto"/>
            <w:hideMark/>
          </w:tcPr>
          <w:p w14:paraId="213474B9" w14:textId="77777777" w:rsidR="007C6A5F" w:rsidRPr="003E104C" w:rsidRDefault="007C6A5F" w:rsidP="00211BBC">
            <w:pPr>
              <w:spacing w:line="276" w:lineRule="auto"/>
            </w:pPr>
            <w:r w:rsidRPr="003E104C">
              <w:t>4.8</w:t>
            </w:r>
          </w:p>
        </w:tc>
        <w:tc>
          <w:tcPr>
            <w:tcW w:w="0" w:type="auto"/>
            <w:hideMark/>
          </w:tcPr>
          <w:p w14:paraId="746EB3AC" w14:textId="77777777" w:rsidR="007C6A5F" w:rsidRPr="003E104C" w:rsidRDefault="007C6A5F" w:rsidP="00211BBC">
            <w:pPr>
              <w:spacing w:line="276" w:lineRule="auto"/>
            </w:pPr>
            <w:r w:rsidRPr="003E104C">
              <w:t>8.1</w:t>
            </w:r>
          </w:p>
        </w:tc>
        <w:tc>
          <w:tcPr>
            <w:tcW w:w="0" w:type="auto"/>
            <w:hideMark/>
          </w:tcPr>
          <w:p w14:paraId="55EFBEDA" w14:textId="77777777" w:rsidR="007C6A5F" w:rsidRPr="003E104C" w:rsidRDefault="007C6A5F" w:rsidP="00211BBC">
            <w:pPr>
              <w:spacing w:line="276" w:lineRule="auto"/>
            </w:pPr>
            <w:r w:rsidRPr="003E104C">
              <w:t>+69</w:t>
            </w:r>
          </w:p>
        </w:tc>
      </w:tr>
    </w:tbl>
    <w:p w14:paraId="05DE21C9" w14:textId="193D2EC0" w:rsidR="007C6A5F" w:rsidRPr="003E104C" w:rsidRDefault="007C6A5F" w:rsidP="00F7019B">
      <w:pPr>
        <w:spacing w:line="276" w:lineRule="auto"/>
        <w:jc w:val="both"/>
      </w:pPr>
      <w:r w:rsidRPr="003E104C">
        <w:t>The number of active donors per hospital increased by an average of 69%, with hospitals reporting new partnerships with faith-based organizations, diaspora groups and local philanthropists. Donor confidence was attributed to improved transparency, alignment with community values and evidence of impact.</w:t>
      </w:r>
    </w:p>
    <w:p w14:paraId="35C2C89A" w14:textId="77777777" w:rsidR="007C6A5F" w:rsidRPr="003E104C" w:rsidRDefault="007C6A5F" w:rsidP="00211BBC">
      <w:pPr>
        <w:pStyle w:val="Heading2"/>
        <w:spacing w:line="276" w:lineRule="auto"/>
        <w:rPr>
          <w:rFonts w:cs="Times New Roman"/>
          <w:b/>
          <w:bCs/>
          <w:color w:val="auto"/>
          <w:szCs w:val="24"/>
        </w:rPr>
      </w:pPr>
      <w:bookmarkStart w:id="18" w:name="_Toc224233393"/>
      <w:r w:rsidRPr="003E104C">
        <w:rPr>
          <w:rFonts w:cs="Times New Roman"/>
          <w:b/>
          <w:bCs/>
          <w:color w:val="auto"/>
          <w:szCs w:val="24"/>
        </w:rPr>
        <w:t>Patient Experience and Trust</w:t>
      </w:r>
      <w:bookmarkEnd w:id="18"/>
    </w:p>
    <w:p w14:paraId="5F56AE6D" w14:textId="3BF7FA98" w:rsidR="007C6A5F" w:rsidRPr="003E104C" w:rsidRDefault="00B57394" w:rsidP="00F7019B">
      <w:pPr>
        <w:spacing w:line="276" w:lineRule="auto"/>
        <w:jc w:val="both"/>
      </w:pPr>
      <w:r w:rsidRPr="003E104C">
        <w:t xml:space="preserve">Accordingly, </w:t>
      </w:r>
      <w:r w:rsidR="007C6A5F" w:rsidRPr="003E104C">
        <w:t>85% of patients rated their experience as “very good” or “excellent” post-intervention, compared to 62% at baseline.</w:t>
      </w:r>
      <w:r w:rsidR="00306AF1" w:rsidRPr="003E104C">
        <w:t xml:space="preserve"> Also, </w:t>
      </w:r>
      <w:r w:rsidR="007C6A5F" w:rsidRPr="003E104C">
        <w:t>78% reported that staff respected their cultural and religious beliefs, up from 54% at baseline.</w:t>
      </w:r>
      <w:r w:rsidR="00306AF1" w:rsidRPr="003E104C">
        <w:t xml:space="preserve"> Finally, </w:t>
      </w:r>
      <w:r w:rsidR="007C6A5F" w:rsidRPr="003E104C">
        <w:t>81% indicated they would return to the same hospital for future care, compared to 65% at baseline.</w:t>
      </w:r>
    </w:p>
    <w:p w14:paraId="24B3E24A" w14:textId="77777777" w:rsidR="00E95A47" w:rsidRPr="003E104C" w:rsidRDefault="00E95A47" w:rsidP="008B5035">
      <w:pPr>
        <w:spacing w:line="276" w:lineRule="auto"/>
      </w:pPr>
    </w:p>
    <w:p w14:paraId="1B6E6870" w14:textId="77777777" w:rsidR="007C6A5F" w:rsidRPr="003E104C" w:rsidRDefault="007C6A5F" w:rsidP="008B5035">
      <w:pPr>
        <w:pStyle w:val="Heading2"/>
        <w:spacing w:line="276" w:lineRule="auto"/>
        <w:rPr>
          <w:rFonts w:cs="Times New Roman"/>
          <w:b/>
          <w:bCs/>
          <w:color w:val="auto"/>
          <w:szCs w:val="24"/>
        </w:rPr>
      </w:pPr>
      <w:bookmarkStart w:id="19" w:name="_Toc224233394"/>
      <w:r w:rsidRPr="003E104C">
        <w:rPr>
          <w:rFonts w:cs="Times New Roman"/>
          <w:b/>
          <w:bCs/>
          <w:color w:val="auto"/>
          <w:szCs w:val="24"/>
        </w:rPr>
        <w:t>Qualitative Insights</w:t>
      </w:r>
      <w:bookmarkEnd w:id="19"/>
    </w:p>
    <w:p w14:paraId="75A9462F" w14:textId="77777777" w:rsidR="007C6A5F" w:rsidRPr="003E104C" w:rsidRDefault="007C6A5F" w:rsidP="008B5035">
      <w:pPr>
        <w:pStyle w:val="Heading3"/>
        <w:spacing w:before="0" w:after="0" w:line="276" w:lineRule="auto"/>
        <w:rPr>
          <w:rFonts w:ascii="Times New Roman" w:hAnsi="Times New Roman" w:cs="Times New Roman"/>
          <w:b/>
          <w:bCs/>
          <w:i/>
          <w:iCs/>
          <w:szCs w:val="24"/>
        </w:rPr>
      </w:pPr>
      <w:bookmarkStart w:id="20" w:name="_Toc224233395"/>
      <w:r w:rsidRPr="003E104C">
        <w:rPr>
          <w:rFonts w:ascii="Times New Roman" w:hAnsi="Times New Roman" w:cs="Times New Roman"/>
          <w:b/>
          <w:bCs/>
          <w:i/>
          <w:iCs/>
          <w:szCs w:val="24"/>
        </w:rPr>
        <w:t>Patient Trust and Cultural Alignment</w:t>
      </w:r>
      <w:bookmarkEnd w:id="20"/>
    </w:p>
    <w:p w14:paraId="79F66D6F" w14:textId="77777777" w:rsidR="007C6A5F" w:rsidRPr="003E104C" w:rsidRDefault="007C6A5F" w:rsidP="00F7019B">
      <w:pPr>
        <w:spacing w:line="276" w:lineRule="auto"/>
        <w:jc w:val="both"/>
      </w:pPr>
      <w:r w:rsidRPr="003E104C">
        <w:t xml:space="preserve">Patients consistently highlighted the importance of being treated with respect, empathy, and understanding of their cultural and religious backgrounds. Many cited the presence of chaplains, </w:t>
      </w:r>
      <w:r w:rsidRPr="003E104C">
        <w:lastRenderedPageBreak/>
        <w:t>prayer spaces, and culturally adapted care protocols as factors that enhanced their trust in the hospital.</w:t>
      </w:r>
    </w:p>
    <w:p w14:paraId="7DD13EF8" w14:textId="62489F02" w:rsidR="007C6A5F" w:rsidRPr="003E104C" w:rsidRDefault="007C6A5F" w:rsidP="00F7019B">
      <w:pPr>
        <w:spacing w:line="276" w:lineRule="auto"/>
        <w:jc w:val="both"/>
      </w:pPr>
      <w:r w:rsidRPr="003E104C">
        <w:t xml:space="preserve">“I feel safe here because the nurses understand our traditions and pray with us before surgery. It makes a big difference.” (Patient, </w:t>
      </w:r>
      <w:proofErr w:type="spellStart"/>
      <w:r w:rsidRPr="003E104C">
        <w:t>Lubaga</w:t>
      </w:r>
      <w:proofErr w:type="spellEnd"/>
      <w:r w:rsidRPr="003E104C">
        <w:t xml:space="preserve"> Hospital)</w:t>
      </w:r>
      <w:r w:rsidR="008C28B0" w:rsidRPr="003E104C">
        <w:t>.</w:t>
      </w:r>
    </w:p>
    <w:p w14:paraId="11D15131" w14:textId="77777777" w:rsidR="002166B5" w:rsidRPr="003E104C" w:rsidRDefault="002166B5" w:rsidP="00F7019B">
      <w:pPr>
        <w:spacing w:line="276" w:lineRule="auto"/>
        <w:jc w:val="both"/>
      </w:pPr>
    </w:p>
    <w:p w14:paraId="5F69B5D7" w14:textId="77777777" w:rsidR="007C6A5F" w:rsidRPr="003E104C" w:rsidRDefault="007C6A5F" w:rsidP="008B5035">
      <w:pPr>
        <w:pStyle w:val="Heading3"/>
        <w:spacing w:before="0" w:after="0" w:line="276" w:lineRule="auto"/>
        <w:rPr>
          <w:rFonts w:ascii="Times New Roman" w:hAnsi="Times New Roman" w:cs="Times New Roman"/>
          <w:b/>
          <w:bCs/>
          <w:szCs w:val="24"/>
        </w:rPr>
      </w:pPr>
      <w:bookmarkStart w:id="21" w:name="_Toc224233396"/>
      <w:r w:rsidRPr="003E104C">
        <w:rPr>
          <w:rFonts w:ascii="Times New Roman" w:hAnsi="Times New Roman" w:cs="Times New Roman"/>
          <w:b/>
          <w:bCs/>
          <w:szCs w:val="24"/>
        </w:rPr>
        <w:t>Philanthropic Giving and Donor Confidence</w:t>
      </w:r>
      <w:bookmarkEnd w:id="21"/>
    </w:p>
    <w:p w14:paraId="7571DBC8" w14:textId="77777777" w:rsidR="007C6A5F" w:rsidRPr="003E104C" w:rsidRDefault="007C6A5F" w:rsidP="00F7019B">
      <w:pPr>
        <w:spacing w:line="276" w:lineRule="auto"/>
        <w:jc w:val="both"/>
      </w:pPr>
      <w:r w:rsidRPr="003E104C">
        <w:t>Donors and community leaders emphasized that alignment with community values and transparent reporting were key drivers of philanthropic giving. Several donors noted that hospitals demonstrating cultural competence were more likely to receive repeat and unrestricted donations.</w:t>
      </w:r>
    </w:p>
    <w:p w14:paraId="2C099054" w14:textId="2D30F5E7" w:rsidR="007C6A5F" w:rsidRPr="003E104C" w:rsidRDefault="007C6A5F" w:rsidP="00F7019B">
      <w:pPr>
        <w:spacing w:line="276" w:lineRule="auto"/>
        <w:jc w:val="both"/>
      </w:pPr>
      <w:r w:rsidRPr="003E104C">
        <w:t>“We support hospitals that not only provide good care but also respect our faith and traditions. When we see our values reflected in their work, we are confident to give more.” (Donor, Catholic Medical Bureau)</w:t>
      </w:r>
      <w:r w:rsidR="00E95A47" w:rsidRPr="003E104C">
        <w:t>.</w:t>
      </w:r>
    </w:p>
    <w:p w14:paraId="717AA69F" w14:textId="77777777" w:rsidR="00E95A47" w:rsidRPr="003E104C" w:rsidRDefault="00E95A47" w:rsidP="008B5035">
      <w:pPr>
        <w:spacing w:line="276" w:lineRule="auto"/>
      </w:pPr>
    </w:p>
    <w:p w14:paraId="05F2A5FC" w14:textId="77777777" w:rsidR="007C6A5F" w:rsidRPr="003E104C" w:rsidRDefault="007C6A5F" w:rsidP="008B5035">
      <w:pPr>
        <w:pStyle w:val="Heading3"/>
        <w:spacing w:before="0" w:after="0" w:line="276" w:lineRule="auto"/>
        <w:rPr>
          <w:rFonts w:ascii="Times New Roman" w:hAnsi="Times New Roman" w:cs="Times New Roman"/>
          <w:b/>
          <w:bCs/>
          <w:szCs w:val="24"/>
        </w:rPr>
      </w:pPr>
      <w:bookmarkStart w:id="22" w:name="_Toc224233397"/>
      <w:r w:rsidRPr="003E104C">
        <w:rPr>
          <w:rFonts w:ascii="Times New Roman" w:hAnsi="Times New Roman" w:cs="Times New Roman"/>
          <w:b/>
          <w:bCs/>
          <w:szCs w:val="24"/>
        </w:rPr>
        <w:t>Organizational Change and Staff Engagement</w:t>
      </w:r>
      <w:bookmarkEnd w:id="22"/>
    </w:p>
    <w:p w14:paraId="48D66241" w14:textId="77777777" w:rsidR="007C6A5F" w:rsidRPr="003E104C" w:rsidRDefault="007C6A5F" w:rsidP="00F7019B">
      <w:pPr>
        <w:spacing w:line="276" w:lineRule="auto"/>
        <w:jc w:val="both"/>
      </w:pPr>
      <w:r w:rsidRPr="003E104C">
        <w:t>Hospital leaders reported that cultural competence interventions fostered a sense of mission and purpose among staff, leading to improved morale, teamwork, and patient-centered care. Staff training sessions were described as transformative, enabling providers to reflect on their own biases and develop new skills.</w:t>
      </w:r>
    </w:p>
    <w:p w14:paraId="638429CF" w14:textId="2BDECE32" w:rsidR="007C6A5F" w:rsidRPr="003E104C" w:rsidRDefault="007C6A5F" w:rsidP="00F7019B">
      <w:pPr>
        <w:spacing w:line="276" w:lineRule="auto"/>
        <w:jc w:val="both"/>
      </w:pPr>
      <w:r w:rsidRPr="003E104C">
        <w:t>“The training opened our eyes to the small things that matter to patients—greeting them in their language, explaining procedures, involving families. It’s not just about medicine, it’s about dignity.” (Nurse, Mengo Hospital)</w:t>
      </w:r>
      <w:r w:rsidR="00E95A47" w:rsidRPr="003E104C">
        <w:t>.</w:t>
      </w:r>
    </w:p>
    <w:p w14:paraId="13A1666D" w14:textId="77777777" w:rsidR="00E95A47" w:rsidRPr="003E104C" w:rsidRDefault="00E95A47" w:rsidP="008B5035">
      <w:pPr>
        <w:spacing w:line="276" w:lineRule="auto"/>
      </w:pPr>
    </w:p>
    <w:p w14:paraId="6044CE01" w14:textId="77777777" w:rsidR="007C6A5F" w:rsidRPr="003E104C" w:rsidRDefault="007C6A5F" w:rsidP="008B5035">
      <w:pPr>
        <w:pStyle w:val="Heading3"/>
        <w:spacing w:before="0" w:after="0" w:line="276" w:lineRule="auto"/>
        <w:rPr>
          <w:rFonts w:ascii="Times New Roman" w:hAnsi="Times New Roman" w:cs="Times New Roman"/>
          <w:b/>
          <w:bCs/>
          <w:szCs w:val="24"/>
        </w:rPr>
      </w:pPr>
      <w:bookmarkStart w:id="23" w:name="_Toc224233398"/>
      <w:r w:rsidRPr="003E104C">
        <w:rPr>
          <w:rFonts w:ascii="Times New Roman" w:hAnsi="Times New Roman" w:cs="Times New Roman"/>
          <w:b/>
          <w:bCs/>
          <w:szCs w:val="24"/>
        </w:rPr>
        <w:t>Challenges and Lessons Learned</w:t>
      </w:r>
      <w:bookmarkEnd w:id="23"/>
    </w:p>
    <w:p w14:paraId="4A9FD41B" w14:textId="77777777" w:rsidR="007C6A5F" w:rsidRPr="003E104C" w:rsidRDefault="007C6A5F" w:rsidP="00F7019B">
      <w:pPr>
        <w:spacing w:line="276" w:lineRule="auto"/>
        <w:jc w:val="both"/>
      </w:pPr>
      <w:r w:rsidRPr="003E104C">
        <w:t>Key challenges included resource constraints, staff turnover, and the need for ongoing training and supervision. Hospitals noted that cultural competence is an ongoing process, requiring continuous investment and leadership commitment.</w:t>
      </w:r>
    </w:p>
    <w:p w14:paraId="797854CB" w14:textId="77777777" w:rsidR="00E95A47" w:rsidRPr="003E104C" w:rsidRDefault="00E95A47" w:rsidP="008B5035">
      <w:pPr>
        <w:spacing w:line="276" w:lineRule="auto"/>
      </w:pPr>
    </w:p>
    <w:p w14:paraId="33908AC4" w14:textId="77777777" w:rsidR="007C6A5F" w:rsidRPr="003E104C" w:rsidRDefault="007C6A5F" w:rsidP="008B5035">
      <w:pPr>
        <w:pStyle w:val="Heading1"/>
        <w:spacing w:line="276" w:lineRule="auto"/>
        <w:rPr>
          <w:rFonts w:cs="Times New Roman"/>
          <w:szCs w:val="24"/>
        </w:rPr>
      </w:pPr>
      <w:bookmarkStart w:id="24" w:name="_Toc224233399"/>
      <w:r w:rsidRPr="003E104C">
        <w:rPr>
          <w:rFonts w:cs="Times New Roman"/>
          <w:szCs w:val="24"/>
        </w:rPr>
        <w:t>Discussion</w:t>
      </w:r>
      <w:bookmarkEnd w:id="24"/>
    </w:p>
    <w:p w14:paraId="62EC6CB0" w14:textId="008FB905" w:rsidR="007C6A5F" w:rsidRPr="003E104C" w:rsidRDefault="007C6A5F" w:rsidP="00F7019B">
      <w:pPr>
        <w:spacing w:line="276" w:lineRule="auto"/>
        <w:jc w:val="both"/>
      </w:pPr>
      <w:r w:rsidRPr="003E104C">
        <w:t>The findings of this study provide robust evidence that targeted cultural competence interventions can significantly enhance</w:t>
      </w:r>
      <w:r w:rsidR="007233CB" w:rsidRPr="003E104C">
        <w:t xml:space="preserve"> </w:t>
      </w:r>
      <w:r w:rsidRPr="003E104C">
        <w:t>financial sustainability of faith-based hospitals in Kampala</w:t>
      </w:r>
      <w:r w:rsidR="007233CB" w:rsidRPr="003E104C">
        <w:t xml:space="preserve"> Uganda</w:t>
      </w:r>
      <w:r w:rsidRPr="003E104C">
        <w:t>. By improving patient retention, increasing fee recovery and diversifying donor streams, cultural competence emerges as both a moral imperative and a strategic asset.</w:t>
      </w:r>
    </w:p>
    <w:p w14:paraId="2EE0B559" w14:textId="77777777" w:rsidR="00E95A47" w:rsidRPr="003E104C" w:rsidRDefault="00E95A47" w:rsidP="008B5035">
      <w:pPr>
        <w:spacing w:line="276" w:lineRule="auto"/>
      </w:pPr>
    </w:p>
    <w:p w14:paraId="19847F34" w14:textId="0B6E1212" w:rsidR="007C6A5F" w:rsidRPr="003E104C" w:rsidRDefault="007C6A5F" w:rsidP="0049265B">
      <w:pPr>
        <w:spacing w:line="276" w:lineRule="auto"/>
        <w:jc w:val="both"/>
      </w:pPr>
      <w:r w:rsidRPr="003E104C">
        <w:t>Higher patient retention rates translate directly into more stable and predictable revenue streams for hospitals. P</w:t>
      </w:r>
      <w:r w:rsidR="00A66EC3" w:rsidRPr="003E104C">
        <w:t>revious studies have attested to the findings in this study, revealing that p</w:t>
      </w:r>
      <w:r w:rsidRPr="003E104C">
        <w:t>atients who feel respected, understood and culturally aligned with their care providers are more likely to return for follow-up visits, adhere to treatment plans</w:t>
      </w:r>
      <w:r w:rsidR="00A66EC3" w:rsidRPr="003E104C">
        <w:t xml:space="preserve"> </w:t>
      </w:r>
      <w:r w:rsidRPr="003E104C">
        <w:t>and recommend the hospital to others</w:t>
      </w:r>
      <w:r w:rsidR="00B57394" w:rsidRPr="003E104C">
        <w:t xml:space="preserve"> (</w:t>
      </w:r>
      <w:r w:rsidR="00620CF6" w:rsidRPr="003E104C">
        <w:t xml:space="preserve">Siobhán </w:t>
      </w:r>
      <w:r w:rsidR="00620CF6" w:rsidRPr="003E104C">
        <w:rPr>
          <w:i/>
          <w:iCs/>
        </w:rPr>
        <w:t>et al.</w:t>
      </w:r>
      <w:r w:rsidR="00620CF6" w:rsidRPr="003E104C">
        <w:t xml:space="preserve">, 2026; </w:t>
      </w:r>
      <w:r w:rsidR="00620CF6" w:rsidRPr="003E104C">
        <w:rPr>
          <w:shd w:val="clear" w:color="auto" w:fill="FFFFFF"/>
        </w:rPr>
        <w:t xml:space="preserve">Birkhäuer </w:t>
      </w:r>
      <w:r w:rsidR="00620CF6" w:rsidRPr="003E104C">
        <w:rPr>
          <w:i/>
          <w:iCs/>
          <w:shd w:val="clear" w:color="auto" w:fill="FFFFFF"/>
        </w:rPr>
        <w:t>et al</w:t>
      </w:r>
      <w:r w:rsidR="00620CF6" w:rsidRPr="003E104C">
        <w:rPr>
          <w:shd w:val="clear" w:color="auto" w:fill="FFFFFF"/>
        </w:rPr>
        <w:t xml:space="preserve">., 2017; </w:t>
      </w:r>
      <w:r w:rsidR="00620CF6" w:rsidRPr="003E104C">
        <w:t xml:space="preserve">Sequence Health, 2025; </w:t>
      </w:r>
      <w:r w:rsidR="00B57394" w:rsidRPr="003E104C">
        <w:t>Hansei Solutions, 2026)</w:t>
      </w:r>
      <w:r w:rsidRPr="003E104C">
        <w:t>. This continuity of care not only improves health outcomes but also reduces the costs associated with patient acquisition and churn. The observed increases in outpatient retention and fee recovery underscore the financial benefits of investing in cultural competence.</w:t>
      </w:r>
    </w:p>
    <w:p w14:paraId="34677E4A" w14:textId="77777777" w:rsidR="00E95A47" w:rsidRPr="003E104C" w:rsidRDefault="00E95A47" w:rsidP="008B5035">
      <w:pPr>
        <w:spacing w:line="276" w:lineRule="auto"/>
      </w:pPr>
    </w:p>
    <w:p w14:paraId="1B9D7BB2" w14:textId="3E9B7A1A" w:rsidR="007C6A5F" w:rsidRPr="003E104C" w:rsidRDefault="00A66EC3" w:rsidP="0049265B">
      <w:pPr>
        <w:spacing w:line="276" w:lineRule="auto"/>
        <w:jc w:val="both"/>
      </w:pPr>
      <w:r w:rsidRPr="003E104C">
        <w:lastRenderedPageBreak/>
        <w:t>More so, the findings of this study are in agreement with several previous ones, in which it was also found out that, d</w:t>
      </w:r>
      <w:r w:rsidR="007C6A5F" w:rsidRPr="003E104C">
        <w:t xml:space="preserve">onor confidence </w:t>
      </w:r>
      <w:r w:rsidRPr="003E104C">
        <w:t>is a significant determinant of positive</w:t>
      </w:r>
      <w:r w:rsidR="007C6A5F" w:rsidRPr="003E104C">
        <w:t xml:space="preserve"> perceptions of organizational legitimacy, transparency and alignment with community values</w:t>
      </w:r>
      <w:r w:rsidR="003A0932" w:rsidRPr="003E104C">
        <w:t xml:space="preserve"> (Question, 2025;</w:t>
      </w:r>
      <w:r w:rsidR="00B91A1C" w:rsidRPr="003E104C">
        <w:t xml:space="preserve"> Orach, n.d;</w:t>
      </w:r>
      <w:r w:rsidR="003A0932" w:rsidRPr="003E104C">
        <w:t xml:space="preserve"> </w:t>
      </w:r>
      <w:r w:rsidR="004436A9" w:rsidRPr="003E104C">
        <w:t>Hansei Solutions, 2026</w:t>
      </w:r>
      <w:r w:rsidR="003A0932" w:rsidRPr="003E104C">
        <w:t>)</w:t>
      </w:r>
      <w:r w:rsidR="007C6A5F" w:rsidRPr="003E104C">
        <w:t>. Faith-based hospitals that demonstrate cultural competence are better positioned to attract a diverse array of donors, including faith-based organizations, diaspora groups, and local philanthropists. The increase in the number of active donors and the expansion of unrestricted funding streams highlight the strategic value of cultural competence in donor engagement.</w:t>
      </w:r>
    </w:p>
    <w:p w14:paraId="4E8137E9" w14:textId="77777777" w:rsidR="00A66EC3" w:rsidRPr="003E104C" w:rsidRDefault="00A66EC3" w:rsidP="00F7019B">
      <w:pPr>
        <w:spacing w:line="276" w:lineRule="auto"/>
        <w:jc w:val="both"/>
      </w:pPr>
    </w:p>
    <w:p w14:paraId="0CD772EB" w14:textId="65DC4648" w:rsidR="007C6A5F" w:rsidRPr="003E104C" w:rsidRDefault="007C6A5F" w:rsidP="00F7019B">
      <w:pPr>
        <w:spacing w:line="276" w:lineRule="auto"/>
        <w:jc w:val="both"/>
      </w:pPr>
      <w:r w:rsidRPr="003E104C">
        <w:t>Cultural competence interventions foster a culture of respect, empathy, and patient-centeredness among hospital staff. This, in turn, enhances staff morale, reduces burnout, and improves service quality—factors that contribute to both patient satisfaction and operational efficiency</w:t>
      </w:r>
      <w:r w:rsidRPr="003E104C">
        <w:rPr>
          <w:vertAlign w:val="superscript"/>
        </w:rPr>
        <w:t>13199</w:t>
      </w:r>
      <w:r w:rsidRPr="003E104C">
        <w:t>. Organizational policies that institutionalize cultural competence—such as regular training, participatory governance, and community engagement—create a virtuous cycle of trust, loyalty, and sustainability.</w:t>
      </w:r>
    </w:p>
    <w:p w14:paraId="341156FC" w14:textId="77777777" w:rsidR="00E95A47" w:rsidRPr="003E104C" w:rsidRDefault="00E95A47" w:rsidP="008B5035">
      <w:pPr>
        <w:spacing w:line="276" w:lineRule="auto"/>
      </w:pPr>
    </w:p>
    <w:p w14:paraId="4D2D7D47" w14:textId="2F1F5895" w:rsidR="007C6A5F" w:rsidRPr="003E104C" w:rsidRDefault="007C6A5F" w:rsidP="00107BCA">
      <w:pPr>
        <w:spacing w:line="276" w:lineRule="auto"/>
        <w:jc w:val="both"/>
      </w:pPr>
      <w:r w:rsidRPr="003E104C">
        <w:t>Resource Dependence Theory provides a compelling framework for understanding how faith-based hospitals in Kampala navigate resource constraints and environmental uncertainty. By leveraging cultural competence as a strategic resource, these institutions can reduce dependency on any single funding source, enhance autonomy, and build resilience in the face of external shocks</w:t>
      </w:r>
      <w:r w:rsidR="0048460D" w:rsidRPr="003E104C">
        <w:t xml:space="preserve"> (Ansmann </w:t>
      </w:r>
      <w:r w:rsidR="0048460D" w:rsidRPr="003E104C">
        <w:rPr>
          <w:i/>
          <w:iCs/>
        </w:rPr>
        <w:t>et al</w:t>
      </w:r>
      <w:r w:rsidR="0048460D" w:rsidRPr="003E104C">
        <w:t>., 2021; Question, 2025)</w:t>
      </w:r>
      <w:r w:rsidRPr="003E104C">
        <w:t>. The integration of RDT and cultural competence frameworks elucidates the mechanisms by which organizational adaptation, stakeholder alignment, and resource diversification drive sustainability.</w:t>
      </w:r>
    </w:p>
    <w:p w14:paraId="6F96F873" w14:textId="77777777" w:rsidR="00E95A47" w:rsidRPr="003E104C" w:rsidRDefault="00E95A47" w:rsidP="00107BCA">
      <w:pPr>
        <w:spacing w:line="276" w:lineRule="auto"/>
      </w:pPr>
    </w:p>
    <w:p w14:paraId="652BDB8A" w14:textId="77777777" w:rsidR="007C6A5F" w:rsidRPr="003E104C" w:rsidRDefault="007C6A5F" w:rsidP="00107BCA">
      <w:pPr>
        <w:pStyle w:val="Heading2"/>
        <w:spacing w:line="276" w:lineRule="auto"/>
        <w:rPr>
          <w:rFonts w:cs="Times New Roman"/>
          <w:b/>
          <w:bCs/>
          <w:color w:val="auto"/>
          <w:szCs w:val="24"/>
        </w:rPr>
      </w:pPr>
      <w:bookmarkStart w:id="25" w:name="_Toc224233405"/>
      <w:r w:rsidRPr="003E104C">
        <w:rPr>
          <w:rFonts w:cs="Times New Roman"/>
          <w:b/>
          <w:bCs/>
          <w:color w:val="auto"/>
          <w:szCs w:val="24"/>
        </w:rPr>
        <w:t>Policy and Practice Implications</w:t>
      </w:r>
      <w:bookmarkEnd w:id="25"/>
    </w:p>
    <w:p w14:paraId="5E9239A9" w14:textId="34868326" w:rsidR="007C6A5F" w:rsidRPr="003E104C" w:rsidRDefault="007C6A5F" w:rsidP="00107BCA">
      <w:pPr>
        <w:spacing w:line="276" w:lineRule="auto"/>
        <w:jc w:val="both"/>
      </w:pPr>
      <w:r w:rsidRPr="003E104C">
        <w:t>The evidence</w:t>
      </w:r>
      <w:r w:rsidR="006A78DC" w:rsidRPr="003E104C">
        <w:t>s</w:t>
      </w:r>
      <w:r w:rsidRPr="003E104C">
        <w:t xml:space="preserve"> presented in this study ha</w:t>
      </w:r>
      <w:r w:rsidR="006A78DC" w:rsidRPr="003E104C">
        <w:t>ve</w:t>
      </w:r>
      <w:r w:rsidRPr="003E104C">
        <w:t xml:space="preserve"> significant implications for hospital leaders, donors, and policymakers:</w:t>
      </w:r>
    </w:p>
    <w:p w14:paraId="2438B2B3" w14:textId="77777777" w:rsidR="00107BCA" w:rsidRPr="003E104C" w:rsidRDefault="00107BCA" w:rsidP="00107BCA">
      <w:pPr>
        <w:spacing w:line="276" w:lineRule="auto"/>
        <w:jc w:val="both"/>
        <w:rPr>
          <w:b/>
          <w:bCs/>
        </w:rPr>
      </w:pPr>
    </w:p>
    <w:p w14:paraId="2ABB0441" w14:textId="0EB72CA7" w:rsidR="007C6A5F" w:rsidRPr="003E104C" w:rsidRDefault="007C6A5F" w:rsidP="00107BCA">
      <w:pPr>
        <w:spacing w:line="276" w:lineRule="auto"/>
        <w:jc w:val="both"/>
      </w:pPr>
      <w:r w:rsidRPr="003E104C">
        <w:rPr>
          <w:b/>
          <w:bCs/>
        </w:rPr>
        <w:t>Hospital Leaders</w:t>
      </w:r>
      <w:r w:rsidRPr="003E104C">
        <w:t>: Institutionalize cultural competence through regular staff training, participatory governance, and culturally adapted care protocols. Monitor and evaluate the impact of interventions on patient retention, fee recovery, and donor engagement.</w:t>
      </w:r>
    </w:p>
    <w:p w14:paraId="72C8D9F4" w14:textId="77777777" w:rsidR="00107BCA" w:rsidRPr="003E104C" w:rsidRDefault="00107BCA" w:rsidP="00107BCA">
      <w:pPr>
        <w:spacing w:line="276" w:lineRule="auto"/>
        <w:jc w:val="both"/>
        <w:rPr>
          <w:b/>
          <w:bCs/>
        </w:rPr>
      </w:pPr>
    </w:p>
    <w:p w14:paraId="639EEEC1" w14:textId="2E2C4110" w:rsidR="007C6A5F" w:rsidRPr="003E104C" w:rsidRDefault="007C6A5F" w:rsidP="00107BCA">
      <w:pPr>
        <w:spacing w:line="276" w:lineRule="auto"/>
        <w:jc w:val="both"/>
      </w:pPr>
      <w:r w:rsidRPr="003E104C">
        <w:rPr>
          <w:b/>
          <w:bCs/>
        </w:rPr>
        <w:t>Donors</w:t>
      </w:r>
      <w:r w:rsidRPr="003E104C">
        <w:t>: Prioritize funding for cultural competence initiatives and support capacity-building efforts that align with community values and needs. Encourage transparency and participatory reporting.</w:t>
      </w:r>
    </w:p>
    <w:p w14:paraId="316DB9A9" w14:textId="77777777" w:rsidR="00107BCA" w:rsidRPr="003E104C" w:rsidRDefault="00107BCA" w:rsidP="00107BCA">
      <w:pPr>
        <w:spacing w:line="276" w:lineRule="auto"/>
        <w:jc w:val="both"/>
        <w:rPr>
          <w:b/>
          <w:bCs/>
        </w:rPr>
      </w:pPr>
    </w:p>
    <w:p w14:paraId="633A4458" w14:textId="3EA740CC" w:rsidR="007C6A5F" w:rsidRPr="003E104C" w:rsidRDefault="007C6A5F" w:rsidP="00107BCA">
      <w:pPr>
        <w:spacing w:line="276" w:lineRule="auto"/>
        <w:jc w:val="both"/>
      </w:pPr>
      <w:r w:rsidRPr="003E104C">
        <w:rPr>
          <w:b/>
          <w:bCs/>
        </w:rPr>
        <w:t>Government</w:t>
      </w:r>
      <w:r w:rsidRPr="003E104C">
        <w:t>: Recognize the strategic role of faith-based PNFP hospitals in achieving universal health coverage. Expand Results-Based Financing and PHC grants to reward culturally competent, patient-centered care.</w:t>
      </w:r>
    </w:p>
    <w:p w14:paraId="31B019B9" w14:textId="77777777" w:rsidR="006A78DC" w:rsidRPr="003E104C" w:rsidRDefault="006A78DC" w:rsidP="00107BCA">
      <w:pPr>
        <w:spacing w:line="276" w:lineRule="auto"/>
        <w:jc w:val="both"/>
      </w:pPr>
    </w:p>
    <w:p w14:paraId="2B7EE439" w14:textId="73F56EF3" w:rsidR="006A78DC" w:rsidRPr="003E104C" w:rsidRDefault="006A78DC" w:rsidP="00107BCA">
      <w:pPr>
        <w:spacing w:line="276" w:lineRule="auto"/>
        <w:jc w:val="both"/>
      </w:pPr>
      <w:r w:rsidRPr="003E104C">
        <w:rPr>
          <w:b/>
          <w:bCs/>
        </w:rPr>
        <w:t>Cost–Benefit Perspective</w:t>
      </w:r>
      <w:r w:rsidRPr="003E104C">
        <w:t>; Implementing Cultural Competence Interventions has cost implications, which may vary depending on the institution and the intervention intensity.</w:t>
      </w:r>
    </w:p>
    <w:p w14:paraId="478EC767" w14:textId="77777777" w:rsidR="00E95A47" w:rsidRPr="003E104C" w:rsidRDefault="00E95A47" w:rsidP="00107BCA">
      <w:pPr>
        <w:spacing w:line="276" w:lineRule="auto"/>
        <w:ind w:left="360"/>
      </w:pPr>
    </w:p>
    <w:p w14:paraId="7AAB1734" w14:textId="77777777" w:rsidR="007C6A5F" w:rsidRPr="003E104C" w:rsidRDefault="007C6A5F" w:rsidP="00107BCA">
      <w:pPr>
        <w:pStyle w:val="Heading2"/>
        <w:spacing w:line="276" w:lineRule="auto"/>
        <w:rPr>
          <w:rFonts w:cs="Times New Roman"/>
          <w:b/>
          <w:bCs/>
          <w:color w:val="auto"/>
          <w:szCs w:val="24"/>
        </w:rPr>
      </w:pPr>
      <w:bookmarkStart w:id="26" w:name="_Toc224233406"/>
      <w:r w:rsidRPr="003E104C">
        <w:rPr>
          <w:rFonts w:cs="Times New Roman"/>
          <w:b/>
          <w:bCs/>
          <w:color w:val="auto"/>
          <w:szCs w:val="24"/>
        </w:rPr>
        <w:t>Conclusion</w:t>
      </w:r>
      <w:bookmarkEnd w:id="26"/>
    </w:p>
    <w:p w14:paraId="10A61E14" w14:textId="6760019E" w:rsidR="007C6A5F" w:rsidRPr="003E104C" w:rsidRDefault="007C6A5F" w:rsidP="00107BCA">
      <w:pPr>
        <w:spacing w:line="276" w:lineRule="auto"/>
        <w:jc w:val="both"/>
      </w:pPr>
      <w:r w:rsidRPr="003E104C">
        <w:t>Cultural competence is not merely an ethical or clinical imperative</w:t>
      </w:r>
      <w:r w:rsidR="00857F5B" w:rsidRPr="003E104C">
        <w:t>,</w:t>
      </w:r>
      <w:r w:rsidRPr="003E104C">
        <w:t xml:space="preserve"> it is a strategic driver of financial sustainability for faith-based hospitals in Kampala. This study demonstrates that targeted interventions—encompassing staff training, organizational policy reforms and patient-centered care—can significantly improve patient retention, fee recovery and donor diversification. By integrating Resource Dependence Theory and leading Cultural Competence Frameworks, the analysis provides a theoretically robust and empirically grounded roadmap for hospital leaders, donors and policymakers seeking to sustain Uganda’s PNFP health sector. Institutionalizing cultural competence is essential not only for equitable care but also for the operational resilience and long-term viability of faith-based hospitals in Kampala.</w:t>
      </w:r>
      <w:r w:rsidR="00857F5B" w:rsidRPr="003E104C">
        <w:t xml:space="preserve"> The findings suggest that cultural competence is a significant determinant of </w:t>
      </w:r>
      <w:r w:rsidR="00857F5B" w:rsidRPr="003E104C">
        <w:rPr>
          <w:rFonts w:ascii="Times-Roman" w:hAnsi="Times-Roman"/>
        </w:rPr>
        <w:t xml:space="preserve">financial sustainability and therefore, efforts to increase financial sustainability of </w:t>
      </w:r>
      <w:r w:rsidR="004F661D" w:rsidRPr="003E104C">
        <w:rPr>
          <w:rFonts w:ascii="Times-Roman" w:hAnsi="Times-Roman"/>
        </w:rPr>
        <w:t>faith-based</w:t>
      </w:r>
      <w:r w:rsidR="00857F5B" w:rsidRPr="003E104C">
        <w:rPr>
          <w:rFonts w:ascii="Times-Roman" w:hAnsi="Times-Roman"/>
        </w:rPr>
        <w:t xml:space="preserve"> hospitals in Kampala can make use of a cultural competence model. </w:t>
      </w:r>
      <w:r w:rsidR="004F661D" w:rsidRPr="003E104C">
        <w:rPr>
          <w:rFonts w:ascii="Times-Roman" w:hAnsi="Times-Roman"/>
        </w:rPr>
        <w:t>The implications of these findings</w:t>
      </w:r>
      <w:r w:rsidR="00920B44" w:rsidRPr="003E104C">
        <w:rPr>
          <w:rFonts w:ascii="Times-Roman" w:hAnsi="Times-Roman"/>
        </w:rPr>
        <w:t xml:space="preserve"> are critical for </w:t>
      </w:r>
      <w:r w:rsidR="004851B9" w:rsidRPr="003E104C">
        <w:rPr>
          <w:rFonts w:ascii="Times-Roman" w:hAnsi="Times-Roman"/>
        </w:rPr>
        <w:t xml:space="preserve">managers of private hospitals. </w:t>
      </w:r>
      <w:r w:rsidR="004F661D" w:rsidRPr="003E104C">
        <w:rPr>
          <w:rFonts w:ascii="Times-Roman" w:hAnsi="Times-Roman"/>
        </w:rPr>
        <w:t xml:space="preserve"> </w:t>
      </w:r>
      <w:r w:rsidR="005579CF" w:rsidRPr="003E104C">
        <w:rPr>
          <w:rFonts w:ascii="Times-Roman" w:hAnsi="Times-Roman"/>
        </w:rPr>
        <w:t xml:space="preserve">However, the cultural competence models employed in this study may not apply to all organisations. There is a need to customise a working cultural competence model in every hospital. </w:t>
      </w:r>
      <w:r w:rsidR="006A78DC" w:rsidRPr="003E104C">
        <w:rPr>
          <w:rFonts w:ascii="Times-Roman" w:hAnsi="Times-Roman"/>
        </w:rPr>
        <w:t xml:space="preserve">Hospitals may have to do a cost benefit analysis, before implementing a cultural competence intervention. </w:t>
      </w:r>
    </w:p>
    <w:p w14:paraId="027D6659" w14:textId="77777777" w:rsidR="00E95A47" w:rsidRPr="003E104C" w:rsidRDefault="00E95A47" w:rsidP="008B5035">
      <w:pPr>
        <w:spacing w:line="276" w:lineRule="auto"/>
      </w:pPr>
    </w:p>
    <w:p w14:paraId="5EE1EB6A" w14:textId="77777777" w:rsidR="007C6A5F" w:rsidRPr="003E104C" w:rsidRDefault="007C6A5F" w:rsidP="008B5035">
      <w:pPr>
        <w:pStyle w:val="Heading2"/>
        <w:spacing w:line="276" w:lineRule="auto"/>
        <w:rPr>
          <w:rFonts w:cs="Times New Roman"/>
          <w:b/>
          <w:bCs/>
          <w:color w:val="auto"/>
          <w:szCs w:val="24"/>
        </w:rPr>
      </w:pPr>
      <w:bookmarkStart w:id="27" w:name="_Toc224233407"/>
      <w:r w:rsidRPr="003E104C">
        <w:rPr>
          <w:rFonts w:cs="Times New Roman"/>
          <w:b/>
          <w:bCs/>
          <w:color w:val="auto"/>
          <w:szCs w:val="24"/>
        </w:rPr>
        <w:t>Recommendations</w:t>
      </w:r>
      <w:bookmarkEnd w:id="27"/>
    </w:p>
    <w:p w14:paraId="1C113460" w14:textId="7A3018CA" w:rsidR="007C6A5F" w:rsidRPr="003E104C" w:rsidRDefault="007C6A5F" w:rsidP="006A78DC">
      <w:pPr>
        <w:spacing w:line="276" w:lineRule="auto"/>
        <w:jc w:val="both"/>
      </w:pPr>
      <w:r w:rsidRPr="003E104C">
        <w:rPr>
          <w:b/>
          <w:bCs/>
        </w:rPr>
        <w:t>Institutionalize Cultural Competence Training</w:t>
      </w:r>
      <w:r w:rsidRPr="003E104C">
        <w:t>: Faith-based hospitals should implement regular, structured training programs for all staff, focusing on cultural awareness, communication skills and patient-centered care. Training should be tailored to the specific cultural and religious contexts of the hospital’s catchment area</w:t>
      </w:r>
      <w:r w:rsidR="00CE7B57" w:rsidRPr="003E104C">
        <w:t xml:space="preserve"> (</w:t>
      </w:r>
      <w:r w:rsidR="00982C67" w:rsidRPr="003E104C">
        <w:t xml:space="preserve">Siobhán </w:t>
      </w:r>
      <w:r w:rsidR="00982C67" w:rsidRPr="003E104C">
        <w:rPr>
          <w:i/>
          <w:iCs/>
        </w:rPr>
        <w:t>et al.</w:t>
      </w:r>
      <w:r w:rsidR="00982C67" w:rsidRPr="003E104C">
        <w:t>, 2026</w:t>
      </w:r>
      <w:r w:rsidR="00CE7B57" w:rsidRPr="003E104C">
        <w:t>)</w:t>
      </w:r>
      <w:r w:rsidRPr="003E104C">
        <w:t>.</w:t>
      </w:r>
    </w:p>
    <w:p w14:paraId="36153588" w14:textId="77777777" w:rsidR="006A78DC" w:rsidRPr="003E104C" w:rsidRDefault="006A78DC" w:rsidP="006A78DC">
      <w:pPr>
        <w:spacing w:line="276" w:lineRule="auto"/>
        <w:jc w:val="both"/>
      </w:pPr>
    </w:p>
    <w:p w14:paraId="5B130BCF" w14:textId="0B49E0C6" w:rsidR="007C6A5F" w:rsidRPr="003E104C" w:rsidRDefault="007C6A5F" w:rsidP="006A78DC">
      <w:pPr>
        <w:spacing w:line="276" w:lineRule="auto"/>
        <w:jc w:val="both"/>
      </w:pPr>
      <w:r w:rsidRPr="003E104C">
        <w:rPr>
          <w:b/>
          <w:bCs/>
        </w:rPr>
        <w:t>Develop and Enforce Organizational Policies</w:t>
      </w:r>
      <w:r w:rsidRPr="003E104C">
        <w:t>: Hospitals should adopt formal policies that embed cultural competence into recruitment, performance appraisal, and service delivery. Policies should mandate the use of interpreter services, culturally adapted care protocols, and participatory governance structures</w:t>
      </w:r>
      <w:r w:rsidR="00CE7B57" w:rsidRPr="003E104C">
        <w:t xml:space="preserve"> (</w:t>
      </w:r>
      <w:r w:rsidR="00982C67" w:rsidRPr="003E104C">
        <w:t xml:space="preserve">Weech-Maldonado </w:t>
      </w:r>
      <w:r w:rsidR="00982C67" w:rsidRPr="003E104C">
        <w:rPr>
          <w:i/>
          <w:iCs/>
        </w:rPr>
        <w:t>et al.</w:t>
      </w:r>
      <w:r w:rsidR="00982C67" w:rsidRPr="003E104C">
        <w:t xml:space="preserve">, 2018; Liane </w:t>
      </w:r>
      <w:r w:rsidR="00982C67" w:rsidRPr="003E104C">
        <w:rPr>
          <w:i/>
          <w:iCs/>
        </w:rPr>
        <w:t>et al.</w:t>
      </w:r>
      <w:r w:rsidR="00982C67" w:rsidRPr="003E104C">
        <w:t>, 2022</w:t>
      </w:r>
      <w:r w:rsidR="00CE7B57" w:rsidRPr="003E104C">
        <w:t>)</w:t>
      </w:r>
      <w:r w:rsidRPr="003E104C">
        <w:t>.</w:t>
      </w:r>
    </w:p>
    <w:p w14:paraId="0B7673CF" w14:textId="77777777" w:rsidR="006A78DC" w:rsidRPr="003E104C" w:rsidRDefault="006A78DC" w:rsidP="006A78DC">
      <w:pPr>
        <w:spacing w:line="276" w:lineRule="auto"/>
        <w:jc w:val="both"/>
      </w:pPr>
    </w:p>
    <w:p w14:paraId="04B8E23D" w14:textId="549B9C72" w:rsidR="007C6A5F" w:rsidRPr="003E104C" w:rsidRDefault="007C6A5F" w:rsidP="006A78DC">
      <w:pPr>
        <w:spacing w:line="276" w:lineRule="auto"/>
        <w:jc w:val="both"/>
      </w:pPr>
      <w:r w:rsidRPr="003E104C">
        <w:rPr>
          <w:b/>
          <w:bCs/>
        </w:rPr>
        <w:t>Strengthen Community Engagement</w:t>
      </w:r>
      <w:r w:rsidRPr="003E104C">
        <w:t>: Engage community leaders, religious authorities, and patient advisory councils in hospital governance and decision-making. Regular community dialogues and feedback mechanisms can enhance trust and ensure services are responsive to local needs</w:t>
      </w:r>
      <w:r w:rsidR="00CE7B57" w:rsidRPr="003E104C">
        <w:t xml:space="preserve"> (</w:t>
      </w:r>
      <w:r w:rsidR="00CE41E5" w:rsidRPr="003E104C">
        <w:t>FasterCapital, 2025; Quality Interactions, 2024</w:t>
      </w:r>
      <w:r w:rsidR="00CE7B57" w:rsidRPr="003E104C">
        <w:t>)</w:t>
      </w:r>
      <w:r w:rsidRPr="003E104C">
        <w:t>.</w:t>
      </w:r>
    </w:p>
    <w:p w14:paraId="36D2A66F" w14:textId="77777777" w:rsidR="006A78DC" w:rsidRPr="003E104C" w:rsidRDefault="006A78DC" w:rsidP="006A78DC">
      <w:pPr>
        <w:spacing w:line="276" w:lineRule="auto"/>
        <w:jc w:val="both"/>
        <w:rPr>
          <w:b/>
          <w:bCs/>
        </w:rPr>
      </w:pPr>
    </w:p>
    <w:p w14:paraId="43CBF010" w14:textId="549BCFD7" w:rsidR="007C6A5F" w:rsidRPr="003E104C" w:rsidRDefault="007C6A5F" w:rsidP="006A78DC">
      <w:pPr>
        <w:spacing w:line="276" w:lineRule="auto"/>
        <w:jc w:val="both"/>
      </w:pPr>
      <w:r w:rsidRPr="003E104C">
        <w:rPr>
          <w:b/>
          <w:bCs/>
        </w:rPr>
        <w:t>Monitor and Evaluate Impact</w:t>
      </w:r>
      <w:r w:rsidRPr="003E104C">
        <w:t>: Establish robust monitoring and evaluation systems to track the impact of cultural competence interventions on patient retention, fee recovery, and donor engagement. Use validated measurement tools such as the CCAI and SFCQ</w:t>
      </w:r>
      <w:r w:rsidR="00CE7B57" w:rsidRPr="003E104C">
        <w:t xml:space="preserve"> (</w:t>
      </w:r>
      <w:r w:rsidR="00B87CFA" w:rsidRPr="003E104C">
        <w:t xml:space="preserve">Balcazar </w:t>
      </w:r>
      <w:r w:rsidR="00B87CFA" w:rsidRPr="003E104C">
        <w:rPr>
          <w:i/>
          <w:iCs/>
        </w:rPr>
        <w:t>et al</w:t>
      </w:r>
      <w:r w:rsidR="00B87CFA" w:rsidRPr="003E104C">
        <w:t xml:space="preserve">., 2009; Liane </w:t>
      </w:r>
      <w:r w:rsidR="00B87CFA" w:rsidRPr="003E104C">
        <w:rPr>
          <w:i/>
          <w:iCs/>
        </w:rPr>
        <w:t>et al.</w:t>
      </w:r>
      <w:r w:rsidR="00B87CFA" w:rsidRPr="003E104C">
        <w:t>, 2022</w:t>
      </w:r>
      <w:r w:rsidR="00CE7B57" w:rsidRPr="003E104C">
        <w:t>)</w:t>
      </w:r>
      <w:r w:rsidRPr="003E104C">
        <w:t>.</w:t>
      </w:r>
    </w:p>
    <w:p w14:paraId="3F8AFA46" w14:textId="77777777" w:rsidR="006A78DC" w:rsidRPr="003E104C" w:rsidRDefault="006A78DC" w:rsidP="006A78DC">
      <w:pPr>
        <w:spacing w:line="276" w:lineRule="auto"/>
        <w:jc w:val="both"/>
        <w:rPr>
          <w:b/>
          <w:bCs/>
        </w:rPr>
      </w:pPr>
    </w:p>
    <w:p w14:paraId="01C56E9B" w14:textId="45C3D64F" w:rsidR="007C6A5F" w:rsidRPr="003E104C" w:rsidRDefault="007C6A5F" w:rsidP="006A78DC">
      <w:pPr>
        <w:spacing w:line="276" w:lineRule="auto"/>
        <w:jc w:val="both"/>
      </w:pPr>
      <w:r w:rsidRPr="003E104C">
        <w:rPr>
          <w:b/>
          <w:bCs/>
        </w:rPr>
        <w:t>Diversify Revenue Streams</w:t>
      </w:r>
      <w:r w:rsidRPr="003E104C">
        <w:t xml:space="preserve">: Pursue innovative revenue diversification strategies, including partnerships with faith-based organizations, diaspora groups, and local philanthropists. Develop </w:t>
      </w:r>
      <w:r w:rsidRPr="003E104C">
        <w:lastRenderedPageBreak/>
        <w:t>income-generating activities aligned with the hospital’s mission and values</w:t>
      </w:r>
      <w:r w:rsidR="00CE7B57" w:rsidRPr="003E104C">
        <w:t xml:space="preserve"> (</w:t>
      </w:r>
      <w:r w:rsidR="00B87CFA" w:rsidRPr="003E104C">
        <w:t xml:space="preserve">Question, 2025; </w:t>
      </w:r>
      <w:proofErr w:type="spellStart"/>
      <w:r w:rsidR="00B87CFA" w:rsidRPr="003E104C">
        <w:t>FundsforNGOs</w:t>
      </w:r>
      <w:proofErr w:type="spellEnd"/>
      <w:r w:rsidR="00B87CFA" w:rsidRPr="003E104C">
        <w:t>, 2026</w:t>
      </w:r>
      <w:r w:rsidR="00CE7B57" w:rsidRPr="003E104C">
        <w:t>)</w:t>
      </w:r>
      <w:r w:rsidRPr="003E104C">
        <w:t>.</w:t>
      </w:r>
    </w:p>
    <w:p w14:paraId="6EDE45B8" w14:textId="77777777" w:rsidR="006A78DC" w:rsidRPr="003E104C" w:rsidRDefault="006A78DC" w:rsidP="006A78DC">
      <w:pPr>
        <w:spacing w:line="276" w:lineRule="auto"/>
        <w:jc w:val="both"/>
        <w:rPr>
          <w:b/>
          <w:bCs/>
        </w:rPr>
      </w:pPr>
    </w:p>
    <w:p w14:paraId="0E30ED27" w14:textId="2FF67552" w:rsidR="007C6A5F" w:rsidRPr="003E104C" w:rsidRDefault="007C6A5F" w:rsidP="006A78DC">
      <w:pPr>
        <w:spacing w:line="276" w:lineRule="auto"/>
        <w:jc w:val="both"/>
      </w:pPr>
      <w:r w:rsidRPr="003E104C">
        <w:rPr>
          <w:b/>
          <w:bCs/>
        </w:rPr>
        <w:t>Advocate for Policy Support</w:t>
      </w:r>
      <w:r w:rsidRPr="003E104C">
        <w:t>: Collaborate with government and donor agencies to expand Results-Based Financing and PHC grants, with incentives for culturally competent, patient-centered care. Advocate for the recognition of faith-based hospitals as strategic partners in national health planning</w:t>
      </w:r>
      <w:r w:rsidR="00CE7B57" w:rsidRPr="003E104C">
        <w:t xml:space="preserve"> (</w:t>
      </w:r>
      <w:r w:rsidR="00EB7CB0" w:rsidRPr="003E104C">
        <w:t>Orach, n.d</w:t>
      </w:r>
      <w:r w:rsidR="00CE7B57" w:rsidRPr="003E104C">
        <w:t>)</w:t>
      </w:r>
      <w:r w:rsidRPr="003E104C">
        <w:t>.</w:t>
      </w:r>
    </w:p>
    <w:p w14:paraId="4F322799" w14:textId="77777777" w:rsidR="006A78DC" w:rsidRPr="003E104C" w:rsidRDefault="006A78DC" w:rsidP="006A78DC">
      <w:pPr>
        <w:spacing w:line="276" w:lineRule="auto"/>
        <w:jc w:val="both"/>
        <w:rPr>
          <w:b/>
          <w:bCs/>
        </w:rPr>
      </w:pPr>
    </w:p>
    <w:p w14:paraId="0606B788" w14:textId="167844DF" w:rsidR="007C6A5F" w:rsidRPr="003E104C" w:rsidRDefault="007C6A5F" w:rsidP="006A78DC">
      <w:pPr>
        <w:spacing w:line="276" w:lineRule="auto"/>
        <w:jc w:val="both"/>
      </w:pPr>
      <w:r w:rsidRPr="003E104C">
        <w:rPr>
          <w:b/>
          <w:bCs/>
        </w:rPr>
        <w:t>Foster a Culture of Continuous Improvement</w:t>
      </w:r>
      <w:r w:rsidRPr="003E104C">
        <w:t>: Encourage ongoing reflection, learning, and adaptation among staff and leadership. Regularly review and update cultural competence interventions based on patient feedback and emerging best practices</w:t>
      </w:r>
      <w:r w:rsidR="00CE7B57" w:rsidRPr="003E104C">
        <w:t xml:space="preserve"> (</w:t>
      </w:r>
      <w:r w:rsidR="00B87CFA" w:rsidRPr="003E104C">
        <w:t xml:space="preserve">Siobhán </w:t>
      </w:r>
      <w:r w:rsidR="00B87CFA" w:rsidRPr="003E104C">
        <w:rPr>
          <w:i/>
          <w:iCs/>
        </w:rPr>
        <w:t>et al.</w:t>
      </w:r>
      <w:r w:rsidR="00B87CFA" w:rsidRPr="003E104C">
        <w:t>, 2026</w:t>
      </w:r>
      <w:r w:rsidR="00CE7B57" w:rsidRPr="003E104C">
        <w:t>)</w:t>
      </w:r>
      <w:r w:rsidRPr="003E104C">
        <w:t>.</w:t>
      </w:r>
    </w:p>
    <w:p w14:paraId="067E60B9" w14:textId="77777777" w:rsidR="008803E2" w:rsidRPr="003E104C" w:rsidRDefault="008803E2" w:rsidP="008B5035">
      <w:pPr>
        <w:pStyle w:val="Heading1"/>
        <w:numPr>
          <w:ilvl w:val="0"/>
          <w:numId w:val="0"/>
        </w:numPr>
        <w:spacing w:line="276" w:lineRule="auto"/>
        <w:ind w:left="432" w:hanging="432"/>
        <w:rPr>
          <w:rFonts w:cs="Times New Roman"/>
          <w:szCs w:val="24"/>
        </w:rPr>
      </w:pPr>
      <w:bookmarkStart w:id="28" w:name="_Toc224233408"/>
    </w:p>
    <w:p w14:paraId="571DB076" w14:textId="395156B9" w:rsidR="007C6A5F" w:rsidRPr="003E104C" w:rsidRDefault="007C6A5F" w:rsidP="008B5035">
      <w:pPr>
        <w:pStyle w:val="Heading1"/>
        <w:numPr>
          <w:ilvl w:val="0"/>
          <w:numId w:val="0"/>
        </w:numPr>
        <w:spacing w:line="276" w:lineRule="auto"/>
        <w:ind w:left="432" w:hanging="432"/>
        <w:rPr>
          <w:rFonts w:cs="Times New Roman"/>
          <w:bCs/>
          <w:szCs w:val="24"/>
        </w:rPr>
      </w:pPr>
      <w:r w:rsidRPr="003E104C">
        <w:rPr>
          <w:rFonts w:cs="Times New Roman"/>
          <w:szCs w:val="24"/>
        </w:rPr>
        <w:t>References</w:t>
      </w:r>
      <w:bookmarkEnd w:id="28"/>
    </w:p>
    <w:p w14:paraId="300C2E9B" w14:textId="77777777" w:rsidR="003C481D" w:rsidRPr="003E104C" w:rsidRDefault="003C481D" w:rsidP="0040494E">
      <w:pPr>
        <w:spacing w:line="276" w:lineRule="auto"/>
        <w:jc w:val="both"/>
      </w:pPr>
      <w:r w:rsidRPr="003E104C">
        <w:t>Albougami A.S, Pounds K.G, Alotaibi J.S (2016)</w:t>
      </w:r>
      <w:r w:rsidRPr="003E104C">
        <w:rPr>
          <w:i/>
          <w:iCs/>
        </w:rPr>
        <w:t xml:space="preserve">. </w:t>
      </w:r>
      <w:r w:rsidRPr="003E104C">
        <w:t xml:space="preserve">Comparison of Four Cultural Competence </w:t>
      </w:r>
      <w:r w:rsidRPr="003E104C">
        <w:tab/>
        <w:t>Models in Transcultural Nursing</w:t>
      </w:r>
      <w:r w:rsidRPr="003E104C">
        <w:rPr>
          <w:i/>
          <w:iCs/>
        </w:rPr>
        <w:t xml:space="preserve">, </w:t>
      </w:r>
      <w:r w:rsidRPr="003E104C">
        <w:t>a Discussion Paper</w:t>
      </w:r>
      <w:r w:rsidRPr="003E104C">
        <w:rPr>
          <w:i/>
          <w:iCs/>
        </w:rPr>
        <w:t>. International Archives of Nurses and</w:t>
      </w:r>
      <w:r w:rsidRPr="003E104C">
        <w:rPr>
          <w:i/>
          <w:iCs/>
        </w:rPr>
        <w:tab/>
        <w:t>Health Care 2:053, DOI; </w:t>
      </w:r>
      <w:hyperlink r:id="rId16" w:tgtFrame="_blank" w:history="1">
        <w:r w:rsidRPr="003E104C">
          <w:rPr>
            <w:rStyle w:val="Hyperlink"/>
            <w:i/>
            <w:iCs/>
            <w:color w:val="auto"/>
          </w:rPr>
          <w:t>10.23937/2469-5823/1510053</w:t>
        </w:r>
      </w:hyperlink>
      <w:r w:rsidRPr="003E104C">
        <w:rPr>
          <w:i/>
          <w:iCs/>
        </w:rPr>
        <w:t>, available at</w:t>
      </w:r>
      <w:r w:rsidRPr="003E104C">
        <w:t xml:space="preserve"> </w:t>
      </w:r>
      <w:r w:rsidRPr="003E104C">
        <w:tab/>
      </w:r>
      <w:hyperlink r:id="rId17" w:history="1">
        <w:r w:rsidRPr="003E104C">
          <w:rPr>
            <w:rStyle w:val="Hyperlink"/>
            <w:color w:val="auto"/>
            <w:u w:val="none"/>
          </w:rPr>
          <w:t>https://clinmedjournals.org/articles/ianhc/international-archives-of-nursing-and-health-</w:t>
        </w:r>
        <w:r w:rsidRPr="003E104C">
          <w:rPr>
            <w:rStyle w:val="Hyperlink"/>
            <w:color w:val="auto"/>
            <w:u w:val="none"/>
          </w:rPr>
          <w:tab/>
          <w:t>care-ianhc-2-053.php</w:t>
        </w:r>
      </w:hyperlink>
    </w:p>
    <w:p w14:paraId="5E64CF64" w14:textId="77777777" w:rsidR="003C481D" w:rsidRPr="003E104C" w:rsidRDefault="003C481D" w:rsidP="00DD0206">
      <w:r w:rsidRPr="003E104C">
        <w:rPr>
          <w:lang w:val="en-GB"/>
        </w:rPr>
        <w:t>Alshareef, M.N.</w:t>
      </w:r>
      <w:r w:rsidRPr="003E104C">
        <w:t xml:space="preserve"> (2024).</w:t>
      </w:r>
      <w:r w:rsidRPr="003E104C">
        <w:rPr>
          <w:lang w:val="en-GB"/>
        </w:rPr>
        <w:t xml:space="preserve"> Ownership Structure and Financial Sustainability of Saudi Listed Firms. </w:t>
      </w:r>
      <w:r w:rsidRPr="003E104C">
        <w:tab/>
      </w:r>
      <w:r w:rsidRPr="003E104C">
        <w:rPr>
          <w:i/>
          <w:iCs/>
          <w:lang w:val="en-GB"/>
        </w:rPr>
        <w:t>Sustainability</w:t>
      </w:r>
      <w:r w:rsidRPr="003E104C">
        <w:rPr>
          <w:lang w:val="en-GB"/>
        </w:rPr>
        <w:t xml:space="preserve">, </w:t>
      </w:r>
      <w:r w:rsidRPr="003E104C">
        <w:rPr>
          <w:i/>
          <w:iCs/>
          <w:lang w:val="en-GB"/>
        </w:rPr>
        <w:t>16</w:t>
      </w:r>
      <w:r w:rsidRPr="003E104C">
        <w:rPr>
          <w:lang w:val="en-GB"/>
        </w:rPr>
        <w:t>, 3773.</w:t>
      </w:r>
    </w:p>
    <w:p w14:paraId="5C751C6C" w14:textId="77777777" w:rsidR="003C481D" w:rsidRPr="003E104C" w:rsidRDefault="003C481D" w:rsidP="00DD0206">
      <w:r w:rsidRPr="003E104C">
        <w:t xml:space="preserve">Alshareef, M.N. and Sulimany, H.G.H. (2024). Board Financial Expertise and Financial </w:t>
      </w:r>
      <w:r w:rsidRPr="003E104C">
        <w:tab/>
        <w:t xml:space="preserve">Sustainability: Evidence from Saudi-Listed Firms. </w:t>
      </w:r>
      <w:r w:rsidRPr="003E104C">
        <w:rPr>
          <w:i/>
          <w:iCs/>
        </w:rPr>
        <w:t>Sustainability</w:t>
      </w:r>
      <w:r w:rsidRPr="003E104C">
        <w:t xml:space="preserve">, </w:t>
      </w:r>
      <w:r w:rsidRPr="003E104C">
        <w:rPr>
          <w:i/>
          <w:iCs/>
        </w:rPr>
        <w:t>16</w:t>
      </w:r>
      <w:r w:rsidRPr="003E104C">
        <w:t>, 7100.</w:t>
      </w:r>
    </w:p>
    <w:p w14:paraId="13D0470F" w14:textId="77777777" w:rsidR="003C481D" w:rsidRPr="003E104C" w:rsidRDefault="003C481D" w:rsidP="00DD0206">
      <w:r w:rsidRPr="003E104C">
        <w:t xml:space="preserve">Amouzesh, N., Moeinfar, Z. and Mousavi, Z. (2011). Sustainable Growth Rate and Firm </w:t>
      </w:r>
      <w:r w:rsidRPr="003E104C">
        <w:tab/>
        <w:t xml:space="preserve">Performance: Evidence from Iran Stock Exchange. </w:t>
      </w:r>
      <w:r w:rsidRPr="003E104C">
        <w:rPr>
          <w:i/>
          <w:iCs/>
        </w:rPr>
        <w:t xml:space="preserve">International Journal of Business and </w:t>
      </w:r>
      <w:r w:rsidRPr="003E104C">
        <w:rPr>
          <w:i/>
          <w:iCs/>
        </w:rPr>
        <w:tab/>
        <w:t>Social Sciences</w:t>
      </w:r>
      <w:r w:rsidRPr="003E104C">
        <w:t xml:space="preserve">, </w:t>
      </w:r>
      <w:r w:rsidRPr="003E104C">
        <w:rPr>
          <w:i/>
          <w:iCs/>
        </w:rPr>
        <w:t>23</w:t>
      </w:r>
      <w:r w:rsidRPr="003E104C">
        <w:t>, 249–255.</w:t>
      </w:r>
    </w:p>
    <w:p w14:paraId="3842CC89" w14:textId="77777777" w:rsidR="003C481D" w:rsidRPr="003E104C" w:rsidRDefault="003C481D" w:rsidP="008B5035">
      <w:pPr>
        <w:spacing w:line="276" w:lineRule="auto"/>
      </w:pPr>
      <w:r w:rsidRPr="003E104C">
        <w:t xml:space="preserve">Ansmann L, Vennedey V, Hillen H.A, Stock S, Kuntz L, Pfaff H, Mannion R and Hower K.I </w:t>
      </w:r>
      <w:r w:rsidRPr="003E104C">
        <w:tab/>
        <w:t xml:space="preserve">(2021). Resource dependency and strategy in healthcare organizations during a time of </w:t>
      </w:r>
      <w:r w:rsidRPr="003E104C">
        <w:tab/>
        <w:t>scarce resources: evidence from the metropolitan area of cologne.</w:t>
      </w:r>
      <w:r w:rsidRPr="003E104C">
        <w:rPr>
          <w:i/>
          <w:iCs/>
        </w:rPr>
        <w:t xml:space="preserve"> Journal of Health </w:t>
      </w:r>
      <w:r w:rsidRPr="003E104C">
        <w:rPr>
          <w:i/>
          <w:iCs/>
        </w:rPr>
        <w:tab/>
        <w:t>Organizations and Management, Vol. 35 No. 9, doi: </w:t>
      </w:r>
      <w:hyperlink r:id="rId18" w:history="1">
        <w:r w:rsidRPr="003E104C">
          <w:rPr>
            <w:rStyle w:val="Hyperlink"/>
            <w:i/>
            <w:iCs/>
            <w:color w:val="auto"/>
          </w:rPr>
          <w:t>https://doi.org/10.1108/JHOM-12-</w:t>
        </w:r>
        <w:r w:rsidRPr="003E104C">
          <w:rPr>
            <w:rStyle w:val="Hyperlink"/>
            <w:i/>
            <w:iCs/>
            <w:color w:val="auto"/>
          </w:rPr>
          <w:tab/>
          <w:t>2020-0478</w:t>
        </w:r>
      </w:hyperlink>
    </w:p>
    <w:p w14:paraId="75AD858C" w14:textId="77777777" w:rsidR="003C481D" w:rsidRPr="003E104C" w:rsidRDefault="003C481D" w:rsidP="003C481D">
      <w:pPr>
        <w:spacing w:line="276" w:lineRule="auto"/>
        <w:jc w:val="both"/>
      </w:pPr>
      <w:proofErr w:type="spellStart"/>
      <w:r w:rsidRPr="003E104C">
        <w:t>ATLAS.ti</w:t>
      </w:r>
      <w:proofErr w:type="spellEnd"/>
      <w:r w:rsidRPr="003E104C">
        <w:t>. (</w:t>
      </w:r>
      <w:proofErr w:type="spellStart"/>
      <w:r w:rsidRPr="003E104C">
        <w:t>n.d</w:t>
      </w:r>
      <w:proofErr w:type="spellEnd"/>
      <w:r w:rsidRPr="003E104C">
        <w:t>). Thematic Analysis for Interviews; Guide and Examples. Available at;</w:t>
      </w:r>
      <w:r w:rsidRPr="003E104C">
        <w:rPr>
          <w:i/>
          <w:iCs/>
        </w:rPr>
        <w:t xml:space="preserve"> </w:t>
      </w:r>
      <w:r w:rsidRPr="003E104C">
        <w:rPr>
          <w:i/>
          <w:iCs/>
        </w:rPr>
        <w:tab/>
      </w:r>
      <w:hyperlink r:id="rId19" w:history="1">
        <w:r w:rsidRPr="003E104C">
          <w:rPr>
            <w:rStyle w:val="Hyperlink"/>
            <w:color w:val="auto"/>
          </w:rPr>
          <w:t>https://atlasti.com/guides/thematic-analysis/thematic-analysis-interviews</w:t>
        </w:r>
      </w:hyperlink>
    </w:p>
    <w:p w14:paraId="1CE94DA3" w14:textId="77777777" w:rsidR="003C481D" w:rsidRPr="003E104C" w:rsidRDefault="003C481D" w:rsidP="003C481D">
      <w:pPr>
        <w:spacing w:line="276" w:lineRule="auto"/>
        <w:jc w:val="both"/>
      </w:pPr>
      <w:r w:rsidRPr="003E104C">
        <w:t xml:space="preserve">Balcazar, F., Suarez-Balcazar, Y., Taylor-Ritzler, T., Juleen Rodakowski, O.T.D., Willis, C. &amp; </w:t>
      </w:r>
      <w:r w:rsidRPr="003E104C">
        <w:tab/>
        <w:t>Portillo, N. (2009). Cultural competence assessment instrument (CCAI)</w:t>
      </w:r>
      <w:r w:rsidRPr="003E104C">
        <w:rPr>
          <w:i/>
          <w:iCs/>
        </w:rPr>
        <w:t xml:space="preserve">. Center for </w:t>
      </w:r>
      <w:r w:rsidRPr="003E104C">
        <w:rPr>
          <w:i/>
          <w:iCs/>
        </w:rPr>
        <w:tab/>
        <w:t xml:space="preserve">Capacity Building on Minorities with Disabilities Research. Retrieved from </w:t>
      </w:r>
      <w:hyperlink r:id="rId20" w:history="1">
        <w:r w:rsidRPr="003E104C">
          <w:rPr>
            <w:rStyle w:val="Hyperlink"/>
            <w:i/>
            <w:iCs/>
            <w:color w:val="auto"/>
          </w:rPr>
          <w:t>https://miota</w:t>
        </w:r>
      </w:hyperlink>
      <w:r w:rsidRPr="003E104C">
        <w:rPr>
          <w:i/>
          <w:iCs/>
        </w:rPr>
        <w:t xml:space="preserve">. </w:t>
      </w:r>
      <w:r w:rsidRPr="003E104C">
        <w:rPr>
          <w:i/>
          <w:iCs/>
        </w:rPr>
        <w:tab/>
        <w:t>org/docs/CCAI. pdf.</w:t>
      </w:r>
      <w:r w:rsidRPr="003E104C">
        <w:t xml:space="preserve"> </w:t>
      </w:r>
    </w:p>
    <w:p w14:paraId="3D5430C5" w14:textId="77777777" w:rsidR="003C481D" w:rsidRPr="003E104C" w:rsidRDefault="003C481D" w:rsidP="003C481D">
      <w:pPr>
        <w:spacing w:line="276" w:lineRule="auto"/>
        <w:jc w:val="both"/>
      </w:pPr>
      <w:hyperlink r:id="rId21" w:history="1">
        <w:r w:rsidRPr="003E104C">
          <w:rPr>
            <w:rStyle w:val="Hyperlink"/>
            <w:color w:val="auto"/>
            <w:u w:val="none"/>
          </w:rPr>
          <w:t>Bella Williams</w:t>
        </w:r>
      </w:hyperlink>
      <w:r w:rsidRPr="003E104C">
        <w:t xml:space="preserve"> (</w:t>
      </w:r>
      <w:proofErr w:type="spellStart"/>
      <w:r w:rsidRPr="003E104C">
        <w:t>n.d</w:t>
      </w:r>
      <w:proofErr w:type="spellEnd"/>
      <w:r w:rsidRPr="003E104C">
        <w:t>).</w:t>
      </w:r>
      <w:r w:rsidRPr="003E104C">
        <w:rPr>
          <w:i/>
          <w:iCs/>
        </w:rPr>
        <w:t xml:space="preserve"> </w:t>
      </w:r>
      <w:r w:rsidRPr="003E104C">
        <w:t>How to analyze themes from culture interviews</w:t>
      </w:r>
      <w:r w:rsidRPr="003E104C">
        <w:rPr>
          <w:i/>
          <w:iCs/>
        </w:rPr>
        <w:t>. Insight7</w:t>
      </w:r>
      <w:r w:rsidRPr="003E104C">
        <w:t xml:space="preserve">. Available at; </w:t>
      </w:r>
      <w:r w:rsidRPr="003E104C">
        <w:tab/>
      </w:r>
      <w:hyperlink r:id="rId22" w:history="1">
        <w:r w:rsidRPr="003E104C">
          <w:rPr>
            <w:rStyle w:val="Hyperlink"/>
            <w:color w:val="auto"/>
          </w:rPr>
          <w:t>https://insight7.io/how-to-analyze-themes-from-culture-interviews/</w:t>
        </w:r>
      </w:hyperlink>
    </w:p>
    <w:p w14:paraId="61DFC523" w14:textId="32558D51" w:rsidR="003C481D" w:rsidRPr="003E104C" w:rsidRDefault="003C481D" w:rsidP="00502F57">
      <w:pPr>
        <w:spacing w:line="276" w:lineRule="auto"/>
        <w:jc w:val="both"/>
      </w:pPr>
      <w:r w:rsidRPr="003E104C">
        <w:rPr>
          <w:shd w:val="clear" w:color="auto" w:fill="FFFFFF"/>
        </w:rPr>
        <w:t xml:space="preserve">Birkhäuer J, Gaab J, Kossowsky J, Hasler S., Krummenacher P., Werner C., </w:t>
      </w:r>
      <w:r w:rsidRPr="003E104C">
        <w:rPr>
          <w:i/>
          <w:iCs/>
          <w:shd w:val="clear" w:color="auto" w:fill="FFFFFF"/>
        </w:rPr>
        <w:t>et al</w:t>
      </w:r>
      <w:r w:rsidRPr="003E104C">
        <w:rPr>
          <w:shd w:val="clear" w:color="auto" w:fill="FFFFFF"/>
        </w:rPr>
        <w:t xml:space="preserve">. (2017). Trust </w:t>
      </w:r>
      <w:r w:rsidRPr="003E104C">
        <w:rPr>
          <w:shd w:val="clear" w:color="auto" w:fill="FFFFFF"/>
        </w:rPr>
        <w:tab/>
        <w:t xml:space="preserve">in the health care professional and health outcome: A meta-analysis. </w:t>
      </w:r>
      <w:r w:rsidRPr="003E104C">
        <w:rPr>
          <w:i/>
          <w:iCs/>
          <w:shd w:val="clear" w:color="auto" w:fill="FFFFFF"/>
        </w:rPr>
        <w:t>PLoS ONE</w:t>
      </w:r>
      <w:r w:rsidRPr="003E104C">
        <w:rPr>
          <w:shd w:val="clear" w:color="auto" w:fill="FFFFFF"/>
        </w:rPr>
        <w:t xml:space="preserve"> 12(2): </w:t>
      </w:r>
      <w:r w:rsidRPr="003E104C">
        <w:rPr>
          <w:shd w:val="clear" w:color="auto" w:fill="FFFFFF"/>
        </w:rPr>
        <w:tab/>
        <w:t>e0170988.</w:t>
      </w:r>
      <w:hyperlink r:id="rId23" w:history="1">
        <w:r w:rsidRPr="003E104C">
          <w:rPr>
            <w:rStyle w:val="Hyperlink"/>
            <w:color w:val="auto"/>
            <w:shd w:val="clear" w:color="auto" w:fill="FFFFFF"/>
          </w:rPr>
          <w:t>https://doi.org/10.1371/journal.pone.0170988</w:t>
        </w:r>
      </w:hyperlink>
      <w:r w:rsidRPr="003E104C">
        <w:t xml:space="preserve">. </w:t>
      </w:r>
      <w:r w:rsidRPr="003E104C">
        <w:tab/>
      </w:r>
      <w:hyperlink r:id="rId24" w:history="1">
        <w:r w:rsidRPr="003E104C">
          <w:rPr>
            <w:rStyle w:val="Hyperlink"/>
            <w:color w:val="auto"/>
          </w:rPr>
          <w:t>https://htdhealth.com/insights/cultural-awareness-and-competence-in-healthcare/</w:t>
        </w:r>
      </w:hyperlink>
    </w:p>
    <w:p w14:paraId="609ACC2B" w14:textId="77777777" w:rsidR="003C481D" w:rsidRPr="003E104C" w:rsidRDefault="003C481D" w:rsidP="00A41AA5">
      <w:pPr>
        <w:spacing w:line="276" w:lineRule="auto"/>
        <w:jc w:val="both"/>
      </w:pPr>
      <w:r w:rsidRPr="003E104C">
        <w:rPr>
          <w:lang w:val="en-GB"/>
        </w:rPr>
        <w:lastRenderedPageBreak/>
        <w:t>Bore, M</w:t>
      </w:r>
      <w:r w:rsidRPr="003E104C">
        <w:t>.</w:t>
      </w:r>
      <w:r w:rsidRPr="003E104C">
        <w:rPr>
          <w:lang w:val="en-GB"/>
        </w:rPr>
        <w:t>K.</w:t>
      </w:r>
      <w:r w:rsidRPr="003E104C">
        <w:t xml:space="preserve"> and </w:t>
      </w:r>
      <w:r w:rsidRPr="003E104C">
        <w:rPr>
          <w:lang w:val="en-GB"/>
        </w:rPr>
        <w:t>Macharia, I</w:t>
      </w:r>
      <w:r w:rsidRPr="003E104C">
        <w:t xml:space="preserve">. (2022). </w:t>
      </w:r>
      <w:r w:rsidRPr="003E104C">
        <w:rPr>
          <w:lang w:val="en-GB"/>
        </w:rPr>
        <w:t xml:space="preserve">Strategic Direction and Financial Sustainability of Faith based </w:t>
      </w:r>
      <w:r w:rsidRPr="003E104C">
        <w:tab/>
      </w:r>
      <w:r w:rsidRPr="003E104C">
        <w:rPr>
          <w:lang w:val="en-GB"/>
        </w:rPr>
        <w:t>Organizations</w:t>
      </w:r>
      <w:r w:rsidRPr="003E104C">
        <w:t>.</w:t>
      </w:r>
      <w:r w:rsidRPr="003E104C">
        <w:rPr>
          <w:i/>
          <w:iCs/>
        </w:rPr>
        <w:t xml:space="preserve"> </w:t>
      </w:r>
      <w:r w:rsidRPr="003E104C">
        <w:rPr>
          <w:i/>
          <w:iCs/>
          <w:lang w:val="en-GB"/>
        </w:rPr>
        <w:t>International Journal of Scientific and Research Publications, Vol</w:t>
      </w:r>
      <w:r w:rsidRPr="003E104C">
        <w:rPr>
          <w:i/>
          <w:iCs/>
        </w:rPr>
        <w:t>.</w:t>
      </w:r>
      <w:r w:rsidRPr="003E104C">
        <w:rPr>
          <w:i/>
          <w:iCs/>
          <w:lang w:val="en-GB"/>
        </w:rPr>
        <w:t xml:space="preserve"> 12, </w:t>
      </w:r>
      <w:r w:rsidRPr="003E104C">
        <w:rPr>
          <w:i/>
          <w:iCs/>
        </w:rPr>
        <w:tab/>
      </w:r>
      <w:r w:rsidRPr="003E104C">
        <w:rPr>
          <w:i/>
          <w:iCs/>
          <w:lang w:val="en-GB"/>
        </w:rPr>
        <w:t>Issue 5</w:t>
      </w:r>
      <w:r w:rsidRPr="003E104C">
        <w:t>.</w:t>
      </w:r>
    </w:p>
    <w:p w14:paraId="2D978283" w14:textId="77777777" w:rsidR="003C481D" w:rsidRPr="003E104C" w:rsidRDefault="003C481D" w:rsidP="003C481D">
      <w:pPr>
        <w:spacing w:line="276" w:lineRule="auto"/>
        <w:jc w:val="both"/>
      </w:pPr>
      <w:r w:rsidRPr="003E104C">
        <w:rPr>
          <w:lang w:val="en-GB"/>
        </w:rPr>
        <w:t xml:space="preserve">Bowman, W. (2011b). Financial Capacity and Sustainability of Ordinary Nonprofits. Nonprofit </w:t>
      </w:r>
      <w:r w:rsidRPr="003E104C">
        <w:tab/>
      </w:r>
      <w:r w:rsidRPr="003E104C">
        <w:rPr>
          <w:lang w:val="en-GB"/>
        </w:rPr>
        <w:t>management and leadership, 22(1), 37-51.</w:t>
      </w:r>
    </w:p>
    <w:p w14:paraId="28769CDB" w14:textId="77777777" w:rsidR="003C481D" w:rsidRPr="003E104C" w:rsidRDefault="003C481D" w:rsidP="008B5035">
      <w:pPr>
        <w:spacing w:line="276" w:lineRule="auto"/>
      </w:pPr>
      <w:r w:rsidRPr="003E104C">
        <w:t>Cancer Prevention and Control Research Network [</w:t>
      </w:r>
      <w:r w:rsidRPr="003E104C">
        <w:rPr>
          <w:i/>
          <w:iCs/>
        </w:rPr>
        <w:t>CPCRN</w:t>
      </w:r>
      <w:r w:rsidRPr="003E104C">
        <w:t>] (</w:t>
      </w:r>
      <w:proofErr w:type="spellStart"/>
      <w:r w:rsidRPr="003E104C">
        <w:t>n.d</w:t>
      </w:r>
      <w:proofErr w:type="spellEnd"/>
      <w:r w:rsidRPr="003E104C">
        <w:t>)</w:t>
      </w:r>
      <w:r w:rsidRPr="003E104C">
        <w:rPr>
          <w:i/>
          <w:iCs/>
        </w:rPr>
        <w:t xml:space="preserve">. </w:t>
      </w:r>
      <w:r w:rsidRPr="003E104C">
        <w:t xml:space="preserve">Resource Dependency </w:t>
      </w:r>
      <w:r w:rsidRPr="003E104C">
        <w:tab/>
        <w:t xml:space="preserve">Theory Overview. Available at; </w:t>
      </w:r>
      <w:hyperlink r:id="rId25" w:history="1">
        <w:r w:rsidRPr="003E104C">
          <w:rPr>
            <w:rStyle w:val="Hyperlink"/>
            <w:color w:val="auto"/>
          </w:rPr>
          <w:t>https://cpcrn.org/cms/files/Resource Dependency Theory</w:t>
        </w:r>
      </w:hyperlink>
    </w:p>
    <w:p w14:paraId="696C390D" w14:textId="77777777" w:rsidR="003C481D" w:rsidRPr="003E104C" w:rsidRDefault="003C481D" w:rsidP="003C481D">
      <w:pPr>
        <w:spacing w:line="276" w:lineRule="auto"/>
        <w:jc w:val="both"/>
      </w:pPr>
      <w:proofErr w:type="spellStart"/>
      <w:r w:rsidRPr="003E104C">
        <w:rPr>
          <w:i/>
          <w:iCs/>
        </w:rPr>
        <w:t>ClinRegs</w:t>
      </w:r>
      <w:proofErr w:type="spellEnd"/>
      <w:r w:rsidRPr="003E104C">
        <w:t>. (</w:t>
      </w:r>
      <w:proofErr w:type="spellStart"/>
      <w:r w:rsidRPr="003E104C">
        <w:t>n.d</w:t>
      </w:r>
      <w:proofErr w:type="spellEnd"/>
      <w:r w:rsidRPr="003E104C">
        <w:t>). Clinical Research Regulation for Uganda</w:t>
      </w:r>
      <w:r w:rsidRPr="003E104C">
        <w:rPr>
          <w:i/>
          <w:iCs/>
        </w:rPr>
        <w:t xml:space="preserve">. </w:t>
      </w:r>
      <w:r w:rsidRPr="003E104C">
        <w:t>Available at</w:t>
      </w:r>
      <w:r w:rsidRPr="003E104C">
        <w:rPr>
          <w:i/>
          <w:iCs/>
        </w:rPr>
        <w:t xml:space="preserve"> </w:t>
      </w:r>
      <w:hyperlink w:history="1">
        <w:r w:rsidRPr="003E104C">
          <w:rPr>
            <w:rStyle w:val="Hyperlink"/>
            <w:color w:val="auto"/>
            <w:u w:val="none"/>
          </w:rPr>
          <w:t xml:space="preserve">https://clinregs. </w:t>
        </w:r>
        <w:r w:rsidRPr="003E104C">
          <w:rPr>
            <w:rStyle w:val="Hyperlink"/>
            <w:color w:val="auto"/>
            <w:u w:val="none"/>
          </w:rPr>
          <w:tab/>
          <w:t>niaid.nih.gov/country/</w:t>
        </w:r>
        <w:proofErr w:type="spellStart"/>
        <w:r w:rsidRPr="003E104C">
          <w:rPr>
            <w:rStyle w:val="Hyperlink"/>
            <w:color w:val="auto"/>
            <w:u w:val="none"/>
          </w:rPr>
          <w:t>uganda</w:t>
        </w:r>
        <w:proofErr w:type="spellEnd"/>
      </w:hyperlink>
    </w:p>
    <w:p w14:paraId="77D58A1A" w14:textId="77777777" w:rsidR="003C481D" w:rsidRPr="003E104C" w:rsidRDefault="003C481D" w:rsidP="003C481D">
      <w:pPr>
        <w:spacing w:line="276" w:lineRule="auto"/>
        <w:jc w:val="both"/>
      </w:pPr>
      <w:r w:rsidRPr="003E104C">
        <w:t>cphl.go.ug. (</w:t>
      </w:r>
      <w:proofErr w:type="spellStart"/>
      <w:r w:rsidRPr="003E104C">
        <w:t>n.d</w:t>
      </w:r>
      <w:proofErr w:type="spellEnd"/>
      <w:r w:rsidRPr="003E104C">
        <w:t xml:space="preserve">). </w:t>
      </w:r>
      <w:r w:rsidRPr="003E104C">
        <w:rPr>
          <w:i/>
          <w:iCs/>
        </w:rPr>
        <w:t xml:space="preserve">DHIS2 </w:t>
      </w:r>
      <w:r w:rsidRPr="003E104C">
        <w:t>User Manual Uganda</w:t>
      </w:r>
      <w:r w:rsidRPr="003E104C">
        <w:rPr>
          <w:i/>
          <w:iCs/>
        </w:rPr>
        <w:t>.</w:t>
      </w:r>
      <w:r w:rsidRPr="003E104C">
        <w:t xml:space="preserve"> Available at;</w:t>
      </w:r>
      <w:r w:rsidRPr="003E104C">
        <w:rPr>
          <w:i/>
          <w:iCs/>
        </w:rPr>
        <w:t xml:space="preserve"> </w:t>
      </w:r>
      <w:hyperlink r:id="rId26" w:history="1">
        <w:r w:rsidRPr="003E104C">
          <w:rPr>
            <w:rStyle w:val="Hyperlink"/>
            <w:color w:val="auto"/>
            <w:u w:val="none"/>
          </w:rPr>
          <w:t xml:space="preserve">https://www.cphl.go.ug/web/sites/ </w:t>
        </w:r>
        <w:r w:rsidRPr="003E104C">
          <w:rPr>
            <w:rStyle w:val="Hyperlink"/>
            <w:color w:val="auto"/>
            <w:u w:val="none"/>
          </w:rPr>
          <w:tab/>
          <w:t>default/files/2024-10/DHIS2 USER MANUAL UGANDA.pdf</w:t>
        </w:r>
      </w:hyperlink>
    </w:p>
    <w:p w14:paraId="561FF43D" w14:textId="77777777" w:rsidR="003C481D" w:rsidRPr="003E104C" w:rsidRDefault="003C481D" w:rsidP="003C481D">
      <w:pPr>
        <w:spacing w:line="276" w:lineRule="auto"/>
        <w:jc w:val="both"/>
      </w:pPr>
      <w:r w:rsidRPr="003E104C">
        <w:t>Curry, L. and Nunez-Smith, M. (2014). </w:t>
      </w:r>
      <w:r w:rsidRPr="003E104C">
        <w:rPr>
          <w:i/>
          <w:iCs/>
        </w:rPr>
        <w:t xml:space="preserve">Mixed methods in health sciences research: A practical </w:t>
      </w:r>
      <w:r w:rsidRPr="003E104C">
        <w:rPr>
          <w:i/>
          <w:iCs/>
        </w:rPr>
        <w:tab/>
        <w:t xml:space="preserve">primer (Vol. 1). </w:t>
      </w:r>
      <w:r w:rsidRPr="003E104C">
        <w:t xml:space="preserve">Sage publications. Available at; </w:t>
      </w:r>
      <w:hyperlink r:id="rId27" w:history="1">
        <w:r w:rsidRPr="003E104C">
          <w:rPr>
            <w:rStyle w:val="Hyperlink"/>
            <w:color w:val="auto"/>
          </w:rPr>
          <w:t xml:space="preserve">https://methods.sagepub.com/book/mono/ </w:t>
        </w:r>
        <w:r w:rsidRPr="003E104C">
          <w:rPr>
            <w:rStyle w:val="Hyperlink"/>
            <w:color w:val="auto"/>
          </w:rPr>
          <w:tab/>
          <w:t>preview/mixed-methods-in-health-sciences-research-a-practical-primer.pdf</w:t>
        </w:r>
      </w:hyperlink>
    </w:p>
    <w:p w14:paraId="22E9BE79" w14:textId="77777777" w:rsidR="003C481D" w:rsidRPr="003E104C" w:rsidRDefault="003C481D" w:rsidP="00DD0206">
      <w:pPr>
        <w:spacing w:line="23" w:lineRule="atLeast"/>
        <w:jc w:val="both"/>
      </w:pPr>
      <w:r w:rsidRPr="003E104C">
        <w:t xml:space="preserve">Dang, K., Ngoc, T., Van Nguyen, D. and Le, H.T.P. (2022). How Innovation and Ownership </w:t>
      </w:r>
      <w:r w:rsidRPr="003E104C">
        <w:tab/>
        <w:t xml:space="preserve">Concentration Affect the Financial Sustainability of Energy Enterprises: Evidence from a </w:t>
      </w:r>
      <w:r w:rsidRPr="003E104C">
        <w:tab/>
        <w:t xml:space="preserve">Transition Economy. </w:t>
      </w:r>
      <w:r w:rsidRPr="003E104C">
        <w:rPr>
          <w:i/>
          <w:iCs/>
        </w:rPr>
        <w:t>Heliyon</w:t>
      </w:r>
      <w:r w:rsidRPr="003E104C">
        <w:t xml:space="preserve">, </w:t>
      </w:r>
      <w:r w:rsidRPr="003E104C">
        <w:rPr>
          <w:i/>
          <w:iCs/>
        </w:rPr>
        <w:t>8</w:t>
      </w:r>
      <w:r w:rsidRPr="003E104C">
        <w:t xml:space="preserve">, e10474. </w:t>
      </w:r>
    </w:p>
    <w:p w14:paraId="7C3CFA86" w14:textId="77777777" w:rsidR="003C481D" w:rsidRPr="003E104C" w:rsidRDefault="003C481D" w:rsidP="00A41AA5">
      <w:pPr>
        <w:spacing w:line="276" w:lineRule="auto"/>
        <w:jc w:val="both"/>
      </w:pPr>
      <w:r w:rsidRPr="003E104C">
        <w:rPr>
          <w:lang w:val="en-GB"/>
        </w:rPr>
        <w:t>Ebenezer, A.A., Musah, A.</w:t>
      </w:r>
      <w:r w:rsidRPr="003E104C">
        <w:t xml:space="preserve"> and </w:t>
      </w:r>
      <w:r w:rsidRPr="003E104C">
        <w:rPr>
          <w:lang w:val="en-GB"/>
        </w:rPr>
        <w:t xml:space="preserve">Ahmed, I.A. (2020). Determinants of Financial Sustainability of </w:t>
      </w:r>
      <w:r w:rsidRPr="003E104C">
        <w:tab/>
      </w:r>
      <w:r w:rsidRPr="003E104C">
        <w:rPr>
          <w:lang w:val="en-GB"/>
        </w:rPr>
        <w:t xml:space="preserve">Non-Governmental Organizations in Ghana. </w:t>
      </w:r>
      <w:r w:rsidRPr="003E104C">
        <w:rPr>
          <w:i/>
          <w:iCs/>
          <w:lang w:val="en-GB"/>
        </w:rPr>
        <w:t>The Journal of Accounting and Management</w:t>
      </w:r>
      <w:r w:rsidRPr="003E104C">
        <w:rPr>
          <w:lang w:val="en-GB"/>
        </w:rPr>
        <w:t xml:space="preserve">, </w:t>
      </w:r>
      <w:r w:rsidRPr="003E104C">
        <w:tab/>
      </w:r>
      <w:r w:rsidRPr="003E104C">
        <w:rPr>
          <w:lang w:val="en-GB"/>
        </w:rPr>
        <w:t>10(1).</w:t>
      </w:r>
    </w:p>
    <w:p w14:paraId="4A63ED53" w14:textId="77777777" w:rsidR="003C481D" w:rsidRPr="003E104C" w:rsidRDefault="003C481D" w:rsidP="008B5035">
      <w:pPr>
        <w:spacing w:line="276" w:lineRule="auto"/>
      </w:pPr>
      <w:r w:rsidRPr="003E104C">
        <w:t xml:space="preserve">FasterCapital (2025). Specialty Hospital Diversity: Cultural Competence in Healthcare </w:t>
      </w:r>
      <w:r w:rsidRPr="003E104C">
        <w:tab/>
        <w:t xml:space="preserve">Marketing: Lessons from Specialty Hospitals. Available at; </w:t>
      </w:r>
      <w:r w:rsidRPr="003E104C">
        <w:tab/>
      </w:r>
      <w:hyperlink r:id="rId28" w:history="1">
        <w:r w:rsidRPr="003E104C">
          <w:rPr>
            <w:rStyle w:val="Hyperlink"/>
            <w:color w:val="auto"/>
            <w:u w:val="none"/>
          </w:rPr>
          <w:t>https://fastercapital.com/content/Specialty-Hospital-Diversity--Cultural-Competence-in-</w:t>
        </w:r>
        <w:r w:rsidRPr="003E104C">
          <w:rPr>
            <w:rStyle w:val="Hyperlink"/>
            <w:color w:val="auto"/>
            <w:u w:val="none"/>
          </w:rPr>
          <w:tab/>
          <w:t>Healthcare-Marketing--Lessons-from-Specialty-Hospitals.html</w:t>
        </w:r>
      </w:hyperlink>
    </w:p>
    <w:p w14:paraId="769472B9" w14:textId="77777777" w:rsidR="003C481D" w:rsidRPr="003E104C" w:rsidRDefault="003C481D" w:rsidP="008B5035">
      <w:pPr>
        <w:spacing w:line="276" w:lineRule="auto"/>
      </w:pPr>
      <w:proofErr w:type="spellStart"/>
      <w:r w:rsidRPr="003E104C">
        <w:t>FundsforNGOs</w:t>
      </w:r>
      <w:proofErr w:type="spellEnd"/>
      <w:r w:rsidRPr="003E104C">
        <w:t xml:space="preserve"> (2026).</w:t>
      </w:r>
      <w:r w:rsidRPr="003E104C">
        <w:rPr>
          <w:i/>
          <w:iCs/>
        </w:rPr>
        <w:t xml:space="preserve"> </w:t>
      </w:r>
      <w:r w:rsidRPr="003E104C">
        <w:t>10 Key Metrics to Share with Donors and Grant Agencies.</w:t>
      </w:r>
      <w:r w:rsidRPr="003E104C">
        <w:rPr>
          <w:i/>
          <w:iCs/>
        </w:rPr>
        <w:t xml:space="preserve"> Available </w:t>
      </w:r>
      <w:r w:rsidRPr="003E104C">
        <w:rPr>
          <w:i/>
          <w:iCs/>
        </w:rPr>
        <w:tab/>
        <w:t xml:space="preserve">at; </w:t>
      </w:r>
      <w:hyperlink r:id="rId29" w:history="1">
        <w:r w:rsidRPr="003E104C">
          <w:rPr>
            <w:rStyle w:val="Hyperlink"/>
            <w:color w:val="auto"/>
            <w:u w:val="none"/>
          </w:rPr>
          <w:t>https://www2.fundsforngos.org/articles-listicles/10-key-metrics-to-share-with-donors-</w:t>
        </w:r>
        <w:r w:rsidRPr="003E104C">
          <w:rPr>
            <w:rStyle w:val="Hyperlink"/>
            <w:color w:val="auto"/>
            <w:u w:val="none"/>
          </w:rPr>
          <w:tab/>
          <w:t>and-grant-agencies/</w:t>
        </w:r>
      </w:hyperlink>
    </w:p>
    <w:p w14:paraId="380220CA" w14:textId="77777777" w:rsidR="003C481D" w:rsidRPr="003E104C" w:rsidRDefault="003C481D" w:rsidP="00502F57">
      <w:pPr>
        <w:spacing w:line="276" w:lineRule="auto"/>
        <w:jc w:val="both"/>
      </w:pPr>
      <w:r w:rsidRPr="003E104C">
        <w:t xml:space="preserve">Government of Uganda (2001). </w:t>
      </w:r>
      <w:r w:rsidRPr="003E104C">
        <w:rPr>
          <w:i/>
          <w:iCs/>
        </w:rPr>
        <w:t>National Policy on Public Private Partnership in Health</w:t>
      </w:r>
      <w:r w:rsidRPr="003E104C">
        <w:t xml:space="preserve">. </w:t>
      </w:r>
      <w:r w:rsidRPr="003E104C">
        <w:tab/>
      </w:r>
      <w:hyperlink r:id="rId30" w:history="1">
        <w:r w:rsidRPr="003E104C">
          <w:rPr>
            <w:rStyle w:val="Hyperlink"/>
            <w:color w:val="auto"/>
            <w:u w:val="none"/>
          </w:rPr>
          <w:t xml:space="preserve">https://library.health.go.ug/sites/default/files/resources/National Policy on Public Private </w:t>
        </w:r>
        <w:r w:rsidRPr="003E104C">
          <w:rPr>
            <w:rStyle w:val="Hyperlink"/>
            <w:color w:val="auto"/>
            <w:u w:val="none"/>
          </w:rPr>
          <w:tab/>
          <w:t>Partnerships in Health Final Print_0.pdf</w:t>
        </w:r>
      </w:hyperlink>
    </w:p>
    <w:p w14:paraId="44B0A958" w14:textId="77777777" w:rsidR="003C481D" w:rsidRPr="003E104C" w:rsidRDefault="003C481D" w:rsidP="003C481D">
      <w:pPr>
        <w:spacing w:line="276" w:lineRule="auto"/>
        <w:jc w:val="both"/>
      </w:pPr>
      <w:r w:rsidRPr="003E104C">
        <w:t xml:space="preserve">Hansei Solutions (2026). Healthcare Patient Retention: Importance, Strategies, &amp; Calculation. </w:t>
      </w:r>
      <w:r w:rsidRPr="003E104C">
        <w:tab/>
        <w:t xml:space="preserve">Available at; </w:t>
      </w:r>
      <w:hyperlink r:id="rId31" w:history="1">
        <w:r w:rsidRPr="003E104C">
          <w:rPr>
            <w:rStyle w:val="Hyperlink"/>
            <w:color w:val="auto"/>
            <w:u w:val="none"/>
          </w:rPr>
          <w:t>https://hanseisolutions.com/healthcare-patient-retention-importance-</w:t>
        </w:r>
        <w:r w:rsidRPr="003E104C">
          <w:rPr>
            <w:rStyle w:val="Hyperlink"/>
            <w:color w:val="auto"/>
            <w:u w:val="none"/>
          </w:rPr>
          <w:tab/>
          <w:t>strategies-calculation/</w:t>
        </w:r>
      </w:hyperlink>
    </w:p>
    <w:p w14:paraId="485D6524" w14:textId="77777777" w:rsidR="003C481D" w:rsidRPr="003E104C" w:rsidRDefault="003C481D" w:rsidP="0040494E">
      <w:pPr>
        <w:spacing w:line="276" w:lineRule="auto"/>
        <w:jc w:val="both"/>
      </w:pPr>
      <w:r w:rsidRPr="003E104C">
        <w:t xml:space="preserve">Health Journalists Network Uganda (2025). Church Founded Health Facilities Warn of Financial </w:t>
      </w:r>
      <w:r w:rsidRPr="003E104C">
        <w:tab/>
        <w:t xml:space="preserve">Crisis as Donor Declines, December 9th. Available at. </w:t>
      </w:r>
      <w:hyperlink r:id="rId32" w:history="1">
        <w:r w:rsidRPr="003E104C">
          <w:rPr>
            <w:rStyle w:val="Hyperlink"/>
            <w:color w:val="auto"/>
          </w:rPr>
          <w:t>https://hejnu.ug/church-founded-</w:t>
        </w:r>
        <w:r w:rsidRPr="003E104C">
          <w:rPr>
            <w:rStyle w:val="Hyperlink"/>
            <w:color w:val="auto"/>
            <w:u w:val="none"/>
          </w:rPr>
          <w:tab/>
          <w:t>h</w:t>
        </w:r>
        <w:r w:rsidRPr="003E104C">
          <w:rPr>
            <w:rStyle w:val="Hyperlink"/>
            <w:color w:val="auto"/>
          </w:rPr>
          <w:t>ealth-facilities-warn-of-financial-crisis-as-donor-funding-declines/</w:t>
        </w:r>
      </w:hyperlink>
    </w:p>
    <w:p w14:paraId="41FDFD8E" w14:textId="77777777" w:rsidR="003C481D" w:rsidRPr="003E104C" w:rsidRDefault="003C481D" w:rsidP="00B168A1">
      <w:pPr>
        <w:spacing w:line="276" w:lineRule="auto"/>
        <w:jc w:val="both"/>
        <w:rPr>
          <w:rFonts w:ascii="Times-Roman" w:hAnsi="Times-Roman"/>
        </w:rPr>
      </w:pPr>
      <w:r w:rsidRPr="003E104C">
        <w:rPr>
          <w:rFonts w:ascii="Times-Roman" w:hAnsi="Times-Roman"/>
        </w:rPr>
        <w:t xml:space="preserve">Lee, Y., Sung, S. and Fan, X. (2025). Cultural competency education for healthcare professionals: </w:t>
      </w:r>
      <w:r w:rsidRPr="003E104C">
        <w:rPr>
          <w:rFonts w:ascii="Times-Roman" w:hAnsi="Times-Roman"/>
        </w:rPr>
        <w:tab/>
        <w:t>an umbrella review. </w:t>
      </w:r>
      <w:r w:rsidRPr="003E104C">
        <w:rPr>
          <w:rFonts w:ascii="Times-Roman" w:hAnsi="Times-Roman"/>
          <w:i/>
          <w:iCs/>
        </w:rPr>
        <w:t>BMC Medical Education</w:t>
      </w:r>
      <w:r w:rsidRPr="003E104C">
        <w:rPr>
          <w:rFonts w:ascii="Times-Roman" w:hAnsi="Times-Roman"/>
        </w:rPr>
        <w:t>, </w:t>
      </w:r>
      <w:r w:rsidRPr="003E104C">
        <w:rPr>
          <w:rFonts w:ascii="Times-Roman" w:hAnsi="Times-Roman"/>
          <w:i/>
          <w:iCs/>
        </w:rPr>
        <w:t>25</w:t>
      </w:r>
      <w:r w:rsidRPr="003E104C">
        <w:rPr>
          <w:rFonts w:ascii="Times-Roman" w:hAnsi="Times-Roman"/>
        </w:rPr>
        <w:t>(1), 1445.</w:t>
      </w:r>
    </w:p>
    <w:p w14:paraId="47F50481" w14:textId="77777777" w:rsidR="003C481D" w:rsidRPr="003E104C" w:rsidRDefault="003C481D" w:rsidP="003C481D">
      <w:pPr>
        <w:spacing w:line="276" w:lineRule="auto"/>
        <w:jc w:val="both"/>
      </w:pPr>
      <w:r w:rsidRPr="003E104C">
        <w:t>Liane S., Pia</w:t>
      </w:r>
      <w:r w:rsidRPr="003E104C">
        <w:noBreakHyphen/>
        <w:t xml:space="preserve">Theresa S., Beck, P., Zohra K, Lisa P. and Meryam S. (2022). Organisational and </w:t>
      </w:r>
      <w:r w:rsidRPr="003E104C">
        <w:tab/>
        <w:t xml:space="preserve">staff-related effects on cultural competence in the hospital setting: a cross-sectional online </w:t>
      </w:r>
      <w:r w:rsidRPr="003E104C">
        <w:tab/>
        <w:t>survey of nursing and medical staff.</w:t>
      </w:r>
      <w:r w:rsidRPr="003E104C">
        <w:rPr>
          <w:i/>
          <w:iCs/>
        </w:rPr>
        <w:t> BMC Health Services Research, </w:t>
      </w:r>
      <w:r w:rsidRPr="003E104C">
        <w:rPr>
          <w:b/>
          <w:bCs/>
          <w:i/>
          <w:iCs/>
        </w:rPr>
        <w:t>22</w:t>
      </w:r>
      <w:r w:rsidRPr="003E104C">
        <w:rPr>
          <w:i/>
          <w:iCs/>
        </w:rPr>
        <w:t xml:space="preserve">, 644. </w:t>
      </w:r>
      <w:r w:rsidRPr="003E104C">
        <w:rPr>
          <w:i/>
          <w:iCs/>
        </w:rPr>
        <w:lastRenderedPageBreak/>
        <w:tab/>
      </w:r>
      <w:hyperlink r:id="rId33" w:history="1">
        <w:r w:rsidRPr="003E104C">
          <w:rPr>
            <w:rStyle w:val="Hyperlink"/>
            <w:i/>
            <w:iCs/>
            <w:color w:val="auto"/>
            <w:u w:val="none"/>
          </w:rPr>
          <w:t>https://doi.org/10.1186/s12913-022-07947</w:t>
        </w:r>
      </w:hyperlink>
      <w:r w:rsidRPr="003E104C">
        <w:rPr>
          <w:i/>
          <w:iCs/>
        </w:rPr>
        <w:t xml:space="preserve">; Available at </w:t>
      </w:r>
      <w:hyperlink r:id="rId34" w:history="1">
        <w:r w:rsidRPr="003E104C">
          <w:rPr>
            <w:rStyle w:val="Hyperlink"/>
            <w:color w:val="auto"/>
            <w:u w:val="none"/>
          </w:rPr>
          <w:t xml:space="preserve">https://link.springer.com/article/ </w:t>
        </w:r>
        <w:r w:rsidRPr="003E104C">
          <w:rPr>
            <w:rStyle w:val="Hyperlink"/>
            <w:color w:val="auto"/>
            <w:u w:val="none"/>
          </w:rPr>
          <w:tab/>
          <w:t>10.1186/s 12913-022-07947-x</w:t>
        </w:r>
      </w:hyperlink>
    </w:p>
    <w:p w14:paraId="1DBAB37D" w14:textId="77777777" w:rsidR="003C481D" w:rsidRPr="003E104C" w:rsidRDefault="003C481D" w:rsidP="003C481D">
      <w:pPr>
        <w:spacing w:line="276" w:lineRule="auto"/>
        <w:jc w:val="both"/>
      </w:pPr>
      <w:proofErr w:type="spellStart"/>
      <w:r w:rsidRPr="003E104C">
        <w:t>Lubaga</w:t>
      </w:r>
      <w:proofErr w:type="spellEnd"/>
      <w:r w:rsidRPr="003E104C">
        <w:t xml:space="preserve"> Hospital (2022). Annual Report 2021/2022. Available at;  </w:t>
      </w:r>
      <w:r w:rsidRPr="003E104C">
        <w:tab/>
      </w:r>
      <w:hyperlink r:id="rId35" w:history="1">
        <w:r w:rsidRPr="003E104C">
          <w:rPr>
            <w:rStyle w:val="Hyperlink"/>
            <w:color w:val="auto"/>
            <w:u w:val="none"/>
          </w:rPr>
          <w:t>https://lubagahospital.org/reports/</w:t>
        </w:r>
      </w:hyperlink>
    </w:p>
    <w:p w14:paraId="1E848819" w14:textId="77777777" w:rsidR="003C481D" w:rsidRPr="003E104C" w:rsidRDefault="003C481D" w:rsidP="00B168A1">
      <w:pPr>
        <w:spacing w:line="276" w:lineRule="auto"/>
        <w:jc w:val="both"/>
        <w:rPr>
          <w:rFonts w:ascii="Times-Roman" w:hAnsi="Times-Roman"/>
        </w:rPr>
      </w:pPr>
      <w:r w:rsidRPr="003E104C">
        <w:rPr>
          <w:rFonts w:ascii="Times-Roman" w:hAnsi="Times-Roman"/>
        </w:rPr>
        <w:t xml:space="preserve">Majda, A., Bodys-Cupak, I.E., Zalewska-Puchała, J. and Barzykowski, K. (2021). Cultural </w:t>
      </w:r>
      <w:r w:rsidRPr="003E104C">
        <w:rPr>
          <w:rFonts w:ascii="Times-Roman" w:hAnsi="Times-Roman"/>
        </w:rPr>
        <w:tab/>
        <w:t xml:space="preserve">Competence and Cultural Intelligence of Healthcare Professionals Providing Emergency </w:t>
      </w:r>
      <w:r w:rsidRPr="003E104C">
        <w:rPr>
          <w:rFonts w:ascii="Times-Roman" w:hAnsi="Times-Roman"/>
        </w:rPr>
        <w:tab/>
        <w:t xml:space="preserve">Medical Services. </w:t>
      </w:r>
      <w:r w:rsidRPr="003E104C">
        <w:rPr>
          <w:rFonts w:ascii="Times-Roman" w:hAnsi="Times-Roman"/>
          <w:i/>
          <w:iCs/>
        </w:rPr>
        <w:t>Int. J. Environ. Res. Public Health</w:t>
      </w:r>
      <w:r w:rsidRPr="003E104C">
        <w:rPr>
          <w:rFonts w:ascii="Times-Roman" w:hAnsi="Times-Roman"/>
        </w:rPr>
        <w:t xml:space="preserve">, </w:t>
      </w:r>
      <w:r w:rsidRPr="003E104C">
        <w:rPr>
          <w:rFonts w:ascii="Times-Roman" w:hAnsi="Times-Roman"/>
          <w:i/>
          <w:iCs/>
        </w:rPr>
        <w:t>18</w:t>
      </w:r>
      <w:r w:rsidRPr="003E104C">
        <w:rPr>
          <w:rFonts w:ascii="Times-Roman" w:hAnsi="Times-Roman"/>
        </w:rPr>
        <w:t>, 11547.</w:t>
      </w:r>
    </w:p>
    <w:p w14:paraId="5D65D7B6" w14:textId="77777777" w:rsidR="003C481D" w:rsidRPr="003E104C" w:rsidRDefault="003C481D" w:rsidP="003C481D">
      <w:pPr>
        <w:spacing w:line="276" w:lineRule="auto"/>
        <w:jc w:val="both"/>
      </w:pPr>
      <w:proofErr w:type="spellStart"/>
      <w:r w:rsidRPr="003E104C">
        <w:rPr>
          <w:lang w:val="en-GB"/>
        </w:rPr>
        <w:t>Mawudor</w:t>
      </w:r>
      <w:proofErr w:type="spellEnd"/>
      <w:r w:rsidRPr="003E104C">
        <w:rPr>
          <w:lang w:val="en-GB"/>
        </w:rPr>
        <w:t xml:space="preserve">, B.G. (2016). Financial Sustainability of Church related Organizations: An Empirical </w:t>
      </w:r>
      <w:r w:rsidRPr="003E104C">
        <w:tab/>
      </w:r>
      <w:r w:rsidRPr="003E104C">
        <w:rPr>
          <w:lang w:val="en-GB"/>
        </w:rPr>
        <w:t xml:space="preserve">Study on Kenya. University of Basel. </w:t>
      </w:r>
    </w:p>
    <w:p w14:paraId="2711368A" w14:textId="77777777" w:rsidR="003C481D" w:rsidRPr="003E104C" w:rsidRDefault="003C481D" w:rsidP="003C481D">
      <w:pPr>
        <w:spacing w:line="276" w:lineRule="auto"/>
        <w:jc w:val="both"/>
      </w:pPr>
      <w:r w:rsidRPr="003E104C">
        <w:t>Mengo Hospital (</w:t>
      </w:r>
      <w:proofErr w:type="spellStart"/>
      <w:r w:rsidRPr="003E104C">
        <w:t>n.d</w:t>
      </w:r>
      <w:proofErr w:type="spellEnd"/>
      <w:r w:rsidRPr="003E104C">
        <w:t xml:space="preserve">). Directorate of Finance. Available at </w:t>
      </w:r>
      <w:r w:rsidRPr="003E104C">
        <w:tab/>
      </w:r>
      <w:hyperlink r:id="rId36" w:history="1">
        <w:r w:rsidRPr="003E104C">
          <w:rPr>
            <w:rStyle w:val="Hyperlink"/>
            <w:color w:val="auto"/>
          </w:rPr>
          <w:t>https://mengohospital.org/directorate/directorate-of-finance/</w:t>
        </w:r>
      </w:hyperlink>
    </w:p>
    <w:p w14:paraId="5A66024E" w14:textId="77777777" w:rsidR="003C481D" w:rsidRPr="003E104C" w:rsidRDefault="003C481D" w:rsidP="003C481D">
      <w:pPr>
        <w:spacing w:line="276" w:lineRule="auto"/>
        <w:jc w:val="both"/>
      </w:pPr>
      <w:r w:rsidRPr="003E104C">
        <w:rPr>
          <w:lang w:val="en-GB"/>
        </w:rPr>
        <w:t xml:space="preserve">Milelu, E. (2018). Factors Affecting Financial Sustainability for Non-governmental Organizations </w:t>
      </w:r>
      <w:r w:rsidRPr="003E104C">
        <w:tab/>
      </w:r>
      <w:r w:rsidRPr="003E104C">
        <w:rPr>
          <w:lang w:val="en-GB"/>
        </w:rPr>
        <w:t>in Nairobi, Kenya. United States International University-Africa</w:t>
      </w:r>
      <w:r w:rsidRPr="003E104C">
        <w:t>.</w:t>
      </w:r>
    </w:p>
    <w:p w14:paraId="167350B1" w14:textId="77777777" w:rsidR="003C481D" w:rsidRPr="003E104C" w:rsidRDefault="003C481D" w:rsidP="003C481D">
      <w:pPr>
        <w:spacing w:line="276" w:lineRule="auto"/>
        <w:jc w:val="both"/>
      </w:pPr>
      <w:r w:rsidRPr="003E104C">
        <w:t>Ministry of Health Uganda (2024). Annual Health Sector Performance Report</w:t>
      </w:r>
      <w:r w:rsidRPr="003E104C">
        <w:rPr>
          <w:i/>
          <w:iCs/>
        </w:rPr>
        <w:t xml:space="preserve"> 2023/24</w:t>
      </w:r>
      <w:r w:rsidRPr="003E104C">
        <w:t xml:space="preserve">. </w:t>
      </w:r>
      <w:r w:rsidRPr="003E104C">
        <w:tab/>
        <w:t xml:space="preserve">Available at; </w:t>
      </w:r>
      <w:hyperlink r:id="rId37" w:history="1">
        <w:r w:rsidRPr="003E104C">
          <w:rPr>
            <w:rStyle w:val="Hyperlink"/>
            <w:color w:val="auto"/>
            <w:u w:val="none"/>
          </w:rPr>
          <w:t xml:space="preserve">https://library.health.go.ug/sites/default/files/resources/Annual Health Sector </w:t>
        </w:r>
        <w:r w:rsidRPr="003E104C">
          <w:rPr>
            <w:rStyle w:val="Hyperlink"/>
            <w:color w:val="auto"/>
            <w:u w:val="none"/>
          </w:rPr>
          <w:tab/>
          <w:t>Performance Report FY 2023_24.pdf</w:t>
        </w:r>
      </w:hyperlink>
    </w:p>
    <w:p w14:paraId="60EB4E6C" w14:textId="77777777" w:rsidR="003C481D" w:rsidRPr="003E104C" w:rsidRDefault="003C481D" w:rsidP="003C481D">
      <w:pPr>
        <w:spacing w:line="276" w:lineRule="auto"/>
        <w:jc w:val="both"/>
      </w:pPr>
      <w:r w:rsidRPr="003E104C">
        <w:t xml:space="preserve">Ministry of Health Uganda (2024). Health Sub Programme Grant, Budget and Implementation </w:t>
      </w:r>
      <w:r w:rsidRPr="003E104C">
        <w:tab/>
        <w:t xml:space="preserve">Guidelines for Local Governments. </w:t>
      </w:r>
      <w:hyperlink r:id="rId38" w:history="1">
        <w:r w:rsidRPr="003E104C">
          <w:rPr>
            <w:rStyle w:val="Hyperlink"/>
            <w:color w:val="auto"/>
            <w:u w:val="none"/>
          </w:rPr>
          <w:t xml:space="preserve">https://pallisa.go.ug/sites/default/files/Health Sub </w:t>
        </w:r>
        <w:r w:rsidRPr="003E104C">
          <w:rPr>
            <w:rStyle w:val="Hyperlink"/>
            <w:color w:val="auto"/>
            <w:u w:val="none"/>
          </w:rPr>
          <w:tab/>
          <w:t>Programme Budget and Grant Guidelines 01.06.2023.pdf</w:t>
        </w:r>
      </w:hyperlink>
    </w:p>
    <w:p w14:paraId="3E2C60F2" w14:textId="77777777" w:rsidR="003C481D" w:rsidRPr="003E104C" w:rsidRDefault="003C481D" w:rsidP="003C481D">
      <w:pPr>
        <w:spacing w:line="276" w:lineRule="auto"/>
        <w:jc w:val="both"/>
      </w:pPr>
      <w:r w:rsidRPr="003E104C">
        <w:t xml:space="preserve">Ministry of Health, Ministry of Finance, Planning &amp; Economic Development, World Bank and </w:t>
      </w:r>
      <w:r w:rsidRPr="003E104C">
        <w:tab/>
        <w:t xml:space="preserve">Makerere University (2000). </w:t>
      </w:r>
      <w:r w:rsidRPr="003E104C">
        <w:rPr>
          <w:i/>
          <w:iCs/>
        </w:rPr>
        <w:t>Facility Patient Exit Poll Questionnaire</w:t>
      </w:r>
      <w:r w:rsidRPr="003E104C">
        <w:t xml:space="preserve">. Available at; </w:t>
      </w:r>
      <w:r w:rsidRPr="003E104C">
        <w:tab/>
      </w:r>
      <w:hyperlink r:id="rId39" w:history="1">
        <w:r w:rsidRPr="003E104C">
          <w:rPr>
            <w:rStyle w:val="Hyperlink"/>
            <w:color w:val="auto"/>
          </w:rPr>
          <w:t>https://microdata.worldbank.org/catalog/860/download/19322</w:t>
        </w:r>
      </w:hyperlink>
    </w:p>
    <w:p w14:paraId="47900A57" w14:textId="77777777" w:rsidR="003C481D" w:rsidRPr="003E104C" w:rsidRDefault="003C481D" w:rsidP="00DD0206">
      <w:pPr>
        <w:spacing w:line="23" w:lineRule="atLeast"/>
        <w:jc w:val="both"/>
      </w:pPr>
      <w:r w:rsidRPr="003E104C">
        <w:t xml:space="preserve">Mubeen, M. and Hanif, M.N. (2017). Sustainable Growth of Nonfinancial Firms: Micro </w:t>
      </w:r>
      <w:r w:rsidRPr="003E104C">
        <w:tab/>
        <w:t xml:space="preserve">econometric Evidence from Pakistan. </w:t>
      </w:r>
      <w:r w:rsidRPr="003E104C">
        <w:rPr>
          <w:i/>
          <w:iCs/>
        </w:rPr>
        <w:t>Pakistan Bussiness Review</w:t>
      </w:r>
      <w:r w:rsidRPr="003E104C">
        <w:t xml:space="preserve">, </w:t>
      </w:r>
      <w:r w:rsidRPr="003E104C">
        <w:rPr>
          <w:i/>
          <w:iCs/>
        </w:rPr>
        <w:t>19</w:t>
      </w:r>
      <w:r w:rsidRPr="003E104C">
        <w:t xml:space="preserve">, 630–648. </w:t>
      </w:r>
    </w:p>
    <w:p w14:paraId="7BE9910E" w14:textId="77777777" w:rsidR="003C481D" w:rsidRPr="003E104C" w:rsidRDefault="003C481D" w:rsidP="003C481D">
      <w:pPr>
        <w:spacing w:line="276" w:lineRule="auto"/>
        <w:jc w:val="both"/>
      </w:pPr>
      <w:r w:rsidRPr="003E104C">
        <w:t xml:space="preserve">Mugisha, J. (2004). Reduction of user fees in the private-not-for-profit hospitals in Uganda: </w:t>
      </w:r>
      <w:r w:rsidRPr="003E104C">
        <w:tab/>
        <w:t>Implications for equity and sustainability</w:t>
      </w:r>
      <w:r w:rsidRPr="003E104C">
        <w:rPr>
          <w:i/>
          <w:iCs/>
        </w:rPr>
        <w:t xml:space="preserve">. Health Policy and Development Journal, </w:t>
      </w:r>
      <w:r w:rsidRPr="003E104C">
        <w:t xml:space="preserve">Vol. 2, </w:t>
      </w:r>
      <w:r w:rsidRPr="003E104C">
        <w:tab/>
        <w:t xml:space="preserve">No. 3, </w:t>
      </w:r>
      <w:r w:rsidRPr="003E104C">
        <w:rPr>
          <w:i/>
          <w:iCs/>
        </w:rPr>
        <w:t xml:space="preserve">pp.209-216. </w:t>
      </w:r>
      <w:hyperlink r:id="rId40" w:history="1">
        <w:r w:rsidRPr="003E104C">
          <w:rPr>
            <w:rStyle w:val="Hyperlink"/>
            <w:color w:val="auto"/>
          </w:rPr>
          <w:t>https://ir.umu.ac.ug/items/29e37b5b-68f3-4738-b2f6-0e3a8893cd08</w:t>
        </w:r>
      </w:hyperlink>
    </w:p>
    <w:p w14:paraId="4A6EC40A" w14:textId="77777777" w:rsidR="003C481D" w:rsidRPr="003E104C" w:rsidRDefault="003C481D" w:rsidP="008B5035">
      <w:pPr>
        <w:spacing w:line="276" w:lineRule="auto"/>
      </w:pPr>
      <w:hyperlink r:id="rId41" w:history="1">
        <w:r w:rsidRPr="003E104C">
          <w:rPr>
            <w:rStyle w:val="Hyperlink"/>
            <w:color w:val="auto"/>
            <w:u w:val="none"/>
          </w:rPr>
          <w:t>Nyongesa S.</w:t>
        </w:r>
      </w:hyperlink>
      <w:r w:rsidRPr="003E104C">
        <w:t xml:space="preserve"> (2024). The Best Mission Hospitals in Uganda</w:t>
      </w:r>
      <w:r w:rsidRPr="003E104C">
        <w:rPr>
          <w:i/>
          <w:iCs/>
        </w:rPr>
        <w:t xml:space="preserve">. </w:t>
      </w:r>
      <w:proofErr w:type="spellStart"/>
      <w:r w:rsidRPr="003E104C">
        <w:rPr>
          <w:i/>
          <w:iCs/>
        </w:rPr>
        <w:t>UgandaLiving</w:t>
      </w:r>
      <w:proofErr w:type="spellEnd"/>
      <w:r w:rsidRPr="003E104C">
        <w:t xml:space="preserve">. Available at; </w:t>
      </w:r>
      <w:r w:rsidRPr="003E104C">
        <w:tab/>
      </w:r>
      <w:hyperlink r:id="rId42" w:history="1">
        <w:r w:rsidRPr="003E104C">
          <w:rPr>
            <w:rStyle w:val="Hyperlink"/>
            <w:color w:val="auto"/>
          </w:rPr>
          <w:t>https://www.ugandaliving.com/241/the-best-mission-hospitals-in-uganda/</w:t>
        </w:r>
      </w:hyperlink>
    </w:p>
    <w:p w14:paraId="16639A83" w14:textId="77777777" w:rsidR="003C481D" w:rsidRPr="003E104C" w:rsidRDefault="003C481D" w:rsidP="00502F57">
      <w:pPr>
        <w:spacing w:line="276" w:lineRule="auto"/>
        <w:jc w:val="both"/>
      </w:pPr>
      <w:r w:rsidRPr="003E104C">
        <w:t xml:space="preserve">Orach, S.O. (n.d). Is there a case for contracting health services delivery to PNFPs in Uganda. </w:t>
      </w:r>
      <w:r w:rsidRPr="003E104C">
        <w:tab/>
        <w:t xml:space="preserve">Available at; </w:t>
      </w:r>
      <w:hyperlink r:id="rId43" w:history="1">
        <w:r w:rsidRPr="003E104C">
          <w:rPr>
            <w:rStyle w:val="Hyperlink"/>
            <w:color w:val="auto"/>
          </w:rPr>
          <w:t>https://ucmb.co.ug/?smd_process_download=1&amp;download_id=1562</w:t>
        </w:r>
      </w:hyperlink>
    </w:p>
    <w:p w14:paraId="062B5621" w14:textId="77777777" w:rsidR="003C481D" w:rsidRPr="003E104C" w:rsidRDefault="003C481D" w:rsidP="003C481D">
      <w:pPr>
        <w:spacing w:line="276" w:lineRule="auto"/>
        <w:jc w:val="both"/>
      </w:pPr>
      <w:r w:rsidRPr="003E104C">
        <w:t xml:space="preserve">Pfeffer, J., &amp; </w:t>
      </w:r>
      <w:proofErr w:type="spellStart"/>
      <w:r w:rsidRPr="003E104C">
        <w:t>Salancik</w:t>
      </w:r>
      <w:proofErr w:type="spellEnd"/>
      <w:r w:rsidRPr="003E104C">
        <w:t xml:space="preserve">, G. R. (1978). The External Control of Organizations: A Resource </w:t>
      </w:r>
      <w:r w:rsidRPr="003E104C">
        <w:tab/>
        <w:t>Dependence Perspective. Harper &amp; Row.</w:t>
      </w:r>
    </w:p>
    <w:p w14:paraId="4793EEDA" w14:textId="77777777" w:rsidR="003C481D" w:rsidRPr="003E104C" w:rsidRDefault="003C481D" w:rsidP="00A41AA5">
      <w:pPr>
        <w:jc w:val="both"/>
      </w:pPr>
      <w:proofErr w:type="spellStart"/>
      <w:r w:rsidRPr="003E104C">
        <w:rPr>
          <w:lang w:val="en-GB"/>
        </w:rPr>
        <w:t>Przychodzen</w:t>
      </w:r>
      <w:proofErr w:type="spellEnd"/>
      <w:r w:rsidRPr="003E104C">
        <w:rPr>
          <w:lang w:val="en-GB"/>
        </w:rPr>
        <w:t>, J.</w:t>
      </w:r>
      <w:r w:rsidRPr="003E104C">
        <w:t xml:space="preserve"> and</w:t>
      </w:r>
      <w:r w:rsidRPr="003E104C">
        <w:rPr>
          <w:lang w:val="en-GB"/>
        </w:rPr>
        <w:t xml:space="preserve"> </w:t>
      </w:r>
      <w:proofErr w:type="spellStart"/>
      <w:r w:rsidRPr="003E104C">
        <w:rPr>
          <w:lang w:val="en-GB"/>
        </w:rPr>
        <w:t>Przychodzen</w:t>
      </w:r>
      <w:proofErr w:type="spellEnd"/>
      <w:r w:rsidRPr="003E104C">
        <w:rPr>
          <w:lang w:val="en-GB"/>
        </w:rPr>
        <w:t>, W.</w:t>
      </w:r>
      <w:r w:rsidRPr="003E104C">
        <w:t xml:space="preserve"> (2013).</w:t>
      </w:r>
      <w:r w:rsidRPr="003E104C">
        <w:rPr>
          <w:lang w:val="en-GB"/>
        </w:rPr>
        <w:t xml:space="preserve"> Corporate Sustainability and Shareholder Wealth. </w:t>
      </w:r>
      <w:r w:rsidRPr="003E104C">
        <w:rPr>
          <w:lang w:val="en-GB"/>
        </w:rPr>
        <w:tab/>
      </w:r>
      <w:r w:rsidRPr="003E104C">
        <w:rPr>
          <w:i/>
          <w:iCs/>
          <w:lang w:val="en-GB"/>
        </w:rPr>
        <w:t>J</w:t>
      </w:r>
      <w:r w:rsidRPr="003E104C">
        <w:rPr>
          <w:i/>
          <w:iCs/>
        </w:rPr>
        <w:t>ournal of</w:t>
      </w:r>
      <w:r w:rsidRPr="003E104C">
        <w:rPr>
          <w:i/>
          <w:iCs/>
          <w:lang w:val="en-GB"/>
        </w:rPr>
        <w:t xml:space="preserve"> Environ</w:t>
      </w:r>
      <w:r w:rsidRPr="003E104C">
        <w:rPr>
          <w:i/>
          <w:iCs/>
        </w:rPr>
        <w:t>ment</w:t>
      </w:r>
      <w:r w:rsidRPr="003E104C">
        <w:rPr>
          <w:i/>
          <w:iCs/>
          <w:lang w:val="en-GB"/>
        </w:rPr>
        <w:t xml:space="preserve"> Plan</w:t>
      </w:r>
      <w:r w:rsidRPr="003E104C">
        <w:rPr>
          <w:i/>
          <w:iCs/>
        </w:rPr>
        <w:t>ning and</w:t>
      </w:r>
      <w:r w:rsidRPr="003E104C">
        <w:rPr>
          <w:i/>
          <w:iCs/>
          <w:lang w:val="en-GB"/>
        </w:rPr>
        <w:t xml:space="preserve"> Manag</w:t>
      </w:r>
      <w:r w:rsidRPr="003E104C">
        <w:rPr>
          <w:i/>
          <w:iCs/>
        </w:rPr>
        <w:t>ement,</w:t>
      </w:r>
      <w:r w:rsidRPr="003E104C">
        <w:rPr>
          <w:i/>
          <w:iCs/>
          <w:lang w:val="en-GB"/>
        </w:rPr>
        <w:t xml:space="preserve"> 56</w:t>
      </w:r>
      <w:r w:rsidRPr="003E104C">
        <w:rPr>
          <w:lang w:val="en-GB"/>
        </w:rPr>
        <w:t>, 474–493.</w:t>
      </w:r>
    </w:p>
    <w:p w14:paraId="113F0A3F" w14:textId="77777777" w:rsidR="003C481D" w:rsidRPr="003E104C" w:rsidRDefault="003C481D" w:rsidP="00502F57">
      <w:pPr>
        <w:spacing w:line="276" w:lineRule="auto"/>
        <w:jc w:val="both"/>
      </w:pPr>
      <w:r w:rsidRPr="003E104C">
        <w:t>Purnell, L. (2024). Purnell Model for Cultural Competence.</w:t>
      </w:r>
      <w:r w:rsidRPr="003E104C">
        <w:rPr>
          <w:i/>
          <w:iCs/>
        </w:rPr>
        <w:t xml:space="preserve"> EBSCO</w:t>
      </w:r>
      <w:r w:rsidRPr="003E104C">
        <w:t xml:space="preserve">. Available at;  </w:t>
      </w:r>
      <w:r w:rsidRPr="003E104C">
        <w:tab/>
      </w:r>
      <w:hyperlink r:id="rId44" w:history="1">
        <w:r w:rsidRPr="003E104C">
          <w:rPr>
            <w:rStyle w:val="Hyperlink"/>
            <w:color w:val="auto"/>
            <w:u w:val="none"/>
          </w:rPr>
          <w:t>https://www.ebsco.com/research-starters/nursing-and-allied-health/purnell-model-</w:t>
        </w:r>
        <w:r w:rsidRPr="003E104C">
          <w:rPr>
            <w:rStyle w:val="Hyperlink"/>
            <w:color w:val="auto"/>
            <w:u w:val="none"/>
          </w:rPr>
          <w:tab/>
          <w:t>cultural-competence</w:t>
        </w:r>
      </w:hyperlink>
    </w:p>
    <w:p w14:paraId="3A78DFB0" w14:textId="77777777" w:rsidR="003C481D" w:rsidRPr="003E104C" w:rsidRDefault="003C481D" w:rsidP="00502F57">
      <w:pPr>
        <w:spacing w:line="276" w:lineRule="auto"/>
        <w:jc w:val="both"/>
      </w:pPr>
      <w:r w:rsidRPr="003E104C">
        <w:t xml:space="preserve">Quality Interactions (2024). The Business Case for Cultural Competence in Healthcare. Available </w:t>
      </w:r>
      <w:r w:rsidRPr="003E104C">
        <w:tab/>
        <w:t xml:space="preserve">at; </w:t>
      </w:r>
      <w:hyperlink r:id="rId45" w:history="1">
        <w:r w:rsidRPr="003E104C">
          <w:rPr>
            <w:rStyle w:val="Hyperlink"/>
            <w:color w:val="auto"/>
            <w:u w:val="none"/>
          </w:rPr>
          <w:t>https://www.qualityinteractions.com/blog/the-business-case-for-cultural-competence-</w:t>
        </w:r>
        <w:r w:rsidRPr="003E104C">
          <w:rPr>
            <w:rStyle w:val="Hyperlink"/>
            <w:color w:val="auto"/>
            <w:u w:val="none"/>
          </w:rPr>
          <w:tab/>
          <w:t>in-healthcare</w:t>
        </w:r>
      </w:hyperlink>
    </w:p>
    <w:p w14:paraId="4A2A43BF" w14:textId="77777777" w:rsidR="003C481D" w:rsidRPr="003E104C" w:rsidRDefault="003C481D" w:rsidP="00502F57">
      <w:pPr>
        <w:spacing w:line="276" w:lineRule="auto"/>
        <w:jc w:val="both"/>
      </w:pPr>
      <w:r w:rsidRPr="003E104C">
        <w:lastRenderedPageBreak/>
        <w:t xml:space="preserve">Question (2025). How Can Ngo Diversify Funding Sources? Available at; </w:t>
      </w:r>
      <w:r w:rsidRPr="003E104C">
        <w:tab/>
      </w:r>
      <w:hyperlink r:id="rId46" w:history="1">
        <w:r w:rsidRPr="003E104C">
          <w:rPr>
            <w:rStyle w:val="Hyperlink"/>
            <w:color w:val="auto"/>
          </w:rPr>
          <w:t>https://esg.sustainability-directory.com/question/how-can-ngo-diversify-funding-sources/</w:t>
        </w:r>
      </w:hyperlink>
    </w:p>
    <w:p w14:paraId="5275C3F0" w14:textId="77777777" w:rsidR="003C481D" w:rsidRPr="003E104C" w:rsidRDefault="003C481D" w:rsidP="003C481D">
      <w:pPr>
        <w:spacing w:line="276" w:lineRule="auto"/>
        <w:jc w:val="both"/>
      </w:pPr>
      <w:r w:rsidRPr="003E104C">
        <w:t xml:space="preserve">Rana, K. and </w:t>
      </w:r>
      <w:proofErr w:type="spellStart"/>
      <w:r w:rsidRPr="003E104C">
        <w:t>Chimoriya</w:t>
      </w:r>
      <w:proofErr w:type="spellEnd"/>
      <w:r w:rsidRPr="003E104C">
        <w:t xml:space="preserve">, R. (2025). A Guide to a Mixed-Methods Approach to Healthcare </w:t>
      </w:r>
      <w:r w:rsidRPr="003E104C">
        <w:tab/>
        <w:t>Research.</w:t>
      </w:r>
      <w:r w:rsidRPr="003E104C">
        <w:rPr>
          <w:i/>
          <w:iCs/>
        </w:rPr>
        <w:t xml:space="preserve"> Encyclopedia, 5(2), 51. </w:t>
      </w:r>
      <w:hyperlink r:id="rId47" w:history="1">
        <w:r w:rsidRPr="003E104C">
          <w:rPr>
            <w:rStyle w:val="Hyperlink"/>
            <w:i/>
            <w:iCs/>
            <w:color w:val="auto"/>
          </w:rPr>
          <w:t>https://doi.org/10.3390/encyclopedia5020051</w:t>
        </w:r>
      </w:hyperlink>
      <w:r w:rsidRPr="003E104C">
        <w:rPr>
          <w:i/>
          <w:iCs/>
        </w:rPr>
        <w:t xml:space="preserve">. </w:t>
      </w:r>
    </w:p>
    <w:p w14:paraId="0AEAA7F5" w14:textId="77777777" w:rsidR="003C481D" w:rsidRPr="003E104C" w:rsidRDefault="003C481D" w:rsidP="003C481D">
      <w:pPr>
        <w:spacing w:line="276" w:lineRule="auto"/>
        <w:jc w:val="both"/>
      </w:pPr>
      <w:r w:rsidRPr="003E104C">
        <w:t xml:space="preserve">Renoir, M. and Guttentag, M. (2018). Facilitating Financial Sustainability: Understanding the </w:t>
      </w:r>
      <w:r w:rsidRPr="003E104C">
        <w:tab/>
        <w:t>Drivers of CSO Financial Sustainability. Retrieved from</w:t>
      </w:r>
    </w:p>
    <w:p w14:paraId="673A0658" w14:textId="77777777" w:rsidR="003C481D" w:rsidRPr="003E104C" w:rsidRDefault="003C481D" w:rsidP="00DD0206">
      <w:r w:rsidRPr="003E104C">
        <w:t xml:space="preserve">Ryszawska, B. (2016). Sustainability Transition Needs Sustainable Finance. </w:t>
      </w:r>
      <w:r w:rsidRPr="003E104C">
        <w:rPr>
          <w:i/>
          <w:iCs/>
        </w:rPr>
        <w:t xml:space="preserve">Copernican Journal </w:t>
      </w:r>
      <w:r w:rsidRPr="003E104C">
        <w:rPr>
          <w:i/>
          <w:iCs/>
        </w:rPr>
        <w:tab/>
        <w:t xml:space="preserve">of Finance &amp; Accounting </w:t>
      </w:r>
      <w:r w:rsidRPr="003E104C">
        <w:t>5 (1): 185–94.</w:t>
      </w:r>
    </w:p>
    <w:p w14:paraId="38123B7B" w14:textId="77777777" w:rsidR="003C481D" w:rsidRPr="003E104C" w:rsidRDefault="003C481D" w:rsidP="003C481D">
      <w:pPr>
        <w:spacing w:line="276" w:lineRule="auto"/>
        <w:jc w:val="both"/>
      </w:pPr>
      <w:r w:rsidRPr="003E104C">
        <w:t xml:space="preserve">Sequence Health (2025). </w:t>
      </w:r>
      <w:r w:rsidRPr="003E104C">
        <w:rPr>
          <w:i/>
          <w:iCs/>
        </w:rPr>
        <w:t>What is Patient Retention in Healthcare &amp; Why It's Important</w:t>
      </w:r>
      <w:r w:rsidRPr="003E104C">
        <w:t xml:space="preserve">. </w:t>
      </w:r>
      <w:r w:rsidRPr="003E104C">
        <w:tab/>
        <w:t xml:space="preserve">Available at; </w:t>
      </w:r>
      <w:hyperlink r:id="rId48" w:history="1">
        <w:r w:rsidRPr="003E104C">
          <w:rPr>
            <w:rStyle w:val="Hyperlink"/>
            <w:color w:val="auto"/>
            <w:u w:val="none"/>
          </w:rPr>
          <w:t>https://www.sequencehealth.com/blog/what-is-patient-retention-and-why-</w:t>
        </w:r>
        <w:r w:rsidRPr="003E104C">
          <w:rPr>
            <w:rStyle w:val="Hyperlink"/>
            <w:color w:val="auto"/>
            <w:u w:val="none"/>
          </w:rPr>
          <w:tab/>
          <w:t>does-it-matter-for-your-practice</w:t>
        </w:r>
      </w:hyperlink>
    </w:p>
    <w:p w14:paraId="2E80AB89" w14:textId="77777777" w:rsidR="003C481D" w:rsidRPr="003E104C" w:rsidRDefault="003C481D" w:rsidP="00502F57">
      <w:pPr>
        <w:spacing w:line="276" w:lineRule="auto"/>
        <w:jc w:val="both"/>
      </w:pPr>
      <w:r w:rsidRPr="003E104C">
        <w:t xml:space="preserve">Siobhán O., Ciarán, M. and Aoife, F. (2026). Cultural competence and its effect on patient trust </w:t>
      </w:r>
      <w:r w:rsidRPr="003E104C">
        <w:tab/>
        <w:t xml:space="preserve">and satisfaction in multicultural healthcare environments. </w:t>
      </w:r>
      <w:r w:rsidRPr="003E104C">
        <w:rPr>
          <w:i/>
          <w:iCs/>
        </w:rPr>
        <w:t xml:space="preserve">Journal of Patient Care and </w:t>
      </w:r>
      <w:r w:rsidRPr="003E104C">
        <w:rPr>
          <w:i/>
          <w:iCs/>
        </w:rPr>
        <w:tab/>
        <w:t>Nursing Practice</w:t>
      </w:r>
      <w:r w:rsidRPr="003E104C">
        <w:t>; 1(1): 55-62. Available at;</w:t>
      </w:r>
      <w:r w:rsidRPr="003E104C">
        <w:rPr>
          <w:i/>
          <w:iCs/>
        </w:rPr>
        <w:t xml:space="preserve"> </w:t>
      </w:r>
      <w:r w:rsidRPr="003E104C">
        <w:rPr>
          <w:i/>
          <w:iCs/>
        </w:rPr>
        <w:tab/>
      </w:r>
      <w:hyperlink r:id="rId49" w:history="1">
        <w:r w:rsidRPr="003E104C">
          <w:rPr>
            <w:rStyle w:val="Hyperlink"/>
            <w:color w:val="auto"/>
          </w:rPr>
          <w:t>https://www.nursingcarejournal.info/archives/2026/vol1issue1/PartA/1-1-9-642.pdf</w:t>
        </w:r>
      </w:hyperlink>
    </w:p>
    <w:p w14:paraId="1941760C" w14:textId="77777777" w:rsidR="003C481D" w:rsidRPr="003E104C" w:rsidRDefault="003C481D" w:rsidP="003C481D">
      <w:pPr>
        <w:spacing w:line="276" w:lineRule="auto"/>
        <w:jc w:val="both"/>
      </w:pPr>
      <w:r w:rsidRPr="003E104C">
        <w:t xml:space="preserve">Uganda National Council for Science and Technology (UNCST, 2025). National Guidelines for </w:t>
      </w:r>
      <w:r w:rsidRPr="003E104C">
        <w:tab/>
        <w:t xml:space="preserve">Research Involving Humans as Research Participants. Available at; </w:t>
      </w:r>
      <w:hyperlink w:history="1">
        <w:r w:rsidRPr="003E104C">
          <w:rPr>
            <w:rStyle w:val="Hyperlink"/>
            <w:color w:val="auto"/>
          </w:rPr>
          <w:t xml:space="preserve">https://www.uncst.go. </w:t>
        </w:r>
        <w:r w:rsidRPr="003E104C">
          <w:rPr>
            <w:rStyle w:val="Hyperlink"/>
            <w:color w:val="auto"/>
          </w:rPr>
          <w:tab/>
          <w:t xml:space="preserve">ug/files/downloads/National Guidelines For Research Involving Humans As Research </w:t>
        </w:r>
        <w:r w:rsidRPr="003E104C">
          <w:rPr>
            <w:rStyle w:val="Hyperlink"/>
            <w:color w:val="auto"/>
          </w:rPr>
          <w:tab/>
          <w:t>Participants 2025.pdf</w:t>
        </w:r>
      </w:hyperlink>
    </w:p>
    <w:p w14:paraId="7F5A6493" w14:textId="77777777" w:rsidR="003C481D" w:rsidRPr="003E104C" w:rsidRDefault="003C481D" w:rsidP="003C481D">
      <w:pPr>
        <w:spacing w:line="276" w:lineRule="auto"/>
        <w:jc w:val="both"/>
      </w:pPr>
      <w:r w:rsidRPr="003E104C">
        <w:t>UNHCR (</w:t>
      </w:r>
      <w:proofErr w:type="spellStart"/>
      <w:r w:rsidRPr="003E104C">
        <w:t>n.d</w:t>
      </w:r>
      <w:proofErr w:type="spellEnd"/>
      <w:r w:rsidRPr="003E104C">
        <w:t>). Key Informant Interview Guide</w:t>
      </w:r>
      <w:r w:rsidRPr="003E104C">
        <w:rPr>
          <w:i/>
          <w:iCs/>
        </w:rPr>
        <w:t>-I-TECH</w:t>
      </w:r>
      <w:r w:rsidRPr="003E104C">
        <w:t xml:space="preserve">. Available at; </w:t>
      </w:r>
      <w:r w:rsidRPr="003E104C">
        <w:tab/>
      </w:r>
      <w:hyperlink r:id="rId50" w:history="1">
        <w:r w:rsidRPr="003E104C">
          <w:rPr>
            <w:rStyle w:val="Hyperlink"/>
            <w:color w:val="auto"/>
            <w:u w:val="none"/>
          </w:rPr>
          <w:t>https://www.go2itech.org/HTML/TT06/toolkit/assessment/print/AssessTrnNeeds/KeyInf</w:t>
        </w:r>
        <w:r w:rsidRPr="003E104C">
          <w:rPr>
            <w:rStyle w:val="Hyperlink"/>
            <w:color w:val="auto"/>
            <w:u w:val="none"/>
          </w:rPr>
          <w:tab/>
          <w:t>ormantGuide.doc</w:t>
        </w:r>
      </w:hyperlink>
    </w:p>
    <w:p w14:paraId="49D160C6" w14:textId="77777777" w:rsidR="003C481D" w:rsidRPr="003E104C" w:rsidRDefault="003C481D" w:rsidP="003C481D">
      <w:pPr>
        <w:spacing w:line="276" w:lineRule="auto"/>
        <w:jc w:val="both"/>
      </w:pPr>
      <w:r w:rsidRPr="003E104C">
        <w:t>UNHCR Africa (</w:t>
      </w:r>
      <w:proofErr w:type="spellStart"/>
      <w:r w:rsidRPr="003E104C">
        <w:t>n.d</w:t>
      </w:r>
      <w:proofErr w:type="spellEnd"/>
      <w:r w:rsidRPr="003E104C">
        <w:t xml:space="preserve">). Key informant interview tool. Available at;  </w:t>
      </w:r>
      <w:r w:rsidRPr="003E104C">
        <w:tab/>
      </w:r>
      <w:hyperlink r:id="rId51" w:history="1">
        <w:r w:rsidRPr="003E104C">
          <w:rPr>
            <w:rStyle w:val="Hyperlink"/>
            <w:color w:val="auto"/>
            <w:u w:val="none"/>
          </w:rPr>
          <w:t>https://www.unhcr.org/africa/publications/key-informant-interview-tool</w:t>
        </w:r>
      </w:hyperlink>
    </w:p>
    <w:p w14:paraId="007A7210" w14:textId="77777777" w:rsidR="003C481D" w:rsidRPr="003E104C" w:rsidRDefault="003C481D" w:rsidP="003C481D">
      <w:pPr>
        <w:spacing w:line="276" w:lineRule="auto"/>
        <w:jc w:val="both"/>
      </w:pPr>
      <w:r w:rsidRPr="003E104C">
        <w:t xml:space="preserve">Weech-Maldonado, R., Dreachslin, J.L., Epané, J.P., Gail, J., Gupta, S., and Wainio, J.A. (2018). </w:t>
      </w:r>
      <w:r w:rsidRPr="003E104C">
        <w:tab/>
        <w:t xml:space="preserve">Hospital cultural competency as a systematic organizational intervention: Key findings </w:t>
      </w:r>
      <w:r w:rsidRPr="003E104C">
        <w:tab/>
        <w:t>from the national centre for healthcare leadership diversity demonstration project.</w:t>
      </w:r>
      <w:r w:rsidRPr="003E104C">
        <w:rPr>
          <w:i/>
          <w:iCs/>
        </w:rPr>
        <w:t xml:space="preserve"> Health </w:t>
      </w:r>
      <w:r w:rsidRPr="003E104C">
        <w:rPr>
          <w:i/>
          <w:iCs/>
        </w:rPr>
        <w:tab/>
        <w:t xml:space="preserve">Care Management Review, 43(1), 30–41. </w:t>
      </w:r>
      <w:hyperlink r:id="rId52" w:history="1">
        <w:r w:rsidRPr="003E104C">
          <w:rPr>
            <w:rStyle w:val="Hyperlink"/>
            <w:i/>
            <w:iCs/>
            <w:color w:val="auto"/>
          </w:rPr>
          <w:t>https://www.jstor.org/stable/48516391</w:t>
        </w:r>
      </w:hyperlink>
      <w:r w:rsidRPr="003E104C">
        <w:rPr>
          <w:i/>
          <w:iCs/>
        </w:rPr>
        <w:t xml:space="preserve">; </w:t>
      </w:r>
    </w:p>
    <w:p w14:paraId="74767307" w14:textId="77777777" w:rsidR="003C481D" w:rsidRPr="003E104C" w:rsidRDefault="003C481D" w:rsidP="00DD0206">
      <w:r w:rsidRPr="003E104C">
        <w:t xml:space="preserve">Wu, Z., Gao, J., Luo, C., Xu, H. and Shi, G. (2024). How Does Boardroom Diversity Influence the </w:t>
      </w:r>
      <w:r w:rsidRPr="003E104C">
        <w:tab/>
        <w:t xml:space="preserve">Relationship between ESG and Firm Financial Performance? </w:t>
      </w:r>
      <w:r w:rsidRPr="003E104C">
        <w:rPr>
          <w:i/>
          <w:iCs/>
        </w:rPr>
        <w:t xml:space="preserve">Internation Review in </w:t>
      </w:r>
      <w:r w:rsidRPr="003E104C">
        <w:rPr>
          <w:i/>
          <w:iCs/>
        </w:rPr>
        <w:tab/>
        <w:t>Economics and Finance</w:t>
      </w:r>
      <w:r w:rsidRPr="003E104C">
        <w:t xml:space="preserve">, </w:t>
      </w:r>
      <w:r w:rsidRPr="003E104C">
        <w:rPr>
          <w:i/>
          <w:iCs/>
        </w:rPr>
        <w:t>89</w:t>
      </w:r>
      <w:r w:rsidRPr="003E104C">
        <w:t>, 713–730.</w:t>
      </w:r>
    </w:p>
    <w:p w14:paraId="7F27BB9E" w14:textId="77777777" w:rsidR="003C481D" w:rsidRPr="003E104C" w:rsidRDefault="003C481D" w:rsidP="00F44B8D">
      <w:pPr>
        <w:spacing w:line="276" w:lineRule="auto"/>
        <w:jc w:val="both"/>
        <w:rPr>
          <w:rFonts w:ascii="Times-Roman" w:hAnsi="Times-Roman"/>
        </w:rPr>
      </w:pPr>
      <w:r w:rsidRPr="003E104C">
        <w:rPr>
          <w:rFonts w:ascii="Times-Roman" w:hAnsi="Times-Roman"/>
        </w:rPr>
        <w:t xml:space="preserve">Zarzycka, D., Chrzan-Rodak, A., Niedorys-Kaczmarczyk, B. and Slusarska, B. N. (2020). Cultural </w:t>
      </w:r>
      <w:r w:rsidRPr="003E104C">
        <w:rPr>
          <w:rFonts w:ascii="Times-Roman" w:hAnsi="Times-Roman"/>
        </w:rPr>
        <w:tab/>
        <w:t xml:space="preserve">Competence-cultural adaptation and validation of the Polish version of the Nurse Cultural </w:t>
      </w:r>
      <w:r w:rsidRPr="003E104C">
        <w:rPr>
          <w:rFonts w:ascii="Times-Roman" w:hAnsi="Times-Roman"/>
        </w:rPr>
        <w:tab/>
        <w:t>Competence Scale and preliminary research results. PLoS ONE, 15, e0240884</w:t>
      </w:r>
    </w:p>
    <w:p w14:paraId="32DB0C74" w14:textId="77777777" w:rsidR="00CB063F" w:rsidRPr="003E104C" w:rsidRDefault="00CB063F" w:rsidP="00DD0206">
      <w:pPr>
        <w:spacing w:line="276" w:lineRule="auto"/>
      </w:pPr>
    </w:p>
    <w:p w14:paraId="2DC4EDD9" w14:textId="77777777" w:rsidR="00CB6803" w:rsidRPr="003E104C" w:rsidRDefault="00CB6803" w:rsidP="008B5035">
      <w:pPr>
        <w:spacing w:line="276" w:lineRule="auto"/>
      </w:pPr>
    </w:p>
    <w:sectPr w:rsidR="00CB6803" w:rsidRPr="003E104C" w:rsidSect="00E71ED7">
      <w:footerReference w:type="default" r:id="rId53"/>
      <w:pgSz w:w="12240" w:h="15840"/>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EDF0" w14:textId="77777777" w:rsidR="007845AA" w:rsidRDefault="007845AA" w:rsidP="007C6A5F">
      <w:r>
        <w:separator/>
      </w:r>
    </w:p>
  </w:endnote>
  <w:endnote w:type="continuationSeparator" w:id="0">
    <w:p w14:paraId="56E38A49" w14:textId="77777777" w:rsidR="007845AA" w:rsidRDefault="007845AA" w:rsidP="007C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863503"/>
      <w:docPartObj>
        <w:docPartGallery w:val="Page Numbers (Bottom of Page)"/>
        <w:docPartUnique/>
      </w:docPartObj>
    </w:sdtPr>
    <w:sdtEndPr>
      <w:rPr>
        <w:noProof/>
      </w:rPr>
    </w:sdtEndPr>
    <w:sdtContent>
      <w:p w14:paraId="16371430" w14:textId="7179AB32" w:rsidR="007C6A5F" w:rsidRDefault="007C6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4940" w14:textId="77777777" w:rsidR="007C6A5F" w:rsidRDefault="007C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AE23" w14:textId="77777777" w:rsidR="007845AA" w:rsidRDefault="007845AA" w:rsidP="007C6A5F">
      <w:r>
        <w:separator/>
      </w:r>
    </w:p>
  </w:footnote>
  <w:footnote w:type="continuationSeparator" w:id="0">
    <w:p w14:paraId="6A96B4BE" w14:textId="77777777" w:rsidR="007845AA" w:rsidRDefault="007845AA" w:rsidP="007C6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0906"/>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3FD9"/>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A6E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1B331E1"/>
    <w:multiLevelType w:val="hybridMultilevel"/>
    <w:tmpl w:val="4956CFC2"/>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7E1F47"/>
    <w:multiLevelType w:val="hybridMultilevel"/>
    <w:tmpl w:val="4A18F3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B84B3E"/>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74CF0"/>
    <w:multiLevelType w:val="multilevel"/>
    <w:tmpl w:val="BDD0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D514FE"/>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E7AE1"/>
    <w:multiLevelType w:val="hybridMultilevel"/>
    <w:tmpl w:val="B39E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79D23DF"/>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458CC"/>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994165">
    <w:abstractNumId w:val="5"/>
  </w:num>
  <w:num w:numId="2" w16cid:durableId="2128547916">
    <w:abstractNumId w:val="7"/>
  </w:num>
  <w:num w:numId="3" w16cid:durableId="1176269070">
    <w:abstractNumId w:val="10"/>
  </w:num>
  <w:num w:numId="4" w16cid:durableId="1312563671">
    <w:abstractNumId w:val="9"/>
  </w:num>
  <w:num w:numId="5" w16cid:durableId="637758188">
    <w:abstractNumId w:val="1"/>
  </w:num>
  <w:num w:numId="6" w16cid:durableId="1520507837">
    <w:abstractNumId w:val="0"/>
  </w:num>
  <w:num w:numId="7" w16cid:durableId="390466752">
    <w:abstractNumId w:val="6"/>
  </w:num>
  <w:num w:numId="8" w16cid:durableId="99180898">
    <w:abstractNumId w:val="2"/>
  </w:num>
  <w:num w:numId="9" w16cid:durableId="320088768">
    <w:abstractNumId w:val="4"/>
  </w:num>
  <w:num w:numId="10" w16cid:durableId="818493702">
    <w:abstractNumId w:val="8"/>
  </w:num>
  <w:num w:numId="11" w16cid:durableId="1397630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F"/>
    <w:rsid w:val="00002747"/>
    <w:rsid w:val="00021EC7"/>
    <w:rsid w:val="000264A6"/>
    <w:rsid w:val="00026ED6"/>
    <w:rsid w:val="00027D4A"/>
    <w:rsid w:val="00083E4F"/>
    <w:rsid w:val="00096D52"/>
    <w:rsid w:val="000A2012"/>
    <w:rsid w:val="000B3C82"/>
    <w:rsid w:val="000D56CA"/>
    <w:rsid w:val="000F1329"/>
    <w:rsid w:val="00107BCA"/>
    <w:rsid w:val="001105B2"/>
    <w:rsid w:val="00110EB3"/>
    <w:rsid w:val="00126549"/>
    <w:rsid w:val="00131A12"/>
    <w:rsid w:val="00137C03"/>
    <w:rsid w:val="00151EAD"/>
    <w:rsid w:val="00153090"/>
    <w:rsid w:val="0016252D"/>
    <w:rsid w:val="00170AB7"/>
    <w:rsid w:val="0017772B"/>
    <w:rsid w:val="00182D96"/>
    <w:rsid w:val="001855BD"/>
    <w:rsid w:val="001901F8"/>
    <w:rsid w:val="001A2B09"/>
    <w:rsid w:val="001B422E"/>
    <w:rsid w:val="001B7EB3"/>
    <w:rsid w:val="001C1EEA"/>
    <w:rsid w:val="00202FA0"/>
    <w:rsid w:val="002079C6"/>
    <w:rsid w:val="00207D5C"/>
    <w:rsid w:val="00211BBC"/>
    <w:rsid w:val="002166B5"/>
    <w:rsid w:val="00223379"/>
    <w:rsid w:val="002363BF"/>
    <w:rsid w:val="00240B36"/>
    <w:rsid w:val="00257199"/>
    <w:rsid w:val="002627D7"/>
    <w:rsid w:val="0026523B"/>
    <w:rsid w:val="00267EC3"/>
    <w:rsid w:val="002755A8"/>
    <w:rsid w:val="002B3AF6"/>
    <w:rsid w:val="002B7B5B"/>
    <w:rsid w:val="002E2351"/>
    <w:rsid w:val="002E5EF0"/>
    <w:rsid w:val="002F35D9"/>
    <w:rsid w:val="00306AF1"/>
    <w:rsid w:val="00321CFF"/>
    <w:rsid w:val="00342341"/>
    <w:rsid w:val="003475F7"/>
    <w:rsid w:val="003652D6"/>
    <w:rsid w:val="00381018"/>
    <w:rsid w:val="00383F47"/>
    <w:rsid w:val="003A0932"/>
    <w:rsid w:val="003A6CC0"/>
    <w:rsid w:val="003C481D"/>
    <w:rsid w:val="003C7492"/>
    <w:rsid w:val="003D7279"/>
    <w:rsid w:val="003E104C"/>
    <w:rsid w:val="003F1204"/>
    <w:rsid w:val="003F2FD9"/>
    <w:rsid w:val="003F7EB9"/>
    <w:rsid w:val="0040494E"/>
    <w:rsid w:val="00422664"/>
    <w:rsid w:val="00422898"/>
    <w:rsid w:val="00430688"/>
    <w:rsid w:val="004436A9"/>
    <w:rsid w:val="0045056C"/>
    <w:rsid w:val="004539EF"/>
    <w:rsid w:val="004623CB"/>
    <w:rsid w:val="0048460D"/>
    <w:rsid w:val="004851B9"/>
    <w:rsid w:val="00487859"/>
    <w:rsid w:val="0049265B"/>
    <w:rsid w:val="00495EC2"/>
    <w:rsid w:val="004A4C10"/>
    <w:rsid w:val="004A7B3F"/>
    <w:rsid w:val="004C78F5"/>
    <w:rsid w:val="004D71E3"/>
    <w:rsid w:val="004F3092"/>
    <w:rsid w:val="004F661D"/>
    <w:rsid w:val="005006A9"/>
    <w:rsid w:val="00502F57"/>
    <w:rsid w:val="00514614"/>
    <w:rsid w:val="00521C46"/>
    <w:rsid w:val="005232A4"/>
    <w:rsid w:val="00524FCC"/>
    <w:rsid w:val="00532F1B"/>
    <w:rsid w:val="00550D81"/>
    <w:rsid w:val="00556B9D"/>
    <w:rsid w:val="005579CF"/>
    <w:rsid w:val="005657A0"/>
    <w:rsid w:val="00597B07"/>
    <w:rsid w:val="005A1450"/>
    <w:rsid w:val="005C6EEF"/>
    <w:rsid w:val="005D208D"/>
    <w:rsid w:val="005F122A"/>
    <w:rsid w:val="005F2196"/>
    <w:rsid w:val="005F448B"/>
    <w:rsid w:val="00620799"/>
    <w:rsid w:val="00620CCA"/>
    <w:rsid w:val="00620CF6"/>
    <w:rsid w:val="006315EC"/>
    <w:rsid w:val="006452AE"/>
    <w:rsid w:val="00650529"/>
    <w:rsid w:val="00652A5E"/>
    <w:rsid w:val="006822C8"/>
    <w:rsid w:val="006A67C3"/>
    <w:rsid w:val="006A78DC"/>
    <w:rsid w:val="006B3C96"/>
    <w:rsid w:val="006B5742"/>
    <w:rsid w:val="006C24A4"/>
    <w:rsid w:val="006C444A"/>
    <w:rsid w:val="006D36DB"/>
    <w:rsid w:val="0071033D"/>
    <w:rsid w:val="007151EC"/>
    <w:rsid w:val="00715A14"/>
    <w:rsid w:val="007233CB"/>
    <w:rsid w:val="007263A1"/>
    <w:rsid w:val="00735750"/>
    <w:rsid w:val="00746863"/>
    <w:rsid w:val="00761B61"/>
    <w:rsid w:val="00764093"/>
    <w:rsid w:val="007661AE"/>
    <w:rsid w:val="007817BB"/>
    <w:rsid w:val="007845AA"/>
    <w:rsid w:val="00785926"/>
    <w:rsid w:val="00794FA4"/>
    <w:rsid w:val="007A2EF1"/>
    <w:rsid w:val="007B35AE"/>
    <w:rsid w:val="007C6A5F"/>
    <w:rsid w:val="007D0992"/>
    <w:rsid w:val="007D3D7C"/>
    <w:rsid w:val="007F5709"/>
    <w:rsid w:val="00813E2A"/>
    <w:rsid w:val="008218FC"/>
    <w:rsid w:val="008315C4"/>
    <w:rsid w:val="0084541A"/>
    <w:rsid w:val="00852F5B"/>
    <w:rsid w:val="00857555"/>
    <w:rsid w:val="00857814"/>
    <w:rsid w:val="00857F5B"/>
    <w:rsid w:val="00876F17"/>
    <w:rsid w:val="008803E2"/>
    <w:rsid w:val="00882C5B"/>
    <w:rsid w:val="008912EF"/>
    <w:rsid w:val="008A2651"/>
    <w:rsid w:val="008A353E"/>
    <w:rsid w:val="008B5035"/>
    <w:rsid w:val="008C28B0"/>
    <w:rsid w:val="008C46C5"/>
    <w:rsid w:val="008D11E4"/>
    <w:rsid w:val="008D7E16"/>
    <w:rsid w:val="008F6771"/>
    <w:rsid w:val="0090077F"/>
    <w:rsid w:val="009034DF"/>
    <w:rsid w:val="009108EE"/>
    <w:rsid w:val="00920B44"/>
    <w:rsid w:val="00923A7E"/>
    <w:rsid w:val="0093541A"/>
    <w:rsid w:val="00935728"/>
    <w:rsid w:val="0094391C"/>
    <w:rsid w:val="00953538"/>
    <w:rsid w:val="0095459A"/>
    <w:rsid w:val="00962B34"/>
    <w:rsid w:val="00962C15"/>
    <w:rsid w:val="00982C67"/>
    <w:rsid w:val="009A7EE6"/>
    <w:rsid w:val="009B0621"/>
    <w:rsid w:val="009C1974"/>
    <w:rsid w:val="009E1636"/>
    <w:rsid w:val="009F1E80"/>
    <w:rsid w:val="009F4259"/>
    <w:rsid w:val="00A00CB1"/>
    <w:rsid w:val="00A01E3D"/>
    <w:rsid w:val="00A06E5E"/>
    <w:rsid w:val="00A12F9A"/>
    <w:rsid w:val="00A16F37"/>
    <w:rsid w:val="00A41AA5"/>
    <w:rsid w:val="00A437F4"/>
    <w:rsid w:val="00A44F43"/>
    <w:rsid w:val="00A5030D"/>
    <w:rsid w:val="00A56202"/>
    <w:rsid w:val="00A6377C"/>
    <w:rsid w:val="00A66EC3"/>
    <w:rsid w:val="00AB1676"/>
    <w:rsid w:val="00AF0E7F"/>
    <w:rsid w:val="00B01BA8"/>
    <w:rsid w:val="00B127DD"/>
    <w:rsid w:val="00B15E48"/>
    <w:rsid w:val="00B1660F"/>
    <w:rsid w:val="00B168A1"/>
    <w:rsid w:val="00B17104"/>
    <w:rsid w:val="00B200F1"/>
    <w:rsid w:val="00B25311"/>
    <w:rsid w:val="00B31203"/>
    <w:rsid w:val="00B57394"/>
    <w:rsid w:val="00B81DB4"/>
    <w:rsid w:val="00B8445C"/>
    <w:rsid w:val="00B86F3F"/>
    <w:rsid w:val="00B87CFA"/>
    <w:rsid w:val="00B91A1C"/>
    <w:rsid w:val="00B9468C"/>
    <w:rsid w:val="00BB2DC4"/>
    <w:rsid w:val="00BC3DBA"/>
    <w:rsid w:val="00BD0D7E"/>
    <w:rsid w:val="00BD10E2"/>
    <w:rsid w:val="00BF5868"/>
    <w:rsid w:val="00BF6F55"/>
    <w:rsid w:val="00C02259"/>
    <w:rsid w:val="00C06259"/>
    <w:rsid w:val="00C11CCE"/>
    <w:rsid w:val="00C17CE9"/>
    <w:rsid w:val="00C219C0"/>
    <w:rsid w:val="00C23DFB"/>
    <w:rsid w:val="00C53A62"/>
    <w:rsid w:val="00C56850"/>
    <w:rsid w:val="00C60546"/>
    <w:rsid w:val="00C74CF9"/>
    <w:rsid w:val="00CA0A92"/>
    <w:rsid w:val="00CA3043"/>
    <w:rsid w:val="00CB063F"/>
    <w:rsid w:val="00CB43DA"/>
    <w:rsid w:val="00CB6803"/>
    <w:rsid w:val="00CC179E"/>
    <w:rsid w:val="00CC201C"/>
    <w:rsid w:val="00CC410A"/>
    <w:rsid w:val="00CE41E5"/>
    <w:rsid w:val="00CE7B57"/>
    <w:rsid w:val="00CF580E"/>
    <w:rsid w:val="00D001F8"/>
    <w:rsid w:val="00D07926"/>
    <w:rsid w:val="00D103D4"/>
    <w:rsid w:val="00D109F2"/>
    <w:rsid w:val="00D1653C"/>
    <w:rsid w:val="00D32D11"/>
    <w:rsid w:val="00D3399C"/>
    <w:rsid w:val="00D63123"/>
    <w:rsid w:val="00D675B9"/>
    <w:rsid w:val="00D903DE"/>
    <w:rsid w:val="00DA2D73"/>
    <w:rsid w:val="00DB5EF6"/>
    <w:rsid w:val="00DC37CF"/>
    <w:rsid w:val="00DD0206"/>
    <w:rsid w:val="00DD073C"/>
    <w:rsid w:val="00DF07AE"/>
    <w:rsid w:val="00E147E9"/>
    <w:rsid w:val="00E154B4"/>
    <w:rsid w:val="00E32D2B"/>
    <w:rsid w:val="00E33045"/>
    <w:rsid w:val="00E5008A"/>
    <w:rsid w:val="00E535C2"/>
    <w:rsid w:val="00E71ED7"/>
    <w:rsid w:val="00E95A47"/>
    <w:rsid w:val="00EB7CB0"/>
    <w:rsid w:val="00EC146F"/>
    <w:rsid w:val="00EE3D89"/>
    <w:rsid w:val="00EF1107"/>
    <w:rsid w:val="00EF53F5"/>
    <w:rsid w:val="00F10092"/>
    <w:rsid w:val="00F140E8"/>
    <w:rsid w:val="00F2278D"/>
    <w:rsid w:val="00F44B8D"/>
    <w:rsid w:val="00F562FB"/>
    <w:rsid w:val="00F7019B"/>
    <w:rsid w:val="00F70703"/>
    <w:rsid w:val="00F87484"/>
    <w:rsid w:val="00F90670"/>
    <w:rsid w:val="00F91826"/>
    <w:rsid w:val="00FA3512"/>
    <w:rsid w:val="00FA4545"/>
    <w:rsid w:val="00FB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2872"/>
  <w15:docId w15:val="{95051006-FFEE-4B4D-9F27-E3CA22FB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AA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75F7"/>
    <w:pPr>
      <w:keepNext/>
      <w:keepLines/>
      <w:numPr>
        <w:numId w:val="8"/>
      </w:numPr>
      <w:spacing w:line="240" w:lineRule="atLeast"/>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5006A9"/>
    <w:pPr>
      <w:keepNext/>
      <w:keepLines/>
      <w:numPr>
        <w:ilvl w:val="1"/>
        <w:numId w:val="8"/>
      </w:numPr>
      <w:outlineLvl w:val="1"/>
    </w:pPr>
    <w:rPr>
      <w:rFonts w:eastAsiaTheme="majorEastAsia" w:cstheme="majorBidi"/>
      <w:color w:val="2F5496" w:themeColor="accent1" w:themeShade="BF"/>
      <w:szCs w:val="32"/>
    </w:rPr>
  </w:style>
  <w:style w:type="paragraph" w:styleId="Heading3">
    <w:name w:val="heading 3"/>
    <w:basedOn w:val="Normal"/>
    <w:next w:val="Normal"/>
    <w:link w:val="Heading3Char"/>
    <w:uiPriority w:val="9"/>
    <w:unhideWhenUsed/>
    <w:qFormat/>
    <w:rsid w:val="003475F7"/>
    <w:pPr>
      <w:keepNext/>
      <w:keepLines/>
      <w:numPr>
        <w:ilvl w:val="2"/>
        <w:numId w:val="8"/>
      </w:numPr>
      <w:spacing w:before="160" w:after="80"/>
      <w:outlineLvl w:val="2"/>
    </w:pPr>
    <w:rPr>
      <w:rFonts w:asciiTheme="minorHAnsi" w:eastAsiaTheme="majorEastAsia" w:hAnsiTheme="minorHAnsi" w:cstheme="majorBidi"/>
      <w:szCs w:val="28"/>
    </w:rPr>
  </w:style>
  <w:style w:type="paragraph" w:styleId="Heading4">
    <w:name w:val="heading 4"/>
    <w:basedOn w:val="Normal"/>
    <w:next w:val="Normal"/>
    <w:link w:val="Heading4Char"/>
    <w:uiPriority w:val="9"/>
    <w:semiHidden/>
    <w:unhideWhenUsed/>
    <w:qFormat/>
    <w:rsid w:val="007C6A5F"/>
    <w:pPr>
      <w:keepNext/>
      <w:keepLines/>
      <w:numPr>
        <w:ilvl w:val="3"/>
        <w:numId w:val="8"/>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6A5F"/>
    <w:pPr>
      <w:keepNext/>
      <w:keepLines/>
      <w:numPr>
        <w:ilvl w:val="4"/>
        <w:numId w:val="8"/>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6A5F"/>
    <w:pPr>
      <w:keepNext/>
      <w:keepLines/>
      <w:numPr>
        <w:ilvl w:val="5"/>
        <w:numId w:val="8"/>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6A5F"/>
    <w:pPr>
      <w:keepNext/>
      <w:keepLines/>
      <w:numPr>
        <w:ilvl w:val="6"/>
        <w:numId w:val="8"/>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6A5F"/>
    <w:pPr>
      <w:keepNext/>
      <w:keepLines/>
      <w:numPr>
        <w:ilvl w:val="7"/>
        <w:numId w:val="8"/>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6A5F"/>
    <w:pPr>
      <w:keepNext/>
      <w:keepLines/>
      <w:numPr>
        <w:ilvl w:val="8"/>
        <w:numId w:val="8"/>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6A9"/>
    <w:rPr>
      <w:rFonts w:ascii="Abadi" w:eastAsiaTheme="majorEastAsia" w:hAnsi="Abadi" w:cstheme="majorBidi"/>
      <w:color w:val="2F5496" w:themeColor="accent1" w:themeShade="BF"/>
      <w:szCs w:val="32"/>
    </w:rPr>
  </w:style>
  <w:style w:type="character" w:customStyle="1" w:styleId="Heading1Char">
    <w:name w:val="Heading 1 Char"/>
    <w:basedOn w:val="DefaultParagraphFont"/>
    <w:link w:val="Heading1"/>
    <w:uiPriority w:val="9"/>
    <w:rsid w:val="003475F7"/>
    <w:rPr>
      <w:rFonts w:ascii="Abadi" w:eastAsiaTheme="majorEastAsia" w:hAnsi="Abadi" w:cstheme="majorBidi"/>
      <w:b/>
      <w:szCs w:val="40"/>
    </w:rPr>
  </w:style>
  <w:style w:type="table" w:styleId="TableGrid">
    <w:name w:val="Table Grid"/>
    <w:basedOn w:val="TableNormal"/>
    <w:uiPriority w:val="39"/>
    <w:rsid w:val="005006A9"/>
    <w:pPr>
      <w:spacing w:after="0" w:line="240" w:lineRule="auto"/>
      <w:contextualSpacing/>
      <w:jc w:val="center"/>
    </w:pPr>
    <w:tblPr>
      <w:tblBorders>
        <w:top w:val="single" w:sz="4" w:space="0" w:color="auto"/>
        <w:bottom w:val="single" w:sz="4" w:space="0" w:color="auto"/>
      </w:tblBorders>
    </w:tblPr>
  </w:style>
  <w:style w:type="character" w:customStyle="1" w:styleId="Heading3Char">
    <w:name w:val="Heading 3 Char"/>
    <w:basedOn w:val="DefaultParagraphFont"/>
    <w:link w:val="Heading3"/>
    <w:uiPriority w:val="9"/>
    <w:rsid w:val="003475F7"/>
    <w:rPr>
      <w:rFonts w:eastAsiaTheme="majorEastAsia" w:cstheme="majorBidi"/>
      <w:szCs w:val="28"/>
      <w:lang w:val="en-GB"/>
    </w:rPr>
  </w:style>
  <w:style w:type="character" w:customStyle="1" w:styleId="Heading4Char">
    <w:name w:val="Heading 4 Char"/>
    <w:basedOn w:val="DefaultParagraphFont"/>
    <w:link w:val="Heading4"/>
    <w:uiPriority w:val="9"/>
    <w:semiHidden/>
    <w:rsid w:val="007C6A5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C6A5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C6A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C6A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C6A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C6A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C6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C6A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C6A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A5F"/>
    <w:rPr>
      <w:rFonts w:ascii="Abadi" w:eastAsiaTheme="minorEastAsia" w:hAnsi="Abadi"/>
      <w:i/>
      <w:iCs/>
      <w:color w:val="404040" w:themeColor="text1" w:themeTint="BF"/>
      <w:lang w:val="en-GB"/>
    </w:rPr>
  </w:style>
  <w:style w:type="paragraph" w:styleId="ListParagraph">
    <w:name w:val="List Paragraph"/>
    <w:basedOn w:val="Normal"/>
    <w:uiPriority w:val="34"/>
    <w:qFormat/>
    <w:rsid w:val="007C6A5F"/>
    <w:pPr>
      <w:ind w:left="720"/>
      <w:contextualSpacing/>
    </w:pPr>
  </w:style>
  <w:style w:type="character" w:styleId="IntenseEmphasis">
    <w:name w:val="Intense Emphasis"/>
    <w:basedOn w:val="DefaultParagraphFont"/>
    <w:uiPriority w:val="21"/>
    <w:qFormat/>
    <w:rsid w:val="007C6A5F"/>
    <w:rPr>
      <w:i/>
      <w:iCs/>
      <w:color w:val="2F5496" w:themeColor="accent1" w:themeShade="BF"/>
    </w:rPr>
  </w:style>
  <w:style w:type="paragraph" w:styleId="IntenseQuote">
    <w:name w:val="Intense Quote"/>
    <w:basedOn w:val="Normal"/>
    <w:next w:val="Normal"/>
    <w:link w:val="IntenseQuoteChar"/>
    <w:uiPriority w:val="30"/>
    <w:qFormat/>
    <w:rsid w:val="007C6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A5F"/>
    <w:rPr>
      <w:rFonts w:ascii="Abadi" w:eastAsiaTheme="minorEastAsia" w:hAnsi="Abadi"/>
      <w:i/>
      <w:iCs/>
      <w:color w:val="2F5496" w:themeColor="accent1" w:themeShade="BF"/>
      <w:lang w:val="en-GB"/>
    </w:rPr>
  </w:style>
  <w:style w:type="character" w:styleId="IntenseReference">
    <w:name w:val="Intense Reference"/>
    <w:basedOn w:val="DefaultParagraphFont"/>
    <w:uiPriority w:val="32"/>
    <w:qFormat/>
    <w:rsid w:val="007C6A5F"/>
    <w:rPr>
      <w:b/>
      <w:bCs/>
      <w:smallCaps/>
      <w:color w:val="2F5496" w:themeColor="accent1" w:themeShade="BF"/>
      <w:spacing w:val="5"/>
    </w:rPr>
  </w:style>
  <w:style w:type="character" w:styleId="Hyperlink">
    <w:name w:val="Hyperlink"/>
    <w:basedOn w:val="DefaultParagraphFont"/>
    <w:uiPriority w:val="99"/>
    <w:unhideWhenUsed/>
    <w:rsid w:val="007C6A5F"/>
    <w:rPr>
      <w:color w:val="0563C1" w:themeColor="hyperlink"/>
      <w:u w:val="single"/>
    </w:rPr>
  </w:style>
  <w:style w:type="character" w:styleId="UnresolvedMention">
    <w:name w:val="Unresolved Mention"/>
    <w:basedOn w:val="DefaultParagraphFont"/>
    <w:uiPriority w:val="99"/>
    <w:semiHidden/>
    <w:unhideWhenUsed/>
    <w:rsid w:val="007C6A5F"/>
    <w:rPr>
      <w:color w:val="605E5C"/>
      <w:shd w:val="clear" w:color="auto" w:fill="E1DFDD"/>
    </w:rPr>
  </w:style>
  <w:style w:type="paragraph" w:styleId="Header">
    <w:name w:val="header"/>
    <w:basedOn w:val="Normal"/>
    <w:link w:val="HeaderChar"/>
    <w:uiPriority w:val="99"/>
    <w:unhideWhenUsed/>
    <w:rsid w:val="007C6A5F"/>
    <w:pPr>
      <w:tabs>
        <w:tab w:val="center" w:pos="4680"/>
        <w:tab w:val="right" w:pos="9360"/>
      </w:tabs>
    </w:pPr>
  </w:style>
  <w:style w:type="character" w:customStyle="1" w:styleId="HeaderChar">
    <w:name w:val="Header Char"/>
    <w:basedOn w:val="DefaultParagraphFont"/>
    <w:link w:val="Header"/>
    <w:uiPriority w:val="99"/>
    <w:rsid w:val="007C6A5F"/>
    <w:rPr>
      <w:rFonts w:ascii="Abadi" w:eastAsiaTheme="minorEastAsia" w:hAnsi="Abadi"/>
      <w:lang w:val="en-GB"/>
    </w:rPr>
  </w:style>
  <w:style w:type="paragraph" w:styleId="Footer">
    <w:name w:val="footer"/>
    <w:basedOn w:val="Normal"/>
    <w:link w:val="FooterChar"/>
    <w:uiPriority w:val="99"/>
    <w:unhideWhenUsed/>
    <w:rsid w:val="007C6A5F"/>
    <w:pPr>
      <w:tabs>
        <w:tab w:val="center" w:pos="4680"/>
        <w:tab w:val="right" w:pos="9360"/>
      </w:tabs>
    </w:pPr>
  </w:style>
  <w:style w:type="character" w:customStyle="1" w:styleId="FooterChar">
    <w:name w:val="Footer Char"/>
    <w:basedOn w:val="DefaultParagraphFont"/>
    <w:link w:val="Footer"/>
    <w:uiPriority w:val="99"/>
    <w:rsid w:val="007C6A5F"/>
    <w:rPr>
      <w:rFonts w:ascii="Abadi" w:eastAsiaTheme="minorEastAsia" w:hAnsi="Abadi"/>
      <w:lang w:val="en-GB"/>
    </w:rPr>
  </w:style>
  <w:style w:type="paragraph" w:styleId="Caption">
    <w:name w:val="caption"/>
    <w:basedOn w:val="Normal"/>
    <w:next w:val="Normal"/>
    <w:uiPriority w:val="35"/>
    <w:unhideWhenUsed/>
    <w:qFormat/>
    <w:rsid w:val="007C6A5F"/>
    <w:pPr>
      <w:spacing w:after="200"/>
    </w:pPr>
    <w:rPr>
      <w:i/>
      <w:iCs/>
      <w:color w:val="44546A" w:themeColor="text2"/>
      <w:sz w:val="18"/>
      <w:szCs w:val="18"/>
    </w:rPr>
  </w:style>
  <w:style w:type="paragraph" w:styleId="TOC1">
    <w:name w:val="toc 1"/>
    <w:basedOn w:val="Normal"/>
    <w:next w:val="Normal"/>
    <w:autoRedefine/>
    <w:uiPriority w:val="39"/>
    <w:unhideWhenUsed/>
    <w:rsid w:val="003475F7"/>
    <w:pPr>
      <w:spacing w:after="100"/>
    </w:pPr>
  </w:style>
  <w:style w:type="paragraph" w:styleId="TOC2">
    <w:name w:val="toc 2"/>
    <w:basedOn w:val="Normal"/>
    <w:next w:val="Normal"/>
    <w:autoRedefine/>
    <w:uiPriority w:val="39"/>
    <w:unhideWhenUsed/>
    <w:rsid w:val="003475F7"/>
    <w:pPr>
      <w:spacing w:after="100"/>
      <w:ind w:left="240"/>
    </w:pPr>
  </w:style>
  <w:style w:type="paragraph" w:styleId="TOC3">
    <w:name w:val="toc 3"/>
    <w:basedOn w:val="Normal"/>
    <w:next w:val="Normal"/>
    <w:autoRedefine/>
    <w:uiPriority w:val="39"/>
    <w:unhideWhenUsed/>
    <w:rsid w:val="003475F7"/>
    <w:pPr>
      <w:spacing w:after="100"/>
      <w:ind w:left="480"/>
    </w:pPr>
  </w:style>
  <w:style w:type="character" w:styleId="FollowedHyperlink">
    <w:name w:val="FollowedHyperlink"/>
    <w:basedOn w:val="DefaultParagraphFont"/>
    <w:uiPriority w:val="99"/>
    <w:semiHidden/>
    <w:unhideWhenUsed/>
    <w:rsid w:val="003475F7"/>
    <w:rPr>
      <w:color w:val="954F72" w:themeColor="followedHyperlink"/>
      <w:u w:val="single"/>
    </w:rPr>
  </w:style>
  <w:style w:type="paragraph" w:styleId="NoSpacing">
    <w:name w:val="No Spacing"/>
    <w:uiPriority w:val="1"/>
    <w:qFormat/>
    <w:rsid w:val="008B5035"/>
    <w:pPr>
      <w:spacing w:after="0" w:line="240" w:lineRule="auto"/>
      <w:jc w:val="both"/>
    </w:pPr>
    <w:rPr>
      <w:rFonts w:ascii="Abadi" w:eastAsiaTheme="minorEastAsia" w:hAnsi="Abadi"/>
      <w:lang w:val="en-GB"/>
    </w:rPr>
  </w:style>
  <w:style w:type="character" w:customStyle="1" w:styleId="aupe">
    <w:name w:val="_aupe"/>
    <w:basedOn w:val="DefaultParagraphFont"/>
    <w:rsid w:val="0064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014">
      <w:bodyDiv w:val="1"/>
      <w:marLeft w:val="0"/>
      <w:marRight w:val="0"/>
      <w:marTop w:val="0"/>
      <w:marBottom w:val="0"/>
      <w:divBdr>
        <w:top w:val="none" w:sz="0" w:space="0" w:color="auto"/>
        <w:left w:val="none" w:sz="0" w:space="0" w:color="auto"/>
        <w:bottom w:val="none" w:sz="0" w:space="0" w:color="auto"/>
        <w:right w:val="none" w:sz="0" w:space="0" w:color="auto"/>
      </w:divBdr>
      <w:divsChild>
        <w:div w:id="1003120029">
          <w:marLeft w:val="0"/>
          <w:marRight w:val="0"/>
          <w:marTop w:val="0"/>
          <w:marBottom w:val="0"/>
          <w:divBdr>
            <w:top w:val="none" w:sz="0" w:space="0" w:color="auto"/>
            <w:left w:val="none" w:sz="0" w:space="0" w:color="auto"/>
            <w:bottom w:val="none" w:sz="0" w:space="0" w:color="auto"/>
            <w:right w:val="none" w:sz="0" w:space="0" w:color="auto"/>
          </w:divBdr>
        </w:div>
        <w:div w:id="1471049415">
          <w:marLeft w:val="0"/>
          <w:marRight w:val="0"/>
          <w:marTop w:val="0"/>
          <w:marBottom w:val="0"/>
          <w:divBdr>
            <w:top w:val="none" w:sz="0" w:space="0" w:color="auto"/>
            <w:left w:val="none" w:sz="0" w:space="0" w:color="auto"/>
            <w:bottom w:val="none" w:sz="0" w:space="0" w:color="auto"/>
            <w:right w:val="none" w:sz="0" w:space="0" w:color="auto"/>
          </w:divBdr>
        </w:div>
        <w:div w:id="1653101156">
          <w:marLeft w:val="0"/>
          <w:marRight w:val="0"/>
          <w:marTop w:val="0"/>
          <w:marBottom w:val="0"/>
          <w:divBdr>
            <w:top w:val="none" w:sz="0" w:space="0" w:color="auto"/>
            <w:left w:val="none" w:sz="0" w:space="0" w:color="auto"/>
            <w:bottom w:val="none" w:sz="0" w:space="0" w:color="auto"/>
            <w:right w:val="none" w:sz="0" w:space="0" w:color="auto"/>
          </w:divBdr>
        </w:div>
        <w:div w:id="1673989137">
          <w:marLeft w:val="0"/>
          <w:marRight w:val="0"/>
          <w:marTop w:val="0"/>
          <w:marBottom w:val="0"/>
          <w:divBdr>
            <w:top w:val="none" w:sz="0" w:space="0" w:color="auto"/>
            <w:left w:val="none" w:sz="0" w:space="0" w:color="auto"/>
            <w:bottom w:val="none" w:sz="0" w:space="0" w:color="auto"/>
            <w:right w:val="none" w:sz="0" w:space="0" w:color="auto"/>
          </w:divBdr>
        </w:div>
        <w:div w:id="2034307698">
          <w:marLeft w:val="0"/>
          <w:marRight w:val="0"/>
          <w:marTop w:val="0"/>
          <w:marBottom w:val="0"/>
          <w:divBdr>
            <w:top w:val="none" w:sz="0" w:space="0" w:color="auto"/>
            <w:left w:val="none" w:sz="0" w:space="0" w:color="auto"/>
            <w:bottom w:val="none" w:sz="0" w:space="0" w:color="auto"/>
            <w:right w:val="none" w:sz="0" w:space="0" w:color="auto"/>
          </w:divBdr>
        </w:div>
      </w:divsChild>
    </w:div>
    <w:div w:id="479812882">
      <w:bodyDiv w:val="1"/>
      <w:marLeft w:val="0"/>
      <w:marRight w:val="0"/>
      <w:marTop w:val="0"/>
      <w:marBottom w:val="0"/>
      <w:divBdr>
        <w:top w:val="none" w:sz="0" w:space="0" w:color="auto"/>
        <w:left w:val="none" w:sz="0" w:space="0" w:color="auto"/>
        <w:bottom w:val="none" w:sz="0" w:space="0" w:color="auto"/>
        <w:right w:val="none" w:sz="0" w:space="0" w:color="auto"/>
      </w:divBdr>
      <w:divsChild>
        <w:div w:id="1351640248">
          <w:marLeft w:val="0"/>
          <w:marRight w:val="0"/>
          <w:marTop w:val="0"/>
          <w:marBottom w:val="0"/>
          <w:divBdr>
            <w:top w:val="none" w:sz="0" w:space="0" w:color="auto"/>
            <w:left w:val="none" w:sz="0" w:space="0" w:color="auto"/>
            <w:bottom w:val="none" w:sz="0" w:space="0" w:color="auto"/>
            <w:right w:val="none" w:sz="0" w:space="0" w:color="auto"/>
          </w:divBdr>
        </w:div>
      </w:divsChild>
    </w:div>
    <w:div w:id="541986286">
      <w:bodyDiv w:val="1"/>
      <w:marLeft w:val="0"/>
      <w:marRight w:val="0"/>
      <w:marTop w:val="0"/>
      <w:marBottom w:val="0"/>
      <w:divBdr>
        <w:top w:val="none" w:sz="0" w:space="0" w:color="auto"/>
        <w:left w:val="none" w:sz="0" w:space="0" w:color="auto"/>
        <w:bottom w:val="none" w:sz="0" w:space="0" w:color="auto"/>
        <w:right w:val="none" w:sz="0" w:space="0" w:color="auto"/>
      </w:divBdr>
      <w:divsChild>
        <w:div w:id="600719730">
          <w:marLeft w:val="0"/>
          <w:marRight w:val="0"/>
          <w:marTop w:val="0"/>
          <w:marBottom w:val="0"/>
          <w:divBdr>
            <w:top w:val="none" w:sz="0" w:space="0" w:color="auto"/>
            <w:left w:val="none" w:sz="0" w:space="0" w:color="auto"/>
            <w:bottom w:val="none" w:sz="0" w:space="0" w:color="auto"/>
            <w:right w:val="none" w:sz="0" w:space="0" w:color="auto"/>
          </w:divBdr>
        </w:div>
      </w:divsChild>
    </w:div>
    <w:div w:id="645859762">
      <w:bodyDiv w:val="1"/>
      <w:marLeft w:val="0"/>
      <w:marRight w:val="0"/>
      <w:marTop w:val="0"/>
      <w:marBottom w:val="0"/>
      <w:divBdr>
        <w:top w:val="none" w:sz="0" w:space="0" w:color="auto"/>
        <w:left w:val="none" w:sz="0" w:space="0" w:color="auto"/>
        <w:bottom w:val="none" w:sz="0" w:space="0" w:color="auto"/>
        <w:right w:val="none" w:sz="0" w:space="0" w:color="auto"/>
      </w:divBdr>
      <w:divsChild>
        <w:div w:id="2019771463">
          <w:marLeft w:val="0"/>
          <w:marRight w:val="0"/>
          <w:marTop w:val="0"/>
          <w:marBottom w:val="0"/>
          <w:divBdr>
            <w:top w:val="none" w:sz="0" w:space="0" w:color="auto"/>
            <w:left w:val="none" w:sz="0" w:space="0" w:color="auto"/>
            <w:bottom w:val="none" w:sz="0" w:space="0" w:color="auto"/>
            <w:right w:val="none" w:sz="0" w:space="0" w:color="auto"/>
          </w:divBdr>
        </w:div>
      </w:divsChild>
    </w:div>
    <w:div w:id="646469554">
      <w:bodyDiv w:val="1"/>
      <w:marLeft w:val="0"/>
      <w:marRight w:val="0"/>
      <w:marTop w:val="0"/>
      <w:marBottom w:val="0"/>
      <w:divBdr>
        <w:top w:val="none" w:sz="0" w:space="0" w:color="auto"/>
        <w:left w:val="none" w:sz="0" w:space="0" w:color="auto"/>
        <w:bottom w:val="none" w:sz="0" w:space="0" w:color="auto"/>
        <w:right w:val="none" w:sz="0" w:space="0" w:color="auto"/>
      </w:divBdr>
      <w:divsChild>
        <w:div w:id="128670282">
          <w:marLeft w:val="0"/>
          <w:marRight w:val="0"/>
          <w:marTop w:val="0"/>
          <w:marBottom w:val="0"/>
          <w:divBdr>
            <w:top w:val="none" w:sz="0" w:space="0" w:color="auto"/>
            <w:left w:val="none" w:sz="0" w:space="0" w:color="auto"/>
            <w:bottom w:val="none" w:sz="0" w:space="0" w:color="auto"/>
            <w:right w:val="none" w:sz="0" w:space="0" w:color="auto"/>
          </w:divBdr>
        </w:div>
        <w:div w:id="851994328">
          <w:marLeft w:val="0"/>
          <w:marRight w:val="0"/>
          <w:marTop w:val="0"/>
          <w:marBottom w:val="0"/>
          <w:divBdr>
            <w:top w:val="none" w:sz="0" w:space="0" w:color="auto"/>
            <w:left w:val="none" w:sz="0" w:space="0" w:color="auto"/>
            <w:bottom w:val="none" w:sz="0" w:space="0" w:color="auto"/>
            <w:right w:val="none" w:sz="0" w:space="0" w:color="auto"/>
          </w:divBdr>
        </w:div>
        <w:div w:id="1202136428">
          <w:marLeft w:val="0"/>
          <w:marRight w:val="0"/>
          <w:marTop w:val="0"/>
          <w:marBottom w:val="0"/>
          <w:divBdr>
            <w:top w:val="none" w:sz="0" w:space="0" w:color="auto"/>
            <w:left w:val="none" w:sz="0" w:space="0" w:color="auto"/>
            <w:bottom w:val="none" w:sz="0" w:space="0" w:color="auto"/>
            <w:right w:val="none" w:sz="0" w:space="0" w:color="auto"/>
          </w:divBdr>
        </w:div>
        <w:div w:id="2096970621">
          <w:marLeft w:val="0"/>
          <w:marRight w:val="0"/>
          <w:marTop w:val="0"/>
          <w:marBottom w:val="0"/>
          <w:divBdr>
            <w:top w:val="none" w:sz="0" w:space="0" w:color="auto"/>
            <w:left w:val="none" w:sz="0" w:space="0" w:color="auto"/>
            <w:bottom w:val="none" w:sz="0" w:space="0" w:color="auto"/>
            <w:right w:val="none" w:sz="0" w:space="0" w:color="auto"/>
          </w:divBdr>
        </w:div>
      </w:divsChild>
    </w:div>
    <w:div w:id="675040675">
      <w:bodyDiv w:val="1"/>
      <w:marLeft w:val="0"/>
      <w:marRight w:val="0"/>
      <w:marTop w:val="0"/>
      <w:marBottom w:val="0"/>
      <w:divBdr>
        <w:top w:val="none" w:sz="0" w:space="0" w:color="auto"/>
        <w:left w:val="none" w:sz="0" w:space="0" w:color="auto"/>
        <w:bottom w:val="none" w:sz="0" w:space="0" w:color="auto"/>
        <w:right w:val="none" w:sz="0" w:space="0" w:color="auto"/>
      </w:divBdr>
      <w:divsChild>
        <w:div w:id="739403019">
          <w:marLeft w:val="0"/>
          <w:marRight w:val="0"/>
          <w:marTop w:val="0"/>
          <w:marBottom w:val="0"/>
          <w:divBdr>
            <w:top w:val="none" w:sz="0" w:space="0" w:color="auto"/>
            <w:left w:val="none" w:sz="0" w:space="0" w:color="auto"/>
            <w:bottom w:val="none" w:sz="0" w:space="0" w:color="auto"/>
            <w:right w:val="none" w:sz="0" w:space="0" w:color="auto"/>
          </w:divBdr>
        </w:div>
        <w:div w:id="781345938">
          <w:marLeft w:val="0"/>
          <w:marRight w:val="0"/>
          <w:marTop w:val="0"/>
          <w:marBottom w:val="0"/>
          <w:divBdr>
            <w:top w:val="none" w:sz="0" w:space="0" w:color="auto"/>
            <w:left w:val="none" w:sz="0" w:space="0" w:color="auto"/>
            <w:bottom w:val="none" w:sz="0" w:space="0" w:color="auto"/>
            <w:right w:val="none" w:sz="0" w:space="0" w:color="auto"/>
          </w:divBdr>
        </w:div>
        <w:div w:id="1858034252">
          <w:marLeft w:val="0"/>
          <w:marRight w:val="0"/>
          <w:marTop w:val="0"/>
          <w:marBottom w:val="0"/>
          <w:divBdr>
            <w:top w:val="none" w:sz="0" w:space="0" w:color="auto"/>
            <w:left w:val="none" w:sz="0" w:space="0" w:color="auto"/>
            <w:bottom w:val="none" w:sz="0" w:space="0" w:color="auto"/>
            <w:right w:val="none" w:sz="0" w:space="0" w:color="auto"/>
          </w:divBdr>
        </w:div>
      </w:divsChild>
    </w:div>
    <w:div w:id="980186537">
      <w:bodyDiv w:val="1"/>
      <w:marLeft w:val="0"/>
      <w:marRight w:val="0"/>
      <w:marTop w:val="0"/>
      <w:marBottom w:val="0"/>
      <w:divBdr>
        <w:top w:val="none" w:sz="0" w:space="0" w:color="auto"/>
        <w:left w:val="none" w:sz="0" w:space="0" w:color="auto"/>
        <w:bottom w:val="none" w:sz="0" w:space="0" w:color="auto"/>
        <w:right w:val="none" w:sz="0" w:space="0" w:color="auto"/>
      </w:divBdr>
      <w:divsChild>
        <w:div w:id="93476531">
          <w:marLeft w:val="0"/>
          <w:marRight w:val="0"/>
          <w:marTop w:val="0"/>
          <w:marBottom w:val="0"/>
          <w:divBdr>
            <w:top w:val="none" w:sz="0" w:space="0" w:color="auto"/>
            <w:left w:val="none" w:sz="0" w:space="0" w:color="auto"/>
            <w:bottom w:val="none" w:sz="0" w:space="0" w:color="auto"/>
            <w:right w:val="none" w:sz="0" w:space="0" w:color="auto"/>
          </w:divBdr>
        </w:div>
      </w:divsChild>
    </w:div>
    <w:div w:id="1097596970">
      <w:bodyDiv w:val="1"/>
      <w:marLeft w:val="0"/>
      <w:marRight w:val="0"/>
      <w:marTop w:val="0"/>
      <w:marBottom w:val="0"/>
      <w:divBdr>
        <w:top w:val="none" w:sz="0" w:space="0" w:color="auto"/>
        <w:left w:val="none" w:sz="0" w:space="0" w:color="auto"/>
        <w:bottom w:val="none" w:sz="0" w:space="0" w:color="auto"/>
        <w:right w:val="none" w:sz="0" w:space="0" w:color="auto"/>
      </w:divBdr>
      <w:divsChild>
        <w:div w:id="76438428">
          <w:marLeft w:val="0"/>
          <w:marRight w:val="0"/>
          <w:marTop w:val="0"/>
          <w:marBottom w:val="0"/>
          <w:divBdr>
            <w:top w:val="none" w:sz="0" w:space="0" w:color="auto"/>
            <w:left w:val="none" w:sz="0" w:space="0" w:color="auto"/>
            <w:bottom w:val="none" w:sz="0" w:space="0" w:color="auto"/>
            <w:right w:val="none" w:sz="0" w:space="0" w:color="auto"/>
          </w:divBdr>
        </w:div>
        <w:div w:id="173955678">
          <w:marLeft w:val="0"/>
          <w:marRight w:val="0"/>
          <w:marTop w:val="0"/>
          <w:marBottom w:val="0"/>
          <w:divBdr>
            <w:top w:val="none" w:sz="0" w:space="0" w:color="auto"/>
            <w:left w:val="none" w:sz="0" w:space="0" w:color="auto"/>
            <w:bottom w:val="none" w:sz="0" w:space="0" w:color="auto"/>
            <w:right w:val="none" w:sz="0" w:space="0" w:color="auto"/>
          </w:divBdr>
        </w:div>
      </w:divsChild>
    </w:div>
    <w:div w:id="1187719232">
      <w:bodyDiv w:val="1"/>
      <w:marLeft w:val="0"/>
      <w:marRight w:val="0"/>
      <w:marTop w:val="0"/>
      <w:marBottom w:val="0"/>
      <w:divBdr>
        <w:top w:val="none" w:sz="0" w:space="0" w:color="auto"/>
        <w:left w:val="none" w:sz="0" w:space="0" w:color="auto"/>
        <w:bottom w:val="none" w:sz="0" w:space="0" w:color="auto"/>
        <w:right w:val="none" w:sz="0" w:space="0" w:color="auto"/>
      </w:divBdr>
      <w:divsChild>
        <w:div w:id="174736718">
          <w:marLeft w:val="0"/>
          <w:marRight w:val="0"/>
          <w:marTop w:val="0"/>
          <w:marBottom w:val="0"/>
          <w:divBdr>
            <w:top w:val="none" w:sz="0" w:space="0" w:color="auto"/>
            <w:left w:val="none" w:sz="0" w:space="0" w:color="auto"/>
            <w:bottom w:val="none" w:sz="0" w:space="0" w:color="auto"/>
            <w:right w:val="none" w:sz="0" w:space="0" w:color="auto"/>
          </w:divBdr>
        </w:div>
        <w:div w:id="580212676">
          <w:marLeft w:val="0"/>
          <w:marRight w:val="0"/>
          <w:marTop w:val="0"/>
          <w:marBottom w:val="0"/>
          <w:divBdr>
            <w:top w:val="none" w:sz="0" w:space="0" w:color="auto"/>
            <w:left w:val="none" w:sz="0" w:space="0" w:color="auto"/>
            <w:bottom w:val="none" w:sz="0" w:space="0" w:color="auto"/>
            <w:right w:val="none" w:sz="0" w:space="0" w:color="auto"/>
          </w:divBdr>
        </w:div>
      </w:divsChild>
    </w:div>
    <w:div w:id="1203515966">
      <w:bodyDiv w:val="1"/>
      <w:marLeft w:val="0"/>
      <w:marRight w:val="0"/>
      <w:marTop w:val="0"/>
      <w:marBottom w:val="0"/>
      <w:divBdr>
        <w:top w:val="none" w:sz="0" w:space="0" w:color="auto"/>
        <w:left w:val="none" w:sz="0" w:space="0" w:color="auto"/>
        <w:bottom w:val="none" w:sz="0" w:space="0" w:color="auto"/>
        <w:right w:val="none" w:sz="0" w:space="0" w:color="auto"/>
      </w:divBdr>
      <w:divsChild>
        <w:div w:id="722022990">
          <w:marLeft w:val="0"/>
          <w:marRight w:val="0"/>
          <w:marTop w:val="0"/>
          <w:marBottom w:val="0"/>
          <w:divBdr>
            <w:top w:val="none" w:sz="0" w:space="0" w:color="auto"/>
            <w:left w:val="none" w:sz="0" w:space="0" w:color="auto"/>
            <w:bottom w:val="none" w:sz="0" w:space="0" w:color="auto"/>
            <w:right w:val="none" w:sz="0" w:space="0" w:color="auto"/>
          </w:divBdr>
        </w:div>
        <w:div w:id="1854344541">
          <w:marLeft w:val="0"/>
          <w:marRight w:val="0"/>
          <w:marTop w:val="0"/>
          <w:marBottom w:val="0"/>
          <w:divBdr>
            <w:top w:val="none" w:sz="0" w:space="0" w:color="auto"/>
            <w:left w:val="none" w:sz="0" w:space="0" w:color="auto"/>
            <w:bottom w:val="none" w:sz="0" w:space="0" w:color="auto"/>
            <w:right w:val="none" w:sz="0" w:space="0" w:color="auto"/>
          </w:divBdr>
        </w:div>
      </w:divsChild>
    </w:div>
    <w:div w:id="1259365037">
      <w:bodyDiv w:val="1"/>
      <w:marLeft w:val="0"/>
      <w:marRight w:val="0"/>
      <w:marTop w:val="0"/>
      <w:marBottom w:val="0"/>
      <w:divBdr>
        <w:top w:val="none" w:sz="0" w:space="0" w:color="auto"/>
        <w:left w:val="none" w:sz="0" w:space="0" w:color="auto"/>
        <w:bottom w:val="none" w:sz="0" w:space="0" w:color="auto"/>
        <w:right w:val="none" w:sz="0" w:space="0" w:color="auto"/>
      </w:divBdr>
      <w:divsChild>
        <w:div w:id="758328716">
          <w:marLeft w:val="0"/>
          <w:marRight w:val="0"/>
          <w:marTop w:val="0"/>
          <w:marBottom w:val="0"/>
          <w:divBdr>
            <w:top w:val="none" w:sz="0" w:space="0" w:color="auto"/>
            <w:left w:val="none" w:sz="0" w:space="0" w:color="auto"/>
            <w:bottom w:val="none" w:sz="0" w:space="0" w:color="auto"/>
            <w:right w:val="none" w:sz="0" w:space="0" w:color="auto"/>
          </w:divBdr>
        </w:div>
        <w:div w:id="1564440545">
          <w:marLeft w:val="0"/>
          <w:marRight w:val="0"/>
          <w:marTop w:val="0"/>
          <w:marBottom w:val="0"/>
          <w:divBdr>
            <w:top w:val="none" w:sz="0" w:space="0" w:color="auto"/>
            <w:left w:val="none" w:sz="0" w:space="0" w:color="auto"/>
            <w:bottom w:val="none" w:sz="0" w:space="0" w:color="auto"/>
            <w:right w:val="none" w:sz="0" w:space="0" w:color="auto"/>
          </w:divBdr>
        </w:div>
      </w:divsChild>
    </w:div>
    <w:div w:id="1261833023">
      <w:bodyDiv w:val="1"/>
      <w:marLeft w:val="0"/>
      <w:marRight w:val="0"/>
      <w:marTop w:val="0"/>
      <w:marBottom w:val="0"/>
      <w:divBdr>
        <w:top w:val="none" w:sz="0" w:space="0" w:color="auto"/>
        <w:left w:val="none" w:sz="0" w:space="0" w:color="auto"/>
        <w:bottom w:val="none" w:sz="0" w:space="0" w:color="auto"/>
        <w:right w:val="none" w:sz="0" w:space="0" w:color="auto"/>
      </w:divBdr>
      <w:divsChild>
        <w:div w:id="235747047">
          <w:marLeft w:val="0"/>
          <w:marRight w:val="0"/>
          <w:marTop w:val="0"/>
          <w:marBottom w:val="0"/>
          <w:divBdr>
            <w:top w:val="none" w:sz="0" w:space="0" w:color="auto"/>
            <w:left w:val="none" w:sz="0" w:space="0" w:color="auto"/>
            <w:bottom w:val="none" w:sz="0" w:space="0" w:color="auto"/>
            <w:right w:val="none" w:sz="0" w:space="0" w:color="auto"/>
          </w:divBdr>
        </w:div>
        <w:div w:id="1380595058">
          <w:marLeft w:val="0"/>
          <w:marRight w:val="0"/>
          <w:marTop w:val="0"/>
          <w:marBottom w:val="0"/>
          <w:divBdr>
            <w:top w:val="none" w:sz="0" w:space="0" w:color="auto"/>
            <w:left w:val="none" w:sz="0" w:space="0" w:color="auto"/>
            <w:bottom w:val="none" w:sz="0" w:space="0" w:color="auto"/>
            <w:right w:val="none" w:sz="0" w:space="0" w:color="auto"/>
          </w:divBdr>
        </w:div>
        <w:div w:id="1895770772">
          <w:marLeft w:val="0"/>
          <w:marRight w:val="0"/>
          <w:marTop w:val="0"/>
          <w:marBottom w:val="0"/>
          <w:divBdr>
            <w:top w:val="none" w:sz="0" w:space="0" w:color="auto"/>
            <w:left w:val="none" w:sz="0" w:space="0" w:color="auto"/>
            <w:bottom w:val="none" w:sz="0" w:space="0" w:color="auto"/>
            <w:right w:val="none" w:sz="0" w:space="0" w:color="auto"/>
          </w:divBdr>
        </w:div>
      </w:divsChild>
    </w:div>
    <w:div w:id="1327316782">
      <w:bodyDiv w:val="1"/>
      <w:marLeft w:val="0"/>
      <w:marRight w:val="0"/>
      <w:marTop w:val="0"/>
      <w:marBottom w:val="0"/>
      <w:divBdr>
        <w:top w:val="none" w:sz="0" w:space="0" w:color="auto"/>
        <w:left w:val="none" w:sz="0" w:space="0" w:color="auto"/>
        <w:bottom w:val="none" w:sz="0" w:space="0" w:color="auto"/>
        <w:right w:val="none" w:sz="0" w:space="0" w:color="auto"/>
      </w:divBdr>
      <w:divsChild>
        <w:div w:id="65803079">
          <w:marLeft w:val="0"/>
          <w:marRight w:val="0"/>
          <w:marTop w:val="0"/>
          <w:marBottom w:val="0"/>
          <w:divBdr>
            <w:top w:val="none" w:sz="0" w:space="0" w:color="auto"/>
            <w:left w:val="none" w:sz="0" w:space="0" w:color="auto"/>
            <w:bottom w:val="none" w:sz="0" w:space="0" w:color="auto"/>
            <w:right w:val="none" w:sz="0" w:space="0" w:color="auto"/>
          </w:divBdr>
        </w:div>
        <w:div w:id="276567189">
          <w:marLeft w:val="0"/>
          <w:marRight w:val="0"/>
          <w:marTop w:val="0"/>
          <w:marBottom w:val="0"/>
          <w:divBdr>
            <w:top w:val="none" w:sz="0" w:space="0" w:color="auto"/>
            <w:left w:val="none" w:sz="0" w:space="0" w:color="auto"/>
            <w:bottom w:val="none" w:sz="0" w:space="0" w:color="auto"/>
            <w:right w:val="none" w:sz="0" w:space="0" w:color="auto"/>
          </w:divBdr>
        </w:div>
        <w:div w:id="582490904">
          <w:marLeft w:val="0"/>
          <w:marRight w:val="0"/>
          <w:marTop w:val="0"/>
          <w:marBottom w:val="0"/>
          <w:divBdr>
            <w:top w:val="none" w:sz="0" w:space="0" w:color="auto"/>
            <w:left w:val="none" w:sz="0" w:space="0" w:color="auto"/>
            <w:bottom w:val="none" w:sz="0" w:space="0" w:color="auto"/>
            <w:right w:val="none" w:sz="0" w:space="0" w:color="auto"/>
          </w:divBdr>
        </w:div>
        <w:div w:id="2117366025">
          <w:marLeft w:val="0"/>
          <w:marRight w:val="0"/>
          <w:marTop w:val="0"/>
          <w:marBottom w:val="0"/>
          <w:divBdr>
            <w:top w:val="none" w:sz="0" w:space="0" w:color="auto"/>
            <w:left w:val="none" w:sz="0" w:space="0" w:color="auto"/>
            <w:bottom w:val="none" w:sz="0" w:space="0" w:color="auto"/>
            <w:right w:val="none" w:sz="0" w:space="0" w:color="auto"/>
          </w:divBdr>
        </w:div>
      </w:divsChild>
    </w:div>
    <w:div w:id="1375890336">
      <w:bodyDiv w:val="1"/>
      <w:marLeft w:val="0"/>
      <w:marRight w:val="0"/>
      <w:marTop w:val="0"/>
      <w:marBottom w:val="0"/>
      <w:divBdr>
        <w:top w:val="none" w:sz="0" w:space="0" w:color="auto"/>
        <w:left w:val="none" w:sz="0" w:space="0" w:color="auto"/>
        <w:bottom w:val="none" w:sz="0" w:space="0" w:color="auto"/>
        <w:right w:val="none" w:sz="0" w:space="0" w:color="auto"/>
      </w:divBdr>
      <w:divsChild>
        <w:div w:id="131558576">
          <w:marLeft w:val="0"/>
          <w:marRight w:val="0"/>
          <w:marTop w:val="0"/>
          <w:marBottom w:val="0"/>
          <w:divBdr>
            <w:top w:val="none" w:sz="0" w:space="0" w:color="auto"/>
            <w:left w:val="none" w:sz="0" w:space="0" w:color="auto"/>
            <w:bottom w:val="none" w:sz="0" w:space="0" w:color="auto"/>
            <w:right w:val="none" w:sz="0" w:space="0" w:color="auto"/>
          </w:divBdr>
        </w:div>
        <w:div w:id="542642060">
          <w:marLeft w:val="0"/>
          <w:marRight w:val="0"/>
          <w:marTop w:val="0"/>
          <w:marBottom w:val="0"/>
          <w:divBdr>
            <w:top w:val="none" w:sz="0" w:space="0" w:color="auto"/>
            <w:left w:val="none" w:sz="0" w:space="0" w:color="auto"/>
            <w:bottom w:val="none" w:sz="0" w:space="0" w:color="auto"/>
            <w:right w:val="none" w:sz="0" w:space="0" w:color="auto"/>
          </w:divBdr>
        </w:div>
        <w:div w:id="926888704">
          <w:marLeft w:val="0"/>
          <w:marRight w:val="0"/>
          <w:marTop w:val="0"/>
          <w:marBottom w:val="0"/>
          <w:divBdr>
            <w:top w:val="none" w:sz="0" w:space="0" w:color="auto"/>
            <w:left w:val="none" w:sz="0" w:space="0" w:color="auto"/>
            <w:bottom w:val="none" w:sz="0" w:space="0" w:color="auto"/>
            <w:right w:val="none" w:sz="0" w:space="0" w:color="auto"/>
          </w:divBdr>
        </w:div>
        <w:div w:id="1565725138">
          <w:marLeft w:val="0"/>
          <w:marRight w:val="0"/>
          <w:marTop w:val="0"/>
          <w:marBottom w:val="0"/>
          <w:divBdr>
            <w:top w:val="none" w:sz="0" w:space="0" w:color="auto"/>
            <w:left w:val="none" w:sz="0" w:space="0" w:color="auto"/>
            <w:bottom w:val="none" w:sz="0" w:space="0" w:color="auto"/>
            <w:right w:val="none" w:sz="0" w:space="0" w:color="auto"/>
          </w:divBdr>
        </w:div>
      </w:divsChild>
    </w:div>
    <w:div w:id="1401366109">
      <w:bodyDiv w:val="1"/>
      <w:marLeft w:val="0"/>
      <w:marRight w:val="0"/>
      <w:marTop w:val="0"/>
      <w:marBottom w:val="0"/>
      <w:divBdr>
        <w:top w:val="none" w:sz="0" w:space="0" w:color="auto"/>
        <w:left w:val="none" w:sz="0" w:space="0" w:color="auto"/>
        <w:bottom w:val="none" w:sz="0" w:space="0" w:color="auto"/>
        <w:right w:val="none" w:sz="0" w:space="0" w:color="auto"/>
      </w:divBdr>
      <w:divsChild>
        <w:div w:id="221252353">
          <w:marLeft w:val="0"/>
          <w:marRight w:val="0"/>
          <w:marTop w:val="0"/>
          <w:marBottom w:val="0"/>
          <w:divBdr>
            <w:top w:val="none" w:sz="0" w:space="0" w:color="auto"/>
            <w:left w:val="none" w:sz="0" w:space="0" w:color="auto"/>
            <w:bottom w:val="none" w:sz="0" w:space="0" w:color="auto"/>
            <w:right w:val="none" w:sz="0" w:space="0" w:color="auto"/>
          </w:divBdr>
        </w:div>
        <w:div w:id="1309094032">
          <w:marLeft w:val="0"/>
          <w:marRight w:val="0"/>
          <w:marTop w:val="0"/>
          <w:marBottom w:val="0"/>
          <w:divBdr>
            <w:top w:val="none" w:sz="0" w:space="0" w:color="auto"/>
            <w:left w:val="none" w:sz="0" w:space="0" w:color="auto"/>
            <w:bottom w:val="none" w:sz="0" w:space="0" w:color="auto"/>
            <w:right w:val="none" w:sz="0" w:space="0" w:color="auto"/>
          </w:divBdr>
        </w:div>
      </w:divsChild>
    </w:div>
    <w:div w:id="1403337485">
      <w:bodyDiv w:val="1"/>
      <w:marLeft w:val="0"/>
      <w:marRight w:val="0"/>
      <w:marTop w:val="0"/>
      <w:marBottom w:val="0"/>
      <w:divBdr>
        <w:top w:val="none" w:sz="0" w:space="0" w:color="auto"/>
        <w:left w:val="none" w:sz="0" w:space="0" w:color="auto"/>
        <w:bottom w:val="none" w:sz="0" w:space="0" w:color="auto"/>
        <w:right w:val="none" w:sz="0" w:space="0" w:color="auto"/>
      </w:divBdr>
      <w:divsChild>
        <w:div w:id="397946128">
          <w:marLeft w:val="0"/>
          <w:marRight w:val="0"/>
          <w:marTop w:val="0"/>
          <w:marBottom w:val="0"/>
          <w:divBdr>
            <w:top w:val="none" w:sz="0" w:space="0" w:color="auto"/>
            <w:left w:val="none" w:sz="0" w:space="0" w:color="auto"/>
            <w:bottom w:val="none" w:sz="0" w:space="0" w:color="auto"/>
            <w:right w:val="none" w:sz="0" w:space="0" w:color="auto"/>
          </w:divBdr>
        </w:div>
        <w:div w:id="1425809319">
          <w:marLeft w:val="0"/>
          <w:marRight w:val="0"/>
          <w:marTop w:val="0"/>
          <w:marBottom w:val="0"/>
          <w:divBdr>
            <w:top w:val="none" w:sz="0" w:space="0" w:color="auto"/>
            <w:left w:val="none" w:sz="0" w:space="0" w:color="auto"/>
            <w:bottom w:val="none" w:sz="0" w:space="0" w:color="auto"/>
            <w:right w:val="none" w:sz="0" w:space="0" w:color="auto"/>
          </w:divBdr>
        </w:div>
        <w:div w:id="1530794533">
          <w:marLeft w:val="0"/>
          <w:marRight w:val="0"/>
          <w:marTop w:val="0"/>
          <w:marBottom w:val="0"/>
          <w:divBdr>
            <w:top w:val="none" w:sz="0" w:space="0" w:color="auto"/>
            <w:left w:val="none" w:sz="0" w:space="0" w:color="auto"/>
            <w:bottom w:val="none" w:sz="0" w:space="0" w:color="auto"/>
            <w:right w:val="none" w:sz="0" w:space="0" w:color="auto"/>
          </w:divBdr>
        </w:div>
        <w:div w:id="1695643275">
          <w:marLeft w:val="0"/>
          <w:marRight w:val="0"/>
          <w:marTop w:val="0"/>
          <w:marBottom w:val="0"/>
          <w:divBdr>
            <w:top w:val="none" w:sz="0" w:space="0" w:color="auto"/>
            <w:left w:val="none" w:sz="0" w:space="0" w:color="auto"/>
            <w:bottom w:val="none" w:sz="0" w:space="0" w:color="auto"/>
            <w:right w:val="none" w:sz="0" w:space="0" w:color="auto"/>
          </w:divBdr>
        </w:div>
      </w:divsChild>
    </w:div>
    <w:div w:id="1469518567">
      <w:bodyDiv w:val="1"/>
      <w:marLeft w:val="0"/>
      <w:marRight w:val="0"/>
      <w:marTop w:val="0"/>
      <w:marBottom w:val="0"/>
      <w:divBdr>
        <w:top w:val="none" w:sz="0" w:space="0" w:color="auto"/>
        <w:left w:val="none" w:sz="0" w:space="0" w:color="auto"/>
        <w:bottom w:val="none" w:sz="0" w:space="0" w:color="auto"/>
        <w:right w:val="none" w:sz="0" w:space="0" w:color="auto"/>
      </w:divBdr>
      <w:divsChild>
        <w:div w:id="100415876">
          <w:marLeft w:val="0"/>
          <w:marRight w:val="0"/>
          <w:marTop w:val="0"/>
          <w:marBottom w:val="0"/>
          <w:divBdr>
            <w:top w:val="none" w:sz="0" w:space="0" w:color="auto"/>
            <w:left w:val="none" w:sz="0" w:space="0" w:color="auto"/>
            <w:bottom w:val="none" w:sz="0" w:space="0" w:color="auto"/>
            <w:right w:val="none" w:sz="0" w:space="0" w:color="auto"/>
          </w:divBdr>
        </w:div>
        <w:div w:id="182939421">
          <w:marLeft w:val="0"/>
          <w:marRight w:val="0"/>
          <w:marTop w:val="0"/>
          <w:marBottom w:val="0"/>
          <w:divBdr>
            <w:top w:val="none" w:sz="0" w:space="0" w:color="auto"/>
            <w:left w:val="none" w:sz="0" w:space="0" w:color="auto"/>
            <w:bottom w:val="none" w:sz="0" w:space="0" w:color="auto"/>
            <w:right w:val="none" w:sz="0" w:space="0" w:color="auto"/>
          </w:divBdr>
        </w:div>
        <w:div w:id="278026532">
          <w:marLeft w:val="0"/>
          <w:marRight w:val="0"/>
          <w:marTop w:val="0"/>
          <w:marBottom w:val="0"/>
          <w:divBdr>
            <w:top w:val="none" w:sz="0" w:space="0" w:color="auto"/>
            <w:left w:val="none" w:sz="0" w:space="0" w:color="auto"/>
            <w:bottom w:val="none" w:sz="0" w:space="0" w:color="auto"/>
            <w:right w:val="none" w:sz="0" w:space="0" w:color="auto"/>
          </w:divBdr>
        </w:div>
        <w:div w:id="675813607">
          <w:marLeft w:val="0"/>
          <w:marRight w:val="0"/>
          <w:marTop w:val="0"/>
          <w:marBottom w:val="0"/>
          <w:divBdr>
            <w:top w:val="none" w:sz="0" w:space="0" w:color="auto"/>
            <w:left w:val="none" w:sz="0" w:space="0" w:color="auto"/>
            <w:bottom w:val="none" w:sz="0" w:space="0" w:color="auto"/>
            <w:right w:val="none" w:sz="0" w:space="0" w:color="auto"/>
          </w:divBdr>
        </w:div>
        <w:div w:id="1429614734">
          <w:marLeft w:val="0"/>
          <w:marRight w:val="0"/>
          <w:marTop w:val="0"/>
          <w:marBottom w:val="0"/>
          <w:divBdr>
            <w:top w:val="none" w:sz="0" w:space="0" w:color="auto"/>
            <w:left w:val="none" w:sz="0" w:space="0" w:color="auto"/>
            <w:bottom w:val="none" w:sz="0" w:space="0" w:color="auto"/>
            <w:right w:val="none" w:sz="0" w:space="0" w:color="auto"/>
          </w:divBdr>
        </w:div>
        <w:div w:id="1538198949">
          <w:marLeft w:val="0"/>
          <w:marRight w:val="0"/>
          <w:marTop w:val="0"/>
          <w:marBottom w:val="0"/>
          <w:divBdr>
            <w:top w:val="none" w:sz="0" w:space="0" w:color="auto"/>
            <w:left w:val="none" w:sz="0" w:space="0" w:color="auto"/>
            <w:bottom w:val="none" w:sz="0" w:space="0" w:color="auto"/>
            <w:right w:val="none" w:sz="0" w:space="0" w:color="auto"/>
          </w:divBdr>
        </w:div>
        <w:div w:id="1665475743">
          <w:marLeft w:val="0"/>
          <w:marRight w:val="0"/>
          <w:marTop w:val="0"/>
          <w:marBottom w:val="0"/>
          <w:divBdr>
            <w:top w:val="none" w:sz="0" w:space="0" w:color="auto"/>
            <w:left w:val="none" w:sz="0" w:space="0" w:color="auto"/>
            <w:bottom w:val="none" w:sz="0" w:space="0" w:color="auto"/>
            <w:right w:val="none" w:sz="0" w:space="0" w:color="auto"/>
          </w:divBdr>
        </w:div>
      </w:divsChild>
    </w:div>
    <w:div w:id="1503352543">
      <w:bodyDiv w:val="1"/>
      <w:marLeft w:val="0"/>
      <w:marRight w:val="0"/>
      <w:marTop w:val="0"/>
      <w:marBottom w:val="0"/>
      <w:divBdr>
        <w:top w:val="none" w:sz="0" w:space="0" w:color="auto"/>
        <w:left w:val="none" w:sz="0" w:space="0" w:color="auto"/>
        <w:bottom w:val="none" w:sz="0" w:space="0" w:color="auto"/>
        <w:right w:val="none" w:sz="0" w:space="0" w:color="auto"/>
      </w:divBdr>
      <w:divsChild>
        <w:div w:id="435640388">
          <w:marLeft w:val="0"/>
          <w:marRight w:val="0"/>
          <w:marTop w:val="0"/>
          <w:marBottom w:val="0"/>
          <w:divBdr>
            <w:top w:val="none" w:sz="0" w:space="0" w:color="auto"/>
            <w:left w:val="none" w:sz="0" w:space="0" w:color="auto"/>
            <w:bottom w:val="none" w:sz="0" w:space="0" w:color="auto"/>
            <w:right w:val="none" w:sz="0" w:space="0" w:color="auto"/>
          </w:divBdr>
        </w:div>
        <w:div w:id="888734861">
          <w:marLeft w:val="0"/>
          <w:marRight w:val="0"/>
          <w:marTop w:val="0"/>
          <w:marBottom w:val="0"/>
          <w:divBdr>
            <w:top w:val="none" w:sz="0" w:space="0" w:color="auto"/>
            <w:left w:val="none" w:sz="0" w:space="0" w:color="auto"/>
            <w:bottom w:val="none" w:sz="0" w:space="0" w:color="auto"/>
            <w:right w:val="none" w:sz="0" w:space="0" w:color="auto"/>
          </w:divBdr>
        </w:div>
        <w:div w:id="1059867558">
          <w:marLeft w:val="0"/>
          <w:marRight w:val="0"/>
          <w:marTop w:val="0"/>
          <w:marBottom w:val="0"/>
          <w:divBdr>
            <w:top w:val="none" w:sz="0" w:space="0" w:color="auto"/>
            <w:left w:val="none" w:sz="0" w:space="0" w:color="auto"/>
            <w:bottom w:val="none" w:sz="0" w:space="0" w:color="auto"/>
            <w:right w:val="none" w:sz="0" w:space="0" w:color="auto"/>
          </w:divBdr>
        </w:div>
        <w:div w:id="1167746122">
          <w:marLeft w:val="0"/>
          <w:marRight w:val="0"/>
          <w:marTop w:val="0"/>
          <w:marBottom w:val="0"/>
          <w:divBdr>
            <w:top w:val="none" w:sz="0" w:space="0" w:color="auto"/>
            <w:left w:val="none" w:sz="0" w:space="0" w:color="auto"/>
            <w:bottom w:val="none" w:sz="0" w:space="0" w:color="auto"/>
            <w:right w:val="none" w:sz="0" w:space="0" w:color="auto"/>
          </w:divBdr>
        </w:div>
      </w:divsChild>
    </w:div>
    <w:div w:id="1526334071">
      <w:bodyDiv w:val="1"/>
      <w:marLeft w:val="0"/>
      <w:marRight w:val="0"/>
      <w:marTop w:val="0"/>
      <w:marBottom w:val="0"/>
      <w:divBdr>
        <w:top w:val="none" w:sz="0" w:space="0" w:color="auto"/>
        <w:left w:val="none" w:sz="0" w:space="0" w:color="auto"/>
        <w:bottom w:val="none" w:sz="0" w:space="0" w:color="auto"/>
        <w:right w:val="none" w:sz="0" w:space="0" w:color="auto"/>
      </w:divBdr>
      <w:divsChild>
        <w:div w:id="800996863">
          <w:marLeft w:val="0"/>
          <w:marRight w:val="0"/>
          <w:marTop w:val="0"/>
          <w:marBottom w:val="0"/>
          <w:divBdr>
            <w:top w:val="none" w:sz="0" w:space="0" w:color="auto"/>
            <w:left w:val="none" w:sz="0" w:space="0" w:color="auto"/>
            <w:bottom w:val="none" w:sz="0" w:space="0" w:color="auto"/>
            <w:right w:val="none" w:sz="0" w:space="0" w:color="auto"/>
          </w:divBdr>
        </w:div>
        <w:div w:id="1391658543">
          <w:marLeft w:val="0"/>
          <w:marRight w:val="0"/>
          <w:marTop w:val="0"/>
          <w:marBottom w:val="0"/>
          <w:divBdr>
            <w:top w:val="none" w:sz="0" w:space="0" w:color="auto"/>
            <w:left w:val="none" w:sz="0" w:space="0" w:color="auto"/>
            <w:bottom w:val="none" w:sz="0" w:space="0" w:color="auto"/>
            <w:right w:val="none" w:sz="0" w:space="0" w:color="auto"/>
          </w:divBdr>
        </w:div>
        <w:div w:id="1421220132">
          <w:marLeft w:val="0"/>
          <w:marRight w:val="0"/>
          <w:marTop w:val="0"/>
          <w:marBottom w:val="0"/>
          <w:divBdr>
            <w:top w:val="none" w:sz="0" w:space="0" w:color="auto"/>
            <w:left w:val="none" w:sz="0" w:space="0" w:color="auto"/>
            <w:bottom w:val="none" w:sz="0" w:space="0" w:color="auto"/>
            <w:right w:val="none" w:sz="0" w:space="0" w:color="auto"/>
          </w:divBdr>
        </w:div>
        <w:div w:id="1590459300">
          <w:marLeft w:val="0"/>
          <w:marRight w:val="0"/>
          <w:marTop w:val="0"/>
          <w:marBottom w:val="0"/>
          <w:divBdr>
            <w:top w:val="none" w:sz="0" w:space="0" w:color="auto"/>
            <w:left w:val="none" w:sz="0" w:space="0" w:color="auto"/>
            <w:bottom w:val="none" w:sz="0" w:space="0" w:color="auto"/>
            <w:right w:val="none" w:sz="0" w:space="0" w:color="auto"/>
          </w:divBdr>
        </w:div>
        <w:div w:id="1810243799">
          <w:marLeft w:val="0"/>
          <w:marRight w:val="0"/>
          <w:marTop w:val="0"/>
          <w:marBottom w:val="0"/>
          <w:divBdr>
            <w:top w:val="none" w:sz="0" w:space="0" w:color="auto"/>
            <w:left w:val="none" w:sz="0" w:space="0" w:color="auto"/>
            <w:bottom w:val="none" w:sz="0" w:space="0" w:color="auto"/>
            <w:right w:val="none" w:sz="0" w:space="0" w:color="auto"/>
          </w:divBdr>
        </w:div>
        <w:div w:id="1818259029">
          <w:marLeft w:val="0"/>
          <w:marRight w:val="0"/>
          <w:marTop w:val="0"/>
          <w:marBottom w:val="0"/>
          <w:divBdr>
            <w:top w:val="none" w:sz="0" w:space="0" w:color="auto"/>
            <w:left w:val="none" w:sz="0" w:space="0" w:color="auto"/>
            <w:bottom w:val="none" w:sz="0" w:space="0" w:color="auto"/>
            <w:right w:val="none" w:sz="0" w:space="0" w:color="auto"/>
          </w:divBdr>
        </w:div>
        <w:div w:id="2146073875">
          <w:marLeft w:val="0"/>
          <w:marRight w:val="0"/>
          <w:marTop w:val="0"/>
          <w:marBottom w:val="0"/>
          <w:divBdr>
            <w:top w:val="none" w:sz="0" w:space="0" w:color="auto"/>
            <w:left w:val="none" w:sz="0" w:space="0" w:color="auto"/>
            <w:bottom w:val="none" w:sz="0" w:space="0" w:color="auto"/>
            <w:right w:val="none" w:sz="0" w:space="0" w:color="auto"/>
          </w:divBdr>
        </w:div>
      </w:divsChild>
    </w:div>
    <w:div w:id="1646542936">
      <w:bodyDiv w:val="1"/>
      <w:marLeft w:val="0"/>
      <w:marRight w:val="0"/>
      <w:marTop w:val="0"/>
      <w:marBottom w:val="0"/>
      <w:divBdr>
        <w:top w:val="none" w:sz="0" w:space="0" w:color="auto"/>
        <w:left w:val="none" w:sz="0" w:space="0" w:color="auto"/>
        <w:bottom w:val="none" w:sz="0" w:space="0" w:color="auto"/>
        <w:right w:val="none" w:sz="0" w:space="0" w:color="auto"/>
      </w:divBdr>
      <w:divsChild>
        <w:div w:id="1734889058">
          <w:marLeft w:val="0"/>
          <w:marRight w:val="0"/>
          <w:marTop w:val="0"/>
          <w:marBottom w:val="0"/>
          <w:divBdr>
            <w:top w:val="none" w:sz="0" w:space="0" w:color="auto"/>
            <w:left w:val="none" w:sz="0" w:space="0" w:color="auto"/>
            <w:bottom w:val="none" w:sz="0" w:space="0" w:color="auto"/>
            <w:right w:val="none" w:sz="0" w:space="0" w:color="auto"/>
          </w:divBdr>
        </w:div>
      </w:divsChild>
    </w:div>
    <w:div w:id="1767924629">
      <w:bodyDiv w:val="1"/>
      <w:marLeft w:val="0"/>
      <w:marRight w:val="0"/>
      <w:marTop w:val="0"/>
      <w:marBottom w:val="0"/>
      <w:divBdr>
        <w:top w:val="none" w:sz="0" w:space="0" w:color="auto"/>
        <w:left w:val="none" w:sz="0" w:space="0" w:color="auto"/>
        <w:bottom w:val="none" w:sz="0" w:space="0" w:color="auto"/>
        <w:right w:val="none" w:sz="0" w:space="0" w:color="auto"/>
      </w:divBdr>
      <w:divsChild>
        <w:div w:id="650334071">
          <w:marLeft w:val="0"/>
          <w:marRight w:val="0"/>
          <w:marTop w:val="0"/>
          <w:marBottom w:val="0"/>
          <w:divBdr>
            <w:top w:val="none" w:sz="0" w:space="0" w:color="auto"/>
            <w:left w:val="none" w:sz="0" w:space="0" w:color="auto"/>
            <w:bottom w:val="none" w:sz="0" w:space="0" w:color="auto"/>
            <w:right w:val="none" w:sz="0" w:space="0" w:color="auto"/>
          </w:divBdr>
        </w:div>
        <w:div w:id="964773651">
          <w:marLeft w:val="0"/>
          <w:marRight w:val="0"/>
          <w:marTop w:val="0"/>
          <w:marBottom w:val="0"/>
          <w:divBdr>
            <w:top w:val="none" w:sz="0" w:space="0" w:color="auto"/>
            <w:left w:val="none" w:sz="0" w:space="0" w:color="auto"/>
            <w:bottom w:val="none" w:sz="0" w:space="0" w:color="auto"/>
            <w:right w:val="none" w:sz="0" w:space="0" w:color="auto"/>
          </w:divBdr>
        </w:div>
        <w:div w:id="1064912580">
          <w:marLeft w:val="0"/>
          <w:marRight w:val="0"/>
          <w:marTop w:val="0"/>
          <w:marBottom w:val="0"/>
          <w:divBdr>
            <w:top w:val="none" w:sz="0" w:space="0" w:color="auto"/>
            <w:left w:val="none" w:sz="0" w:space="0" w:color="auto"/>
            <w:bottom w:val="none" w:sz="0" w:space="0" w:color="auto"/>
            <w:right w:val="none" w:sz="0" w:space="0" w:color="auto"/>
          </w:divBdr>
        </w:div>
      </w:divsChild>
    </w:div>
    <w:div w:id="1796487740">
      <w:bodyDiv w:val="1"/>
      <w:marLeft w:val="0"/>
      <w:marRight w:val="0"/>
      <w:marTop w:val="0"/>
      <w:marBottom w:val="0"/>
      <w:divBdr>
        <w:top w:val="none" w:sz="0" w:space="0" w:color="auto"/>
        <w:left w:val="none" w:sz="0" w:space="0" w:color="auto"/>
        <w:bottom w:val="none" w:sz="0" w:space="0" w:color="auto"/>
        <w:right w:val="none" w:sz="0" w:space="0" w:color="auto"/>
      </w:divBdr>
      <w:divsChild>
        <w:div w:id="1503931258">
          <w:marLeft w:val="0"/>
          <w:marRight w:val="0"/>
          <w:marTop w:val="0"/>
          <w:marBottom w:val="0"/>
          <w:divBdr>
            <w:top w:val="none" w:sz="0" w:space="0" w:color="auto"/>
            <w:left w:val="none" w:sz="0" w:space="0" w:color="auto"/>
            <w:bottom w:val="none" w:sz="0" w:space="0" w:color="auto"/>
            <w:right w:val="none" w:sz="0" w:space="0" w:color="auto"/>
          </w:divBdr>
        </w:div>
        <w:div w:id="1898123854">
          <w:marLeft w:val="0"/>
          <w:marRight w:val="0"/>
          <w:marTop w:val="0"/>
          <w:marBottom w:val="0"/>
          <w:divBdr>
            <w:top w:val="none" w:sz="0" w:space="0" w:color="auto"/>
            <w:left w:val="none" w:sz="0" w:space="0" w:color="auto"/>
            <w:bottom w:val="none" w:sz="0" w:space="0" w:color="auto"/>
            <w:right w:val="none" w:sz="0" w:space="0" w:color="auto"/>
          </w:divBdr>
        </w:div>
      </w:divsChild>
    </w:div>
    <w:div w:id="1952590903">
      <w:bodyDiv w:val="1"/>
      <w:marLeft w:val="0"/>
      <w:marRight w:val="0"/>
      <w:marTop w:val="0"/>
      <w:marBottom w:val="0"/>
      <w:divBdr>
        <w:top w:val="none" w:sz="0" w:space="0" w:color="auto"/>
        <w:left w:val="none" w:sz="0" w:space="0" w:color="auto"/>
        <w:bottom w:val="none" w:sz="0" w:space="0" w:color="auto"/>
        <w:right w:val="none" w:sz="0" w:space="0" w:color="auto"/>
      </w:divBdr>
      <w:divsChild>
        <w:div w:id="231621311">
          <w:marLeft w:val="0"/>
          <w:marRight w:val="0"/>
          <w:marTop w:val="0"/>
          <w:marBottom w:val="0"/>
          <w:divBdr>
            <w:top w:val="none" w:sz="0" w:space="0" w:color="auto"/>
            <w:left w:val="none" w:sz="0" w:space="0" w:color="auto"/>
            <w:bottom w:val="none" w:sz="0" w:space="0" w:color="auto"/>
            <w:right w:val="none" w:sz="0" w:space="0" w:color="auto"/>
          </w:divBdr>
        </w:div>
        <w:div w:id="1783108839">
          <w:marLeft w:val="0"/>
          <w:marRight w:val="0"/>
          <w:marTop w:val="0"/>
          <w:marBottom w:val="0"/>
          <w:divBdr>
            <w:top w:val="none" w:sz="0" w:space="0" w:color="auto"/>
            <w:left w:val="none" w:sz="0" w:space="0" w:color="auto"/>
            <w:bottom w:val="none" w:sz="0" w:space="0" w:color="auto"/>
            <w:right w:val="none" w:sz="0" w:space="0" w:color="auto"/>
          </w:divBdr>
        </w:div>
        <w:div w:id="1917550323">
          <w:marLeft w:val="0"/>
          <w:marRight w:val="0"/>
          <w:marTop w:val="0"/>
          <w:marBottom w:val="0"/>
          <w:divBdr>
            <w:top w:val="none" w:sz="0" w:space="0" w:color="auto"/>
            <w:left w:val="none" w:sz="0" w:space="0" w:color="auto"/>
            <w:bottom w:val="none" w:sz="0" w:space="0" w:color="auto"/>
            <w:right w:val="none" w:sz="0" w:space="0" w:color="auto"/>
          </w:divBdr>
        </w:div>
        <w:div w:id="1948779327">
          <w:marLeft w:val="0"/>
          <w:marRight w:val="0"/>
          <w:marTop w:val="0"/>
          <w:marBottom w:val="0"/>
          <w:divBdr>
            <w:top w:val="none" w:sz="0" w:space="0" w:color="auto"/>
            <w:left w:val="none" w:sz="0" w:space="0" w:color="auto"/>
            <w:bottom w:val="none" w:sz="0" w:space="0" w:color="auto"/>
            <w:right w:val="none" w:sz="0" w:space="0" w:color="auto"/>
          </w:divBdr>
        </w:div>
      </w:divsChild>
    </w:div>
    <w:div w:id="2000772396">
      <w:bodyDiv w:val="1"/>
      <w:marLeft w:val="0"/>
      <w:marRight w:val="0"/>
      <w:marTop w:val="0"/>
      <w:marBottom w:val="0"/>
      <w:divBdr>
        <w:top w:val="none" w:sz="0" w:space="0" w:color="auto"/>
        <w:left w:val="none" w:sz="0" w:space="0" w:color="auto"/>
        <w:bottom w:val="none" w:sz="0" w:space="0" w:color="auto"/>
        <w:right w:val="none" w:sz="0" w:space="0" w:color="auto"/>
      </w:divBdr>
      <w:divsChild>
        <w:div w:id="1374840628">
          <w:marLeft w:val="0"/>
          <w:marRight w:val="0"/>
          <w:marTop w:val="0"/>
          <w:marBottom w:val="0"/>
          <w:divBdr>
            <w:top w:val="none" w:sz="0" w:space="0" w:color="auto"/>
            <w:left w:val="none" w:sz="0" w:space="0" w:color="auto"/>
            <w:bottom w:val="none" w:sz="0" w:space="0" w:color="auto"/>
            <w:right w:val="none" w:sz="0" w:space="0" w:color="auto"/>
          </w:divBdr>
        </w:div>
        <w:div w:id="1801611828">
          <w:marLeft w:val="0"/>
          <w:marRight w:val="0"/>
          <w:marTop w:val="0"/>
          <w:marBottom w:val="0"/>
          <w:divBdr>
            <w:top w:val="none" w:sz="0" w:space="0" w:color="auto"/>
            <w:left w:val="none" w:sz="0" w:space="0" w:color="auto"/>
            <w:bottom w:val="none" w:sz="0" w:space="0" w:color="auto"/>
            <w:right w:val="none" w:sz="0" w:space="0" w:color="auto"/>
          </w:divBdr>
        </w:div>
        <w:div w:id="19986544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gandaliving.com/author/nyongesasande/" TargetMode="External"/><Relationship Id="rId18" Type="http://schemas.openxmlformats.org/officeDocument/2006/relationships/hyperlink" Target="https://doi.org/10.1108/JHOM-12-%092020-0478" TargetMode="External"/><Relationship Id="rId26" Type="http://schemas.openxmlformats.org/officeDocument/2006/relationships/hyperlink" Target="https://www.cphl.go.ug/web/sites/%20%09default/files/2024-10/DHIS2%20USER%20MANUAL%20UGANDA.pdf" TargetMode="External"/><Relationship Id="rId39" Type="http://schemas.openxmlformats.org/officeDocument/2006/relationships/hyperlink" Target="https://microdata.worldbank.org/catalog/860/download/19322" TargetMode="External"/><Relationship Id="rId21" Type="http://schemas.openxmlformats.org/officeDocument/2006/relationships/hyperlink" Target="https://insight7.io/author/hello-insight/" TargetMode="External"/><Relationship Id="rId34" Type="http://schemas.openxmlformats.org/officeDocument/2006/relationships/hyperlink" Target="https://link.springer.com/article/%20%0910.1186/s%2012913-022-07947-x" TargetMode="External"/><Relationship Id="rId42" Type="http://schemas.openxmlformats.org/officeDocument/2006/relationships/hyperlink" Target="https://www.ugandaliving.com/241/the-best-mission-hospitals-in-uganda/" TargetMode="External"/><Relationship Id="rId47" Type="http://schemas.openxmlformats.org/officeDocument/2006/relationships/hyperlink" Target="https://doi.org/10.3390/encyclopedia5020051" TargetMode="External"/><Relationship Id="rId50" Type="http://schemas.openxmlformats.org/officeDocument/2006/relationships/hyperlink" Target="https://www.go2itech.org/HTML/TT06/toolkit/assessment/print/AssessTrnNeeds/KeyInf%09ormantGuide.doc"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23937/2469-5823/1510053" TargetMode="External"/><Relationship Id="rId29" Type="http://schemas.openxmlformats.org/officeDocument/2006/relationships/hyperlink" Target="https://www2.fundsforngos.org/articles-listicles/10-key-metrics-to-share-with-donors-%09and-grant-agencies/" TargetMode="External"/><Relationship Id="rId11" Type="http://schemas.openxmlformats.org/officeDocument/2006/relationships/hyperlink" Target="https://www.ugandaliving.com/author/nyongesasande/" TargetMode="External"/><Relationship Id="rId24" Type="http://schemas.openxmlformats.org/officeDocument/2006/relationships/hyperlink" Target="https://htdhealth.com/insights/cultural-awareness-and-competence-in-healthcare/" TargetMode="External"/><Relationship Id="rId32" Type="http://schemas.openxmlformats.org/officeDocument/2006/relationships/hyperlink" Target="https://hejnu.ug/church-founded-%09health-facilities-warn-of-financial-crisis-as-donor-funding-declines/" TargetMode="External"/><Relationship Id="rId37" Type="http://schemas.openxmlformats.org/officeDocument/2006/relationships/hyperlink" Target="https://library.health.go.ug/sites/default/files/resources/Annual%20Health%20Sector%20%09Performance%20Report%20FY%202023_24.pdf" TargetMode="External"/><Relationship Id="rId40" Type="http://schemas.openxmlformats.org/officeDocument/2006/relationships/hyperlink" Target="https://ir.umu.ac.ug/items/29e37b5b-68f3-4738-b2f6-0e3a8893cd08" TargetMode="External"/><Relationship Id="rId45" Type="http://schemas.openxmlformats.org/officeDocument/2006/relationships/hyperlink" Target="https://www.qualityinteractions.com/blog/the-business-case-for-cultural-competence-%09in-healthcare"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rcid.Org/0009-0007-1672-5806" TargetMode="External"/><Relationship Id="rId19" Type="http://schemas.openxmlformats.org/officeDocument/2006/relationships/hyperlink" Target="https://atlasti.com/guides/thematic-analysis/thematic-analysis-interviews" TargetMode="External"/><Relationship Id="rId31" Type="http://schemas.openxmlformats.org/officeDocument/2006/relationships/hyperlink" Target="https://hanseisolutions.com/healthcare-patient-retention-importance-%09strategies-calculation/" TargetMode="External"/><Relationship Id="rId44" Type="http://schemas.openxmlformats.org/officeDocument/2006/relationships/hyperlink" Target="https://www.ebsco.com/research-starters/nursing-and-allied-health/purnell-model-%09cultural-competence" TargetMode="External"/><Relationship Id="rId52" Type="http://schemas.openxmlformats.org/officeDocument/2006/relationships/hyperlink" Target="https://www.jstor.org/stable/48516391" TargetMode="External"/><Relationship Id="rId4" Type="http://schemas.openxmlformats.org/officeDocument/2006/relationships/settings" Target="settings.xml"/><Relationship Id="rId9" Type="http://schemas.openxmlformats.org/officeDocument/2006/relationships/hyperlink" Target="mailto:jjemba.ssejjemba@studmc.kiu.ac.ug" TargetMode="External"/><Relationship Id="rId14" Type="http://schemas.openxmlformats.org/officeDocument/2006/relationships/hyperlink" Target="https://www.ugandaliving.com/author/nyongesasande/" TargetMode="External"/><Relationship Id="rId22" Type="http://schemas.openxmlformats.org/officeDocument/2006/relationships/hyperlink" Target="https://insight7.io/how-to-analyze-themes-from-culture-interviews/" TargetMode="External"/><Relationship Id="rId27" Type="http://schemas.openxmlformats.org/officeDocument/2006/relationships/hyperlink" Target="https://methods.sagepub.com/book/mono/%20%09preview/mixed-methods-in-health-sciences-research-a-practical-primer.pdf" TargetMode="External"/><Relationship Id="rId30" Type="http://schemas.openxmlformats.org/officeDocument/2006/relationships/hyperlink" Target="https://library.health.go.ug/sites/default/files/resources/National%20Policy%20on%20Public%20Private%20%09Partnerships%20in%20Health%20Final%20Print_0.pdf" TargetMode="External"/><Relationship Id="rId35" Type="http://schemas.openxmlformats.org/officeDocument/2006/relationships/hyperlink" Target="https://lubagahospital.org/reports/" TargetMode="External"/><Relationship Id="rId43" Type="http://schemas.openxmlformats.org/officeDocument/2006/relationships/hyperlink" Target="https://ucmb.co.ug/?smd_process_download=1&amp;download_id=1562" TargetMode="External"/><Relationship Id="rId48" Type="http://schemas.openxmlformats.org/officeDocument/2006/relationships/hyperlink" Target="https://www.sequencehealth.com/blog/what-is-patient-retention-and-why-%09does-it-matter-for-your-practice" TargetMode="External"/><Relationship Id="rId8" Type="http://schemas.openxmlformats.org/officeDocument/2006/relationships/hyperlink" Target="mailto:paul.ojambo.45859@studmc.kiu.ac.ug" TargetMode="External"/><Relationship Id="rId51" Type="http://schemas.openxmlformats.org/officeDocument/2006/relationships/hyperlink" Target="https://www.unhcr.org/africa/publications/key-informant-interview-tool" TargetMode="External"/><Relationship Id="rId3" Type="http://schemas.openxmlformats.org/officeDocument/2006/relationships/styles" Target="styles.xml"/><Relationship Id="rId12" Type="http://schemas.openxmlformats.org/officeDocument/2006/relationships/hyperlink" Target="https://www.ugandaliving.com/author/nyongesasande/" TargetMode="External"/><Relationship Id="rId17" Type="http://schemas.openxmlformats.org/officeDocument/2006/relationships/hyperlink" Target="https://clinmedjournals.org/articles/ianhc/international-archives-of-nursing-and-health-%09care-ianhc-2-053.php" TargetMode="External"/><Relationship Id="rId25" Type="http://schemas.openxmlformats.org/officeDocument/2006/relationships/hyperlink" Target="https://cpcrn.org/cms/files/Resource%20Dependency%20Theory" TargetMode="External"/><Relationship Id="rId33" Type="http://schemas.openxmlformats.org/officeDocument/2006/relationships/hyperlink" Target="https://doi.org/10.1186/s12913-022-07947-x" TargetMode="External"/><Relationship Id="rId38" Type="http://schemas.openxmlformats.org/officeDocument/2006/relationships/hyperlink" Target="https://pallisa.go.ug/sites/default/files/Health%20Sub%20%09Programme%20Budget%20and%20Grant%20Guidelines%2001.06.2023.pdf" TargetMode="External"/><Relationship Id="rId46" Type="http://schemas.openxmlformats.org/officeDocument/2006/relationships/hyperlink" Target="https://esg.sustainability-directory.com/question/how-can-ngo-diversify-funding-sources/" TargetMode="External"/><Relationship Id="rId20" Type="http://schemas.openxmlformats.org/officeDocument/2006/relationships/hyperlink" Target="https://miota" TargetMode="External"/><Relationship Id="rId41" Type="http://schemas.openxmlformats.org/officeDocument/2006/relationships/hyperlink" Target="https://www.ugandaliving.com/author/nyongesasand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sight7.io/author/hello-insight/" TargetMode="External"/><Relationship Id="rId23" Type="http://schemas.openxmlformats.org/officeDocument/2006/relationships/hyperlink" Target="https://doi.org/10.1371/journal.pone.0170988" TargetMode="External"/><Relationship Id="rId28" Type="http://schemas.openxmlformats.org/officeDocument/2006/relationships/hyperlink" Target="https://fastercapital.com/content/Specialty-Hospital-Diversity--Cultural-Competence-in-%09Healthcare-Marketing--Lessons-from-Specialty-Hospitals.html" TargetMode="External"/><Relationship Id="rId36" Type="http://schemas.openxmlformats.org/officeDocument/2006/relationships/hyperlink" Target="https://mengohospital.org/directorate/directorate-of-finance/" TargetMode="External"/><Relationship Id="rId49" Type="http://schemas.openxmlformats.org/officeDocument/2006/relationships/hyperlink" Target="https://www.nursingcarejournal.info/archives/2026/vol1issue1/PartA/1-1-9-6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A694-A188-4927-A402-2FB58F3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7461</Words>
  <Characters>42533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NLS Powerplant</dc:creator>
  <cp:keywords/>
  <dc:description/>
  <cp:lastModifiedBy>ACCOUNTANT</cp:lastModifiedBy>
  <cp:revision>5</cp:revision>
  <dcterms:created xsi:type="dcterms:W3CDTF">2026-03-30T20:24:00Z</dcterms:created>
  <dcterms:modified xsi:type="dcterms:W3CDTF">2026-03-31T12:32:00Z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-1360616682</vt:i4>
  </property>
</Properties>
</file>