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Arial" w:eastAsia="Calibri" w:cs="Arial" w:hAnsi="Arial"/>
          <w:b/>
          <w:sz w:val="22"/>
          <w:szCs w:val="22"/>
        </w:rPr>
      </w:pPr>
      <w:r>
        <w:rPr>
          <w:rFonts w:ascii="Arial" w:cs="Arial" w:hAnsi="Arial"/>
          <w:b/>
          <w:sz w:val="22"/>
          <w:szCs w:val="22"/>
        </w:rPr>
        <w:t>DEPED SCHOOL-BASED MANAGEMENT PRACTICES AND THE PERFORMANCE OF PUPILS</w:t>
      </w:r>
    </w:p>
    <w:p>
      <w:pPr>
        <w:jc w:val="center"/>
        <w:rPr>
          <w:rFonts w:ascii="Arial" w:cs="Arial" w:hAnsi="Arial"/>
          <w:b/>
          <w:bCs/>
          <w:sz w:val="22"/>
          <w:szCs w:val="22"/>
        </w:rPr>
      </w:pPr>
    </w:p>
    <w:p>
      <w:pPr>
        <w:jc w:val="center"/>
        <w:rPr>
          <w:rFonts w:ascii="Arial" w:cs="Arial" w:hAnsi="Arial"/>
          <w:b/>
          <w:bCs/>
          <w:sz w:val="22"/>
          <w:szCs w:val="22"/>
        </w:rPr>
      </w:pPr>
      <w:r>
        <w:rPr>
          <w:rFonts w:ascii="Arial" w:cs="Arial" w:hAnsi="Arial"/>
          <w:b/>
          <w:bCs/>
          <w:sz w:val="22"/>
          <w:szCs w:val="22"/>
        </w:rPr>
        <w:t>JOENIL M. MORALLOS</w:t>
      </w:r>
    </w:p>
    <w:p>
      <w:pPr>
        <w:jc w:val="center"/>
        <w:rPr>
          <w:rFonts w:ascii="Arial" w:cs="Arial" w:hAnsi="Arial"/>
          <w:bCs/>
          <w:sz w:val="22"/>
          <w:szCs w:val="22"/>
        </w:rPr>
      </w:pPr>
      <w:r>
        <w:rPr>
          <w:rFonts w:ascii="Arial" w:cs="Arial" w:hAnsi="Arial"/>
          <w:bCs/>
          <w:sz w:val="22"/>
          <w:szCs w:val="22"/>
        </w:rPr>
        <w:t>Head Teacher III</w:t>
      </w:r>
      <w:bookmarkStart w:id="0" w:name="_GoBack"/>
      <w:bookmarkEnd w:id="0"/>
    </w:p>
    <w:p>
      <w:pPr>
        <w:jc w:val="center"/>
        <w:rPr>
          <w:rFonts w:ascii="Arial" w:cs="Arial" w:hAnsi="Arial"/>
          <w:bCs/>
          <w:sz w:val="22"/>
          <w:szCs w:val="22"/>
        </w:rPr>
      </w:pPr>
      <w:r>
        <w:rPr>
          <w:rFonts w:ascii="Arial" w:cs="Arial" w:hAnsi="Arial"/>
          <w:bCs/>
          <w:sz w:val="22"/>
          <w:szCs w:val="22"/>
        </w:rPr>
        <w:t>DepEd, Buenavista Elementary School, Buenavista, Arteche, Eastern Samar</w:t>
      </w:r>
    </w:p>
    <w:p>
      <w:pPr>
        <w:jc w:val="center"/>
        <w:rPr>
          <w:rFonts w:ascii="Arial" w:cs="Arial" w:hAnsi="Arial"/>
          <w:bCs/>
          <w:sz w:val="22"/>
          <w:szCs w:val="22"/>
        </w:rPr>
      </w:pPr>
      <w:r>
        <w:rPr>
          <w:rStyle w:val="16"/>
          <w:rFonts w:ascii="Arial" w:cs="Arial" w:hAnsi="Arial"/>
          <w:bCs/>
          <w:sz w:val="22"/>
          <w:szCs w:val="22"/>
        </w:rPr>
        <w:fldChar w:fldCharType="begin"/>
      </w:r>
      <w:r>
        <w:instrText>HYPERLINK "mailto:joenil.morallos@deped.gov.ph"</w:instrText>
      </w:r>
      <w:r>
        <w:rPr>
          <w:rStyle w:val="16"/>
          <w:rFonts w:ascii="Arial" w:cs="Arial" w:hAnsi="Arial"/>
          <w:bCs/>
          <w:sz w:val="22"/>
          <w:szCs w:val="22"/>
        </w:rPr>
        <w:fldChar w:fldCharType="separate"/>
      </w:r>
      <w:r>
        <w:rPr>
          <w:rStyle w:val="16"/>
          <w:rFonts w:ascii="Arial" w:cs="Arial" w:hAnsi="Arial"/>
          <w:bCs/>
          <w:sz w:val="22"/>
          <w:szCs w:val="22"/>
        </w:rPr>
        <w:t>joenil.morallos@deped.gov.ph</w:t>
      </w:r>
      <w:r>
        <w:rPr>
          <w:rStyle w:val="16"/>
          <w:rFonts w:ascii="Arial" w:cs="Arial" w:hAnsi="Arial"/>
          <w:bCs/>
          <w:sz w:val="22"/>
          <w:szCs w:val="22"/>
        </w:rPr>
        <w:fldChar w:fldCharType="end"/>
      </w:r>
      <w:r>
        <w:rPr>
          <w:rFonts w:ascii="Arial" w:cs="Arial" w:hAnsi="Arial"/>
          <w:bCs/>
          <w:sz w:val="22"/>
          <w:szCs w:val="22"/>
        </w:rPr>
        <w:t xml:space="preserve"> </w:t>
      </w:r>
    </w:p>
    <w:p>
      <w:pPr>
        <w:jc w:val="center"/>
        <w:rPr>
          <w:rFonts w:ascii="Arial" w:cs="Arial" w:hAnsi="Arial"/>
          <w:b/>
          <w:bCs/>
          <w:sz w:val="8"/>
          <w:szCs w:val="22"/>
        </w:rPr>
      </w:pPr>
    </w:p>
    <w:p>
      <w:pPr>
        <w:jc w:val="center"/>
        <w:rPr>
          <w:rFonts w:ascii="Arial" w:cs="Arial" w:hAnsi="Arial"/>
          <w:b/>
          <w:sz w:val="22"/>
          <w:szCs w:val="22"/>
        </w:rPr>
      </w:pPr>
    </w:p>
    <w:p>
      <w:pPr>
        <w:jc w:val="center"/>
        <w:rPr>
          <w:rFonts w:ascii="Arial" w:cs="Arial" w:hAnsi="Arial"/>
          <w:b/>
          <w:sz w:val="22"/>
          <w:szCs w:val="22"/>
        </w:rPr>
      </w:pPr>
      <w:r>
        <w:rPr>
          <w:rFonts w:ascii="Arial" w:cs="Arial" w:hAnsi="Arial"/>
          <w:b/>
          <w:sz w:val="22"/>
          <w:szCs w:val="22"/>
        </w:rPr>
        <w:t>ABSTRACT</w:t>
      </w:r>
    </w:p>
    <w:p>
      <w:pPr>
        <w:jc w:val="center"/>
        <w:rPr>
          <w:rFonts w:ascii="Arial" w:cs="Arial" w:hAnsi="Arial"/>
          <w:b/>
          <w:sz w:val="22"/>
          <w:szCs w:val="22"/>
        </w:rPr>
      </w:pPr>
    </w:p>
    <w:p>
      <w:pPr>
        <w:jc w:val="both"/>
        <w:rPr>
          <w:rFonts w:ascii="Arial" w:cs="Arial" w:hAnsi="Arial"/>
          <w:b/>
          <w:color w:val="000000"/>
          <w:sz w:val="22"/>
          <w:szCs w:val="22"/>
        </w:rPr>
      </w:pPr>
      <w:r>
        <w:rPr>
          <w:rFonts w:ascii="Arial" w:cs="Arial" w:hAnsi="Arial"/>
          <w:b/>
          <w:color w:val="000000"/>
          <w:sz w:val="22"/>
          <w:szCs w:val="22"/>
        </w:rPr>
        <w:t>MORALLOS, JOENIL M.,</w:t>
      </w:r>
      <w:r>
        <w:rPr>
          <w:rFonts w:ascii="Arial" w:cs="Arial" w:hAnsi="Arial"/>
          <w:color w:val="000000"/>
          <w:sz w:val="22"/>
          <w:szCs w:val="22"/>
        </w:rPr>
        <w:t xml:space="preserve"> Eastern Samar State University, Borongan City, Eastern Samar, June 2023, </w:t>
      </w:r>
      <w:r>
        <w:rPr>
          <w:rFonts w:ascii="Arial" w:cs="Arial" w:hAnsi="Arial"/>
          <w:b/>
          <w:color w:val="000000"/>
          <w:sz w:val="22"/>
          <w:szCs w:val="22"/>
        </w:rPr>
        <w:t>DEPED SCHOOL-BASED MANAGEMENT PRACTICES AND THE PERFORMANCE OF PUPILS”</w:t>
      </w:r>
    </w:p>
    <w:p>
      <w:pPr>
        <w:jc w:val="both"/>
        <w:rPr>
          <w:rFonts w:ascii="Arial" w:cs="Arial" w:hAnsi="Arial"/>
          <w:b/>
          <w:color w:val="000000"/>
          <w:sz w:val="22"/>
          <w:szCs w:val="22"/>
        </w:rPr>
      </w:pPr>
    </w:p>
    <w:p>
      <w:pPr>
        <w:jc w:val="both"/>
        <w:rPr>
          <w:rFonts w:ascii="Arial" w:cs="Arial" w:hAnsi="Arial"/>
          <w:b/>
          <w:color w:val="000000"/>
          <w:sz w:val="22"/>
          <w:szCs w:val="22"/>
        </w:rPr>
      </w:pPr>
      <w:r>
        <w:rPr>
          <w:rFonts w:ascii="Arial" w:cs="Arial" w:hAnsi="Arial"/>
          <w:b/>
          <w:color w:val="000000"/>
          <w:sz w:val="22"/>
          <w:szCs w:val="22"/>
        </w:rPr>
        <w:t>ADVISER: VICENTE A. AGDA JR., DM</w:t>
      </w:r>
    </w:p>
    <w:p>
      <w:pPr>
        <w:spacing w:before="240" w:line="276" w:lineRule="auto"/>
        <w:ind w:firstLine="720"/>
        <w:jc w:val="both"/>
        <w:rPr>
          <w:rFonts w:ascii="Arial" w:cs="Arial" w:hAnsi="Arial"/>
          <w:color w:val="000000"/>
          <w:sz w:val="22"/>
          <w:szCs w:val="22"/>
        </w:rPr>
      </w:pPr>
      <w:r>
        <w:rPr>
          <w:rFonts w:ascii="Arial" w:cs="Arial" w:hAnsi="Arial"/>
          <w:color w:val="000000"/>
          <w:sz w:val="22"/>
          <w:szCs w:val="22"/>
        </w:rPr>
        <w:t xml:space="preserve">This study aimed to evaluate the DepEd School-Based Management Practices and the Performance of Pupils in the 12 DepEd Central Elementary Schools of the Northern </w:t>
      </w:r>
      <w:r>
        <w:rPr>
          <w:rFonts w:ascii="Arial" w:cs="Arial" w:hAnsi="Arial"/>
          <w:sz w:val="22"/>
          <w:szCs w:val="22"/>
        </w:rPr>
        <w:t>District</w:t>
      </w:r>
      <w:r>
        <w:rPr>
          <w:rFonts w:ascii="Arial" w:cs="Arial" w:hAnsi="Arial"/>
          <w:color w:val="000000"/>
          <w:sz w:val="22"/>
          <w:szCs w:val="22"/>
        </w:rPr>
        <w:t xml:space="preserve"> of Eastern Samar using correlation design through a survey method utilizing a structured questionnaire adopted from the Department of Education Revised School-Based Management Assessment Tool. Based on the gathered data, majority of the surveyed schools were under the maturing level or otherwise categorized as Level 2 schools based on SBM Management Practices in the area of leadership and governance. Also, schools were found out to be better in terms of accountability and continuous improvement. Only one of the four SBM aspects that is curriculum and instruction with relationship spearman (rho) r-value of 0.070 and p-value of 0.042 is significantly related to academic performance of schools and therefore interpreted to reject the null hypothesis. Thus, it is recommended that central elementary schools must consider improved School Based Management Practices for it to impact heavily on pupil’s academic performance.</w:t>
      </w:r>
    </w:p>
    <w:p>
      <w:pPr>
        <w:rPr>
          <w:rFonts w:ascii="Arial" w:cs="Arial" w:hAnsi="Arial"/>
          <w:i/>
          <w:color w:val="000000"/>
          <w:sz w:val="22"/>
          <w:szCs w:val="22"/>
        </w:rPr>
      </w:pPr>
    </w:p>
    <w:p>
      <w:pPr>
        <w:pStyle w:val="4"/>
        <w:rPr>
          <w:rFonts w:ascii="Arial" w:eastAsia="Times New Roman" w:cs="Arial" w:hAnsi="Arial"/>
          <w:iCs w:val="0"/>
          <w:color w:val="000000"/>
        </w:rPr>
      </w:pPr>
      <w:r>
        <w:rPr>
          <w:rFonts w:ascii="Arial" w:eastAsia="Times New Roman" w:cs="Arial" w:hAnsi="Arial"/>
          <w:iCs w:val="0"/>
          <w:color w:val="000000"/>
        </w:rPr>
        <w:t>Keywords: School-Based Management, Pupil’s Performance</w:t>
      </w:r>
    </w:p>
    <w:p>
      <w:pPr>
        <w:jc w:val="both"/>
        <w:rPr>
          <w:rFonts w:ascii="Arial" w:cs="Arial" w:hAnsi="Arial"/>
          <w:b/>
          <w:iCs/>
          <w:sz w:val="22"/>
          <w:szCs w:val="22"/>
        </w:rPr>
      </w:pPr>
    </w:p>
    <w:p>
      <w:pPr>
        <w:jc w:val="both"/>
        <w:rPr>
          <w:rFonts w:ascii="Arial" w:cs="Arial" w:hAnsi="Arial"/>
          <w:b/>
          <w:iCs/>
          <w:sz w:val="22"/>
          <w:szCs w:val="22"/>
        </w:rPr>
      </w:pPr>
    </w:p>
    <w:p>
      <w:pPr>
        <w:jc w:val="both"/>
        <w:rPr>
          <w:rFonts w:ascii="Arial" w:cs="Arial" w:hAnsi="Arial"/>
          <w:b/>
          <w:iCs/>
          <w:sz w:val="22"/>
          <w:szCs w:val="22"/>
        </w:rPr>
      </w:pPr>
      <w:r>
        <w:rPr>
          <w:rFonts w:ascii="Arial" w:cs="Arial" w:hAnsi="Arial"/>
          <w:b/>
          <w:iCs/>
          <w:sz w:val="22"/>
          <w:szCs w:val="22"/>
        </w:rPr>
        <w:t>INTRODUCTION</w:t>
      </w:r>
    </w:p>
    <w:p>
      <w:pPr>
        <w:jc w:val="both"/>
        <w:rPr>
          <w:rFonts w:ascii="Arial" w:cs="Arial" w:hAnsi="Arial"/>
          <w:iCs/>
          <w:sz w:val="22"/>
          <w:szCs w:val="22"/>
        </w:rPr>
      </w:pPr>
    </w:p>
    <w:p>
      <w:pPr>
        <w:spacing w:line="480" w:lineRule="auto"/>
        <w:ind w:right="-147" w:firstLine="720"/>
        <w:jc w:val="both"/>
        <w:rPr>
          <w:rFonts w:ascii="Arial" w:cs="Arial" w:hAnsi="Arial"/>
          <w:color w:val="000000"/>
          <w:sz w:val="22"/>
          <w:szCs w:val="22"/>
        </w:rPr>
      </w:pPr>
      <w:r>
        <w:rPr>
          <w:rFonts w:ascii="Arial" w:cs="Arial" w:hAnsi="Arial"/>
          <w:color w:val="000000"/>
          <w:sz w:val="22"/>
          <w:szCs w:val="22"/>
        </w:rPr>
        <w:t>Education systems globally emphasize improving learning outcomes through effective school leadership and decentralized governance. School-Based Management (SBM) has emerged as a key reform strategy aimed at empowering schools and improving accountability and performance (Leithwood et al., 2020; OECD, 2021).</w:t>
      </w:r>
    </w:p>
    <w:p>
      <w:pPr>
        <w:spacing w:line="480" w:lineRule="auto"/>
        <w:ind w:right="-147" w:firstLine="720"/>
        <w:jc w:val="both"/>
        <w:rPr>
          <w:rFonts w:ascii="Arial" w:cs="Arial" w:hAnsi="Arial"/>
          <w:color w:val="000000"/>
          <w:sz w:val="22"/>
          <w:szCs w:val="22"/>
        </w:rPr>
      </w:pPr>
    </w:p>
    <w:p>
      <w:pPr>
        <w:spacing w:line="480" w:lineRule="auto"/>
        <w:ind w:right="-147" w:firstLine="720"/>
        <w:jc w:val="both"/>
        <w:rPr>
          <w:rFonts w:ascii="Arial" w:cs="Arial" w:hAnsi="Arial"/>
          <w:color w:val="000000"/>
          <w:sz w:val="22"/>
          <w:szCs w:val="22"/>
        </w:rPr>
      </w:pPr>
      <w:r>
        <w:rPr>
          <w:rFonts w:ascii="Arial" w:cs="Arial" w:hAnsi="Arial"/>
          <w:color w:val="000000"/>
          <w:sz w:val="22"/>
          <w:szCs w:val="22"/>
        </w:rPr>
        <w:t>Recent studies highlight that while SBM enhances participation and governance, its direct impact on student achievement is often mediated by instructional quality (Hallinger &amp; Liu, 2022). Similarly, global education reforms emphasize that leadership and resource management must be aligned with classroom practices to yield measurable improvements in learning outcomes (UNESCO, 2021; World Bank, 2022).</w:t>
      </w:r>
    </w:p>
    <w:p>
      <w:pPr>
        <w:spacing w:line="480" w:lineRule="auto"/>
        <w:ind w:right="-147" w:firstLine="720"/>
        <w:jc w:val="both"/>
        <w:rPr>
          <w:rFonts w:ascii="Arial" w:cs="Arial" w:hAnsi="Arial"/>
          <w:color w:val="000000"/>
          <w:sz w:val="22"/>
          <w:szCs w:val="22"/>
        </w:rPr>
      </w:pPr>
    </w:p>
    <w:p>
      <w:pPr>
        <w:spacing w:line="480" w:lineRule="auto"/>
        <w:ind w:right="-147" w:firstLine="720"/>
        <w:jc w:val="both"/>
        <w:rPr>
          <w:rFonts w:ascii="Arial" w:cs="Arial" w:hAnsi="Arial"/>
          <w:color w:val="000000"/>
          <w:sz w:val="22"/>
          <w:szCs w:val="22"/>
        </w:rPr>
      </w:pPr>
      <w:r>
        <w:rPr>
          <w:rFonts w:ascii="Arial" w:cs="Arial" w:hAnsi="Arial"/>
          <w:color w:val="000000"/>
          <w:sz w:val="22"/>
          <w:szCs w:val="22"/>
        </w:rPr>
        <w:t>In the Philippine context, SBM has been institutionalized through Department of Education policies; however, empirical evidence on its effectiveness remains limited. This study addresses this gap by examining the relationship between SBM practices and pupil performance.</w:t>
      </w:r>
    </w:p>
    <w:p>
      <w:pPr>
        <w:spacing w:line="480" w:lineRule="auto"/>
        <w:ind w:right="-147"/>
        <w:jc w:val="both"/>
        <w:rPr>
          <w:rFonts w:ascii="Arial" w:cs="Arial" w:hAnsi="Arial"/>
          <w:b/>
          <w:color w:val="000000"/>
          <w:sz w:val="22"/>
          <w:szCs w:val="22"/>
        </w:rPr>
      </w:pPr>
    </w:p>
    <w:p>
      <w:pPr>
        <w:spacing w:line="480" w:lineRule="auto"/>
        <w:ind w:right="-147"/>
        <w:jc w:val="both"/>
        <w:rPr>
          <w:rFonts w:ascii="Arial" w:cs="Arial" w:hAnsi="Arial"/>
          <w:b/>
          <w:color w:val="000000"/>
          <w:sz w:val="22"/>
          <w:szCs w:val="22"/>
        </w:rPr>
      </w:pPr>
      <w:r>
        <w:rPr>
          <w:rFonts w:ascii="Arial" w:cs="Arial" w:hAnsi="Arial"/>
          <w:b/>
          <w:color w:val="000000"/>
          <w:sz w:val="22"/>
          <w:szCs w:val="22"/>
        </w:rPr>
        <w:t xml:space="preserve">Statement of the Problem </w:t>
      </w:r>
    </w:p>
    <w:p>
      <w:pPr>
        <w:spacing w:line="480" w:lineRule="auto"/>
        <w:ind w:right="-147" w:firstLine="720"/>
        <w:jc w:val="both"/>
        <w:rPr>
          <w:rFonts w:ascii="Arial" w:cs="Arial" w:hAnsi="Arial"/>
          <w:color w:val="000000"/>
          <w:sz w:val="22"/>
          <w:szCs w:val="22"/>
        </w:rPr>
      </w:pPr>
      <w:r>
        <w:rPr>
          <w:rFonts w:ascii="Arial" w:cs="Arial" w:hAnsi="Arial"/>
          <w:color w:val="000000"/>
          <w:sz w:val="22"/>
          <w:szCs w:val="22"/>
        </w:rPr>
        <w:t xml:space="preserve">This descriptive correlational study is aimed at determining the relationship between DepEd School-based Management Practices and the Performance of pupils among DepEd Central Elementary schools in the northern </w:t>
      </w:r>
      <w:r>
        <w:rPr>
          <w:rFonts w:ascii="Arial" w:cs="Arial" w:hAnsi="Arial"/>
          <w:sz w:val="22"/>
          <w:szCs w:val="22"/>
        </w:rPr>
        <w:t>d</w:t>
      </w:r>
      <w:r>
        <w:rPr>
          <w:rFonts w:ascii="Arial" w:cs="Arial" w:hAnsi="Arial"/>
          <w:color w:val="000000"/>
          <w:sz w:val="22"/>
          <w:szCs w:val="22"/>
        </w:rPr>
        <w:t>istrict of Eastern Samar. This answered the following research questions:</w:t>
      </w:r>
    </w:p>
    <w:p>
      <w:pPr>
        <w:spacing w:line="480" w:lineRule="auto"/>
        <w:ind w:right="-147"/>
        <w:jc w:val="both"/>
        <w:rPr>
          <w:rFonts w:ascii="Arial" w:cs="Arial" w:hAnsi="Arial"/>
          <w:color w:val="000000"/>
          <w:sz w:val="22"/>
          <w:szCs w:val="22"/>
        </w:rPr>
      </w:pPr>
      <w:r>
        <w:rPr>
          <w:rFonts w:ascii="Arial" w:cs="Arial" w:hAnsi="Arial"/>
          <w:color w:val="000000"/>
          <w:sz w:val="22"/>
          <w:szCs w:val="22"/>
        </w:rPr>
        <w:t xml:space="preserve">1. What are the DepEd school-based management practices of DepEd Central Elementary schools in the northern </w:t>
      </w:r>
      <w:r>
        <w:rPr>
          <w:rFonts w:ascii="Arial" w:cs="Arial" w:hAnsi="Arial"/>
          <w:sz w:val="22"/>
          <w:szCs w:val="22"/>
        </w:rPr>
        <w:t>district</w:t>
      </w:r>
      <w:r>
        <w:rPr>
          <w:rFonts w:ascii="Arial" w:cs="Arial" w:hAnsi="Arial"/>
          <w:color w:val="000000"/>
          <w:sz w:val="22"/>
          <w:szCs w:val="22"/>
        </w:rPr>
        <w:t xml:space="preserve"> of Eastern Samar in terms of the following parameters:</w:t>
      </w:r>
    </w:p>
    <w:p>
      <w:pPr>
        <w:spacing w:line="480" w:lineRule="auto"/>
        <w:ind w:right="-147" w:firstLine="360"/>
        <w:jc w:val="both"/>
        <w:rPr>
          <w:rFonts w:ascii="Arial" w:cs="Arial" w:hAnsi="Arial"/>
          <w:color w:val="000000"/>
          <w:sz w:val="22"/>
          <w:szCs w:val="22"/>
        </w:rPr>
      </w:pPr>
      <w:r>
        <w:rPr>
          <w:rFonts w:ascii="Arial" w:cs="Arial" w:hAnsi="Arial"/>
          <w:color w:val="000000"/>
          <w:sz w:val="22"/>
          <w:szCs w:val="22"/>
        </w:rPr>
        <w:t>1.1 leadership and governance;</w:t>
      </w:r>
    </w:p>
    <w:p>
      <w:pPr>
        <w:spacing w:line="480" w:lineRule="auto"/>
        <w:ind w:right="-147" w:firstLine="360"/>
        <w:jc w:val="both"/>
        <w:rPr>
          <w:rFonts w:ascii="Arial" w:cs="Arial" w:hAnsi="Arial"/>
          <w:color w:val="000000"/>
          <w:sz w:val="22"/>
          <w:szCs w:val="22"/>
        </w:rPr>
      </w:pPr>
      <w:r>
        <w:rPr>
          <w:rFonts w:ascii="Arial" w:cs="Arial" w:hAnsi="Arial"/>
          <w:color w:val="000000"/>
          <w:sz w:val="22"/>
          <w:szCs w:val="22"/>
        </w:rPr>
        <w:t>1.2 curriculum and instruction;</w:t>
      </w:r>
    </w:p>
    <w:p>
      <w:pPr>
        <w:spacing w:line="480" w:lineRule="auto"/>
        <w:ind w:right="-147" w:firstLine="360"/>
        <w:jc w:val="both"/>
        <w:rPr>
          <w:rFonts w:ascii="Arial" w:cs="Arial" w:hAnsi="Arial"/>
          <w:color w:val="000000"/>
          <w:sz w:val="22"/>
          <w:szCs w:val="22"/>
        </w:rPr>
      </w:pPr>
      <w:r>
        <w:rPr>
          <w:rFonts w:ascii="Arial" w:cs="Arial" w:hAnsi="Arial"/>
          <w:color w:val="000000"/>
          <w:sz w:val="22"/>
          <w:szCs w:val="22"/>
        </w:rPr>
        <w:t>1.3. accountability and continuous improvement and;</w:t>
      </w:r>
    </w:p>
    <w:p>
      <w:pPr>
        <w:spacing w:line="480" w:lineRule="auto"/>
        <w:ind w:right="-147" w:firstLine="360"/>
        <w:jc w:val="both"/>
        <w:rPr>
          <w:rFonts w:ascii="Arial" w:cs="Arial" w:hAnsi="Arial"/>
          <w:color w:val="000000"/>
          <w:sz w:val="22"/>
          <w:szCs w:val="22"/>
        </w:rPr>
      </w:pPr>
      <w:r>
        <w:rPr>
          <w:rFonts w:ascii="Arial" w:cs="Arial" w:hAnsi="Arial"/>
          <w:color w:val="000000"/>
          <w:sz w:val="22"/>
          <w:szCs w:val="22"/>
        </w:rPr>
        <w:t xml:space="preserve">1.4 management of resources </w:t>
      </w:r>
    </w:p>
    <w:p>
      <w:pPr>
        <w:spacing w:line="480" w:lineRule="auto"/>
        <w:ind w:right="-147"/>
        <w:jc w:val="both"/>
        <w:rPr>
          <w:rFonts w:ascii="Arial" w:cs="Arial" w:hAnsi="Arial"/>
          <w:color w:val="000000"/>
          <w:sz w:val="22"/>
          <w:szCs w:val="22"/>
        </w:rPr>
      </w:pPr>
      <w:r>
        <w:rPr>
          <w:rFonts w:ascii="Arial" w:cs="Arial" w:hAnsi="Arial"/>
          <w:color w:val="000000"/>
          <w:sz w:val="22"/>
          <w:szCs w:val="22"/>
        </w:rPr>
        <w:t>2. What is the level of pupil’s academic performance?</w:t>
      </w:r>
    </w:p>
    <w:p>
      <w:pPr>
        <w:spacing w:line="480" w:lineRule="auto"/>
        <w:ind w:right="-147"/>
        <w:jc w:val="both"/>
        <w:rPr>
          <w:rFonts w:ascii="Arial" w:cs="Arial" w:hAnsi="Arial"/>
          <w:color w:val="000000"/>
          <w:sz w:val="22"/>
          <w:szCs w:val="22"/>
        </w:rPr>
      </w:pPr>
      <w:r>
        <w:rPr>
          <w:rFonts w:ascii="Arial" w:cs="Arial" w:hAnsi="Arial"/>
          <w:color w:val="000000"/>
          <w:sz w:val="22"/>
          <w:szCs w:val="22"/>
        </w:rPr>
        <w:t>3. Is there a significant relationship between the DepEd School-based management practices and pupil’s academic performance?</w:t>
      </w:r>
    </w:p>
    <w:p>
      <w:pPr>
        <w:spacing w:line="480" w:lineRule="auto"/>
        <w:jc w:val="both"/>
        <w:rPr>
          <w:rFonts w:ascii="Arial" w:eastAsia="Calibri" w:cs="Arial" w:hAnsi="Arial"/>
          <w:b/>
          <w:sz w:val="10"/>
          <w:szCs w:val="22"/>
        </w:rPr>
      </w:pPr>
    </w:p>
    <w:p>
      <w:pPr>
        <w:rPr>
          <w:rFonts w:ascii="Arial" w:cs="Arial" w:hAnsi="Arial"/>
          <w:b/>
        </w:rPr>
      </w:pPr>
    </w:p>
    <w:p>
      <w:pPr>
        <w:rPr>
          <w:rFonts w:ascii="Arial" w:cs="Arial" w:hAnsi="Arial"/>
          <w:b/>
          <w:sz w:val="22"/>
        </w:rPr>
      </w:pPr>
      <w:r>
        <w:rPr>
          <w:rFonts w:ascii="Arial" w:cs="Arial" w:hAnsi="Arial"/>
          <w:b/>
          <w:sz w:val="22"/>
        </w:rPr>
        <w:t>METHODS</w:t>
      </w:r>
    </w:p>
    <w:p>
      <w:pPr>
        <w:rPr>
          <w:sz w:val="22"/>
        </w:rPr>
      </w:pPr>
    </w:p>
    <w:p>
      <w:pPr>
        <w:spacing w:line="480" w:lineRule="auto"/>
        <w:jc w:val="both"/>
        <w:rPr>
          <w:rFonts w:ascii="Arial" w:cs="Arial" w:hAnsi="Arial"/>
          <w:sz w:val="22"/>
        </w:rPr>
      </w:pPr>
      <w:r>
        <w:rPr>
          <w:rFonts w:ascii="Arial" w:cs="Arial" w:hAnsi="Arial"/>
          <w:sz w:val="22"/>
        </w:rPr>
        <w:t>This research employed descriptive correlational research design. This is to describe, analyze, and interpret the data gathered on the relationship between DepEd school-based management practices and pupil’s academic performance among central elementary schools of the northern districts of Eastern Samar division of the Department of Education. There were 12 central elementary schools included in this research namely: San Julian CES, Sulat CES, Taft CES, Can-avid CES, Dolores I CES, Dolores II CES,</w:t>
        <w:tab/>
        <w:t>Maslog CES, Oras East CES, Oras West CES, San Policarpo CES, Arteche CES, and Jipapad CES.</w:t>
      </w:r>
    </w:p>
    <w:p>
      <w:pPr>
        <w:spacing w:line="480" w:lineRule="auto"/>
        <w:ind w:firstLine="720"/>
        <w:jc w:val="both"/>
        <w:rPr>
          <w:rFonts w:ascii="Arial" w:cs="Arial" w:hAnsi="Arial"/>
          <w:sz w:val="22"/>
        </w:rPr>
      </w:pPr>
      <w:r>
        <w:rPr>
          <w:rFonts w:ascii="Arial" w:cs="Arial" w:hAnsi="Arial"/>
          <w:sz w:val="22"/>
        </w:rPr>
        <w:t>The respondents of the study were the pupils and school heads of the identified 12 central elementary schools.  The researcher involved one school head for every school. 10 % percent out of the total number of pupils per school were selected to respond to the survey questionnaire.</w:t>
      </w:r>
    </w:p>
    <w:p>
      <w:pPr>
        <w:tabs>
          <w:tab w:val="left" w:pos="142"/>
        </w:tabs>
        <w:spacing w:line="480" w:lineRule="auto"/>
        <w:jc w:val="both"/>
        <w:rPr>
          <w:rFonts w:ascii="Arial" w:cs="Arial" w:hAnsi="Arial"/>
          <w:sz w:val="22"/>
        </w:rPr>
      </w:pPr>
      <w:r>
        <w:rPr>
          <w:rFonts w:ascii="Arial" w:cs="Arial" w:hAnsi="Arial"/>
          <w:b/>
          <w:sz w:val="8"/>
        </w:rPr>
        <w:tab/>
        <w:tab/>
      </w:r>
      <w:r>
        <w:rPr>
          <w:rFonts w:ascii="Arial" w:cs="Arial" w:hAnsi="Arial"/>
          <w:sz w:val="22"/>
        </w:rPr>
        <w:t>A total enumeration count was used in the selection of school heads who served as respondents of the study while Quota Sampling was employed to select pupil respondents.</w:t>
      </w:r>
    </w:p>
    <w:p>
      <w:pPr>
        <w:tabs>
          <w:tab w:val="left" w:pos="142"/>
        </w:tabs>
        <w:spacing w:line="480" w:lineRule="auto"/>
        <w:jc w:val="both"/>
        <w:rPr>
          <w:rFonts w:ascii="Arial" w:cs="Arial" w:hAnsi="Arial"/>
          <w:sz w:val="22"/>
        </w:rPr>
      </w:pPr>
      <w:r>
        <w:rPr>
          <w:rFonts w:ascii="Arial" w:cs="Arial" w:hAnsi="Arial"/>
          <w:sz w:val="22"/>
        </w:rPr>
        <w:tab/>
        <w:tab/>
        <w:t>The researcher made use of a structured questionnaire adapted from the Department of Education Revised School-Based Management Assessment Tool based on DepEd Order No. 83, s. 2012. The tool was based on the “Framework and Standards for Effective School-Based Management Practice towards Improved Learning Outcomes” carried out by the Department of Education. Specifically, the tool was evidence-based and provided a baseline for those who are just starting a culture of SBM or for those schools progressing toward the next level of SBM practice.</w:t>
      </w:r>
    </w:p>
    <w:p>
      <w:pPr>
        <w:tabs>
          <w:tab w:val="left" w:pos="142"/>
        </w:tabs>
        <w:spacing w:line="480" w:lineRule="auto"/>
        <w:jc w:val="both"/>
        <w:rPr>
          <w:rFonts w:ascii="Arial" w:cs="Arial" w:hAnsi="Arial"/>
          <w:sz w:val="22"/>
        </w:rPr>
      </w:pPr>
      <w:r>
        <w:rPr>
          <w:rFonts w:ascii="Arial" w:cs="Arial" w:hAnsi="Arial"/>
          <w:sz w:val="22"/>
        </w:rPr>
        <w:tab/>
        <w:tab/>
        <w:t>Secondary data was also requested from each school. Respondents gave informed consent before participating in a survey. In order for respondents to give informed consent, researcher informed the respondents of the study's purpose, content, duration, and potential risks and benefits. Moreover, the researcher also informed the respondents that they do not have to answer all the survey questions. The researcher also made sure to keep respondents' identities confidential. To ensure confidentiality, researchers did not link respondents' identifiers to their survey responses when using data. The data record was kept in reasonably free from risk of damage. Where practicable, copies may be made of the data either to facilitate sharing among collaborators or to further safeguard it.</w:t>
      </w:r>
    </w:p>
    <w:p>
      <w:pPr>
        <w:rPr>
          <w:rFonts w:ascii="Arial" w:cs="Arial" w:hAnsi="Arial"/>
          <w:bCs/>
        </w:rPr>
      </w:pPr>
    </w:p>
    <w:p>
      <w:pPr>
        <w:spacing w:line="480" w:lineRule="auto"/>
        <w:jc w:val="both"/>
        <w:rPr>
          <w:rFonts w:ascii="Arial" w:eastAsia="Calibri" w:cs="Arial" w:hAnsi="Arial"/>
          <w:b/>
          <w:sz w:val="22"/>
          <w:szCs w:val="22"/>
        </w:rPr>
      </w:pPr>
    </w:p>
    <w:p>
      <w:pPr>
        <w:spacing w:line="480" w:lineRule="auto"/>
        <w:jc w:val="both"/>
        <w:rPr>
          <w:rFonts w:ascii="Arial" w:eastAsia="Calibri" w:cs="Arial" w:hAnsi="Arial"/>
          <w:b/>
          <w:sz w:val="22"/>
          <w:szCs w:val="22"/>
        </w:rPr>
      </w:pPr>
      <w:r>
        <w:rPr>
          <w:rFonts w:ascii="Arial" w:eastAsia="Calibri" w:cs="Arial" w:hAnsi="Arial"/>
          <w:b/>
          <w:sz w:val="22"/>
          <w:szCs w:val="22"/>
        </w:rPr>
        <w:t>RESULTS AND DICUSSION</w:t>
      </w:r>
    </w:p>
    <w:p>
      <w:pPr>
        <w:spacing w:line="480" w:lineRule="auto"/>
        <w:ind w:firstLine="720"/>
        <w:jc w:val="both"/>
        <w:rPr>
          <w:rFonts w:ascii="Arial" w:cs="Arial" w:hAnsi="Arial"/>
          <w:sz w:val="22"/>
          <w:szCs w:val="22"/>
        </w:rPr>
      </w:pPr>
      <w:r>
        <w:rPr>
          <w:rFonts w:ascii="Arial" w:cs="Arial" w:hAnsi="Arial"/>
          <w:sz w:val="22"/>
          <w:szCs w:val="22"/>
        </w:rPr>
        <w:t>The findings revealed that curriculum and instruction significantly influenced pupil performance. This supports contemporary research emphasizing that instructional leadership and classroom practices are primary drivers of student achievement (Hallinger &amp; Liu, 2022; Leithwood et al., 2020).</w:t>
      </w:r>
    </w:p>
    <w:p>
      <w:pPr>
        <w:spacing w:line="480" w:lineRule="auto"/>
        <w:ind w:firstLine="720"/>
        <w:jc w:val="both"/>
        <w:rPr>
          <w:rFonts w:ascii="Arial" w:cs="Arial" w:hAnsi="Arial"/>
          <w:sz w:val="22"/>
          <w:szCs w:val="22"/>
        </w:rPr>
      </w:pPr>
      <w:r>
        <w:rPr>
          <w:rFonts w:ascii="Arial" w:cs="Arial" w:hAnsi="Arial"/>
          <w:sz w:val="22"/>
          <w:szCs w:val="22"/>
        </w:rPr>
        <w:t>In contrast, leadership and governance, accountability, and resource management did not show significant relationships. This may be explained by their indirect influence on learning outcomes, as supported by OECD (2021), which suggests that leadership impacts student performance primarily through teacher effectiveness and school climate.</w:t>
      </w:r>
    </w:p>
    <w:p>
      <w:pPr>
        <w:spacing w:line="480" w:lineRule="auto"/>
        <w:ind w:firstLine="720"/>
        <w:jc w:val="both"/>
        <w:rPr>
          <w:rFonts w:ascii="Arial" w:cs="Arial" w:hAnsi="Arial"/>
          <w:sz w:val="22"/>
          <w:szCs w:val="22"/>
        </w:rPr>
      </w:pPr>
      <w:r>
        <w:rPr>
          <w:rFonts w:ascii="Arial" w:cs="Arial" w:hAnsi="Arial"/>
          <w:sz w:val="22"/>
          <w:szCs w:val="22"/>
        </w:rPr>
        <w:t>Additionally, the relatively uniform SBM level among schools may have limited variability, affecting correlation results. External factors such as socio-economic conditions and teacher quality may also play significant roles (World Bank, 2022).</w:t>
      </w:r>
    </w:p>
    <w:p>
      <w:pPr>
        <w:contextualSpacing/>
        <w:rPr>
          <w:rFonts w:ascii="Arial" w:cs="Arial" w:hAnsi="Arial"/>
          <w:sz w:val="22"/>
          <w:szCs w:val="22"/>
        </w:rPr>
      </w:pPr>
    </w:p>
    <w:p>
      <w:pPr>
        <w:contextualSpacing/>
        <w:rPr>
          <w:rFonts w:ascii="Arial" w:cs="Arial" w:hAnsi="Arial"/>
          <w:sz w:val="22"/>
          <w:szCs w:val="22"/>
        </w:rPr>
      </w:pPr>
      <w:r>
        <w:rPr>
          <w:rFonts w:ascii="Arial" w:cs="Arial" w:hAnsi="Arial"/>
          <w:sz w:val="22"/>
          <w:szCs w:val="22"/>
        </w:rPr>
        <w:t xml:space="preserve">Table 1. Descriptive summary of School-Based Management Practices in terms of </w:t>
        <w:tab/>
        <w:t>leadership and governance</w:t>
      </w:r>
    </w:p>
    <w:p>
      <w:pPr>
        <w:ind w:left="1038" w:hanging="720"/>
        <w:contextualSpacing/>
        <w:rPr>
          <w:rFonts w:ascii="Arial" w:cs="Arial" w:hAnsi="Arial"/>
          <w:sz w:val="22"/>
          <w:szCs w:val="22"/>
        </w:rPr>
      </w:pPr>
    </w:p>
    <w:tbl>
      <w:tblPr>
        <w:jc w:val="center"/>
        <w:tblW w:w="5309" w:type="pct"/>
        <w:tblBorders>
          <w:top w:val="thinThickSmallGap" w:sz="24" w:space="0" w:color="auto"/>
          <w:left w:val="none" w:sz="0" w:space="0" w:color="auto"/>
          <w:bottom w:val="thickThinSmallGap" w:sz="24" w:space="0" w:color="auto"/>
          <w:right w:val="none" w:sz="0" w:space="0" w:color="auto"/>
        </w:tblBorders>
        <w:tblLayout w:type="fixed"/>
        <w:tblCellMar>
          <w:top w:w="0" w:type="dxa"/>
          <w:left w:w="108" w:type="dxa"/>
          <w:bottom w:w="0" w:type="dxa"/>
          <w:right w:w="108" w:type="dxa"/>
        </w:tblCellMar>
      </w:tblPr>
      <w:tblGrid>
        <w:gridCol w:w="5171"/>
        <w:gridCol w:w="831"/>
        <w:gridCol w:w="1296"/>
        <w:gridCol w:w="1752"/>
      </w:tblGrid>
      <w:tr>
        <w:trPr>
          <w:trHeight w:val="300"/>
        </w:trPr>
        <w:tc>
          <w:tcPr>
            <w:tcW w:w="2857"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Statement</w:t>
            </w:r>
          </w:p>
        </w:tc>
        <w:tc>
          <w:tcPr>
            <w:tcW w:w="459"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Mean</w:t>
            </w:r>
          </w:p>
        </w:tc>
        <w:tc>
          <w:tcPr>
            <w:tcW w:w="716"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Std. Deviation</w:t>
            </w:r>
          </w:p>
        </w:tc>
        <w:tc>
          <w:tcPr>
            <w:tcW w:w="968" w:type="pct"/>
            <w:tcBorders>
              <w:top w:val="thinThickSmallGap" w:sz="24" w:space="0" w:color="auto"/>
              <w:bottom w:val="single" w:sz="4" w:space="0" w:color="auto"/>
            </w:tcBorders>
            <w:shd w:val="clear" w:color="auto" w:fill="auto"/>
            <w:noWrap/>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Interpretation</w:t>
            </w:r>
          </w:p>
        </w:tc>
      </w:tr>
      <w:tr>
        <w:trPr>
          <w:trHeight w:val="300"/>
        </w:trPr>
        <w:tc>
          <w:tcPr>
            <w:tcW w:w="2857" w:type="pct"/>
            <w:tcBorders>
              <w:top w:val="single" w:sz="4" w:space="0" w:color="auto"/>
              <w:bottom w:val="nil"/>
            </w:tcBorders>
            <w:shd w:val="clear" w:color="auto" w:fill="auto"/>
          </w:tcPr>
          <w:p>
            <w:pPr>
              <w:tabs>
                <w:tab w:val="left" w:pos="168"/>
              </w:tabs>
              <w:contextualSpacing/>
              <w:rPr>
                <w:rFonts w:ascii="Arial" w:cs="Arial" w:hAnsi="Arial"/>
                <w:sz w:val="22"/>
                <w:szCs w:val="22"/>
              </w:rPr>
            </w:pPr>
            <w:r>
              <w:rPr>
                <w:rFonts w:ascii="Arial" w:cs="Arial" w:hAnsi="Arial"/>
                <w:sz w:val="22"/>
                <w:szCs w:val="22"/>
              </w:rPr>
              <w:t xml:space="preserve">In place is a Developmental Plan (e.g. SIP) </w:t>
              <w:tab/>
              <w:t xml:space="preserve">developed collaboratively by the stakeholders of the </w:t>
              <w:tab/>
              <w:t>school and community.</w:t>
            </w:r>
          </w:p>
        </w:tc>
        <w:tc>
          <w:tcPr>
            <w:tcW w:w="459" w:type="pct"/>
            <w:tcBorders>
              <w:top w:val="single" w:sz="4" w:space="0" w:color="auto"/>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1.49</w:t>
            </w:r>
          </w:p>
        </w:tc>
        <w:tc>
          <w:tcPr>
            <w:tcW w:w="716" w:type="pct"/>
            <w:tcBorders>
              <w:top w:val="single" w:sz="4" w:space="0" w:color="auto"/>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.58</w:t>
            </w:r>
          </w:p>
        </w:tc>
        <w:tc>
          <w:tcPr>
            <w:tcW w:w="968" w:type="pct"/>
            <w:tcBorders>
              <w:top w:val="single" w:sz="4" w:space="0" w:color="auto"/>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857" w:type="pct"/>
            <w:tcBorders>
              <w:top w:val="nil"/>
              <w:bottom w:val="nil"/>
            </w:tcBorders>
            <w:shd w:val="clear" w:color="auto" w:fill="auto"/>
          </w:tcPr>
          <w:p>
            <w:pPr>
              <w:tabs>
                <w:tab w:val="left" w:pos="336"/>
              </w:tabs>
              <w:contextualSpacing/>
              <w:rPr>
                <w:rFonts w:ascii="Arial" w:cs="Arial" w:hAnsi="Arial"/>
                <w:sz w:val="22"/>
                <w:szCs w:val="22"/>
              </w:rPr>
            </w:pPr>
            <w:r>
              <w:rPr>
                <w:rFonts w:ascii="Arial" w:cs="Arial" w:hAnsi="Arial"/>
                <w:sz w:val="22"/>
                <w:szCs w:val="22"/>
              </w:rPr>
              <w:t xml:space="preserve">The development plan is regularly reviewed </w:t>
              <w:tab/>
              <w:t xml:space="preserve">by </w:t>
              <w:tab/>
              <w:t xml:space="preserve">the school community to keep it up responsive </w:t>
              <w:tab/>
              <w:t xml:space="preserve">and relevant to the emerging needs, challenges </w:t>
              <w:tab/>
              <w:t>and opportunities.</w:t>
            </w:r>
          </w:p>
        </w:tc>
        <w:tc>
          <w:tcPr>
            <w:tcW w:w="459"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1.47</w:t>
            </w:r>
          </w:p>
        </w:tc>
        <w:tc>
          <w:tcPr>
            <w:tcW w:w="716"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.58</w:t>
            </w:r>
          </w:p>
        </w:tc>
        <w:tc>
          <w:tcPr>
            <w:tcW w:w="968"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857" w:type="pct"/>
            <w:tcBorders>
              <w:top w:val="nil"/>
              <w:bottom w:val="nil"/>
            </w:tcBorders>
            <w:shd w:val="clear" w:color="auto" w:fill="auto"/>
          </w:tcPr>
          <w:p>
            <w:pPr>
              <w:tabs>
                <w:tab w:val="left" w:pos="156"/>
                <w:tab w:val="left" w:pos="348"/>
              </w:tabs>
              <w:contextualSpacing/>
              <w:rPr>
                <w:rFonts w:ascii="Arial" w:cs="Arial" w:hAnsi="Arial"/>
                <w:sz w:val="22"/>
                <w:szCs w:val="22"/>
              </w:rPr>
            </w:pPr>
            <w:r>
              <w:rPr>
                <w:rFonts w:ascii="Arial" w:cs="Arial" w:hAnsi="Arial"/>
                <w:sz w:val="22"/>
                <w:szCs w:val="22"/>
              </w:rPr>
              <w:t xml:space="preserve">The school is organized by a clear structure </w:t>
              <w:tab/>
              <w:tab/>
              <w:t xml:space="preserve">and work arrangements that promote </w:t>
              <w:tab/>
              <w:tab/>
              <w:t xml:space="preserve">shared leadership and governance </w:t>
            </w:r>
          </w:p>
        </w:tc>
        <w:tc>
          <w:tcPr>
            <w:tcW w:w="459"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1.43</w:t>
            </w:r>
          </w:p>
        </w:tc>
        <w:tc>
          <w:tcPr>
            <w:tcW w:w="716"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.57</w:t>
            </w:r>
          </w:p>
        </w:tc>
        <w:tc>
          <w:tcPr>
            <w:tcW w:w="968"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857" w:type="pct"/>
            <w:tcBorders>
              <w:top w:val="nil"/>
              <w:bottom w:val="nil"/>
            </w:tcBorders>
            <w:shd w:val="clear" w:color="auto" w:fill="auto"/>
          </w:tcPr>
          <w:p>
            <w:pPr>
              <w:tabs>
                <w:tab w:val="left" w:pos="372"/>
              </w:tabs>
              <w:contextualSpacing/>
              <w:rPr>
                <w:rFonts w:ascii="Arial" w:cs="Arial" w:hAnsi="Arial"/>
                <w:sz w:val="22"/>
                <w:szCs w:val="22"/>
              </w:rPr>
            </w:pPr>
            <w:r>
              <w:rPr>
                <w:rFonts w:ascii="Arial" w:cs="Arial" w:hAnsi="Arial"/>
                <w:sz w:val="22"/>
                <w:szCs w:val="22"/>
              </w:rPr>
              <w:t xml:space="preserve">A leadership network facilities and communication </w:t>
              <w:tab/>
              <w:t xml:space="preserve">between and among school and community </w:t>
              <w:tab/>
              <w:t xml:space="preserve">leaders for </w:t>
              <w:tab/>
              <w:t xml:space="preserve">informed decision-making and solving </w:t>
              <w:tab/>
              <w:t xml:space="preserve">of school-community wide-learning </w:t>
              <w:tab/>
              <w:t>problems.</w:t>
            </w:r>
          </w:p>
        </w:tc>
        <w:tc>
          <w:tcPr>
            <w:tcW w:w="459"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1.29</w:t>
            </w:r>
          </w:p>
        </w:tc>
        <w:tc>
          <w:tcPr>
            <w:tcW w:w="716"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.54</w:t>
            </w:r>
          </w:p>
        </w:tc>
        <w:tc>
          <w:tcPr>
            <w:tcW w:w="968"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857" w:type="pct"/>
            <w:tcBorders>
              <w:top w:val="nil"/>
              <w:bottom w:val="single" w:sz="4" w:space="0" w:color="auto"/>
            </w:tcBorders>
            <w:shd w:val="clear" w:color="auto" w:fill="auto"/>
          </w:tcPr>
          <w:p>
            <w:pPr>
              <w:tabs>
                <w:tab w:val="left" w:pos="324"/>
              </w:tabs>
              <w:contextualSpacing/>
              <w:rPr>
                <w:rFonts w:ascii="Arial" w:cs="Arial" w:hAnsi="Arial"/>
                <w:sz w:val="22"/>
                <w:szCs w:val="22"/>
              </w:rPr>
            </w:pPr>
            <w:r>
              <w:rPr>
                <w:rFonts w:ascii="Arial" w:cs="Arial" w:hAnsi="Arial"/>
                <w:sz w:val="22"/>
                <w:szCs w:val="22"/>
              </w:rPr>
              <w:t xml:space="preserve">A long-term program in operation that </w:t>
              <w:tab/>
              <w:t xml:space="preserve">addresses </w:t>
              <w:tab/>
              <w:t xml:space="preserve">the training and development needs of school and </w:t>
              <w:tab/>
              <w:t xml:space="preserve">community leaders.  </w:t>
            </w:r>
          </w:p>
        </w:tc>
        <w:tc>
          <w:tcPr>
            <w:tcW w:w="459" w:type="pct"/>
            <w:tcBorders>
              <w:top w:val="nil"/>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1.84</w:t>
            </w:r>
          </w:p>
        </w:tc>
        <w:tc>
          <w:tcPr>
            <w:tcW w:w="716" w:type="pct"/>
            <w:tcBorders>
              <w:top w:val="nil"/>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.47</w:t>
            </w:r>
          </w:p>
        </w:tc>
        <w:tc>
          <w:tcPr>
            <w:tcW w:w="968" w:type="pct"/>
            <w:tcBorders>
              <w:top w:val="nil"/>
              <w:bottom w:val="single" w:sz="4" w:space="0" w:color="auto"/>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857"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Mean Score</w:t>
            </w:r>
          </w:p>
        </w:tc>
        <w:tc>
          <w:tcPr>
            <w:tcW w:w="459"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1.50</w:t>
            </w:r>
          </w:p>
        </w:tc>
        <w:tc>
          <w:tcPr>
            <w:tcW w:w="716"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.49</w:t>
            </w:r>
          </w:p>
        </w:tc>
        <w:tc>
          <w:tcPr>
            <w:tcW w:w="968" w:type="pct"/>
            <w:tcBorders>
              <w:top w:val="single" w:sz="4" w:space="0" w:color="auto"/>
              <w:bottom w:val="thickThinSmallGap" w:sz="24" w:space="0" w:color="auto"/>
            </w:tcBorders>
            <w:shd w:val="clear" w:color="auto" w:fill="auto"/>
            <w:noWrap/>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Maturing</w:t>
            </w:r>
          </w:p>
        </w:tc>
      </w:tr>
    </w:tbl>
    <w:p>
      <w:pPr>
        <w:spacing w:line="480" w:lineRule="auto"/>
        <w:jc w:val="both"/>
        <w:rPr>
          <w:rFonts w:ascii="Arial" w:cs="Arial" w:hAnsi="Arial"/>
          <w:b/>
          <w:color w:val="000000"/>
          <w:sz w:val="22"/>
          <w:szCs w:val="22"/>
        </w:rPr>
      </w:pPr>
    </w:p>
    <w:p>
      <w:pPr>
        <w:spacing w:line="480" w:lineRule="auto"/>
        <w:jc w:val="both"/>
        <w:rPr>
          <w:rFonts w:ascii="Arial" w:cs="Arial" w:hAnsi="Arial"/>
          <w:color w:val="FF0000"/>
          <w:sz w:val="22"/>
          <w:szCs w:val="22"/>
        </w:rPr>
      </w:pPr>
      <w:r>
        <w:rPr>
          <w:rFonts w:ascii="Arial" w:cs="Arial" w:hAnsi="Arial"/>
          <w:b/>
          <w:color w:val="000000"/>
          <w:sz w:val="22"/>
          <w:szCs w:val="22"/>
        </w:rPr>
        <w:t>Curriculum and Instruction</w:t>
      </w:r>
    </w:p>
    <w:p>
      <w:pPr>
        <w:spacing w:line="480" w:lineRule="auto"/>
        <w:jc w:val="both"/>
        <w:rPr>
          <w:rFonts w:ascii="Arial" w:cs="Arial" w:hAnsi="Arial"/>
          <w:color w:val="FF0000"/>
          <w:sz w:val="22"/>
          <w:szCs w:val="22"/>
        </w:rPr>
      </w:pPr>
      <w:r>
        <w:rPr>
          <w:rFonts w:ascii="Arial" w:cs="Arial" w:hAnsi="Arial"/>
          <w:color w:val="000000"/>
          <w:sz w:val="22"/>
          <w:szCs w:val="22"/>
        </w:rPr>
        <w:tab/>
        <w:t>In terms of the second SBM parameter which is on curriculum and instruction, schools in Eastern Samar scored an average of 1.59 and a .45 standard deviation and is rank at maturing level or level 2- ‘Better” in the SBM criteria of management practices. Table 2 below presents the per criterion scores of the seven areas of SBM management practices in terms of curriculum and instruction.</w:t>
      </w:r>
    </w:p>
    <w:p>
      <w:pPr>
        <w:ind w:firstLine="720"/>
        <w:jc w:val="both"/>
        <w:rPr>
          <w:rFonts w:ascii="Arial" w:cs="Arial" w:hAnsi="Arial"/>
          <w:b/>
          <w:color w:val="000000"/>
          <w:sz w:val="22"/>
          <w:szCs w:val="22"/>
        </w:rPr>
      </w:pPr>
    </w:p>
    <w:p>
      <w:pPr>
        <w:contextualSpacing/>
        <w:rPr>
          <w:rFonts w:ascii="Arial" w:cs="Arial" w:hAnsi="Arial"/>
          <w:sz w:val="22"/>
          <w:szCs w:val="22"/>
        </w:rPr>
      </w:pPr>
      <w:r>
        <w:rPr>
          <w:rFonts w:ascii="Arial" w:cs="Arial" w:hAnsi="Arial"/>
          <w:b/>
          <w:sz w:val="22"/>
          <w:szCs w:val="22"/>
        </w:rPr>
        <w:t>Table 2.</w:t>
      </w:r>
      <w:r>
        <w:rPr>
          <w:rFonts w:ascii="Arial" w:cs="Arial" w:hAnsi="Arial"/>
          <w:sz w:val="22"/>
          <w:szCs w:val="22"/>
        </w:rPr>
        <w:t xml:space="preserve"> Descriptive summary of School-Based Management practices in terms </w:t>
      </w:r>
    </w:p>
    <w:p>
      <w:pPr>
        <w:ind w:left="720" w:firstLineChars="100" w:firstLine="220"/>
        <w:contextualSpacing/>
        <w:rPr>
          <w:rFonts w:ascii="Arial" w:cs="Arial" w:hAnsi="Arial"/>
          <w:sz w:val="22"/>
          <w:szCs w:val="22"/>
        </w:rPr>
      </w:pPr>
      <w:r>
        <w:rPr>
          <w:rFonts w:ascii="Arial" w:cs="Arial" w:hAnsi="Arial"/>
          <w:sz w:val="22"/>
          <w:szCs w:val="22"/>
        </w:rPr>
        <w:t>of curriculum and instruction</w:t>
      </w:r>
    </w:p>
    <w:p>
      <w:pPr>
        <w:ind w:left="1038" w:hanging="720"/>
        <w:contextualSpacing/>
        <w:rPr>
          <w:rFonts w:ascii="Arial" w:cs="Arial" w:hAnsi="Arial"/>
          <w:sz w:val="22"/>
          <w:szCs w:val="22"/>
        </w:rPr>
      </w:pPr>
    </w:p>
    <w:tbl>
      <w:tblPr>
        <w:jc w:val="center"/>
        <w:tblW w:w="4970" w:type="pct"/>
        <w:tblBorders>
          <w:top w:val="thinThickSmallGap" w:sz="24" w:space="0" w:color="auto"/>
          <w:left w:val="none" w:sz="0" w:space="0" w:color="auto"/>
          <w:bottom w:val="thickThinSmallGap" w:sz="24" w:space="0" w:color="auto"/>
          <w:right w:val="none" w:sz="0" w:space="0" w:color="auto"/>
        </w:tblBorders>
        <w:tblCellMar>
          <w:top w:w="0" w:type="dxa"/>
          <w:left w:w="108" w:type="dxa"/>
          <w:bottom w:w="0" w:type="dxa"/>
          <w:right w:w="108" w:type="dxa"/>
        </w:tblCellMar>
      </w:tblPr>
      <w:tblGrid>
        <w:gridCol w:w="4156"/>
        <w:gridCol w:w="996"/>
        <w:gridCol w:w="1644"/>
        <w:gridCol w:w="1677"/>
      </w:tblGrid>
      <w:tr>
        <w:trPr>
          <w:trHeight w:val="300"/>
        </w:trPr>
        <w:tc>
          <w:tcPr>
            <w:tcW w:w="2453"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Statement</w:t>
            </w:r>
          </w:p>
        </w:tc>
        <w:tc>
          <w:tcPr>
            <w:tcW w:w="588"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Mean</w:t>
            </w:r>
          </w:p>
        </w:tc>
        <w:tc>
          <w:tcPr>
            <w:tcW w:w="970"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Std. Deviation</w:t>
            </w:r>
          </w:p>
        </w:tc>
        <w:tc>
          <w:tcPr>
            <w:tcW w:w="990" w:type="pct"/>
            <w:tcBorders>
              <w:top w:val="thinThickSmallGap" w:sz="24" w:space="0" w:color="auto"/>
              <w:bottom w:val="single" w:sz="4" w:space="0" w:color="auto"/>
            </w:tcBorders>
            <w:shd w:val="clear" w:color="auto" w:fill="auto"/>
            <w:noWrap/>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Interpretation</w:t>
            </w:r>
          </w:p>
        </w:tc>
      </w:tr>
      <w:tr>
        <w:trPr>
          <w:trHeight w:val="300"/>
        </w:trPr>
        <w:tc>
          <w:tcPr>
            <w:tcW w:w="2453" w:type="pct"/>
            <w:tcBorders>
              <w:top w:val="single" w:sz="4" w:space="0" w:color="auto"/>
            </w:tcBorders>
            <w:shd w:val="clear" w:color="auto" w:fill="auto"/>
          </w:tcPr>
          <w:p>
            <w:pPr>
              <w:tabs>
                <w:tab w:val="left" w:pos="372"/>
              </w:tabs>
              <w:contextualSpacing/>
              <w:jc w:val="both"/>
              <w:rPr>
                <w:rFonts w:ascii="Arial" w:cs="Arial" w:hAnsi="Arial"/>
                <w:sz w:val="22"/>
                <w:szCs w:val="22"/>
              </w:rPr>
            </w:pPr>
            <w:r>
              <w:rPr>
                <w:rFonts w:ascii="Arial" w:cs="Arial" w:hAnsi="Arial"/>
                <w:sz w:val="22"/>
                <w:szCs w:val="22"/>
              </w:rPr>
              <w:t xml:space="preserve">The curriculum provides for the </w:t>
              <w:tab/>
              <w:t xml:space="preserve">development needs of all types of </w:t>
              <w:tab/>
              <w:t>learners in the school community.</w:t>
            </w:r>
          </w:p>
        </w:tc>
        <w:tc>
          <w:tcPr>
            <w:tcW w:w="588" w:type="pct"/>
            <w:tcBorders>
              <w:top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1.37</w:t>
            </w:r>
          </w:p>
        </w:tc>
        <w:tc>
          <w:tcPr>
            <w:tcW w:w="970" w:type="pct"/>
            <w:tcBorders>
              <w:top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 xml:space="preserve">  .57         </w:t>
            </w:r>
          </w:p>
        </w:tc>
        <w:tc>
          <w:tcPr>
            <w:tcW w:w="990" w:type="pct"/>
            <w:tcBorders>
              <w:top w:val="single" w:sz="4" w:space="0" w:color="auto"/>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53" w:type="pct"/>
            <w:shd w:val="clear" w:color="auto" w:fill="auto"/>
          </w:tcPr>
          <w:p>
            <w:pPr>
              <w:tabs>
                <w:tab w:val="left" w:pos="384"/>
              </w:tabs>
              <w:contextualSpacing/>
              <w:jc w:val="both"/>
              <w:rPr>
                <w:rFonts w:ascii="Arial" w:cs="Arial" w:hAnsi="Arial"/>
                <w:sz w:val="22"/>
                <w:szCs w:val="22"/>
              </w:rPr>
            </w:pPr>
            <w:r>
              <w:rPr>
                <w:rFonts w:ascii="Arial" w:cs="Arial" w:hAnsi="Arial"/>
                <w:sz w:val="22"/>
                <w:szCs w:val="22"/>
              </w:rPr>
              <w:t xml:space="preserve">The implemented curriculum is localized to </w:t>
              <w:tab/>
              <w:t xml:space="preserve">make it more meaningful to the learners </w:t>
              <w:tab/>
              <w:t>and applicable to life in the community.</w:t>
            </w:r>
          </w:p>
        </w:tc>
        <w:tc>
          <w:tcPr>
            <w:tcW w:w="588"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1.63</w:t>
            </w:r>
          </w:p>
        </w:tc>
        <w:tc>
          <w:tcPr>
            <w:tcW w:w="970"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.57</w:t>
            </w:r>
          </w:p>
        </w:tc>
        <w:tc>
          <w:tcPr>
            <w:tcW w:w="990" w:type="pct"/>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3" w:type="pct"/>
            <w:shd w:val="clear" w:color="auto" w:fill="auto"/>
          </w:tcPr>
          <w:p>
            <w:pPr>
              <w:tabs>
                <w:tab w:val="left" w:pos="384"/>
              </w:tabs>
              <w:contextualSpacing/>
              <w:jc w:val="both"/>
              <w:rPr>
                <w:rFonts w:ascii="Arial" w:cs="Arial" w:hAnsi="Arial"/>
                <w:sz w:val="22"/>
                <w:szCs w:val="22"/>
              </w:rPr>
            </w:pPr>
            <w:r>
              <w:rPr>
                <w:rFonts w:ascii="Arial" w:cs="Arial" w:hAnsi="Arial"/>
                <w:sz w:val="22"/>
                <w:szCs w:val="22"/>
              </w:rPr>
              <w:t xml:space="preserve">A representative group of school and </w:t>
              <w:tab/>
              <w:t xml:space="preserve">community stakeholders develop the </w:t>
              <w:tab/>
              <w:t xml:space="preserve">methods and materials for developing </w:t>
              <w:tab/>
              <w:t>creative thinking and problem solving.</w:t>
            </w:r>
          </w:p>
        </w:tc>
        <w:tc>
          <w:tcPr>
            <w:tcW w:w="588"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1.57</w:t>
            </w:r>
          </w:p>
        </w:tc>
        <w:tc>
          <w:tcPr>
            <w:tcW w:w="970"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.58</w:t>
            </w:r>
          </w:p>
        </w:tc>
        <w:tc>
          <w:tcPr>
            <w:tcW w:w="990" w:type="pct"/>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3" w:type="pct"/>
            <w:shd w:val="clear" w:color="auto" w:fill="auto"/>
          </w:tcPr>
          <w:p>
            <w:pPr>
              <w:tabs>
                <w:tab w:val="left" w:pos="384"/>
              </w:tabs>
              <w:contextualSpacing/>
              <w:jc w:val="both"/>
              <w:rPr>
                <w:rFonts w:ascii="Arial" w:cs="Arial" w:hAnsi="Arial"/>
                <w:sz w:val="22"/>
                <w:szCs w:val="22"/>
              </w:rPr>
            </w:pPr>
            <w:r>
              <w:rPr>
                <w:rFonts w:ascii="Arial" w:cs="Arial" w:hAnsi="Arial"/>
                <w:sz w:val="22"/>
                <w:szCs w:val="22"/>
              </w:rPr>
              <w:t xml:space="preserve">The learning systems are regularly and </w:t>
              <w:tab/>
              <w:t xml:space="preserve">collaboratively monitored by the </w:t>
              <w:tab/>
              <w:t xml:space="preserve">community using appropriate tools to </w:t>
              <w:tab/>
              <w:t xml:space="preserve">ensure the holistic growth and </w:t>
              <w:tab/>
              <w:t xml:space="preserve">development of the learners and the </w:t>
              <w:tab/>
              <w:t>community.</w:t>
            </w:r>
          </w:p>
        </w:tc>
        <w:tc>
          <w:tcPr>
            <w:tcW w:w="588"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1.67</w:t>
            </w:r>
          </w:p>
        </w:tc>
        <w:tc>
          <w:tcPr>
            <w:tcW w:w="970"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.55</w:t>
            </w:r>
          </w:p>
        </w:tc>
        <w:tc>
          <w:tcPr>
            <w:tcW w:w="990" w:type="pct"/>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3" w:type="pct"/>
            <w:shd w:val="clear" w:color="auto" w:fill="auto"/>
          </w:tcPr>
          <w:p>
            <w:pPr>
              <w:tabs>
                <w:tab w:val="left" w:pos="396"/>
              </w:tabs>
              <w:contextualSpacing/>
              <w:jc w:val="both"/>
              <w:rPr>
                <w:rFonts w:ascii="Arial" w:cs="Arial" w:hAnsi="Arial"/>
                <w:sz w:val="22"/>
                <w:szCs w:val="22"/>
              </w:rPr>
            </w:pPr>
            <w:r>
              <w:rPr>
                <w:rFonts w:ascii="Arial" w:cs="Arial" w:hAnsi="Arial"/>
                <w:sz w:val="22"/>
                <w:szCs w:val="22"/>
              </w:rPr>
              <w:t xml:space="preserve">Appropriate assessment tools for teaching </w:t>
              <w:tab/>
              <w:t xml:space="preserve">and learning are continuously reviewed </w:t>
              <w:tab/>
              <w:t xml:space="preserve">and improved, and assessment results </w:t>
              <w:tab/>
              <w:t xml:space="preserve">are contextualized to the learner and </w:t>
              <w:tab/>
              <w:t>local situation.</w:t>
            </w:r>
          </w:p>
        </w:tc>
        <w:tc>
          <w:tcPr>
            <w:tcW w:w="588"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1.47</w:t>
            </w:r>
          </w:p>
        </w:tc>
        <w:tc>
          <w:tcPr>
            <w:tcW w:w="970"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.58</w:t>
            </w:r>
          </w:p>
        </w:tc>
        <w:tc>
          <w:tcPr>
            <w:tcW w:w="990" w:type="pct"/>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53" w:type="pct"/>
            <w:shd w:val="clear" w:color="auto" w:fill="auto"/>
          </w:tcPr>
          <w:p>
            <w:pPr>
              <w:tabs>
                <w:tab w:val="left" w:pos="384"/>
              </w:tabs>
              <w:contextualSpacing/>
              <w:rPr>
                <w:rFonts w:ascii="Arial" w:cs="Arial" w:hAnsi="Arial"/>
                <w:sz w:val="22"/>
                <w:szCs w:val="22"/>
              </w:rPr>
            </w:pPr>
            <w:r>
              <w:rPr>
                <w:rFonts w:ascii="Arial" w:cs="Arial" w:hAnsi="Arial"/>
                <w:sz w:val="22"/>
                <w:szCs w:val="22"/>
              </w:rPr>
              <w:t xml:space="preserve">Learning managers and facilitators </w:t>
              <w:tab/>
              <w:t xml:space="preserve">(teachers, administrators and </w:t>
              <w:tab/>
              <w:t xml:space="preserve">community members) nurture values </w:t>
              <w:tab/>
              <w:t xml:space="preserve">and environments that are protective </w:t>
              <w:tab/>
              <w:t>of all children.</w:t>
            </w:r>
          </w:p>
        </w:tc>
        <w:tc>
          <w:tcPr>
            <w:tcW w:w="588"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1.80</w:t>
            </w:r>
          </w:p>
        </w:tc>
        <w:tc>
          <w:tcPr>
            <w:tcW w:w="970" w:type="pct"/>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.50</w:t>
            </w:r>
          </w:p>
        </w:tc>
        <w:tc>
          <w:tcPr>
            <w:tcW w:w="990" w:type="pct"/>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3" w:type="pct"/>
            <w:tcBorders>
              <w:bottom w:val="single" w:sz="4" w:space="0" w:color="auto"/>
            </w:tcBorders>
            <w:shd w:val="clear" w:color="auto" w:fill="auto"/>
          </w:tcPr>
          <w:p>
            <w:pPr>
              <w:tabs>
                <w:tab w:val="left" w:pos="336"/>
              </w:tabs>
              <w:contextualSpacing/>
              <w:rPr>
                <w:rFonts w:ascii="Arial" w:cs="Arial" w:hAnsi="Arial"/>
                <w:sz w:val="22"/>
                <w:szCs w:val="22"/>
              </w:rPr>
            </w:pPr>
            <w:r>
              <w:rPr>
                <w:rFonts w:ascii="Arial" w:cs="Arial" w:hAnsi="Arial"/>
                <w:sz w:val="22"/>
                <w:szCs w:val="22"/>
              </w:rPr>
              <w:t xml:space="preserve">Methods and resources are learner and </w:t>
              <w:tab/>
              <w:t xml:space="preserve">community-friendly, enjoyable, safe, </w:t>
              <w:tab/>
              <w:t xml:space="preserve">inclusive, and accessible and aimed at </w:t>
              <w:tab/>
              <w:t xml:space="preserve">developing self-directed learners. </w:t>
              <w:tab/>
              <w:t xml:space="preserve">Learners are equipped with essential </w:t>
              <w:tab/>
              <w:t xml:space="preserve">knowledge, skills, and values to </w:t>
              <w:tab/>
              <w:t>assume responsibility.</w:t>
            </w:r>
          </w:p>
        </w:tc>
        <w:tc>
          <w:tcPr>
            <w:tcW w:w="588" w:type="pct"/>
            <w:tcBorders>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1.63</w:t>
            </w:r>
          </w:p>
        </w:tc>
        <w:tc>
          <w:tcPr>
            <w:tcW w:w="970" w:type="pct"/>
            <w:tcBorders>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.57</w:t>
            </w:r>
          </w:p>
        </w:tc>
        <w:tc>
          <w:tcPr>
            <w:tcW w:w="990" w:type="pct"/>
            <w:tcBorders>
              <w:bottom w:val="single" w:sz="4" w:space="0" w:color="auto"/>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3"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Mean Score</w:t>
            </w:r>
          </w:p>
        </w:tc>
        <w:tc>
          <w:tcPr>
            <w:tcW w:w="588" w:type="pct"/>
            <w:tcBorders>
              <w:top w:val="single" w:sz="4" w:space="0" w:color="auto"/>
              <w:bottom w:val="thickThinSmallGap" w:sz="24" w:space="0" w:color="auto"/>
            </w:tcBorders>
            <w:shd w:val="clear" w:color="auto" w:fill="auto"/>
          </w:tcPr>
          <w:p>
            <w:pPr>
              <w:jc w:val="center"/>
              <w:rPr>
                <w:rFonts w:ascii="Arial" w:cs="Arial" w:hAnsi="Arial"/>
                <w:b/>
                <w:color w:val="000000"/>
                <w:sz w:val="22"/>
                <w:szCs w:val="22"/>
                <w:lang w:eastAsia="en-PH"/>
              </w:rPr>
            </w:pPr>
            <w:r>
              <w:rPr>
                <w:rFonts w:ascii="Arial" w:cs="Arial" w:hAnsi="Arial"/>
                <w:b/>
                <w:color w:val="000000"/>
                <w:sz w:val="22"/>
                <w:szCs w:val="22"/>
                <w:lang w:eastAsia="en-PH"/>
              </w:rPr>
              <w:t>1.59</w:t>
            </w:r>
          </w:p>
        </w:tc>
        <w:tc>
          <w:tcPr>
            <w:tcW w:w="970" w:type="pct"/>
            <w:tcBorders>
              <w:top w:val="single" w:sz="4" w:space="0" w:color="auto"/>
              <w:bottom w:val="thickThinSmallGap" w:sz="24" w:space="0" w:color="auto"/>
            </w:tcBorders>
            <w:shd w:val="clear" w:color="auto" w:fill="auto"/>
          </w:tcPr>
          <w:p>
            <w:pPr>
              <w:jc w:val="center"/>
              <w:rPr>
                <w:rFonts w:ascii="Arial" w:cs="Arial" w:hAnsi="Arial"/>
                <w:b/>
                <w:color w:val="000000"/>
                <w:sz w:val="22"/>
                <w:szCs w:val="22"/>
                <w:lang w:eastAsia="en-PH"/>
              </w:rPr>
            </w:pPr>
            <w:r>
              <w:rPr>
                <w:rFonts w:ascii="Arial" w:cs="Arial" w:hAnsi="Arial"/>
                <w:b/>
                <w:color w:val="000000"/>
                <w:sz w:val="22"/>
                <w:szCs w:val="22"/>
                <w:lang w:eastAsia="en-PH"/>
              </w:rPr>
              <w:t>.45</w:t>
            </w:r>
          </w:p>
        </w:tc>
        <w:tc>
          <w:tcPr>
            <w:tcW w:w="990" w:type="pct"/>
            <w:tcBorders>
              <w:top w:val="single" w:sz="4" w:space="0" w:color="auto"/>
              <w:bottom w:val="thickThinSmallGap" w:sz="24" w:space="0" w:color="auto"/>
            </w:tcBorders>
            <w:shd w:val="clear" w:color="auto" w:fill="auto"/>
            <w:noWrap/>
            <w:vAlign w:val="bottom"/>
          </w:tcPr>
          <w:p>
            <w:pPr>
              <w:jc w:val="center"/>
              <w:rPr>
                <w:rFonts w:ascii="Arial" w:cs="Arial" w:hAnsi="Arial"/>
                <w:b/>
                <w:color w:val="000000"/>
                <w:sz w:val="22"/>
                <w:szCs w:val="22"/>
                <w:lang w:eastAsia="en-PH"/>
              </w:rPr>
            </w:pPr>
            <w:r>
              <w:rPr>
                <w:rFonts w:ascii="Arial" w:cs="Arial" w:hAnsi="Arial"/>
                <w:b/>
                <w:color w:val="000000"/>
                <w:sz w:val="22"/>
                <w:szCs w:val="22"/>
                <w:lang w:eastAsia="en-PH"/>
              </w:rPr>
              <w:t>Maturing</w:t>
            </w:r>
          </w:p>
        </w:tc>
      </w:tr>
    </w:tbl>
    <w:p>
      <w:pPr>
        <w:jc w:val="both"/>
        <w:rPr>
          <w:rFonts w:ascii="Arial" w:cs="Arial" w:hAnsi="Arial"/>
          <w:b/>
          <w:sz w:val="22"/>
          <w:szCs w:val="22"/>
        </w:rPr>
      </w:pPr>
    </w:p>
    <w:p>
      <w:pPr>
        <w:jc w:val="both"/>
        <w:rPr>
          <w:rFonts w:ascii="Arial" w:cs="Arial" w:hAnsi="Arial"/>
          <w:b/>
          <w:sz w:val="22"/>
          <w:szCs w:val="22"/>
        </w:rPr>
      </w:pPr>
    </w:p>
    <w:p>
      <w:pPr>
        <w:jc w:val="both"/>
        <w:rPr>
          <w:rFonts w:ascii="Arial" w:cs="Arial" w:hAnsi="Arial"/>
          <w:b/>
          <w:sz w:val="22"/>
          <w:szCs w:val="22"/>
        </w:rPr>
      </w:pPr>
    </w:p>
    <w:p>
      <w:pPr>
        <w:spacing w:line="480" w:lineRule="auto"/>
        <w:jc w:val="both"/>
        <w:rPr>
          <w:rFonts w:ascii="Arial" w:cs="Arial" w:hAnsi="Arial"/>
          <w:b/>
          <w:sz w:val="22"/>
          <w:szCs w:val="22"/>
        </w:rPr>
      </w:pPr>
      <w:r>
        <w:rPr>
          <w:rFonts w:ascii="Arial" w:cs="Arial" w:hAnsi="Arial"/>
          <w:b/>
          <w:sz w:val="22"/>
          <w:szCs w:val="22"/>
        </w:rPr>
        <w:t>Accountability and Continuous Improvement</w:t>
      </w:r>
    </w:p>
    <w:p>
      <w:pPr>
        <w:spacing w:line="480" w:lineRule="auto"/>
        <w:jc w:val="both"/>
        <w:rPr>
          <w:rFonts w:ascii="Arial" w:cs="Arial" w:hAnsi="Arial"/>
          <w:b/>
          <w:sz w:val="22"/>
          <w:szCs w:val="22"/>
        </w:rPr>
      </w:pPr>
      <w:r>
        <w:rPr>
          <w:rFonts w:ascii="Arial" w:cs="Arial" w:hAnsi="Arial"/>
          <w:sz w:val="22"/>
          <w:szCs w:val="22"/>
        </w:rPr>
        <w:tab/>
        <w:t>On the third parameter of SBM practice, that is on accountability and continuous improvement the respondent’s schools scored an average of 1.56 on the five-benchmark statement that describes accountability and continuous improvement which is interpreted to be at the maturing level or numerically SBM level 2 “Better.”</w:t>
      </w:r>
    </w:p>
    <w:p>
      <w:pPr>
        <w:ind w:firstLine="720"/>
        <w:jc w:val="both"/>
        <w:rPr>
          <w:rFonts w:ascii="Arial" w:cs="Arial" w:hAnsi="Arial"/>
          <w:b/>
          <w:sz w:val="22"/>
          <w:szCs w:val="22"/>
        </w:rPr>
      </w:pPr>
    </w:p>
    <w:p>
      <w:pPr>
        <w:contextualSpacing/>
        <w:jc w:val="both"/>
        <w:rPr>
          <w:rFonts w:ascii="Arial" w:cs="Arial" w:hAnsi="Arial"/>
          <w:sz w:val="22"/>
          <w:szCs w:val="22"/>
        </w:rPr>
      </w:pPr>
      <w:r>
        <w:rPr>
          <w:rFonts w:ascii="Arial" w:cs="Arial" w:hAnsi="Arial"/>
          <w:b/>
          <w:sz w:val="22"/>
          <w:szCs w:val="22"/>
        </w:rPr>
        <w:t>Table 3.</w:t>
      </w:r>
      <w:r>
        <w:rPr>
          <w:rFonts w:ascii="Arial" w:cs="Arial" w:hAnsi="Arial"/>
          <w:sz w:val="22"/>
          <w:szCs w:val="22"/>
        </w:rPr>
        <w:t xml:space="preserve"> Descriptive summary of School-Based Management practices in terms of </w:t>
        <w:tab/>
        <w:t>accountability and continuous improvement</w:t>
      </w:r>
    </w:p>
    <w:p>
      <w:pPr>
        <w:ind w:left="1038" w:hanging="720"/>
        <w:contextualSpacing/>
        <w:jc w:val="both"/>
        <w:rPr>
          <w:rFonts w:ascii="Arial" w:cs="Arial" w:hAnsi="Arial"/>
          <w:sz w:val="22"/>
          <w:szCs w:val="22"/>
        </w:rPr>
      </w:pPr>
    </w:p>
    <w:tbl>
      <w:tblPr>
        <w:jc w:val="center"/>
        <w:tblW w:w="5000" w:type="pct"/>
        <w:tblBorders>
          <w:top w:val="thinThickSmallGap" w:sz="24" w:space="0" w:color="auto"/>
          <w:left w:val="none" w:sz="0" w:space="0" w:color="auto"/>
          <w:bottom w:val="thickThinSmallGap" w:sz="24" w:space="0" w:color="auto"/>
          <w:right w:val="none" w:sz="0" w:space="0" w:color="auto"/>
        </w:tblBorders>
        <w:tblCellMar>
          <w:top w:w="0" w:type="dxa"/>
          <w:left w:w="108" w:type="dxa"/>
          <w:bottom w:w="0" w:type="dxa"/>
          <w:right w:w="108" w:type="dxa"/>
        </w:tblCellMar>
      </w:tblPr>
      <w:tblGrid>
        <w:gridCol w:w="4229"/>
        <w:gridCol w:w="992"/>
        <w:gridCol w:w="1635"/>
        <w:gridCol w:w="1672"/>
      </w:tblGrid>
      <w:tr>
        <w:trPr>
          <w:trHeight w:val="300"/>
        </w:trPr>
        <w:tc>
          <w:tcPr>
            <w:tcW w:w="2481"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Statement</w:t>
            </w:r>
          </w:p>
        </w:tc>
        <w:tc>
          <w:tcPr>
            <w:tcW w:w="582"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Mean</w:t>
            </w:r>
          </w:p>
        </w:tc>
        <w:tc>
          <w:tcPr>
            <w:tcW w:w="959"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Std. Deviation</w:t>
            </w:r>
          </w:p>
        </w:tc>
        <w:tc>
          <w:tcPr>
            <w:tcW w:w="979" w:type="pct"/>
            <w:tcBorders>
              <w:top w:val="thinThickSmallGap" w:sz="24" w:space="0" w:color="auto"/>
              <w:bottom w:val="single" w:sz="4" w:space="0" w:color="auto"/>
            </w:tcBorders>
            <w:shd w:val="clear" w:color="auto" w:fill="auto"/>
            <w:noWrap/>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Interpretation</w:t>
            </w:r>
          </w:p>
        </w:tc>
      </w:tr>
      <w:tr>
        <w:trPr>
          <w:trHeight w:val="300"/>
        </w:trPr>
        <w:tc>
          <w:tcPr>
            <w:tcW w:w="2481" w:type="pct"/>
            <w:tcBorders>
              <w:top w:val="single" w:sz="4" w:space="0" w:color="auto"/>
              <w:bottom w:val="nil"/>
            </w:tcBorders>
            <w:shd w:val="clear" w:color="auto" w:fill="auto"/>
          </w:tcPr>
          <w:p>
            <w:pPr>
              <w:tabs>
                <w:tab w:val="left" w:pos="360"/>
              </w:tabs>
              <w:contextualSpacing/>
              <w:jc w:val="both"/>
              <w:rPr>
                <w:rFonts w:ascii="Arial" w:cs="Arial" w:hAnsi="Arial"/>
                <w:sz w:val="22"/>
                <w:szCs w:val="22"/>
              </w:rPr>
            </w:pPr>
            <w:r>
              <w:rPr>
                <w:rFonts w:ascii="Arial" w:cs="Arial" w:hAnsi="Arial"/>
                <w:sz w:val="22"/>
                <w:szCs w:val="22"/>
              </w:rPr>
              <w:t xml:space="preserve">Roles and responsibilities of accountable </w:t>
              <w:tab/>
              <w:t xml:space="preserve">person/s and collective body/ies are </w:t>
              <w:tab/>
              <w:t xml:space="preserve">clearly defined and agreed upon by </w:t>
              <w:tab/>
              <w:t xml:space="preserve">community stakeholders. </w:t>
            </w:r>
          </w:p>
        </w:tc>
        <w:tc>
          <w:tcPr>
            <w:tcW w:w="582" w:type="pct"/>
            <w:tcBorders>
              <w:top w:val="single" w:sz="4" w:space="0" w:color="auto"/>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1.73</w:t>
            </w:r>
          </w:p>
        </w:tc>
        <w:tc>
          <w:tcPr>
            <w:tcW w:w="959" w:type="pct"/>
            <w:tcBorders>
              <w:top w:val="single" w:sz="4" w:space="0" w:color="auto"/>
              <w:bottom w:val="nil"/>
            </w:tcBorders>
            <w:shd w:val="clear" w:color="auto" w:fill="auto"/>
          </w:tcPr>
          <w:p>
            <w:pPr>
              <w:jc w:val="center"/>
              <w:rPr>
                <w:rFonts w:ascii="Arial" w:cs="Arial" w:hAnsi="Arial"/>
                <w:color w:val="000000"/>
                <w:sz w:val="22"/>
                <w:szCs w:val="22"/>
                <w:lang w:eastAsia="en-PH"/>
              </w:rPr>
            </w:pPr>
          </w:p>
        </w:tc>
        <w:tc>
          <w:tcPr>
            <w:tcW w:w="979" w:type="pct"/>
            <w:tcBorders>
              <w:top w:val="single" w:sz="4" w:space="0" w:color="auto"/>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81" w:type="pct"/>
            <w:tcBorders>
              <w:top w:val="nil"/>
              <w:bottom w:val="nil"/>
            </w:tcBorders>
            <w:shd w:val="clear" w:color="auto" w:fill="auto"/>
          </w:tcPr>
          <w:p>
            <w:pPr>
              <w:tabs>
                <w:tab w:val="left" w:pos="396"/>
              </w:tabs>
              <w:contextualSpacing/>
              <w:jc w:val="both"/>
              <w:rPr>
                <w:rFonts w:ascii="Arial" w:cs="Arial" w:hAnsi="Arial"/>
                <w:sz w:val="22"/>
                <w:szCs w:val="22"/>
              </w:rPr>
            </w:pPr>
            <w:r>
              <w:rPr>
                <w:rFonts w:ascii="Arial" w:cs="Arial" w:hAnsi="Arial"/>
                <w:sz w:val="22"/>
                <w:szCs w:val="22"/>
              </w:rPr>
              <w:t xml:space="preserve">Achievement of goals is recognized based </w:t>
              <w:tab/>
              <w:t xml:space="preserve">on a collaboratively developed </w:t>
              <w:tab/>
              <w:t xml:space="preserve">performance accountability system; </w:t>
              <w:tab/>
              <w:t xml:space="preserve">gaps are addressed through </w:t>
              <w:tab/>
              <w:t>appropriate action.</w:t>
            </w:r>
          </w:p>
        </w:tc>
        <w:tc>
          <w:tcPr>
            <w:tcW w:w="582"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1.49</w:t>
            </w:r>
          </w:p>
        </w:tc>
        <w:tc>
          <w:tcPr>
            <w:tcW w:w="959" w:type="pct"/>
            <w:tcBorders>
              <w:top w:val="nil"/>
              <w:bottom w:val="nil"/>
            </w:tcBorders>
            <w:shd w:val="clear" w:color="auto" w:fill="auto"/>
          </w:tcPr>
          <w:p>
            <w:pPr>
              <w:jc w:val="center"/>
              <w:rPr>
                <w:rFonts w:ascii="Arial" w:cs="Arial" w:hAnsi="Arial"/>
                <w:color w:val="000000"/>
                <w:sz w:val="22"/>
                <w:szCs w:val="22"/>
                <w:lang w:eastAsia="en-PH"/>
              </w:rPr>
            </w:pPr>
          </w:p>
        </w:tc>
        <w:tc>
          <w:tcPr>
            <w:tcW w:w="979"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81" w:type="pct"/>
            <w:tcBorders>
              <w:top w:val="nil"/>
              <w:bottom w:val="nil"/>
            </w:tcBorders>
            <w:shd w:val="clear" w:color="auto" w:fill="auto"/>
          </w:tcPr>
          <w:p>
            <w:pPr>
              <w:tabs>
                <w:tab w:val="left" w:pos="372"/>
              </w:tabs>
              <w:contextualSpacing/>
              <w:jc w:val="both"/>
              <w:rPr>
                <w:rFonts w:ascii="Arial" w:cs="Arial" w:hAnsi="Arial"/>
                <w:sz w:val="22"/>
                <w:szCs w:val="22"/>
              </w:rPr>
            </w:pPr>
            <w:r>
              <w:rPr>
                <w:rFonts w:ascii="Arial" w:cs="Arial" w:hAnsi="Arial"/>
                <w:sz w:val="22"/>
                <w:szCs w:val="22"/>
              </w:rPr>
              <w:t xml:space="preserve">The accountability is owned by the </w:t>
              <w:tab/>
              <w:t xml:space="preserve">community and is continuously </w:t>
              <w:tab/>
              <w:t xml:space="preserve">enhanced to ensure that management </w:t>
              <w:tab/>
              <w:t xml:space="preserve">structures and mechanisms are </w:t>
              <w:tab/>
              <w:t xml:space="preserve">responsive to the emerging learning </w:t>
              <w:tab/>
              <w:t>needs and demand of the community.</w:t>
            </w:r>
          </w:p>
        </w:tc>
        <w:tc>
          <w:tcPr>
            <w:tcW w:w="582"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1.71</w:t>
            </w:r>
          </w:p>
        </w:tc>
        <w:tc>
          <w:tcPr>
            <w:tcW w:w="959" w:type="pct"/>
            <w:tcBorders>
              <w:top w:val="nil"/>
              <w:bottom w:val="nil"/>
            </w:tcBorders>
            <w:shd w:val="clear" w:color="auto" w:fill="auto"/>
          </w:tcPr>
          <w:p>
            <w:pPr>
              <w:jc w:val="center"/>
              <w:rPr>
                <w:rFonts w:ascii="Arial" w:cs="Arial" w:hAnsi="Arial"/>
                <w:color w:val="000000"/>
                <w:sz w:val="22"/>
                <w:szCs w:val="22"/>
                <w:lang w:eastAsia="en-PH"/>
              </w:rPr>
            </w:pPr>
          </w:p>
        </w:tc>
        <w:tc>
          <w:tcPr>
            <w:tcW w:w="979"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81" w:type="pct"/>
            <w:tcBorders>
              <w:top w:val="nil"/>
              <w:bottom w:val="nil"/>
            </w:tcBorders>
            <w:shd w:val="clear" w:color="auto" w:fill="auto"/>
          </w:tcPr>
          <w:p>
            <w:pPr>
              <w:tabs>
                <w:tab w:val="left" w:pos="348"/>
              </w:tabs>
              <w:contextualSpacing/>
              <w:jc w:val="both"/>
              <w:rPr>
                <w:rFonts w:ascii="Arial" w:cs="Arial" w:hAnsi="Arial"/>
                <w:sz w:val="22"/>
                <w:szCs w:val="22"/>
              </w:rPr>
            </w:pPr>
            <w:r>
              <w:rPr>
                <w:rFonts w:ascii="Arial" w:cs="Arial" w:hAnsi="Arial"/>
                <w:sz w:val="22"/>
                <w:szCs w:val="22"/>
              </w:rPr>
              <w:t xml:space="preserve">Accountability assessment criteria and tools, </w:t>
              <w:tab/>
              <w:t xml:space="preserve">feedback mechanisms, and information </w:t>
              <w:tab/>
              <w:t xml:space="preserve">collection and validation techniques and </w:t>
              <w:tab/>
              <w:t xml:space="preserve">processes are inclusive and </w:t>
              <w:tab/>
              <w:t xml:space="preserve">collaboratively developed and agreed </w:t>
              <w:tab/>
              <w:t>upon.</w:t>
            </w:r>
          </w:p>
        </w:tc>
        <w:tc>
          <w:tcPr>
            <w:tcW w:w="582"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1.59</w:t>
            </w:r>
          </w:p>
        </w:tc>
        <w:tc>
          <w:tcPr>
            <w:tcW w:w="959" w:type="pct"/>
            <w:tcBorders>
              <w:top w:val="nil"/>
              <w:bottom w:val="nil"/>
            </w:tcBorders>
            <w:shd w:val="clear" w:color="auto" w:fill="auto"/>
          </w:tcPr>
          <w:p>
            <w:pPr>
              <w:jc w:val="center"/>
              <w:rPr>
                <w:rFonts w:ascii="Arial" w:cs="Arial" w:hAnsi="Arial"/>
                <w:color w:val="000000"/>
                <w:sz w:val="22"/>
                <w:szCs w:val="22"/>
                <w:lang w:eastAsia="en-PH"/>
              </w:rPr>
            </w:pPr>
          </w:p>
        </w:tc>
        <w:tc>
          <w:tcPr>
            <w:tcW w:w="979"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81" w:type="pct"/>
            <w:tcBorders>
              <w:top w:val="nil"/>
              <w:bottom w:val="single" w:sz="4" w:space="0" w:color="auto"/>
            </w:tcBorders>
            <w:shd w:val="clear" w:color="auto" w:fill="auto"/>
          </w:tcPr>
          <w:p>
            <w:pPr>
              <w:tabs>
                <w:tab w:val="left" w:pos="360"/>
              </w:tabs>
              <w:contextualSpacing/>
              <w:jc w:val="both"/>
              <w:rPr>
                <w:rFonts w:ascii="Arial" w:cs="Arial" w:hAnsi="Arial"/>
                <w:sz w:val="22"/>
                <w:szCs w:val="22"/>
              </w:rPr>
            </w:pPr>
            <w:r>
              <w:rPr>
                <w:rFonts w:ascii="Arial" w:cs="Arial" w:hAnsi="Arial"/>
                <w:sz w:val="22"/>
                <w:szCs w:val="22"/>
              </w:rPr>
              <w:t xml:space="preserve">Participatory assessment of performance is </w:t>
              <w:tab/>
              <w:t xml:space="preserve">done regularly with the community. </w:t>
              <w:tab/>
              <w:t xml:space="preserve">Assessment results and lessons learned </w:t>
              <w:tab/>
              <w:t xml:space="preserve">serve as a basis for feedback, technical </w:t>
              <w:tab/>
              <w:t xml:space="preserve">assistance, recognition and plan </w:t>
              <w:tab/>
              <w:t>adjustment.</w:t>
            </w:r>
          </w:p>
        </w:tc>
        <w:tc>
          <w:tcPr>
            <w:tcW w:w="582" w:type="pct"/>
            <w:tcBorders>
              <w:top w:val="nil"/>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1.29</w:t>
            </w:r>
          </w:p>
        </w:tc>
        <w:tc>
          <w:tcPr>
            <w:tcW w:w="959" w:type="pct"/>
            <w:tcBorders>
              <w:top w:val="nil"/>
              <w:bottom w:val="single" w:sz="4" w:space="0" w:color="auto"/>
            </w:tcBorders>
            <w:shd w:val="clear" w:color="auto" w:fill="auto"/>
          </w:tcPr>
          <w:p>
            <w:pPr>
              <w:jc w:val="center"/>
              <w:rPr>
                <w:rFonts w:ascii="Arial" w:cs="Arial" w:hAnsi="Arial"/>
                <w:color w:val="000000"/>
                <w:sz w:val="22"/>
                <w:szCs w:val="22"/>
                <w:lang w:eastAsia="en-PH"/>
              </w:rPr>
            </w:pPr>
          </w:p>
        </w:tc>
        <w:tc>
          <w:tcPr>
            <w:tcW w:w="979" w:type="pct"/>
            <w:tcBorders>
              <w:top w:val="nil"/>
              <w:bottom w:val="single" w:sz="4" w:space="0" w:color="auto"/>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81"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Mean Score</w:t>
            </w:r>
          </w:p>
        </w:tc>
        <w:tc>
          <w:tcPr>
            <w:tcW w:w="582"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1.56</w:t>
            </w:r>
          </w:p>
        </w:tc>
        <w:tc>
          <w:tcPr>
            <w:tcW w:w="959"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p>
        </w:tc>
        <w:tc>
          <w:tcPr>
            <w:tcW w:w="979" w:type="pct"/>
            <w:tcBorders>
              <w:top w:val="single" w:sz="4" w:space="0" w:color="auto"/>
              <w:bottom w:val="thickThinSmallGap" w:sz="24" w:space="0" w:color="auto"/>
            </w:tcBorders>
            <w:shd w:val="clear" w:color="auto" w:fill="auto"/>
            <w:noWrap/>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Maturing</w:t>
            </w:r>
          </w:p>
        </w:tc>
      </w:tr>
    </w:tbl>
    <w:p>
      <w:pPr>
        <w:tabs>
          <w:tab w:val="left" w:pos="923"/>
        </w:tabs>
        <w:rPr>
          <w:rFonts w:ascii="Arial" w:cs="Arial" w:hAnsi="Arial"/>
          <w:sz w:val="22"/>
          <w:szCs w:val="22"/>
        </w:rPr>
      </w:pPr>
    </w:p>
    <w:p>
      <w:pPr>
        <w:jc w:val="both"/>
        <w:rPr>
          <w:rFonts w:ascii="Arial" w:cs="Arial" w:hAnsi="Arial"/>
          <w:b/>
          <w:sz w:val="22"/>
          <w:szCs w:val="22"/>
        </w:rPr>
      </w:pPr>
    </w:p>
    <w:p>
      <w:pPr>
        <w:jc w:val="both"/>
        <w:rPr>
          <w:rFonts w:ascii="Arial" w:cs="Arial" w:hAnsi="Arial"/>
          <w:b/>
          <w:sz w:val="22"/>
          <w:szCs w:val="22"/>
        </w:rPr>
      </w:pPr>
      <w:r>
        <w:rPr>
          <w:rFonts w:ascii="Arial" w:cs="Arial" w:hAnsi="Arial"/>
          <w:b/>
          <w:sz w:val="22"/>
          <w:szCs w:val="22"/>
        </w:rPr>
        <w:t>Management of Resources</w:t>
      </w:r>
    </w:p>
    <w:p>
      <w:pPr>
        <w:ind w:firstLine="720"/>
        <w:jc w:val="both"/>
        <w:rPr>
          <w:rFonts w:ascii="Arial" w:cs="Arial" w:hAnsi="Arial"/>
          <w:b/>
          <w:sz w:val="22"/>
          <w:szCs w:val="22"/>
        </w:rPr>
      </w:pPr>
    </w:p>
    <w:p>
      <w:pPr>
        <w:spacing w:line="480" w:lineRule="auto"/>
        <w:ind w:firstLine="318"/>
        <w:jc w:val="both"/>
        <w:rPr>
          <w:rFonts w:ascii="Arial" w:cs="Arial" w:hAnsi="Arial"/>
          <w:sz w:val="22"/>
          <w:szCs w:val="22"/>
        </w:rPr>
      </w:pPr>
      <w:r>
        <w:rPr>
          <w:rFonts w:ascii="Arial" w:cs="Arial" w:hAnsi="Arial"/>
          <w:sz w:val="22"/>
          <w:szCs w:val="22"/>
        </w:rPr>
        <w:t>Moreover, on the fourth parameter of SBM practice which is on management of resources, the respondent schools in Eastern Samar scored an overall mean of1.46 and SD of.46. This is interpreted as Level 1 in the SBM score sheet/criterion otherwise labelled as “developing.”</w:t>
      </w:r>
    </w:p>
    <w:p>
      <w:pPr>
        <w:contextualSpacing/>
        <w:jc w:val="both"/>
        <w:rPr>
          <w:rFonts w:ascii="Arial" w:cs="Arial" w:hAnsi="Arial"/>
          <w:sz w:val="22"/>
          <w:szCs w:val="22"/>
        </w:rPr>
      </w:pPr>
      <w:r>
        <w:rPr>
          <w:rFonts w:ascii="Arial" w:cs="Arial" w:hAnsi="Arial"/>
          <w:b/>
          <w:sz w:val="22"/>
          <w:szCs w:val="22"/>
        </w:rPr>
        <w:t xml:space="preserve">Table 4. </w:t>
      </w:r>
      <w:r>
        <w:rPr>
          <w:rFonts w:ascii="Arial" w:cs="Arial" w:hAnsi="Arial"/>
          <w:sz w:val="22"/>
          <w:szCs w:val="22"/>
        </w:rPr>
        <w:t xml:space="preserve">Descriptive summary of School-Based Management practices in terms of </w:t>
        <w:tab/>
        <w:t>management of resources</w:t>
      </w:r>
    </w:p>
    <w:p>
      <w:pPr>
        <w:ind w:left="1038" w:hanging="720"/>
        <w:contextualSpacing/>
        <w:rPr>
          <w:rFonts w:ascii="Arial" w:cs="Arial" w:hAnsi="Arial"/>
          <w:sz w:val="22"/>
          <w:szCs w:val="22"/>
        </w:rPr>
      </w:pPr>
    </w:p>
    <w:tbl>
      <w:tblPr>
        <w:jc w:val="center"/>
        <w:tblW w:w="4957" w:type="pct"/>
        <w:tblBorders>
          <w:top w:val="thinThickSmallGap" w:sz="24" w:space="0" w:color="auto"/>
          <w:left w:val="none" w:sz="0" w:space="0" w:color="auto"/>
          <w:bottom w:val="thickThinSmallGap" w:sz="24" w:space="0" w:color="auto"/>
          <w:right w:val="none" w:sz="0" w:space="0" w:color="auto"/>
        </w:tblBorders>
        <w:tblCellMar>
          <w:top w:w="0" w:type="dxa"/>
          <w:left w:w="108" w:type="dxa"/>
          <w:bottom w:w="0" w:type="dxa"/>
          <w:right w:w="108" w:type="dxa"/>
        </w:tblCellMar>
      </w:tblPr>
      <w:tblGrid>
        <w:gridCol w:w="4125"/>
        <w:gridCol w:w="1006"/>
        <w:gridCol w:w="1646"/>
        <w:gridCol w:w="1672"/>
      </w:tblGrid>
      <w:tr>
        <w:trPr>
          <w:trHeight w:val="300"/>
        </w:trPr>
        <w:tc>
          <w:tcPr>
            <w:tcW w:w="2456"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Statement</w:t>
            </w:r>
          </w:p>
        </w:tc>
        <w:tc>
          <w:tcPr>
            <w:tcW w:w="599"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Mean</w:t>
            </w:r>
          </w:p>
        </w:tc>
        <w:tc>
          <w:tcPr>
            <w:tcW w:w="980" w:type="pct"/>
            <w:tcBorders>
              <w:top w:val="thinThickSmallGap" w:sz="24" w:space="0" w:color="auto"/>
              <w:bottom w:val="single" w:sz="4" w:space="0" w:color="auto"/>
            </w:tcBorders>
            <w:shd w:val="clear" w:color="auto" w:fill="auto"/>
            <w:vAlign w:val="center"/>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Std. Deviation</w:t>
            </w:r>
          </w:p>
        </w:tc>
        <w:tc>
          <w:tcPr>
            <w:tcW w:w="965" w:type="pct"/>
            <w:tcBorders>
              <w:top w:val="thinThickSmallGap" w:sz="24" w:space="0" w:color="auto"/>
              <w:bottom w:val="single" w:sz="4" w:space="0" w:color="auto"/>
            </w:tcBorders>
            <w:shd w:val="clear" w:color="auto" w:fill="auto"/>
            <w:noWrap/>
            <w:vAlign w:val="bottom"/>
          </w:tcPr>
          <w:p>
            <w:pPr>
              <w:jc w:val="center"/>
              <w:rPr>
                <w:rFonts w:ascii="Arial" w:cs="Arial" w:hAnsi="Arial"/>
                <w:b/>
                <w:bCs/>
                <w:color w:val="000000"/>
                <w:sz w:val="22"/>
                <w:szCs w:val="22"/>
                <w:lang w:eastAsia="en-PH"/>
              </w:rPr>
            </w:pPr>
            <w:r>
              <w:rPr>
                <w:rFonts w:ascii="Arial" w:cs="Arial" w:hAnsi="Arial"/>
                <w:b/>
                <w:bCs/>
                <w:color w:val="000000"/>
                <w:sz w:val="22"/>
                <w:szCs w:val="22"/>
                <w:lang w:eastAsia="en-PH"/>
              </w:rPr>
              <w:t>Interpretation</w:t>
            </w:r>
          </w:p>
        </w:tc>
      </w:tr>
      <w:tr>
        <w:trPr>
          <w:trHeight w:val="300"/>
        </w:trPr>
        <w:tc>
          <w:tcPr>
            <w:tcW w:w="2456" w:type="pct"/>
            <w:tcBorders>
              <w:top w:val="single" w:sz="4" w:space="0" w:color="auto"/>
              <w:bottom w:val="nil"/>
            </w:tcBorders>
            <w:shd w:val="clear" w:color="auto" w:fill="auto"/>
          </w:tcPr>
          <w:p>
            <w:pPr>
              <w:tabs>
                <w:tab w:val="left" w:pos="348"/>
              </w:tabs>
              <w:contextualSpacing/>
              <w:jc w:val="both"/>
              <w:rPr>
                <w:rFonts w:ascii="Arial" w:cs="Arial" w:hAnsi="Arial"/>
                <w:sz w:val="22"/>
                <w:szCs w:val="22"/>
              </w:rPr>
            </w:pPr>
            <w:r>
              <w:rPr>
                <w:rFonts w:ascii="Arial" w:cs="Arial" w:hAnsi="Arial"/>
                <w:sz w:val="22"/>
                <w:szCs w:val="22"/>
              </w:rPr>
              <w:t xml:space="preserve">Regular resource inventory is </w:t>
              <w:tab/>
              <w:t xml:space="preserve">collaboratively undertaken by learning </w:t>
              <w:tab/>
              <w:t xml:space="preserve">managers, learning facilitators, and </w:t>
              <w:tab/>
              <w:t xml:space="preserve">community stakeholders as a basis for </w:t>
              <w:tab/>
              <w:t>resource allocation and mobilization.</w:t>
            </w:r>
          </w:p>
        </w:tc>
        <w:tc>
          <w:tcPr>
            <w:tcW w:w="599" w:type="pct"/>
            <w:tcBorders>
              <w:top w:val="single" w:sz="4" w:space="0" w:color="auto"/>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1.35</w:t>
            </w:r>
          </w:p>
        </w:tc>
        <w:tc>
          <w:tcPr>
            <w:tcW w:w="980" w:type="pct"/>
            <w:tcBorders>
              <w:top w:val="single" w:sz="4" w:space="0" w:color="auto"/>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.56</w:t>
            </w:r>
          </w:p>
        </w:tc>
        <w:tc>
          <w:tcPr>
            <w:tcW w:w="965" w:type="pct"/>
            <w:tcBorders>
              <w:top w:val="single" w:sz="4" w:space="0" w:color="auto"/>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56" w:type="pct"/>
            <w:tcBorders>
              <w:top w:val="nil"/>
              <w:bottom w:val="nil"/>
            </w:tcBorders>
            <w:shd w:val="clear" w:color="auto" w:fill="auto"/>
          </w:tcPr>
          <w:p>
            <w:pPr>
              <w:tabs>
                <w:tab w:val="left" w:pos="360"/>
              </w:tabs>
              <w:contextualSpacing/>
              <w:jc w:val="both"/>
              <w:rPr>
                <w:rFonts w:ascii="Arial" w:cs="Arial" w:hAnsi="Arial"/>
                <w:sz w:val="22"/>
                <w:szCs w:val="22"/>
              </w:rPr>
            </w:pPr>
            <w:r>
              <w:rPr>
                <w:rFonts w:ascii="Arial" w:cs="Arial" w:hAnsi="Arial"/>
                <w:sz w:val="22"/>
                <w:szCs w:val="22"/>
              </w:rPr>
              <w:t xml:space="preserve">A regular dialogue for planning and </w:t>
              <w:tab/>
              <w:t xml:space="preserve">resource programming, that is </w:t>
              <w:tab/>
              <w:t xml:space="preserve">accessible and inclusive, continuously </w:t>
              <w:tab/>
              <w:t xml:space="preserve">engage stakeholders and support </w:t>
              <w:tab/>
              <w:t xml:space="preserve">implementation of community </w:t>
              <w:tab/>
              <w:t>education plans.</w:t>
            </w:r>
          </w:p>
        </w:tc>
        <w:tc>
          <w:tcPr>
            <w:tcW w:w="599"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1.27</w:t>
            </w:r>
          </w:p>
        </w:tc>
        <w:tc>
          <w:tcPr>
            <w:tcW w:w="980"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.53</w:t>
            </w:r>
          </w:p>
          <w:p>
            <w:pPr>
              <w:jc w:val="center"/>
              <w:rPr>
                <w:rFonts w:ascii="Arial" w:cs="Arial" w:hAnsi="Arial"/>
                <w:sz w:val="22"/>
                <w:szCs w:val="22"/>
                <w:lang w:eastAsia="en-PH"/>
              </w:rPr>
            </w:pPr>
          </w:p>
          <w:p>
            <w:pPr>
              <w:jc w:val="center"/>
              <w:rPr>
                <w:rFonts w:ascii="Arial" w:cs="Arial" w:hAnsi="Arial"/>
                <w:sz w:val="22"/>
                <w:szCs w:val="22"/>
                <w:lang w:eastAsia="en-PH"/>
              </w:rPr>
            </w:pPr>
          </w:p>
          <w:p>
            <w:pPr>
              <w:jc w:val="center"/>
              <w:rPr>
                <w:rFonts w:ascii="Arial" w:cs="Arial" w:hAnsi="Arial"/>
                <w:sz w:val="22"/>
                <w:szCs w:val="22"/>
                <w:lang w:eastAsia="en-PH"/>
              </w:rPr>
            </w:pPr>
          </w:p>
          <w:p>
            <w:pPr>
              <w:rPr>
                <w:rFonts w:ascii="Arial" w:cs="Arial" w:hAnsi="Arial"/>
                <w:sz w:val="22"/>
                <w:szCs w:val="22"/>
                <w:lang w:eastAsia="en-PH"/>
              </w:rPr>
            </w:pPr>
          </w:p>
        </w:tc>
        <w:tc>
          <w:tcPr>
            <w:tcW w:w="965"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56" w:type="pct"/>
            <w:tcBorders>
              <w:top w:val="nil"/>
              <w:bottom w:val="nil"/>
            </w:tcBorders>
            <w:shd w:val="clear" w:color="auto" w:fill="auto"/>
          </w:tcPr>
          <w:p>
            <w:pPr>
              <w:tabs>
                <w:tab w:val="left" w:pos="336"/>
              </w:tabs>
              <w:contextualSpacing/>
              <w:jc w:val="both"/>
              <w:rPr>
                <w:rFonts w:ascii="Arial" w:cs="Arial" w:hAnsi="Arial"/>
                <w:sz w:val="22"/>
                <w:szCs w:val="22"/>
              </w:rPr>
            </w:pPr>
            <w:r>
              <w:rPr>
                <w:rFonts w:ascii="Arial" w:cs="Arial" w:hAnsi="Arial"/>
                <w:sz w:val="22"/>
                <w:szCs w:val="22"/>
              </w:rPr>
              <w:t xml:space="preserve">In place is a community-developed </w:t>
              <w:tab/>
              <w:t xml:space="preserve">resource management system that </w:t>
              <w:tab/>
              <w:t xml:space="preserve">drives appropriate behaviors of the </w:t>
              <w:tab/>
              <w:t xml:space="preserve">stakeholders to ensure judicious, </w:t>
              <w:tab/>
              <w:t xml:space="preserve">appropriate, and effective use of </w:t>
              <w:tab/>
              <w:t xml:space="preserve">resources. </w:t>
            </w:r>
          </w:p>
        </w:tc>
        <w:tc>
          <w:tcPr>
            <w:tcW w:w="599"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1.24</w:t>
            </w:r>
          </w:p>
        </w:tc>
        <w:tc>
          <w:tcPr>
            <w:tcW w:w="980"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.57</w:t>
            </w:r>
          </w:p>
        </w:tc>
        <w:tc>
          <w:tcPr>
            <w:tcW w:w="965"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Developing</w:t>
            </w:r>
          </w:p>
        </w:tc>
      </w:tr>
      <w:tr>
        <w:trPr>
          <w:trHeight w:val="300"/>
        </w:trPr>
        <w:tc>
          <w:tcPr>
            <w:tcW w:w="2456" w:type="pct"/>
            <w:tcBorders>
              <w:top w:val="nil"/>
              <w:bottom w:val="nil"/>
            </w:tcBorders>
            <w:shd w:val="clear" w:color="auto" w:fill="auto"/>
          </w:tcPr>
          <w:p>
            <w:pPr>
              <w:tabs>
                <w:tab w:val="left" w:pos="360"/>
              </w:tabs>
              <w:contextualSpacing/>
              <w:jc w:val="both"/>
              <w:rPr>
                <w:rFonts w:ascii="Arial" w:cs="Arial" w:hAnsi="Arial"/>
                <w:sz w:val="22"/>
                <w:szCs w:val="22"/>
              </w:rPr>
            </w:pPr>
            <w:r>
              <w:rPr>
                <w:rFonts w:ascii="Arial" w:cs="Arial" w:hAnsi="Arial"/>
                <w:sz w:val="22"/>
                <w:szCs w:val="22"/>
              </w:rPr>
              <w:t xml:space="preserve">Regular monitoring, evaluation, and </w:t>
              <w:tab/>
              <w:t xml:space="preserve">reporting processes of resource </w:t>
              <w:tab/>
              <w:t xml:space="preserve">management are collaboratively </w:t>
              <w:tab/>
              <w:t xml:space="preserve">developed and implemented by the </w:t>
              <w:tab/>
              <w:t xml:space="preserve">learning managers, facilitators and </w:t>
              <w:tab/>
              <w:t>community stakeholders.</w:t>
            </w:r>
          </w:p>
        </w:tc>
        <w:tc>
          <w:tcPr>
            <w:tcW w:w="599"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1.59</w:t>
            </w:r>
          </w:p>
        </w:tc>
        <w:tc>
          <w:tcPr>
            <w:tcW w:w="980" w:type="pct"/>
            <w:tcBorders>
              <w:top w:val="nil"/>
              <w:bottom w:val="nil"/>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.57</w:t>
            </w:r>
          </w:p>
        </w:tc>
        <w:tc>
          <w:tcPr>
            <w:tcW w:w="965" w:type="pct"/>
            <w:tcBorders>
              <w:top w:val="nil"/>
              <w:bottom w:val="nil"/>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6" w:type="pct"/>
            <w:tcBorders>
              <w:top w:val="nil"/>
              <w:bottom w:val="single" w:sz="4" w:space="0" w:color="auto"/>
            </w:tcBorders>
            <w:shd w:val="clear" w:color="auto" w:fill="auto"/>
          </w:tcPr>
          <w:p>
            <w:pPr>
              <w:tabs>
                <w:tab w:val="left" w:pos="360"/>
              </w:tabs>
              <w:contextualSpacing/>
              <w:jc w:val="both"/>
              <w:rPr>
                <w:rFonts w:ascii="Arial" w:cs="Arial" w:hAnsi="Arial"/>
                <w:sz w:val="22"/>
                <w:szCs w:val="22"/>
              </w:rPr>
            </w:pPr>
            <w:r>
              <w:rPr>
                <w:rFonts w:ascii="Arial" w:cs="Arial" w:hAnsi="Arial"/>
                <w:sz w:val="22"/>
                <w:szCs w:val="22"/>
              </w:rPr>
              <w:t xml:space="preserve">There is a system that manages the </w:t>
              <w:tab/>
              <w:t xml:space="preserve">network and linkages which strengthen </w:t>
              <w:tab/>
              <w:t xml:space="preserve">and sustain partnerships for improving </w:t>
              <w:tab/>
              <w:t xml:space="preserve">resource management. </w:t>
            </w:r>
          </w:p>
        </w:tc>
        <w:tc>
          <w:tcPr>
            <w:tcW w:w="599" w:type="pct"/>
            <w:tcBorders>
              <w:top w:val="nil"/>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1.84</w:t>
            </w:r>
          </w:p>
        </w:tc>
        <w:tc>
          <w:tcPr>
            <w:tcW w:w="980" w:type="pct"/>
            <w:tcBorders>
              <w:top w:val="nil"/>
              <w:bottom w:val="single" w:sz="4" w:space="0" w:color="auto"/>
            </w:tcBorders>
            <w:shd w:val="clear" w:color="auto" w:fill="auto"/>
          </w:tcPr>
          <w:p>
            <w:pPr>
              <w:jc w:val="center"/>
              <w:rPr>
                <w:rFonts w:ascii="Arial" w:cs="Arial" w:hAnsi="Arial"/>
                <w:color w:val="000000"/>
                <w:sz w:val="22"/>
                <w:szCs w:val="22"/>
                <w:lang w:eastAsia="en-PH"/>
              </w:rPr>
            </w:pPr>
            <w:r>
              <w:rPr>
                <w:rFonts w:ascii="Arial" w:cs="Arial" w:hAnsi="Arial"/>
                <w:color w:val="000000"/>
                <w:sz w:val="22"/>
                <w:szCs w:val="22"/>
                <w:lang w:eastAsia="en-PH"/>
              </w:rPr>
              <w:t>.47</w:t>
            </w:r>
          </w:p>
        </w:tc>
        <w:tc>
          <w:tcPr>
            <w:tcW w:w="965" w:type="pct"/>
            <w:tcBorders>
              <w:top w:val="nil"/>
              <w:bottom w:val="single" w:sz="4" w:space="0" w:color="auto"/>
            </w:tcBorders>
            <w:shd w:val="clear" w:color="auto" w:fill="auto"/>
            <w:noWrap/>
          </w:tcPr>
          <w:p>
            <w:pPr>
              <w:jc w:val="center"/>
              <w:rPr>
                <w:rFonts w:ascii="Arial" w:cs="Arial" w:hAnsi="Arial"/>
                <w:color w:val="000000"/>
                <w:sz w:val="22"/>
                <w:szCs w:val="22"/>
                <w:lang w:eastAsia="en-PH"/>
              </w:rPr>
            </w:pPr>
            <w:r>
              <w:rPr>
                <w:rFonts w:ascii="Arial" w:cs="Arial" w:hAnsi="Arial"/>
                <w:color w:val="000000"/>
                <w:sz w:val="22"/>
                <w:szCs w:val="22"/>
                <w:lang w:eastAsia="en-PH"/>
              </w:rPr>
              <w:t>Maturing</w:t>
            </w:r>
          </w:p>
        </w:tc>
      </w:tr>
      <w:tr>
        <w:trPr>
          <w:trHeight w:val="300"/>
        </w:trPr>
        <w:tc>
          <w:tcPr>
            <w:tcW w:w="2456"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Mean Score</w:t>
            </w:r>
          </w:p>
        </w:tc>
        <w:tc>
          <w:tcPr>
            <w:tcW w:w="599"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1.46</w:t>
            </w:r>
          </w:p>
        </w:tc>
        <w:tc>
          <w:tcPr>
            <w:tcW w:w="980" w:type="pct"/>
            <w:tcBorders>
              <w:top w:val="single" w:sz="4" w:space="0" w:color="auto"/>
              <w:bottom w:val="thickThinSmallGap" w:sz="24" w:space="0" w:color="auto"/>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.46</w:t>
            </w:r>
          </w:p>
        </w:tc>
        <w:tc>
          <w:tcPr>
            <w:tcW w:w="965" w:type="pct"/>
            <w:tcBorders>
              <w:top w:val="single" w:sz="4" w:space="0" w:color="auto"/>
              <w:bottom w:val="thickThinSmallGap" w:sz="24" w:space="0" w:color="auto"/>
            </w:tcBorders>
            <w:shd w:val="clear" w:color="auto" w:fill="auto"/>
            <w:noWrap/>
            <w:vAlign w:val="bottom"/>
          </w:tcPr>
          <w:p>
            <w:pPr>
              <w:jc w:val="center"/>
              <w:rPr>
                <w:rFonts w:ascii="Arial" w:cs="Arial" w:hAnsi="Arial"/>
                <w:b/>
                <w:color w:val="000000"/>
                <w:sz w:val="22"/>
                <w:szCs w:val="22"/>
                <w:lang w:eastAsia="en-PH"/>
              </w:rPr>
            </w:pPr>
            <w:r>
              <w:rPr>
                <w:rFonts w:ascii="Arial" w:cs="Arial" w:hAnsi="Arial"/>
                <w:b/>
                <w:color w:val="000000"/>
                <w:sz w:val="22"/>
                <w:szCs w:val="22"/>
                <w:lang w:eastAsia="en-PH"/>
              </w:rPr>
              <w:t>Developing</w:t>
            </w:r>
          </w:p>
        </w:tc>
      </w:tr>
    </w:tbl>
    <w:p>
      <w:pPr>
        <w:tabs>
          <w:tab w:val="left" w:pos="923"/>
        </w:tabs>
        <w:rPr>
          <w:rFonts w:ascii="Arial" w:cs="Arial" w:hAnsi="Arial"/>
          <w:sz w:val="22"/>
          <w:szCs w:val="22"/>
        </w:rPr>
      </w:pPr>
    </w:p>
    <w:p>
      <w:pPr>
        <w:ind w:left="1152" w:hanging="1152"/>
        <w:jc w:val="center"/>
        <w:rPr>
          <w:rFonts w:ascii="Arial" w:cs="Arial" w:hAnsi="Arial"/>
          <w:sz w:val="22"/>
          <w:szCs w:val="22"/>
        </w:rPr>
      </w:pPr>
    </w:p>
    <w:p>
      <w:pPr>
        <w:spacing w:line="480" w:lineRule="auto"/>
        <w:ind w:firstLine="720"/>
        <w:jc w:val="both"/>
        <w:rPr>
          <w:rFonts w:ascii="Arial" w:eastAsia="等线" w:cs="Arial" w:hAnsi="Arial"/>
          <w:color w:val="000000"/>
          <w:sz w:val="22"/>
          <w:szCs w:val="22"/>
        </w:rPr>
      </w:pPr>
      <w:r>
        <w:rPr>
          <w:rFonts w:ascii="Arial" w:cs="Arial" w:hAnsi="Arial"/>
          <w:sz w:val="22"/>
          <w:szCs w:val="22"/>
        </w:rPr>
        <w:t xml:space="preserve">Table 5 below present the summary scores of the respondent-schools in Eastern Samar based on the SBM management parameters which are Leadership and governance </w:t>
      </w:r>
      <m:oMath>
        <m:acc>
          <m:accPr>
            <m:chr m:val="̅"/>
            <m:ctrlPr>
              <w:rPr>
                <w:rFonts w:ascii="Cambria Math" w:cs="Arial" w:hAnsi="Cambria Math"/>
                <w:i/>
                <w:sz w:val="22"/>
                <w:szCs w:val="22"/>
              </w:rPr>
            </m:ctrlPr>
          </m:accPr>
          <m:e>
            <w:r>
              <w:rPr>
                <w:rFonts w:ascii="Cambria Math" w:cs="Arial" w:hAnsi="Cambria Math"/>
                <w:sz w:val="22"/>
                <w:szCs w:val="22"/>
              </w:rPr>
              <m:t>x</m:t>
            </w:r>
          </m:e>
        </m:acc>
        <w:r>
          <w:rPr>
            <w:rFonts w:ascii="Cambria Math" w:cs="Arial" w:hAnsi="Cambria Math"/>
            <w:sz w:val="22"/>
            <w:szCs w:val="22"/>
          </w:rPr>
          <m:t xml:space="preserve">= </m:t>
        </w:r>
        <w:r>
          <m:rPr>
            <m:sty m:val="p"/>
          </m:rPr>
          <w:rPr>
            <w:rFonts w:ascii="Cambria Math" w:cs="Arial" w:hAnsi="Cambria Math"/>
            <w:color w:val="000000"/>
            <w:sz w:val="22"/>
            <w:szCs w:val="22"/>
          </w:rPr>
          <m:t>1.50</m:t>
        </w:r>
      </m:oMath>
      <w:r>
        <w:rPr>
          <w:rFonts w:ascii="Arial" w:eastAsia="等线" w:cs="Arial" w:hAnsi="Arial"/>
          <w:color w:val="000000"/>
          <w:sz w:val="22"/>
          <w:szCs w:val="22"/>
        </w:rPr>
        <w:t>, maturing; curriculum and Instruction</w:t>
      </w:r>
      <m:oMath>
        <w:r>
          <w:rPr>
            <w:rFonts w:ascii="Cambria Math" w:eastAsia="等线" w:cs="Arial" w:hAnsi="Cambria Math"/>
            <w:color w:val="000000"/>
            <w:sz w:val="22"/>
            <w:szCs w:val="22"/>
          </w:rPr>
          <m:t xml:space="preserve"> </m:t>
        </w:r>
        <m:acc>
          <m:accPr>
            <m:chr m:val="̅"/>
            <m:ctrlPr>
              <w:rPr>
                <w:rFonts w:ascii="Cambria Math" w:cs="Arial" w:hAnsi="Cambria Math"/>
                <w:i/>
                <w:sz w:val="22"/>
                <w:szCs w:val="22"/>
              </w:rPr>
            </m:ctrlPr>
          </m:accPr>
          <m:e>
            <w:r>
              <w:rPr>
                <w:rFonts w:ascii="Cambria Math" w:cs="Arial" w:hAnsi="Cambria Math"/>
                <w:sz w:val="22"/>
                <w:szCs w:val="22"/>
              </w:rPr>
              <m:t>x</m:t>
            </w:r>
          </m:e>
        </m:acc>
        <w:r>
          <w:rPr>
            <w:rFonts w:ascii="Cambria Math" w:cs="Arial" w:hAnsi="Cambria Math"/>
            <w:sz w:val="22"/>
            <w:szCs w:val="22"/>
          </w:rPr>
          <m:t xml:space="preserve">= </m:t>
        </w:r>
        <w:r>
          <m:rPr>
            <m:sty m:val="p"/>
          </m:rPr>
          <w:rPr>
            <w:rFonts w:ascii="Cambria Math" w:cs="Arial" w:hAnsi="Cambria Math"/>
            <w:color w:val="000000"/>
            <w:sz w:val="22"/>
            <w:szCs w:val="22"/>
          </w:rPr>
          <m:t>1.46,</m:t>
        </w:r>
      </m:oMath>
      <w:r>
        <w:rPr>
          <w:rFonts w:ascii="Arial" w:eastAsia="等线" w:cs="Arial" w:hAnsi="Arial"/>
          <w:color w:val="000000"/>
          <w:sz w:val="22"/>
          <w:szCs w:val="22"/>
        </w:rPr>
        <w:t xml:space="preserve"> developing; Accountability and Continuous Improvement </w:t>
      </w:r>
      <m:oMath>
        <m:acc>
          <m:accPr>
            <m:chr m:val="̅"/>
            <m:ctrlPr>
              <w:rPr>
                <w:rFonts w:ascii="Cambria Math" w:cs="Arial" w:hAnsi="Cambria Math"/>
                <w:i/>
                <w:sz w:val="22"/>
                <w:szCs w:val="22"/>
              </w:rPr>
            </m:ctrlPr>
          </m:accPr>
          <m:e>
            <w:r>
              <w:rPr>
                <w:rFonts w:ascii="Cambria Math" w:cs="Arial" w:hAnsi="Cambria Math"/>
                <w:sz w:val="22"/>
                <w:szCs w:val="22"/>
              </w:rPr>
              <m:t>x</m:t>
            </w:r>
          </m:e>
        </m:acc>
        <w:r>
          <w:rPr>
            <w:rFonts w:ascii="Cambria Math" w:cs="Arial" w:hAnsi="Cambria Math"/>
            <w:sz w:val="22"/>
            <w:szCs w:val="22"/>
          </w:rPr>
          <m:t xml:space="preserve">= </m:t>
        </w:r>
        <w:r>
          <m:rPr>
            <m:sty m:val="p"/>
          </m:rPr>
          <w:rPr>
            <w:rFonts w:ascii="Cambria Math" w:cs="Arial" w:hAnsi="Cambria Math"/>
            <w:color w:val="000000"/>
            <w:sz w:val="22"/>
            <w:szCs w:val="22"/>
          </w:rPr>
          <m:t>1.56</m:t>
        </w:r>
      </m:oMath>
      <w:r>
        <w:rPr>
          <w:rFonts w:ascii="Arial" w:eastAsia="等线" w:cs="Arial" w:hAnsi="Arial"/>
          <w:color w:val="000000"/>
          <w:sz w:val="22"/>
          <w:szCs w:val="22"/>
        </w:rPr>
        <w:t xml:space="preserve">, maturing, and Management of Resources </w:t>
      </w:r>
      <m:oMath>
        <m:acc>
          <m:accPr>
            <m:chr m:val="̅"/>
            <m:ctrlPr>
              <w:rPr>
                <w:rFonts w:ascii="Cambria Math" w:cs="Arial" w:hAnsi="Cambria Math"/>
                <w:i/>
                <w:sz w:val="22"/>
                <w:szCs w:val="22"/>
              </w:rPr>
            </m:ctrlPr>
          </m:accPr>
          <m:e>
            <w:r>
              <w:rPr>
                <w:rFonts w:ascii="Cambria Math" w:cs="Arial" w:hAnsi="Cambria Math"/>
                <w:sz w:val="22"/>
                <w:szCs w:val="22"/>
              </w:rPr>
              <m:t>x</m:t>
            </w:r>
          </m:e>
        </m:acc>
        <w:r>
          <w:rPr>
            <w:rFonts w:ascii="Cambria Math" w:cs="Arial" w:hAnsi="Cambria Math"/>
            <w:sz w:val="22"/>
            <w:szCs w:val="22"/>
          </w:rPr>
          <m:t xml:space="preserve">= </m:t>
        </w:r>
        <w:r>
          <m:rPr>
            <m:sty m:val="p"/>
          </m:rPr>
          <w:rPr>
            <w:rFonts w:ascii="Cambria Math" w:cs="Arial" w:hAnsi="Cambria Math"/>
            <w:color w:val="000000"/>
            <w:sz w:val="22"/>
            <w:szCs w:val="22"/>
          </w:rPr>
          <m:t>1.46</m:t>
        </w:r>
      </m:oMath>
      <w:r>
        <w:rPr>
          <w:rFonts w:ascii="Arial" w:eastAsia="等线" w:cs="Arial" w:hAnsi="Arial"/>
          <w:color w:val="000000"/>
          <w:sz w:val="22"/>
          <w:szCs w:val="22"/>
        </w:rPr>
        <w:t xml:space="preserve">, developing. The over all mean is </w:t>
      </w:r>
      <m:oMath>
        <m:acc>
          <m:accPr>
            <m:chr m:val="̅"/>
            <m:ctrlPr>
              <w:rPr>
                <w:rFonts w:ascii="Cambria Math" w:cs="Arial" w:hAnsi="Cambria Math"/>
                <w:i/>
                <w:sz w:val="22"/>
                <w:szCs w:val="22"/>
              </w:rPr>
            </m:ctrlPr>
          </m:accPr>
          <m:e>
            <w:r>
              <w:rPr>
                <w:rFonts w:ascii="Cambria Math" w:cs="Arial" w:hAnsi="Cambria Math"/>
                <w:sz w:val="22"/>
                <w:szCs w:val="22"/>
              </w:rPr>
              <m:t>x</m:t>
            </w:r>
          </m:e>
        </m:acc>
        <w:r>
          <w:rPr>
            <w:rFonts w:ascii="Cambria Math" w:cs="Arial" w:hAnsi="Cambria Math"/>
            <w:sz w:val="22"/>
            <w:szCs w:val="22"/>
          </w:rPr>
          <m:t xml:space="preserve">= </m:t>
        </w:r>
        <w:r>
          <m:rPr>
            <m:sty m:val="p"/>
          </m:rPr>
          <w:rPr>
            <w:rFonts w:ascii="Cambria Math" w:cs="Arial" w:hAnsi="Cambria Math"/>
            <w:color w:val="000000"/>
            <w:sz w:val="22"/>
            <w:szCs w:val="22"/>
          </w:rPr>
          <m:t>1.50</m:t>
        </w:r>
      </m:oMath>
      <w:r>
        <w:rPr>
          <w:rFonts w:ascii="Arial" w:eastAsia="等线" w:cs="Arial" w:hAnsi="Arial"/>
          <w:color w:val="000000"/>
          <w:sz w:val="22"/>
          <w:szCs w:val="22"/>
        </w:rPr>
        <w:t xml:space="preserve"> which interpreted as Maturing or numerically Level 2 of the SBM level of practices.</w:t>
      </w:r>
    </w:p>
    <w:p>
      <w:pPr>
        <w:spacing w:line="480" w:lineRule="auto"/>
        <w:ind w:firstLine="720"/>
        <w:jc w:val="both"/>
        <w:rPr>
          <w:rFonts w:ascii="Arial" w:eastAsia="等线" w:cs="Arial" w:hAnsi="Arial"/>
          <w:color w:val="000000"/>
          <w:sz w:val="22"/>
          <w:szCs w:val="22"/>
        </w:rPr>
      </w:pPr>
      <w:r>
        <w:rPr>
          <w:rFonts w:ascii="Arial" w:cs="Arial" w:hAnsi="Arial"/>
          <w:sz w:val="22"/>
          <w:szCs w:val="22"/>
        </w:rPr>
        <w:t>The general result supports the findings of Rutherford and Jackson (2006), and Adams and Gamage (2008) highlighting the roles of principals, specifically transformational leaders for the effective implementation of School-Based Management. This implies that the success of the schools is determined by how school leaders exercised their authority in managing their own institutions.</w:t>
      </w:r>
    </w:p>
    <w:p>
      <w:pPr>
        <w:ind w:left="1152" w:hanging="1152"/>
        <w:rPr>
          <w:rFonts w:ascii="Arial" w:cs="Arial" w:hAnsi="Arial"/>
          <w:sz w:val="22"/>
          <w:szCs w:val="22"/>
        </w:rPr>
      </w:pPr>
      <w:r>
        <w:rPr>
          <w:rFonts w:ascii="Arial" w:cs="Arial" w:hAnsi="Arial"/>
          <w:b/>
          <w:sz w:val="22"/>
          <w:szCs w:val="22"/>
        </w:rPr>
        <w:t>Table 5.</w:t>
      </w:r>
      <w:r>
        <w:rPr>
          <w:rFonts w:ascii="Arial" w:cs="Arial" w:hAnsi="Arial"/>
          <w:sz w:val="22"/>
          <w:szCs w:val="22"/>
        </w:rPr>
        <w:t xml:space="preserve"> Summary table for school-based management practices</w:t>
      </w:r>
    </w:p>
    <w:p>
      <w:pPr>
        <w:ind w:left="1152" w:hanging="1152"/>
        <w:jc w:val="center"/>
        <w:rPr>
          <w:rFonts w:ascii="Arial" w:cs="Arial" w:hAnsi="Arial"/>
          <w:sz w:val="22"/>
          <w:szCs w:val="22"/>
        </w:rPr>
      </w:pPr>
    </w:p>
    <w:tbl>
      <w:tblPr>
        <w:jc w:val="center"/>
        <w:tblW w:w="8463"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950"/>
        <w:gridCol w:w="1080"/>
        <w:gridCol w:w="2433"/>
      </w:tblGrid>
      <w:tr>
        <w:tc>
          <w:tcPr>
            <w:tcW w:w="4950" w:type="dxa"/>
            <w:tcBorders>
              <w:top w:val="thinThickSmallGap" w:sz="24" w:space="0" w:color="auto"/>
              <w:left w:val="nil"/>
              <w:bottom w:val="single" w:sz="8" w:space="0" w:color="000000"/>
              <w:right w:val="nil"/>
            </w:tcBorders>
          </w:tcPr>
          <w:p>
            <w:pPr>
              <w:jc w:val="center"/>
              <w:rPr>
                <w:rFonts w:ascii="Arial" w:cs="Arial" w:hAnsi="Arial"/>
                <w:b/>
                <w:sz w:val="22"/>
                <w:szCs w:val="22"/>
              </w:rPr>
            </w:pPr>
            <w:r>
              <w:rPr>
                <w:rFonts w:ascii="Arial" w:cs="Arial" w:hAnsi="Arial"/>
                <w:b/>
                <w:sz w:val="22"/>
                <w:szCs w:val="22"/>
              </w:rPr>
              <w:t>Indicators</w:t>
            </w:r>
          </w:p>
        </w:tc>
        <w:tc>
          <w:tcPr>
            <w:tcW w:w="1080" w:type="dxa"/>
            <w:tcBorders>
              <w:top w:val="thinThickSmallGap" w:sz="24" w:space="0" w:color="auto"/>
              <w:left w:val="nil"/>
              <w:bottom w:val="single" w:sz="8" w:space="0" w:color="000000"/>
              <w:right w:val="nil"/>
            </w:tcBorders>
          </w:tcPr>
          <w:p>
            <w:pPr>
              <w:jc w:val="center"/>
              <w:rPr>
                <w:rFonts w:ascii="Arial" w:cs="Arial" w:hAnsi="Arial"/>
                <w:b/>
                <w:sz w:val="22"/>
                <w:szCs w:val="22"/>
              </w:rPr>
            </w:pPr>
            <w:r>
              <w:rPr>
                <w:rFonts w:ascii="Arial" w:cs="Arial" w:hAnsi="Arial"/>
                <w:b/>
                <w:sz w:val="22"/>
                <w:szCs w:val="22"/>
              </w:rPr>
              <w:t xml:space="preserve"> Mean</w:t>
            </w:r>
          </w:p>
        </w:tc>
        <w:tc>
          <w:tcPr>
            <w:tcW w:w="2433" w:type="dxa"/>
            <w:tcBorders>
              <w:top w:val="thinThickSmallGap" w:sz="24" w:space="0" w:color="auto"/>
              <w:left w:val="nil"/>
              <w:bottom w:val="single" w:sz="8" w:space="0" w:color="000000"/>
              <w:right w:val="nil"/>
            </w:tcBorders>
          </w:tcPr>
          <w:p>
            <w:pPr>
              <w:jc w:val="center"/>
              <w:rPr>
                <w:rFonts w:ascii="Arial" w:cs="Arial" w:hAnsi="Arial"/>
                <w:b/>
                <w:sz w:val="22"/>
                <w:szCs w:val="22"/>
              </w:rPr>
            </w:pPr>
            <w:r>
              <w:rPr>
                <w:rFonts w:ascii="Arial" w:cs="Arial" w:hAnsi="Arial"/>
                <w:b/>
                <w:sz w:val="22"/>
                <w:szCs w:val="22"/>
              </w:rPr>
              <w:t>Interpretation</w:t>
            </w:r>
          </w:p>
        </w:tc>
      </w:tr>
      <w:tr>
        <w:trPr>
          <w:trHeight w:val="432"/>
        </w:trPr>
        <w:tc>
          <w:tcPr>
            <w:tcW w:w="4950" w:type="dxa"/>
            <w:tcBorders>
              <w:top w:val="nil"/>
              <w:left w:val="nil"/>
              <w:bottom w:val="nil"/>
              <w:right w:val="nil"/>
            </w:tcBorders>
          </w:tcPr>
          <w:p>
            <w:pPr>
              <w:ind w:left="0" w:right="-384" w:hanging="18"/>
              <w:contextualSpacing/>
              <w:jc w:val="both"/>
              <w:rPr>
                <w:rFonts w:ascii="Arial" w:cs="Arial" w:hAnsi="Arial"/>
                <w:sz w:val="22"/>
                <w:szCs w:val="22"/>
              </w:rPr>
            </w:pPr>
            <w:r>
              <w:rPr>
                <w:rFonts w:ascii="Arial" w:cs="Arial" w:hAnsi="Arial"/>
                <w:sz w:val="22"/>
                <w:szCs w:val="22"/>
              </w:rPr>
              <w:t>Leadership and Governance</w:t>
            </w:r>
          </w:p>
        </w:tc>
        <w:tc>
          <w:tcPr>
            <w:tcW w:w="1080" w:type="dxa"/>
            <w:tcBorders>
              <w:top w:val="nil"/>
              <w:left w:val="nil"/>
              <w:bottom w:val="nil"/>
              <w:right w:val="nil"/>
            </w:tcBorders>
          </w:tcPr>
          <w:p>
            <w:pPr>
              <w:jc w:val="center"/>
              <w:rPr>
                <w:rFonts w:ascii="Arial" w:cs="Arial" w:hAnsi="Arial"/>
                <w:sz w:val="22"/>
                <w:szCs w:val="22"/>
              </w:rPr>
            </w:pPr>
            <w:r>
              <w:rPr>
                <w:rFonts w:ascii="Arial" w:cs="Arial" w:hAnsi="Arial"/>
                <w:sz w:val="22"/>
                <w:szCs w:val="22"/>
              </w:rPr>
              <w:t>1.50</w:t>
            </w:r>
          </w:p>
        </w:tc>
        <w:tc>
          <w:tcPr>
            <w:tcW w:w="2433" w:type="dxa"/>
            <w:tcBorders>
              <w:top w:val="nil"/>
              <w:left w:val="nil"/>
              <w:bottom w:val="nil"/>
              <w:right w:val="nil"/>
            </w:tcBorders>
          </w:tcPr>
          <w:p>
            <w:pPr>
              <w:jc w:val="center"/>
              <w:rPr>
                <w:rFonts w:ascii="Arial" w:cs="Arial" w:hAnsi="Arial"/>
                <w:sz w:val="22"/>
                <w:szCs w:val="22"/>
              </w:rPr>
            </w:pPr>
            <w:r>
              <w:rPr>
                <w:rFonts w:ascii="Arial" w:cs="Arial" w:hAnsi="Arial"/>
                <w:sz w:val="22"/>
                <w:szCs w:val="22"/>
              </w:rPr>
              <w:t>Maturing</w:t>
            </w:r>
          </w:p>
        </w:tc>
      </w:tr>
      <w:tr>
        <w:trPr>
          <w:trHeight w:val="432"/>
        </w:trPr>
        <w:tc>
          <w:tcPr>
            <w:tcW w:w="4950" w:type="dxa"/>
            <w:tcBorders>
              <w:top w:val="nil"/>
              <w:left w:val="nil"/>
              <w:bottom w:val="nil"/>
              <w:right w:val="nil"/>
            </w:tcBorders>
          </w:tcPr>
          <w:p>
            <w:pPr>
              <w:ind w:left="0" w:right="-384" w:hanging="18"/>
              <w:contextualSpacing/>
              <w:jc w:val="both"/>
              <w:rPr>
                <w:rFonts w:ascii="Arial" w:cs="Arial" w:hAnsi="Arial"/>
                <w:sz w:val="22"/>
                <w:szCs w:val="22"/>
              </w:rPr>
            </w:pPr>
            <w:r>
              <w:rPr>
                <w:rFonts w:ascii="Arial" w:cs="Arial" w:hAnsi="Arial"/>
                <w:sz w:val="22"/>
                <w:szCs w:val="22"/>
              </w:rPr>
              <w:t>Curriculum and Instruction</w:t>
            </w:r>
          </w:p>
        </w:tc>
        <w:tc>
          <w:tcPr>
            <w:tcW w:w="1080" w:type="dxa"/>
            <w:tcBorders>
              <w:top w:val="nil"/>
              <w:left w:val="nil"/>
              <w:bottom w:val="nil"/>
              <w:right w:val="nil"/>
            </w:tcBorders>
          </w:tcPr>
          <w:p>
            <w:pPr>
              <w:jc w:val="center"/>
              <w:rPr>
                <w:rFonts w:ascii="Arial" w:cs="Arial" w:hAnsi="Arial"/>
                <w:sz w:val="22"/>
                <w:szCs w:val="22"/>
              </w:rPr>
            </w:pPr>
            <w:r>
              <w:rPr>
                <w:rFonts w:ascii="Arial" w:cs="Arial" w:hAnsi="Arial"/>
                <w:sz w:val="22"/>
                <w:szCs w:val="22"/>
              </w:rPr>
              <w:t>1.46</w:t>
            </w:r>
          </w:p>
        </w:tc>
        <w:tc>
          <w:tcPr>
            <w:tcW w:w="2433" w:type="dxa"/>
            <w:tcBorders>
              <w:top w:val="nil"/>
              <w:left w:val="nil"/>
              <w:bottom w:val="nil"/>
              <w:right w:val="nil"/>
            </w:tcBorders>
          </w:tcPr>
          <w:p>
            <w:pPr>
              <w:jc w:val="center"/>
              <w:rPr>
                <w:rFonts w:ascii="Arial" w:cs="Arial" w:hAnsi="Arial"/>
                <w:sz w:val="22"/>
                <w:szCs w:val="22"/>
              </w:rPr>
            </w:pPr>
            <w:r>
              <w:rPr>
                <w:rFonts w:ascii="Arial" w:cs="Arial" w:hAnsi="Arial"/>
                <w:sz w:val="22"/>
                <w:szCs w:val="22"/>
              </w:rPr>
              <w:t>Developing</w:t>
            </w:r>
          </w:p>
        </w:tc>
      </w:tr>
      <w:tr>
        <w:trPr>
          <w:trHeight w:val="432"/>
        </w:trPr>
        <w:tc>
          <w:tcPr>
            <w:tcW w:w="4950" w:type="dxa"/>
            <w:tcBorders>
              <w:top w:val="nil"/>
              <w:left w:val="nil"/>
              <w:bottom w:val="nil"/>
              <w:right w:val="nil"/>
            </w:tcBorders>
          </w:tcPr>
          <w:p>
            <w:pPr>
              <w:ind w:left="0" w:right="-384" w:hanging="18"/>
              <w:contextualSpacing/>
              <w:rPr>
                <w:rFonts w:ascii="Arial" w:cs="Arial" w:hAnsi="Arial"/>
                <w:sz w:val="22"/>
                <w:szCs w:val="22"/>
              </w:rPr>
            </w:pPr>
            <w:r>
              <w:rPr>
                <w:rFonts w:ascii="Arial" w:cs="Arial" w:hAnsi="Arial"/>
                <w:sz w:val="22"/>
                <w:szCs w:val="22"/>
              </w:rPr>
              <w:t>Accountability and Continuous Improvement</w:t>
            </w:r>
          </w:p>
        </w:tc>
        <w:tc>
          <w:tcPr>
            <w:tcW w:w="1080" w:type="dxa"/>
            <w:tcBorders>
              <w:top w:val="nil"/>
              <w:left w:val="nil"/>
              <w:bottom w:val="nil"/>
              <w:right w:val="nil"/>
            </w:tcBorders>
          </w:tcPr>
          <w:p>
            <w:pPr>
              <w:jc w:val="center"/>
              <w:rPr>
                <w:rFonts w:ascii="Arial" w:cs="Arial" w:hAnsi="Arial"/>
                <w:sz w:val="22"/>
                <w:szCs w:val="22"/>
              </w:rPr>
            </w:pPr>
            <w:r>
              <w:rPr>
                <w:rFonts w:ascii="Arial" w:cs="Arial" w:hAnsi="Arial"/>
                <w:sz w:val="22"/>
                <w:szCs w:val="22"/>
              </w:rPr>
              <w:t>1.56</w:t>
            </w:r>
          </w:p>
        </w:tc>
        <w:tc>
          <w:tcPr>
            <w:tcW w:w="2433" w:type="dxa"/>
            <w:tcBorders>
              <w:top w:val="nil"/>
              <w:left w:val="nil"/>
              <w:bottom w:val="nil"/>
              <w:right w:val="nil"/>
            </w:tcBorders>
          </w:tcPr>
          <w:p>
            <w:pPr>
              <w:jc w:val="center"/>
              <w:rPr>
                <w:rFonts w:ascii="Arial" w:cs="Arial" w:hAnsi="Arial"/>
                <w:sz w:val="22"/>
                <w:szCs w:val="22"/>
              </w:rPr>
            </w:pPr>
            <w:r>
              <w:rPr>
                <w:rFonts w:ascii="Arial" w:cs="Arial" w:hAnsi="Arial"/>
                <w:sz w:val="22"/>
                <w:szCs w:val="22"/>
              </w:rPr>
              <w:t>Maturing</w:t>
            </w:r>
          </w:p>
        </w:tc>
      </w:tr>
      <w:tr>
        <w:trPr>
          <w:trHeight w:val="432"/>
        </w:trPr>
        <w:tc>
          <w:tcPr>
            <w:tcW w:w="4950" w:type="dxa"/>
            <w:tcBorders>
              <w:top w:val="nil"/>
              <w:left w:val="nil"/>
              <w:bottom w:val="nil"/>
              <w:right w:val="nil"/>
            </w:tcBorders>
          </w:tcPr>
          <w:p>
            <w:pPr>
              <w:ind w:left="0" w:right="-384" w:hanging="18"/>
              <w:contextualSpacing/>
              <w:jc w:val="both"/>
              <w:rPr>
                <w:rFonts w:ascii="Arial" w:cs="Arial" w:hAnsi="Arial"/>
                <w:sz w:val="22"/>
                <w:szCs w:val="22"/>
              </w:rPr>
            </w:pPr>
            <w:r>
              <w:rPr>
                <w:rFonts w:ascii="Arial" w:cs="Arial" w:hAnsi="Arial"/>
                <w:sz w:val="22"/>
                <w:szCs w:val="22"/>
              </w:rPr>
              <w:t>Management of resources</w:t>
            </w:r>
          </w:p>
        </w:tc>
        <w:tc>
          <w:tcPr>
            <w:tcW w:w="1080" w:type="dxa"/>
            <w:tcBorders>
              <w:top w:val="nil"/>
              <w:left w:val="nil"/>
              <w:bottom w:val="nil"/>
              <w:right w:val="nil"/>
            </w:tcBorders>
          </w:tcPr>
          <w:p>
            <w:pPr>
              <w:jc w:val="center"/>
              <w:rPr>
                <w:rFonts w:ascii="Arial" w:cs="Arial" w:hAnsi="Arial"/>
                <w:sz w:val="22"/>
                <w:szCs w:val="22"/>
              </w:rPr>
            </w:pPr>
            <w:r>
              <w:rPr>
                <w:rFonts w:ascii="Arial" w:cs="Arial" w:hAnsi="Arial"/>
                <w:sz w:val="22"/>
                <w:szCs w:val="22"/>
              </w:rPr>
              <w:t>1.46</w:t>
            </w:r>
          </w:p>
        </w:tc>
        <w:tc>
          <w:tcPr>
            <w:tcW w:w="2433" w:type="dxa"/>
            <w:tcBorders>
              <w:top w:val="nil"/>
              <w:left w:val="nil"/>
              <w:bottom w:val="nil"/>
              <w:right w:val="nil"/>
            </w:tcBorders>
          </w:tcPr>
          <w:p>
            <w:pPr>
              <w:jc w:val="center"/>
              <w:rPr>
                <w:rFonts w:ascii="Arial" w:cs="Arial" w:hAnsi="Arial"/>
                <w:sz w:val="22"/>
                <w:szCs w:val="22"/>
              </w:rPr>
            </w:pPr>
            <w:r>
              <w:rPr>
                <w:rFonts w:ascii="Arial" w:cs="Arial" w:hAnsi="Arial"/>
                <w:sz w:val="22"/>
                <w:szCs w:val="22"/>
              </w:rPr>
              <w:t>Developing</w:t>
            </w:r>
          </w:p>
        </w:tc>
      </w:tr>
      <w:tr>
        <w:tc>
          <w:tcPr>
            <w:tcW w:w="4950" w:type="dxa"/>
            <w:tcBorders>
              <w:top w:val="single" w:sz="8" w:space="0" w:color="000000"/>
              <w:left w:val="nil"/>
              <w:bottom w:val="thickThinSmallGap" w:sz="24" w:space="0" w:color="auto"/>
              <w:right w:val="nil"/>
            </w:tcBorders>
            <w:vAlign w:val="center"/>
          </w:tcPr>
          <w:p>
            <w:pPr>
              <w:ind w:left="360"/>
              <w:contextualSpacing/>
              <w:jc w:val="center"/>
              <w:rPr>
                <w:rFonts w:ascii="Arial" w:cs="Arial" w:hAnsi="Arial"/>
                <w:b/>
                <w:sz w:val="22"/>
                <w:szCs w:val="22"/>
              </w:rPr>
            </w:pPr>
            <w:r>
              <w:rPr>
                <w:rFonts w:ascii="Arial" w:cs="Arial" w:hAnsi="Arial"/>
                <w:b/>
                <w:sz w:val="22"/>
                <w:szCs w:val="22"/>
              </w:rPr>
              <w:t>Grand Mean</w:t>
            </w:r>
          </w:p>
        </w:tc>
        <w:tc>
          <w:tcPr>
            <w:tcW w:w="1080" w:type="dxa"/>
            <w:tcBorders>
              <w:top w:val="single" w:sz="8" w:space="0" w:color="000000"/>
              <w:left w:val="nil"/>
              <w:bottom w:val="thickThinSmallGap" w:sz="24" w:space="0" w:color="auto"/>
              <w:right w:val="nil"/>
            </w:tcBorders>
          </w:tcPr>
          <w:p>
            <w:pPr>
              <w:jc w:val="center"/>
              <w:rPr>
                <w:rFonts w:ascii="Arial" w:cs="Arial" w:hAnsi="Arial"/>
                <w:b/>
                <w:sz w:val="22"/>
                <w:szCs w:val="22"/>
              </w:rPr>
            </w:pPr>
            <w:r>
              <w:rPr>
                <w:rFonts w:ascii="Arial" w:cs="Arial" w:hAnsi="Arial"/>
                <w:b/>
                <w:sz w:val="22"/>
                <w:szCs w:val="22"/>
              </w:rPr>
              <w:t>1.50</w:t>
            </w:r>
          </w:p>
        </w:tc>
        <w:tc>
          <w:tcPr>
            <w:tcW w:w="2433" w:type="dxa"/>
            <w:tcBorders>
              <w:top w:val="single" w:sz="8" w:space="0" w:color="000000"/>
              <w:left w:val="nil"/>
              <w:bottom w:val="thickThinSmallGap" w:sz="24" w:space="0" w:color="auto"/>
              <w:right w:val="nil"/>
            </w:tcBorders>
          </w:tcPr>
          <w:p>
            <w:pPr>
              <w:jc w:val="center"/>
              <w:rPr>
                <w:rFonts w:ascii="Arial" w:cs="Arial" w:hAnsi="Arial"/>
                <w:b/>
                <w:sz w:val="22"/>
                <w:szCs w:val="22"/>
              </w:rPr>
            </w:pPr>
            <w:r>
              <w:rPr>
                <w:rFonts w:ascii="Arial" w:cs="Arial" w:hAnsi="Arial"/>
                <w:b/>
                <w:sz w:val="22"/>
                <w:szCs w:val="22"/>
              </w:rPr>
              <w:t>Maturing</w:t>
            </w:r>
          </w:p>
        </w:tc>
      </w:tr>
    </w:tbl>
    <w:p>
      <w:pPr>
        <w:ind w:left="720" w:hanging="720"/>
        <w:jc w:val="both"/>
        <w:rPr>
          <w:rFonts w:ascii="Arial" w:cs="Arial" w:hAnsi="Arial"/>
          <w:sz w:val="22"/>
          <w:szCs w:val="22"/>
        </w:rPr>
      </w:pPr>
    </w:p>
    <w:p>
      <w:pPr>
        <w:tabs>
          <w:tab w:val="left" w:pos="720"/>
        </w:tabs>
        <w:spacing w:line="480" w:lineRule="auto"/>
        <w:jc w:val="both"/>
        <w:rPr>
          <w:rFonts w:ascii="Arial" w:cs="Arial" w:hAnsi="Arial"/>
          <w:b/>
          <w:sz w:val="22"/>
          <w:szCs w:val="22"/>
        </w:rPr>
      </w:pPr>
    </w:p>
    <w:p>
      <w:pPr>
        <w:tabs>
          <w:tab w:val="left" w:pos="720"/>
        </w:tabs>
        <w:spacing w:line="480" w:lineRule="auto"/>
        <w:jc w:val="both"/>
        <w:rPr>
          <w:rFonts w:ascii="Arial" w:cs="Arial" w:hAnsi="Arial"/>
          <w:b/>
          <w:sz w:val="22"/>
          <w:szCs w:val="22"/>
        </w:rPr>
      </w:pPr>
      <w:r>
        <w:rPr>
          <w:rFonts w:ascii="Arial" w:cs="Arial" w:hAnsi="Arial"/>
          <w:b/>
          <w:sz w:val="22"/>
          <w:szCs w:val="22"/>
        </w:rPr>
        <w:t>Academic Performance of Pupils</w:t>
      </w:r>
    </w:p>
    <w:p>
      <w:pPr>
        <w:tabs>
          <w:tab w:val="left" w:pos="720"/>
        </w:tabs>
        <w:spacing w:line="480" w:lineRule="auto"/>
        <w:jc w:val="both"/>
        <w:rPr>
          <w:rFonts w:ascii="Arial" w:cs="Arial" w:hAnsi="Arial"/>
          <w:sz w:val="22"/>
          <w:szCs w:val="22"/>
        </w:rPr>
      </w:pPr>
      <w:r>
        <w:rPr>
          <w:rFonts w:ascii="Arial" w:cs="Arial" w:hAnsi="Arial"/>
          <w:sz w:val="22"/>
          <w:szCs w:val="22"/>
        </w:rPr>
        <w:tab/>
        <w:t>Academic performance of learners was considered as predictor variable in this study. As shown in table 6 below, the learners in the 12 respondent-districts based on consolidated ProMEDS indicates a grand mean rating of 84.06 which is descriptively ascertained to be satisfactory. Performance rating is based on DepEd issued memorandum circulars on grading system in the public school. Four notable scores of very satisfactory, as the table shows, for districts C, J, I, K, while the rest of the districts scored satisfactory.</w:t>
      </w:r>
    </w:p>
    <w:p>
      <w:pPr>
        <w:tabs>
          <w:tab w:val="left" w:pos="720"/>
        </w:tabs>
        <w:spacing w:line="480" w:lineRule="auto"/>
        <w:jc w:val="both"/>
        <w:rPr>
          <w:rFonts w:ascii="Arial" w:cs="Arial" w:hAnsi="Arial"/>
          <w:sz w:val="22"/>
          <w:szCs w:val="22"/>
        </w:rPr>
      </w:pPr>
      <w:r>
        <w:rPr>
          <w:rFonts w:ascii="Arial" w:cs="Arial" w:hAnsi="Arial"/>
          <w:sz w:val="22"/>
          <w:szCs w:val="22"/>
        </w:rPr>
        <w:tab/>
        <w:t>These findings support the opinion of Wilhelm (2010) who explained that: When teachers and school administrators begin taking ownership, they also gain ownership of the solutions developed as a team on problems of poor performance. As shared leadership becomes the norm for the school, student outcomes improve dramatically. Achievement gaps are addressed when schools continue to look for improvements in learner's performance.</w:t>
      </w:r>
    </w:p>
    <w:p>
      <w:pPr>
        <w:autoSpaceDE w:val="0"/>
        <w:autoSpaceDN w:val="0"/>
        <w:adjustRightInd w:val="0"/>
        <w:spacing w:line="480" w:lineRule="auto"/>
        <w:ind w:firstLine="720"/>
        <w:jc w:val="both"/>
        <w:rPr>
          <w:rFonts w:ascii="Arial" w:cs="Arial" w:hAnsi="Arial"/>
          <w:bCs/>
          <w:sz w:val="22"/>
          <w:szCs w:val="22"/>
        </w:rPr>
      </w:pPr>
      <w:r>
        <w:rPr>
          <w:rFonts w:ascii="Arial" w:cs="Arial" w:hAnsi="Arial"/>
          <w:bCs/>
          <w:sz w:val="22"/>
          <w:szCs w:val="22"/>
        </w:rPr>
        <w:t>School-based management has been linked to significant leads to better school achievement. Gamage (2006) and Dempster (2000) agreed that SBM practices have an impact on student outcomes.</w:t>
      </w:r>
    </w:p>
    <w:p>
      <w:pPr>
        <w:rPr>
          <w:rFonts w:ascii="Arial" w:cs="Arial" w:hAnsi="Arial"/>
          <w:b/>
          <w:sz w:val="22"/>
          <w:szCs w:val="22"/>
        </w:rPr>
      </w:pPr>
    </w:p>
    <w:p>
      <w:pPr>
        <w:rPr>
          <w:rFonts w:ascii="Arial" w:cs="Arial" w:hAnsi="Arial"/>
          <w:b/>
          <w:sz w:val="22"/>
          <w:szCs w:val="22"/>
        </w:rPr>
      </w:pPr>
    </w:p>
    <w:p>
      <w:pPr>
        <w:rPr>
          <w:rFonts w:ascii="Arial" w:cs="Arial" w:hAnsi="Arial"/>
          <w:sz w:val="22"/>
          <w:szCs w:val="22"/>
        </w:rPr>
      </w:pPr>
      <w:r>
        <w:rPr>
          <w:rFonts w:ascii="Arial" w:cs="Arial" w:hAnsi="Arial"/>
          <w:b/>
          <w:sz w:val="22"/>
          <w:szCs w:val="22"/>
        </w:rPr>
        <w:t>Table 6.</w:t>
      </w:r>
      <w:r>
        <w:rPr>
          <w:rFonts w:ascii="Arial" w:cs="Arial" w:hAnsi="Arial"/>
          <w:sz w:val="22"/>
          <w:szCs w:val="22"/>
        </w:rPr>
        <w:t xml:space="preserve"> Mean rating of Pupils per District in terms of Academic Performance</w:t>
      </w:r>
    </w:p>
    <w:p>
      <w:pPr>
        <w:ind w:left="1440" w:hanging="1440"/>
        <w:jc w:val="center"/>
        <w:rPr>
          <w:rFonts w:ascii="Arial" w:cs="Arial" w:hAnsi="Arial"/>
          <w:sz w:val="22"/>
          <w:szCs w:val="22"/>
        </w:rPr>
      </w:pPr>
    </w:p>
    <w:tbl>
      <w:tblPr>
        <w:jc w:val="center"/>
        <w:tblW w:w="846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140"/>
        <w:gridCol w:w="2155"/>
        <w:gridCol w:w="2165"/>
      </w:tblGrid>
      <w:tr>
        <w:trPr>
          <w:trHeight w:val="288"/>
        </w:trPr>
        <w:tc>
          <w:tcPr>
            <w:tcW w:w="4140" w:type="dxa"/>
            <w:tcBorders>
              <w:top w:val="thinThickSmallGap" w:sz="24" w:space="0" w:color="auto"/>
              <w:left w:val="nil"/>
              <w:bottom w:val="single" w:sz="4" w:space="0" w:color="auto"/>
              <w:right w:val="nil"/>
            </w:tcBorders>
          </w:tcPr>
          <w:p>
            <w:pPr>
              <w:jc w:val="center"/>
              <w:rPr>
                <w:rFonts w:ascii="Arial" w:cs="Arial" w:hAnsi="Arial"/>
                <w:b/>
                <w:sz w:val="22"/>
                <w:szCs w:val="22"/>
              </w:rPr>
            </w:pPr>
            <w:r>
              <w:rPr>
                <w:rFonts w:ascii="Arial" w:cs="Arial" w:hAnsi="Arial"/>
                <w:b/>
                <w:sz w:val="22"/>
                <w:szCs w:val="22"/>
              </w:rPr>
              <w:t>District</w:t>
            </w:r>
          </w:p>
        </w:tc>
        <w:tc>
          <w:tcPr>
            <w:tcW w:w="2155" w:type="dxa"/>
            <w:tcBorders>
              <w:top w:val="thinThickSmallGap" w:sz="24" w:space="0" w:color="auto"/>
              <w:left w:val="nil"/>
              <w:bottom w:val="single" w:sz="4" w:space="0" w:color="auto"/>
              <w:right w:val="nil"/>
            </w:tcBorders>
          </w:tcPr>
          <w:p>
            <w:pPr>
              <w:jc w:val="center"/>
              <w:rPr>
                <w:rFonts w:ascii="Arial" w:cs="Arial" w:hAnsi="Arial"/>
                <w:b/>
                <w:sz w:val="22"/>
                <w:szCs w:val="22"/>
              </w:rPr>
            </w:pPr>
            <w:r>
              <w:rPr>
                <w:rFonts w:ascii="Arial" w:cs="Arial" w:hAnsi="Arial"/>
                <w:b/>
                <w:sz w:val="22"/>
                <w:szCs w:val="22"/>
              </w:rPr>
              <w:t>Mean Rating (</w:t>
            </w:r>
            <w:r>
              <w:rPr>
                <w:rFonts w:ascii="Arial" w:cs="Arial" w:hAnsi="Arial"/>
                <w:b/>
                <w:i/>
                <w:sz w:val="22"/>
                <w:szCs w:val="22"/>
              </w:rPr>
              <w:t>%</w:t>
            </w:r>
            <w:r>
              <w:rPr>
                <w:rFonts w:ascii="Arial" w:cs="Arial" w:hAnsi="Arial"/>
                <w:b/>
                <w:sz w:val="22"/>
                <w:szCs w:val="22"/>
              </w:rPr>
              <w:t>)</w:t>
            </w:r>
          </w:p>
        </w:tc>
        <w:tc>
          <w:tcPr>
            <w:tcW w:w="2165" w:type="dxa"/>
            <w:tcBorders>
              <w:top w:val="thinThickSmallGap" w:sz="24" w:space="0" w:color="auto"/>
              <w:left w:val="nil"/>
              <w:bottom w:val="single" w:sz="4" w:space="0" w:color="auto"/>
              <w:right w:val="nil"/>
            </w:tcBorders>
          </w:tcPr>
          <w:p>
            <w:pPr>
              <w:jc w:val="center"/>
              <w:rPr>
                <w:rFonts w:ascii="Arial" w:cs="Arial" w:hAnsi="Arial"/>
                <w:b/>
                <w:sz w:val="22"/>
                <w:szCs w:val="22"/>
              </w:rPr>
            </w:pPr>
            <w:r>
              <w:rPr>
                <w:rFonts w:ascii="Arial" w:cs="Arial" w:hAnsi="Arial"/>
                <w:b/>
                <w:sz w:val="22"/>
                <w:szCs w:val="22"/>
              </w:rPr>
              <w:t>Descriptor</w:t>
            </w:r>
          </w:p>
        </w:tc>
      </w:tr>
      <w:tr>
        <w:trPr>
          <w:trHeight w:val="432"/>
        </w:trPr>
        <w:tc>
          <w:tcPr>
            <w:tcW w:w="4140" w:type="dxa"/>
            <w:tcBorders>
              <w:top w:val="single" w:sz="4" w:space="0" w:color="auto"/>
            </w:tcBorders>
          </w:tcPr>
          <w:p>
            <w:pPr>
              <w:rPr>
                <w:rFonts w:ascii="Arial" w:eastAsia="Droid Sans" w:cs="Arial" w:hAnsi="Arial"/>
                <w:sz w:val="22"/>
                <w:szCs w:val="22"/>
              </w:rPr>
            </w:pPr>
            <w:r>
              <w:rPr>
                <w:rFonts w:ascii="Arial" w:eastAsia="Droid Sans" w:cs="Arial" w:hAnsi="Arial"/>
                <w:sz w:val="22"/>
                <w:szCs w:val="22"/>
              </w:rPr>
              <w:tab/>
              <w:tab/>
              <w:t>District A</w:t>
            </w:r>
          </w:p>
          <w:p>
            <w:pPr>
              <w:rPr>
                <w:rFonts w:ascii="Arial" w:eastAsia="Droid Sans" w:cs="Arial" w:hAnsi="Arial"/>
                <w:sz w:val="22"/>
                <w:szCs w:val="22"/>
              </w:rPr>
            </w:pPr>
            <w:r>
              <w:rPr>
                <w:rFonts w:ascii="Arial" w:eastAsia="Droid Sans" w:cs="Arial" w:hAnsi="Arial"/>
                <w:sz w:val="22"/>
                <w:szCs w:val="22"/>
              </w:rPr>
              <w:tab/>
              <w:tab/>
              <w:t>District B</w:t>
            </w:r>
          </w:p>
          <w:p>
            <w:pPr>
              <w:rPr>
                <w:rFonts w:ascii="Arial" w:eastAsia="Droid Sans" w:cs="Arial" w:hAnsi="Arial"/>
                <w:sz w:val="22"/>
                <w:szCs w:val="22"/>
              </w:rPr>
            </w:pPr>
            <w:r>
              <w:rPr>
                <w:rFonts w:ascii="Arial" w:eastAsia="Droid Sans" w:cs="Arial" w:hAnsi="Arial"/>
                <w:sz w:val="22"/>
                <w:szCs w:val="22"/>
              </w:rPr>
              <w:tab/>
              <w:tab/>
              <w:t>District C</w:t>
            </w:r>
          </w:p>
          <w:p>
            <w:pPr>
              <w:rPr>
                <w:rFonts w:ascii="Arial" w:eastAsia="Droid Sans" w:cs="Arial" w:hAnsi="Arial"/>
                <w:sz w:val="22"/>
                <w:szCs w:val="22"/>
              </w:rPr>
            </w:pPr>
            <w:r>
              <w:rPr>
                <w:rFonts w:ascii="Arial" w:eastAsia="Droid Sans" w:cs="Arial" w:hAnsi="Arial"/>
                <w:sz w:val="22"/>
                <w:szCs w:val="22"/>
              </w:rPr>
              <w:tab/>
              <w:tab/>
              <w:t>District D</w:t>
            </w:r>
          </w:p>
        </w:tc>
        <w:tc>
          <w:tcPr>
            <w:tcW w:w="2155" w:type="dxa"/>
            <w:tcBorders>
              <w:top w:val="single" w:sz="4" w:space="0" w:color="auto"/>
            </w:tcBorders>
          </w:tcPr>
          <w:p>
            <w:pPr>
              <w:jc w:val="center"/>
              <w:rPr>
                <w:rFonts w:ascii="Arial" w:eastAsia="Droid Sans" w:cs="Arial" w:hAnsi="Arial"/>
                <w:sz w:val="22"/>
                <w:szCs w:val="22"/>
              </w:rPr>
            </w:pPr>
            <w:r>
              <w:rPr>
                <w:rFonts w:ascii="Arial" w:eastAsia="Droid Sans" w:cs="Arial" w:hAnsi="Arial"/>
                <w:sz w:val="22"/>
                <w:szCs w:val="22"/>
              </w:rPr>
              <w:t>83.8</w:t>
            </w:r>
          </w:p>
          <w:p>
            <w:pPr>
              <w:jc w:val="center"/>
              <w:rPr>
                <w:rFonts w:ascii="Arial" w:eastAsia="Droid Sans" w:cs="Arial" w:hAnsi="Arial"/>
                <w:sz w:val="22"/>
                <w:szCs w:val="22"/>
              </w:rPr>
            </w:pPr>
            <w:r>
              <w:rPr>
                <w:rFonts w:ascii="Arial" w:eastAsia="Droid Sans" w:cs="Arial" w:hAnsi="Arial"/>
                <w:sz w:val="22"/>
                <w:szCs w:val="22"/>
              </w:rPr>
              <w:t>84.3</w:t>
            </w:r>
          </w:p>
          <w:p>
            <w:pPr>
              <w:jc w:val="center"/>
              <w:rPr>
                <w:rFonts w:ascii="Arial" w:eastAsia="Droid Sans" w:cs="Arial" w:hAnsi="Arial"/>
                <w:sz w:val="22"/>
                <w:szCs w:val="22"/>
              </w:rPr>
            </w:pPr>
            <w:r>
              <w:rPr>
                <w:rFonts w:ascii="Arial" w:eastAsia="Droid Sans" w:cs="Arial" w:hAnsi="Arial"/>
                <w:sz w:val="22"/>
                <w:szCs w:val="22"/>
              </w:rPr>
              <w:t>84.6</w:t>
            </w:r>
          </w:p>
          <w:p>
            <w:pPr>
              <w:jc w:val="center"/>
              <w:rPr>
                <w:rFonts w:ascii="Arial" w:eastAsia="Droid Sans" w:cs="Arial" w:hAnsi="Arial"/>
                <w:sz w:val="22"/>
                <w:szCs w:val="22"/>
              </w:rPr>
            </w:pPr>
            <w:r>
              <w:rPr>
                <w:rFonts w:ascii="Arial" w:eastAsia="Droid Sans" w:cs="Arial" w:hAnsi="Arial"/>
                <w:sz w:val="22"/>
                <w:szCs w:val="22"/>
              </w:rPr>
              <w:t>83.6</w:t>
            </w:r>
          </w:p>
        </w:tc>
        <w:tc>
          <w:tcPr>
            <w:tcW w:w="2165" w:type="dxa"/>
            <w:tcBorders>
              <w:top w:val="single" w:sz="4" w:space="0" w:color="auto"/>
            </w:tcBorders>
          </w:tcPr>
          <w:p>
            <w:pPr>
              <w:jc w:val="center"/>
              <w:rPr>
                <w:rFonts w:ascii="Arial" w:cs="Arial" w:hAnsi="Arial"/>
                <w:sz w:val="22"/>
                <w:szCs w:val="22"/>
              </w:rPr>
            </w:pPr>
            <w:r>
              <w:rPr>
                <w:rFonts w:ascii="Arial" w:cs="Arial" w:hAnsi="Arial"/>
                <w:sz w:val="22"/>
                <w:szCs w:val="22"/>
              </w:rPr>
              <w:t>Satisfactory</w:t>
            </w:r>
          </w:p>
          <w:p>
            <w:pPr>
              <w:jc w:val="center"/>
              <w:rPr>
                <w:rFonts w:ascii="Arial" w:cs="Arial" w:hAnsi="Arial"/>
                <w:sz w:val="22"/>
                <w:szCs w:val="22"/>
              </w:rPr>
            </w:pPr>
            <w:r>
              <w:rPr>
                <w:rFonts w:ascii="Arial" w:cs="Arial" w:hAnsi="Arial"/>
                <w:sz w:val="22"/>
                <w:szCs w:val="22"/>
              </w:rPr>
              <w:t>Satisfactory</w:t>
            </w:r>
          </w:p>
          <w:p>
            <w:pPr>
              <w:jc w:val="center"/>
              <w:rPr>
                <w:rFonts w:ascii="Arial" w:cs="Arial" w:hAnsi="Arial"/>
                <w:sz w:val="22"/>
                <w:szCs w:val="22"/>
              </w:rPr>
            </w:pPr>
            <w:r>
              <w:rPr>
                <w:rFonts w:ascii="Arial" w:cs="Arial" w:hAnsi="Arial"/>
                <w:sz w:val="22"/>
                <w:szCs w:val="22"/>
              </w:rPr>
              <w:t>Very Satisfactory Satisfactory</w:t>
            </w:r>
          </w:p>
        </w:tc>
      </w:tr>
      <w:tr>
        <w:trPr>
          <w:trHeight w:val="278"/>
        </w:trPr>
        <w:tc>
          <w:tcPr>
            <w:tcW w:w="4140" w:type="dxa"/>
          </w:tcPr>
          <w:p>
            <w:pPr>
              <w:rPr>
                <w:rFonts w:ascii="Arial" w:eastAsia="Droid Sans" w:cs="Arial" w:hAnsi="Arial"/>
                <w:sz w:val="22"/>
                <w:szCs w:val="22"/>
              </w:rPr>
            </w:pPr>
            <w:r>
              <w:rPr>
                <w:rFonts w:ascii="Arial" w:eastAsia="Droid Sans" w:cs="Arial" w:hAnsi="Arial"/>
                <w:sz w:val="22"/>
                <w:szCs w:val="22"/>
              </w:rPr>
              <w:tab/>
              <w:tab/>
              <w:t>District E</w:t>
            </w:r>
          </w:p>
        </w:tc>
        <w:tc>
          <w:tcPr>
            <w:tcW w:w="2155" w:type="dxa"/>
          </w:tcPr>
          <w:p>
            <w:pPr>
              <w:jc w:val="center"/>
              <w:rPr>
                <w:rFonts w:ascii="Arial" w:eastAsia="Droid Sans" w:cs="Arial" w:hAnsi="Arial"/>
                <w:sz w:val="22"/>
                <w:szCs w:val="22"/>
              </w:rPr>
            </w:pPr>
            <w:r>
              <w:rPr>
                <w:rFonts w:ascii="Arial" w:eastAsia="Droid Sans" w:cs="Arial" w:hAnsi="Arial"/>
                <w:sz w:val="22"/>
                <w:szCs w:val="22"/>
              </w:rPr>
              <w:t>82.3</w:t>
            </w:r>
          </w:p>
        </w:tc>
        <w:tc>
          <w:tcPr>
            <w:tcW w:w="2165" w:type="dxa"/>
          </w:tcPr>
          <w:p>
            <w:pPr>
              <w:jc w:val="center"/>
              <w:rPr>
                <w:rFonts w:ascii="Arial" w:cs="Arial" w:hAnsi="Arial"/>
                <w:sz w:val="22"/>
                <w:szCs w:val="22"/>
              </w:rPr>
            </w:pPr>
            <w:r>
              <w:rPr>
                <w:rFonts w:ascii="Arial" w:cs="Arial" w:hAnsi="Arial"/>
                <w:sz w:val="22"/>
                <w:szCs w:val="22"/>
              </w:rPr>
              <w:t>Satisfactory</w:t>
            </w:r>
          </w:p>
        </w:tc>
      </w:tr>
      <w:tr>
        <w:trPr>
          <w:trHeight w:val="206"/>
        </w:trPr>
        <w:tc>
          <w:tcPr>
            <w:tcW w:w="4140" w:type="dxa"/>
          </w:tcPr>
          <w:p>
            <w:pPr>
              <w:rPr>
                <w:rFonts w:ascii="Arial" w:eastAsia="Droid Sans" w:cs="Arial" w:hAnsi="Arial"/>
                <w:sz w:val="22"/>
                <w:szCs w:val="22"/>
              </w:rPr>
            </w:pPr>
            <w:r>
              <w:rPr>
                <w:rFonts w:ascii="Arial" w:eastAsia="Droid Sans" w:cs="Arial" w:hAnsi="Arial"/>
                <w:sz w:val="22"/>
                <w:szCs w:val="22"/>
              </w:rPr>
              <w:tab/>
              <w:tab/>
              <w:t>District F</w:t>
            </w:r>
          </w:p>
        </w:tc>
        <w:tc>
          <w:tcPr>
            <w:tcW w:w="2155" w:type="dxa"/>
          </w:tcPr>
          <w:p>
            <w:pPr>
              <w:jc w:val="center"/>
              <w:rPr>
                <w:rFonts w:ascii="Arial" w:eastAsia="Droid Sans" w:cs="Arial" w:hAnsi="Arial"/>
                <w:sz w:val="22"/>
                <w:szCs w:val="22"/>
              </w:rPr>
            </w:pPr>
            <w:r>
              <w:rPr>
                <w:rFonts w:ascii="Arial" w:eastAsia="Droid Sans" w:cs="Arial" w:hAnsi="Arial"/>
                <w:sz w:val="22"/>
                <w:szCs w:val="22"/>
              </w:rPr>
              <w:t>84.1</w:t>
            </w:r>
          </w:p>
        </w:tc>
        <w:tc>
          <w:tcPr>
            <w:tcW w:w="2165" w:type="dxa"/>
          </w:tcPr>
          <w:p>
            <w:pPr>
              <w:jc w:val="center"/>
              <w:rPr>
                <w:rFonts w:ascii="Arial" w:cs="Arial" w:hAnsi="Arial"/>
                <w:sz w:val="22"/>
                <w:szCs w:val="22"/>
              </w:rPr>
            </w:pPr>
            <w:r>
              <w:rPr>
                <w:rFonts w:ascii="Arial" w:cs="Arial" w:hAnsi="Arial"/>
                <w:sz w:val="22"/>
                <w:szCs w:val="22"/>
              </w:rPr>
              <w:t>Satisfactory</w:t>
            </w:r>
          </w:p>
        </w:tc>
      </w:tr>
      <w:tr>
        <w:trPr>
          <w:trHeight w:val="432"/>
        </w:trPr>
        <w:tc>
          <w:tcPr>
            <w:tcW w:w="4140" w:type="dxa"/>
          </w:tcPr>
          <w:p>
            <w:pPr>
              <w:rPr>
                <w:rFonts w:ascii="Arial" w:eastAsia="Droid Sans" w:cs="Arial" w:hAnsi="Arial"/>
                <w:sz w:val="22"/>
                <w:szCs w:val="22"/>
              </w:rPr>
            </w:pPr>
            <w:r>
              <w:rPr>
                <w:rFonts w:ascii="Arial" w:eastAsia="Droid Sans" w:cs="Arial" w:hAnsi="Arial"/>
                <w:sz w:val="22"/>
                <w:szCs w:val="22"/>
              </w:rPr>
              <w:tab/>
              <w:tab/>
              <w:t>District G</w:t>
            </w:r>
          </w:p>
          <w:p>
            <w:pPr>
              <w:rPr>
                <w:rFonts w:ascii="Arial" w:eastAsia="Droid Sans" w:cs="Arial" w:hAnsi="Arial"/>
                <w:sz w:val="22"/>
                <w:szCs w:val="22"/>
              </w:rPr>
            </w:pPr>
            <w:r>
              <w:rPr>
                <w:rFonts w:ascii="Arial" w:eastAsia="Droid Sans" w:cs="Arial" w:hAnsi="Arial"/>
                <w:sz w:val="22"/>
                <w:szCs w:val="22"/>
              </w:rPr>
              <w:tab/>
              <w:tab/>
              <w:t>District H</w:t>
            </w:r>
          </w:p>
        </w:tc>
        <w:tc>
          <w:tcPr>
            <w:tcW w:w="2155" w:type="dxa"/>
          </w:tcPr>
          <w:p>
            <w:pPr>
              <w:jc w:val="center"/>
              <w:rPr>
                <w:rFonts w:ascii="Arial" w:eastAsia="Droid Sans" w:cs="Arial" w:hAnsi="Arial"/>
                <w:sz w:val="22"/>
                <w:szCs w:val="22"/>
              </w:rPr>
            </w:pPr>
            <w:r>
              <w:rPr>
                <w:rFonts w:ascii="Arial" w:eastAsia="Droid Sans" w:cs="Arial" w:hAnsi="Arial"/>
                <w:sz w:val="22"/>
                <w:szCs w:val="22"/>
              </w:rPr>
              <w:t>84.9</w:t>
            </w:r>
          </w:p>
          <w:p>
            <w:pPr>
              <w:jc w:val="center"/>
              <w:rPr>
                <w:rFonts w:ascii="Arial" w:eastAsia="Droid Sans" w:cs="Arial" w:hAnsi="Arial"/>
                <w:sz w:val="22"/>
                <w:szCs w:val="22"/>
              </w:rPr>
            </w:pPr>
            <w:r>
              <w:rPr>
                <w:rFonts w:ascii="Arial" w:eastAsia="Droid Sans" w:cs="Arial" w:hAnsi="Arial"/>
                <w:sz w:val="22"/>
                <w:szCs w:val="22"/>
              </w:rPr>
              <w:t>82.7</w:t>
            </w:r>
          </w:p>
        </w:tc>
        <w:tc>
          <w:tcPr>
            <w:tcW w:w="2165" w:type="dxa"/>
          </w:tcPr>
          <w:p>
            <w:pPr>
              <w:jc w:val="center"/>
              <w:rPr>
                <w:rFonts w:ascii="Arial" w:cs="Arial" w:hAnsi="Arial"/>
                <w:sz w:val="22"/>
                <w:szCs w:val="22"/>
              </w:rPr>
            </w:pPr>
            <w:r>
              <w:rPr>
                <w:rFonts w:ascii="Arial" w:cs="Arial" w:hAnsi="Arial"/>
                <w:sz w:val="22"/>
                <w:szCs w:val="22"/>
              </w:rPr>
              <w:t>Very Satisfactory</w:t>
            </w:r>
          </w:p>
          <w:p>
            <w:pPr>
              <w:jc w:val="center"/>
              <w:rPr>
                <w:rFonts w:ascii="Arial" w:cs="Arial" w:hAnsi="Arial"/>
                <w:sz w:val="22"/>
                <w:szCs w:val="22"/>
              </w:rPr>
            </w:pPr>
            <w:r>
              <w:rPr>
                <w:rFonts w:ascii="Arial" w:cs="Arial" w:hAnsi="Arial"/>
                <w:sz w:val="22"/>
                <w:szCs w:val="22"/>
              </w:rPr>
              <w:t>Satisfactory</w:t>
            </w:r>
          </w:p>
        </w:tc>
      </w:tr>
      <w:tr>
        <w:trPr>
          <w:trHeight w:val="432"/>
        </w:trPr>
        <w:tc>
          <w:tcPr>
            <w:tcW w:w="4140" w:type="dxa"/>
            <w:tcBorders>
              <w:left w:val="nil"/>
              <w:bottom w:val="nil"/>
              <w:right w:val="nil"/>
            </w:tcBorders>
          </w:tcPr>
          <w:p>
            <w:pPr>
              <w:rPr>
                <w:rFonts w:ascii="Arial" w:eastAsia="Droid Sans" w:cs="Arial" w:hAnsi="Arial"/>
                <w:sz w:val="22"/>
                <w:szCs w:val="22"/>
              </w:rPr>
            </w:pPr>
            <w:r>
              <w:rPr>
                <w:rFonts w:ascii="Arial" w:eastAsia="Droid Sans" w:cs="Arial" w:hAnsi="Arial"/>
                <w:sz w:val="22"/>
                <w:szCs w:val="22"/>
              </w:rPr>
              <w:tab/>
              <w:tab/>
              <w:t>District I</w:t>
            </w:r>
          </w:p>
          <w:p>
            <w:pPr>
              <w:rPr>
                <w:rFonts w:ascii="Arial" w:eastAsia="Droid Sans" w:cs="Arial" w:hAnsi="Arial"/>
                <w:sz w:val="22"/>
                <w:szCs w:val="22"/>
              </w:rPr>
            </w:pPr>
            <w:r>
              <w:rPr>
                <w:rFonts w:ascii="Arial" w:eastAsia="Droid Sans" w:cs="Arial" w:hAnsi="Arial"/>
                <w:sz w:val="22"/>
                <w:szCs w:val="22"/>
              </w:rPr>
              <w:tab/>
              <w:tab/>
              <w:t>District J</w:t>
            </w:r>
          </w:p>
        </w:tc>
        <w:tc>
          <w:tcPr>
            <w:tcW w:w="2155" w:type="dxa"/>
            <w:tcBorders>
              <w:left w:val="nil"/>
              <w:bottom w:val="nil"/>
              <w:right w:val="nil"/>
            </w:tcBorders>
          </w:tcPr>
          <w:p>
            <w:pPr>
              <w:jc w:val="center"/>
              <w:rPr>
                <w:rFonts w:ascii="Arial" w:eastAsia="Droid Sans" w:cs="Arial" w:hAnsi="Arial"/>
                <w:sz w:val="22"/>
                <w:szCs w:val="22"/>
              </w:rPr>
            </w:pPr>
            <w:r>
              <w:rPr>
                <w:rFonts w:ascii="Arial" w:eastAsia="Droid Sans" w:cs="Arial" w:hAnsi="Arial"/>
                <w:sz w:val="22"/>
                <w:szCs w:val="22"/>
              </w:rPr>
              <w:t>85.1</w:t>
            </w:r>
          </w:p>
          <w:p>
            <w:pPr>
              <w:jc w:val="center"/>
              <w:rPr>
                <w:rFonts w:ascii="Arial" w:eastAsia="Droid Sans" w:cs="Arial" w:hAnsi="Arial"/>
                <w:sz w:val="22"/>
                <w:szCs w:val="22"/>
              </w:rPr>
            </w:pPr>
            <w:r>
              <w:rPr>
                <w:rFonts w:ascii="Arial" w:eastAsia="Droid Sans" w:cs="Arial" w:hAnsi="Arial"/>
                <w:sz w:val="22"/>
                <w:szCs w:val="22"/>
              </w:rPr>
              <w:t>84.3</w:t>
            </w:r>
          </w:p>
        </w:tc>
        <w:tc>
          <w:tcPr>
            <w:tcW w:w="2165" w:type="dxa"/>
            <w:tcBorders>
              <w:left w:val="nil"/>
              <w:bottom w:val="nil"/>
              <w:right w:val="nil"/>
            </w:tcBorders>
          </w:tcPr>
          <w:p>
            <w:pPr>
              <w:jc w:val="center"/>
              <w:rPr>
                <w:rFonts w:ascii="Arial" w:cs="Arial" w:hAnsi="Arial"/>
                <w:sz w:val="22"/>
                <w:szCs w:val="22"/>
              </w:rPr>
            </w:pPr>
            <w:r>
              <w:rPr>
                <w:rFonts w:ascii="Arial" w:cs="Arial" w:hAnsi="Arial"/>
                <w:sz w:val="22"/>
                <w:szCs w:val="22"/>
              </w:rPr>
              <w:t>Very Satisfactory</w:t>
            </w:r>
          </w:p>
          <w:p>
            <w:pPr>
              <w:jc w:val="center"/>
              <w:rPr>
                <w:rFonts w:ascii="Arial" w:cs="Arial" w:hAnsi="Arial"/>
                <w:sz w:val="22"/>
                <w:szCs w:val="22"/>
              </w:rPr>
            </w:pPr>
            <w:r>
              <w:rPr>
                <w:rFonts w:ascii="Arial" w:cs="Arial" w:hAnsi="Arial"/>
                <w:sz w:val="22"/>
                <w:szCs w:val="22"/>
              </w:rPr>
              <w:t>Satisfactory</w:t>
            </w:r>
          </w:p>
        </w:tc>
      </w:tr>
      <w:tr>
        <w:trPr>
          <w:trHeight w:val="432"/>
        </w:trPr>
        <w:tc>
          <w:tcPr>
            <w:tcW w:w="4140" w:type="dxa"/>
            <w:tcBorders>
              <w:top w:val="nil"/>
              <w:left w:val="nil"/>
              <w:bottom w:val="single" w:sz="4" w:space="0" w:color="000000"/>
              <w:right w:val="nil"/>
            </w:tcBorders>
          </w:tcPr>
          <w:p>
            <w:pPr>
              <w:rPr>
                <w:rFonts w:ascii="Arial" w:eastAsia="Droid Sans" w:cs="Arial" w:hAnsi="Arial"/>
                <w:sz w:val="22"/>
                <w:szCs w:val="22"/>
              </w:rPr>
            </w:pPr>
            <w:r>
              <w:rPr>
                <w:rFonts w:ascii="Arial" w:eastAsia="Droid Sans" w:cs="Arial" w:hAnsi="Arial"/>
                <w:sz w:val="22"/>
                <w:szCs w:val="22"/>
              </w:rPr>
              <w:tab/>
              <w:tab/>
              <w:t>District H</w:t>
            </w:r>
          </w:p>
          <w:p>
            <w:pPr>
              <w:rPr>
                <w:rFonts w:ascii="Arial" w:eastAsia="Droid Sans" w:cs="Arial" w:hAnsi="Arial"/>
                <w:sz w:val="22"/>
                <w:szCs w:val="22"/>
              </w:rPr>
            </w:pPr>
            <w:r>
              <w:rPr>
                <w:rFonts w:ascii="Arial" w:eastAsia="Droid Sans" w:cs="Arial" w:hAnsi="Arial"/>
                <w:sz w:val="22"/>
                <w:szCs w:val="22"/>
              </w:rPr>
              <w:tab/>
              <w:tab/>
              <w:t>District I</w:t>
            </w:r>
          </w:p>
        </w:tc>
        <w:tc>
          <w:tcPr>
            <w:tcW w:w="2155" w:type="dxa"/>
            <w:tcBorders>
              <w:top w:val="nil"/>
              <w:left w:val="nil"/>
              <w:bottom w:val="single" w:sz="4" w:space="0" w:color="000000"/>
              <w:right w:val="nil"/>
            </w:tcBorders>
          </w:tcPr>
          <w:p>
            <w:pPr>
              <w:jc w:val="center"/>
              <w:rPr>
                <w:rFonts w:ascii="Arial" w:eastAsia="Droid Sans" w:cs="Arial" w:hAnsi="Arial"/>
                <w:sz w:val="22"/>
                <w:szCs w:val="22"/>
              </w:rPr>
            </w:pPr>
            <w:r>
              <w:rPr>
                <w:rFonts w:ascii="Arial" w:eastAsia="Droid Sans" w:cs="Arial" w:hAnsi="Arial"/>
                <w:sz w:val="22"/>
                <w:szCs w:val="22"/>
              </w:rPr>
              <w:t>84.8</w:t>
            </w:r>
          </w:p>
          <w:p>
            <w:pPr>
              <w:jc w:val="center"/>
              <w:rPr>
                <w:rFonts w:ascii="Arial" w:eastAsia="Droid Sans" w:cs="Arial" w:hAnsi="Arial"/>
                <w:sz w:val="22"/>
                <w:szCs w:val="22"/>
              </w:rPr>
            </w:pPr>
            <w:r>
              <w:rPr>
                <w:rFonts w:ascii="Arial" w:eastAsia="Droid Sans" w:cs="Arial" w:hAnsi="Arial"/>
                <w:sz w:val="22"/>
                <w:szCs w:val="22"/>
              </w:rPr>
              <w:t>84.3</w:t>
            </w:r>
          </w:p>
        </w:tc>
        <w:tc>
          <w:tcPr>
            <w:tcW w:w="2165" w:type="dxa"/>
            <w:tcBorders>
              <w:top w:val="nil"/>
              <w:left w:val="nil"/>
              <w:bottom w:val="single" w:sz="4" w:space="0" w:color="000000"/>
              <w:right w:val="nil"/>
            </w:tcBorders>
          </w:tcPr>
          <w:p>
            <w:pPr>
              <w:jc w:val="center"/>
              <w:rPr>
                <w:rFonts w:ascii="Arial" w:cs="Arial" w:hAnsi="Arial"/>
                <w:sz w:val="22"/>
                <w:szCs w:val="22"/>
              </w:rPr>
            </w:pPr>
            <w:r>
              <w:rPr>
                <w:rFonts w:ascii="Arial" w:cs="Arial" w:hAnsi="Arial"/>
                <w:sz w:val="22"/>
                <w:szCs w:val="22"/>
              </w:rPr>
              <w:t>Very Satisfactory</w:t>
            </w:r>
          </w:p>
          <w:p>
            <w:pPr>
              <w:jc w:val="center"/>
              <w:rPr>
                <w:rFonts w:ascii="Arial" w:cs="Arial" w:hAnsi="Arial"/>
                <w:sz w:val="22"/>
                <w:szCs w:val="22"/>
              </w:rPr>
            </w:pPr>
            <w:r>
              <w:rPr>
                <w:rFonts w:ascii="Arial" w:cs="Arial" w:hAnsi="Arial"/>
                <w:sz w:val="22"/>
                <w:szCs w:val="22"/>
              </w:rPr>
              <w:t>Satisfactory</w:t>
            </w:r>
          </w:p>
        </w:tc>
      </w:tr>
      <w:tr>
        <w:trPr>
          <w:trHeight w:val="288"/>
        </w:trPr>
        <w:tc>
          <w:tcPr>
            <w:tcW w:w="4140" w:type="dxa"/>
            <w:tcBorders>
              <w:top w:val="single" w:sz="4" w:space="0" w:color="000000"/>
              <w:left w:val="nil"/>
              <w:bottom w:val="thickThinSmallGap" w:sz="24" w:space="0" w:color="auto"/>
              <w:right w:val="nil"/>
            </w:tcBorders>
            <w:vAlign w:val="center"/>
          </w:tcPr>
          <w:p>
            <w:pPr>
              <w:jc w:val="center"/>
              <w:rPr>
                <w:rFonts w:ascii="Arial" w:cs="Arial" w:hAnsi="Arial"/>
                <w:b/>
                <w:sz w:val="22"/>
                <w:szCs w:val="22"/>
              </w:rPr>
            </w:pPr>
            <w:r>
              <w:rPr>
                <w:rFonts w:ascii="Arial" w:cs="Arial" w:hAnsi="Arial"/>
                <w:b/>
                <w:sz w:val="22"/>
                <w:szCs w:val="22"/>
              </w:rPr>
              <w:t>Grand Mean Rating</w:t>
            </w:r>
          </w:p>
        </w:tc>
        <w:tc>
          <w:tcPr>
            <w:tcW w:w="2155" w:type="dxa"/>
            <w:tcBorders>
              <w:top w:val="single" w:sz="4" w:space="0" w:color="000000"/>
              <w:left w:val="nil"/>
              <w:bottom w:val="thickThinSmallGap" w:sz="24" w:space="0" w:color="auto"/>
              <w:right w:val="nil"/>
            </w:tcBorders>
            <w:vAlign w:val="center"/>
          </w:tcPr>
          <w:p>
            <w:pPr>
              <w:jc w:val="center"/>
              <w:rPr>
                <w:rFonts w:ascii="Arial" w:cs="Arial" w:hAnsi="Arial"/>
                <w:b/>
                <w:sz w:val="22"/>
                <w:szCs w:val="22"/>
              </w:rPr>
            </w:pPr>
            <w:r>
              <w:rPr>
                <w:rFonts w:ascii="Arial" w:cs="Arial" w:hAnsi="Arial"/>
                <w:b/>
                <w:sz w:val="22"/>
                <w:szCs w:val="22"/>
              </w:rPr>
              <w:t>84.06</w:t>
            </w:r>
          </w:p>
        </w:tc>
        <w:tc>
          <w:tcPr>
            <w:tcW w:w="2165" w:type="dxa"/>
            <w:tcBorders>
              <w:top w:val="single" w:sz="4" w:space="0" w:color="000000"/>
              <w:left w:val="nil"/>
              <w:bottom w:val="thickThinSmallGap" w:sz="24" w:space="0" w:color="auto"/>
              <w:right w:val="nil"/>
            </w:tcBorders>
          </w:tcPr>
          <w:p>
            <w:pPr>
              <w:jc w:val="center"/>
              <w:rPr>
                <w:rFonts w:ascii="Arial" w:cs="Arial" w:hAnsi="Arial"/>
                <w:b/>
                <w:sz w:val="22"/>
                <w:szCs w:val="22"/>
              </w:rPr>
            </w:pPr>
            <w:r>
              <w:rPr>
                <w:rFonts w:ascii="Arial" w:cs="Arial" w:hAnsi="Arial"/>
                <w:b/>
                <w:sz w:val="22"/>
                <w:szCs w:val="22"/>
              </w:rPr>
              <w:t>Satisfactory</w:t>
            </w:r>
          </w:p>
        </w:tc>
      </w:tr>
    </w:tbl>
    <w:p>
      <w:pPr>
        <w:tabs>
          <w:tab w:val="left" w:pos="1440"/>
        </w:tabs>
        <w:spacing w:line="480" w:lineRule="auto"/>
        <w:jc w:val="both"/>
        <w:rPr>
          <w:rFonts w:ascii="Arial" w:cs="Arial" w:hAnsi="Arial"/>
          <w:i/>
          <w:sz w:val="22"/>
          <w:szCs w:val="22"/>
        </w:rPr>
      </w:pPr>
      <w:r>
        <w:rPr>
          <w:rFonts w:ascii="Arial" w:cs="Arial" w:hAnsi="Arial"/>
          <w:i/>
          <w:sz w:val="22"/>
          <w:szCs w:val="22"/>
        </w:rPr>
        <w:t>Source: District Consolidated PROMEDS</w:t>
      </w:r>
    </w:p>
    <w:p>
      <w:pPr>
        <w:jc w:val="both"/>
        <w:rPr>
          <w:rFonts w:ascii="Arial" w:cs="Arial" w:hAnsi="Arial"/>
          <w:sz w:val="22"/>
          <w:szCs w:val="22"/>
        </w:rPr>
      </w:pPr>
    </w:p>
    <w:p>
      <w:pPr>
        <w:autoSpaceDE w:val="0"/>
        <w:autoSpaceDN w:val="0"/>
        <w:adjustRightInd w:val="0"/>
        <w:spacing w:line="480" w:lineRule="auto"/>
        <w:ind w:firstLine="720"/>
        <w:jc w:val="both"/>
        <w:rPr>
          <w:rFonts w:ascii="Arial" w:cs="Arial" w:hAnsi="Arial"/>
          <w:bCs/>
          <w:sz w:val="22"/>
          <w:szCs w:val="22"/>
        </w:rPr>
      </w:pPr>
      <w:r>
        <w:rPr>
          <w:rFonts w:ascii="Arial" w:cs="Arial" w:hAnsi="Arial"/>
          <w:bCs/>
          <w:sz w:val="22"/>
          <w:szCs w:val="22"/>
        </w:rPr>
        <w:t>Furthermore, the conclusions made by Blank (2004, p.3) that “School-Based Management can positively impact student learning by establishing working connection between schools and diverse community entities” backed up the findings of present investigation.  He went on to say that forming collaborations that connect school, family, and community resources is inextricably linked to student achievement because it leads to the provision of services and support that address the students' various needs. Sheldon and Voorhis (2004) support this idea, stating that “public and parenting style to school-based management programs can strengthen school’s quality delivery of education, and students' academic achievements” p.5.</w:t>
      </w:r>
      <w:r>
        <w:rPr>
          <w:rFonts w:ascii="Arial" w:cs="Arial" w:hAnsi="Arial"/>
          <w:color w:val="000000"/>
          <w:sz w:val="22"/>
          <w:szCs w:val="22"/>
        </w:rPr>
        <w:t>The over-all findings suggest the influential nature of school-based management in improving the schools' performance outcomes.</w:t>
      </w:r>
    </w:p>
    <w:p>
      <w:pPr>
        <w:spacing w:line="480" w:lineRule="auto"/>
        <w:ind w:left="1440" w:hanging="1440"/>
        <w:jc w:val="both"/>
        <w:rPr>
          <w:rFonts w:ascii="Arial" w:cs="Arial" w:hAnsi="Arial"/>
          <w:sz w:val="22"/>
          <w:szCs w:val="22"/>
        </w:rPr>
      </w:pPr>
    </w:p>
    <w:p>
      <w:pPr>
        <w:jc w:val="both"/>
        <w:rPr>
          <w:rFonts w:ascii="Arial" w:cs="Arial" w:hAnsi="Arial"/>
          <w:b/>
          <w:color w:val="000000"/>
          <w:sz w:val="22"/>
          <w:szCs w:val="22"/>
        </w:rPr>
      </w:pPr>
      <w:r>
        <w:rPr>
          <w:rFonts w:ascii="Arial" w:cs="Arial" w:hAnsi="Arial"/>
          <w:b/>
          <w:color w:val="000000"/>
          <w:sz w:val="22"/>
          <w:szCs w:val="22"/>
        </w:rPr>
        <w:t>School-based Management Practices and Pupils’ Academic Performance</w:t>
      </w:r>
    </w:p>
    <w:p>
      <w:pPr>
        <w:jc w:val="both"/>
        <w:rPr>
          <w:rFonts w:ascii="Arial" w:cs="Arial" w:hAnsi="Arial"/>
          <w:b/>
          <w:color w:val="000000"/>
          <w:sz w:val="22"/>
          <w:szCs w:val="22"/>
        </w:rPr>
      </w:pPr>
    </w:p>
    <w:p>
      <w:pPr>
        <w:spacing w:line="480" w:lineRule="auto"/>
        <w:jc w:val="both"/>
        <w:rPr>
          <w:rFonts w:ascii="Arial" w:cs="Arial" w:hAnsi="Arial"/>
          <w:sz w:val="22"/>
          <w:szCs w:val="22"/>
        </w:rPr>
      </w:pPr>
      <w:bookmarkStart w:id="1" w:name="_Hlk130477122"/>
      <w:r>
        <w:rPr>
          <w:rFonts w:ascii="Arial" w:cs="Arial" w:hAnsi="Arial"/>
          <w:b/>
          <w:color w:val="000000"/>
          <w:sz w:val="22"/>
          <w:szCs w:val="22"/>
        </w:rPr>
        <w:tab/>
      </w:r>
      <w:r>
        <w:rPr>
          <w:rFonts w:ascii="Arial" w:cs="Arial" w:hAnsi="Arial"/>
          <w:sz w:val="22"/>
          <w:szCs w:val="22"/>
        </w:rPr>
        <w:t>The test of relationship result, as shown in table 8 indicates that three of the four SBM management aspects namely: Leadership and Governance, Accountability and continues improvement, and management of resources with computed relationship spearman (rho) r values of .085, 0.050, and 0.030 respectively and p-values of 0.559, 0.731 and 0.836 which are higher than the tabular significant level value of 0.05 is interpreted to have no significant relations to academic performance of schools and therefore failed to reject the null hypothesis. Only one of the four SBM aspects that is curriculum and instruction with relationship spearman (rho) r-value of 0.070 and p-value of 0.042 is significantly related to academic performance of schools and therefore interpreted to reject the null hypothesis.</w:t>
      </w:r>
      <w:bookmarkEnd w:id="1"/>
      <w:r>
        <w:rPr>
          <w:rFonts w:ascii="Arial" w:cs="Arial" w:hAnsi="Arial"/>
          <w:sz w:val="22"/>
          <w:szCs w:val="22"/>
        </w:rPr>
        <w:t xml:space="preserve"> The p-value is lower than the tabular value level of significance set at 0.05. This means that school-based management aspect of curriculum and instruction is significantly related to the academic performance of schools.</w:t>
      </w:r>
    </w:p>
    <w:p>
      <w:pPr>
        <w:spacing w:line="480" w:lineRule="auto"/>
        <w:jc w:val="both"/>
        <w:rPr>
          <w:rFonts w:ascii="Arial" w:cs="Arial" w:hAnsi="Arial"/>
          <w:sz w:val="22"/>
          <w:szCs w:val="22"/>
        </w:rPr>
      </w:pPr>
      <w:r>
        <w:rPr>
          <w:rFonts w:ascii="Arial" w:cs="Arial" w:hAnsi="Arial"/>
          <w:sz w:val="22"/>
          <w:szCs w:val="22"/>
        </w:rPr>
        <w:tab/>
        <w:t>The above result supports the claim of Bandur (2008) that school-based management in this case in the area of curriculum and instructions provides healthier learning environment and get teachers to be become more motivated to improve student’s achievement.</w:t>
      </w:r>
      <w:r>
        <w:rPr>
          <w:rFonts w:ascii="Arial" w:cs="Arial" w:hAnsi="Arial"/>
          <w:bCs/>
          <w:sz w:val="22"/>
          <w:szCs w:val="22"/>
        </w:rPr>
        <w:t xml:space="preserve"> The results imply the need to ensure schools accountability in improving the schools' enrolment status and the cohort survival of the students. Finally, the school head must ensure that students capture all the necessary competencies required by constantly reviewing school programs. </w:t>
      </w:r>
    </w:p>
    <w:p>
      <w:pPr>
        <w:jc w:val="both"/>
        <w:rPr>
          <w:rFonts w:ascii="Arial" w:cs="Arial" w:hAnsi="Arial"/>
          <w:b/>
          <w:color w:val="FF0000"/>
          <w:sz w:val="22"/>
          <w:szCs w:val="22"/>
        </w:rPr>
      </w:pPr>
    </w:p>
    <w:p>
      <w:pPr>
        <w:ind w:left="720" w:hanging="720"/>
        <w:jc w:val="both"/>
        <w:rPr>
          <w:rFonts w:ascii="Arial" w:cs="Arial" w:hAnsi="Arial"/>
          <w:color w:val="000000"/>
          <w:sz w:val="22"/>
          <w:szCs w:val="22"/>
        </w:rPr>
      </w:pPr>
      <w:r>
        <w:rPr>
          <w:rFonts w:ascii="Arial" w:cs="Arial" w:hAnsi="Arial"/>
          <w:b/>
          <w:sz w:val="22"/>
          <w:szCs w:val="22"/>
        </w:rPr>
        <w:t xml:space="preserve">Table 7. </w:t>
      </w:r>
      <w:r>
        <w:rPr>
          <w:rFonts w:ascii="Arial" w:cs="Arial" w:hAnsi="Arial"/>
          <w:sz w:val="22"/>
          <w:szCs w:val="22"/>
        </w:rPr>
        <w:t xml:space="preserve">Test on relationship between School-Based Management practices and </w:t>
      </w:r>
      <w:r>
        <w:rPr>
          <w:rFonts w:ascii="Arial" w:cs="Arial" w:hAnsi="Arial"/>
          <w:color w:val="000000"/>
          <w:sz w:val="22"/>
          <w:szCs w:val="22"/>
        </w:rPr>
        <w:t>pupils’ academic performance</w:t>
      </w:r>
    </w:p>
    <w:p>
      <w:pPr>
        <w:ind w:left="720" w:hanging="720"/>
        <w:jc w:val="both"/>
        <w:rPr>
          <w:rFonts w:ascii="Arial" w:cs="Arial" w:hAnsi="Arial"/>
          <w:color w:val="000000"/>
          <w:sz w:val="22"/>
          <w:szCs w:val="22"/>
        </w:rPr>
      </w:pPr>
    </w:p>
    <w:tbl>
      <w:tblPr>
        <w:jc w:val="left"/>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42"/>
        <w:gridCol w:w="2216"/>
        <w:gridCol w:w="836"/>
        <w:gridCol w:w="1679"/>
        <w:gridCol w:w="1825"/>
      </w:tblGrid>
      <w:tr>
        <w:trPr>
          <w:trHeight w:val="20"/>
        </w:trPr>
        <w:tc>
          <w:tcPr>
            <w:tcW w:w="2446" w:type="pct"/>
            <w:gridSpan w:val="2"/>
            <w:tcBorders>
              <w:top w:val="thinThickSmallGap" w:sz="24" w:space="0" w:color="auto"/>
              <w:left w:val="nil"/>
              <w:bottom w:val="single" w:sz="4" w:space="0" w:color="auto"/>
              <w:right w:val="nil"/>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Variables</w:t>
            </w:r>
          </w:p>
        </w:tc>
        <w:tc>
          <w:tcPr>
            <w:tcW w:w="492" w:type="pct"/>
            <w:vMerge w:val="restart"/>
            <w:tcBorders>
              <w:top w:val="thinThickSmallGap" w:sz="24" w:space="0" w:color="auto"/>
              <w:left w:val="nil"/>
              <w:bottom w:val="single" w:sz="4" w:space="0" w:color="auto"/>
              <w:right w:val="nil"/>
            </w:tcBorders>
            <w:vAlign w:val="center"/>
          </w:tcPr>
          <w:p>
            <w:pPr>
              <w:jc w:val="center"/>
              <w:rPr>
                <w:rFonts w:ascii="Arial" w:cs="Arial" w:hAnsi="Arial"/>
                <w:b/>
                <w:i/>
                <w:color w:val="000000"/>
                <w:sz w:val="22"/>
                <w:szCs w:val="22"/>
                <w:lang w:eastAsia="en-PH"/>
              </w:rPr>
            </w:pPr>
            <w:r>
              <w:rPr>
                <w:rFonts w:ascii="Arial" w:cs="Arial" w:hAnsi="Arial"/>
                <w:b/>
                <w:i/>
                <w:color w:val="000000"/>
                <w:sz w:val="22"/>
                <w:szCs w:val="22"/>
                <w:lang w:eastAsia="en-PH"/>
              </w:rPr>
              <w:t>r</w:t>
            </w:r>
          </w:p>
        </w:tc>
        <w:tc>
          <w:tcPr>
            <w:tcW w:w="988" w:type="pct"/>
            <w:vMerge w:val="restart"/>
            <w:tcBorders>
              <w:top w:val="thinThickSmallGap" w:sz="24" w:space="0" w:color="auto"/>
              <w:left w:val="nil"/>
              <w:bottom w:val="single" w:sz="4" w:space="0" w:color="auto"/>
              <w:right w:val="nil"/>
            </w:tcBorders>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p-value</w:t>
            </w:r>
          </w:p>
        </w:tc>
        <w:tc>
          <w:tcPr>
            <w:tcW w:w="1074" w:type="pct"/>
            <w:vMerge w:val="restart"/>
            <w:tcBorders>
              <w:top w:val="thinThickSmallGap" w:sz="24" w:space="0" w:color="auto"/>
              <w:left w:val="nil"/>
              <w:bottom w:val="single" w:sz="4" w:space="0" w:color="auto"/>
              <w:right w:val="nil"/>
            </w:tcBorders>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Interpretation</w:t>
            </w:r>
          </w:p>
        </w:tc>
      </w:tr>
      <w:tr>
        <w:trPr>
          <w:trHeight w:val="20"/>
        </w:trPr>
        <w:tc>
          <w:tcPr>
            <w:tcW w:w="1143" w:type="pct"/>
            <w:tcBorders>
              <w:top w:val="single" w:sz="4" w:space="0" w:color="auto"/>
              <w:left w:val="nil"/>
              <w:bottom w:val="single" w:sz="4" w:space="0" w:color="auto"/>
              <w:right w:val="nil"/>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Independent</w:t>
            </w:r>
          </w:p>
        </w:tc>
        <w:tc>
          <w:tcPr>
            <w:tcW w:w="1304" w:type="pct"/>
            <w:tcBorders>
              <w:top w:val="single" w:sz="4" w:space="0" w:color="auto"/>
              <w:left w:val="nil"/>
              <w:bottom w:val="single" w:sz="4" w:space="0" w:color="auto"/>
              <w:right w:val="nil"/>
            </w:tcBorders>
            <w:shd w:val="clear" w:color="auto" w:fill="auto"/>
            <w:vAlign w:val="center"/>
          </w:tcPr>
          <w:p>
            <w:pPr>
              <w:jc w:val="center"/>
              <w:rPr>
                <w:rFonts w:ascii="Arial" w:cs="Arial" w:hAnsi="Arial"/>
                <w:b/>
                <w:color w:val="000000"/>
                <w:sz w:val="22"/>
                <w:szCs w:val="22"/>
                <w:lang w:eastAsia="en-PH"/>
              </w:rPr>
            </w:pPr>
            <w:r>
              <w:rPr>
                <w:rFonts w:ascii="Arial" w:cs="Arial" w:hAnsi="Arial"/>
                <w:b/>
                <w:color w:val="000000"/>
                <w:sz w:val="22"/>
                <w:szCs w:val="22"/>
                <w:lang w:eastAsia="en-PH"/>
              </w:rPr>
              <w:t>Dependent</w:t>
            </w:r>
          </w:p>
        </w:tc>
        <w:tc>
          <w:tcPr>
            <w:tcW w:w="492" w:type="pct"/>
            <w:vMerge/>
            <w:tcBorders>
              <w:top w:val="single" w:sz="4" w:space="0" w:color="auto"/>
              <w:left w:val="nil"/>
              <w:bottom w:val="single" w:sz="4" w:space="0" w:color="auto"/>
              <w:right w:val="nil"/>
            </w:tcBorders>
          </w:tcPr>
          <w:p/>
        </w:tc>
        <w:tc>
          <w:tcPr>
            <w:tcW w:w="988" w:type="pct"/>
            <w:vMerge/>
            <w:tcBorders>
              <w:top w:val="single" w:sz="4" w:space="0" w:color="auto"/>
              <w:left w:val="nil"/>
              <w:bottom w:val="single" w:sz="4" w:space="0" w:color="auto"/>
              <w:right w:val="nil"/>
            </w:tcBorders>
          </w:tcPr>
          <w:p/>
        </w:tc>
        <w:tc>
          <w:tcPr>
            <w:tcW w:w="1074" w:type="pct"/>
            <w:vMerge/>
            <w:tcBorders>
              <w:top w:val="single" w:sz="4" w:space="0" w:color="auto"/>
              <w:left w:val="nil"/>
              <w:bottom w:val="single" w:sz="4" w:space="0" w:color="auto"/>
              <w:right w:val="nil"/>
            </w:tcBorders>
          </w:tcPr>
          <w:p/>
        </w:tc>
      </w:tr>
      <w:tr>
        <w:trPr>
          <w:trHeight w:val="20"/>
        </w:trPr>
        <w:tc>
          <w:tcPr>
            <w:tcW w:w="1143" w:type="pct"/>
            <w:tcBorders>
              <w:top w:val="single" w:sz="4" w:space="0" w:color="auto"/>
              <w:left w:val="nil"/>
              <w:bottom w:val="nil"/>
              <w:right w:val="nil"/>
            </w:tcBorders>
            <w:shd w:val="clear" w:color="auto" w:fill="auto"/>
          </w:tcPr>
          <w:p>
            <w:pPr>
              <w:ind w:left="170" w:hanging="170"/>
              <w:rPr>
                <w:rFonts w:ascii="Arial" w:cs="Arial" w:hAnsi="Arial"/>
                <w:sz w:val="22"/>
                <w:szCs w:val="22"/>
              </w:rPr>
            </w:pPr>
            <w:r>
              <w:rPr>
                <w:rFonts w:ascii="Arial" w:cs="Arial" w:hAnsi="Arial"/>
                <w:sz w:val="22"/>
                <w:szCs w:val="22"/>
              </w:rPr>
              <w:t>Leadership and Governance</w:t>
            </w:r>
          </w:p>
        </w:tc>
        <w:tc>
          <w:tcPr>
            <w:tcW w:w="1304" w:type="pct"/>
            <w:vMerge w:val="restart"/>
            <w:tcBorders>
              <w:top w:val="single" w:sz="4" w:space="0" w:color="auto"/>
              <w:left w:val="nil"/>
              <w:bottom w:val="nil"/>
              <w:right w:val="nil"/>
            </w:tcBorders>
            <w:shd w:val="clear" w:color="auto" w:fill="auto"/>
            <w:vAlign w:val="center"/>
          </w:tcPr>
          <w:p>
            <w:pPr>
              <w:jc w:val="center"/>
              <w:rPr>
                <w:rFonts w:ascii="Arial" w:cs="Arial" w:hAnsi="Arial"/>
                <w:color w:val="000000"/>
                <w:sz w:val="22"/>
                <w:szCs w:val="22"/>
                <w:lang w:eastAsia="en-PH"/>
              </w:rPr>
            </w:pPr>
            <w:r>
              <w:rPr>
                <w:rFonts w:ascii="Arial" w:cs="Arial" w:hAnsi="Arial"/>
                <w:color w:val="000000"/>
                <w:sz w:val="22"/>
                <w:szCs w:val="22"/>
                <w:lang w:eastAsia="en-PH"/>
              </w:rPr>
              <w:t>Academic Performance</w:t>
            </w:r>
          </w:p>
        </w:tc>
        <w:tc>
          <w:tcPr>
            <w:tcW w:w="492" w:type="pct"/>
            <w:tcBorders>
              <w:top w:val="single" w:sz="4" w:space="0" w:color="auto"/>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.085</w:t>
            </w:r>
          </w:p>
        </w:tc>
        <w:tc>
          <w:tcPr>
            <w:tcW w:w="988" w:type="pct"/>
            <w:tcBorders>
              <w:top w:val="single" w:sz="4" w:space="0" w:color="auto"/>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.559</w:t>
            </w:r>
          </w:p>
        </w:tc>
        <w:tc>
          <w:tcPr>
            <w:tcW w:w="1074" w:type="pct"/>
            <w:tcBorders>
              <w:top w:val="single" w:sz="4" w:space="0" w:color="auto"/>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Not Significant</w:t>
            </w:r>
          </w:p>
        </w:tc>
      </w:tr>
      <w:tr>
        <w:trPr>
          <w:trHeight w:val="20"/>
        </w:trPr>
        <w:tc>
          <w:tcPr>
            <w:tcW w:w="1143" w:type="pct"/>
            <w:tcBorders>
              <w:top w:val="nil"/>
              <w:left w:val="nil"/>
              <w:bottom w:val="nil"/>
              <w:right w:val="nil"/>
            </w:tcBorders>
            <w:shd w:val="clear" w:color="auto" w:fill="auto"/>
          </w:tcPr>
          <w:p>
            <w:pPr>
              <w:ind w:left="170" w:hanging="170"/>
              <w:rPr>
                <w:rFonts w:ascii="Arial" w:cs="Arial" w:hAnsi="Arial"/>
                <w:sz w:val="22"/>
                <w:szCs w:val="22"/>
              </w:rPr>
            </w:pPr>
            <w:r>
              <w:rPr>
                <w:rFonts w:ascii="Arial" w:cs="Arial" w:hAnsi="Arial"/>
                <w:sz w:val="22"/>
                <w:szCs w:val="22"/>
              </w:rPr>
              <w:t>Curriculum and Instruction</w:t>
            </w:r>
          </w:p>
        </w:tc>
        <w:tc>
          <w:tcPr>
            <w:tcW w:w="1304" w:type="pct"/>
            <w:vMerge/>
            <w:tcBorders>
              <w:top w:val="nil"/>
              <w:left w:val="nil"/>
              <w:bottom w:val="nil"/>
              <w:right w:val="nil"/>
            </w:tcBorders>
            <w:shd w:val="clear" w:color="auto" w:fill="auto"/>
            <w:vAlign w:val="center"/>
          </w:tcPr>
          <w:p/>
        </w:tc>
        <w:tc>
          <w:tcPr>
            <w:tcW w:w="492" w:type="pct"/>
            <w:tcBorders>
              <w:top w:val="nil"/>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.070</w:t>
            </w:r>
          </w:p>
        </w:tc>
        <w:tc>
          <w:tcPr>
            <w:tcW w:w="988" w:type="pct"/>
            <w:tcBorders>
              <w:top w:val="nil"/>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.042</w:t>
            </w:r>
          </w:p>
        </w:tc>
        <w:tc>
          <w:tcPr>
            <w:tcW w:w="1074" w:type="pct"/>
            <w:tcBorders>
              <w:top w:val="nil"/>
              <w:left w:val="nil"/>
              <w:bottom w:val="nil"/>
              <w:right w:val="nil"/>
            </w:tcBorders>
          </w:tcPr>
          <w:p>
            <w:pPr>
              <w:jc w:val="center"/>
              <w:rPr>
                <w:rFonts w:ascii="Arial" w:cs="Arial" w:hAnsi="Arial"/>
                <w:b/>
                <w:color w:val="000000"/>
                <w:sz w:val="22"/>
                <w:szCs w:val="22"/>
                <w:lang w:eastAsia="en-PH"/>
              </w:rPr>
            </w:pPr>
            <w:r>
              <w:rPr>
                <w:rFonts w:ascii="Arial" w:cs="Arial" w:hAnsi="Arial"/>
                <w:b/>
                <w:color w:val="000000"/>
                <w:sz w:val="22"/>
                <w:szCs w:val="22"/>
                <w:lang w:eastAsia="en-PH"/>
              </w:rPr>
              <w:t>Significant</w:t>
            </w:r>
          </w:p>
        </w:tc>
      </w:tr>
      <w:tr>
        <w:trPr>
          <w:trHeight w:val="20"/>
        </w:trPr>
        <w:tc>
          <w:tcPr>
            <w:tcW w:w="1143" w:type="pct"/>
            <w:tcBorders>
              <w:top w:val="nil"/>
              <w:left w:val="nil"/>
              <w:bottom w:val="nil"/>
              <w:right w:val="nil"/>
            </w:tcBorders>
            <w:shd w:val="clear" w:color="auto" w:fill="auto"/>
          </w:tcPr>
          <w:p>
            <w:pPr>
              <w:ind w:left="170" w:hanging="170"/>
              <w:rPr>
                <w:rFonts w:ascii="Arial" w:cs="Arial" w:hAnsi="Arial"/>
                <w:sz w:val="22"/>
                <w:szCs w:val="22"/>
              </w:rPr>
            </w:pPr>
            <w:r>
              <w:rPr>
                <w:rFonts w:ascii="Arial" w:cs="Arial" w:hAnsi="Arial"/>
                <w:sz w:val="22"/>
                <w:szCs w:val="22"/>
              </w:rPr>
              <w:t>Accountability and Continuous Improvement</w:t>
            </w:r>
          </w:p>
        </w:tc>
        <w:tc>
          <w:tcPr>
            <w:tcW w:w="1304" w:type="pct"/>
            <w:vMerge/>
            <w:tcBorders>
              <w:top w:val="nil"/>
              <w:left w:val="nil"/>
              <w:bottom w:val="nil"/>
              <w:right w:val="nil"/>
            </w:tcBorders>
            <w:shd w:val="clear" w:color="auto" w:fill="auto"/>
            <w:vAlign w:val="center"/>
          </w:tcPr>
          <w:p/>
        </w:tc>
        <w:tc>
          <w:tcPr>
            <w:tcW w:w="492" w:type="pct"/>
            <w:tcBorders>
              <w:top w:val="nil"/>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.050</w:t>
            </w:r>
          </w:p>
        </w:tc>
        <w:tc>
          <w:tcPr>
            <w:tcW w:w="988" w:type="pct"/>
            <w:tcBorders>
              <w:top w:val="nil"/>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.731</w:t>
            </w:r>
          </w:p>
        </w:tc>
        <w:tc>
          <w:tcPr>
            <w:tcW w:w="1074" w:type="pct"/>
            <w:tcBorders>
              <w:top w:val="nil"/>
              <w:left w:val="nil"/>
              <w:bottom w:val="nil"/>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Not Significant</w:t>
            </w:r>
          </w:p>
        </w:tc>
      </w:tr>
      <w:tr>
        <w:trPr>
          <w:trHeight w:val="20"/>
        </w:trPr>
        <w:tc>
          <w:tcPr>
            <w:tcW w:w="1143" w:type="pct"/>
            <w:tcBorders>
              <w:top w:val="nil"/>
              <w:left w:val="nil"/>
              <w:bottom w:val="thickThinSmallGap" w:sz="24" w:space="0" w:color="auto"/>
              <w:right w:val="nil"/>
            </w:tcBorders>
            <w:shd w:val="clear" w:color="auto" w:fill="auto"/>
          </w:tcPr>
          <w:p>
            <w:pPr>
              <w:ind w:left="170" w:hanging="170"/>
              <w:rPr>
                <w:rFonts w:ascii="Arial" w:cs="Arial" w:hAnsi="Arial"/>
                <w:sz w:val="22"/>
                <w:szCs w:val="22"/>
              </w:rPr>
            </w:pPr>
            <w:r>
              <w:rPr>
                <w:rFonts w:ascii="Arial" w:cs="Arial" w:hAnsi="Arial"/>
                <w:sz w:val="22"/>
                <w:szCs w:val="22"/>
              </w:rPr>
              <w:t>Management of resources</w:t>
            </w:r>
          </w:p>
        </w:tc>
        <w:tc>
          <w:tcPr>
            <w:tcW w:w="1304" w:type="pct"/>
            <w:vMerge/>
            <w:tcBorders>
              <w:top w:val="nil"/>
              <w:left w:val="nil"/>
              <w:bottom w:val="thickThinSmallGap" w:sz="24" w:space="0" w:color="auto"/>
              <w:right w:val="nil"/>
            </w:tcBorders>
            <w:shd w:val="clear" w:color="auto" w:fill="auto"/>
            <w:vAlign w:val="center"/>
          </w:tcPr>
          <w:p/>
        </w:tc>
        <w:tc>
          <w:tcPr>
            <w:tcW w:w="492" w:type="pct"/>
            <w:tcBorders>
              <w:top w:val="nil"/>
              <w:left w:val="nil"/>
              <w:bottom w:val="thickThinSmallGap" w:sz="24" w:space="0" w:color="auto"/>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.030</w:t>
            </w:r>
          </w:p>
        </w:tc>
        <w:tc>
          <w:tcPr>
            <w:tcW w:w="988" w:type="pct"/>
            <w:tcBorders>
              <w:top w:val="nil"/>
              <w:left w:val="nil"/>
              <w:bottom w:val="thickThinSmallGap" w:sz="24" w:space="0" w:color="auto"/>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.836</w:t>
            </w:r>
          </w:p>
        </w:tc>
        <w:tc>
          <w:tcPr>
            <w:tcW w:w="1074" w:type="pct"/>
            <w:tcBorders>
              <w:top w:val="nil"/>
              <w:left w:val="nil"/>
              <w:bottom w:val="thickThinSmallGap" w:sz="24" w:space="0" w:color="auto"/>
              <w:right w:val="nil"/>
            </w:tcBorders>
          </w:tcPr>
          <w:p>
            <w:pPr>
              <w:jc w:val="center"/>
              <w:rPr>
                <w:rFonts w:ascii="Arial" w:cs="Arial" w:hAnsi="Arial"/>
                <w:color w:val="000000"/>
                <w:sz w:val="22"/>
                <w:szCs w:val="22"/>
                <w:lang w:eastAsia="en-PH"/>
              </w:rPr>
            </w:pPr>
            <w:r>
              <w:rPr>
                <w:rFonts w:ascii="Arial" w:cs="Arial" w:hAnsi="Arial"/>
                <w:color w:val="000000"/>
                <w:sz w:val="22"/>
                <w:szCs w:val="22"/>
                <w:lang w:eastAsia="en-PH"/>
              </w:rPr>
              <w:t>Not Significant</w:t>
            </w:r>
          </w:p>
        </w:tc>
      </w:tr>
    </w:tbl>
    <w:p>
      <w:pPr>
        <w:rPr>
          <w:rFonts w:ascii="Arial" w:cs="Arial" w:hAnsi="Arial"/>
          <w:i/>
          <w:sz w:val="22"/>
          <w:szCs w:val="22"/>
        </w:rPr>
      </w:pPr>
      <w:r>
        <w:rPr>
          <w:rFonts w:ascii="Arial" w:cs="Arial" w:hAnsi="Arial"/>
          <w:i/>
          <w:sz w:val="22"/>
          <w:szCs w:val="22"/>
        </w:rPr>
        <w:t>.05 level of significant</w:t>
      </w: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rPr>
          <w:rFonts w:ascii="Arial" w:cs="Arial" w:hAnsi="Arial"/>
          <w:sz w:val="22"/>
          <w:szCs w:val="22"/>
        </w:rPr>
      </w:pPr>
    </w:p>
    <w:p>
      <w:pPr>
        <w:spacing w:line="480" w:lineRule="auto"/>
        <w:rPr>
          <w:rFonts w:ascii="Arial" w:cs="Arial" w:hAnsi="Arial"/>
          <w:b/>
          <w:sz w:val="22"/>
          <w:szCs w:val="22"/>
        </w:rPr>
      </w:pPr>
      <w:r>
        <w:rPr>
          <w:rFonts w:ascii="Arial" w:cs="Arial" w:hAnsi="Arial"/>
          <w:b/>
          <w:sz w:val="22"/>
          <w:szCs w:val="22"/>
        </w:rPr>
        <w:t>CONCLUSIONS</w:t>
      </w:r>
    </w:p>
    <w:p>
      <w:pPr>
        <w:spacing w:line="480" w:lineRule="auto"/>
        <w:rPr>
          <w:rFonts w:ascii="Arial" w:cs="Arial" w:hAnsi="Arial"/>
          <w:sz w:val="22"/>
          <w:szCs w:val="22"/>
        </w:rPr>
      </w:pPr>
      <w:r>
        <w:rPr>
          <w:rFonts w:ascii="Arial" w:cs="Arial" w:hAnsi="Arial"/>
          <w:sz w:val="22"/>
          <w:szCs w:val="22"/>
        </w:rPr>
        <w:tab/>
        <w:t>Based on the findings of the study, the following conclusions were drawn:</w:t>
      </w:r>
    </w:p>
    <w:p>
      <w:pPr>
        <w:pStyle w:val="18"/>
        <w:numPr>
          <w:ilvl w:val="0"/>
          <w:numId w:val="1"/>
        </w:numPr>
        <w:spacing w:line="480" w:lineRule="auto"/>
        <w:ind w:left="360"/>
        <w:jc w:val="both"/>
        <w:rPr>
          <w:rFonts w:ascii="Arial" w:cs="Arial" w:hAnsi="Arial"/>
          <w:sz w:val="22"/>
          <w:szCs w:val="22"/>
        </w:rPr>
      </w:pPr>
      <w:r>
        <w:rPr>
          <w:rFonts w:ascii="Arial" w:cs="Arial" w:hAnsi="Arial"/>
          <w:sz w:val="22"/>
          <w:szCs w:val="22"/>
        </w:rPr>
        <w:t xml:space="preserve">On average, majority of the surveyed schools were under the maturing level or otherwise categorized as Level 2 schools based on SBM Management Practices in the area of leadership and governance. </w:t>
      </w:r>
    </w:p>
    <w:p>
      <w:pPr>
        <w:pStyle w:val="18"/>
        <w:numPr>
          <w:ilvl w:val="0"/>
          <w:numId w:val="1"/>
        </w:numPr>
        <w:spacing w:line="480" w:lineRule="auto"/>
        <w:ind w:left="360"/>
        <w:jc w:val="both"/>
        <w:rPr>
          <w:rFonts w:ascii="Arial" w:cs="Arial" w:hAnsi="Arial"/>
          <w:sz w:val="22"/>
          <w:szCs w:val="22"/>
        </w:rPr>
      </w:pPr>
      <w:r>
        <w:rPr>
          <w:rFonts w:ascii="Arial" w:cs="Arial" w:hAnsi="Arial"/>
          <w:sz w:val="22"/>
          <w:szCs w:val="22"/>
        </w:rPr>
        <w:t xml:space="preserve">In terms of curriculum and instruction, schools were found out to be “better” since they are on average, at the maturing level. The same level was obtained in the third and fourth parameters- accountability and continuous improvement as well as management of resources. Generally, the grand mean of the 4 indicators was 1.50 interpreted as “maturing” or equivalent to Level 2 classification of DepEd school-based management. </w:t>
      </w:r>
    </w:p>
    <w:p>
      <w:pPr>
        <w:pStyle w:val="18"/>
        <w:numPr>
          <w:ilvl w:val="0"/>
          <w:numId w:val="1"/>
        </w:numPr>
        <w:spacing w:line="480" w:lineRule="auto"/>
        <w:ind w:left="360"/>
        <w:jc w:val="both"/>
        <w:rPr>
          <w:rFonts w:ascii="Arial" w:cs="Arial" w:hAnsi="Arial"/>
          <w:sz w:val="22"/>
          <w:szCs w:val="22"/>
        </w:rPr>
      </w:pPr>
      <w:r>
        <w:rPr>
          <w:rFonts w:ascii="Arial" w:cs="Arial" w:hAnsi="Arial"/>
          <w:sz w:val="22"/>
          <w:szCs w:val="22"/>
        </w:rPr>
        <w:t xml:space="preserve">In terms of pupil’s academic performance, 12 respondent-districts indicated a grand mean rating of 84.06 which is descriptively ascertained to be satisfactory. </w:t>
      </w:r>
    </w:p>
    <w:p>
      <w:pPr>
        <w:pStyle w:val="18"/>
        <w:numPr>
          <w:ilvl w:val="0"/>
          <w:numId w:val="1"/>
        </w:numPr>
        <w:spacing w:line="480" w:lineRule="auto"/>
        <w:ind w:left="360"/>
        <w:jc w:val="both"/>
        <w:rPr>
          <w:rFonts w:ascii="Arial" w:cs="Arial" w:hAnsi="Arial"/>
          <w:sz w:val="22"/>
          <w:szCs w:val="22"/>
        </w:rPr>
      </w:pPr>
      <w:r>
        <w:rPr>
          <w:rFonts w:ascii="Arial" w:cs="Arial" w:hAnsi="Arial"/>
          <w:sz w:val="22"/>
          <w:szCs w:val="22"/>
        </w:rPr>
        <w:t>On the relationship between SBM Management practices and pupil’s academic performance, only 3 out of 4 aspects namely: Leadership and Governance, Accountability and continues improvement, and management of resources have no significant relations to academic performance of schools and therefore failed to reject the null hypothesis. Only one of the four SBM aspects that is curriculum and instruction with is significantly related to academic performance of schools and therefore interpreted to reject the null hypothesis.</w:t>
      </w:r>
    </w:p>
    <w:p>
      <w:pPr>
        <w:spacing w:line="480" w:lineRule="auto"/>
        <w:rPr>
          <w:rFonts w:ascii="Arial" w:cs="Arial" w:hAnsi="Arial"/>
          <w:sz w:val="22"/>
          <w:szCs w:val="22"/>
        </w:rPr>
      </w:pPr>
    </w:p>
    <w:p>
      <w:pPr>
        <w:spacing w:line="480" w:lineRule="auto"/>
        <w:rPr>
          <w:rFonts w:ascii="Arial" w:cs="Arial" w:hAnsi="Arial"/>
          <w:b/>
          <w:sz w:val="22"/>
          <w:szCs w:val="22"/>
        </w:rPr>
      </w:pPr>
    </w:p>
    <w:p>
      <w:pPr>
        <w:spacing w:line="480" w:lineRule="auto"/>
        <w:rPr>
          <w:rFonts w:ascii="Arial" w:cs="Arial" w:hAnsi="Arial"/>
          <w:b/>
          <w:sz w:val="22"/>
          <w:szCs w:val="22"/>
        </w:rPr>
      </w:pPr>
    </w:p>
    <w:p>
      <w:pPr>
        <w:spacing w:line="480" w:lineRule="auto"/>
        <w:rPr>
          <w:rFonts w:ascii="Arial" w:cs="Arial" w:hAnsi="Arial"/>
          <w:b/>
          <w:sz w:val="22"/>
          <w:szCs w:val="22"/>
        </w:rPr>
      </w:pPr>
    </w:p>
    <w:p>
      <w:pPr>
        <w:spacing w:line="480" w:lineRule="auto"/>
        <w:rPr>
          <w:rFonts w:ascii="Arial" w:cs="Arial" w:hAnsi="Arial"/>
          <w:b/>
          <w:sz w:val="22"/>
          <w:szCs w:val="22"/>
        </w:rPr>
      </w:pPr>
    </w:p>
    <w:p>
      <w:pPr>
        <w:spacing w:line="480" w:lineRule="auto"/>
        <w:rPr>
          <w:rFonts w:ascii="Arial" w:cs="Arial" w:hAnsi="Arial"/>
          <w:b/>
          <w:sz w:val="22"/>
          <w:szCs w:val="22"/>
        </w:rPr>
      </w:pPr>
      <w:r>
        <w:rPr>
          <w:rFonts w:ascii="Arial" w:cs="Arial" w:hAnsi="Arial"/>
          <w:b/>
          <w:sz w:val="22"/>
          <w:szCs w:val="22"/>
        </w:rPr>
        <w:t>RECOMMENDATIONS</w:t>
      </w:r>
    </w:p>
    <w:p>
      <w:pPr>
        <w:spacing w:line="480" w:lineRule="auto"/>
        <w:rPr>
          <w:rFonts w:ascii="Arial" w:cs="Arial" w:hAnsi="Arial"/>
          <w:sz w:val="22"/>
          <w:szCs w:val="22"/>
        </w:rPr>
      </w:pPr>
      <w:r>
        <w:rPr>
          <w:rFonts w:ascii="Arial" w:cs="Arial" w:hAnsi="Arial"/>
          <w:sz w:val="22"/>
          <w:szCs w:val="22"/>
        </w:rPr>
        <w:t xml:space="preserve">    </w:t>
        <w:tab/>
        <w:t xml:space="preserve">From the conclusions, the following are recommended: </w:t>
      </w:r>
    </w:p>
    <w:p>
      <w:pPr>
        <w:pStyle w:val="18"/>
        <w:numPr>
          <w:ilvl w:val="0"/>
          <w:numId w:val="2"/>
        </w:numPr>
        <w:spacing w:line="480" w:lineRule="auto"/>
        <w:ind w:left="360"/>
        <w:jc w:val="both"/>
        <w:rPr>
          <w:rFonts w:ascii="Arial" w:cs="Arial" w:hAnsi="Arial"/>
          <w:sz w:val="22"/>
          <w:szCs w:val="22"/>
        </w:rPr>
      </w:pPr>
      <w:r>
        <w:rPr>
          <w:rFonts w:ascii="Arial" w:cs="Arial" w:hAnsi="Arial"/>
          <w:sz w:val="22"/>
          <w:szCs w:val="22"/>
        </w:rPr>
        <w:t xml:space="preserve">All stakeholders- school heads, teachers and parents must place a strong priority on SBM practices such as leadership and governance, accountability and continuous improvement, and resource management if they want to at least significantly improve pupil’s academic performance. </w:t>
      </w:r>
    </w:p>
    <w:p>
      <w:pPr>
        <w:pStyle w:val="18"/>
        <w:numPr>
          <w:ilvl w:val="0"/>
          <w:numId w:val="2"/>
        </w:numPr>
        <w:spacing w:line="480" w:lineRule="auto"/>
        <w:ind w:left="360"/>
        <w:jc w:val="both"/>
        <w:rPr>
          <w:rFonts w:ascii="Arial" w:cs="Arial" w:hAnsi="Arial"/>
          <w:sz w:val="22"/>
          <w:szCs w:val="22"/>
        </w:rPr>
      </w:pPr>
      <w:r>
        <w:rPr>
          <w:rFonts w:ascii="Arial" w:cs="Arial" w:hAnsi="Arial"/>
          <w:sz w:val="22"/>
          <w:szCs w:val="22"/>
        </w:rPr>
        <w:t xml:space="preserve">Central elementary schools must consider improved School Based Management Practices for it to impact heavily on pupil’s academic performance. </w:t>
      </w:r>
    </w:p>
    <w:p>
      <w:pPr>
        <w:pStyle w:val="18"/>
        <w:numPr>
          <w:ilvl w:val="0"/>
          <w:numId w:val="2"/>
        </w:numPr>
        <w:spacing w:line="480" w:lineRule="auto"/>
        <w:ind w:left="360"/>
        <w:jc w:val="both"/>
        <w:rPr>
          <w:rFonts w:ascii="Arial" w:cs="Arial" w:hAnsi="Arial"/>
          <w:sz w:val="22"/>
          <w:szCs w:val="22"/>
        </w:rPr>
      </w:pPr>
      <w:r>
        <w:rPr>
          <w:rFonts w:ascii="Arial" w:cs="Arial" w:hAnsi="Arial"/>
          <w:sz w:val="22"/>
          <w:szCs w:val="22"/>
        </w:rPr>
        <w:t xml:space="preserve">Future researchers and management system developers must explore how SBM management aspects can directly impact to school performance particularly, pupil’s academic performance. </w:t>
      </w:r>
    </w:p>
    <w:p>
      <w:pPr>
        <w:spacing w:line="480" w:lineRule="auto"/>
        <w:jc w:val="both"/>
        <w:rPr>
          <w:rFonts w:ascii="Arial" w:eastAsia="Calibri" w:cs="Arial" w:hAnsi="Arial"/>
          <w:b/>
          <w:sz w:val="22"/>
          <w:szCs w:val="22"/>
        </w:rPr>
      </w:pPr>
    </w:p>
    <w:p>
      <w:pPr>
        <w:spacing w:line="480" w:lineRule="auto"/>
        <w:jc w:val="both"/>
        <w:rPr>
          <w:rFonts w:ascii="Arial" w:eastAsia="Calibri" w:cs="Arial" w:hAnsi="Arial"/>
          <w:b/>
          <w:sz w:val="22"/>
          <w:szCs w:val="22"/>
        </w:rPr>
      </w:pPr>
      <w:r>
        <w:rPr>
          <w:rFonts w:ascii="Arial" w:eastAsia="Calibri" w:cs="Arial" w:hAnsi="Arial"/>
          <w:b/>
          <w:sz w:val="22"/>
          <w:szCs w:val="22"/>
        </w:rPr>
        <w:t>REFERENCES</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Abulencia, A. (2012). School-based management: A structural reform intervention. Philippine Normal University.</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Bandur, A. (2008). A study of the implementation of school-based management in Flores primary schools in Indonesia (Doctoral dissertation, University of Newcastle). https://goo.gl/3wiz1n⁠�</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Botha, N. (2006). Leadership in school-based management: A case study in selected schools. South African Journal of Education, 26(3), 341–353.</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Cabardo, J. R. O. (2016). Levels of participation of school stakeholders in school-initiated activities and the implementation of school-based management. Journal of Inquiry and Action in Education, 8(1).</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Capacite, R. (2021). School-based management practices as predictors of school performance in public elementary schools amid the pandemic.</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Department of Education. (2012). DepEd Order No. 83, s. 2012: Revised SBM framework and assessment tool.</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Department of Education. (2022). DepEd Order No. 75, s. 2022.</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Drysdale, L., Goode, H., &amp; Gurr, D. (2006). An Australian model of successful school leadership. Journal of Educational Administration, 47(6), 697–708.</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Epstein, J. L. (2021). School, family, and community partnerships: Preparing educators and improving schools (3rd ed.). Routledge.</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Gamage, D. T., &amp; Zajda, J. (2005). Decentralization and school-based management. International Review of Education, 51(2–3), 221–240.</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Hallinger, P., &amp; Liu, S. (2022). Leadership and school improvement: A meta-analysis. Educational Management Administration &amp; Leadership, 50(1), 3–24.</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Harris, A., &amp; Jones, M. (2020). COVID-19 and school leadership: Crisis and opportunity. School Leadership &amp; Management, 40(4), 243–247.</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Kadtong, M. L. (2015). School-based management in the operations and performance of public elementary schools. Mindanao State University. https://www.researchgate.net/publication/323949891⁠�</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Leithwood, K., Harris, A., &amp; Hopkins, D. (2020). Seven strong claims about successful school leadership revisited. School Leadership &amp; Management, 40(1), 5–22.</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Llego, M. A. (2016). A comprehensive guide to school-based management (SBM).</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Malaluan, N. (2023, February 5). School-based management for basic education. BusinessWorld Online. https://www.bworldonline.com/opinion/2023/02/05/503031/school-based-management-for-basic-education/⁠�</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 xml:space="preserve">OECD. (2021). School leadership for learning: Insights from TALIS 2018. </w:t>
      </w:r>
    </w:p>
    <w:p>
      <w:pPr>
        <w:shd w:val="clear" w:color="auto" w:fill="FFFFFF"/>
        <w:jc w:val="both"/>
        <w:rPr>
          <w:rFonts w:ascii="Arial" w:cs="Arial" w:hAnsi="Arial"/>
          <w:color w:val="000000"/>
          <w:sz w:val="22"/>
        </w:rPr>
      </w:pPr>
      <w:r>
        <w:rPr>
          <w:rFonts w:ascii="Arial" w:cs="Arial" w:hAnsi="Arial"/>
          <w:color w:val="000000"/>
          <w:sz w:val="22"/>
        </w:rPr>
        <w:t>OECD Publishing.</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Schleicher, A. (2020). The impact of COVID-19 on education: Insights from education at a glance. OECD Publishing.</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Sheldon, S. B., &amp; Van Voorhis, F. L. (2004). Partnership programs in U.S. schools. School Effectiveness and School Improvement, 15(2), 125–148.</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UNESCO. (2021). Reimagining our futures together: A new social contract for education. UNESCO Publishing.</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World Bank. (2022). Transforming education systems for better learning outcomes. World Bank Group.</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World Bank Group. (2016). Assessing school-based management in the Philippines.</w:t>
      </w:r>
    </w:p>
    <w:p>
      <w:pPr>
        <w:shd w:val="clear" w:color="auto" w:fill="FFFFFF"/>
        <w:jc w:val="both"/>
        <w:rPr>
          <w:rFonts w:ascii="Arial" w:cs="Arial" w:hAnsi="Arial"/>
          <w:color w:val="000000"/>
          <w:sz w:val="22"/>
        </w:rPr>
      </w:pPr>
    </w:p>
    <w:p>
      <w:pPr>
        <w:shd w:val="clear" w:color="auto" w:fill="FFFFFF"/>
        <w:jc w:val="both"/>
        <w:rPr>
          <w:rFonts w:ascii="Arial" w:cs="Arial" w:hAnsi="Arial"/>
          <w:color w:val="000000"/>
          <w:sz w:val="22"/>
        </w:rPr>
      </w:pPr>
      <w:r>
        <w:rPr>
          <w:rFonts w:ascii="Arial" w:cs="Arial" w:hAnsi="Arial"/>
          <w:color w:val="000000"/>
          <w:sz w:val="22"/>
        </w:rPr>
        <w:t>Yiu-kai, P. (2000). Transforming schools into professional learning communities.</w:t>
      </w:r>
    </w:p>
    <w:p>
      <w:pPr>
        <w:shd w:val="clear" w:color="auto" w:fill="FFFFFF"/>
        <w:jc w:val="both"/>
        <w:rPr>
          <w:rFonts w:ascii="Arial" w:cs="Arial" w:hAnsi="Arial"/>
          <w:sz w:val="22"/>
          <w:szCs w:val="22"/>
        </w:rPr>
      </w:pPr>
    </w:p>
    <w:sectPr>
      <w:headerReference w:type="default" r:id="rId2"/>
      <w:pgSz w:w="11907" w:h="16839"/>
      <w:pgMar w:top="1440" w:right="1440" w:bottom="1440" w:left="2160" w:header="720" w:footer="720" w:gutter="0"/>
      <w:titlePg/>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xi Sans">
    <w:panose1 w:val="00000000000000000000"/>
    <w:charset w:val="00"/>
    <w:family w:val="auto"/>
    <w:pitch w:val="variable"/>
    <w:sig w:usb0="00000000" w:usb1="00000000" w:usb2="00000000" w:usb3="00000000" w:csb0="00000000" w:csb1="00000000"/>
  </w:font>
  <w:font w:name="HONOR black body">
    <w:panose1 w:val="00000000000000000000"/>
    <w:charset w:val="00"/>
    <w:family w:val="auto"/>
    <w:pitch w:val="variable"/>
    <w:sig w:usb0="00000000" w:usb1="00000000" w:usb2="00000000" w:usb3="00000000" w:csb0="00000000" w:csb1="00000000"/>
  </w:font>
  <w:font w:name="等线 Light">
    <w:panose1 w:val="00000000000000000000"/>
    <w:charset w:val="00"/>
    <w:family w:val="auto"/>
    <w:pitch w:val="variable"/>
    <w:sig w:usb0="00000000" w:usb1="00000000" w:usb2="00000000" w:usb3="00000000" w:csb0="0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sdt>
    <w:sdtPr>
      <w:id w:val="1451383386"/>
      <w:docPartObj>
        <w:docPartGallery/>
        <w:docPartUnique/>
      </w:docPartObj>
    </w:sdtPr>
    <w:sdtContent>
      <w:p>
        <w:pPr>
          <w:pStyle w:val="15"/>
          <w:tabs>
            <w:tab w:val="center" w:pos="4680"/>
            <w:tab w:val="right" w:pos="9360"/>
          </w:tabs>
          <w:jc w:val="right"/>
          <w:rPr>
            <w:rFonts w:ascii="Arial" w:cs="Arial" w:hAnsi="Arial"/>
            <w:sz w:val="20"/>
          </w:rPr>
        </w:pPr>
        <w:r>
          <w:rPr>
            <w:rFonts w:ascii="Arial" w:cs="Arial" w:hAnsi="Arial"/>
            <w:sz w:val="20"/>
          </w:rPr>
          <w:fldChar w:fldCharType="begin"/>
        </w:r>
        <w:r>
          <w:rPr>
            <w:rFonts w:ascii="Arial" w:cs="Arial" w:hAnsi="Arial"/>
            <w:sz w:val="20"/>
          </w:rPr>
          <w:instrText xml:space="preserve"> PAGE   \* MERGEFORMAT </w:instrText>
        </w:r>
        <w:r>
          <w:rPr>
            <w:rFonts w:ascii="Arial" w:cs="Arial" w:hAnsi="Arial"/>
            <w:sz w:val="20"/>
          </w:rPr>
          <w:fldChar w:fldCharType="separate"/>
        </w:r>
        <w:r>
          <w:rPr>
            <w:rFonts w:ascii="Arial" w:cs="Arial" w:hAnsi="Arial"/>
            <w:sz w:val="20"/>
          </w:rPr>
          <w:t>2</w:t>
        </w:r>
        <w:r>
          <w:rPr>
            <w:rFonts w:ascii="Arial" w:cs="Arial" w:hAnsi="Arial"/>
            <w:sz w:val="20"/>
          </w:rPr>
          <w:fldChar w:fldCharType="end"/>
        </w:r>
      </w:p>
    </w:sdtContent>
  </w:sdt>
  <w:p>
    <w:pPr>
      <w:pStyle w:val="15"/>
      <w:tabs>
        <w:tab w:val="center" w:pos="4680"/>
        <w:tab w:val="right" w:pos="9360"/>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ED8231CA"/>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multiLevelType w:val="hybridMultilevel"/>
    <w:tmpl w:val="831A140C"/>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22"/>
  <w:displayBackgroundShape/>
  <w:bordersDoNotSurroundHeader/>
  <w:bordersDoNotSurroundFooter/>
  <w:defaultTabStop w:val="720"/>
  <w:drawingGridHorizontalSpacing w:val="120"/>
  <w:drawingGridVerticalSpacing w:val="163"/>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0" w:line="240" w:lineRule="auto"/>
    </w:pPr>
    <w:rPr>
      <w:rFonts w:ascii="Tahoma" w:eastAsia="Times New Roman" w:cs="Times New Roman" w:hAnsi="Tahoma"/>
      <w:sz w:val="24"/>
      <w:szCs w:val="24"/>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spacing w:before="40" w:line="254" w:lineRule="auto"/>
      <w:outlineLvl w:val="3"/>
    </w:pPr>
    <w:rPr>
      <w:rFonts w:ascii="Droid Sans" w:eastAsia="等线 Light" w:cs="Times New Roman" w:hAnsi="Droid Sans"/>
      <w:i/>
      <w:iCs/>
      <w:color w:val="2F5496"/>
      <w:sz w:val="22"/>
      <w:szCs w:val="22"/>
      <w:lang w:val="en-PH"/>
    </w:rPr>
  </w:style>
  <w:style w:type="character" w:default="1" w:styleId="10">
    <w:name w:val="Default Paragraph Font"/>
  </w:style>
  <w:style w:type="paragraph" w:styleId="15">
    <w:name w:val="header"/>
    <w:basedOn w:val="0"/>
    <w:pPr>
      <w:tabs>
        <w:tab w:val="center" w:pos="4680"/>
        <w:tab w:val="right" w:pos="9360"/>
      </w:tabs>
    </w:pPr>
  </w:style>
  <w:style w:type="character" w:styleId="16">
    <w:name w:val="Hyperlink"/>
    <w:basedOn w:val="10"/>
    <w:rPr>
      <w:color w:val="0563C1"/>
      <w:u w:val="single"/>
    </w:rPr>
  </w:style>
  <w:style w:type="character" w:customStyle="1" w:styleId="17">
    <w:name w:val="Unresolved Mention"/>
    <w:basedOn w:val="10"/>
    <w:rPr>
      <w:color w:val="605E5C"/>
      <w:shd w:val="clear" w:color="auto" w:fill="E1DFDD"/>
    </w:rPr>
  </w:style>
  <w:style w:type="paragraph" w:customStyle="1" w:styleId="18">
    <w:name w:val="List Paragraph"/>
    <w:basedOn w:val="0"/>
    <w:pPr>
      <w:ind w:left="720"/>
      <w:contextualSpacing/>
    </w:pPr>
  </w:style>
  <w:style w:type="paragraph" w:customStyle="1" w:styleId="19">
    <w:name w:val="No Spacing"/>
    <w:pPr>
      <w:spacing w:after="0" w:line="240" w:lineRule="auto"/>
    </w:pPr>
    <w:rPr>
      <w:rFonts w:ascii="Arial" w:eastAsia="Droid Sans" w:cs="Arial" w:hAnsi="Arial"/>
      <w:sz w:val="24"/>
      <w:szCs w:val="24"/>
      <w:lang w:val="en-US" w:eastAsia="en-US" w:bidi="ar-SA"/>
    </w:rPr>
  </w:style>
  <w:style w:type="paragraph" w:styleId="20">
    <w:name w:val="Balloon Text"/>
    <w:basedOn w:val="0"/>
    <w:rPr>
      <w:rFonts w:cs="Tahoma"/>
      <w:sz w:val="16"/>
      <w:szCs w:val="16"/>
    </w:rPr>
  </w:style>
  <w:style w:type="paragraph" w:styleId="21">
    <w:name w:val="footer"/>
    <w:basedOn w:val="0"/>
    <w:pPr>
      <w:tabs>
        <w:tab w:val="center" w:pos="4680"/>
        <w:tab w:val="right" w:pos="9360"/>
      </w:tabs>
    </w:pPr>
  </w:style>
  <w:style w:type="paragraph" w:customStyle="1" w:styleId="22">
    <w:name w:val="No Spacing1"/>
    <w:pPr>
      <w:spacing w:after="0" w:line="240" w:lineRule="auto"/>
    </w:pPr>
    <w:rPr>
      <w:rFonts w:ascii="Calibri" w:eastAsia="Calibri" w:cs="Arial" w:hAnsi="Calibri"/>
      <w:sz w:val="22"/>
      <w:szCs w:val="22"/>
      <w:lang w:val="en-US" w:eastAsia="en-US" w:bidi="ar-SA"/>
    </w:rPr>
  </w:style>
  <w:style w:type="paragraph" w:customStyle="1" w:styleId="23">
    <w:name w:val="Body A"/>
    <w:p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Calibri" w:eastAsia="Calibri" w:cs="Calibri" w:hAnsi="Calibri"/>
      <w:color w:val="000000"/>
      <w:sz w:val="22"/>
      <w:szCs w:val="22"/>
      <w:u w:color="000000"/>
      <w:bdr w:val="none" w:sz="0" w:space="0" w:color="auto"/>
      <w:lang w:val="de-DE" w:eastAsia="en-PH" w:bidi="ar-SA"/>
    </w:rPr>
  </w:style>
  <w:style w:type="character" w:customStyle="1" w:styleId="24">
    <w:name w:val="a"/>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282</TotalTime>
  <Application>Honor_Office</Application>
  <Pages>14</Pages>
  <Words>3292</Words>
  <Characters>20052</Characters>
  <Lines>679</Lines>
  <Paragraphs>291</Paragraphs>
  <CharactersWithSpaces>23171</CharactersWithSpaces>
  <Company>Department of Education</Company>
</Properties>
</file>

<file path=docProps/core.xml><?xml version="1.0" encoding="utf-8"?>
<cp:coreProperties xmlns:cp="http://schemas.openxmlformats.org/package/2006/metadata/core-properties" xmlns:dc="http://purl.org/dc/elements/1.1/" xmlns:dcterms="http://purl.org/dc/terms/" xmlns:xsi="http://www.w3.org/2001/XMLSchema-instance">
  <dc:creator>MARINO ORGANISTA</dc:creator>
  <cp:lastModifiedBy>HONOR Docs</cp:lastModifiedBy>
  <cp:revision>54</cp:revision>
  <cp:lastPrinted>2023-08-06T04:25:00Z</cp:lastPrinted>
  <dcterms:created xsi:type="dcterms:W3CDTF">2023-05-10T15:39:00Z</dcterms:created>
  <dcterms:modified xsi:type="dcterms:W3CDTF">2026-04-15T04:19:19Z</dcterms:modified>
</cp:coreProperties>
</file>