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E230" w14:textId="77777777" w:rsidR="00EB076C" w:rsidRPr="00970AD7" w:rsidRDefault="00EB076C" w:rsidP="00970AD7">
      <w:pPr>
        <w:pStyle w:val="Title"/>
        <w:jc w:val="center"/>
        <w:rPr>
          <w:rFonts w:ascii="Times New Roman" w:hAnsi="Times New Roman" w:cs="Times New Roman"/>
          <w:sz w:val="36"/>
          <w:szCs w:val="36"/>
        </w:rPr>
      </w:pPr>
      <w:r>
        <w:rPr>
          <w:rFonts w:ascii="Times New Roman" w:hAnsi="Times New Roman" w:cs="Times New Roman"/>
          <w:b/>
          <w:bCs/>
          <w:sz w:val="36"/>
          <w:szCs w:val="36"/>
        </w:rPr>
        <w:t>Life Cycle Emission Analysis and Case Specific Mitigation Strategies for Hostel Buildings in the Lower Himalayan Region.</w:t>
      </w:r>
    </w:p>
    <w:p w14:paraId="68F81FBB" w14:textId="77777777" w:rsidR="0020474B" w:rsidRPr="00970AD7" w:rsidRDefault="00970AD7" w:rsidP="00970AD7">
      <w:pPr>
        <w:pStyle w:val="Heading1"/>
      </w:pPr>
      <w:r>
        <w:t>ABSTRACT</w:t>
      </w:r>
    </w:p>
    <w:p w14:paraId="11E6300A" w14:textId="77777777" w:rsidR="00DD0292" w:rsidRPr="00DD0292" w:rsidRDefault="00DD0292" w:rsidP="00941D61">
      <w:pPr>
        <w:spacing w:before="240"/>
        <w:rPr>
          <w:sz w:val="24"/>
          <w:szCs w:val="24"/>
        </w:rPr>
      </w:pPr>
      <w:r>
        <w:rPr>
          <w:sz w:val="24"/>
          <w:szCs w:val="24"/>
        </w:rPr>
        <w:t xml:space="preserve">Buildings account for a significant share of global carbon emissions, yet comprehensive lifecycle frameworks for assessing their full environmental impact remain limited in the Indian context. The study evaluates the environmental impact of a residential building in the lower region of north India. </w:t>
      </w:r>
      <w:r>
        <w:rPr>
          <w:sz w:val="24"/>
          <w:szCs w:val="24"/>
          <w:lang w:val="en-IN"/>
        </w:rPr>
        <w:t xml:space="preserve">This case specific framework integrates life cycle assessment (LCA) in terms of operational energy analysis, embodied energy accounting, and carbon emission estimation. </w:t>
      </w:r>
      <w:r>
        <w:rPr>
          <w:sz w:val="24"/>
          <w:szCs w:val="24"/>
        </w:rPr>
        <w:t xml:space="preserve">A detailed material and energy inventory was compiled, with embodied energy coefficients and emission factors sourced from peer-reviewed literature. Results indicate that the operational stage dominates the building's carbon profile, contributing 73% of total lifecycle emissions driven primarily by occupant metabolic CO₂ and electricity consumption. The total carbon footprint is estimated at 12.77 million kg CO₂ equivalent, with brick and reinforced cement concrete identified as the most energy and emission intensive materials. Three mitigation strategies were evaluated: replacing grid electricity with photovoltaic panels reduces electricity related emissions by 96%; substituting LPG with kitchen waste biogas achieves a 15.6% reduction in cooking emissions; and plantation of 90 mature trees enables full carbon sequestration. Collectively, these measures reduce the building's lifetime emissions by approximately 38%. The proposed framework offers a replicable, case specific approach to carbon assessment and mitigation planning, applicable to other residential buildings seeking to align with sustainable construction goals. </w:t>
      </w:r>
    </w:p>
    <w:p w14:paraId="46CDA0B6" w14:textId="77777777" w:rsidR="0020474B" w:rsidRPr="00BE69E9" w:rsidRDefault="0020474B" w:rsidP="00941D61">
      <w:pPr>
        <w:spacing w:after="240"/>
        <w:rPr>
          <w:sz w:val="24"/>
          <w:szCs w:val="24"/>
        </w:rPr>
      </w:pPr>
      <w:r>
        <w:rPr>
          <w:b/>
          <w:bCs/>
          <w:sz w:val="24"/>
          <w:szCs w:val="24"/>
        </w:rPr>
        <w:t>Keywords</w:t>
      </w:r>
      <w:r>
        <w:rPr>
          <w:sz w:val="24"/>
          <w:szCs w:val="24"/>
        </w:rPr>
        <w:t xml:space="preserve"> emissions, embodied energy, hostel building, sustainability, operational stage.</w:t>
      </w:r>
    </w:p>
    <w:p w14:paraId="599B3EFB" w14:textId="77777777" w:rsidR="0020474B" w:rsidRPr="00970AD7" w:rsidRDefault="00970AD7" w:rsidP="00970AD7">
      <w:pPr>
        <w:pStyle w:val="Heading1"/>
      </w:pPr>
      <w:r>
        <w:t>INTRODUCTION</w:t>
      </w:r>
    </w:p>
    <w:p w14:paraId="33CC0D5C" w14:textId="7DCF2DA9" w:rsidR="00E36730" w:rsidRPr="00BE69E9" w:rsidRDefault="0020474B" w:rsidP="00941D61">
      <w:pPr>
        <w:spacing w:before="240"/>
        <w:rPr>
          <w:sz w:val="24"/>
          <w:szCs w:val="24"/>
        </w:rPr>
      </w:pPr>
      <w:r>
        <w:rPr>
          <w:sz w:val="24"/>
          <w:szCs w:val="24"/>
        </w:rPr>
        <w:t xml:space="preserve">Sustainable development has now been embossed in human consciousness </w:t>
      </w:r>
      <w:r>
        <w:rPr>
          <w:sz w:val="24"/>
          <w:szCs w:val="24"/>
        </w:rPr>
        <w:fldChar w:fldCharType="begin"/>
      </w:r>
      <w:r w:rsidR="005373B8">
        <w:rPr>
          <w:sz w:val="24"/>
          <w:szCs w:val="24"/>
        </w:rPr>
        <w:instrText xml:space="preserve"> ADDIN ZOTERO_ITEM CSL_CITATION {"citationID":"lZBj1FmC","properties":{"formattedCitation":"(Brandon &amp; Lombardi, 2011)","plainCitation":"(Brandon &amp; Lombardi, 2011)","noteIndex":0},"citationItems":[{"id":5306,"uris":["http://zotero.org/users/17155100/items/7Y2BPPLJ"],"itemData":{"id":5306,"type":"book","edition":"2. ed","ISBN":"978-1-4051-9258-3","language":"eng","number-of-pages":"264","publisher":"Wiley-Blackwell","publisher-place":"Chichester","source":"K10plus ISBN","title":"Evaluating sustainable development in the built environment","author":[{"family":"Brandon","given":"Peter S."},{"family":"Lombardi","given":"Patrizia L."}],"issued":{"date-parts":[["2011"]]}}}],"schema":"https://github.com/citation-style-language/schema/raw/master/csl-citation.json"} </w:instrText>
      </w:r>
      <w:r>
        <w:rPr>
          <w:sz w:val="24"/>
          <w:szCs w:val="24"/>
        </w:rPr>
        <w:fldChar w:fldCharType="separate"/>
      </w:r>
      <w:r>
        <w:rPr>
          <w:sz w:val="24"/>
          <w:szCs w:val="24"/>
        </w:rPr>
        <w:t>(Brandon &amp; Lombardi, 2011)</w:t>
      </w:r>
      <w:r>
        <w:rPr>
          <w:sz w:val="24"/>
          <w:szCs w:val="24"/>
        </w:rPr>
        <w:fldChar w:fldCharType="end"/>
      </w:r>
      <w:r>
        <w:rPr>
          <w:sz w:val="24"/>
          <w:szCs w:val="24"/>
        </w:rPr>
        <w:t xml:space="preserve">. It has led to changes in the priorities of global agendas such as the Sustainable Development Goals and the 2015 Paris Agreement. Scholars and environmentalists have long warned of the consequences of unchecked human activity on the planet, including global warming, habitat loss, resource depletion, and widespread pollution </w:t>
      </w:r>
      <w:r>
        <w:rPr>
          <w:sz w:val="24"/>
          <w:szCs w:val="24"/>
        </w:rPr>
        <w:fldChar w:fldCharType="begin"/>
      </w:r>
      <w:r w:rsidR="005373B8">
        <w:rPr>
          <w:sz w:val="24"/>
          <w:szCs w:val="24"/>
        </w:rPr>
        <w:instrText xml:space="preserve"> ADDIN ZOTERO_ITEM CSL_CITATION {"citationID":"95rhpMU8","properties":{"formattedCitation":"(Gore &amp; Gore, 1999; Jackson, 2009; Lovelock, 2009; Rees, 2009)","plainCitation":"(Gore &amp; Gore, 1999; Jackson, 2009; Lovelock, 2009; Rees, 2009)","noteIndex":0},"citationItems":[{"id":5285,"uris":["http://zotero.org/users/17155100/items/56C9KHGC"],"itemData":{"id":5285,"type":"article-journal","container-title":"Total Quality Management","DOI":"10.1080/0954412997523","ISSN":"0954-4127, 1360-0613","issue":"4-5","language":"en","page":"554-560","publisher":"Informa UK Limited","source":"Crossref","title":"Knowledge management: The way forward","title-short":"Knowledge management","volume":"10","author":[{"family":"Gore","given":"Chris"},{"family":"Gore","given":"Emma"}],"issued":{"date-parts":[["1999",7]]}}},{"id":5287,"uris":["http://zotero.org/users/17155100/items/UQDXXWTN"],"itemData":{"id":5287,"type":"book","DOI":"10.4324/9781849774338","edition":"0","ISBN":"978-1-136-54678-5","language":"en","publisher":"Routledge","source":"Crossref","title":"Prosperity without Growth","URL":"https://www.taylorfrancis.com/books/9781136546785","author":[{"family":"Jackson","given":"Tim"}],"accessed":{"date-parts":[["2025",7,19]]},"issued":{"date-parts":[["2009",11,23]]}}},{"id":5288,"uris":["http://zotero.org/users/17155100/items/WBPU2MWK"],"itemData":{"id":5288,"type":"book","call-number":"QH331 .L6885 2009","ISBN":"978-0-465-01549-8","number-of-pages":"278","publisher":"Basic Books","publisher-place":"New York","source":"Library of Congress ISBN","title":"The vanishing face of gaia: a final warning","title-short":"The vanishing face of gaia","author":[{"family":"Lovelock","given":"James"}],"issued":{"date-parts":[["2009"]]}}},{"id":5286,"uris":["http://zotero.org/users/17155100/items/5BK3QIW4"],"itemData":{"id":5286,"type":"article-journal","container-title":"Building Research &amp; Information","DOI":"10.1080/09613210902781470","ISSN":"0961-3218, 1466-4321","issue":"3","language":"en","page":"300-311","publisher":"Informa UK Limited","source":"Crossref","title":"The ecological crisis and self-delusion: implications for the building sector","title-short":"The ecological crisis and self-delusion","volume":"37","author":[{"family":"Rees","given":"William E."}],"issued":{"date-parts":[["2009",6]]}}}],"schema":"https://github.com/citation-style-language/schema/raw/master/csl-citation.json"} </w:instrText>
      </w:r>
      <w:r>
        <w:rPr>
          <w:sz w:val="24"/>
          <w:szCs w:val="24"/>
        </w:rPr>
        <w:fldChar w:fldCharType="separate"/>
      </w:r>
      <w:r>
        <w:rPr>
          <w:sz w:val="24"/>
          <w:szCs w:val="24"/>
        </w:rPr>
        <w:t>(Gore &amp; Gore, 1999; Jackson, 2009; Lovelock, 2009; Rees, 2009)</w:t>
      </w:r>
      <w:r>
        <w:rPr>
          <w:sz w:val="24"/>
          <w:szCs w:val="24"/>
        </w:rPr>
        <w:fldChar w:fldCharType="end"/>
      </w:r>
      <w:r>
        <w:rPr>
          <w:sz w:val="24"/>
          <w:szCs w:val="24"/>
        </w:rPr>
        <w:t>. Despite widespread awareness, no single solution has yet proven sufficient to reverse these complex trends.</w:t>
      </w:r>
    </w:p>
    <w:p w14:paraId="362944A9" w14:textId="30813EEF" w:rsidR="00E36730" w:rsidRPr="00BE69E9" w:rsidRDefault="0020474B" w:rsidP="00970AD7">
      <w:pPr>
        <w:rPr>
          <w:sz w:val="24"/>
          <w:szCs w:val="24"/>
        </w:rPr>
      </w:pPr>
      <w:r>
        <w:rPr>
          <w:noProof/>
          <w:sz w:val="24"/>
          <w:szCs w:val="24"/>
          <w:lang w:val="en-IN"/>
        </w:rPr>
        <w:t xml:space="preserve">Peter and Brandon </w:t>
      </w:r>
      <w:r>
        <w:rPr>
          <w:noProof/>
          <w:sz w:val="24"/>
          <w:szCs w:val="24"/>
          <w:lang w:val="en-IN"/>
        </w:rPr>
        <w:fldChar w:fldCharType="begin"/>
      </w:r>
      <w:r w:rsidR="005373B8">
        <w:rPr>
          <w:noProof/>
          <w:sz w:val="24"/>
          <w:szCs w:val="24"/>
          <w:lang w:val="en-IN"/>
        </w:rPr>
        <w:instrText xml:space="preserve"> ADDIN ZOTERO_ITEM CSL_CITATION {"citationID":"l1otiU1R","properties":{"formattedCitation":"(Brandon &amp; Lombardi, 2011)","plainCitation":"(Brandon &amp; Lombardi, 2011)","noteIndex":0},"citationItems":[{"id":5306,"uris":["http://zotero.org/users/17155100/items/7Y2BPPLJ"],"itemData":{"id":5306,"type":"book","edition":"2. ed","ISBN":"978-1-4051-9258-3","language":"eng","number-of-pages":"264","publisher":"Wiley-Blackwell","publisher-place":"Chichester","source":"K10plus ISBN","title":"Evaluating sustainable development in the built environment","author":[{"family":"Brandon","given":"Peter S."},{"family":"Lombardi","given":"Patrizia L."}],"issued":{"date-parts":[["2011"]]}}}],"schema":"https://github.com/citation-style-language/schema/raw/master/csl-citation.json"} </w:instrText>
      </w:r>
      <w:r>
        <w:rPr>
          <w:noProof/>
          <w:sz w:val="24"/>
          <w:szCs w:val="24"/>
          <w:lang w:val="en-IN"/>
        </w:rPr>
        <w:fldChar w:fldCharType="separate"/>
      </w:r>
      <w:r>
        <w:rPr>
          <w:sz w:val="24"/>
          <w:szCs w:val="24"/>
        </w:rPr>
        <w:t>(Brandon &amp; Lombardi, 2011)</w:t>
      </w:r>
      <w:r>
        <w:rPr>
          <w:noProof/>
          <w:sz w:val="24"/>
          <w:szCs w:val="24"/>
          <w:lang w:val="en-IN"/>
        </w:rPr>
        <w:fldChar w:fldCharType="end"/>
      </w:r>
      <w:r>
        <w:rPr>
          <w:noProof/>
          <w:sz w:val="24"/>
          <w:szCs w:val="24"/>
          <w:lang w:val="en-IN"/>
        </w:rPr>
        <w:t xml:space="preserve"> </w:t>
      </w:r>
      <w:r>
        <w:rPr>
          <w:sz w:val="24"/>
          <w:szCs w:val="24"/>
        </w:rPr>
        <w:t>have highlighted a spectrum of views for sustainable development. At one extreme is the ecological viewpoint that emphasizes harmony with nature, urging radical lifestyle changes and curbs on urban expansion. At the other is the techno-centric perspective, which advocates technological innovation to mitigate environmental harm while maintaining development trajectories.</w:t>
      </w:r>
    </w:p>
    <w:p w14:paraId="683BD0BF" w14:textId="4049AA91" w:rsidR="00DC16DC" w:rsidRPr="00BE69E9" w:rsidRDefault="00DC16DC" w:rsidP="00970AD7">
      <w:pPr>
        <w:rPr>
          <w:sz w:val="24"/>
          <w:szCs w:val="24"/>
        </w:rPr>
      </w:pPr>
      <w:r>
        <w:rPr>
          <w:sz w:val="24"/>
          <w:szCs w:val="24"/>
        </w:rPr>
        <w:t xml:space="preserve">India, ranked as the third-largest emitter of greenhouse gases (GHGs) among the world's leading economies </w:t>
      </w:r>
      <w:r>
        <w:rPr>
          <w:sz w:val="24"/>
          <w:szCs w:val="24"/>
        </w:rPr>
        <w:fldChar w:fldCharType="begin"/>
      </w:r>
      <w:r w:rsidR="00D64814">
        <w:rPr>
          <w:sz w:val="24"/>
          <w:szCs w:val="24"/>
        </w:rPr>
        <w:instrText xml:space="preserve"> ADDIN ZOTERO_ITEM CSL_CITATION {"citationID":"bCnuklIH","properties":{"formattedCitation":"(World Bank: Washington, DC, USA, 2021)","plainCitation":"(World Bank: Washington, DC, USA, 2021)","noteIndex":0},"citationItems":[{"id":"ra2KK2lN/BrCSxCyL","uris":["http://zotero.org/users/17155100/items/KVYD4Y3P"],"itemData":{"id":465,"type":"post-weblog","title":"World Bank. Total Greenhouse Gas Emissions (kt of CO2 Equivalent)","author":[{"literal":"World Bank: Washington, DC, USA"}],"issued":{"date-parts":[["2021"]]}}}],"schema":"https://github.com/citation-style-language/schema/raw/master/csl-citation.json"} </w:instrText>
      </w:r>
      <w:r>
        <w:rPr>
          <w:sz w:val="24"/>
          <w:szCs w:val="24"/>
        </w:rPr>
        <w:fldChar w:fldCharType="separate"/>
      </w:r>
      <w:r>
        <w:rPr>
          <w:sz w:val="24"/>
          <w:szCs w:val="24"/>
        </w:rPr>
        <w:t>(World Bank: Washington, DC, USA, 2021)</w:t>
      </w:r>
      <w:r>
        <w:rPr>
          <w:sz w:val="24"/>
          <w:szCs w:val="24"/>
        </w:rPr>
        <w:fldChar w:fldCharType="end"/>
      </w:r>
      <w:r>
        <w:rPr>
          <w:sz w:val="24"/>
          <w:szCs w:val="24"/>
        </w:rPr>
        <w:t xml:space="preserve">, exemplifies the scale of this challenge. In 2022 alone, its CO₂ emissions rose by 6.52%, adding over </w:t>
      </w:r>
      <w:r>
        <w:rPr>
          <w:rStyle w:val="Strong"/>
          <w:b w:val="0"/>
          <w:bCs w:val="0"/>
          <w:sz w:val="24"/>
          <w:szCs w:val="24"/>
        </w:rPr>
        <w:t>164 million metric tons</w:t>
      </w:r>
      <w:r>
        <w:rPr>
          <w:sz w:val="24"/>
          <w:szCs w:val="24"/>
        </w:rPr>
        <w:t xml:space="preserve"> to previous levels </w:t>
      </w:r>
      <w:r>
        <w:rPr>
          <w:sz w:val="24"/>
          <w:szCs w:val="24"/>
        </w:rPr>
        <w:fldChar w:fldCharType="begin"/>
      </w:r>
      <w:r w:rsidR="005373B8">
        <w:rPr>
          <w:sz w:val="24"/>
          <w:szCs w:val="24"/>
        </w:rPr>
        <w:instrText xml:space="preserve"> ADDIN ZOTERO_ITEM CSL_CITATION {"citationID":"uF2bwWte","properties":{"formattedCitation":"({\\i{}India CO2 Emissions}, 2024)","plainCitation":"(India CO2 Emissions, 2024)","noteIndex":0},"citationItems":[{"id":5316,"uris":["http://zotero.org/users/17155100/items/GRH9VUYX"],"itemData":{"id":5316,"type":"post-weblog","genre":"Worldometer","title":"India CO2 emissions","URL":"https://www.worldometers.info/co2-emissions/india-co2-emissions/","issued":{"date-parts":[["2024"]]}}}],"schema":"https://github.com/citation-style-language/schema/raw/master/csl-citation.json"} </w:instrText>
      </w:r>
      <w:r>
        <w:rPr>
          <w:sz w:val="24"/>
          <w:szCs w:val="24"/>
        </w:rPr>
        <w:fldChar w:fldCharType="separate"/>
      </w:r>
      <w:r>
        <w:rPr>
          <w:sz w:val="24"/>
          <w:szCs w:val="24"/>
        </w:rPr>
        <w:t>(</w:t>
      </w:r>
      <w:r>
        <w:rPr>
          <w:i/>
          <w:iCs/>
          <w:sz w:val="24"/>
          <w:szCs w:val="24"/>
        </w:rPr>
        <w:t>India CO2 Emissions</w:t>
      </w:r>
      <w:r>
        <w:rPr>
          <w:sz w:val="24"/>
          <w:szCs w:val="24"/>
        </w:rPr>
        <w:t>, 2024)</w:t>
      </w:r>
      <w:r>
        <w:rPr>
          <w:sz w:val="24"/>
          <w:szCs w:val="24"/>
        </w:rPr>
        <w:fldChar w:fldCharType="end"/>
      </w:r>
      <w:r>
        <w:rPr>
          <w:sz w:val="24"/>
          <w:szCs w:val="24"/>
        </w:rPr>
        <w:t xml:space="preserve">. Acknowledging this trajectory, India pledged at </w:t>
      </w:r>
      <w:r>
        <w:rPr>
          <w:rStyle w:val="Strong"/>
          <w:b w:val="0"/>
          <w:bCs w:val="0"/>
          <w:sz w:val="24"/>
          <w:szCs w:val="24"/>
        </w:rPr>
        <w:t>COP26</w:t>
      </w:r>
      <w:r>
        <w:rPr>
          <w:sz w:val="24"/>
          <w:szCs w:val="24"/>
        </w:rPr>
        <w:t xml:space="preserve"> to achieve net-zero emissions by 2070 </w:t>
      </w:r>
      <w:r>
        <w:rPr>
          <w:sz w:val="24"/>
          <w:szCs w:val="24"/>
        </w:rPr>
        <w:fldChar w:fldCharType="begin"/>
      </w:r>
      <w:r w:rsidR="005373B8">
        <w:rPr>
          <w:sz w:val="24"/>
          <w:szCs w:val="24"/>
        </w:rPr>
        <w:instrText xml:space="preserve"> ADDIN ZOTERO_ITEM CSL_CITATION {"citationID":"X7pU1hcQ","properties":{"formattedCitation":"(Ministry of Environment, Forest and Climate Change, 2023)","plainCitation":"(Ministry of Environment, Forest and Climate Change, 2023)","noteIndex":0},"citationItems":[{"id":5311,"uris":["http://zotero.org/users/17155100/items/L43NGL28"],"itemData":{"id":5311,"type":"post-weblog","genre":"gov.in","title":"Net zero emissions target","URL":"https://www.pib.gov.in/PressReleaseIframePage.aspx?PRID=1945472","author":[{"literal":"Ministry of Environment, Forest and Climate Change"}],"issued":{"date-parts":[["2023",8,3]]}}}],"schema":"https://github.com/citation-style-language/schema/raw/master/csl-citation.json"} </w:instrText>
      </w:r>
      <w:r>
        <w:rPr>
          <w:sz w:val="24"/>
          <w:szCs w:val="24"/>
        </w:rPr>
        <w:fldChar w:fldCharType="separate"/>
      </w:r>
      <w:r>
        <w:rPr>
          <w:sz w:val="24"/>
          <w:szCs w:val="24"/>
        </w:rPr>
        <w:t>(Ministry of Environment, Forest and Climate Change, 2023)</w:t>
      </w:r>
      <w:r>
        <w:rPr>
          <w:sz w:val="24"/>
          <w:szCs w:val="24"/>
        </w:rPr>
        <w:fldChar w:fldCharType="end"/>
      </w:r>
      <w:r>
        <w:rPr>
          <w:sz w:val="24"/>
          <w:szCs w:val="24"/>
        </w:rPr>
        <w:t>.</w:t>
      </w:r>
    </w:p>
    <w:p w14:paraId="59C428EB" w14:textId="6287A0DD" w:rsidR="0020474B" w:rsidRPr="00BE69E9" w:rsidRDefault="00DC16DC" w:rsidP="00970AD7">
      <w:pPr>
        <w:rPr>
          <w:sz w:val="24"/>
          <w:szCs w:val="24"/>
        </w:rPr>
      </w:pPr>
      <w:r>
        <w:rPr>
          <w:sz w:val="24"/>
          <w:szCs w:val="24"/>
        </w:rPr>
        <w:t xml:space="preserve">The building construction industry is a crucial sector for achieving these climate targets. It is one of the world's largest energy consumers, accounting for 40% of total energy consumption </w:t>
      </w:r>
      <w:r>
        <w:rPr>
          <w:sz w:val="24"/>
          <w:szCs w:val="24"/>
        </w:rPr>
        <w:fldChar w:fldCharType="begin"/>
      </w:r>
      <w:r w:rsidR="00D64814">
        <w:rPr>
          <w:sz w:val="24"/>
          <w:szCs w:val="24"/>
        </w:rPr>
        <w:instrText xml:space="preserve"> ADDIN ZOTERO_ITEM CSL_CITATION {"citationID":"akTRJB0Y","properties":{"formattedCitation":"(Mathumitha et al., 2024)","plainCitation":"(Mathumitha et al., 2024)","noteIndex":0},"citationItems":[{"id":"ra2KK2lN/e10jqtwy","uris":["http://zotero.org/users/local/n4TXlcxq/items/JZEZ2GH9"],"itemData":{"id":2,"type":"article-journal","abstract":"Abstract\n            Urbanization increases electricity demand due to population growth and economic activity. To meet consumer’s demands at all times, it is necessary to predict the future building energy consumption. Power Engineers could exploit the enormous amount of energy-related data from smart meters to plan power sector expansion. Researchers have made many experiments to address the supply and demand imbalance by accurately predicting the energy consumption. This paper presents a comprehensive literature review of forecasting methodologies used by researchers for energy consumption in smart buildings to meet future energy requirements. Different forecasting methods are being explored in both residential and non-residential buildings. The literature is further analyzed based on the dataset, types of load, prediction accuracy, and the evaluation metrics used. This work also focuses on the main challenges in energy forecasting due to load fluctuation, variability in weather, occupant behavior, and grid planning. The identified research gaps and the suitable methodology for prediction addressing the current issues are presented with reference to the available literature. The multivariate analysis in the suggested hybrid model ensures the learning of repeating patterns and features in the data to enhance the prediction accuracy.","container-title":"Artificial Intelligence Review","DOI":"10.1007/s10462-023-10660-8","ISSN":"1573-7462","issue":"2","journalAbbreviation":"Artif Intell Rev","language":"en","page":"35","source":"DOI.org (Crossref)","title":"Intelligent deep learning techniques for energy consumption forecasting in smart buildings: a review","title-short":"Intelligent deep learning techniques for energy consumption forecasting in smart buildings","volume":"57","author":[{"family":"Mathumitha","given":"R."},{"family":"Rathika","given":"P."},{"family":"Manimala","given":"K."}],"issued":{"date-parts":[["2024",2,5]]}}}],"schema":"https://github.com/citation-style-language/schema/raw/master/csl-citation.json"} </w:instrText>
      </w:r>
      <w:r>
        <w:rPr>
          <w:sz w:val="24"/>
          <w:szCs w:val="24"/>
        </w:rPr>
        <w:fldChar w:fldCharType="separate"/>
      </w:r>
      <w:r>
        <w:rPr>
          <w:sz w:val="24"/>
          <w:szCs w:val="24"/>
        </w:rPr>
        <w:t>(Mathumitha et al., 2024)</w:t>
      </w:r>
      <w:r>
        <w:rPr>
          <w:sz w:val="24"/>
          <w:szCs w:val="24"/>
        </w:rPr>
        <w:fldChar w:fldCharType="end"/>
      </w:r>
      <w:r>
        <w:rPr>
          <w:sz w:val="24"/>
          <w:szCs w:val="24"/>
        </w:rPr>
        <w:t xml:space="preserve"> and 37% of energy and process-related CO</w:t>
      </w:r>
      <w:r>
        <w:rPr>
          <w:sz w:val="24"/>
          <w:szCs w:val="24"/>
          <w:vertAlign w:val="subscript"/>
        </w:rPr>
        <w:t>2</w:t>
      </w:r>
      <w:r>
        <w:rPr>
          <w:sz w:val="24"/>
          <w:szCs w:val="24"/>
        </w:rPr>
        <w:t xml:space="preserve"> emissions globally </w:t>
      </w:r>
      <w:r>
        <w:rPr>
          <w:sz w:val="24"/>
          <w:szCs w:val="24"/>
        </w:rPr>
        <w:fldChar w:fldCharType="begin"/>
      </w:r>
      <w:r w:rsidR="00D64814">
        <w:rPr>
          <w:sz w:val="24"/>
          <w:szCs w:val="24"/>
        </w:rPr>
        <w:instrText xml:space="preserve"> ADDIN ZOTERO_ITEM CSL_CITATION {"citationID":"NUyps6DS","properties":{"formattedCitation":"(United Nations Environment Programme (UNEP), 2021)","plainCitation":"(United Nations Environment Programme (UNEP), 2021)","dontUpdate":true,"noteIndex":0},"citationItems":[{"id":"ra2KK2lN/6z91RoKE","uris":["http://zotero.org/users/local/n4TXlcxq/items/SPU3IWVX"],"itemData":{"id":4,"type":"report","event-place":"Nairobi: UNEP","publisher-place":"Nairobi: UNEP","title":"Global Status Report for Buildings and Construction: Towards a Zero-emission, Efficient and Resilient Buildings and Construction Sector","author":[{"literal":"United Nations Environment Programme (UNEP)"}],"issued":{"date-parts":[["2021"]]}}}],"schema":"https://github.com/citation-style-language/schema/raw/master/csl-citation.json"} </w:instrText>
      </w:r>
      <w:r>
        <w:rPr>
          <w:sz w:val="24"/>
          <w:szCs w:val="24"/>
        </w:rPr>
        <w:fldChar w:fldCharType="separate"/>
      </w:r>
      <w:r>
        <w:rPr>
          <w:sz w:val="24"/>
          <w:szCs w:val="24"/>
        </w:rPr>
        <w:t>(United Nations Environment Programme, 2021)</w:t>
      </w:r>
      <w:r>
        <w:rPr>
          <w:sz w:val="24"/>
          <w:szCs w:val="24"/>
        </w:rPr>
        <w:fldChar w:fldCharType="end"/>
      </w:r>
      <w:r>
        <w:rPr>
          <w:sz w:val="24"/>
          <w:szCs w:val="24"/>
        </w:rPr>
        <w:t xml:space="preserve">. Consequently, sustainable construction methods are increasingly prevalent to alleviate the environmental and energy crises. Although sustainable construction involving new materials may incur higher initial costs, they offer longer economic value in the long run. Sustainable buildings can save money by reducing carbon emissions, optimizing input usage, and lowering operation costs. Moreover, good design enhances the comfort and natural living experience of occupants. Materials used in sustainable construction tend to be more environment friendly and harmless, safeguarding occupants from harmful substances </w:t>
      </w:r>
      <w:r>
        <w:rPr>
          <w:sz w:val="24"/>
          <w:szCs w:val="24"/>
        </w:rPr>
        <w:fldChar w:fldCharType="begin"/>
      </w:r>
      <w:r w:rsidR="005373B8">
        <w:rPr>
          <w:sz w:val="24"/>
          <w:szCs w:val="24"/>
        </w:rPr>
        <w:instrText xml:space="preserve"> ADDIN ZOTERO_ITEM CSL_CITATION {"citationID":"JcSGxbad","properties":{"formattedCitation":"(Y. Wang, 2023)","plainCitation":"(Y. Wang, 2023)","noteIndex":0},"citationItems":[{"id":5305,"uris":["http://zotero.org/users/17155100/items/7C2GLS8M"],"itemData":{"id":5305,"type":"article-journal","abstract":"This article focuses on sustainable development in the construction industry and analyses the environmental, economic and social impacts of sustainable construction. The environmental aspects mainly include energy consumption and new energy use, garbage recycling. Sustainable construction also has a mitigating effect on some problems in urban development, such as the heat island effect. In terms of economy, sustainable construction can improve the economic efficiency of the construction industry and drive the comprehensive development of all aspects of the construction industry. On the social side, sustainable architecture reduces the pressure on the city and contributes to the long-term stability of society. Through multi-faceted assessments and analysis from different perspectives, the importance of sustainability for the current and future construction industry is illustrated. Nowadays, high energy consumption and high pollution in the building industry are harmful to humans. In order to change the status quo and meet the requirements of development, it is necessary to integrate the concept of sustainable construction into the design, construction, and energy consumption of construction in the future. The article also makes recommendations on how sustainable buildings can be well-known or recognized in the future and contribute to the sustainability of the future construction industry.","container-title":"Applied and Computational Engineering","DOI":"10.54254/2755-2721/9/20230011","ISSN":"2755-2721, 2755-273X","issue":"1","journalAbbreviation":"ACE","page":"312-318","publisher":"EWA Publishing","source":"Crossref","title":"Exploring the importance of sustainability in the construction  industry","volume":"9","author":[{"family":"Wang","given":"Yuxin"}],"issued":{"date-parts":[["2023",9,25]]}}}],"schema":"https://github.com/citation-style-language/schema/raw/master/csl-citation.json"} </w:instrText>
      </w:r>
      <w:r>
        <w:rPr>
          <w:sz w:val="24"/>
          <w:szCs w:val="24"/>
        </w:rPr>
        <w:fldChar w:fldCharType="separate"/>
      </w:r>
      <w:r>
        <w:rPr>
          <w:sz w:val="24"/>
          <w:szCs w:val="24"/>
        </w:rPr>
        <w:t>(Y. Wang, 2023)</w:t>
      </w:r>
      <w:r>
        <w:rPr>
          <w:sz w:val="24"/>
          <w:szCs w:val="24"/>
        </w:rPr>
        <w:fldChar w:fldCharType="end"/>
      </w:r>
      <w:r>
        <w:rPr>
          <w:sz w:val="24"/>
          <w:szCs w:val="24"/>
        </w:rPr>
        <w:t xml:space="preserve">. A triple-bottom-line approach is important for any design and construction practice where social, environmental, and economic principles are integrated to achieve more sustainable outcomes </w:t>
      </w:r>
      <w:r>
        <w:rPr>
          <w:sz w:val="24"/>
          <w:szCs w:val="24"/>
        </w:rPr>
        <w:fldChar w:fldCharType="begin"/>
      </w:r>
      <w:r w:rsidR="00D64814">
        <w:rPr>
          <w:sz w:val="24"/>
          <w:szCs w:val="24"/>
        </w:rPr>
        <w:instrText xml:space="preserve"> ADDIN ZOTERO_ITEM CSL_CITATION {"citationID":"f1TGhnUp","properties":{"formattedCitation":"(Goh et al., 2020)","plainCitation":"(Goh et al., 2020)","noteIndex":0},"citationItems":[{"id":"ra2KK2lN/HXDfzM90","uris":["http://zotero.org/users/local/n4TXlcxq/items/UNVGIPVT"],"itemData":{"id":5,"type":"article-journal","container-title":"Journal of Cleaner Production","DOI":"10.1016/j.jclepro.2019.119884","ISSN":"09596526","issue":"10","journalAbbreviation":"Journal of Cleaner Production","language":"en","page":"119884","source":"DOI.org (Crossref)","title":"Revisiting triple bottom line within the context of sustainable construction: A systematic review","title-short":"Revisiting triple bottom line within the context of sustainable construction","volume":"252","author":[{"family":"Goh","given":"Cheng Siew"},{"family":"Chong","given":"Heap-Yih"},{"family":"Jack","given":"Lynne"},{"family":"Mohd Faris","given":"Adam Fuad"}],"issued":{"date-parts":[["2020",4]]}}}],"schema":"https://github.com/citation-style-language/schema/raw/master/csl-citation.json"} </w:instrText>
      </w:r>
      <w:r>
        <w:rPr>
          <w:sz w:val="24"/>
          <w:szCs w:val="24"/>
        </w:rPr>
        <w:fldChar w:fldCharType="separate"/>
      </w:r>
      <w:r>
        <w:rPr>
          <w:sz w:val="24"/>
          <w:szCs w:val="24"/>
        </w:rPr>
        <w:t>(Goh et al., 2020)</w:t>
      </w:r>
      <w:r>
        <w:rPr>
          <w:sz w:val="24"/>
          <w:szCs w:val="24"/>
        </w:rPr>
        <w:fldChar w:fldCharType="end"/>
      </w:r>
      <w:r>
        <w:rPr>
          <w:sz w:val="24"/>
          <w:szCs w:val="24"/>
        </w:rPr>
        <w:t xml:space="preserve">. </w:t>
      </w:r>
    </w:p>
    <w:p w14:paraId="5562B109" w14:textId="6260F26F" w:rsidR="0020474B" w:rsidRPr="00BE69E9" w:rsidRDefault="0020474B" w:rsidP="00970AD7">
      <w:pPr>
        <w:rPr>
          <w:sz w:val="24"/>
          <w:szCs w:val="24"/>
        </w:rPr>
      </w:pPr>
      <w:r>
        <w:rPr>
          <w:sz w:val="24"/>
          <w:szCs w:val="24"/>
        </w:rPr>
        <w:t xml:space="preserve">Assessing the sustainability involved in the life cycle of any construction helps in identifying the scope and direction of improvement for sustainable and cost-effective decision-making </w:t>
      </w:r>
      <w:r>
        <w:rPr>
          <w:sz w:val="24"/>
          <w:szCs w:val="24"/>
        </w:rPr>
        <w:fldChar w:fldCharType="begin"/>
      </w:r>
      <w:r w:rsidR="00D64814">
        <w:rPr>
          <w:sz w:val="24"/>
          <w:szCs w:val="24"/>
        </w:rPr>
        <w:instrText xml:space="preserve"> ADDIN ZOTERO_ITEM CSL_CITATION {"citationID":"qukKf4zK","properties":{"formattedCitation":"(Chen et al., 2025; Y. Dong et al., 2023; Fan et al., 2025; Figueiredo et al., 2024; Mili\\uc0\\u263{} &amp; Bleiziffer, 2024; Ullah et al., 2023)","plainCitation":"(Chen et al., 2025; Y. Dong et al., 2023; Fan et al., 2025; Figueiredo et al., 2024; Milić &amp; Bleiziffer, 2024; Ullah et al., 2023)","noteIndex":0},"citationItems":[{"id":"ra2KK2lN/rshxRSiT","uris":["http://zotero.org/users/local/n4TXlcxq/items/LMFXFMM5"],"itemData":{"id":13,"type":"article-journal","container-title":"Environment, Development and Sustainability","DOI":"10.1007/s10668-024-05895-6","ISSN":"1573-2975","journalAbbreviation":"Environ Dev Sustain","language":"en","source":"DOI.org (Crossref)","title":"Life cycle environmental impact assessment of bridges based on comparison of different construction schemes","URL":"https://link.springer.com/10.1007/s10668-024-05895-6","author":[{"family":"Chen","given":"Xinghua"},{"family":"Shi","given":"Pengyu"},{"family":"Wang","given":"Huiyu"}],"accessed":{"date-parts":[["2025",4,3]]},"issued":{"date-parts":[["2025",1,21]]}}},{"id":"ra2KK2lN/2ClDISMW","uris":["http://zotero.org/users/local/n4TXlcxq/items/ZW2R2UE9"],"itemData":{"id":6,"type":"article-journal","abstract":"Life cycle sustainability assessment (LCSA) has been increasingly implemented in a wide spectrum of products. Considering the vital importance of buildings to human lives, it is surprising that there have been few LCSA case studies of buildings from mainland China, which boasts the largest developing economy in the world. This study aims to implement LCSA in a typical residential building project in China. The three areas of protections (AoPs) are integrated into an overarching LCSA framework by applying the analytic hierarchy process (AHP) method. It is found that the building project has less impacts of climate change, acidification and human toxicity, but greater impacts of ozone depletion and freshwater eutrophication, as compared to benchmarks of buildings. The sustainability single score is estimated to be 71.5/100, with 40.86% caused by the environmental impact, 29.68% by the economic impact and 29.46% by the social impact. The sustainability results of the studied case are further compared with an existing study in Hong Kong. The results would contribute to the knowledge and understanding of the sustainability performance of buildings in China. The methodology presented in this study can contribute to further improvements in LCSA evaluation, both regionally and globally.","container-title":"Sustainability","DOI":"10.3390/su15097655","ISSN":"2071-1050","issue":"9","journalAbbreviation":"Sustainability","language":"en","license":"https://creativecommons.org/licenses/by/4.0/","page":"7655","source":"DOI.org (Crossref)","title":"Life Cycle Sustainability Assessment of Building Construction: A Case Study in China","title-short":"Life Cycle Sustainability Assessment of Building Construction","volume":"15","author":[{"family":"Dong","given":"Yahong"},{"family":"Liu","given":"Peng"},{"family":"Hossain","given":"Md. Uzzal"}],"issued":{"date-parts":[["2023",5,6]]}}},{"id":5253,"uris":["http://zotero.org/users/17155100/items/SJU3DUSF"],"itemData":{"id":5253,"type":"article-journal","container-title":"The International Journal of Life Cycle Assessment","DOI":"10.1007/s11367-025-02429-8","ISSN":"0948-3349, 1614-7502","issue":"4","journalAbbreviation":"Int J Life Cycle Assess","language":"en","page":"621-637","source":"DOI.org (Crossref)","title":"Life cycle assessment of carbon emissions and reduction potential exploration of new building complexes in Universities: A case study in China","title-short":"Life cycle assessment of carbon emissions and reduction potential exploration of new building complexes in Universities","volume":"30","author":[{"family":"Fan","given":"Fan"},{"family":"Zhu","given":"Shenglai"},{"family":"Huang","given":"Jieyixiong"},{"family":"Xu","given":"Xiaomeng"},{"family":"Xu","given":"Feng"}],"issued":{"date-parts":[["2025",4]]}}},{"id":"ra2KK2lN/TheU57Np","uris":["http://zotero.org/users/local/n4TXlcxq/items/V36US6GV"],"itemData":{"id":8,"type":"chapter","container-title":"Materials Selection for Sustainability in the Built Environment","ISBN":"978-0-323-95122-7","language":"en","license":"https://www.elsevier.com/tdm/userlicense/1.0/","note":"DOI: 10.1016/B978-0-323-95122-7.00012-5","page":"243-265","publisher":"Elsevier","source":"DOI.org (Crossref)","title":"Life cycle sustainability assessment applied in the built environment","URL":"https://linkinghub.elsevier.com/retrieve/pii/B9780323951227000125","author":[{"family":"Figueiredo","given":"Karoline"},{"family":"Hammad","given":"Ahmed W.A."},{"family":"Haddad","given":"Assed N."}],"accessed":{"date-parts":[["2025",4,3]]},"issued":{"date-parts":[["2024"]]}}},{"id":"ra2KK2lN/nypI6AQu","uris":["http://zotero.org/users/local/n4TXlcxq/items/8F6MQQLS"],"itemData":{"id":9,"type":"article-journal","abstract":"Analysing the entire project life cycle is a new trend in sustainability assessment in the construction sector. Research on sustainability issues in the construction sector started with issues related to buildings, while research for other structures such as infrastructure projects and bridges was not originally an integral part of the research. Therefore, the findings, knowledge and practical applications for buildings are more comprehensive than for infrastructure projects. This paper deals with the assessment of the sustainability of bridges throughout their life cycle and emphasises the importance of life cycle analysis of bridges in the early stages of planning and design. The study provides an overview of existing life cycle sustainability assessment (LCSA) methodologies for environmental (Life Cycle Assessment - LCA), economic (Life Cycle Cost - LCC) and social (Social - Life Cycle Assessment – S-LCA) aspects. This paper provides a critical overview of the current state of the art in the field of LCSA of bridges. To identify knowledge gaps, a review of the literature on LCSA of bridges, which performs a comparative life cycle analysis of different variants or components of the load-bearing structure of bridges is provided. The main objective of the paper is to provide recommendations for conducting LCSA of bridges and to identify research directions for design criteria for sustainable bridges of the future.","container-title":"Frontiers in Built Environment","DOI":"10.3389/fbuil.2024.1410798","ISSN":"2297-3362","journalAbbreviation":"Front. Built Environ.","page":"1410798","source":"DOI.org (Crossref)","title":"Life cycle assessment of the sustainability of bridges: methodology, literature review and knowledge gaps","title-short":"Life cycle assessment of the sustainability of bridges","volume":"10","author":[{"family":"Milić","given":"Ivana"},{"family":"Bleiziffer","given":"Jelena"}],"issued":{"date-parts":[["2024",8,13]]}}},{"id":"ra2KK2lN/Orzppl5H","uris":["http://zotero.org/users/local/n4TXlcxq/items/PBTIJ4E9"],"itemData":{"id":10,"type":"article-journal","abstract":"The healthcare industry significantly impacts the environment due to its high usage of energy and natural resources and the associated waste generation. This study applied a cradle-to-grave Life Cycle Sustainability Assessment (LCSA) approach to assess the environmental and social life cycles of public hospitals. One hundred twenty-four public hospitals were selected for the current study; their sustainability performance was compared with those certified by Leadership in Energy and Environmental Design (LEED). The comparison revealed several factors contributing to the poor sustainability performance of public hospitals. These include inadequate management, substandard planning, political interference, insufficient staffing and funding, high energy consumption, high expenses, inconsistent healthcare policies, and conventional building designs. System thinking was leveraged, and a causal loop diagram (CLD) was developed to visualize the interdependency of the identified indicators of LCSA. Based on the findings of the study, a policy framework is proposed to guide the development of sustainable healthcare buildings. The framework includes using eco-friendly materials and techniques in construction, harnessing solar energy, improving hospital management practices, promoting public awareness about sustainability, conserving energy and water, and adopting sustainable waste management and transportation. Additionally, it emphasizes addressing social issues such as improving indoor air quality, thermal comfort, lighting, acoustics, patient safety, and security and ensuring that healthcare services are accessible and affordable. This study contributes to the literature on sustainable healthcare buildings by providing a practical policy framework for achieving sustainability in the healthcare sector.","container-title":"Buildings","DOI":"10.3390/buildings13092143","ISSN":"2075-5309","issue":"9","journalAbbreviation":"Buildings","language":"en","license":"https://creativecommons.org/licenses/by/4.0/","page":"2143","source":"DOI.org (Crossref)","title":"Life Cycle Sustainability Assessment of Healthcare Buildings: A Policy Framework","title-short":"Life Cycle Sustainability Assessment of Healthcare Buildings","volume":"13","author":[{"family":"Ullah","given":"Zeeshan"},{"family":"Nasir","given":"Abdur Rehman"},{"family":"Alqahtani","given":"Fahad K."},{"family":"Ullah","given":"Fahim"},{"family":"Thaheem","given":"Muhammad Jamaluddin"},{"family":"Maqsoom","given":"Ahsen"}],"issued":{"date-parts":[["2023",8,23]]}}}],"schema":"https://github.com/citation-style-language/schema/raw/master/csl-citation.json"} </w:instrText>
      </w:r>
      <w:r>
        <w:rPr>
          <w:sz w:val="24"/>
          <w:szCs w:val="24"/>
        </w:rPr>
        <w:fldChar w:fldCharType="separate"/>
      </w:r>
      <w:r>
        <w:rPr>
          <w:sz w:val="24"/>
          <w:szCs w:val="24"/>
        </w:rPr>
        <w:t>(Chen et al., 2025; Y. Dong et al., 2023; Fan et al., 2025; Figueiredo et al., 2024; Milić &amp; Bleiziffer, 2024; Ullah et al., 2023)</w:t>
      </w:r>
      <w:r>
        <w:rPr>
          <w:sz w:val="24"/>
          <w:szCs w:val="24"/>
        </w:rPr>
        <w:fldChar w:fldCharType="end"/>
      </w:r>
      <w:r>
        <w:rPr>
          <w:sz w:val="24"/>
          <w:szCs w:val="24"/>
        </w:rPr>
        <w:t xml:space="preserve">. ISO 14040:2006 </w:t>
      </w:r>
      <w:r>
        <w:rPr>
          <w:sz w:val="24"/>
          <w:szCs w:val="24"/>
        </w:rPr>
        <w:lastRenderedPageBreak/>
        <w:t xml:space="preserve">provides a detailed framework for Life Cycle Assessment of any construction </w:t>
      </w:r>
      <w:r>
        <w:rPr>
          <w:sz w:val="24"/>
          <w:szCs w:val="24"/>
        </w:rPr>
        <w:fldChar w:fldCharType="begin"/>
      </w:r>
      <w:r w:rsidR="00D64814">
        <w:rPr>
          <w:sz w:val="24"/>
          <w:szCs w:val="24"/>
        </w:rPr>
        <w:instrText xml:space="preserve"> ADDIN ZOTERO_ITEM CSL_CITATION {"citationID":"7uxTZfyD","properties":{"formattedCitation":"(ISO, 2006)","plainCitation":"(ISO, 2006)","noteIndex":0},"citationItems":[{"id":"ra2KK2lN/SD0gBtUN","uris":["http://zotero.org/users/local/n4TXlcxq/items/UUZMYIUJ"],"itemData":{"id":14,"type":"standard","authority":"International Organization for Standardization","event-place":"Geneva, Switzerland.","publisher-place":"Geneva, Switzerland.","title":"ISO 14040 (2006)","author":[{"literal":"ISO"}],"issued":{"date-parts":[["2006"]]}}}],"schema":"https://github.com/citation-style-language/schema/raw/master/csl-citation.json"} </w:instrText>
      </w:r>
      <w:r>
        <w:rPr>
          <w:sz w:val="24"/>
          <w:szCs w:val="24"/>
        </w:rPr>
        <w:fldChar w:fldCharType="separate"/>
      </w:r>
      <w:r>
        <w:rPr>
          <w:sz w:val="24"/>
          <w:szCs w:val="24"/>
        </w:rPr>
        <w:t>(ISO, 2006)</w:t>
      </w:r>
      <w:r>
        <w:rPr>
          <w:sz w:val="24"/>
          <w:szCs w:val="24"/>
        </w:rPr>
        <w:fldChar w:fldCharType="end"/>
      </w:r>
      <w:r>
        <w:rPr>
          <w:sz w:val="24"/>
          <w:szCs w:val="24"/>
        </w:rPr>
        <w:t xml:space="preserve">. It is an intricate process involving various phases, viz., setting up the goal and scope, the life cycle inventory analysis (LCI) phase, the life cycle impact assessment (LCIA) phase, interpretation, and reporting phase. The sub-processes involved may differ in importance due to the specific characteristics of the built environment project </w:t>
      </w:r>
      <w:r>
        <w:rPr>
          <w:sz w:val="24"/>
          <w:szCs w:val="24"/>
        </w:rPr>
        <w:fldChar w:fldCharType="begin"/>
      </w:r>
      <w:r w:rsidR="005373B8">
        <w:rPr>
          <w:sz w:val="24"/>
          <w:szCs w:val="24"/>
        </w:rPr>
        <w:instrText xml:space="preserve"> ADDIN ZOTERO_ITEM CSL_CITATION {"citationID":"kubb270P","properties":{"formattedCitation":"(Moncaster &amp; Song, 2012)","plainCitation":"(Moncaster &amp; Song, 2012)","noteIndex":0},"citationItems":[{"id":5310,"uris":["http://zotero.org/users/17155100/items/R59YANCQ"],"itemData":{"id":5310,"type":"article-journal","container-title":"International Journal of Sustainable Building Technology and Urban Development","DOI":"10.1080/2093761x.2012.673915","ISSN":"2093-761X, 2093-7628","issue":"1","language":"en","page":"26-36","publisher":"Informa UK Limited","source":"Crossref","title":"A comparative review of existing data and methodologies for calculating embodied energy and carbon of buildings","volume":"3","author":[{"family":"Moncaster","given":"A. M."},{"family":"Song","given":"J-Y."}],"issued":{"date-parts":[["2012",3]]}}}],"schema":"https://github.com/citation-style-language/schema/raw/master/csl-citation.json"} </w:instrText>
      </w:r>
      <w:r>
        <w:rPr>
          <w:sz w:val="24"/>
          <w:szCs w:val="24"/>
        </w:rPr>
        <w:fldChar w:fldCharType="separate"/>
      </w:r>
      <w:r>
        <w:rPr>
          <w:sz w:val="24"/>
          <w:szCs w:val="24"/>
        </w:rPr>
        <w:t>(Moncaster &amp; Song, 2012)</w:t>
      </w:r>
      <w:r>
        <w:rPr>
          <w:sz w:val="24"/>
          <w:szCs w:val="24"/>
        </w:rPr>
        <w:fldChar w:fldCharType="end"/>
      </w:r>
      <w:r>
        <w:rPr>
          <w:sz w:val="24"/>
          <w:szCs w:val="24"/>
        </w:rPr>
        <w:t xml:space="preserve">. </w:t>
      </w:r>
    </w:p>
    <w:p w14:paraId="462E952A" w14:textId="6CE0066C" w:rsidR="00573186" w:rsidRPr="00BE69E9" w:rsidRDefault="00573186" w:rsidP="00970AD7">
      <w:pPr>
        <w:rPr>
          <w:sz w:val="24"/>
          <w:szCs w:val="24"/>
        </w:rPr>
      </w:pPr>
      <w:r>
        <w:rPr>
          <w:sz w:val="24"/>
          <w:szCs w:val="24"/>
        </w:rPr>
        <w:t xml:space="preserve">Studies have also suggested broadening the scope of LCA by considering factors like indoor environmental quality, building location, and social factors </w:t>
      </w:r>
      <w:r>
        <w:rPr>
          <w:sz w:val="24"/>
          <w:szCs w:val="24"/>
        </w:rPr>
        <w:fldChar w:fldCharType="begin"/>
      </w:r>
      <w:r w:rsidR="00D64814">
        <w:rPr>
          <w:sz w:val="24"/>
          <w:szCs w:val="24"/>
        </w:rPr>
        <w:instrText xml:space="preserve"> ADDIN ZOTERO_ITEM CSL_CITATION {"citationID":"tHsDSSTz","properties":{"formattedCitation":"(Chau et al., 2015)","plainCitation":"(Chau et al., 2015)","noteIndex":0},"citationItems":[{"id":"ra2KK2lN/wB6DUNyn","uris":["http://zotero.org/users/local/n4TXlcxq/items/WLESBD4I"],"itemData":{"id":"3S63FKnO/wdRvyWT9","type":"article-journal","abstract":"This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Pr>
          <w:sz w:val="24"/>
          <w:szCs w:val="24"/>
        </w:rPr>
        <w:fldChar w:fldCharType="separate"/>
      </w:r>
      <w:r>
        <w:rPr>
          <w:sz w:val="24"/>
          <w:szCs w:val="24"/>
        </w:rPr>
        <w:t>(Chau et al., 2015)</w:t>
      </w:r>
      <w:r>
        <w:rPr>
          <w:sz w:val="24"/>
          <w:szCs w:val="24"/>
        </w:rPr>
        <w:fldChar w:fldCharType="end"/>
      </w:r>
      <w:r>
        <w:rPr>
          <w:sz w:val="24"/>
          <w:szCs w:val="24"/>
        </w:rPr>
        <w:t xml:space="preserve">. LCA also offers a framework for evaluating buildings' resource use and </w:t>
      </w:r>
      <w:proofErr w:type="spellStart"/>
      <w:r>
        <w:rPr>
          <w:sz w:val="24"/>
          <w:szCs w:val="24"/>
        </w:rPr>
        <w:t>enviromental</w:t>
      </w:r>
      <w:proofErr w:type="spellEnd"/>
      <w:r>
        <w:rPr>
          <w:sz w:val="24"/>
          <w:szCs w:val="24"/>
        </w:rPr>
        <w:t xml:space="preserve"> impacts </w:t>
      </w:r>
      <w:r>
        <w:rPr>
          <w:sz w:val="24"/>
          <w:szCs w:val="24"/>
        </w:rPr>
        <w:fldChar w:fldCharType="begin"/>
      </w:r>
      <w:r w:rsidR="005373B8">
        <w:rPr>
          <w:sz w:val="24"/>
          <w:szCs w:val="24"/>
        </w:rPr>
        <w:instrText xml:space="preserve"> ADDIN ZOTERO_ITEM CSL_CITATION {"citationID":"Q7GIAdlg","properties":{"formattedCitation":"(W. Dong et al., 2024)","plainCitation":"(W. Dong et al., 2024)","noteIndex":0},"citationItems":[{"id":5247,"uris":["http://zotero.org/users/17155100/items/TCC6LBAA"],"itemData":{"id":5247,"type":"article-journal","abstract":"Abstract\n            \n              The substitution of low-carbon and carbon-negative materials is an important pathway and a fundamental means of reducing carbon emissions in the construction sector. This work utilized the pulping wastewater (black liquor (BL)) produced from rice straw alkaline-oxygen cooking to synthesize a green concrete silica-lignin (SL) admixture through acid regulation. This novel admixture was employed to replace conventional high-carbon alkali powder, and its integration with recycled aggregates significantly enhanced the performance of sprayed concrete. The results show that the addition of the silica-lignin admixture increased the slump and compressive strength of sprayed concrete by 46.3% and 28.5%, respectively, while reducing the rebound ratio by 67.3%. Moreover, the use of recycled aggregates effectively reduces the global warming potential (GWP) of sprayed concrete production. When the substitution rate of recycled aggregates reaches 50%, carbon emissions are reduced by 44.7%, to only 183 kgCO\n              2\n              eq/m\n              3\n              . The sprayed concrete with added silica-lignin admixture not only exhibited increased compressive strength but also contributed to a reduction in CO\n              2\n              emissions, decreased the amount of concrete used in building structures, and achieved the goal of carbon reduction. This work provides valuable insights for advancing sustainable practices in the construction industry.\n            \n          , \n            </w:instrText>
      </w:r>
      <w:r w:rsidR="005373B8">
        <w:rPr>
          <w:rFonts w:ascii="MS Gothic" w:eastAsia="MS Gothic" w:hAnsi="MS Gothic" w:cs="MS Gothic" w:hint="eastAsia"/>
          <w:sz w:val="24"/>
          <w:szCs w:val="24"/>
        </w:rPr>
        <w:instrText>摘要</w:instrText>
      </w:r>
      <w:r w:rsidR="005373B8">
        <w:rPr>
          <w:sz w:val="24"/>
          <w:szCs w:val="24"/>
        </w:rPr>
        <w:instrText xml:space="preserve">\n            \n              </w:instrText>
      </w:r>
      <w:r w:rsidR="005373B8">
        <w:rPr>
          <w:rFonts w:ascii="MS Gothic" w:eastAsia="MS Gothic" w:hAnsi="MS Gothic" w:cs="MS Gothic" w:hint="eastAsia"/>
          <w:sz w:val="24"/>
          <w:szCs w:val="24"/>
        </w:rPr>
        <w:instrText>在建筑行</w:instrText>
      </w:r>
      <w:r w:rsidR="005373B8">
        <w:rPr>
          <w:rFonts w:ascii="Microsoft JhengHei" w:eastAsia="Microsoft JhengHei" w:hAnsi="Microsoft JhengHei" w:cs="Microsoft JhengHei" w:hint="eastAsia"/>
          <w:sz w:val="24"/>
          <w:szCs w:val="24"/>
        </w:rPr>
        <w:instrText>业中</w:instrText>
      </w:r>
      <w:r w:rsidR="005373B8">
        <w:rPr>
          <w:sz w:val="24"/>
          <w:szCs w:val="24"/>
        </w:rPr>
        <w:instrText xml:space="preserve">, </w:instrText>
      </w:r>
      <w:r w:rsidR="005373B8">
        <w:rPr>
          <w:rFonts w:ascii="MS Gothic" w:eastAsia="MS Gothic" w:hAnsi="MS Gothic" w:cs="MS Gothic" w:hint="eastAsia"/>
          <w:sz w:val="24"/>
          <w:szCs w:val="24"/>
        </w:rPr>
        <w:instrText>用低碳和</w:instrText>
      </w:r>
      <w:r w:rsidR="005373B8">
        <w:rPr>
          <w:rFonts w:ascii="Microsoft JhengHei" w:eastAsia="Microsoft JhengHei" w:hAnsi="Microsoft JhengHei" w:cs="Microsoft JhengHei" w:hint="eastAsia"/>
          <w:sz w:val="24"/>
          <w:szCs w:val="24"/>
        </w:rPr>
        <w:instrText>负碳材料是减少碳排放的重要途径和根本手段。本研究用水稻秸秆碱氧蒸煮产生的制浆废水</w:instrText>
      </w:r>
      <w:r w:rsidR="005373B8">
        <w:rPr>
          <w:sz w:val="24"/>
          <w:szCs w:val="24"/>
        </w:rPr>
        <w:instrText xml:space="preserve"> (</w:instrText>
      </w:r>
      <w:r w:rsidR="005373B8">
        <w:rPr>
          <w:rFonts w:ascii="MS Gothic" w:eastAsia="MS Gothic" w:hAnsi="MS Gothic" w:cs="MS Gothic" w:hint="eastAsia"/>
          <w:sz w:val="24"/>
          <w:szCs w:val="24"/>
        </w:rPr>
        <w:instrText>黑液</w:instrText>
      </w:r>
      <w:r w:rsidR="005373B8">
        <w:rPr>
          <w:sz w:val="24"/>
          <w:szCs w:val="24"/>
        </w:rPr>
        <w:instrText xml:space="preserve">), </w:instrText>
      </w:r>
      <w:r w:rsidR="005373B8">
        <w:rPr>
          <w:rFonts w:ascii="MS Gothic" w:eastAsia="MS Gothic" w:hAnsi="MS Gothic" w:cs="MS Gothic" w:hint="eastAsia"/>
          <w:sz w:val="24"/>
          <w:szCs w:val="24"/>
        </w:rPr>
        <w:instrText>通</w:instrText>
      </w:r>
      <w:r w:rsidR="005373B8">
        <w:rPr>
          <w:rFonts w:ascii="Microsoft JhengHei" w:eastAsia="Microsoft JhengHei" w:hAnsi="Microsoft JhengHei" w:cs="Microsoft JhengHei" w:hint="eastAsia"/>
          <w:sz w:val="24"/>
          <w:szCs w:val="24"/>
        </w:rPr>
        <w:instrText>过酸调节合成了一种绿色混凝土二氧化硅</w:instrText>
      </w:r>
      <w:r w:rsidR="005373B8">
        <w:rPr>
          <w:sz w:val="24"/>
          <w:szCs w:val="24"/>
        </w:rPr>
        <w:instrText xml:space="preserve">\n              -\n              </w:instrText>
      </w:r>
      <w:r w:rsidR="005373B8">
        <w:rPr>
          <w:rFonts w:ascii="MS Gothic" w:eastAsia="MS Gothic" w:hAnsi="MS Gothic" w:cs="MS Gothic" w:hint="eastAsia"/>
          <w:sz w:val="24"/>
          <w:szCs w:val="24"/>
        </w:rPr>
        <w:instrText>木</w:instrText>
      </w:r>
      <w:r w:rsidR="005373B8">
        <w:rPr>
          <w:rFonts w:ascii="Microsoft JhengHei" w:eastAsia="Microsoft JhengHei" w:hAnsi="Microsoft JhengHei" w:cs="Microsoft JhengHei" w:hint="eastAsia"/>
          <w:sz w:val="24"/>
          <w:szCs w:val="24"/>
        </w:rPr>
        <w:instrText>质素</w:instrText>
      </w:r>
      <w:r w:rsidR="005373B8">
        <w:rPr>
          <w:sz w:val="24"/>
          <w:szCs w:val="24"/>
        </w:rPr>
        <w:instrText>(SL)</w:instrText>
      </w:r>
      <w:r w:rsidR="005373B8">
        <w:rPr>
          <w:rFonts w:ascii="Microsoft JhengHei" w:eastAsia="Microsoft JhengHei" w:hAnsi="Microsoft JhengHei" w:cs="Microsoft JhengHei" w:hint="eastAsia"/>
          <w:sz w:val="24"/>
          <w:szCs w:val="24"/>
        </w:rPr>
        <w:instrText>掺合料。这种新型掺合料被用来替代传统、高碳的含碱外加剂</w:instrText>
      </w:r>
      <w:r w:rsidR="005373B8">
        <w:rPr>
          <w:sz w:val="24"/>
          <w:szCs w:val="24"/>
        </w:rPr>
        <w:instrText xml:space="preserve">, </w:instrText>
      </w:r>
      <w:r w:rsidR="005373B8">
        <w:rPr>
          <w:rFonts w:ascii="MS Gothic" w:eastAsia="MS Gothic" w:hAnsi="MS Gothic" w:cs="MS Gothic" w:hint="eastAsia"/>
          <w:sz w:val="24"/>
          <w:szCs w:val="24"/>
        </w:rPr>
        <w:instrText>其与再生骨料的</w:instrText>
      </w:r>
      <w:r w:rsidR="005373B8">
        <w:rPr>
          <w:rFonts w:ascii="Microsoft JhengHei" w:eastAsia="Microsoft JhengHei" w:hAnsi="Microsoft JhengHei" w:cs="Microsoft JhengHei" w:hint="eastAsia"/>
          <w:sz w:val="24"/>
          <w:szCs w:val="24"/>
        </w:rPr>
        <w:instrText>结合可显著提高了喷射混凝土的性能。结果表明</w:instrText>
      </w:r>
      <w:r w:rsidR="005373B8">
        <w:rPr>
          <w:sz w:val="24"/>
          <w:szCs w:val="24"/>
        </w:rPr>
        <w:instrText xml:space="preserve">, </w:instrText>
      </w:r>
      <w:r w:rsidR="005373B8">
        <w:rPr>
          <w:rFonts w:ascii="MS Gothic" w:eastAsia="MS Gothic" w:hAnsi="MS Gothic" w:cs="MS Gothic" w:hint="eastAsia"/>
          <w:sz w:val="24"/>
          <w:szCs w:val="24"/>
        </w:rPr>
        <w:instrText>添加二氧化硅</w:instrText>
      </w:r>
      <w:r w:rsidR="005373B8">
        <w:rPr>
          <w:sz w:val="24"/>
          <w:szCs w:val="24"/>
        </w:rPr>
        <w:instrText xml:space="preserve">\n              -\n              </w:instrText>
      </w:r>
      <w:r w:rsidR="005373B8">
        <w:rPr>
          <w:rFonts w:ascii="MS Gothic" w:eastAsia="MS Gothic" w:hAnsi="MS Gothic" w:cs="MS Gothic" w:hint="eastAsia"/>
          <w:sz w:val="24"/>
          <w:szCs w:val="24"/>
        </w:rPr>
        <w:instrText>木</w:instrText>
      </w:r>
      <w:r w:rsidR="005373B8">
        <w:rPr>
          <w:rFonts w:ascii="Microsoft JhengHei" w:eastAsia="Microsoft JhengHei" w:hAnsi="Microsoft JhengHei" w:cs="Microsoft JhengHei" w:hint="eastAsia"/>
          <w:sz w:val="24"/>
          <w:szCs w:val="24"/>
        </w:rPr>
        <w:instrText>质素掺合料使喷射混凝土的坍落度和抗压强度分别提高了</w:instrText>
      </w:r>
      <w:r w:rsidR="005373B8">
        <w:rPr>
          <w:sz w:val="24"/>
          <w:szCs w:val="24"/>
        </w:rPr>
        <w:instrText>46.3%</w:instrText>
      </w:r>
      <w:r w:rsidR="005373B8">
        <w:rPr>
          <w:rFonts w:ascii="MS Gothic" w:eastAsia="MS Gothic" w:hAnsi="MS Gothic" w:cs="MS Gothic" w:hint="eastAsia"/>
          <w:sz w:val="24"/>
          <w:szCs w:val="24"/>
        </w:rPr>
        <w:instrText>和</w:instrText>
      </w:r>
      <w:r w:rsidR="005373B8">
        <w:rPr>
          <w:sz w:val="24"/>
          <w:szCs w:val="24"/>
        </w:rPr>
        <w:instrText xml:space="preserve">28.5%, </w:instrText>
      </w:r>
      <w:r w:rsidR="005373B8">
        <w:rPr>
          <w:rFonts w:ascii="MS Gothic" w:eastAsia="MS Gothic" w:hAnsi="MS Gothic" w:cs="MS Gothic" w:hint="eastAsia"/>
          <w:sz w:val="24"/>
          <w:szCs w:val="24"/>
        </w:rPr>
        <w:instrText>同</w:instrText>
      </w:r>
      <w:r w:rsidR="005373B8">
        <w:rPr>
          <w:rFonts w:ascii="Microsoft JhengHei" w:eastAsia="Microsoft JhengHei" w:hAnsi="Microsoft JhengHei" w:cs="Microsoft JhengHei" w:hint="eastAsia"/>
          <w:sz w:val="24"/>
          <w:szCs w:val="24"/>
        </w:rPr>
        <w:instrText>时回弹率降低了</w:instrText>
      </w:r>
      <w:r w:rsidR="005373B8">
        <w:rPr>
          <w:sz w:val="24"/>
          <w:szCs w:val="24"/>
        </w:rPr>
        <w:instrText>67.3%</w:instrText>
      </w:r>
      <w:r w:rsidR="005373B8">
        <w:rPr>
          <w:rFonts w:ascii="MS Gothic" w:eastAsia="MS Gothic" w:hAnsi="MS Gothic" w:cs="MS Gothic" w:hint="eastAsia"/>
          <w:sz w:val="24"/>
          <w:szCs w:val="24"/>
        </w:rPr>
        <w:instrText>。此外</w:instrText>
      </w:r>
      <w:r w:rsidR="005373B8">
        <w:rPr>
          <w:sz w:val="24"/>
          <w:szCs w:val="24"/>
        </w:rPr>
        <w:instrText xml:space="preserve">, </w:instrText>
      </w:r>
      <w:r w:rsidR="005373B8">
        <w:rPr>
          <w:rFonts w:ascii="MS Gothic" w:eastAsia="MS Gothic" w:hAnsi="MS Gothic" w:cs="MS Gothic" w:hint="eastAsia"/>
          <w:sz w:val="24"/>
          <w:szCs w:val="24"/>
        </w:rPr>
        <w:instrText>再生骨料的使用有效降低了</w:instrText>
      </w:r>
      <w:r w:rsidR="005373B8">
        <w:rPr>
          <w:rFonts w:ascii="Microsoft JhengHei" w:eastAsia="Microsoft JhengHei" w:hAnsi="Microsoft JhengHei" w:cs="Microsoft JhengHei" w:hint="eastAsia"/>
          <w:sz w:val="24"/>
          <w:szCs w:val="24"/>
        </w:rPr>
        <w:instrText>喷射混凝土生产的全球变暖潜能值</w:instrText>
      </w:r>
      <w:r w:rsidR="005373B8">
        <w:rPr>
          <w:sz w:val="24"/>
          <w:szCs w:val="24"/>
        </w:rPr>
        <w:instrText>(GWP)</w:instrText>
      </w:r>
      <w:r w:rsidR="005373B8">
        <w:rPr>
          <w:rFonts w:ascii="MS Gothic" w:eastAsia="MS Gothic" w:hAnsi="MS Gothic" w:cs="MS Gothic" w:hint="eastAsia"/>
          <w:sz w:val="24"/>
          <w:szCs w:val="24"/>
        </w:rPr>
        <w:instrText>。当再生骨料的替代率达到</w:instrText>
      </w:r>
      <w:r w:rsidR="005373B8">
        <w:rPr>
          <w:sz w:val="24"/>
          <w:szCs w:val="24"/>
        </w:rPr>
        <w:instrText>50%</w:instrText>
      </w:r>
      <w:r w:rsidR="005373B8">
        <w:rPr>
          <w:rFonts w:ascii="Microsoft JhengHei" w:eastAsia="Microsoft JhengHei" w:hAnsi="Microsoft JhengHei" w:cs="Microsoft JhengHei" w:hint="eastAsia"/>
          <w:sz w:val="24"/>
          <w:szCs w:val="24"/>
        </w:rPr>
        <w:instrText>时</w:instrText>
      </w:r>
      <w:r w:rsidR="005373B8">
        <w:rPr>
          <w:sz w:val="24"/>
          <w:szCs w:val="24"/>
        </w:rPr>
        <w:instrText xml:space="preserve">, </w:instrText>
      </w:r>
      <w:r w:rsidR="005373B8">
        <w:rPr>
          <w:rFonts w:ascii="MS Gothic" w:eastAsia="MS Gothic" w:hAnsi="MS Gothic" w:cs="MS Gothic" w:hint="eastAsia"/>
          <w:sz w:val="24"/>
          <w:szCs w:val="24"/>
        </w:rPr>
        <w:instrText>碳排放量减少了</w:instrText>
      </w:r>
      <w:r w:rsidR="005373B8">
        <w:rPr>
          <w:sz w:val="24"/>
          <w:szCs w:val="24"/>
        </w:rPr>
        <w:instrText xml:space="preserve">44.7%, </w:instrText>
      </w:r>
      <w:r w:rsidR="005373B8">
        <w:rPr>
          <w:rFonts w:ascii="Microsoft JhengHei" w:eastAsia="Microsoft JhengHei" w:hAnsi="Microsoft JhengHei" w:cs="Microsoft JhengHei" w:hint="eastAsia"/>
          <w:sz w:val="24"/>
          <w:szCs w:val="24"/>
        </w:rPr>
        <w:instrText>仅为</w:instrText>
      </w:r>
      <w:r w:rsidR="005373B8">
        <w:rPr>
          <w:sz w:val="24"/>
          <w:szCs w:val="24"/>
        </w:rPr>
        <w:instrText xml:space="preserve">183 kgCO\n              2\n              eq/m\n              3\n              </w:instrText>
      </w:r>
      <w:r w:rsidR="005373B8">
        <w:rPr>
          <w:rFonts w:ascii="MS Gothic" w:eastAsia="MS Gothic" w:hAnsi="MS Gothic" w:cs="MS Gothic" w:hint="eastAsia"/>
          <w:sz w:val="24"/>
          <w:szCs w:val="24"/>
        </w:rPr>
        <w:instrText>。添加二氧化硅</w:instrText>
      </w:r>
      <w:r w:rsidR="005373B8">
        <w:rPr>
          <w:sz w:val="24"/>
          <w:szCs w:val="24"/>
        </w:rPr>
        <w:instrText xml:space="preserve">\n              -\n              </w:instrText>
      </w:r>
      <w:r w:rsidR="005373B8">
        <w:rPr>
          <w:rFonts w:ascii="MS Gothic" w:eastAsia="MS Gothic" w:hAnsi="MS Gothic" w:cs="MS Gothic" w:hint="eastAsia"/>
          <w:sz w:val="24"/>
          <w:szCs w:val="24"/>
        </w:rPr>
        <w:instrText>木</w:instrText>
      </w:r>
      <w:r w:rsidR="005373B8">
        <w:rPr>
          <w:rFonts w:ascii="Microsoft JhengHei" w:eastAsia="Microsoft JhengHei" w:hAnsi="Microsoft JhengHei" w:cs="Microsoft JhengHei" w:hint="eastAsia"/>
          <w:sz w:val="24"/>
          <w:szCs w:val="24"/>
        </w:rPr>
        <w:instrText>质素掺合料的喷射混凝土不仅表现出更高的抗压强度</w:instrText>
      </w:r>
      <w:r w:rsidR="005373B8">
        <w:rPr>
          <w:sz w:val="24"/>
          <w:szCs w:val="24"/>
        </w:rPr>
        <w:instrText xml:space="preserve">, </w:instrText>
      </w:r>
      <w:r w:rsidR="005373B8">
        <w:rPr>
          <w:rFonts w:ascii="MS Gothic" w:eastAsia="MS Gothic" w:hAnsi="MS Gothic" w:cs="MS Gothic" w:hint="eastAsia"/>
          <w:sz w:val="24"/>
          <w:szCs w:val="24"/>
        </w:rPr>
        <w:instrText>而且有助于降低二氧化碳排放量</w:instrText>
      </w:r>
      <w:r w:rsidR="005373B8">
        <w:rPr>
          <w:sz w:val="24"/>
          <w:szCs w:val="24"/>
        </w:rPr>
        <w:instrText xml:space="preserve">, </w:instrText>
      </w:r>
      <w:r w:rsidR="005373B8">
        <w:rPr>
          <w:rFonts w:ascii="MS Gothic" w:eastAsia="MS Gothic" w:hAnsi="MS Gothic" w:cs="MS Gothic" w:hint="eastAsia"/>
          <w:sz w:val="24"/>
          <w:szCs w:val="24"/>
        </w:rPr>
        <w:instrText>减少建筑</w:instrText>
      </w:r>
      <w:r w:rsidR="005373B8">
        <w:rPr>
          <w:rFonts w:ascii="Microsoft JhengHei" w:eastAsia="Microsoft JhengHei" w:hAnsi="Microsoft JhengHei" w:cs="Microsoft JhengHei" w:hint="eastAsia"/>
          <w:sz w:val="24"/>
          <w:szCs w:val="24"/>
        </w:rPr>
        <w:instrText>结构中混凝土的用量</w:instrText>
      </w:r>
      <w:r w:rsidR="005373B8">
        <w:rPr>
          <w:sz w:val="24"/>
          <w:szCs w:val="24"/>
        </w:rPr>
        <w:instrText xml:space="preserve">, </w:instrText>
      </w:r>
      <w:r w:rsidR="005373B8">
        <w:rPr>
          <w:rFonts w:ascii="MS Gothic" w:eastAsia="MS Gothic" w:hAnsi="MS Gothic" w:cs="MS Gothic" w:hint="eastAsia"/>
          <w:sz w:val="24"/>
          <w:szCs w:val="24"/>
        </w:rPr>
        <w:instrText>从而</w:instrText>
      </w:r>
      <w:r w:rsidR="005373B8">
        <w:rPr>
          <w:rFonts w:ascii="Microsoft JhengHei" w:eastAsia="Microsoft JhengHei" w:hAnsi="Microsoft JhengHei" w:cs="Microsoft JhengHei" w:hint="eastAsia"/>
          <w:sz w:val="24"/>
          <w:szCs w:val="24"/>
        </w:rPr>
        <w:instrText>实现碳减排目标。本研究为推动建筑行业的可持续发展实践提供了宝贵的见解。</w:instrText>
      </w:r>
      <w:r w:rsidR="005373B8">
        <w:rPr>
          <w:sz w:val="24"/>
          <w:szCs w:val="24"/>
        </w:rPr>
        <w:instrText xml:space="preserve">","container-title":"Low-carbon Materials and Green Construction","DOI":"10.1007/s44242-024-00055-5","ISSN":"2731-6319","issue":"1","journalAbbreviation":"Low-carbon Mater. Green Constr.","language":"en","page":"28","source":"DOI.org (Crossref)","title":"Enhancing performance and reducing carbon emissions in sprayed concrete using green silica-lignin admixture and recycled aggregates","volume":"2","author":[{"family":"Dong","given":"Weijian"},{"family":"Kong","given":"Fanyu"},{"family":"He","given":"Ting"},{"family":"Liu","given":"Mengke"},{"family":"Wu","given":"Jingang"},{"family":"Zhang","given":"Lilong"}],"issued":{"date-parts":[["2024",12,23]]}}}],"schema":"https://github.com/citation-style-language/schema/raw/master/csl-citation.json"} </w:instrText>
      </w:r>
      <w:r>
        <w:rPr>
          <w:sz w:val="24"/>
          <w:szCs w:val="24"/>
        </w:rPr>
        <w:fldChar w:fldCharType="separate"/>
      </w:r>
      <w:r>
        <w:rPr>
          <w:sz w:val="24"/>
          <w:szCs w:val="24"/>
        </w:rPr>
        <w:t>(W. Dong et al., 2024)</w:t>
      </w:r>
      <w:r>
        <w:rPr>
          <w:sz w:val="24"/>
          <w:szCs w:val="24"/>
        </w:rPr>
        <w:fldChar w:fldCharType="end"/>
      </w:r>
      <w:r>
        <w:rPr>
          <w:sz w:val="24"/>
          <w:szCs w:val="24"/>
        </w:rPr>
        <w:t xml:space="preserve">, and its early application can greatly improve sustainability </w:t>
      </w:r>
      <w:r>
        <w:rPr>
          <w:sz w:val="24"/>
          <w:szCs w:val="24"/>
        </w:rPr>
        <w:fldChar w:fldCharType="begin"/>
      </w:r>
      <w:r w:rsidR="005373B8">
        <w:rPr>
          <w:sz w:val="24"/>
          <w:szCs w:val="24"/>
        </w:rPr>
        <w:instrText xml:space="preserve"> ADDIN ZOTERO_ITEM CSL_CITATION {"citationID":"nrXvrKTH","properties":{"formattedCitation":"(Hansen et al., 2023; Schneider-Marin &amp; Lang, 2020)","plainCitation":"(Hansen et al., 2023; Schneider-Marin &amp; Lang, 2020)","noteIndex":0},"citationItems":[{"id":5250,"uris":["http://zotero.org/users/17155100/items/IXVZ76J3"],"itemData":{"id":5250,"type":"article-journal","container-title":"The International Journal of Life Cycle Assessment","DOI":"10.1007/s11367-022-02126-w","ISSN":"0948-3349, 1614-7502","issue":"2","journalAbbreviation":"Int J Life Cycle Assess","language":"en","page":"131-145","source":"DOI.org (Crossref)","title":"A systematic review of consequential LCA on buildings: the perspectives and challenges of applications and inventory modelling","title-short":"A systematic review of consequential LCA on buildings","volume":"28","author":[{"family":"Hansen","given":"Rasmus Nøddegaard"},{"family":"Rasmussen","given":"Freja Nygaard"},{"family":"Ryberg","given":"Morten"},{"family":"Birgisdóttir","given":"Harpa"}],"issued":{"date-parts":[["2023",2]]}}},{"id":5251,"uris":["http://zotero.org/users/17155100/items/AVCQK65Y"],"itemData":{"id":5251,"type":"article-journal","abstract":"Abstract\n            \n              Purpose\n              Building life cycle assessment (LCA) draws on a number of indicators, including primary energy (PE) demand and global warming potential (GWP). A method of constructing a composite index of weighted individual indicators facilitates their use in comparisons and optimization of buildings, but a standard for weighting has not been established. This study investigates the use of monetary valuation of building LCA results as a way to weigh, aggregate, and compare results.\n            \n            \n              Methods\n              A set of six recent German office buildings served as a case study. For these, standard LCA and life cycle cost (LCC) calculations were conducted. Monetary valuation models from the literature were investigated as a basis for evaluation. From these, maximum and minimum valuation was chosen and applied to the LCA results for the embedded impacts of the case study buildings. The buildings’ environmental costs (EC) were thereafter calculated and contributions of single impacts are analyzed. The EC—based on external costs—are subsequently compared with the life cycle costs (LCC)—based on market prices—of the respective buildings.\n            \n            \n              Results and discussion\n              Of the five standard environmental indicators used in Germany, GWP contributes approximately 80 to 95% of the overall EC. Acidification potential (AP) is the second largest contributor with up to 18%. Eutrophication (EP), photochemical oxidization (POCP), and ozone depletion potential (ODP) contribute less than 2.0%, 1.05%, and 2.4E−6% respectively. An additional assessment of the contribution of resource depletion to EC shows an impact at least as large as the impact of GWP. The relation between the EC and LCC strongly depends on the EC model used: if EC are internalized, they add between 1 and 37% to the life cycle costs of the buildings. Varying construction materials for a case study building shows that materials with low GWP have the potential to lower environmental costs significantly without a trade-off in favor of other indicators.\n            \n            \n              Conclusions\n              Despite their sensitivity to the monetary valuation model used, EC provide an indication that GWP and resource depletion—followed by AP—are the most relevant of the environmental indicators currently considered for the construction industry. Monetary valuation of environmental impacts is a valuable tool for comparisons of different buildings and design options and provides an effective and valuable way of communicating LCA results to stakeholders.","container-title":"The International Journal of Life Cycle Assessment","DOI":"10.1007/s11367-020-01784-y","ISSN":"0948-3349, 1614-7502","issue":"9","journalAbbreviation":"Int J Life Cycle Assess","language":"en","page":"1637-1659","source":"DOI.org (Crossref)","title":"Environmental costs of buildings: monetary valuation of ecological indicators for the building industry","title-short":"Environmental costs of buildings","volume":"25","author":[{"family":"Schneider-Marin","given":"Patricia"},{"family":"Lang","given":"Werner"}],"issued":{"date-parts":[["2020",9]]}}}],"schema":"https://github.com/citation-style-language/schema/raw/master/csl-citation.json"} </w:instrText>
      </w:r>
      <w:r>
        <w:rPr>
          <w:sz w:val="24"/>
          <w:szCs w:val="24"/>
        </w:rPr>
        <w:fldChar w:fldCharType="separate"/>
      </w:r>
      <w:r>
        <w:rPr>
          <w:sz w:val="24"/>
          <w:szCs w:val="24"/>
        </w:rPr>
        <w:t>(Hansen et al., 2023; Schneider-Marin &amp; Lang, 2020)</w:t>
      </w:r>
      <w:r>
        <w:rPr>
          <w:sz w:val="24"/>
          <w:szCs w:val="24"/>
        </w:rPr>
        <w:fldChar w:fldCharType="end"/>
      </w:r>
      <w:r>
        <w:rPr>
          <w:sz w:val="24"/>
          <w:szCs w:val="24"/>
        </w:rPr>
        <w:t>.</w:t>
      </w:r>
    </w:p>
    <w:p w14:paraId="041D3F82" w14:textId="20E472D9" w:rsidR="00573186" w:rsidRPr="00BE69E9" w:rsidRDefault="00573186" w:rsidP="00970AD7">
      <w:pPr>
        <w:rPr>
          <w:sz w:val="24"/>
          <w:szCs w:val="24"/>
        </w:rPr>
      </w:pPr>
      <w:r>
        <w:rPr>
          <w:sz w:val="24"/>
          <w:szCs w:val="24"/>
        </w:rPr>
        <w:t xml:space="preserve">The construction and management of built environment utilize enormous resources and energy, affecting the environment and human health in numerous ways </w:t>
      </w:r>
      <w:r>
        <w:rPr>
          <w:sz w:val="24"/>
          <w:szCs w:val="24"/>
        </w:rPr>
        <w:fldChar w:fldCharType="begin"/>
      </w:r>
      <w:r w:rsidR="00D64814">
        <w:rPr>
          <w:sz w:val="24"/>
          <w:szCs w:val="24"/>
        </w:rPr>
        <w:instrText xml:space="preserve"> ADDIN ZOTERO_ITEM CSL_CITATION {"citationID":"xcANLCDL","properties":{"formattedCitation":"(Ioppolo et al., 2019)","plainCitation":"(Ioppolo et al., 2019)","noteIndex":0},"citationItems":[{"id":"ra2KK2lN/iSVv53GX","uris":["http://zotero.org/users/local/n4TXlcxq/items/AS3BV3XS"],"itemData":{"id":24,"type":"article-journal","abstract":"Purpose The population living in urban areas of the world continues to grow rapidly. It is, thus, a great priority for the planning practice to embed sustainability concept in their urban development endeavors. Currently, development and expansion of urban systems stress the need to control consumption of resources, especially non-renewable ones. There is also a need to reduce related environmental impacts, while stimulating a sustainable pathway for the population and urban growth.\nMethods Strategic environmental assessment (SEA) is useful for policy design to build an integrated method for supporting the development of a sustainable society. It undertakes territorial assessments and describes urban flows and impacts related to them by using a variety of tools, including material flow accounting (MFA). This study employs MFA, as it fits well within the scope of SEA and supports the growing environmental attention in the urban metabolism approach. Although helpful, MFA has not been systematically applied in the urban development context; for this reason, this paper proposes the integration of SEA and MFA.\nResults and discussion Integration of SEA and MFA generates a new framework for sustainable development planning. The framework is structured in phases oriented to the continual improvement based on the Deming cycle (i.e., plan, do, check, act), a key management approach mainly used in businesses for improving the effectiveness of an organization. It can also be implemented at the urban system level. In order to maintain normative compliance, each process (urban planning, strategic environmental assessment with urban metabolism approach, participatory processes) is standardized in line with a common and mandatory approach. While the processes are integrated among them, highlighting the reciprocal contact points, the results are combined in a holistic perspective. The framework, hence, transforms the voluntary MFA tool into a mandatory process.\nConclusions The proposed SEA-MFA framework has the potential to unify and standardize the processes of categorizing and quantifying data in order to improve the understanding of urban metabolic principles and scale effects. It also supports management and policy development and meets the requirements of different stakeholders. The framework, thus, generated a novel approach for sustainable urban development planning by providing solutions for specific policy problems and ensuring urban ecological balance and sustainable urban futures.","container-title":"The International Journal of Life Cycle Assessment","DOI":"10.1007/s11367-018-1494-0","ISSN":"0948-3349, 1614-7502","issue":"7","journalAbbreviation":"Int J Life Cycle Assess","language":"en","license":"http://www.springer.com/tdm","note":"publisher: Springer Science and Business Media LLC","page":"1269-1284","source":"Crossref","title":"Integrating strategic environmental assessment and material flow accounting: a novel approach for moving towards sustainable urban futures","title-short":"Integrating strategic environmental assessment and material flow accounting","volume":"24","author":[{"family":"Ioppolo","given":"Giuseppe"},{"family":"Cucurachi","given":"Stefano"},{"family":"Salomone","given":"Roberta"},{"family":"Shi","given":"Lei"},{"family":"Yigitcanlar","given":"Tan"}],"issued":{"date-parts":[["2019",7]]}}}],"schema":"https://github.com/citation-style-language/schema/raw/master/csl-citation.json"} </w:instrText>
      </w:r>
      <w:r>
        <w:rPr>
          <w:sz w:val="24"/>
          <w:szCs w:val="24"/>
        </w:rPr>
        <w:fldChar w:fldCharType="separate"/>
      </w:r>
      <w:r>
        <w:rPr>
          <w:sz w:val="24"/>
          <w:szCs w:val="24"/>
        </w:rPr>
        <w:t>(Ioppolo et al., 2019)</w:t>
      </w:r>
      <w:r>
        <w:rPr>
          <w:sz w:val="24"/>
          <w:szCs w:val="24"/>
        </w:rPr>
        <w:fldChar w:fldCharType="end"/>
      </w:r>
      <w:r>
        <w:rPr>
          <w:sz w:val="24"/>
          <w:szCs w:val="24"/>
        </w:rPr>
        <w:t xml:space="preserve">. These concerns must be understood from a life cycle perspective </w:t>
      </w:r>
      <w:r>
        <w:rPr>
          <w:sz w:val="24"/>
          <w:szCs w:val="24"/>
        </w:rPr>
        <w:fldChar w:fldCharType="begin"/>
      </w:r>
      <w:r w:rsidR="00D64814">
        <w:rPr>
          <w:sz w:val="24"/>
          <w:szCs w:val="24"/>
        </w:rPr>
        <w:instrText xml:space="preserve"> ADDIN ZOTERO_ITEM CSL_CITATION {"citationID":"kJ5I5aPv","properties":{"formattedCitation":"(Asdrubali et al., 2013; Chau et al., 2015)","plainCitation":"(Asdrubali et al., 2013; Chau et al., 2015)","noteIndex":0},"citationItems":[{"id":"ra2KK2lN/BTp3GFQD","uris":["http://zotero.org/users/local/n4TXlcxq/items/V24Y64I7"],"itemData":{"id":26,"type":"article-journal","abstract":"Life Cycle Assessment (LCA) is a widely known methodology for “cradle to grave” investigation of the environmental impacts of products and technological lifecycles; however, this methodology has not been yet broadly used as an eco-design tool among the practitioners of the building sector. We applied LCA on three conventional Italian buildings – a detached residential house, a multi-family and a multi-story ofﬁce building. Our analysis includes all the life stages, from the production of the construction materials, to their transportation, assembling, lighting, appliances, cooling- and heating-usages during the operating phase, to the end of life of all the materials and components. We found that the operation phase has the greatest contribution to the total impact (from 77% of that of the detached house, up to 85% of the ofﬁce building), whereas the impact of the construction phase ranges from about 14% (ofﬁce building) to 21% (detached house). We carried further analyses to evaluate the inﬂuence of various optimizations of the buildings, e.g., more efﬁcient envelopes and facilities, on the entire life cycle of the three buildings. In addition, we propose a methodological approach, which can contribute to the acceptance of LCA as a tool in the eco-friendly design of buildings, especially those buildings whose impact during the construction phase needs to be carefully checked, such as Nearly Zero Energy Buildings.","container-title":"Energy and Buildings","DOI":"10.1016/j.enbuild.2013.04.018","ISSN":"0378-7788","language":"en","note":"publisher: Elsevier BV","page":"73-89","source":"Crossref","title":"Life cycle analysis in the construction sector: Guiding the optimization of conventional Italian buildings","title-short":"Life cycle analysis in the construction sector","volume":"64","author":[{"family":"Asdrubali","given":"Francesco"},{"family":"Baldassarri","given":"Catia"},{"family":"Fthenakis","given":"Vasilis"}],"issued":{"date-parts":[["2013",9]]}}},{"id":"ra2KK2lN/wB6DUNyn","uris":["http://zotero.org/users/local/n4TXlcxq/items/WLESBD4I"],"itemData":{"id":28,"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Pr>
          <w:sz w:val="24"/>
          <w:szCs w:val="24"/>
        </w:rPr>
        <w:fldChar w:fldCharType="separate"/>
      </w:r>
      <w:r>
        <w:rPr>
          <w:sz w:val="24"/>
          <w:szCs w:val="24"/>
        </w:rPr>
        <w:t>(Asdrubali et al., 2013; Chau et al., 2015)</w:t>
      </w:r>
      <w:r>
        <w:rPr>
          <w:sz w:val="24"/>
          <w:szCs w:val="24"/>
        </w:rPr>
        <w:fldChar w:fldCharType="end"/>
      </w:r>
      <w:r>
        <w:rPr>
          <w:sz w:val="24"/>
          <w:szCs w:val="24"/>
        </w:rPr>
        <w:t xml:space="preserve">. Several approaches have been proposed to appraise the environmental impacts of any product or process. These can be classified into three major streams viz. Life Cycle Assessment (LCA), Life Cycle Energy Assessment (LCEA), and Life Cycle Carbon Emissions Assessment (LCCO2A) </w:t>
      </w:r>
      <w:r>
        <w:rPr>
          <w:sz w:val="24"/>
          <w:szCs w:val="24"/>
        </w:rPr>
        <w:fldChar w:fldCharType="begin"/>
      </w:r>
      <w:r w:rsidR="00D64814">
        <w:rPr>
          <w:sz w:val="24"/>
          <w:szCs w:val="24"/>
        </w:rPr>
        <w:instrText xml:space="preserve"> ADDIN ZOTERO_ITEM CSL_CITATION {"citationID":"i7Q8GMzt","properties":{"formattedCitation":"(Chau et al., 2015)","plainCitation":"(Chau et al., 2015)","noteIndex":0},"citationItems":[{"id":"ra2KK2lN/wB6DUNyn","uris":["http://zotero.org/users/local/n4TXlcxq/items/WLESBD4I"],"itemData":{"id":28,"type":"article-journal","abstract":"This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Pr>
          <w:sz w:val="24"/>
          <w:szCs w:val="24"/>
        </w:rPr>
        <w:fldChar w:fldCharType="separate"/>
      </w:r>
      <w:r>
        <w:rPr>
          <w:sz w:val="24"/>
          <w:szCs w:val="24"/>
        </w:rPr>
        <w:t>(Chau et al., 2015)</w:t>
      </w:r>
      <w:r>
        <w:rPr>
          <w:sz w:val="24"/>
          <w:szCs w:val="24"/>
        </w:rPr>
        <w:fldChar w:fldCharType="end"/>
      </w:r>
      <w:r>
        <w:rPr>
          <w:sz w:val="24"/>
          <w:szCs w:val="24"/>
        </w:rPr>
        <w:t>. LCA evaluates the all-inclusive environmental impacts of products in terms of their energy consumption, material usage, and discharges into the atmosphere (Eq. 1). It encompasses entire cradle-to-grave phase of the product, viz., extraction and processing of raw materials, their transportation, application (re-application), maintenance, and disposal.</w:t>
      </w:r>
    </w:p>
    <w:p w14:paraId="711A0A22" w14:textId="77777777" w:rsidR="00573186" w:rsidRPr="00BE69E9" w:rsidRDefault="00573186" w:rsidP="00970AD7">
      <w:pPr>
        <w:pStyle w:val="Caption"/>
        <w:rPr>
          <w:sz w:val="24"/>
          <w:szCs w:val="24"/>
        </w:rPr>
      </w:pPr>
      <w:r>
        <w:rPr>
          <w:sz w:val="24"/>
          <w:szCs w:val="24"/>
        </w:rPr>
        <w:t xml:space="preserve">I = </w:t>
      </w:r>
      <w:proofErr w:type="spellStart"/>
      <w:r>
        <w:rPr>
          <w:sz w:val="24"/>
          <w:szCs w:val="24"/>
        </w:rPr>
        <w:t>I</w:t>
      </w:r>
      <w:r>
        <w:rPr>
          <w:sz w:val="24"/>
          <w:szCs w:val="24"/>
          <w:vertAlign w:val="subscript"/>
        </w:rPr>
        <w:t>Extraction</w:t>
      </w:r>
      <w:proofErr w:type="spellEnd"/>
      <w:r>
        <w:rPr>
          <w:sz w:val="24"/>
          <w:szCs w:val="24"/>
          <w:vertAlign w:val="subscript"/>
        </w:rPr>
        <w:t xml:space="preserve"> </w:t>
      </w:r>
      <w:r>
        <w:rPr>
          <w:sz w:val="24"/>
          <w:szCs w:val="24"/>
        </w:rPr>
        <w:t xml:space="preserve">+ </w:t>
      </w:r>
      <w:proofErr w:type="spellStart"/>
      <w:r>
        <w:rPr>
          <w:sz w:val="24"/>
          <w:szCs w:val="24"/>
        </w:rPr>
        <w:t>I</w:t>
      </w:r>
      <w:r>
        <w:rPr>
          <w:sz w:val="24"/>
          <w:szCs w:val="24"/>
          <w:vertAlign w:val="subscript"/>
        </w:rPr>
        <w:t>Manufacture</w:t>
      </w:r>
      <w:proofErr w:type="spellEnd"/>
      <w:r>
        <w:rPr>
          <w:sz w:val="24"/>
          <w:szCs w:val="24"/>
        </w:rPr>
        <w:t xml:space="preserve"> + </w:t>
      </w:r>
      <w:proofErr w:type="spellStart"/>
      <w:r>
        <w:rPr>
          <w:sz w:val="24"/>
          <w:szCs w:val="24"/>
        </w:rPr>
        <w:t>I</w:t>
      </w:r>
      <w:r>
        <w:rPr>
          <w:sz w:val="24"/>
          <w:szCs w:val="24"/>
          <w:vertAlign w:val="subscript"/>
        </w:rPr>
        <w:t>Onsite</w:t>
      </w:r>
      <w:proofErr w:type="spellEnd"/>
      <w:r>
        <w:rPr>
          <w:sz w:val="24"/>
          <w:szCs w:val="24"/>
        </w:rPr>
        <w:t xml:space="preserve"> + </w:t>
      </w:r>
      <w:proofErr w:type="spellStart"/>
      <w:r>
        <w:rPr>
          <w:sz w:val="24"/>
          <w:szCs w:val="24"/>
        </w:rPr>
        <w:t>I</w:t>
      </w:r>
      <w:r>
        <w:rPr>
          <w:sz w:val="24"/>
          <w:szCs w:val="24"/>
          <w:vertAlign w:val="subscript"/>
        </w:rPr>
        <w:t>Operation</w:t>
      </w:r>
      <w:proofErr w:type="spellEnd"/>
      <w:r>
        <w:rPr>
          <w:sz w:val="24"/>
          <w:szCs w:val="24"/>
        </w:rPr>
        <w:t xml:space="preserve"> +</w:t>
      </w:r>
      <w:proofErr w:type="spellStart"/>
      <w:r>
        <w:rPr>
          <w:sz w:val="24"/>
          <w:szCs w:val="24"/>
        </w:rPr>
        <w:t>I</w:t>
      </w:r>
      <w:r>
        <w:rPr>
          <w:sz w:val="24"/>
          <w:szCs w:val="24"/>
          <w:vertAlign w:val="subscript"/>
        </w:rPr>
        <w:t>Demolition</w:t>
      </w:r>
      <w:proofErr w:type="spellEnd"/>
      <w:r>
        <w:rPr>
          <w:sz w:val="24"/>
          <w:szCs w:val="24"/>
          <w:vertAlign w:val="subscript"/>
        </w:rPr>
        <w:t xml:space="preserve"> + </w:t>
      </w:r>
      <w:proofErr w:type="spellStart"/>
      <w:r>
        <w:rPr>
          <w:sz w:val="24"/>
          <w:szCs w:val="24"/>
        </w:rPr>
        <w:t>I</w:t>
      </w:r>
      <w:r>
        <w:rPr>
          <w:sz w:val="24"/>
          <w:szCs w:val="24"/>
          <w:vertAlign w:val="subscript"/>
        </w:rPr>
        <w:t>Recycling</w:t>
      </w:r>
      <w:proofErr w:type="spellEnd"/>
      <w:r>
        <w:rPr>
          <w:sz w:val="24"/>
          <w:szCs w:val="24"/>
        </w:rPr>
        <w:t xml:space="preserve"> +</w:t>
      </w:r>
      <w:proofErr w:type="spellStart"/>
      <w:r>
        <w:rPr>
          <w:sz w:val="24"/>
          <w:szCs w:val="24"/>
        </w:rPr>
        <w:t>I</w:t>
      </w:r>
      <w:r>
        <w:rPr>
          <w:sz w:val="24"/>
          <w:szCs w:val="24"/>
          <w:vertAlign w:val="subscript"/>
        </w:rPr>
        <w:t>Disposal</w:t>
      </w:r>
      <w:proofErr w:type="spellEnd"/>
      <w:r>
        <w:rPr>
          <w:sz w:val="24"/>
          <w:szCs w:val="24"/>
        </w:rPr>
        <w:t xml:space="preserve">                                                                   </w:t>
      </w:r>
      <w:proofErr w:type="gramStart"/>
      <w:r>
        <w:rPr>
          <w:sz w:val="24"/>
          <w:szCs w:val="24"/>
        </w:rPr>
        <w:t xml:space="preserve">   (</w:t>
      </w:r>
      <w:proofErr w:type="gramEnd"/>
      <w:r>
        <w:rPr>
          <w:sz w:val="24"/>
          <w:szCs w:val="24"/>
        </w:rPr>
        <w:fldChar w:fldCharType="begin"/>
      </w:r>
      <w:r>
        <w:rPr>
          <w:sz w:val="24"/>
          <w:szCs w:val="24"/>
        </w:rPr>
        <w:instrText xml:space="preserve"> SEQ Equation \* ARABIC </w:instrText>
      </w:r>
      <w:r>
        <w:rPr>
          <w:sz w:val="24"/>
          <w:szCs w:val="24"/>
        </w:rPr>
        <w:fldChar w:fldCharType="separate"/>
      </w:r>
      <w:r>
        <w:rPr>
          <w:noProof/>
          <w:sz w:val="24"/>
          <w:szCs w:val="24"/>
        </w:rPr>
        <w:t>1</w:t>
      </w:r>
      <w:r>
        <w:rPr>
          <w:sz w:val="24"/>
          <w:szCs w:val="24"/>
        </w:rPr>
        <w:fldChar w:fldCharType="end"/>
      </w:r>
      <w:r>
        <w:rPr>
          <w:sz w:val="24"/>
          <w:szCs w:val="24"/>
        </w:rPr>
        <w:t>)</w:t>
      </w:r>
    </w:p>
    <w:p w14:paraId="0F03A521" w14:textId="77777777" w:rsidR="00EF2A91" w:rsidRPr="00BE69E9" w:rsidRDefault="00573186" w:rsidP="00970AD7">
      <w:pPr>
        <w:rPr>
          <w:sz w:val="24"/>
          <w:szCs w:val="24"/>
        </w:rPr>
      </w:pPr>
      <w:proofErr w:type="gramStart"/>
      <w:r>
        <w:rPr>
          <w:sz w:val="24"/>
          <w:szCs w:val="24"/>
        </w:rPr>
        <w:t>Where</w:t>
      </w:r>
      <w:proofErr w:type="gramEnd"/>
      <w:r>
        <w:rPr>
          <w:sz w:val="24"/>
          <w:szCs w:val="24"/>
        </w:rPr>
        <w:t>,</w:t>
      </w:r>
    </w:p>
    <w:p w14:paraId="19E29053" w14:textId="77777777" w:rsidR="00573186" w:rsidRPr="00BE69E9" w:rsidRDefault="00573186" w:rsidP="00970AD7">
      <w:pPr>
        <w:rPr>
          <w:sz w:val="24"/>
          <w:szCs w:val="24"/>
        </w:rPr>
      </w:pPr>
      <w:r>
        <w:rPr>
          <w:sz w:val="24"/>
          <w:szCs w:val="24"/>
        </w:rPr>
        <w:t xml:space="preserve"> I = life cycle environmental impact, and</w:t>
      </w:r>
    </w:p>
    <w:p w14:paraId="23C76F82" w14:textId="77777777" w:rsidR="00573186" w:rsidRPr="00BE69E9" w:rsidRDefault="00573186" w:rsidP="00970AD7">
      <w:pPr>
        <w:rPr>
          <w:sz w:val="24"/>
          <w:szCs w:val="24"/>
        </w:rPr>
      </w:pPr>
      <w:r>
        <w:rPr>
          <w:sz w:val="24"/>
          <w:szCs w:val="24"/>
        </w:rPr>
        <w:t xml:space="preserve"> </w:t>
      </w:r>
      <w:proofErr w:type="spellStart"/>
      <w:r>
        <w:rPr>
          <w:sz w:val="24"/>
          <w:szCs w:val="24"/>
        </w:rPr>
        <w:t>Ij</w:t>
      </w:r>
      <w:proofErr w:type="spellEnd"/>
      <w:r>
        <w:rPr>
          <w:sz w:val="24"/>
          <w:szCs w:val="24"/>
        </w:rPr>
        <w:t xml:space="preserve"> = environmental impacts of </w:t>
      </w:r>
      <w:proofErr w:type="spellStart"/>
      <w:r>
        <w:rPr>
          <w:sz w:val="24"/>
          <w:szCs w:val="24"/>
        </w:rPr>
        <w:t>j</w:t>
      </w:r>
      <w:r>
        <w:rPr>
          <w:sz w:val="24"/>
          <w:szCs w:val="24"/>
          <w:vertAlign w:val="superscript"/>
        </w:rPr>
        <w:t>th</w:t>
      </w:r>
      <w:proofErr w:type="spellEnd"/>
      <w:r>
        <w:rPr>
          <w:sz w:val="24"/>
          <w:szCs w:val="24"/>
          <w:vertAlign w:val="superscript"/>
        </w:rPr>
        <w:t xml:space="preserve"> </w:t>
      </w:r>
      <w:r>
        <w:rPr>
          <w:sz w:val="24"/>
          <w:szCs w:val="24"/>
        </w:rPr>
        <w:t>building phase.</w:t>
      </w:r>
    </w:p>
    <w:p w14:paraId="350DA046" w14:textId="77777777" w:rsidR="00346AB0" w:rsidRPr="00BE69E9" w:rsidRDefault="0020474B" w:rsidP="00970AD7">
      <w:pPr>
        <w:rPr>
          <w:sz w:val="24"/>
          <w:szCs w:val="24"/>
        </w:rPr>
      </w:pPr>
      <w:r>
        <w:rPr>
          <w:sz w:val="24"/>
          <w:szCs w:val="24"/>
        </w:rPr>
        <w:t xml:space="preserve">LCEA assesses the total energy used by a building in its lifespan (Eq. 2). However, it fails to present a genuine picture of the negative impacts as it does not segregate the renewable and non-renewable energies.  </w:t>
      </w:r>
    </w:p>
    <w:p w14:paraId="66CA734C" w14:textId="77777777" w:rsidR="006C1BFD" w:rsidRPr="00BE69E9" w:rsidRDefault="0020474B" w:rsidP="00970AD7">
      <w:pPr>
        <w:rPr>
          <w:sz w:val="24"/>
          <w:szCs w:val="24"/>
        </w:rPr>
      </w:pPr>
      <w:r>
        <w:rPr>
          <w:sz w:val="24"/>
          <w:szCs w:val="24"/>
        </w:rPr>
        <w:t xml:space="preserve">E = </w:t>
      </w:r>
      <w:proofErr w:type="spellStart"/>
      <w:r>
        <w:rPr>
          <w:sz w:val="24"/>
          <w:szCs w:val="24"/>
        </w:rPr>
        <w:t>E</w:t>
      </w:r>
      <w:r>
        <w:rPr>
          <w:sz w:val="24"/>
          <w:szCs w:val="24"/>
          <w:vertAlign w:val="subscript"/>
        </w:rPr>
        <w:t>Extraction</w:t>
      </w:r>
      <w:proofErr w:type="spellEnd"/>
      <w:r>
        <w:rPr>
          <w:sz w:val="24"/>
          <w:szCs w:val="24"/>
          <w:vertAlign w:val="subscript"/>
        </w:rPr>
        <w:t xml:space="preserve"> </w:t>
      </w:r>
      <w:r>
        <w:rPr>
          <w:sz w:val="24"/>
          <w:szCs w:val="24"/>
        </w:rPr>
        <w:t xml:space="preserve">+ </w:t>
      </w:r>
      <w:proofErr w:type="spellStart"/>
      <w:r>
        <w:rPr>
          <w:sz w:val="24"/>
          <w:szCs w:val="24"/>
        </w:rPr>
        <w:t>E</w:t>
      </w:r>
      <w:r>
        <w:rPr>
          <w:sz w:val="24"/>
          <w:szCs w:val="24"/>
          <w:vertAlign w:val="subscript"/>
        </w:rPr>
        <w:t>Manufacture</w:t>
      </w:r>
      <w:proofErr w:type="spellEnd"/>
      <w:r>
        <w:rPr>
          <w:sz w:val="24"/>
          <w:szCs w:val="24"/>
          <w:vertAlign w:val="subscript"/>
        </w:rPr>
        <w:t xml:space="preserve"> </w:t>
      </w:r>
      <w:r>
        <w:rPr>
          <w:sz w:val="24"/>
          <w:szCs w:val="24"/>
        </w:rPr>
        <w:t xml:space="preserve">+ </w:t>
      </w:r>
      <w:proofErr w:type="spellStart"/>
      <w:r>
        <w:rPr>
          <w:sz w:val="24"/>
          <w:szCs w:val="24"/>
        </w:rPr>
        <w:t>E</w:t>
      </w:r>
      <w:r>
        <w:rPr>
          <w:sz w:val="24"/>
          <w:szCs w:val="24"/>
          <w:vertAlign w:val="subscript"/>
        </w:rPr>
        <w:t>Onsite</w:t>
      </w:r>
      <w:proofErr w:type="spellEnd"/>
      <w:r>
        <w:rPr>
          <w:sz w:val="24"/>
          <w:szCs w:val="24"/>
        </w:rPr>
        <w:t xml:space="preserve"> + </w:t>
      </w:r>
      <w:proofErr w:type="spellStart"/>
      <w:r>
        <w:rPr>
          <w:sz w:val="24"/>
          <w:szCs w:val="24"/>
        </w:rPr>
        <w:t>E</w:t>
      </w:r>
      <w:r>
        <w:rPr>
          <w:sz w:val="24"/>
          <w:szCs w:val="24"/>
          <w:vertAlign w:val="subscript"/>
        </w:rPr>
        <w:t>Operation</w:t>
      </w:r>
      <w:proofErr w:type="spellEnd"/>
      <w:r>
        <w:rPr>
          <w:sz w:val="24"/>
          <w:szCs w:val="24"/>
        </w:rPr>
        <w:t xml:space="preserve"> + </w:t>
      </w:r>
      <w:proofErr w:type="spellStart"/>
      <w:r>
        <w:rPr>
          <w:sz w:val="24"/>
          <w:szCs w:val="24"/>
        </w:rPr>
        <w:t>E</w:t>
      </w:r>
      <w:r>
        <w:rPr>
          <w:sz w:val="24"/>
          <w:szCs w:val="24"/>
          <w:vertAlign w:val="subscript"/>
        </w:rPr>
        <w:t>Demolition</w:t>
      </w:r>
      <w:proofErr w:type="spellEnd"/>
      <w:r>
        <w:rPr>
          <w:sz w:val="24"/>
          <w:szCs w:val="24"/>
        </w:rPr>
        <w:t xml:space="preserve"> + </w:t>
      </w:r>
      <w:proofErr w:type="spellStart"/>
      <w:r>
        <w:rPr>
          <w:sz w:val="24"/>
          <w:szCs w:val="24"/>
        </w:rPr>
        <w:t>E</w:t>
      </w:r>
      <w:r>
        <w:rPr>
          <w:sz w:val="24"/>
          <w:szCs w:val="24"/>
          <w:vertAlign w:val="subscript"/>
        </w:rPr>
        <w:t>Recycling</w:t>
      </w:r>
      <w:proofErr w:type="spellEnd"/>
      <w:r>
        <w:rPr>
          <w:sz w:val="24"/>
          <w:szCs w:val="24"/>
          <w:vertAlign w:val="subscript"/>
        </w:rPr>
        <w:t xml:space="preserve"> </w:t>
      </w:r>
      <w:r>
        <w:rPr>
          <w:sz w:val="24"/>
          <w:szCs w:val="24"/>
        </w:rPr>
        <w:t>+</w:t>
      </w:r>
      <w:proofErr w:type="spellStart"/>
      <w:r>
        <w:rPr>
          <w:sz w:val="24"/>
          <w:szCs w:val="24"/>
        </w:rPr>
        <w:t>E</w:t>
      </w:r>
      <w:r>
        <w:rPr>
          <w:sz w:val="24"/>
          <w:szCs w:val="24"/>
          <w:vertAlign w:val="subscript"/>
        </w:rPr>
        <w:t>Disposal</w:t>
      </w:r>
      <w:proofErr w:type="spellEnd"/>
      <w:r>
        <w:rPr>
          <w:sz w:val="24"/>
          <w:szCs w:val="24"/>
          <w:vertAlign w:val="subscript"/>
        </w:rPr>
        <w:t xml:space="preserve">                                                                                          </w:t>
      </w:r>
      <w:proofErr w:type="gramStart"/>
      <w:r>
        <w:rPr>
          <w:sz w:val="24"/>
          <w:szCs w:val="24"/>
          <w:vertAlign w:val="subscript"/>
        </w:rPr>
        <w:t xml:space="preserve">   </w:t>
      </w:r>
      <w:r>
        <w:rPr>
          <w:i/>
          <w:iCs/>
          <w:sz w:val="24"/>
          <w:szCs w:val="24"/>
        </w:rPr>
        <w:t>(</w:t>
      </w:r>
      <w:proofErr w:type="gramEnd"/>
      <w:r>
        <w:rPr>
          <w:i/>
          <w:iCs/>
          <w:sz w:val="24"/>
          <w:szCs w:val="24"/>
        </w:rPr>
        <w:fldChar w:fldCharType="begin"/>
      </w:r>
      <w:r>
        <w:rPr>
          <w:i/>
          <w:iCs/>
          <w:sz w:val="24"/>
          <w:szCs w:val="24"/>
        </w:rPr>
        <w:instrText xml:space="preserve"> SEQ Equation \* ARABIC </w:instrText>
      </w:r>
      <w:r>
        <w:rPr>
          <w:i/>
          <w:iCs/>
          <w:sz w:val="24"/>
          <w:szCs w:val="24"/>
        </w:rPr>
        <w:fldChar w:fldCharType="separate"/>
      </w:r>
      <w:r>
        <w:rPr>
          <w:i/>
          <w:iCs/>
          <w:noProof/>
          <w:sz w:val="24"/>
          <w:szCs w:val="24"/>
        </w:rPr>
        <w:t>2</w:t>
      </w:r>
      <w:r>
        <w:rPr>
          <w:i/>
          <w:iCs/>
          <w:noProof/>
          <w:sz w:val="24"/>
          <w:szCs w:val="24"/>
        </w:rPr>
        <w:fldChar w:fldCharType="end"/>
      </w:r>
      <w:r>
        <w:rPr>
          <w:i/>
          <w:iCs/>
          <w:sz w:val="24"/>
          <w:szCs w:val="24"/>
        </w:rPr>
        <w:t>)</w:t>
      </w:r>
    </w:p>
    <w:p w14:paraId="7FB60A97" w14:textId="77777777" w:rsidR="0020474B" w:rsidRPr="00BE69E9" w:rsidRDefault="0020474B" w:rsidP="00970AD7">
      <w:pPr>
        <w:rPr>
          <w:sz w:val="24"/>
          <w:szCs w:val="24"/>
        </w:rPr>
      </w:pPr>
      <w:r>
        <w:rPr>
          <w:sz w:val="24"/>
          <w:szCs w:val="24"/>
        </w:rPr>
        <w:t>Where, E = total energy consumed during the whole life cycle of a building,</w:t>
      </w:r>
    </w:p>
    <w:p w14:paraId="05C136D9" w14:textId="77777777" w:rsidR="0020474B" w:rsidRPr="00BE69E9" w:rsidRDefault="0020474B" w:rsidP="00970AD7">
      <w:pPr>
        <w:rPr>
          <w:sz w:val="24"/>
          <w:szCs w:val="24"/>
        </w:rPr>
      </w:pPr>
      <w:proofErr w:type="spellStart"/>
      <w:r>
        <w:rPr>
          <w:sz w:val="24"/>
          <w:szCs w:val="24"/>
        </w:rPr>
        <w:t>Ej</w:t>
      </w:r>
      <w:proofErr w:type="spellEnd"/>
      <w:r>
        <w:rPr>
          <w:sz w:val="24"/>
          <w:szCs w:val="24"/>
        </w:rPr>
        <w:t xml:space="preserve"> = energy consumed during the </w:t>
      </w:r>
      <w:proofErr w:type="spellStart"/>
      <w:r>
        <w:rPr>
          <w:sz w:val="24"/>
          <w:szCs w:val="24"/>
        </w:rPr>
        <w:t>j</w:t>
      </w:r>
      <w:r>
        <w:rPr>
          <w:sz w:val="24"/>
          <w:szCs w:val="24"/>
          <w:vertAlign w:val="superscript"/>
        </w:rPr>
        <w:t>th</w:t>
      </w:r>
      <w:proofErr w:type="spellEnd"/>
      <w:r>
        <w:rPr>
          <w:sz w:val="24"/>
          <w:szCs w:val="24"/>
        </w:rPr>
        <w:t xml:space="preserve"> building phase.</w:t>
      </w:r>
    </w:p>
    <w:p w14:paraId="6061DD33" w14:textId="77777777" w:rsidR="0020474B" w:rsidRPr="00BE69E9" w:rsidRDefault="0020474B" w:rsidP="00970AD7">
      <w:pPr>
        <w:rPr>
          <w:sz w:val="24"/>
          <w:szCs w:val="24"/>
        </w:rPr>
      </w:pPr>
      <w:r>
        <w:rPr>
          <w:sz w:val="24"/>
          <w:szCs w:val="24"/>
        </w:rPr>
        <w:t>LCCO2A determines the total CO</w:t>
      </w:r>
      <w:r>
        <w:rPr>
          <w:sz w:val="24"/>
          <w:szCs w:val="24"/>
          <w:vertAlign w:val="subscript"/>
        </w:rPr>
        <w:t xml:space="preserve">2 </w:t>
      </w:r>
      <w:r>
        <w:rPr>
          <w:sz w:val="24"/>
          <w:szCs w:val="24"/>
        </w:rPr>
        <w:t xml:space="preserve">emitted by the building in its lifespan. </w:t>
      </w:r>
    </w:p>
    <w:p w14:paraId="256FDA7A" w14:textId="179DDC94" w:rsidR="0020474B" w:rsidRPr="00BE69E9" w:rsidRDefault="0020474B" w:rsidP="00970AD7">
      <w:pPr>
        <w:rPr>
          <w:sz w:val="24"/>
          <w:szCs w:val="24"/>
        </w:rPr>
      </w:pPr>
      <w:r>
        <w:rPr>
          <w:sz w:val="24"/>
          <w:szCs w:val="24"/>
        </w:rPr>
        <w:t xml:space="preserve">LCA approach is adopted for comprehending the environmental impacts of built environment round the globe, viz. India </w:t>
      </w:r>
      <w:r>
        <w:rPr>
          <w:sz w:val="24"/>
          <w:szCs w:val="24"/>
        </w:rPr>
        <w:fldChar w:fldCharType="begin"/>
      </w:r>
      <w:r w:rsidR="00D64814">
        <w:rPr>
          <w:sz w:val="24"/>
          <w:szCs w:val="24"/>
        </w:rPr>
        <w:instrText xml:space="preserve"> ADDIN ZOTERO_ITEM CSL_CITATION {"citationID":"QWbEgLB4","properties":{"formattedCitation":"(Varun et al., 2012)","plainCitation":"(Varun et al., 2012)","noteIndex":0},"citationItems":[{"id":"ra2KK2lN/yws7g6H4","uris":["http://zotero.org/users/local/n4TXlcxq/items/S22S4AEA"],"itemData":{"id":54,"type":"article-journal","abstract":"This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Pr>
          <w:sz w:val="24"/>
          <w:szCs w:val="24"/>
        </w:rPr>
        <w:fldChar w:fldCharType="separate"/>
      </w:r>
      <w:r>
        <w:rPr>
          <w:sz w:val="24"/>
          <w:szCs w:val="24"/>
        </w:rPr>
        <w:t>(Varun et al., 2012)</w:t>
      </w:r>
      <w:r>
        <w:rPr>
          <w:sz w:val="24"/>
          <w:szCs w:val="24"/>
        </w:rPr>
        <w:fldChar w:fldCharType="end"/>
      </w:r>
      <w:r>
        <w:rPr>
          <w:sz w:val="24"/>
          <w:szCs w:val="24"/>
        </w:rPr>
        <w:t xml:space="preserve">, China </w:t>
      </w:r>
      <w:r>
        <w:rPr>
          <w:sz w:val="24"/>
          <w:szCs w:val="24"/>
        </w:rPr>
        <w:fldChar w:fldCharType="begin"/>
      </w:r>
      <w:r w:rsidR="00D64814">
        <w:rPr>
          <w:sz w:val="24"/>
          <w:szCs w:val="24"/>
        </w:rPr>
        <w:instrText xml:space="preserve"> ADDIN ZOTERO_ITEM CSL_CITATION {"citationID":"1PzLQmn7","properties":{"formattedCitation":"(Hao et al., 2020; J. Wang et al., 2018; Yang et al., 2018)","plainCitation":"(Hao et al., 2020; J. Wang et al., 2018; Yang et al., 2018)","noteIndex":0},"citationItems":[{"id":"ra2KK2lN/D4Y6rThS","uris":["http://zotero.org/users/local/n4TXlcxq/items/X6XEB6EQ"],"itemData":{"id":72,"type":"article-journal","abstract":"Building demolition waste presents a signiﬁcant challenge due to its large scale. Especially, the treatment of waste (i.e. demolition, collection, sorting, transportation, recycling and landﬁll) has environmental implications, e.g. carbon emissions due to energy consumed by equipment and vehicles. Therefore, it is imperative to identify the appropriate waste treatment methods with low carbon emissions. However, previous studies predominately focused on quantifying the carbon emission of buildings. In contrast, the carbon emission derived from the treatment of building demolition waste is largely overlooked. A conceptual framework is developed in this study to facilitate the assessment of carbon emissions over the life cycle of building demolition waste. In this conceptual framework, Building Information Modelling provides an effective approach to harvest data and feed into the Life Cycle Assessment. Case study of a high-rise residential building was conducted to showcase how this framework can be implemented in practice. Results showed that the environmental beneﬁt derived from recycling of building demolition waste varies from one material to another. The recycling of metal waste has far higher environmental beneﬁts compared to masonry wastes. In particular, aluminum could contribute to as high as 45% of carbon emission reduction despite only accounting for 0.66% of the total weight. Across various lifecycle stages, the onsite collection and sorting is the biggest contributor to the total carbon emission. In addition, on-site recycling has better performance compared to factory recycling and landﬁll in terms of carbon emissions. Furthermore, a large scale inventories are developed as an outcome of this case study. These ﬁndings provide useful inputs to the future endeavor of building demolition waste recycling in a bid to reduce the associated carbon emissions.","container-title":"Journal of Cleaner Production","DOI":"10.1016/j.jclepro.2017.11.087","ISSN":"0959-6526","language":"en","license":"https://www.elsevier.com/tdm/userlicense/1.0/","note":"publisher: Elsevier BV","page":"3154-3166","source":"Crossref","title":"Combining life cycle assessment and Building Information Modelling to account for carbon emission of building demolition waste: A case study","title-short":"Combining life cycle assessment and Building Information Modelling to account for carbon emission of building demolition waste","volume":"172","author":[{"family":"Wang","given":"Jiayuan"},{"family":"Wu","given":"Huanyu"},{"family":"Duan","given":"Huabo"},{"family":"Zillante","given":"George"},{"family":"Zuo","given":"Jian"},{"family":"Yuan","given":"Hongping"}],"issued":{"date-parts":[["2018",1]]}}},{"id":"ra2KK2lN/pi26Z1uY","uris":["http://zotero.org/users/local/n4TXlcxq/items/YEJJ5KQU"],"itemData":{"id":103,"type":"article-journal","abstract":"Building Information Modeling (BIM) is regarded as a potential vehicle to tremendously improve the information ﬂow throughout the life cycle of a building. The integration of BIM and Life Cycle Assessment (LCA) has potential to reduce the time for life cycle inventory, and at the same time, substantially improve the representativeness of the LCA results for the speciﬁc building design. The latter merit is not trivial. For instance, due to time limit, most building LCA studies estimate the building materials and fuels consumed in construction phase quite roughly, which excludes the choices on a wide range of construction techniques, materials, specialties and machines, no need to mention the energy consumption in operation phase, which is usually estimated in an even bolder manner. The roughness of the LCA practice undermines its credibility and hinders its application as a decision supporting tool for low carbon design. Currently, China's Architecture, Engineering and Construction (AEC) sector is undergoing a smart transformation, steered by the increased use of BIM. This paper presents a BIM-enabled LCA method and illustrates how the method can be used to facilitate the low carbon design under the circumstance of the smart AEC transition in China. A case study on carbon footprint accounting for a residential building is conducted. In this study, various software tools and data sources are combined to enhance the data ﬂow and interoperability between BIM models and LCA models. BIM tools are used to create the BIM model, calculate the inputs (materials, construction machines, energies, water and so on) of on-site construction process and simulate the energy consumption of building operation. The eBalance, a China's local LCA software tool is applied to build the LCA model. The Chinese Life Cycle Database is used as the main data source (72.73%) to calculate the carbon footprint of the given building while the Ecoinvent database and European Life Cycle Database act as supplementary. The results show that the carbon footprint of the building is 2993 kg CO2eq/m2. The operation phase contributes to 69% of the total greenhouse gas (GHG) emission, while the building material production contributes to 24%. Concrete is the most used building material, which accounts for 82% of mass but contributes to only 44% of the material related GHG emission. Although steel and aluminum account for only 2.6% and 1.4% of mass, they contribute to 28% and 17% GHG emission, respectively. Through BIM-enable LCA modeling, the potential life cycle environmental performance of the buildings can be assessed in detail. This makes the LCA not only more accessible but also more credible for the AEC professionals to use it as a guide for the low carbon design of buildings.","container-title":"Journal of Cleaner Production","DOI":"10.1016/j.jclepro.2018.02.070","ISSN":"0959-6526","language":"en","license":"https://www.elsevier.com/tdm/userlicense/1.0/","note":"publisher: Elsevier BV","page":"729-743","source":"Crossref","title":"Building-information-modeling enabled life cycle assessment, a case study on carbon footprint accounting for a residential building in China","volume":"183","author":[{"family":"Yang","given":"Xining"},{"family":"Hu","given":"Mingming"},{"family":"Wu","given":"Jiangbo"},{"family":"Zhao","given":"Bin"}],"issued":{"date-parts":[["2018",5]]}}},{"id":"ra2KK2lN/d07ffacm","uris":["http://zotero.org/users/local/n4TXlcxq/items/BBREUXC9"],"itemData":{"id":101,"type":"article-journal","container-title":"Science of The Total Environment","DOI":"10.1016/j.scitotenv.2020.137870","ISSN":"0048-9697","language":"en","license":"https://www.elsevier.com/tdm/userlicense/1.0/","note":"publisher: Elsevier BV","page":"137870","source":"Crossref","title":"Carbon emission reduction in prefabrication construction during materialization stage: A BIM-based life-cycle assessment approach","title-short":"Carbon emission reduction in prefabrication construction during materialization stage","volume":"723","author":[{"family":"Hao","given":"Jian Li"},{"family":"Cheng","given":"Baoquan"},{"family":"Lu","given":"Weisheng"},{"family":"Xu","given":"Jun"},{"family":"Wang","given":"Junjie"},{"family":"Bu","given":"Weicheng"},{"family":"Guo","given":"Zhiping"}],"issued":{"date-parts":[["2020",6]]}}}],"schema":"https://github.com/citation-style-language/schema/raw/master/csl-citation.json"} </w:instrText>
      </w:r>
      <w:r>
        <w:rPr>
          <w:sz w:val="24"/>
          <w:szCs w:val="24"/>
        </w:rPr>
        <w:fldChar w:fldCharType="separate"/>
      </w:r>
      <w:r>
        <w:rPr>
          <w:sz w:val="24"/>
          <w:szCs w:val="24"/>
        </w:rPr>
        <w:t>(Hao et al., 2020; J. Wang et al., 2018; Yang et al., 2018)</w:t>
      </w:r>
      <w:r>
        <w:rPr>
          <w:sz w:val="24"/>
          <w:szCs w:val="24"/>
        </w:rPr>
        <w:fldChar w:fldCharType="end"/>
      </w:r>
      <w:r>
        <w:rPr>
          <w:sz w:val="24"/>
          <w:szCs w:val="24"/>
        </w:rPr>
        <w:t xml:space="preserve">, Taiwan </w:t>
      </w:r>
      <w:r>
        <w:rPr>
          <w:sz w:val="24"/>
          <w:szCs w:val="24"/>
        </w:rPr>
        <w:fldChar w:fldCharType="begin"/>
      </w:r>
      <w:r w:rsidR="00D64814">
        <w:rPr>
          <w:sz w:val="24"/>
          <w:szCs w:val="24"/>
        </w:rPr>
        <w:instrText xml:space="preserve"> ADDIN ZOTERO_ITEM CSL_CITATION {"citationID":"yOyeolu1","properties":{"formattedCitation":"(Chou &amp; Yeh, 2015)","plainCitation":"(Chou &amp; Yeh, 2015)","noteIndex":0},"citationItems":[{"id":"ra2KK2lN/7ZAm5M5M","uris":["http://zotero.org/users/local/n4TXlcxq/items/DPQQ9FJK"],"itemData":{"id":100,"type":"article-journal","abstract":"The construction industry causes a number of complex environmental effects, particularly carbon dioxide emissions. In the past decade, decision makers in the construction industry have focused on economic costs rather than environmental habitat concerns. However, in recent years, companies have slowly realized the importance of the environmental effects of building life cycles, in addition to maximizing proﬁt. Therefore, this study developed a carbon dioxide emissions evaluation system and an environmental cost calculation method. The simulations considered the consumption of fossil fuel, electricity, and water. A systematic approach was proposed for optimizing the balance of the carbon dioxide emissions and environmental cost during building life cycle. Particularly, this study demonstrated a simpliﬁed metric for converting carbon dioxide emissions into environmental costs. The proposed method can guide engineers and architects in evaluating the primary environmental risk for a building life cycle and selecting an appropriate construction method.","container-title":"Journal of Cleaner Production","DOI":"10.1016/j.jclepro.2015.04.001","ISSN":"0959-6526","language":"en","license":"https://www.elsevier.com/tdm/userlicense/1.0/","note":"publisher: Elsevier BV","page":"137-147","source":"Crossref","title":"Life cycle carbon dioxide emissions simulation and environmental cost analysis for building construction","volume":"101","author":[{"family":"Chou","given":"Jui-Sheng"},{"family":"Yeh","given":"Kuan-Chih"}],"issued":{"date-parts":[["2015",8]]}}}],"schema":"https://github.com/citation-style-language/schema/raw/master/csl-citation.json"} </w:instrText>
      </w:r>
      <w:r>
        <w:rPr>
          <w:sz w:val="24"/>
          <w:szCs w:val="24"/>
        </w:rPr>
        <w:fldChar w:fldCharType="separate"/>
      </w:r>
      <w:r>
        <w:rPr>
          <w:sz w:val="24"/>
          <w:szCs w:val="24"/>
        </w:rPr>
        <w:t>(Chou &amp; Yeh, 2015)</w:t>
      </w:r>
      <w:r>
        <w:rPr>
          <w:sz w:val="24"/>
          <w:szCs w:val="24"/>
        </w:rPr>
        <w:fldChar w:fldCharType="end"/>
      </w:r>
      <w:r>
        <w:rPr>
          <w:sz w:val="24"/>
          <w:szCs w:val="24"/>
        </w:rPr>
        <w:t xml:space="preserve">, Japan </w:t>
      </w:r>
      <w:r>
        <w:rPr>
          <w:sz w:val="24"/>
          <w:szCs w:val="24"/>
        </w:rPr>
        <w:fldChar w:fldCharType="begin"/>
      </w:r>
      <w:r w:rsidR="005373B8">
        <w:rPr>
          <w:sz w:val="24"/>
          <w:szCs w:val="24"/>
        </w:rPr>
        <w:instrText xml:space="preserve"> ADDIN ZOTERO_ITEM CSL_CITATION {"citationID":"kkQDjyqc","properties":{"formattedCitation":"(Endo &amp; Takamura, 2021)","plainCitation":"(Endo &amp; Takamura, 2021)","noteIndex":0},"citationItems":[{"id":5320,"uris":["http://zotero.org/users/17155100/items/HDYWBG4W"],"itemData":{"id":5320,"type":"article-journal","abstract":"The present paper discusses the applications of life-cycle assessment (LCA) to construction works in Japan. LCA has been frequently used to assess the environmental impacts of new construction. Nonetheless, the applications of LCA to restoration have not been fully confirmed to date. It is said that historical buildings may contribute to sustainable development. Nonetheless, as for heritage buildings, since the protection of cultural value is usually prioritised, their environmental impacts may not be sufficiently explored. To this aim, this paper evaluated the environmental impacts of the restoration of heritage buildings. This paper consisted of two tasks. First, the restoration projects of heritage buildings in Japan were introduced. The restoration of two heritage houses was discussed, referring to heritage protection legislation in Japan. Second, LCA was performed on the restoration of heritage houses and the construction of contemporary houses. Environmental impacts were compared between the restoration and new construction with regard to greenhouse gas emissions and operational energy use. A focus was given to the amount of materials used. Restoration consumes a limited amount of materials compared to new construction, although the energy use of heritage buildings is considerable. The environmental impacts of restoration were quantified so that they were compared with those of new construction. The comparison indicated issues applying LCA to heritage buildings.","container-title":"Sustainability","DOI":"10.3390/su13073608","ISSN":"2071-1050","issue":"7","journalAbbreviation":"Sustainability","language":"en","license":"https://creativecommons.org/licenses/by/4.0/","page":"3608","source":"DOI.org (Crossref)","title":"Evaluation of Life-Cycle Assessment Analysis: Application to Restoration Projects and New Construction in Alpine Climate, Japan","title-short":"Evaluation of Life-Cycle Assessment Analysis","volume":"13","author":[{"family":"Endo","given":"Yohei"},{"family":"Takamura","given":"Hideki"}],"issued":{"date-parts":[["2021",3,24]]}}}],"schema":"https://github.com/citation-style-language/schema/raw/master/csl-citation.json"} </w:instrText>
      </w:r>
      <w:r>
        <w:rPr>
          <w:sz w:val="24"/>
          <w:szCs w:val="24"/>
        </w:rPr>
        <w:fldChar w:fldCharType="separate"/>
      </w:r>
      <w:r>
        <w:rPr>
          <w:sz w:val="24"/>
          <w:szCs w:val="24"/>
        </w:rPr>
        <w:t>(Endo &amp; Takamura, 2021)</w:t>
      </w:r>
      <w:r>
        <w:rPr>
          <w:sz w:val="24"/>
          <w:szCs w:val="24"/>
        </w:rPr>
        <w:fldChar w:fldCharType="end"/>
      </w:r>
      <w:r>
        <w:rPr>
          <w:sz w:val="24"/>
          <w:szCs w:val="24"/>
        </w:rPr>
        <w:t xml:space="preserve">.  Australia </w:t>
      </w:r>
      <w:r>
        <w:rPr>
          <w:sz w:val="24"/>
          <w:szCs w:val="24"/>
        </w:rPr>
        <w:fldChar w:fldCharType="begin"/>
      </w:r>
      <w:r w:rsidR="00D64814">
        <w:rPr>
          <w:sz w:val="24"/>
          <w:szCs w:val="24"/>
        </w:rPr>
        <w:instrText xml:space="preserve"> ADDIN ZOTERO_ITEM CSL_CITATION {"citationID":"8U2YAXpD","properties":{"formattedCitation":"(Shahana Y. Janjua et al., 2019)","plainCitation":"(Shahana Y. Janjua et al., 2019)","noteIndex":0},"citationItems":[{"id":"ra2KK2lN/e3nzbTbw","uris":["http://zotero.org/users/local/n4TXlcxq/items/58CB6QNI"],"itemData":{"id":107,"type":"article-journal","abstract":"Achieving sustainable buildings is a challenging task. Building sustainability involves “green building” design and construction, taking account of both environmental elements and economic benefits, along with social obligations to the society we live in. This article aims to critically review and analyse studies of the building and construction industry that deal with aspects of sustainability, including environmental life cycle assessment, life cycle costing, social life cycle assessment and cleaner production strategies, and to examine the research gaps in order to generate recommendations for further research. About 807 refereed research articles on residential buildings published over the last 10 years (2009–2019), were downloaded, having been searched from online databases (including Scopus, Web of Science, ScienceDirect and Compendex) using keywords. Building materials, embodied energy and operating energy were found to contribute chiefly to the environmental and socio-economic objectives of the construction industry. Many studies covered only the life cycle tools (such as environmental life cycle assessment, life cycle costing, and social lifecycle assessment) used in the sustainability assessment process. The “carbon footprint” concept is the most commonly used indicator in building sustainability assessments, underlining the urgent need to deploy more diverse environmental impact categories in order to avoid trade-offs among environmental, social and economic objectives. The social life cycle assessment tool needs a methodological breakthrough to improve its application in the building industry. In most of the studies, only an approximate evaluation of buildings’ service life is the main consideration in life cycle assessments, while the important factor of the quality of the materials used in buildings is often neglected. However, a methodological approach to estimate the service life of structures that considers the durability of different building components would provide a more realistic life cycle assessment. Hence it would be judicious to address the thematic and methodological gaps identified in this paper, thereby optimising the understanding and communication of life cycle outcomes in building sustainability.","container-title":"Journal of Sustainability Research","DOI":"10.20900/jsr20190006","ISSN":"2632-6582","issue":"1","journalAbbreviation":"J Sustain Res","language":"en","note":"publisher: Hapres","source":"Crossref","title":"A Review of Residential Buildings’ Sustainability Performance Using a Life Cycle Assessment Approach","URL":"https://sustainability.hapres.com/htmls/JSR_1038_Detail.html","volume":"1","author":[{"literal":"Shahana Y. Janjua"},{"literal":"Prabir K. Sarker"},{"literal":"Wahidul K. Biswas"}],"accessed":{"date-parts":[["2025",5,23]]},"issued":{"date-parts":[["2019"]]}}}],"schema":"https://github.com/citation-style-language/schema/raw/master/csl-citation.json"} </w:instrText>
      </w:r>
      <w:r>
        <w:rPr>
          <w:sz w:val="24"/>
          <w:szCs w:val="24"/>
        </w:rPr>
        <w:fldChar w:fldCharType="separate"/>
      </w:r>
      <w:r>
        <w:rPr>
          <w:sz w:val="24"/>
          <w:szCs w:val="24"/>
        </w:rPr>
        <w:t>(Shahana Y. Janjua et al., 2019)</w:t>
      </w:r>
      <w:r>
        <w:rPr>
          <w:sz w:val="24"/>
          <w:szCs w:val="24"/>
        </w:rPr>
        <w:fldChar w:fldCharType="end"/>
      </w:r>
      <w:r>
        <w:rPr>
          <w:sz w:val="24"/>
          <w:szCs w:val="24"/>
        </w:rPr>
        <w:t xml:space="preserve">, United States </w:t>
      </w:r>
      <w:r>
        <w:rPr>
          <w:sz w:val="24"/>
          <w:szCs w:val="24"/>
        </w:rPr>
        <w:fldChar w:fldCharType="begin"/>
      </w:r>
      <w:r w:rsidR="00D64814">
        <w:rPr>
          <w:sz w:val="24"/>
          <w:szCs w:val="24"/>
        </w:rPr>
        <w:instrText xml:space="preserve"> ADDIN ZOTERO_ITEM CSL_CITATION {"citationID":"SxfAxrsh","properties":{"formattedCitation":"(Ben-Alon et al., 2021; Hasik et al., 2019; S. Liang et al., 2020)","plainCitation":"(Ben-Alon et al., 2021; Hasik et al., 2019; S. Liang et al., 2020)","noteIndex":0},"citationItems":[{"id":"ra2KK2lN/fEdKrJsp","uris":["http://zotero.org/users/local/n4TXlcxq/items/K5W9P9H2"],"itemData":{"id":111,"type":"article-journal","abstract":"Renovation of existing buildings has been identified as a major strategy for reducing the environmental impacts associated with building construction. From the perspective of embodied impacts, repurposing existing structures can reduce the amount of new materials that have to be extracted, manufactured, and installed. While the literature on energy efficiency retrofitting is relatively abundant, a smaller number of studies investigate the differences in whole-building embodied impacts of major renovations. This study presents an approach for conducting a whole-building life cycle assessment (LCA) on building renovation projects, suggests an approach for conducting comparative assessments between renovation and new construction, and demonstrates the approach on an adaptive reuse case study. The approach consists of comparing the full life cycle impacts of the existing building to the sum of the life cycle impacts of the components added in the renovation and the maintenance and replacement needs of the existing/reused components. The case study showed 53–75% reductions across 6 different environmental impact categories when the renovation was compared to a new construction scenario. The reuse of the structural and envelope components provided the majority of the reductions, as most of the renovation was of the interior components and finishes. The presented work can be used as a model for consistent LCAs on other renovation projects and to show designers, policy makers, and building owners the environmental benefits of adaptive reuse over new construction as a result of reduced need for new building materials.","container-title":"Building and Environment","DOI":"10.1016/j.buildenv.2019.106218","ISSN":"0360-1323","language":"en","license":"https://www.elsevier.com/tdm/userlicense/1.0/","note":"publisher: Elsevier BV","page":"106218","source":"Crossref","title":"Comparative whole-building life cycle assessment of renovation and new construction","volume":"161","author":[{"family":"Hasik","given":"Vaclav"},{"family":"Escott","given":"Elizabeth"},{"family":"Bates","given":"Roderick"},{"family":"Carlisle","given":"Stephanie"},{"family":"Faircloth","given":"Billie"},{"family":"Bilec","given":"Melissa M."}],"issued":{"date-parts":[["2019",8]]}}},{"id":"ra2KK2lN/QUdm9Rvk","uris":["http://zotero.org/users/local/n4TXlcxq/items/F3C76CQH"],"itemData":{"id":104,"type":"article-journal","abstract":"The US housing construction market consumes vast amounts of resources, with most structural elements derived from wood, a renewable and sustainable resource. The same cannot be said for all nonresidential or high-rise buildings, which are primarily made of concrete and steel. As part of continuous environmental improvement processes, building life-cycle assessment (LCA) is a useful tool to compare the environmental footprint of building structures. This study is a comparative LCA of an 8360-m2, 12-story mixed-use apartment/ofﬁce building designed for Portland, OR, and constructed from mainly mass timber. The designed mass timber building had a relatively lightweight structural frame that used 1782 m3 of cross-laminated timber (CLT) and 557 m3 of gluelaminated timber (glulam) and associated materials, which replaced approximately 58% of concrete and 72% of rebar that would have been used in a conventional building. Compared with a similar concrete building, the mass timber building had 18%, 1%, and 47% reduction in the impact categories of global warming, ozone depletion, and eutrophication, respectively, for the A1-A5 building LCA. The use of CLT and glulam materials substantially decreased the carbon footprint of the building, although it consumed more primary energy compared with a similar concrete building. The impacts for the mass timber building were affected by large amounts of gypsum board, which accounted for 16% of total building mass. Both lowering the amount of gypsum and keeping the mass timber production close to the construction site could lower the overall environmental footprint of the mass timber building.","container-title":"Wood and Fiber Science","DOI":"10.22382/wfs-2020-019","ISSN":"0735-6161, 0735-6161","issue":"2","journalAbbreviation":"WFS","language":"en","note":"publisher: Society of Wood Science and Technology","page":"217-229","source":"Crossref","title":"Comparative life-cycle assessment of a mass timber building and concrete alternative","volume":"52","author":[{"family":"Liang","given":"Shaobo"},{"family":"Gu","given":"Hongmei"},{"family":"Bergman","given":"Richard"},{"family":"Kelley","given":"Stephen S."}],"issued":{"date-parts":[["2020",4,24]]}}},{"id":"ra2KK2lN/swIAgkDy","uris":["http://zotero.org/users/local/n4TXlcxq/items/FBYLNRF7"],"itemData":{"id":93,"type":"article-journal","abstract":"Natural earthen and bio-based building materials are critically needed to dramatically reduce energy-intensive and extractive construction practices that are the hallmark of the modern building industry. Building assemblies such as cob, light straw clay and rammed earth were shown to provide an optimal indoor environment for occupant comfort and health. Despite these advantages, natural materials are still not widespread in mainstream construction for two primary reasons: technical data is inadequate to quantify their energy performance in different climates, and environmental measures are missing to perform decision making throughout the design process. This paper presents an environmental life cycle assessment (LCA) of natural earthen and bio-based materials compared to conventional building materials in 6 climates: hot desert, desert, semi-arid, Mediterranean, temperate, and continental. Results show that, when coupling the embodied and operational environmental impacts, the natural assemblies reduce energy demand by 32–59% in the hot desert climates, 29–55% in semi-arid climates, 46–73% in Mediterranean climates, 34–57% in temperate climates and 27–50% in continental climates as compared to conventional assemblies. The operational impacts are shown to be highly dependent on the thermal properties and climate zone, but in all cases natural assemblies outperform conventional assemblies. In particular, light straw clay and insulated rammed earth are the top performers for all 6 climates. The work presented in this paper contributes critically needed environmental quantifications to catalyze the advancement of healthier and more environmentally sound commitments to ecological construction worldwide.","container-title":"Renewable and Sustainable Energy Reviews","DOI":"10.1016/j.rser.2021.110951","ISSN":"1364-0321","language":"en","license":"https://www.elsevier.com/tdm/userlicense/1.0/","note":"publisher: Elsevier BV","page":"110951","source":"Crossref","title":"Life cycle assessment (LCA) of natural vs conventional building assemblies","volume":"144","author":[{"family":"Ben-Alon","given":"L."},{"family":"Loftness","given":"V."},{"family":"Harries","given":"K.A."},{"family":"Cochran Hameen","given":"E."}],"issued":{"date-parts":[["2021",7]]}}}],"schema":"https://github.com/citation-style-language/schema/raw/master/csl-citation.json"} </w:instrText>
      </w:r>
      <w:r>
        <w:rPr>
          <w:sz w:val="24"/>
          <w:szCs w:val="24"/>
        </w:rPr>
        <w:fldChar w:fldCharType="separate"/>
      </w:r>
      <w:r w:rsidR="005478E4" w:rsidRPr="005478E4">
        <w:rPr>
          <w:sz w:val="24"/>
        </w:rPr>
        <w:t>(Ben-Alon et al., 2021; Hasik et al., 2019; S. Liang et al., 2020)</w:t>
      </w:r>
      <w:r>
        <w:rPr>
          <w:sz w:val="24"/>
          <w:szCs w:val="24"/>
        </w:rPr>
        <w:fldChar w:fldCharType="end"/>
      </w:r>
      <w:r>
        <w:rPr>
          <w:sz w:val="24"/>
          <w:szCs w:val="24"/>
        </w:rPr>
        <w:t xml:space="preserve">, Canada </w:t>
      </w:r>
      <w:r>
        <w:rPr>
          <w:sz w:val="24"/>
          <w:szCs w:val="24"/>
        </w:rPr>
        <w:fldChar w:fldCharType="begin"/>
      </w:r>
      <w:r w:rsidR="00D64814">
        <w:rPr>
          <w:sz w:val="24"/>
          <w:szCs w:val="24"/>
        </w:rPr>
        <w:instrText xml:space="preserve"> ADDIN ZOTERO_ITEM CSL_CITATION {"citationID":"Wy8LOChc","properties":{"formattedCitation":"(Rezaei et al., 2019)","plainCitation":"(Rezaei et al., 2019)","noteIndex":0},"citationItems":[{"id":"ra2KK2lN/SO5p5d13","uris":["http://zotero.org/users/local/n4TXlcxq/items/XRFFLBSR"],"itemData":{"id":97,"type":"article-journal","abstract":"In the early building design stage, there are numerous uncertainties due to the lack of information on materials and processes. Designers therefore cannot quantify the environmental impacts of buildings in order to evaluate the environmental performance of their designs early on. In this paper, life cycle assessment (LCA) and building information modeling (BIM) are carried out in the early and detailed building design stages. The method is applied to a residential building in Québec, Canada. The BIM is conducted with Revit, and the LCA with openLCA. To prepare the Revit outputs as the appropriate inputs of the LCA model, a functional database was developed. It includes all building assemblies, layers and possible materials commonly found in residential buildings in Québec. The ecoinvent database was used to source of life cycle inventory (LCI) data for each material. To manage information uncertainty in the early design stage, a probability function was assigned to each material. At the detailed design stage, all material types and quantities were specified in BIM file, which was used in the LCA study. The environmental impacts of the building stages and assemblies were calculated to determine the best building assembly options from an environmental perspective—a process that could guide building designers in the environmental assessments of their designs, making it possible to select more sustainable materials for each assembly and thus reduce the environmental impacts of the building.","container-title":"Building and Environment","DOI":"10.1016/j.buildenv.2019.01.034","ISSN":"0360-1323","language":"en","license":"https://www.elsevier.com/tdm/userlicense/1.0/","note":"publisher: Elsevier BV","page":"158-167","source":"Crossref","title":"Integrating building information modeling and life cycle assessment in the early and detailed building design stages","volume":"153","author":[{"family":"Rezaei","given":"Farzaneh"},{"family":"Bulle","given":"Cécile"},{"family":"Lesage","given":"Pascal"}],"issued":{"date-parts":[["2019",4]]}}}],"schema":"https://github.com/citation-style-language/schema/raw/master/csl-citation.json"} </w:instrText>
      </w:r>
      <w:r>
        <w:rPr>
          <w:sz w:val="24"/>
          <w:szCs w:val="24"/>
        </w:rPr>
        <w:fldChar w:fldCharType="separate"/>
      </w:r>
      <w:r>
        <w:rPr>
          <w:sz w:val="24"/>
          <w:szCs w:val="24"/>
        </w:rPr>
        <w:t>(Rezaei et al., 2019)</w:t>
      </w:r>
      <w:r>
        <w:rPr>
          <w:sz w:val="24"/>
          <w:szCs w:val="24"/>
        </w:rPr>
        <w:fldChar w:fldCharType="end"/>
      </w:r>
      <w:r>
        <w:rPr>
          <w:sz w:val="24"/>
          <w:szCs w:val="24"/>
        </w:rPr>
        <w:t xml:space="preserve"> Netherlands </w:t>
      </w:r>
      <w:r>
        <w:rPr>
          <w:sz w:val="24"/>
          <w:szCs w:val="24"/>
        </w:rPr>
        <w:fldChar w:fldCharType="begin"/>
      </w:r>
      <w:r w:rsidR="00D64814">
        <w:rPr>
          <w:sz w:val="24"/>
          <w:szCs w:val="24"/>
        </w:rPr>
        <w:instrText xml:space="preserve"> ADDIN ZOTERO_ITEM CSL_CITATION {"citationID":"R22agLIK","properties":{"formattedCitation":"(Santos et al., 2020)","plainCitation":"(Santos et al., 2020)","noteIndex":0},"citationItems":[{"id":"ra2KK2lN/8d3Jx2ke","uris":["http://zotero.org/users/local/n4TXlcxq/items/Y7B3HLPA"],"itemData":{"id":113,"type":"article-journal","abstract":"The main aim of this research is to enhance the integration of life cycle assessment (LCA) and life cycle costing (LCC) methodologies with building information modelling (BIM), as existing approaches still have limitations (e. g. interoperability issues, non-editable databases). For that purpose, an automatic LCA/LCC analysis within a BIM-based environment is proposed. A BIM-based environmental and economic life cycle assessment (BIMEELCA) prototype tool was developed by the authors to improve the integration of BIM with LCA and LCC. Moreover, a pilot case study located in the Netherlands was used to validate the work developed in this research, thus demonstrating the usefulness of this approach for the construction industry. This study unveiled the potential of BIM-based simulations for the assessment of the environmental and economic impacts of buildings by integrating semantic information in the model. The work presented in this research is expected to contribute to the development of automatic sustainability simulations, creation of tailor-made BIM objects’ libraries, and use of historical data contained within data-rich models for predictive analyses (i.e. analyses that identify the most suitable solutions based on the data from previous projects).","container-title":"Building and Environment","DOI":"10.1016/j.buildenv.2019.106568","ISSN":"0360-1323","language":"en","license":"https://www.elsevier.com/tdm/userlicense/1.0/","note":"publisher: Elsevier BV","page":"106568","source":"Crossref","title":"BIM-based life cycle assessment and life cycle costing of an office building in Western Europe","volume":"169","author":[{"family":"Santos","given":"Rúben"},{"family":"Costa","given":"António Aguiar"},{"family":"Silvestre","given":"José D."},{"family":"Vandenbergh","given":"Thomas"},{"family":"Pyl","given":"Lincy"}],"issued":{"date-parts":[["2020",2]]}}}],"schema":"https://github.com/citation-style-language/schema/raw/master/csl-citation.json"} </w:instrText>
      </w:r>
      <w:r>
        <w:rPr>
          <w:sz w:val="24"/>
          <w:szCs w:val="24"/>
        </w:rPr>
        <w:fldChar w:fldCharType="separate"/>
      </w:r>
      <w:r>
        <w:rPr>
          <w:sz w:val="24"/>
          <w:szCs w:val="24"/>
        </w:rPr>
        <w:t>(Santos et al., 2020)</w:t>
      </w:r>
      <w:r>
        <w:rPr>
          <w:sz w:val="24"/>
          <w:szCs w:val="24"/>
        </w:rPr>
        <w:fldChar w:fldCharType="end"/>
      </w:r>
      <w:r>
        <w:rPr>
          <w:sz w:val="24"/>
          <w:szCs w:val="24"/>
        </w:rPr>
        <w:t xml:space="preserve">, Norway </w:t>
      </w:r>
      <w:r>
        <w:rPr>
          <w:sz w:val="24"/>
          <w:szCs w:val="24"/>
        </w:rPr>
        <w:fldChar w:fldCharType="begin"/>
      </w:r>
      <w:r w:rsidR="00D64814">
        <w:rPr>
          <w:sz w:val="24"/>
          <w:szCs w:val="24"/>
        </w:rPr>
        <w:instrText xml:space="preserve"> ADDIN ZOTERO_ITEM CSL_CITATION {"citationID":"wxKCaqtn","properties":{"formattedCitation":"(Rabani et al., 2021)","plainCitation":"(Rabani et al., 2021)","noteIndex":0},"citationItems":[{"id":"ra2KK2lN/VHTCCvCK","uris":["http://zotero.org/users/local/n4TXlcxq/items/CAXZMSNZ"],"itemData":{"id":61,"type":"article-journal","abstract":"Through a systematic study, this paper conducted a life cycle assessment (LCA) consisting of evaluation of both embodied and operational emissions of different building retrofitting scenarios for a typical office building, located in Norway. LCA analysis was performed via the OneClick LCA tool. The emissions associated with the operational energy use were evaluated for both the reference and optimized building energy models developed in the IDA-ICE models from our previous studies. These models included two different HVAC systems: an all-air (AA) system equipped with a demand control ventilation (DCV) and a hydronic system with the radiator space heating (RSH) and a constant air volume (CAV) ventilation system. The findings showed that, through retrofitting measures, the net total emissions could be reduced up to 52%, from 1336–637 kg carbon dioxide equivalent (CO2-eq)/m2, which was achieved for the life cycle cost (LCC) optimal scenario equipped with the AA system. The share of operational energy use (B6) in the total CO2-eq emissions was around 77% for the reference case, whereas it was around 43–46% for the retrofitting scenarios. The most embodied CO2-eq emitted stages of the LCA through retrofitting concerned the product stage (19–23%), transport to construction site (24–31%), and the end-of-life service (around 25%). The findings confirmed that it was more environmentally friendly to further re-insulate the other parts of the building envelope instead of ground floor, as the latter retrofitting scenario was accompanied with a large increase of embodied emissions.","container-title":"Building and Environment","DOI":"10.1016/j.buildenv.2021.108159","ISSN":"0360-1323","language":"en","license":"https://www.elsevier.com/tdm/userlicense/1.0/","note":"publisher: Elsevier BV","page":"108159","source":"Crossref","title":"Life cycle analysis of GHG emissions from the building retrofitting: The case of a Norwegian office building","title-short":"Life cycle analysis of GHG emissions from the building retrofitting","volume":"204","author":[{"family":"Rabani","given":"Mehrdad"},{"family":"Madessa","given":"Habtamu Bayera"},{"family":"Ljungström","given":"Malin"},{"family":"Aamodt","given":"Lene"},{"family":"Løvvold","given":"Sandra"},{"family":"Nord","given":"Natasa"}],"issued":{"date-parts":[["2021",10]]}}}],"schema":"https://github.com/citation-style-language/schema/raw/master/csl-citation.json"} </w:instrText>
      </w:r>
      <w:r>
        <w:rPr>
          <w:sz w:val="24"/>
          <w:szCs w:val="24"/>
        </w:rPr>
        <w:fldChar w:fldCharType="separate"/>
      </w:r>
      <w:r>
        <w:rPr>
          <w:sz w:val="24"/>
          <w:szCs w:val="24"/>
        </w:rPr>
        <w:t>(Rabani et al., 2021)</w:t>
      </w:r>
      <w:r>
        <w:rPr>
          <w:sz w:val="24"/>
          <w:szCs w:val="24"/>
        </w:rPr>
        <w:fldChar w:fldCharType="end"/>
      </w:r>
      <w:r>
        <w:rPr>
          <w:sz w:val="24"/>
          <w:szCs w:val="24"/>
        </w:rPr>
        <w:t xml:space="preserve"> Sweden </w:t>
      </w:r>
      <w:r>
        <w:rPr>
          <w:sz w:val="24"/>
          <w:szCs w:val="24"/>
        </w:rPr>
        <w:fldChar w:fldCharType="begin"/>
      </w:r>
      <w:r w:rsidR="00D64814">
        <w:rPr>
          <w:sz w:val="24"/>
          <w:szCs w:val="24"/>
        </w:rPr>
        <w:instrText xml:space="preserve"> ADDIN ZOTERO_ITEM CSL_CITATION {"citationID":"1auzDw0T","properties":{"formattedCitation":"(\\uc0\\u214{}sterbring et al., 2019; Petrovic et al., 2019)","plainCitation":"(Österbring et al., 2019; Petrovic et al., 2019)","noteIndex":0},"citationItems":[{"id":"ra2KK2lN/bwQIw1bA","uris":["http://zotero.org/users/local/n4TXlcxq/items/7WVX8QGJ"],"itemData":{"id":73,"type":"article-journal","abstract":"District heating networks are commonly addressed in the literature as one of the most effective solutions for decreasing the greenhouse gas emissions from the building sector. These systems require high investments which are returned through the heat sales. Due to the changed climate conditions and building renovation policies, heat demand in the future could decrease, prolonging the investment return period.","container-title":"Energy Procedia","DOI":"10.1016/j.egypro.2019.01.913","ISSN":"1876-6102","language":"en","license":"https://www.elsevier.com/tdm/userlicense/1.0/","note":"publisher: Elsevier BV","page":"3547-3552","source":"Crossref","title":"Life Cycle Assessment of Building Materials for a Single-family House in Sweden","volume":"158","author":[{"family":"Petrovic","given":"Bojana"},{"family":"Myhren","given":"Jonn Are"},{"family":"Zhang","given":"Xingxing"},{"family":"Wallhagen","given":"Marita"},{"family":"Eriksson","given":"Ola"}],"issued":{"date-parts":[["2019",2]]}}},{"id":"ra2KK2lN/QHrKBDuV","uris":["http://zotero.org/users/local/n4TXlcxq/items/JPYNB9RZ"],"itemData":{"id":102,"type":"article-journal","abstract":"Urban building-stocks are responsible for a signiﬁcant share of resource and energy use. To quantify the potential for reducing energy and environmental impact, building-stock modelling (BSM) is commonly used. Recently, the focus of BSM has expanded to include environmental impacts and life-cycle assessment (LCA). However, impact categories are often limited to climate change and representative buildings are often used. In addition, the future state of the stock is often calculated as a step-change to highlight the technical potential of an ideal future state. The aim of this paper is to assess the environmental impact of the future development of an urban housing-stock under business-as-usual scenarios using a building-speciﬁc GIS based model applied to the multi-family building stock of the City of Gothenburg. This paper uses an explorative LCA to account for environmental impacts based on dynamic uptake of common renovation measures and resulting energy savings until 2050. Two main scenarios are used where the renovation logic is based on either end-of-life of components or cost-eﬀectiveness and further divided using limiting factors regarding investment capacity and annual share of the stock to be renovated. Results show possible energy savings of up to 23% and a corresponding 31% reduction in greenhouse-gas emissions. Greenhouse-gas emissions avoided due to reduced energy demand are oﬀset by up to 65% by accounting for material use due to construction related renovation measures. For scenarios that favour construction related interventions, PV panels are responsible for the major part of the environmental impact across the 15 mid-point indicators used.","container-title":"Building and Environment","DOI":"10.1016/j.buildenv.2019.106391","ISSN":"0360-1323","language":"en","license":"https://www.elsevier.com/tdm/userlicense/1.0/","note":"publisher: Elsevier BV","page":"106391","source":"Crossref","title":"Explorative life-cycle assessment of renovating existing urban housing-stocks","volume":"165","author":[{"family":"Österbring","given":"Magnus"},{"family":"Mata","given":"Érika"},{"family":"Thuvander","given":"Liane"},{"family":"Wallbaum","given":"Holger"}],"issued":{"date-parts":[["2019",11]]}}}],"schema":"https://github.com/citation-style-language/schema/raw/master/csl-citation.json"} </w:instrText>
      </w:r>
      <w:r>
        <w:rPr>
          <w:sz w:val="24"/>
          <w:szCs w:val="24"/>
        </w:rPr>
        <w:fldChar w:fldCharType="separate"/>
      </w:r>
      <w:r>
        <w:rPr>
          <w:sz w:val="24"/>
          <w:szCs w:val="24"/>
        </w:rPr>
        <w:t>(Österbring et al., 2019; Petrovic et al., 2019)</w:t>
      </w:r>
      <w:r>
        <w:rPr>
          <w:sz w:val="24"/>
          <w:szCs w:val="24"/>
        </w:rPr>
        <w:fldChar w:fldCharType="end"/>
      </w:r>
      <w:r>
        <w:rPr>
          <w:sz w:val="24"/>
          <w:szCs w:val="24"/>
        </w:rPr>
        <w:t xml:space="preserve">, Argentina </w:t>
      </w:r>
      <w:r>
        <w:rPr>
          <w:sz w:val="24"/>
          <w:szCs w:val="24"/>
        </w:rPr>
        <w:fldChar w:fldCharType="begin"/>
      </w:r>
      <w:r w:rsidR="00D64814">
        <w:rPr>
          <w:sz w:val="24"/>
          <w:szCs w:val="24"/>
        </w:rPr>
        <w:instrText xml:space="preserve"> ADDIN ZOTERO_ITEM CSL_CITATION {"citationID":"aytOtJr9","properties":{"formattedCitation":"(Arena &amp; de Rosa, 2023)","plainCitation":"(Arena &amp; de Rosa, 2023)","noteIndex":0},"citationItems":[{"id":"ra2KK2lN/eKUuSxGA","uris":["http://zotero.org/users/local/n4TXlcxq/items/DZNKPLFF"],"itemData":{"id":69,"type":"article-journal","abstract":"The energy and environmental implications of applying di1erent conservative technologies in school buildings in arid Andean regions of Mendoza—Argentina have been assessed in this work using life cycle assessment. The case studied is a school building which has recently been built in Lavalle, a county in northern Mendoza’s province. The obtained results show that almost all the environmental e1ects investigated are improved when the conservative technologies are implemented, except for the photochemical ozone formation potential. The use of wood in an uncontrolled combustion as the energetic source for brick baking has been identi5ed as the responsible process of that unintended negative e1ect. ? 2002 Published by Elsevier Science Ltd.","container-title":"Building and Environment","language":"en","page":"359–368","source":"Zotero","title":"Life cycle assessment of energy and environmental implications of the implementation of conservation technologies in school buildings in Mendoza—Argentina","volume":"38","author":[{"family":"Arena","given":"A P"},{"family":"Rosa","given":"C","non-dropping-particle":"de"}],"issued":{"date-parts":[["2023"]]}}}],"schema":"https://github.com/citation-style-language/schema/raw/master/csl-citation.json"} </w:instrText>
      </w:r>
      <w:r>
        <w:rPr>
          <w:sz w:val="24"/>
          <w:szCs w:val="24"/>
        </w:rPr>
        <w:fldChar w:fldCharType="separate"/>
      </w:r>
      <w:r>
        <w:rPr>
          <w:sz w:val="24"/>
          <w:szCs w:val="24"/>
        </w:rPr>
        <w:t>(Arena &amp; de Rosa, 2023)</w:t>
      </w:r>
      <w:r>
        <w:rPr>
          <w:sz w:val="24"/>
          <w:szCs w:val="24"/>
        </w:rPr>
        <w:fldChar w:fldCharType="end"/>
      </w:r>
      <w:r>
        <w:rPr>
          <w:sz w:val="24"/>
          <w:szCs w:val="24"/>
        </w:rPr>
        <w:t xml:space="preserve">, Italy </w:t>
      </w:r>
      <w:r>
        <w:rPr>
          <w:sz w:val="24"/>
          <w:szCs w:val="24"/>
        </w:rPr>
        <w:fldChar w:fldCharType="begin"/>
      </w:r>
      <w:r w:rsidR="00D64814">
        <w:rPr>
          <w:sz w:val="24"/>
          <w:szCs w:val="24"/>
        </w:rPr>
        <w:instrText xml:space="preserve"> ADDIN ZOTERO_ITEM CSL_CITATION {"citationID":"5pw7kptX","properties":{"formattedCitation":"(Ardente et al., 2008; Blengini, 2009)","plainCitation":"(Ardente et al., 2008; Blengini, 2009)","noteIndex":0},"citationItems":[{"id":"ra2KK2lN/NJG01SrZ","uris":["http://zotero.org/users/local/n4TXlcxq/items/DFL68VLF"],"itemData":{"id":59,"type":"article-journal","abstract":"The paper presents a life cycle assessment of a kenaf-ﬁbre insulation board following the international standards of the ISO 14040 series. Each life-cycle step has been checked, from kenaf production and board manufacture by an Italian ﬁrm, to use and disposal. The aim is to assess the board eco-proﬁle and to compare, on the basis of a life-cycle approach, the energy and environmental beneﬁts and drawbacks related to its employment into a typical residential dwelling. A comparison among various insulating materials has been carried out. The study focuses also on processes and input materials which cause the main environmental impacts of the product, and points out critical issues and the life-cycle steps with the highest improvement potentials.","container-title":"Energy and Buildings","DOI":"10.1016/j.enbuild.2006.12.009","ISSN":"0378-7788","issue":"1","language":"en","license":"https://www.elsevier.com/tdm/userlicense/1.0/","note":"publisher: Elsevier BV","page":"1-10","source":"Crossref","title":"Building energy performance: A LCA case study of kenaf-fibres insulation board","title-short":"Building energy performance","volume":"40","author":[{"family":"Ardente","given":"Fulvio"},{"family":"Beccali","given":"Marco"},{"family":"Cellura","given":"Maurizio"},{"family":"Mistretta","given":"Marina"}],"issued":{"date-parts":[["2008",1]]}}},{"id":5303,"uris":["http://zotero.org/users/17155100/items/BLTLLT6R"],"itemData":{"id":5303,"type":"article-journal","container-title":"Building and Environment","DOI":"10.1016/j.buildenv.2008.03.007","ISSN":"0360-1323","issue":"2","language":"en","license":"https://www.elsevier.com/tdm/userlicense/1.0/","page":"319-330","publisher":"Elsevier BV","source":"Crossref","title":"Life cycle of buildings, demolition and recycling potential: A case study in Turin, Italy","title-short":"Life cycle of buildings, demolition and recycling potential","volume":"44","author":[{"family":"Blengini","given":"Gian Andrea"}],"issued":{"date-parts":[["2009",2]]}}}],"schema":"https://github.com/citation-style-language/schema/raw/master/csl-citation.json"} </w:instrText>
      </w:r>
      <w:r>
        <w:rPr>
          <w:sz w:val="24"/>
          <w:szCs w:val="24"/>
        </w:rPr>
        <w:fldChar w:fldCharType="separate"/>
      </w:r>
      <w:r>
        <w:rPr>
          <w:sz w:val="24"/>
          <w:szCs w:val="24"/>
        </w:rPr>
        <w:t>(Ardente et al., 2008; Blengini, 2009)</w:t>
      </w:r>
      <w:r>
        <w:rPr>
          <w:sz w:val="24"/>
          <w:szCs w:val="24"/>
        </w:rPr>
        <w:fldChar w:fldCharType="end"/>
      </w:r>
      <w:r>
        <w:rPr>
          <w:sz w:val="24"/>
          <w:szCs w:val="24"/>
        </w:rPr>
        <w:t xml:space="preserve">, Nigeria </w:t>
      </w:r>
      <w:r>
        <w:rPr>
          <w:sz w:val="24"/>
          <w:szCs w:val="24"/>
        </w:rPr>
        <w:fldChar w:fldCharType="begin"/>
      </w:r>
      <w:r w:rsidR="00D64814">
        <w:rPr>
          <w:sz w:val="24"/>
          <w:szCs w:val="24"/>
        </w:rPr>
        <w:instrText xml:space="preserve"> ADDIN ZOTERO_ITEM CSL_CITATION {"citationID":"1huhbaU9","properties":{"formattedCitation":"(Adeyeye et al., 2023)","plainCitation":"(Adeyeye et al., 2023)","noteIndex":0},"citationItems":[{"id":"ra2KK2lN/100LT7ms","uris":["http://zotero.org/users/local/n4TXlcxq/items/29C9W4FD"],"itemData":{"id":52,"type":"article-journal","abstract":"A gap in carbon accounting within the global south and particularly in Africa is the unavailability of ordinary emission factors which may be a factor of the unavailability of activity data required to work out emission factors. The purpose of the study is to assess the carbon footprint of one of the oldest universities in West Africa and the oldest in Nigeria, the University of Ibadan. The methodology used for this is the GHG protocol by the World Resources Institute and World Business Council for Sustainable Development framework. The activities of the higher institution as presented in this study still require greater attention in the reduction emission campaign and transitioning to renewable alternative energy. This study reports the emissions on the University of Ibadan campuses that are related to Scopes 1 and 2 (direct and indirect emissions). The total CF is 5,270.952 t/CO2 eq (metric tons of CO2 equivalent), and the CF in Scope 1 and Scope 2 was estimated at 4% and 90%, respectively. Scope 2, which measures indirect emissions generated via purchased electricity, produced the highest contribution of 4,757.83 tCO2e. The activities of higher institutions as presented in this study still require greater attention in the reduction emission campaign. Higher institutions should make a conscious effort to ensure that they are at the forefront in the fight against global warming by looking closely into their activities and ensuring that they limit their carbon emission to the barest minimum.","container-title":"Environment, Development and Sustainability","DOI":"10.1007/s10668-021-02098-1","ISSN":"1387-585X, 1573-2975","issue":"2","journalAbbreviation":"Environ Dev Sustain","language":"en","license":"https://www.springernature.com/gp/researchers/text-and-data-mining","note":"publisher: Springer Science and Business Media LLC","page":"1361-1382","source":"Crossref","title":"Carbon footprint assessment and mitigation scenarios: a benchmark model for GHG indicator in a Nigerian University","title-short":"Carbon footprint assessment and mitigation scenarios","volume":"25","author":[{"family":"Adeyeye","given":"Damilola"},{"family":"Olusola","given":"Adeyemi"},{"family":"Orimoloye","given":"Israel Ropo"},{"family":"Singh","given":"Sudhir Kumar"},{"family":"Adelabu","given":"Samuel"}],"issued":{"date-parts":[["2023",2]]}}}],"schema":"https://github.com/citation-style-language/schema/raw/master/csl-citation.json"} </w:instrText>
      </w:r>
      <w:r>
        <w:rPr>
          <w:sz w:val="24"/>
          <w:szCs w:val="24"/>
        </w:rPr>
        <w:fldChar w:fldCharType="separate"/>
      </w:r>
      <w:r>
        <w:rPr>
          <w:sz w:val="24"/>
          <w:szCs w:val="24"/>
        </w:rPr>
        <w:t>(Adeyeye et al., 2023)</w:t>
      </w:r>
      <w:r>
        <w:rPr>
          <w:sz w:val="24"/>
          <w:szCs w:val="24"/>
        </w:rPr>
        <w:fldChar w:fldCharType="end"/>
      </w:r>
      <w:r>
        <w:rPr>
          <w:sz w:val="24"/>
          <w:szCs w:val="24"/>
        </w:rPr>
        <w:t xml:space="preserve">, Thailand </w:t>
      </w:r>
      <w:r>
        <w:rPr>
          <w:sz w:val="24"/>
          <w:szCs w:val="24"/>
        </w:rPr>
        <w:fldChar w:fldCharType="begin"/>
      </w:r>
      <w:r w:rsidR="005373B8">
        <w:rPr>
          <w:sz w:val="24"/>
          <w:szCs w:val="24"/>
        </w:rPr>
        <w:instrText xml:space="preserve"> ADDIN ZOTERO_ITEM CSL_CITATION {"citationID":"dxcQmsPU","properties":{"formattedCitation":"(Kofoworola &amp; Gheewala, 2008)","plainCitation":"(Kofoworola &amp; Gheewala, 2008)","noteIndex":0},"citationItems":[{"id":5298,"uris":["http://zotero.org/users/17155100/items/HUFU5IHT"],"itemData":{"id":5298,"type":"article-journal","container-title":"The International Journal of Life Cycle Assessment","DOI":"10.1007/s11367-008-0012-1","ISSN":"0948-3349, 1614-7502","issue":"6","journalAbbreviation":"Int J Life Cycle Assess","language":"en","license":"http://www.springer.com/tdm","page":"498-511","publisher":"Springer Science and Business Media LLC","source":"Crossref","title":"Environmental life cycle assessment of a commercial office building in Thailand","volume":"13","author":[{"family":"Kofoworola","given":"Oyeshola F."},{"family":"Gheewala","given":"Shabbir H."}],"issued":{"date-parts":[["2008",9]]}}}],"schema":"https://github.com/citation-style-language/schema/raw/master/csl-citation.json"} </w:instrText>
      </w:r>
      <w:r>
        <w:rPr>
          <w:sz w:val="24"/>
          <w:szCs w:val="24"/>
        </w:rPr>
        <w:fldChar w:fldCharType="separate"/>
      </w:r>
      <w:r>
        <w:rPr>
          <w:sz w:val="24"/>
          <w:szCs w:val="24"/>
        </w:rPr>
        <w:t>(Kofoworola &amp; Gheewala, 2008)</w:t>
      </w:r>
      <w:r>
        <w:rPr>
          <w:sz w:val="24"/>
          <w:szCs w:val="24"/>
        </w:rPr>
        <w:fldChar w:fldCharType="end"/>
      </w:r>
      <w:r>
        <w:rPr>
          <w:sz w:val="24"/>
          <w:szCs w:val="24"/>
        </w:rPr>
        <w:t xml:space="preserve">. </w:t>
      </w:r>
    </w:p>
    <w:p w14:paraId="4F1D31D7" w14:textId="77777777" w:rsidR="002903B9" w:rsidRPr="00BE69E9" w:rsidRDefault="00970AD7" w:rsidP="00970AD7">
      <w:pPr>
        <w:pStyle w:val="Heading1"/>
      </w:pPr>
      <w:r>
        <w:t>METHODOLOGY</w:t>
      </w:r>
    </w:p>
    <w:p w14:paraId="2E0DF5CD" w14:textId="77777777" w:rsidR="00EF4C3B" w:rsidRPr="00BE69E9" w:rsidRDefault="00EF4C3B" w:rsidP="00941D61">
      <w:pPr>
        <w:spacing w:before="240"/>
        <w:rPr>
          <w:sz w:val="24"/>
          <w:szCs w:val="24"/>
        </w:rPr>
      </w:pPr>
      <w:r>
        <w:rPr>
          <w:sz w:val="24"/>
          <w:szCs w:val="24"/>
        </w:rPr>
        <w:t xml:space="preserve">A building consumes energy and emits harmful pollutants during all processes involved in its construction and operation. Several materials are required for its construction, which must be extracted or prepared and transported to the site. All these processes consume energy, contributing to their embodied energy and associated carbon emissions as shown in Figure 1. Post-construction and during building occupancy, various operations run for its functioning, each consuming energy and resources in some form or another. These operations, alongside repairs and refurbishments, run throughout the building's lifespan. The End-of-Life stage addresses demolition, waste transport, recycling, and disposal. Finally, Beyond the Lifecycle includes reuse and recovery opportunities to mitigate further emissions. </w:t>
      </w:r>
    </w:p>
    <w:p w14:paraId="689B7424" w14:textId="7126F6BC" w:rsidR="00EF4C3B" w:rsidRPr="00BE69E9" w:rsidRDefault="003C295F" w:rsidP="0047752D">
      <w:pPr>
        <w:spacing w:after="240"/>
        <w:rPr>
          <w:sz w:val="24"/>
          <w:szCs w:val="24"/>
        </w:rPr>
      </w:pPr>
      <w:r>
        <w:rPr>
          <w:sz w:val="24"/>
          <w:szCs w:val="24"/>
        </w:rPr>
        <w:t xml:space="preserve">To reduce the carbon footprint of building structures, it is essential to evaluate embodied carbon during the early design stages, since the structural framework often reflects the initial conceptual form of the building </w:t>
      </w:r>
      <w:r>
        <w:rPr>
          <w:sz w:val="24"/>
          <w:szCs w:val="24"/>
        </w:rPr>
        <w:fldChar w:fldCharType="begin"/>
      </w:r>
      <w:r w:rsidR="005373B8">
        <w:rPr>
          <w:sz w:val="24"/>
          <w:szCs w:val="24"/>
        </w:rPr>
        <w:instrText xml:space="preserve"> ADDIN ZOTERO_ITEM CSL_CITATION {"citationID":"a5g9CdWw","properties":{"formattedCitation":"(Torabi &amp; Evins, 2024)","plainCitation":"(Torabi &amp; Evins, 2024)","noteIndex":0},"citationItems":[{"id":5252,"uris":["http://zotero.org/users/17155100/items/W9AGKD4H"],"itemData":{"id":5252,"type":"article-journal","container-title":"The International Journal of Life Cycle Assessment","DOI":"10.1007/s11367-024-02287-w","ISSN":"0948-3349, 1614-7502","journalAbbreviation":"Int J Life Cycle Assess","language":"en","source":"DOI.org (Crossref)","title":"Towards net-zero carbon buildings: Investigating the impact of early-stage structure design on building embodied carbon","title-short":"Towards net-zero carbon buildings","URL":"https://link.springer.com/10.1007/s11367-024-02287-w","author":[{"family":"Torabi","given":"Mahsa"},{"family":"Evins","given":"Ralph"}],"accessed":{"date-parts":[["2025",8,20]]},"issued":{"date-parts":[["2024",3,19]]}}}],"schema":"https://github.com/citation-style-language/schema/raw/master/csl-citation.json"} </w:instrText>
      </w:r>
      <w:r>
        <w:rPr>
          <w:sz w:val="24"/>
          <w:szCs w:val="24"/>
        </w:rPr>
        <w:fldChar w:fldCharType="separate"/>
      </w:r>
      <w:r>
        <w:rPr>
          <w:sz w:val="24"/>
          <w:szCs w:val="24"/>
        </w:rPr>
        <w:t>(Torabi &amp; Evins, 2024)</w:t>
      </w:r>
      <w:r>
        <w:rPr>
          <w:sz w:val="24"/>
          <w:szCs w:val="24"/>
        </w:rPr>
        <w:fldChar w:fldCharType="end"/>
      </w:r>
      <w:r>
        <w:rPr>
          <w:sz w:val="24"/>
          <w:szCs w:val="24"/>
        </w:rPr>
        <w:t xml:space="preserve">. The study calculates the emissions and embodied energy in both the phases of the building, starting from the preparation (extraction, transportation, and manufacturing) of various building materials such as cement, brick, and MS frames to operational activities such as energy (electricity) usage, water consumption, cooking, and human respiration. The life span of the building for this case study is taken as 50 years. Emissions due to construction processes, and maintenance is not considered in the study. </w:t>
      </w:r>
      <w:r w:rsidRPr="000D5557">
        <w:rPr>
          <w:sz w:val="24"/>
          <w:szCs w:val="24"/>
        </w:rPr>
        <w:t xml:space="preserve">On-site construction activities </w:t>
      </w:r>
      <w:r w:rsidR="005373B8" w:rsidRPr="000D5557">
        <w:rPr>
          <w:sz w:val="24"/>
          <w:szCs w:val="24"/>
        </w:rPr>
        <w:fldChar w:fldCharType="begin"/>
      </w:r>
      <w:r w:rsidR="00D64814">
        <w:rPr>
          <w:sz w:val="24"/>
          <w:szCs w:val="24"/>
        </w:rPr>
        <w:instrText xml:space="preserve"> ADDIN ZOTERO_ITEM CSL_CITATION {"citationID":"qvAQnvTQ","properties":{"unsorted":false,"formattedCitation":"(ISO, 2006)","plainCitation":"(ISO, 2006)","dontUpdate":true,"noteIndex":0},"citationItems":[{"id":"ra2KK2lN/SD0gBtUN","uris":["http://zotero.org/users/local/n4TXlcxq/items/UUZMYIUJ"],"itemData":{"id":"FJvlnIH4/Is2p5kZL","type":"standard","authority":"International Organization for Standardization","event-place":"Geneva, Switzerland.","publisher-place":"Geneva, Switzerland.","title":"ISO 14040 (2006)","author":[{"literal":"ISO"}],"issued":{"date-parts":[["2006"]]}}}],"schema":"https://github.com/citation-style-language/schema/raw/master/csl-citation.json"} </w:instrText>
      </w:r>
      <w:r w:rsidR="005373B8" w:rsidRPr="000D5557">
        <w:rPr>
          <w:sz w:val="24"/>
          <w:szCs w:val="24"/>
        </w:rPr>
        <w:fldChar w:fldCharType="separate"/>
      </w:r>
      <w:r w:rsidR="005373B8" w:rsidRPr="000D5557">
        <w:rPr>
          <w:sz w:val="24"/>
        </w:rPr>
        <w:t xml:space="preserve">(ISO, </w:t>
      </w:r>
      <w:r w:rsidR="005373B8" w:rsidRPr="000D5557">
        <w:rPr>
          <w:sz w:val="24"/>
        </w:rPr>
        <w:lastRenderedPageBreak/>
        <w:t>2006 - stage A5)</w:t>
      </w:r>
      <w:r w:rsidR="005373B8" w:rsidRPr="000D5557">
        <w:rPr>
          <w:sz w:val="24"/>
          <w:szCs w:val="24"/>
        </w:rPr>
        <w:fldChar w:fldCharType="end"/>
      </w:r>
      <w:r w:rsidRPr="000D5557">
        <w:rPr>
          <w:sz w:val="24"/>
          <w:szCs w:val="24"/>
        </w:rPr>
        <w:t>, including equipment fuel use and site energy, were excluded from the system boundary due to the absence of site-specific machinery records. Literature indicates that material production and transportation together dominate 82</w:t>
      </w:r>
      <w:r w:rsidR="00C8055B" w:rsidRPr="000D5557">
        <w:rPr>
          <w:sz w:val="24"/>
          <w:szCs w:val="24"/>
        </w:rPr>
        <w:t>-</w:t>
      </w:r>
      <w:r w:rsidRPr="000D5557">
        <w:rPr>
          <w:sz w:val="24"/>
          <w:szCs w:val="24"/>
        </w:rPr>
        <w:t xml:space="preserve">96% of construction-period emissions, with on-site activities contributing the remaining fraction </w:t>
      </w:r>
      <w:r w:rsidR="006306C2" w:rsidRPr="000D5557">
        <w:rPr>
          <w:sz w:val="24"/>
          <w:szCs w:val="24"/>
        </w:rPr>
        <w:fldChar w:fldCharType="begin"/>
      </w:r>
      <w:r w:rsidR="006306C2" w:rsidRPr="000D5557">
        <w:rPr>
          <w:sz w:val="24"/>
          <w:szCs w:val="24"/>
        </w:rPr>
        <w:instrText xml:space="preserve"> ADDIN ZOTERO_ITEM CSL_CITATION {"citationID":"PlLUcAXX","properties":{"formattedCitation":"(B. Surekha et al., 2016)","plainCitation":"(B. Surekha et al., 2016)","noteIndex":0},"citationItems":[{"id":5290,"uris":["http://zotero.org/users/17155100/items/36PU3UVZ"],"itemData":{"id":5290,"type":"article-journal","container-title":"IASET","issue":"5","journalAbbreviation":"International Journal of Civil Engineering (IJCE)","page":"13-24","title":"ENERGY AND BUILDING MATERIALS","volume":"5","author":[{"literal":"B. Surekha"},{"literal":"M. N. HEGDE"},{"literal":"K. S. JAGADISH"}],"issued":{"date-parts":[["2016",9]]}}}],"schema":"https://github.com/citation-style-language/schema/raw/master/csl-citation.json"} </w:instrText>
      </w:r>
      <w:r w:rsidR="006306C2" w:rsidRPr="000D5557">
        <w:rPr>
          <w:sz w:val="24"/>
          <w:szCs w:val="24"/>
        </w:rPr>
        <w:fldChar w:fldCharType="separate"/>
      </w:r>
      <w:r w:rsidR="006306C2" w:rsidRPr="000D5557">
        <w:rPr>
          <w:sz w:val="24"/>
          <w:szCs w:val="24"/>
        </w:rPr>
        <w:t>(B. Surekha et al., 2016)</w:t>
      </w:r>
      <w:r w:rsidR="006306C2" w:rsidRPr="000D5557">
        <w:rPr>
          <w:sz w:val="24"/>
          <w:szCs w:val="24"/>
        </w:rPr>
        <w:fldChar w:fldCharType="end"/>
      </w:r>
      <w:r w:rsidRPr="000D5557">
        <w:rPr>
          <w:sz w:val="24"/>
          <w:szCs w:val="24"/>
        </w:rPr>
        <w:t xml:space="preserve">; their exclusion is thus expected to introduce a minor underestimation in total lifecycle emissions </w:t>
      </w:r>
      <w:r w:rsidR="005478E4" w:rsidRPr="000D5557">
        <w:rPr>
          <w:sz w:val="24"/>
          <w:szCs w:val="24"/>
        </w:rPr>
        <w:fldChar w:fldCharType="begin"/>
      </w:r>
      <w:r w:rsidR="005478E4" w:rsidRPr="000D5557">
        <w:rPr>
          <w:sz w:val="24"/>
          <w:szCs w:val="24"/>
        </w:rPr>
        <w:instrText xml:space="preserve"> ADDIN ZOTERO_ITEM CSL_CITATION {"citationID":"yETWwN70","properties":{"unsorted":false,"formattedCitation":"(Y. Liang et al., 2023)","plainCitation":"(Y. Liang et al., 2023)","noteIndex":0},"citationItems":[{"id":16202,"uris":["http://zotero.org/users/17155100/items/M6ICECBY"],"itemData":{"id":16202,"type":"article-journal","container-title":"Heliyon","DOI":"10.1016/j.heliyon.2023.e20190","ISSN":"24058440","issue":"10","journalAbbreviation":"Heliyon","language":"en","page":"e20190","source":"DOI.org (Crossref)","title":"Decarbonization potentials of the embodied energy use and operational process in buildings: A review from the life-cycle perspective","title-short":"Decarbonization potentials of the embodied energy use and operational process in buildings","volume":"9","author":[{"family":"Liang","given":"Yumin"},{"family":"Li","given":"Changqi"},{"family":"Liu","given":"Zhichao"},{"family":"Wang","given":"Xi"},{"family":"Zeng","given":"Fei"},{"family":"Yuan","given":"Xiaolei"},{"family":"Pan","given":"Yiqun"}],"issued":{"date-parts":[["2023",10]]}}}],"schema":"https://github.com/citation-style-language/schema/raw/master/csl-citation.json"} </w:instrText>
      </w:r>
      <w:r w:rsidR="005478E4" w:rsidRPr="000D5557">
        <w:rPr>
          <w:sz w:val="24"/>
          <w:szCs w:val="24"/>
        </w:rPr>
        <w:fldChar w:fldCharType="separate"/>
      </w:r>
      <w:r w:rsidR="005478E4" w:rsidRPr="000D5557">
        <w:rPr>
          <w:sz w:val="24"/>
        </w:rPr>
        <w:t>(Y. Liang et al., 2023)</w:t>
      </w:r>
      <w:r w:rsidR="005478E4" w:rsidRPr="000D5557">
        <w:rPr>
          <w:sz w:val="24"/>
          <w:szCs w:val="24"/>
        </w:rPr>
        <w:fldChar w:fldCharType="end"/>
      </w:r>
      <w:r w:rsidRPr="000D5557">
        <w:rPr>
          <w:sz w:val="24"/>
          <w:szCs w:val="24"/>
        </w:rPr>
        <w:t xml:space="preserve">. Maintenance-related emissions were similarly excluded; reviews of LCA case studies for 650+ buildings indicate that maintenance and renovations during the use phase can contribute approximately 22% to implied building carbon </w:t>
      </w:r>
      <w:r w:rsidR="005478E4" w:rsidRPr="000D5557">
        <w:rPr>
          <w:sz w:val="24"/>
          <w:szCs w:val="24"/>
        </w:rPr>
        <w:fldChar w:fldCharType="begin"/>
      </w:r>
      <w:r w:rsidR="005478E4" w:rsidRPr="000D5557">
        <w:rPr>
          <w:sz w:val="24"/>
          <w:szCs w:val="24"/>
        </w:rPr>
        <w:instrText xml:space="preserve"> ADDIN ZOTERO_ITEM CSL_CITATION {"citationID":"7Wa0RzmO","properties":{"unsorted":false,"formattedCitation":"(R\\uc0\\u246{}ck et al., 2020)","plainCitation":"(Röck et al., 2020)","noteIndex":0},"citationItems":[{"id":16204,"uris":["http://zotero.org/users/17155100/items/6ZQ8FQYA"],"itemData":{"id":16204,"type":"article-journal","container-title":"Applied Energy","DOI":"10.1016/j.apenergy.2019.114107","ISSN":"03062619","journalAbbreviation":"Applied Energy","language":"en","page":"114107","source":"DOI.org (Crossref)","title":"Embodied GHG emissions of buildings – The hidden challenge for effective climate change mitigation","volume":"258","author":[{"family":"Röck","given":"Martin"},{"family":"Saade","given":"Marcella Ruschi Mendes"},{"family":"Balouktsi","given":"Maria"},{"family":"Rasmussen","given":"Freja Nygaard"},{"family":"Birgisdottir","given":"Harpa"},{"family":"Frischknecht","given":"Rolf"},{"family":"Habert","given":"Guillaume"},{"family":"Lützkendorf","given":"Thomas"},{"family":"Passer","given":"Alexander"}],"issued":{"date-parts":[["2020",1]]}}}],"schema":"https://github.com/citation-style-language/schema/raw/master/csl-citation.json"} </w:instrText>
      </w:r>
      <w:r w:rsidR="005478E4" w:rsidRPr="000D5557">
        <w:rPr>
          <w:sz w:val="24"/>
          <w:szCs w:val="24"/>
        </w:rPr>
        <w:fldChar w:fldCharType="separate"/>
      </w:r>
      <w:r w:rsidR="005478E4" w:rsidRPr="000D5557">
        <w:rPr>
          <w:sz w:val="24"/>
        </w:rPr>
        <w:t>(Röck et al., 2020)</w:t>
      </w:r>
      <w:r w:rsidR="005478E4" w:rsidRPr="000D5557">
        <w:rPr>
          <w:sz w:val="24"/>
          <w:szCs w:val="24"/>
        </w:rPr>
        <w:fldChar w:fldCharType="end"/>
      </w:r>
      <w:r w:rsidRPr="000D5557">
        <w:rPr>
          <w:sz w:val="24"/>
          <w:szCs w:val="24"/>
        </w:rPr>
        <w:t>, and this is acknowledged as a limitation of the present study.</w:t>
      </w:r>
      <w:r w:rsidR="000D5557">
        <w:rPr>
          <w:sz w:val="24"/>
          <w:szCs w:val="24"/>
        </w:rPr>
        <w:t xml:space="preserve"> </w:t>
      </w:r>
      <w:r w:rsidR="000D5557" w:rsidRPr="000D5557">
        <w:rPr>
          <w:sz w:val="24"/>
          <w:szCs w:val="24"/>
        </w:rPr>
        <w:t xml:space="preserve">Furniture emissions were </w:t>
      </w:r>
      <w:r w:rsidR="000D5557">
        <w:rPr>
          <w:sz w:val="24"/>
          <w:szCs w:val="24"/>
        </w:rPr>
        <w:t xml:space="preserve">also </w:t>
      </w:r>
      <w:r w:rsidR="000D5557" w:rsidRPr="000D5557">
        <w:rPr>
          <w:sz w:val="24"/>
          <w:szCs w:val="24"/>
        </w:rPr>
        <w:t>excluded due to the absence of standardized emission factors for the specific items procured and lack of procurement records; this is acknowledged as a limitation that may marginally underestimate total embodied emissions</w:t>
      </w:r>
      <w:r w:rsidR="000D5557">
        <w:rPr>
          <w:sz w:val="24"/>
          <w:szCs w:val="24"/>
        </w:rPr>
        <w:t>.</w:t>
      </w:r>
    </w:p>
    <w:p w14:paraId="2EC36B89" w14:textId="77777777" w:rsidR="002E2AA0" w:rsidRPr="00BE69E9" w:rsidRDefault="002E2AA0" w:rsidP="00970AD7">
      <w:pPr>
        <w:keepNext/>
        <w:jc w:val="center"/>
        <w:rPr>
          <w:sz w:val="24"/>
          <w:szCs w:val="24"/>
        </w:rPr>
      </w:pPr>
      <w:r>
        <w:rPr>
          <w:noProof/>
          <w:sz w:val="24"/>
          <w:szCs w:val="24"/>
          <w:lang w:val="en-IN" w:eastAsia="en-IN"/>
        </w:rPr>
        <w:drawing>
          <wp:inline distT="0" distB="0" distL="0" distR="0" wp14:anchorId="74732B75" wp14:editId="598420C7">
            <wp:extent cx="5943600" cy="1569085"/>
            <wp:effectExtent l="0" t="0" r="19050" b="12065"/>
            <wp:docPr id="332119291" name="Diagram 1">
              <a:extLst xmlns:a="http://schemas.openxmlformats.org/drawingml/2006/main">
                <a:ext uri="{FF2B5EF4-FFF2-40B4-BE49-F238E27FC236}">
                  <a16:creationId xmlns:a16="http://schemas.microsoft.com/office/drawing/2014/main" id="{6A882BDD-21F2-CA01-B1B1-E984FA5C98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A01342C" w14:textId="77777777" w:rsidR="002E2AA0" w:rsidRPr="00BE69E9" w:rsidRDefault="002E2AA0" w:rsidP="00970AD7">
      <w:pPr>
        <w:pStyle w:val="Caption"/>
        <w:jc w:val="center"/>
        <w:rPr>
          <w:i w:val="0"/>
          <w:iCs w:val="0"/>
          <w:sz w:val="24"/>
          <w:szCs w:val="24"/>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1</w:t>
      </w:r>
      <w:r>
        <w:rPr>
          <w:b/>
          <w:bCs/>
          <w:i w:val="0"/>
          <w:iCs w:val="0"/>
          <w:sz w:val="24"/>
          <w:szCs w:val="24"/>
        </w:rPr>
        <w:fldChar w:fldCharType="end"/>
      </w:r>
      <w:r>
        <w:rPr>
          <w:i w:val="0"/>
          <w:iCs w:val="0"/>
          <w:sz w:val="24"/>
          <w:szCs w:val="24"/>
        </w:rPr>
        <w:t xml:space="preserve"> Building Operations responsible for carbon emissions </w:t>
      </w:r>
      <w:proofErr w:type="spellStart"/>
      <w:r>
        <w:rPr>
          <w:i w:val="0"/>
          <w:iCs w:val="0"/>
          <w:sz w:val="24"/>
          <w:szCs w:val="24"/>
        </w:rPr>
        <w:t>ans</w:t>
      </w:r>
      <w:proofErr w:type="spellEnd"/>
      <w:r>
        <w:rPr>
          <w:i w:val="0"/>
          <w:iCs w:val="0"/>
          <w:sz w:val="24"/>
          <w:szCs w:val="24"/>
        </w:rPr>
        <w:t xml:space="preserve"> embodied energy</w:t>
      </w:r>
    </w:p>
    <w:p w14:paraId="3B3B47D0" w14:textId="77777777" w:rsidR="00EF4C3B" w:rsidRPr="00970AD7" w:rsidRDefault="00EF4C3B" w:rsidP="006D3FC9">
      <w:pPr>
        <w:pStyle w:val="Heading2"/>
        <w:rPr>
          <w:i/>
          <w:iCs/>
        </w:rPr>
      </w:pPr>
      <w:r>
        <w:t xml:space="preserve">Carbon Emission </w:t>
      </w:r>
    </w:p>
    <w:p w14:paraId="6C3EC981" w14:textId="77777777" w:rsidR="00D15FDF" w:rsidRPr="00BE69E9" w:rsidRDefault="00D15FDF" w:rsidP="00941D61">
      <w:pPr>
        <w:spacing w:before="240"/>
        <w:rPr>
          <w:sz w:val="24"/>
          <w:szCs w:val="24"/>
        </w:rPr>
      </w:pPr>
      <w:r>
        <w:rPr>
          <w:sz w:val="24"/>
          <w:szCs w:val="24"/>
        </w:rPr>
        <w:t xml:space="preserve">The </w:t>
      </w:r>
      <w:r>
        <w:rPr>
          <w:sz w:val="24"/>
          <w:szCs w:val="24"/>
          <w:lang w:val="en-GB"/>
        </w:rPr>
        <w:t>total environmental impact of building in terms of carbon emissions</w:t>
      </w:r>
      <w:r>
        <w:rPr>
          <w:sz w:val="24"/>
          <w:szCs w:val="24"/>
        </w:rPr>
        <w:t xml:space="preserve"> of any building is the total pollutant (CO₂, CH</w:t>
      </w:r>
      <w:r>
        <w:rPr>
          <w:sz w:val="24"/>
          <w:szCs w:val="24"/>
          <w:vertAlign w:val="subscript"/>
        </w:rPr>
        <w:t>4</w:t>
      </w:r>
      <w:r>
        <w:rPr>
          <w:sz w:val="24"/>
          <w:szCs w:val="24"/>
        </w:rPr>
        <w:t>, N</w:t>
      </w:r>
      <w:r>
        <w:rPr>
          <w:sz w:val="24"/>
          <w:szCs w:val="24"/>
          <w:vertAlign w:val="subscript"/>
        </w:rPr>
        <w:t>2</w:t>
      </w:r>
      <w:r>
        <w:rPr>
          <w:sz w:val="24"/>
          <w:szCs w:val="24"/>
        </w:rPr>
        <w:t>O, SO</w:t>
      </w:r>
      <w:r>
        <w:rPr>
          <w:sz w:val="24"/>
          <w:szCs w:val="24"/>
          <w:vertAlign w:val="subscript"/>
        </w:rPr>
        <w:t>2</w:t>
      </w:r>
      <w:r>
        <w:rPr>
          <w:sz w:val="24"/>
          <w:szCs w:val="24"/>
        </w:rPr>
        <w:t xml:space="preserve">, etc.)  released to the atmosphere during the construction and operation of the building. It is the sum of the emissions due to all the materials used and activities involved during its construction and operation (Eq.3). </w:t>
      </w:r>
    </w:p>
    <w:p w14:paraId="3FC55CFD" w14:textId="77777777" w:rsidR="00CC28A7" w:rsidRPr="00BE69E9" w:rsidRDefault="00CC28A7" w:rsidP="00970AD7">
      <w:pPr>
        <w:rPr>
          <w:rFonts w:eastAsia="Times New Roman"/>
          <w:sz w:val="24"/>
          <w:szCs w:val="24"/>
          <w:lang w:val="en-IN" w:eastAsia="en-IN"/>
        </w:rPr>
      </w:pPr>
      <w:r>
        <w:rPr>
          <w:rFonts w:eastAsia="Times New Roman"/>
          <w:sz w:val="24"/>
          <w:szCs w:val="24"/>
          <w:lang w:val="en-IN" w:eastAsia="en-IN"/>
        </w:rPr>
        <w:t>For each material or activity, emissions were estimated using:</w:t>
      </w:r>
    </w:p>
    <w:p w14:paraId="118D2AF5" w14:textId="77777777" w:rsidR="00CC28A7" w:rsidRPr="00BE69E9" w:rsidRDefault="00CC28A7" w:rsidP="00970AD7">
      <w:pPr>
        <w:keepNext/>
        <w:rPr>
          <w:sz w:val="24"/>
          <w:szCs w:val="24"/>
        </w:rPr>
      </w:pPr>
      <w:r>
        <w:rPr>
          <w:rFonts w:eastAsia="Times New Roman"/>
          <w:sz w:val="24"/>
          <w:szCs w:val="24"/>
          <w:lang w:val="en-IN" w:eastAsia="en-IN"/>
        </w:rPr>
        <w:t xml:space="preserve">E=Q×EF                                                                                                                                                                      </w:t>
      </w:r>
      <w:proofErr w:type="gramStart"/>
      <w:r>
        <w:rPr>
          <w:rFonts w:eastAsia="Times New Roman"/>
          <w:sz w:val="24"/>
          <w:szCs w:val="24"/>
          <w:lang w:val="en-IN" w:eastAsia="en-IN"/>
        </w:rPr>
        <w:t xml:space="preserve">   </w:t>
      </w:r>
      <w:r>
        <w:rPr>
          <w:rFonts w:eastAsia="Times New Roman"/>
          <w:i/>
          <w:iCs/>
          <w:sz w:val="24"/>
          <w:szCs w:val="24"/>
          <w:lang w:val="en-IN" w:eastAsia="en-IN"/>
        </w:rPr>
        <w:t>(</w:t>
      </w:r>
      <w:proofErr w:type="gramEnd"/>
      <w:r>
        <w:rPr>
          <w:i/>
          <w:iCs/>
          <w:sz w:val="24"/>
          <w:szCs w:val="24"/>
        </w:rPr>
        <w:fldChar w:fldCharType="begin"/>
      </w:r>
      <w:r>
        <w:rPr>
          <w:i/>
          <w:iCs/>
          <w:sz w:val="24"/>
          <w:szCs w:val="24"/>
        </w:rPr>
        <w:instrText xml:space="preserve"> SEQ Equation \* ARABIC </w:instrText>
      </w:r>
      <w:r>
        <w:rPr>
          <w:i/>
          <w:iCs/>
          <w:sz w:val="24"/>
          <w:szCs w:val="24"/>
        </w:rPr>
        <w:fldChar w:fldCharType="separate"/>
      </w:r>
      <w:r>
        <w:rPr>
          <w:i/>
          <w:iCs/>
          <w:noProof/>
          <w:sz w:val="24"/>
          <w:szCs w:val="24"/>
        </w:rPr>
        <w:t>3</w:t>
      </w:r>
      <w:r>
        <w:rPr>
          <w:i/>
          <w:iCs/>
          <w:sz w:val="24"/>
          <w:szCs w:val="24"/>
        </w:rPr>
        <w:fldChar w:fldCharType="end"/>
      </w:r>
      <w:r>
        <w:rPr>
          <w:i/>
          <w:iCs/>
          <w:sz w:val="24"/>
          <w:szCs w:val="24"/>
        </w:rPr>
        <w:t>)</w:t>
      </w:r>
    </w:p>
    <w:p w14:paraId="6FB5B2B2" w14:textId="77777777" w:rsidR="00CC28A7" w:rsidRPr="00BE69E9" w:rsidRDefault="00CC28A7" w:rsidP="00970AD7">
      <w:pPr>
        <w:rPr>
          <w:rFonts w:eastAsia="Times New Roman"/>
          <w:sz w:val="24"/>
          <w:szCs w:val="24"/>
          <w:lang w:val="en-IN" w:eastAsia="en-IN"/>
        </w:rPr>
      </w:pPr>
      <w:r>
        <w:rPr>
          <w:rFonts w:eastAsia="Times New Roman"/>
          <w:sz w:val="24"/>
          <w:szCs w:val="24"/>
          <w:lang w:val="en-IN" w:eastAsia="en-IN"/>
        </w:rPr>
        <w:t>Where:</w:t>
      </w:r>
    </w:p>
    <w:p w14:paraId="289551A0" w14:textId="77777777" w:rsidR="00CC28A7" w:rsidRPr="00BE69E9" w:rsidRDefault="00CC28A7" w:rsidP="00970AD7">
      <w:pPr>
        <w:rPr>
          <w:rFonts w:eastAsia="Times New Roman"/>
          <w:sz w:val="24"/>
          <w:szCs w:val="24"/>
          <w:lang w:val="en-IN" w:eastAsia="en-IN"/>
        </w:rPr>
      </w:pPr>
      <w:r>
        <w:rPr>
          <w:rFonts w:eastAsia="Times New Roman"/>
          <w:sz w:val="24"/>
          <w:szCs w:val="24"/>
          <w:lang w:val="en-IN" w:eastAsia="en-IN"/>
        </w:rPr>
        <w:t>E = total emissions (kg CO₂- eq.)</w:t>
      </w:r>
    </w:p>
    <w:p w14:paraId="03691D74" w14:textId="77777777" w:rsidR="00CC28A7" w:rsidRPr="00BE69E9" w:rsidRDefault="00CC28A7" w:rsidP="00970AD7">
      <w:pPr>
        <w:rPr>
          <w:rFonts w:eastAsia="Times New Roman"/>
          <w:sz w:val="24"/>
          <w:szCs w:val="24"/>
          <w:lang w:val="en-IN" w:eastAsia="en-IN"/>
        </w:rPr>
      </w:pPr>
      <w:r>
        <w:rPr>
          <w:rFonts w:eastAsia="Times New Roman"/>
          <w:sz w:val="24"/>
          <w:szCs w:val="24"/>
          <w:lang w:val="en-IN" w:eastAsia="en-IN"/>
        </w:rPr>
        <w:t>Q = quantity used or consumed</w:t>
      </w:r>
    </w:p>
    <w:p w14:paraId="729B92B3" w14:textId="77777777" w:rsidR="00CC28A7" w:rsidRPr="00BE69E9" w:rsidRDefault="00CC28A7" w:rsidP="00970AD7">
      <w:pPr>
        <w:rPr>
          <w:rFonts w:eastAsia="Times New Roman"/>
          <w:sz w:val="24"/>
          <w:szCs w:val="24"/>
          <w:lang w:val="en-IN" w:eastAsia="en-IN"/>
        </w:rPr>
      </w:pPr>
      <w:r>
        <w:rPr>
          <w:rFonts w:eastAsia="Times New Roman"/>
          <w:sz w:val="24"/>
          <w:szCs w:val="24"/>
          <w:lang w:val="en-IN" w:eastAsia="en-IN"/>
        </w:rPr>
        <w:t>EF = emission factor specific to the material or activity</w:t>
      </w:r>
    </w:p>
    <w:p w14:paraId="5557D9A2" w14:textId="77777777" w:rsidR="00EF4C3B" w:rsidRPr="00BE69E9" w:rsidRDefault="004B6A85" w:rsidP="00970AD7">
      <w:pPr>
        <w:rPr>
          <w:sz w:val="24"/>
          <w:szCs w:val="24"/>
        </w:rPr>
      </w:pPr>
      <w:r>
        <w:rPr>
          <w:sz w:val="24"/>
          <w:szCs w:val="24"/>
        </w:rPr>
        <w:t xml:space="preserve">Emission factor (EF) is used to calculate the GHG emissions of a process or activity. An EF of any material is a value that represents the amount of a pollutant released to the atmosphere during the activity or manufacturing of the material. The potential impact of all the GHG gases is converted into an equivalent effect of carbon dioxide (CO₂) and is cumulatively expressed in terms of CO₂ equivalent (CO₂- eq.) which is a unit of measurement used to express the impact of different GHGs on global warming. </w:t>
      </w:r>
    </w:p>
    <w:p w14:paraId="2644F864" w14:textId="16DEF504" w:rsidR="00EF4C3B" w:rsidRPr="00BE69E9" w:rsidRDefault="00EF4C3B" w:rsidP="00970AD7">
      <w:pPr>
        <w:rPr>
          <w:sz w:val="24"/>
          <w:szCs w:val="24"/>
        </w:rPr>
      </w:pPr>
      <w:r>
        <w:rPr>
          <w:sz w:val="24"/>
          <w:szCs w:val="24"/>
        </w:rPr>
        <w:t xml:space="preserve">Emission factors for individual materials and operational carbon (electricity, Liquified Petroleum Gas (LPG), and user's exhalation) were derived from a review of relevant literature with similar research  </w:t>
      </w:r>
      <w:r>
        <w:rPr>
          <w:sz w:val="24"/>
          <w:szCs w:val="24"/>
        </w:rPr>
        <w:fldChar w:fldCharType="begin"/>
      </w:r>
      <w:r w:rsidR="005373B8">
        <w:rPr>
          <w:sz w:val="24"/>
          <w:szCs w:val="24"/>
        </w:rPr>
        <w:instrText xml:space="preserve"> ADDIN ZOTERO_ITEM CSL_CITATION {"citationID":"XC1G5Lpc","properties":{"formattedCitation":"(Shams et al., 2011)","plainCitation":"(Shams et al., 2011)","noteIndex":0},"citationItems":[{"id":5307,"uris":["http://zotero.org/users/17155100/items/MCNNVXIA"],"itemData":{"id":5307,"type":"article-journal","container-title":"International Journal of Environment and Sustainable Development","DOI":"10.1504/ijesd.2011.047767","ISSN":"1474-6778, 1478-7466","issue":"4","journalAbbreviation":"IJESD","language":"en","page":"364","publisher":"Inderscience Publishers","source":"Crossref","title":"A comparative analysis of building materials for sustainable construction with emphasis on CO&lt;SUB align=\"right\"&gt;2 reduction","volume":"10","author":[{"family":"Shams","given":"Shahriar"},{"family":"Mahmud","given":"Kashif"},{"family":"Amin","given":"Md. Al"}],"issued":{"date-parts":[["2011"]]}}}],"schema":"https://github.com/citation-style-language/schema/raw/master/csl-citation.json"} </w:instrText>
      </w:r>
      <w:r>
        <w:rPr>
          <w:sz w:val="24"/>
          <w:szCs w:val="24"/>
        </w:rPr>
        <w:fldChar w:fldCharType="separate"/>
      </w:r>
      <w:r>
        <w:rPr>
          <w:sz w:val="24"/>
          <w:szCs w:val="24"/>
        </w:rPr>
        <w:t>(Shams et al., 2011)</w:t>
      </w:r>
      <w:r>
        <w:rPr>
          <w:sz w:val="24"/>
          <w:szCs w:val="24"/>
        </w:rPr>
        <w:fldChar w:fldCharType="end"/>
      </w:r>
      <w:r>
        <w:rPr>
          <w:sz w:val="24"/>
          <w:szCs w:val="24"/>
        </w:rPr>
        <w:t xml:space="preserve"> and Inventory of Carbon &amp; Energy (ICE) database</w:t>
      </w:r>
      <w:r w:rsidR="000D5557">
        <w:rPr>
          <w:sz w:val="24"/>
          <w:szCs w:val="24"/>
        </w:rPr>
        <w:t>.</w:t>
      </w:r>
    </w:p>
    <w:p w14:paraId="3EF9D451" w14:textId="77777777" w:rsidR="00EF4C3B" w:rsidRPr="00970AD7" w:rsidRDefault="00EF4C3B" w:rsidP="006D3FC9">
      <w:pPr>
        <w:pStyle w:val="Heading2"/>
      </w:pPr>
      <w:r>
        <w:t>Embodied energy</w:t>
      </w:r>
    </w:p>
    <w:p w14:paraId="115305EA" w14:textId="51AB6646" w:rsidR="00343FBE" w:rsidRPr="00BE69E9" w:rsidRDefault="00343FBE" w:rsidP="00941D61">
      <w:pPr>
        <w:spacing w:before="240"/>
        <w:rPr>
          <w:sz w:val="24"/>
          <w:szCs w:val="24"/>
        </w:rPr>
      </w:pPr>
      <w:r>
        <w:rPr>
          <w:sz w:val="24"/>
          <w:szCs w:val="24"/>
        </w:rPr>
        <w:t xml:space="preserve">Embodied Energy encompasses the total energy consumed throughout the lifecycle of a building material from extraction and processing to transportation and installation at the construction site. This measure accounts for all direct and indirect energy inputs, including those associated with manufacturing, logistics, on-site assembly, and eventual renovation or demolition. It is a key parameter in evaluating the environmental footprint of construction practices </w:t>
      </w:r>
      <w:r>
        <w:rPr>
          <w:sz w:val="24"/>
          <w:szCs w:val="24"/>
        </w:rPr>
        <w:fldChar w:fldCharType="begin"/>
      </w:r>
      <w:r w:rsidR="005373B8">
        <w:rPr>
          <w:sz w:val="24"/>
          <w:szCs w:val="24"/>
        </w:rPr>
        <w:instrText xml:space="preserve"> ADDIN ZOTERO_ITEM CSL_CITATION {"citationID":"zi2UrGoC","properties":{"formattedCitation":"(Almusaed et al., 2024)","plainCitation":"(Almusaed et al., 2024)","noteIndex":0},"citationItems":[{"id":5321,"uris":["http://zotero.org/users/17155100/items/R3TZKDGD"],"itemData":{"id":5321,"type":"article-journal","abstract":"In this study, we critically examine the potential of recycled construction materials, focusing on how these materials can significantly reduce greenhouse gas (GHG) emissions and energy usage in the construction sector. By adopting an integrated approach that combines Life Cycle Assessment (LCA) and Material Flow Analysis (MFA) within the circular economy framework, we thoroughly examine the lifecycle environmental performance of these materials. Our findings reveal a promising future where incorporating recycled materials in construction can significantly lower GHG emissions and conserve energy. This underscores their crucial role in advancing sustainable construction practices. Moreover, our study emphasizes the need for robust regulatory frameworks and technological innovations to enhance the adoption of environmentally responsible practices. We encourage policymakers, industry stakeholders, and the academic community to collaborate and promote the adoption of a circular economy strategy in the building sector. Our research contributes to the ongoing discussion on sustainable construction, offering evidence-based insights that can inform future policies and initiatives to improve environmental stewardship in the construction industry. This study aligns with the European Union’s objectives of achieving climate-neutral cities by 2030 and the United Nations’ Sustainable Development Goals outlined for completion by 2030. Overall, this paper contributes to the ongoing dialogue on sustainable construction, providing a fact-driven basis for future policy and initiatives to enhance environmental stewardship in the industry.","container-title":"Buildings","DOI":"10.3390/buildings14061566","ISSN":"2075-5309","issue":"6","journalAbbreviation":"Buildings","language":"en","license":"https://creativecommons.org/licenses/by/4.0/","page":"1566","source":"DOI.org (Crossref)","title":"Assessing the Impact of Recycled Building Materials on Environmental Sustainability and Energy Efficiency: A Comprehensive Framework for Reducing Greenhouse Gas Emissions","title-short":"Assessing the Impact of Recycled Building Materials on Environmental Sustainability and Energy Efficiency","volume":"14","author":[{"family":"Almusaed","given":"Amjad"},{"family":"Yitmen","given":"Ibrahim"},{"family":"Myhren","given":"Jonn Are"},{"family":"Almssad","given":"Asaad"}],"issued":{"date-parts":[["2024",5,28]]}}}],"schema":"https://github.com/citation-style-language/schema/raw/master/csl-citation.json"} </w:instrText>
      </w:r>
      <w:r>
        <w:rPr>
          <w:sz w:val="24"/>
          <w:szCs w:val="24"/>
        </w:rPr>
        <w:fldChar w:fldCharType="separate"/>
      </w:r>
      <w:r>
        <w:rPr>
          <w:sz w:val="24"/>
          <w:szCs w:val="24"/>
        </w:rPr>
        <w:t>(Almusaed et al., 2024)</w:t>
      </w:r>
      <w:r>
        <w:rPr>
          <w:sz w:val="24"/>
          <w:szCs w:val="24"/>
        </w:rPr>
        <w:fldChar w:fldCharType="end"/>
      </w:r>
      <w:r>
        <w:rPr>
          <w:sz w:val="24"/>
          <w:szCs w:val="24"/>
        </w:rPr>
        <w:t xml:space="preserve">. </w:t>
      </w:r>
    </w:p>
    <w:p w14:paraId="3916975C" w14:textId="2F6752D9" w:rsidR="00343FBE" w:rsidRPr="00BE69E9" w:rsidRDefault="00B91D58" w:rsidP="00970AD7">
      <w:pPr>
        <w:rPr>
          <w:sz w:val="24"/>
          <w:szCs w:val="24"/>
        </w:rPr>
      </w:pPr>
      <w:r>
        <w:rPr>
          <w:sz w:val="24"/>
          <w:szCs w:val="24"/>
        </w:rPr>
        <w:t xml:space="preserve">Materials such as cement and steel contributes </w:t>
      </w:r>
      <w:proofErr w:type="spellStart"/>
      <w:r>
        <w:rPr>
          <w:sz w:val="24"/>
          <w:szCs w:val="24"/>
        </w:rPr>
        <w:t>upto</w:t>
      </w:r>
      <w:proofErr w:type="spellEnd"/>
      <w:r>
        <w:rPr>
          <w:sz w:val="24"/>
          <w:szCs w:val="24"/>
        </w:rPr>
        <w:t xml:space="preserve"> 30% of a building's lifetime energy demand </w:t>
      </w:r>
      <w:r>
        <w:rPr>
          <w:sz w:val="24"/>
          <w:szCs w:val="24"/>
        </w:rPr>
        <w:fldChar w:fldCharType="begin"/>
      </w:r>
      <w:r w:rsidR="005373B8">
        <w:rPr>
          <w:sz w:val="24"/>
          <w:szCs w:val="24"/>
        </w:rPr>
        <w:instrText xml:space="preserve"> ADDIN ZOTERO_ITEM CSL_CITATION {"citationID":"ZDqQFWoq","properties":{"formattedCitation":"(Ding et al., 2004)","plainCitation":"(Ding et al., 2004)","noteIndex":0},"citationItems":[{"id":5296,"uris":["http://zotero.org/users/17155100/items/H5A9UHSS"],"itemData":{"id":5296,"type":"article-journal","container-title":"Atmospheric Environment","DOI":"10.1016/j.atmosenv.2003.10.016","ISSN":"1352-2310","issue":"5","language":"en","license":"https://www.elsevier.com/tdm/userlicense/1.0/","page":"751-759","publisher":"Elsevier BV","source":"Crossref","title":"Preliminary budget of methane emissions from natural wetlands in China","volume":"38","author":[{"family":"Ding","given":"Weixin"},{"family":"Cai","given":"Zucong"},{"family":"Wang","given":"Dexuan"}],"issued":{"date-parts":[["2004",2]]}}}],"schema":"https://github.com/citation-style-language/schema/raw/master/csl-citation.json"} </w:instrText>
      </w:r>
      <w:r>
        <w:rPr>
          <w:sz w:val="24"/>
          <w:szCs w:val="24"/>
        </w:rPr>
        <w:fldChar w:fldCharType="separate"/>
      </w:r>
      <w:r>
        <w:rPr>
          <w:sz w:val="24"/>
          <w:szCs w:val="24"/>
        </w:rPr>
        <w:t>(Ding et al., 2004)</w:t>
      </w:r>
      <w:r>
        <w:rPr>
          <w:sz w:val="24"/>
          <w:szCs w:val="24"/>
        </w:rPr>
        <w:fldChar w:fldCharType="end"/>
      </w:r>
      <w:r>
        <w:rPr>
          <w:sz w:val="24"/>
          <w:szCs w:val="24"/>
        </w:rPr>
        <w:t xml:space="preserve">. Beyond carbon output, the extraction and production of these materials can lead to habitat loss, resource depletion, and soil degradation </w:t>
      </w:r>
      <w:r>
        <w:rPr>
          <w:sz w:val="24"/>
          <w:szCs w:val="24"/>
        </w:rPr>
        <w:fldChar w:fldCharType="begin"/>
      </w:r>
      <w:r w:rsidR="005373B8">
        <w:rPr>
          <w:sz w:val="24"/>
          <w:szCs w:val="24"/>
        </w:rPr>
        <w:instrText xml:space="preserve"> ADDIN ZOTERO_ITEM CSL_CITATION {"citationID":"0o8wnN8o","properties":{"formattedCitation":"(Hammond &amp; Jones, 2008)","plainCitation":"(Hammond &amp; Jones, 2008)","noteIndex":0},"citationItems":[{"id":5295,"uris":["http://zotero.org/users/17155100/items/GTIF4EI6"],"itemData":{"id":5295,"type":"article-journal","abstract":"The development of an open-access, reliable database for embodied energy and carbon (dioxide) emissions associated with the construction industry is described. The University of Bath's inventory of carbon and energy database lists almost 200 different materials. The data were extracted from peer-reviewed literature on the basis of a defined methodology and a set of five criteria. The database was made publicly available via an online website and has attracted significant interest from industry, academia, government departments and agencies, among others. Feedback from such professional users has played an important part in the choice of ‘best values’ for ‘cradleto-site’ embodied energy and carbon from the range found in the literature. The variation in published data stems from differences in boundary definitions (including geographic origin), age of the data sources and rigour of the original life-cycle assessments. Although principally directed towards UK construction, the material set included in the database is of quite wide application across the industrial sector. The use of the inventory is illustrated with the aid of 14 case studies of real-world new-build dwellings. It was observed that there was little difference between embodied energy and carbon for houses and apartments until external works were taken into account (energy inputs for roads, connecting pathways, etc.).","container-title":"Proceedings of the Institution of Civil Engineers - Energy","DOI":"10.1680/ener.2008.161.2.87","ISSN":"1751-4223, 1751-4231","issue":"2","language":"en","page":"87-98","publisher":"Thomas Telford Ltd.","source":"Crossref","title":"Embodied energy and carbon in construction materials","volume":"161","author":[{"family":"Hammond","given":"G. P."},{"family":"Jones","given":"C. I."}],"issued":{"date-parts":[["2008",5]]}}}],"schema":"https://github.com/citation-style-language/schema/raw/master/csl-citation.json"} </w:instrText>
      </w:r>
      <w:r>
        <w:rPr>
          <w:sz w:val="24"/>
          <w:szCs w:val="24"/>
        </w:rPr>
        <w:fldChar w:fldCharType="separate"/>
      </w:r>
      <w:r>
        <w:rPr>
          <w:sz w:val="24"/>
          <w:szCs w:val="24"/>
        </w:rPr>
        <w:t>(Hammond &amp; Jones, 2008)</w:t>
      </w:r>
      <w:r>
        <w:rPr>
          <w:sz w:val="24"/>
          <w:szCs w:val="24"/>
        </w:rPr>
        <w:fldChar w:fldCharType="end"/>
      </w:r>
      <w:r>
        <w:rPr>
          <w:sz w:val="24"/>
          <w:szCs w:val="24"/>
        </w:rPr>
        <w:t xml:space="preserve">. </w:t>
      </w:r>
    </w:p>
    <w:p w14:paraId="32B9647D" w14:textId="77777777" w:rsidR="00343FBE" w:rsidRPr="00BE69E9" w:rsidRDefault="00343FBE" w:rsidP="00970AD7">
      <w:pPr>
        <w:rPr>
          <w:sz w:val="24"/>
          <w:szCs w:val="24"/>
          <w:lang w:val="en-IN" w:eastAsia="en-IN"/>
        </w:rPr>
      </w:pPr>
      <w:r>
        <w:rPr>
          <w:sz w:val="24"/>
          <w:szCs w:val="24"/>
        </w:rPr>
        <w:t xml:space="preserve">The embodied energy of a material or activity is calculated as the product of its quantity and its specific energy intensity, typically expressed in megajoules per kilogram (MJ/kg): </w:t>
      </w:r>
    </w:p>
    <w:p w14:paraId="0D50CE81" w14:textId="77777777" w:rsidR="003E4A46" w:rsidRPr="00BE69E9" w:rsidRDefault="00EF4C3B" w:rsidP="00970AD7">
      <w:pPr>
        <w:rPr>
          <w:sz w:val="24"/>
          <w:szCs w:val="24"/>
        </w:rPr>
      </w:pPr>
      <w:r>
        <w:rPr>
          <w:sz w:val="24"/>
          <w:szCs w:val="24"/>
          <w:lang w:val="en-IN" w:eastAsia="en-IN"/>
        </w:rPr>
        <w:lastRenderedPageBreak/>
        <w:t xml:space="preserve">Embodied Energy (EE) = Q x Embodied Energy per unit                                                                                          </w:t>
      </w:r>
      <w:proofErr w:type="gramStart"/>
      <w:r>
        <w:rPr>
          <w:sz w:val="24"/>
          <w:szCs w:val="24"/>
          <w:lang w:val="en-IN" w:eastAsia="en-IN"/>
        </w:rPr>
        <w:t xml:space="preserve">   </w:t>
      </w:r>
      <w:r>
        <w:rPr>
          <w:i/>
          <w:iCs/>
          <w:sz w:val="24"/>
          <w:szCs w:val="24"/>
        </w:rPr>
        <w:t>(</w:t>
      </w:r>
      <w:proofErr w:type="gramEnd"/>
      <w:r>
        <w:rPr>
          <w:i/>
          <w:iCs/>
          <w:sz w:val="24"/>
          <w:szCs w:val="24"/>
        </w:rPr>
        <w:t>4)</w:t>
      </w:r>
    </w:p>
    <w:p w14:paraId="700EDC17" w14:textId="77777777" w:rsidR="00EF4C3B" w:rsidRPr="00BE69E9" w:rsidRDefault="00E36730" w:rsidP="00970AD7">
      <w:pPr>
        <w:rPr>
          <w:sz w:val="24"/>
          <w:szCs w:val="24"/>
          <w:lang w:val="en-IN" w:eastAsia="en-IN"/>
        </w:rPr>
      </w:pPr>
      <w:r>
        <w:rPr>
          <w:sz w:val="24"/>
          <w:szCs w:val="24"/>
          <w:lang w:val="en-IN" w:eastAsia="en-IN"/>
        </w:rPr>
        <w:t>Where:</w:t>
      </w:r>
    </w:p>
    <w:p w14:paraId="051E4529" w14:textId="77777777" w:rsidR="00EF4C3B" w:rsidRPr="00BE69E9" w:rsidRDefault="00EF4C3B" w:rsidP="00970AD7">
      <w:pPr>
        <w:pStyle w:val="ListParagraph"/>
        <w:numPr>
          <w:ilvl w:val="0"/>
          <w:numId w:val="1"/>
        </w:numPr>
        <w:rPr>
          <w:sz w:val="24"/>
          <w:szCs w:val="24"/>
          <w:lang w:val="en-IN" w:eastAsia="en-IN"/>
        </w:rPr>
      </w:pPr>
      <w:r>
        <w:rPr>
          <w:sz w:val="24"/>
          <w:szCs w:val="24"/>
          <w:lang w:val="en-IN" w:eastAsia="en-IN"/>
        </w:rPr>
        <w:t>EE = total embodied Energy (</w:t>
      </w:r>
      <w:r>
        <w:rPr>
          <w:sz w:val="24"/>
          <w:szCs w:val="24"/>
        </w:rPr>
        <w:t>MJ/kg</w:t>
      </w:r>
      <w:r>
        <w:rPr>
          <w:sz w:val="24"/>
          <w:szCs w:val="24"/>
          <w:lang w:val="en-IN" w:eastAsia="en-IN"/>
        </w:rPr>
        <w:t>)</w:t>
      </w:r>
    </w:p>
    <w:p w14:paraId="754FF176" w14:textId="77777777" w:rsidR="00EF4C3B" w:rsidRPr="00BE69E9" w:rsidRDefault="00EF4C3B" w:rsidP="00970AD7">
      <w:pPr>
        <w:pStyle w:val="ListParagraph"/>
        <w:numPr>
          <w:ilvl w:val="0"/>
          <w:numId w:val="1"/>
        </w:numPr>
        <w:rPr>
          <w:sz w:val="24"/>
          <w:szCs w:val="24"/>
          <w:lang w:val="en-IN" w:eastAsia="en-IN"/>
        </w:rPr>
      </w:pPr>
      <w:r>
        <w:rPr>
          <w:sz w:val="24"/>
          <w:szCs w:val="24"/>
          <w:lang w:val="en-IN" w:eastAsia="en-IN"/>
        </w:rPr>
        <w:t>Q = quantity used or consumed (kg)</w:t>
      </w:r>
    </w:p>
    <w:p w14:paraId="16EF2538" w14:textId="77777777" w:rsidR="00343FBE" w:rsidRPr="00BE69E9" w:rsidRDefault="00343FBE" w:rsidP="00970AD7">
      <w:pPr>
        <w:pStyle w:val="ListParagraph"/>
        <w:numPr>
          <w:ilvl w:val="0"/>
          <w:numId w:val="1"/>
        </w:numPr>
        <w:rPr>
          <w:sz w:val="24"/>
          <w:szCs w:val="24"/>
        </w:rPr>
      </w:pPr>
      <w:r>
        <w:rPr>
          <w:sz w:val="24"/>
          <w:szCs w:val="24"/>
        </w:rPr>
        <w:t>Embodied Energy per unit: Specific energy intensity for the material/process (MJ/kg)</w:t>
      </w:r>
    </w:p>
    <w:p w14:paraId="6F7397CD" w14:textId="7EC0CEA5" w:rsidR="00EF4C3B" w:rsidRPr="00BE69E9" w:rsidRDefault="00EF4C3B" w:rsidP="00970AD7">
      <w:pPr>
        <w:rPr>
          <w:sz w:val="24"/>
          <w:szCs w:val="24"/>
        </w:rPr>
      </w:pPr>
      <w:r>
        <w:rPr>
          <w:sz w:val="24"/>
          <w:szCs w:val="24"/>
        </w:rPr>
        <w:t xml:space="preserve">Embodied energy per unit data for individual material was derived from recognized databases and peer-reviewed studies to ensure accuracy and consistency </w:t>
      </w:r>
      <w:r>
        <w:rPr>
          <w:sz w:val="24"/>
          <w:szCs w:val="24"/>
        </w:rPr>
        <w:fldChar w:fldCharType="begin"/>
      </w:r>
      <w:r w:rsidR="00D64814">
        <w:rPr>
          <w:sz w:val="24"/>
          <w:szCs w:val="24"/>
        </w:rPr>
        <w:instrText xml:space="preserve"> ADDIN ZOTERO_ITEM CSL_CITATION {"citationID":"E4KF5mhz","properties":{"formattedCitation":"(Singh* et al., 2019; Varun et al., 2012)","plainCitation":"(Singh* et al., 2019; Varun et al., 2012)","noteIndex":0},"citationItems":[{"id":5249,"uris":["http://zotero.org/users/17155100/items/IFKN684J"],"itemData":{"id":5249,"type":"article-journal","abstract":"Today, developing nations are witnessing an unprecedented pace of urbanization in the wake of industrialization and globalization. This is giving rise to an ever increasing demand for housing and infrastructure to support the growing population and its activities. Embodied energy is the energy in total needed in manufacturing and extracting the raw materials, energy consumed for transportation and the external energy applied to raw materials in producing or assembling the final product. In this project, Energy accounted in different material used for construction of this building is calculated. All the material used for construction is accounted and Embodied energies of different materials has been worked out. The Embodied energy calculation arrived based on energy consumed for production and Transportation. With the estimated total quantity of all the materials and the energy, an analysis about the major contributors of embodied energy has been studied and comparisons have been made across different materials between the production and transportation energies. The values have been normalized and a tool has been made on a platform called Spyder to generate the embodied energy calculation for the provided inputs. Suitable alternative material, which consumes less Embodied energy is suggested.","container-title":"International Journal of Recent Technology and Engineering (IJRTE)","DOI":"10.35940/ijrte.c4657.098319","ISSN":"2277-3878","issue":"3","journalAbbreviation":"IJRTE","page":"3151-3158","publisher":"Blue Eyes Intelligence Engineering and Sciences Engineering and Sciences Publication - BEIESP","source":"Crossref","title":"Assessment of Embodied Energy for an Institutional Building","volume":"8","author":[{"family":"Singh*","given":"R. Robert"},{"family":"Kumar","given":"R. Veera"},{"family":"Durai","given":"T. Nelson Ponnu"}],"issued":{"date-parts":[["2019",9,30]]}}},{"id":"ra2KK2lN/yws7g6H4","uris":["http://zotero.org/users/local/n4TXlcxq/items/S22S4AEA"],"itemData":{"id":"fZhLvSq7/I5RIeC66","type":"article-journal","abstract":"This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Pr>
          <w:sz w:val="24"/>
          <w:szCs w:val="24"/>
        </w:rPr>
        <w:fldChar w:fldCharType="separate"/>
      </w:r>
      <w:r>
        <w:rPr>
          <w:sz w:val="24"/>
          <w:szCs w:val="24"/>
        </w:rPr>
        <w:t>(Singh* et al., 2019; Varun et al., 2012)</w:t>
      </w:r>
      <w:r>
        <w:rPr>
          <w:sz w:val="24"/>
          <w:szCs w:val="24"/>
        </w:rPr>
        <w:fldChar w:fldCharType="end"/>
      </w:r>
      <w:r>
        <w:rPr>
          <w:sz w:val="24"/>
          <w:szCs w:val="24"/>
        </w:rPr>
        <w:t>.</w:t>
      </w:r>
    </w:p>
    <w:p w14:paraId="40939819" w14:textId="77777777" w:rsidR="00343FBE" w:rsidRPr="00BE69E9" w:rsidRDefault="00343FBE" w:rsidP="00970AD7">
      <w:pPr>
        <w:rPr>
          <w:sz w:val="24"/>
          <w:szCs w:val="24"/>
        </w:rPr>
      </w:pPr>
      <w:r>
        <w:rPr>
          <w:sz w:val="24"/>
          <w:szCs w:val="24"/>
        </w:rPr>
        <w:t>By quantifying and analyzing embodied energy, practitioners can make informed decisions about construction materials prioritizing approaches that minimize environmental harm and resource consumption. This ultimately facilitates the selection of sustainable alternatives and encourages continuous improvement in building practices.</w:t>
      </w:r>
    </w:p>
    <w:p w14:paraId="793EBE09" w14:textId="77777777" w:rsidR="00EF4C3B" w:rsidRPr="00970AD7" w:rsidRDefault="00FA3752" w:rsidP="006D3FC9">
      <w:pPr>
        <w:pStyle w:val="Heading2"/>
      </w:pPr>
      <w:r>
        <w:t xml:space="preserve">Case Study </w:t>
      </w:r>
    </w:p>
    <w:p w14:paraId="770D5FFE" w14:textId="502A8303" w:rsidR="00FA3752" w:rsidRPr="00BE69E9" w:rsidRDefault="00301545" w:rsidP="00941D61">
      <w:pPr>
        <w:spacing w:before="240"/>
        <w:rPr>
          <w:rFonts w:eastAsia="Times New Roman"/>
          <w:sz w:val="24"/>
          <w:szCs w:val="24"/>
          <w:lang w:eastAsia="en-IN"/>
        </w:rPr>
      </w:pPr>
      <w:r>
        <w:rPr>
          <w:sz w:val="24"/>
          <w:szCs w:val="24"/>
        </w:rPr>
        <w:t xml:space="preserve">The case study focuses on the Parvati Girls' Hostel at the National Institute of Technology (NIT), Hamirpur. The region falls under the 'subtropical highland' category of the </w:t>
      </w:r>
      <w:proofErr w:type="spellStart"/>
      <w:r>
        <w:rPr>
          <w:sz w:val="24"/>
          <w:szCs w:val="24"/>
        </w:rPr>
        <w:t>Köppen</w:t>
      </w:r>
      <w:proofErr w:type="spellEnd"/>
      <w:r>
        <w:rPr>
          <w:sz w:val="24"/>
          <w:szCs w:val="24"/>
        </w:rPr>
        <w:t xml:space="preserve"> climate classification </w:t>
      </w:r>
      <w:r>
        <w:rPr>
          <w:sz w:val="24"/>
          <w:szCs w:val="24"/>
        </w:rPr>
        <w:fldChar w:fldCharType="begin"/>
      </w:r>
      <w:r w:rsidR="005373B8">
        <w:rPr>
          <w:sz w:val="24"/>
          <w:szCs w:val="24"/>
        </w:rPr>
        <w:instrText xml:space="preserve"> ADDIN ZOTERO_ITEM CSL_CITATION {"citationID":"mz9jAfEv","properties":{"formattedCitation":"(\\uc0\\u8216{}K\\uc0\\u246{}ppen-Geiger Climate Classification\\uc0\\u8217{}, 2010)","plainCitation":"(‘Köppen-Geiger Climate Classification’, 2010)","dontUpdate":true,"noteIndex":0},"citationItems":[{"id":5254,"uris":["http://zotero.org/users/17155100/items/CREP44V2"],"itemData":{"id":5254,"type":"chapter","container-title":"Encyclopedia of Geography","DOI":"10.4135/9781412939591.n671","ISBN":"978-1-4129-5697-0","publisher":"SAGE Publications, Inc.","publisher-place":"2455 Teller Road, Thousand Oaks California 91320 United States","source":"DOI.org (Crossref)","title":"Köppen-Geiger Climate Classification","URL":"https://sk.sagepub.com/reference/geography/n671.xml","container-author":[{"family":"Warf","given":"Barney"}],"accessed":{"date-parts":[["2025",8,20]]},"issued":{"date-parts":[["2010"]]}}}],"schema":"https://github.com/citation-style-language/schema/raw/master/csl-citation.json"} </w:instrText>
      </w:r>
      <w:r>
        <w:rPr>
          <w:sz w:val="24"/>
          <w:szCs w:val="24"/>
        </w:rPr>
        <w:fldChar w:fldCharType="separate"/>
      </w:r>
      <w:r>
        <w:rPr>
          <w:sz w:val="24"/>
          <w:szCs w:val="24"/>
        </w:rPr>
        <w:t>('</w:t>
      </w:r>
      <w:proofErr w:type="spellStart"/>
      <w:r>
        <w:rPr>
          <w:sz w:val="24"/>
          <w:szCs w:val="24"/>
        </w:rPr>
        <w:t>Köppen</w:t>
      </w:r>
      <w:proofErr w:type="spellEnd"/>
      <w:r>
        <w:rPr>
          <w:sz w:val="24"/>
          <w:szCs w:val="24"/>
        </w:rPr>
        <w:t>-Geiger Climate Classification', 2010)</w:t>
      </w:r>
      <w:r>
        <w:rPr>
          <w:sz w:val="24"/>
          <w:szCs w:val="24"/>
        </w:rPr>
        <w:fldChar w:fldCharType="end"/>
      </w:r>
      <w:r>
        <w:rPr>
          <w:sz w:val="24"/>
          <w:szCs w:val="24"/>
        </w:rPr>
        <w:t xml:space="preserve">. It experiences hot summers and cold winters. Solar radiation is available throughout the year, ranging from 3.45 kWh/m²/day in December to 7.42 kWh/m²/day in May. The hostel building was constructed in 1998 and has a total built-up area of 3,522 m². It accommodated 160 students in total. </w:t>
      </w:r>
      <w:r>
        <w:rPr>
          <w:rFonts w:eastAsia="Times New Roman"/>
          <w:sz w:val="24"/>
          <w:szCs w:val="24"/>
          <w:lang w:eastAsia="en-IN"/>
        </w:rPr>
        <w:t>The building is organized into six blocks (A, B, C, D, E, and F), offering various accommodation options tailored to meet the diverse needs of its residents. Blocks D, E, and F feature 54 single-seated rooms, and Blocks A, B, and C comprise 36 triple-sharing rooms.</w:t>
      </w:r>
    </w:p>
    <w:p w14:paraId="572895DF" w14:textId="47BF931E" w:rsidR="009E51D8" w:rsidRDefault="00B91D58" w:rsidP="00970AD7">
      <w:pPr>
        <w:rPr>
          <w:sz w:val="24"/>
          <w:szCs w:val="24"/>
          <w:lang w:val="en-IN" w:eastAsia="en-IN"/>
        </w:rPr>
      </w:pPr>
      <w:r>
        <w:rPr>
          <w:rFonts w:eastAsia="Times New Roman"/>
          <w:sz w:val="24"/>
          <w:szCs w:val="24"/>
          <w:lang w:eastAsia="en-IN"/>
        </w:rPr>
        <w:t>Apart from 90 residential rooms, there are nine common washrooms, a dining hall, common room facilities, guest rooms and administrative rooms. Figure 2 represents the ground floor plan of the building and Figure 3 represents the typical floor plan for the first and second floors</w:t>
      </w:r>
      <w:r>
        <w:rPr>
          <w:sz w:val="24"/>
          <w:szCs w:val="24"/>
          <w:lang w:val="en-IN" w:eastAsia="en-IN"/>
        </w:rPr>
        <w:t>. The external walls are constructed using stone masonry with a thickness of 300 mm. The internal partitions are built with 230 mm-thick brick. Fenestration includes external windows fitted with 4 mm-thick clear glass, supported by mild steel (MS) frames. Doors are positioned at a lintel height of 2,000 mm and are fabricated from wood, reinforced with MS angles for durability. Safety considerations are addressed through railings composed of MS channels, set at a standard height of 600 mm. Flooring throughout the building is finished in terrazzo.</w:t>
      </w:r>
    </w:p>
    <w:p w14:paraId="7F0189F2" w14:textId="77777777" w:rsidR="00D64814" w:rsidRPr="00BE69E9" w:rsidRDefault="00D64814" w:rsidP="00D64814">
      <w:pPr>
        <w:pStyle w:val="Default"/>
        <w:keepNext/>
        <w:jc w:val="center"/>
      </w:pPr>
      <w:r>
        <w:rPr>
          <w:rFonts w:eastAsia="Times New Roman"/>
          <w:noProof/>
          <w:color w:val="auto"/>
          <w:lang w:eastAsia="en-IN"/>
        </w:rPr>
        <w:drawing>
          <wp:inline distT="0" distB="0" distL="0" distR="0" wp14:anchorId="5D461732" wp14:editId="64F4C4AF">
            <wp:extent cx="5808563" cy="3714750"/>
            <wp:effectExtent l="0" t="0" r="1905" b="0"/>
            <wp:docPr id="1496417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80402" name=""/>
                    <pic:cNvPicPr/>
                  </pic:nvPicPr>
                  <pic:blipFill>
                    <a:blip r:embed="rId13"/>
                    <a:stretch>
                      <a:fillRect/>
                    </a:stretch>
                  </pic:blipFill>
                  <pic:spPr>
                    <a:xfrm>
                      <a:off x="0" y="0"/>
                      <a:ext cx="5810328" cy="3715879"/>
                    </a:xfrm>
                    <a:prstGeom prst="rect">
                      <a:avLst/>
                    </a:prstGeom>
                  </pic:spPr>
                </pic:pic>
              </a:graphicData>
            </a:graphic>
          </wp:inline>
        </w:drawing>
      </w:r>
    </w:p>
    <w:p w14:paraId="79160837" w14:textId="77777777" w:rsidR="00D64814" w:rsidRPr="00BE69E9" w:rsidRDefault="00D64814" w:rsidP="00D64814">
      <w:pPr>
        <w:pStyle w:val="Caption"/>
        <w:jc w:val="center"/>
        <w:rPr>
          <w:rFonts w:eastAsia="Times New Roman"/>
          <w:i w:val="0"/>
          <w:iCs w:val="0"/>
          <w:sz w:val="24"/>
          <w:szCs w:val="24"/>
          <w:lang w:eastAsia="en-IN"/>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2</w:t>
      </w:r>
      <w:r>
        <w:rPr>
          <w:b/>
          <w:bCs/>
          <w:i w:val="0"/>
          <w:iCs w:val="0"/>
          <w:sz w:val="24"/>
          <w:szCs w:val="24"/>
        </w:rPr>
        <w:fldChar w:fldCharType="end"/>
      </w:r>
      <w:r>
        <w:rPr>
          <w:i w:val="0"/>
          <w:iCs w:val="0"/>
          <w:sz w:val="24"/>
          <w:szCs w:val="24"/>
        </w:rPr>
        <w:t xml:space="preserve"> Ground floor plan of the building</w:t>
      </w:r>
    </w:p>
    <w:p w14:paraId="47FF99B4" w14:textId="77777777" w:rsidR="00D64814" w:rsidRDefault="00D64814" w:rsidP="00970AD7">
      <w:pPr>
        <w:rPr>
          <w:sz w:val="24"/>
          <w:szCs w:val="24"/>
          <w:lang w:val="en-IN" w:eastAsia="en-IN"/>
        </w:rPr>
      </w:pPr>
    </w:p>
    <w:p w14:paraId="4B0A7CEE" w14:textId="77777777" w:rsidR="0047752D" w:rsidRPr="00BE69E9" w:rsidRDefault="0047752D" w:rsidP="0047752D">
      <w:pPr>
        <w:rPr>
          <w:sz w:val="24"/>
          <w:szCs w:val="24"/>
        </w:rPr>
      </w:pPr>
      <w:r>
        <w:rPr>
          <w:sz w:val="24"/>
          <w:szCs w:val="24"/>
        </w:rPr>
        <w:lastRenderedPageBreak/>
        <w:t>The architectural plans and bill of quantities of the hostel were sourced from the Institute's Engineering Office, providing a detailed blueprint of the building design and materials used. Additionally, data on water and electricity consumption were acquired from the monthly expense bills maintained by the hostel office. These bills offered insights into their usage patterns, enabling a comprehensive analysis of resource consumption. The collected data were meticulously organized and validated to ensure accuracy and reliability for the study's objectives.</w:t>
      </w:r>
    </w:p>
    <w:p w14:paraId="0F720763" w14:textId="77777777" w:rsidR="0047752D" w:rsidRPr="00BE69E9" w:rsidRDefault="0047752D" w:rsidP="0047752D">
      <w:pPr>
        <w:pStyle w:val="Default"/>
        <w:keepNext/>
        <w:jc w:val="center"/>
      </w:pPr>
      <w:r>
        <w:rPr>
          <w:rFonts w:eastAsia="Times New Roman"/>
          <w:noProof/>
          <w:color w:val="auto"/>
          <w:lang w:eastAsia="en-IN"/>
        </w:rPr>
        <w:drawing>
          <wp:inline distT="0" distB="0" distL="0" distR="0" wp14:anchorId="4D73B233" wp14:editId="6A8826A4">
            <wp:extent cx="5759450" cy="3664881"/>
            <wp:effectExtent l="0" t="0" r="0" b="0"/>
            <wp:docPr id="82525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85312" name=""/>
                    <pic:cNvPicPr/>
                  </pic:nvPicPr>
                  <pic:blipFill>
                    <a:blip r:embed="rId14"/>
                    <a:stretch>
                      <a:fillRect/>
                    </a:stretch>
                  </pic:blipFill>
                  <pic:spPr>
                    <a:xfrm>
                      <a:off x="0" y="0"/>
                      <a:ext cx="5763065" cy="3667181"/>
                    </a:xfrm>
                    <a:prstGeom prst="rect">
                      <a:avLst/>
                    </a:prstGeom>
                  </pic:spPr>
                </pic:pic>
              </a:graphicData>
            </a:graphic>
          </wp:inline>
        </w:drawing>
      </w:r>
    </w:p>
    <w:p w14:paraId="24922933" w14:textId="77777777" w:rsidR="0047752D" w:rsidRPr="00BE69E9" w:rsidRDefault="0047752D" w:rsidP="0047752D">
      <w:pPr>
        <w:pStyle w:val="Caption"/>
        <w:jc w:val="center"/>
        <w:rPr>
          <w:i w:val="0"/>
          <w:iCs w:val="0"/>
          <w:sz w:val="24"/>
          <w:szCs w:val="24"/>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3</w:t>
      </w:r>
      <w:r>
        <w:rPr>
          <w:b/>
          <w:bCs/>
          <w:i w:val="0"/>
          <w:iCs w:val="0"/>
          <w:sz w:val="24"/>
          <w:szCs w:val="24"/>
        </w:rPr>
        <w:fldChar w:fldCharType="end"/>
      </w:r>
      <w:r>
        <w:rPr>
          <w:i w:val="0"/>
          <w:iCs w:val="0"/>
          <w:sz w:val="24"/>
          <w:szCs w:val="24"/>
        </w:rPr>
        <w:t xml:space="preserve"> Typical floor plan of Building</w:t>
      </w:r>
    </w:p>
    <w:p w14:paraId="164340E7" w14:textId="73CF05C2" w:rsidR="00EF2A91" w:rsidRPr="00BE69E9" w:rsidRDefault="00EF2A91" w:rsidP="00970AD7">
      <w:pPr>
        <w:rPr>
          <w:sz w:val="24"/>
          <w:szCs w:val="24"/>
        </w:rPr>
      </w:pPr>
      <w:r>
        <w:rPr>
          <w:sz w:val="24"/>
          <w:szCs w:val="24"/>
        </w:rPr>
        <w:t xml:space="preserve">Transportation-related carbon emissions were quantified through calculations based on vehicle mileage, payload, trip frequency, and distance from the source. The total trips were calculated by dividing the material quantity by the vehicle payload. The diesel consumption is based on the total trips, where each trip consumes a set amount of diesel. Carbon emissions (kg CO₂- eq.) are calculated based on the diesel consumed. The emission factor for diesel is a constant that converts diesel consumption into carbon dioxide equivalents </w:t>
      </w:r>
      <w:r>
        <w:rPr>
          <w:sz w:val="24"/>
          <w:szCs w:val="24"/>
        </w:rPr>
        <w:fldChar w:fldCharType="begin"/>
      </w:r>
      <w:r w:rsidR="00231789">
        <w:rPr>
          <w:sz w:val="24"/>
          <w:szCs w:val="24"/>
        </w:rPr>
        <w:instrText xml:space="preserve"> ADDIN ZOTERO_ITEM CSL_CITATION {"citationID":"uXboTYaz","properties":{"formattedCitation":"(B. Surekha et al., 2016)","plainCitation":"(B. Surekha et al., 2016)","noteIndex":0},"citationItems":[{"id":5290,"uris":["http://zotero.org/users/17155100/items/36PU3UVZ"],"itemData":{"id":5290,"type":"article-journal","container-title":"IASET","issue":"5","journalAbbreviation":"International Journal of Civil Engineering (IJCE)","page":"13-24","title":"ENERGY AND BUILDING MATERIALS","volume":"5","author":[{"literal":"B. Surekha"},{"literal":"M. N. HEGDE"},{"literal":"K. S. JAGADISH"}],"issued":{"date-parts":[["2016",9]]}}}],"schema":"https://github.com/citation-style-language/schema/raw/master/csl-citation.json"} </w:instrText>
      </w:r>
      <w:r>
        <w:rPr>
          <w:sz w:val="24"/>
          <w:szCs w:val="24"/>
        </w:rPr>
        <w:fldChar w:fldCharType="separate"/>
      </w:r>
      <w:r>
        <w:rPr>
          <w:sz w:val="24"/>
          <w:szCs w:val="24"/>
        </w:rPr>
        <w:t>(B. Surekha et al., 2016)</w:t>
      </w:r>
      <w:r>
        <w:rPr>
          <w:sz w:val="24"/>
          <w:szCs w:val="24"/>
        </w:rPr>
        <w:fldChar w:fldCharType="end"/>
      </w:r>
      <w:r>
        <w:rPr>
          <w:sz w:val="24"/>
          <w:szCs w:val="24"/>
        </w:rPr>
        <w:t>. The source of the building materials, such as bricks, MS frames, etc., is Una (Himachal Pradesh), which is 67 km away from the site.</w:t>
      </w:r>
    </w:p>
    <w:p w14:paraId="2D1D9A50" w14:textId="77777777" w:rsidR="001941B1" w:rsidRPr="00BE69E9" w:rsidRDefault="001941B1" w:rsidP="00970AD7">
      <w:pPr>
        <w:rPr>
          <w:sz w:val="24"/>
          <w:szCs w:val="24"/>
        </w:rPr>
      </w:pPr>
    </w:p>
    <w:p w14:paraId="63B5B1F9" w14:textId="77777777" w:rsidR="00F0333C" w:rsidRPr="00BE69E9" w:rsidRDefault="00970AD7" w:rsidP="00970AD7">
      <w:pPr>
        <w:pStyle w:val="Heading1"/>
      </w:pPr>
      <w:r>
        <w:t>RESULTS</w:t>
      </w:r>
    </w:p>
    <w:p w14:paraId="4C797F2A" w14:textId="77777777" w:rsidR="009E662E" w:rsidRPr="00BE69E9" w:rsidRDefault="009E662E" w:rsidP="00941D61">
      <w:pPr>
        <w:spacing w:before="240" w:after="240"/>
        <w:rPr>
          <w:sz w:val="24"/>
          <w:szCs w:val="24"/>
        </w:rPr>
      </w:pPr>
      <w:r>
        <w:rPr>
          <w:sz w:val="24"/>
          <w:szCs w:val="24"/>
        </w:rPr>
        <w:t>A comprehensive assessment of embodied energy and carbon emissions was conducted for the primary construction materials used in the project. The results reveal significant variations in environmental impact across materials, reflecting differences in processing intensity, unit quantities, and emission factors.</w:t>
      </w:r>
    </w:p>
    <w:p w14:paraId="6C1042B3" w14:textId="77777777" w:rsidR="002903B9" w:rsidRPr="00BE69E9" w:rsidRDefault="002903B9" w:rsidP="006D3FC9">
      <w:pPr>
        <w:pStyle w:val="Heading3"/>
        <w:numPr>
          <w:ilvl w:val="0"/>
          <w:numId w:val="0"/>
        </w:numPr>
        <w:rPr>
          <w:sz w:val="24"/>
          <w:szCs w:val="24"/>
        </w:rPr>
      </w:pPr>
      <w:r>
        <w:rPr>
          <w:sz w:val="24"/>
          <w:szCs w:val="24"/>
        </w:rPr>
        <w:t>Pre-Occupancy stage (Construction stage)</w:t>
      </w:r>
    </w:p>
    <w:p w14:paraId="46DBC211" w14:textId="77777777" w:rsidR="009E662E" w:rsidRPr="00BE69E9" w:rsidRDefault="00C828F9" w:rsidP="00941D61">
      <w:pPr>
        <w:spacing w:before="240"/>
        <w:rPr>
          <w:sz w:val="24"/>
          <w:szCs w:val="24"/>
        </w:rPr>
      </w:pPr>
      <w:r>
        <w:rPr>
          <w:sz w:val="24"/>
          <w:szCs w:val="24"/>
        </w:rPr>
        <w:t xml:space="preserve">Embodied energy during the pre-occupancy stage is due to the materials. </w:t>
      </w:r>
      <w:r>
        <w:rPr>
          <w:rFonts w:eastAsia="Times New Roman"/>
          <w:sz w:val="24"/>
          <w:szCs w:val="24"/>
        </w:rPr>
        <w:t>The total embodied energy for the building materials is estimated to be approximately 10.93 million megajoules (MJ), as mentioned in Table 1</w:t>
      </w:r>
      <w:r>
        <w:rPr>
          <w:sz w:val="24"/>
          <w:szCs w:val="24"/>
        </w:rPr>
        <w:t xml:space="preserve">. The most energy-intensive materials were </w:t>
      </w:r>
      <w:r>
        <w:rPr>
          <w:rFonts w:eastAsia="Times New Roman"/>
          <w:sz w:val="24"/>
          <w:szCs w:val="24"/>
        </w:rPr>
        <w:t>brick</w:t>
      </w:r>
      <w:r>
        <w:rPr>
          <w:sz w:val="24"/>
          <w:szCs w:val="24"/>
        </w:rPr>
        <w:t xml:space="preserve"> and </w:t>
      </w:r>
      <w:r>
        <w:rPr>
          <w:rFonts w:eastAsia="Times New Roman"/>
          <w:sz w:val="24"/>
          <w:szCs w:val="24"/>
        </w:rPr>
        <w:t>limestone</w:t>
      </w:r>
      <w:r>
        <w:rPr>
          <w:sz w:val="24"/>
          <w:szCs w:val="24"/>
        </w:rPr>
        <w:t xml:space="preserve">, contributing </w:t>
      </w:r>
      <w:r>
        <w:rPr>
          <w:rFonts w:eastAsia="Times New Roman"/>
          <w:sz w:val="24"/>
          <w:szCs w:val="24"/>
        </w:rPr>
        <w:t>4.22 million MJ</w:t>
      </w:r>
      <w:r>
        <w:rPr>
          <w:sz w:val="24"/>
          <w:szCs w:val="24"/>
        </w:rPr>
        <w:t xml:space="preserve"> and </w:t>
      </w:r>
      <w:r>
        <w:rPr>
          <w:rFonts w:eastAsia="Times New Roman"/>
          <w:sz w:val="24"/>
          <w:szCs w:val="24"/>
        </w:rPr>
        <w:t>2.90 million MJ,</w:t>
      </w:r>
      <w:r>
        <w:rPr>
          <w:sz w:val="24"/>
          <w:szCs w:val="24"/>
        </w:rPr>
        <w:t xml:space="preserve"> respectively. This is attributed to their high embodied energy per unit mass and the magnitude of their usage. </w:t>
      </w:r>
      <w:r>
        <w:rPr>
          <w:rFonts w:eastAsia="Times New Roman"/>
          <w:sz w:val="24"/>
          <w:szCs w:val="24"/>
        </w:rPr>
        <w:t>Reinforced Cement Concrete (RCC)</w:t>
      </w:r>
      <w:r>
        <w:rPr>
          <w:sz w:val="24"/>
          <w:szCs w:val="24"/>
        </w:rPr>
        <w:t xml:space="preserve"> and </w:t>
      </w:r>
      <w:r>
        <w:rPr>
          <w:rFonts w:eastAsia="Times New Roman"/>
          <w:sz w:val="24"/>
          <w:szCs w:val="24"/>
        </w:rPr>
        <w:t>cement</w:t>
      </w:r>
      <w:r>
        <w:rPr>
          <w:sz w:val="24"/>
          <w:szCs w:val="24"/>
        </w:rPr>
        <w:t xml:space="preserve"> also contributed significantly, with total embodied energies of </w:t>
      </w:r>
      <w:r>
        <w:rPr>
          <w:rFonts w:eastAsia="Times New Roman"/>
          <w:sz w:val="24"/>
          <w:szCs w:val="24"/>
        </w:rPr>
        <w:t>1.78 million MJ</w:t>
      </w:r>
      <w:r>
        <w:rPr>
          <w:sz w:val="24"/>
          <w:szCs w:val="24"/>
        </w:rPr>
        <w:t xml:space="preserve"> and </w:t>
      </w:r>
      <w:r>
        <w:rPr>
          <w:rFonts w:eastAsia="Times New Roman"/>
          <w:sz w:val="24"/>
          <w:szCs w:val="24"/>
        </w:rPr>
        <w:t>1.25 million MJ</w:t>
      </w:r>
      <w:r>
        <w:rPr>
          <w:sz w:val="24"/>
          <w:szCs w:val="24"/>
        </w:rPr>
        <w:t>, respectively. Despite their moderate per unit embodied energy</w:t>
      </w:r>
      <w:r>
        <w:rPr>
          <w:rStyle w:val="CommentReference"/>
          <w:sz w:val="24"/>
          <w:szCs w:val="24"/>
        </w:rPr>
        <w:t>,</w:t>
      </w:r>
      <w:r>
        <w:rPr>
          <w:sz w:val="24"/>
          <w:szCs w:val="24"/>
        </w:rPr>
        <w:t xml:space="preserve"> their bulk usage resulted in high cumulative energy demand.</w:t>
      </w:r>
    </w:p>
    <w:p w14:paraId="77B0D586" w14:textId="77777777" w:rsidR="009E662E" w:rsidRPr="00BE69E9" w:rsidRDefault="009E662E" w:rsidP="006D3FC9">
      <w:pPr>
        <w:spacing w:after="240"/>
        <w:rPr>
          <w:rFonts w:eastAsia="Times New Roman"/>
          <w:sz w:val="24"/>
          <w:szCs w:val="24"/>
          <w:lang w:val="en-IN" w:eastAsia="en-IN"/>
        </w:rPr>
      </w:pPr>
      <w:r>
        <w:rPr>
          <w:rFonts w:eastAsia="Times New Roman"/>
          <w:sz w:val="24"/>
          <w:szCs w:val="24"/>
          <w:lang w:val="en-IN" w:eastAsia="en-IN"/>
        </w:rPr>
        <w:t xml:space="preserve">Other materials with notable embodied energy contributions include vitrified tiles (113,057 MJ), MS grill (247,564 MJ), and glass panes (21,097 MJ). In contrast, materials such as paver blocks, granite, CPVC and PVC </w:t>
      </w:r>
      <w:r>
        <w:rPr>
          <w:rFonts w:eastAsia="Times New Roman"/>
          <w:sz w:val="24"/>
          <w:szCs w:val="24"/>
          <w:lang w:val="en-IN" w:eastAsia="en-IN"/>
        </w:rPr>
        <w:lastRenderedPageBreak/>
        <w:t>pipes, paints, and cement putty exhibited comparatively lower total energy impacts due to smaller usage volumes or lower energy intensities.</w:t>
      </w:r>
    </w:p>
    <w:p w14:paraId="55FC5D3B" w14:textId="77777777" w:rsidR="00310B60" w:rsidRPr="00BE69E9" w:rsidRDefault="00A642A7" w:rsidP="006D3FC9">
      <w:pPr>
        <w:pStyle w:val="Heading3"/>
        <w:numPr>
          <w:ilvl w:val="0"/>
          <w:numId w:val="0"/>
        </w:numPr>
        <w:rPr>
          <w:sz w:val="24"/>
          <w:szCs w:val="24"/>
        </w:rPr>
      </w:pPr>
      <w:r>
        <w:rPr>
          <w:sz w:val="24"/>
          <w:szCs w:val="24"/>
        </w:rPr>
        <w:t>Pre-occupancy stage: Construction stage</w:t>
      </w:r>
    </w:p>
    <w:p w14:paraId="4D917B79" w14:textId="77777777" w:rsidR="0054436C" w:rsidRPr="00BE69E9" w:rsidRDefault="00A642A7" w:rsidP="00941D61">
      <w:pPr>
        <w:spacing w:before="240"/>
        <w:rPr>
          <w:sz w:val="24"/>
          <w:szCs w:val="24"/>
        </w:rPr>
      </w:pPr>
      <w:r>
        <w:rPr>
          <w:sz w:val="24"/>
          <w:szCs w:val="24"/>
        </w:rPr>
        <w:t xml:space="preserve">Carbon emissions during this stage arise primarily due to raw material extraction, manufacturing, and transportation. Heavy construction vehicles and equipment also contribute significantly to greenhouse gas emissions, but are not considered in the study. Energy-intensive processes like cement and steel production generate substantial amounts of CO₂, both directly from chemical reactions (e.g., calcination in cement) and indirectly from the use of fossil fuels. </w:t>
      </w:r>
    </w:p>
    <w:p w14:paraId="613A9F08" w14:textId="77777777" w:rsidR="00B831C0" w:rsidRPr="00BE69E9" w:rsidRDefault="00B831C0" w:rsidP="006D3FC9">
      <w:pPr>
        <w:spacing w:after="240"/>
        <w:rPr>
          <w:sz w:val="24"/>
          <w:szCs w:val="24"/>
          <w:lang w:val="en-IN" w:eastAsia="en-IN"/>
        </w:rPr>
      </w:pPr>
      <w:r>
        <w:rPr>
          <w:sz w:val="24"/>
          <w:szCs w:val="24"/>
          <w:lang w:val="en-IN" w:eastAsia="en-IN"/>
        </w:rPr>
        <w:t xml:space="preserve">The total carbon emissions associated with the building materials amount to 3.4 million kilograms of </w:t>
      </w:r>
      <w:r>
        <w:rPr>
          <w:sz w:val="24"/>
          <w:szCs w:val="24"/>
        </w:rPr>
        <w:t xml:space="preserve">CO₂- eq., </w:t>
      </w:r>
      <w:r>
        <w:rPr>
          <w:sz w:val="24"/>
          <w:szCs w:val="24"/>
          <w:lang w:val="en-IN" w:eastAsia="en-IN"/>
        </w:rPr>
        <w:t xml:space="preserve">as mentioned in Table 1. Brick emerges as the highest emitter, responsible for 1.7 million kg CO₂- eq., which corresponds to over 50% of total emissions. This is a direct result of its high emission factor (0.48 kg CO₂- eq./kg) and substantial volume. RCC is the second-largest contributor, with emissions amounting approximately to 1.0 million kg </w:t>
      </w:r>
      <w:r>
        <w:rPr>
          <w:sz w:val="24"/>
          <w:szCs w:val="24"/>
        </w:rPr>
        <w:t>CO₂-eq.</w:t>
      </w:r>
      <w:r>
        <w:rPr>
          <w:sz w:val="24"/>
          <w:szCs w:val="24"/>
          <w:lang w:val="en-IN" w:eastAsia="en-IN"/>
        </w:rPr>
        <w:t xml:space="preserve"> owing to its high emission factor (410 kg CO₂- eq./</w:t>
      </w:r>
      <w:proofErr w:type="spellStart"/>
      <w:r>
        <w:rPr>
          <w:sz w:val="24"/>
          <w:szCs w:val="24"/>
          <w:lang w:val="en-IN" w:eastAsia="en-IN"/>
        </w:rPr>
        <w:t>Cu.m</w:t>
      </w:r>
      <w:proofErr w:type="spellEnd"/>
      <w:r>
        <w:rPr>
          <w:sz w:val="24"/>
          <w:szCs w:val="24"/>
          <w:lang w:val="en-IN" w:eastAsia="en-IN"/>
        </w:rPr>
        <w:t>) and considerable usage.</w:t>
      </w:r>
    </w:p>
    <w:p w14:paraId="20F3DA16" w14:textId="176D3CD5" w:rsidR="00F11ECC" w:rsidRPr="00BE69E9" w:rsidRDefault="00F11ECC" w:rsidP="00941D61">
      <w:pPr>
        <w:pStyle w:val="Caption"/>
        <w:keepNext/>
        <w:spacing w:after="0"/>
        <w:rPr>
          <w:i w:val="0"/>
          <w:iCs w:val="0"/>
          <w:sz w:val="24"/>
          <w:szCs w:val="24"/>
        </w:rPr>
      </w:pPr>
      <w:r>
        <w:rPr>
          <w:b/>
          <w:bCs/>
          <w:i w:val="0"/>
          <w:iCs w:val="0"/>
          <w:sz w:val="24"/>
          <w:szCs w:val="24"/>
        </w:rPr>
        <w:t xml:space="preserve">Table </w:t>
      </w:r>
      <w:r>
        <w:rPr>
          <w:b/>
          <w:bCs/>
          <w:i w:val="0"/>
          <w:iCs w:val="0"/>
          <w:sz w:val="24"/>
          <w:szCs w:val="24"/>
        </w:rPr>
        <w:fldChar w:fldCharType="begin"/>
      </w:r>
      <w:r>
        <w:rPr>
          <w:b/>
          <w:bCs/>
          <w:i w:val="0"/>
          <w:iCs w:val="0"/>
          <w:sz w:val="24"/>
          <w:szCs w:val="24"/>
        </w:rPr>
        <w:instrText xml:space="preserve"> SEQ Table \* ARABIC </w:instrText>
      </w:r>
      <w:r>
        <w:rPr>
          <w:b/>
          <w:bCs/>
          <w:i w:val="0"/>
          <w:iCs w:val="0"/>
          <w:sz w:val="24"/>
          <w:szCs w:val="24"/>
        </w:rPr>
        <w:fldChar w:fldCharType="separate"/>
      </w:r>
      <w:r w:rsidR="006306C2">
        <w:rPr>
          <w:b/>
          <w:bCs/>
          <w:i w:val="0"/>
          <w:iCs w:val="0"/>
          <w:noProof/>
          <w:sz w:val="24"/>
          <w:szCs w:val="24"/>
        </w:rPr>
        <w:t>1</w:t>
      </w:r>
      <w:r>
        <w:rPr>
          <w:b/>
          <w:bCs/>
          <w:i w:val="0"/>
          <w:iCs w:val="0"/>
          <w:sz w:val="24"/>
          <w:szCs w:val="24"/>
        </w:rPr>
        <w:fldChar w:fldCharType="end"/>
      </w:r>
      <w:r>
        <w:rPr>
          <w:sz w:val="24"/>
          <w:szCs w:val="24"/>
        </w:rPr>
        <w:t xml:space="preserve"> </w:t>
      </w:r>
      <w:r>
        <w:rPr>
          <w:i w:val="0"/>
          <w:iCs w:val="0"/>
          <w:sz w:val="24"/>
          <w:szCs w:val="24"/>
        </w:rPr>
        <w:t>Materials with quantities, emissions, and embodied energy</w:t>
      </w:r>
    </w:p>
    <w:tbl>
      <w:tblPr>
        <w:tblW w:w="5000" w:type="pct"/>
        <w:tblLook w:val="04A0" w:firstRow="1" w:lastRow="0" w:firstColumn="1" w:lastColumn="0" w:noHBand="0" w:noVBand="1"/>
      </w:tblPr>
      <w:tblGrid>
        <w:gridCol w:w="1773"/>
        <w:gridCol w:w="1356"/>
        <w:gridCol w:w="842"/>
        <w:gridCol w:w="1526"/>
        <w:gridCol w:w="1729"/>
        <w:gridCol w:w="1729"/>
        <w:gridCol w:w="1727"/>
      </w:tblGrid>
      <w:tr w:rsidR="00F11ECC" w:rsidRPr="00BE69E9" w14:paraId="21F2E24D" w14:textId="77777777" w:rsidTr="006D3FC9">
        <w:trPr>
          <w:trHeight w:val="353"/>
        </w:trPr>
        <w:tc>
          <w:tcPr>
            <w:tcW w:w="832" w:type="pct"/>
            <w:tcBorders>
              <w:top w:val="single" w:sz="4" w:space="0" w:color="auto"/>
              <w:left w:val="single" w:sz="4" w:space="0" w:color="auto"/>
              <w:bottom w:val="single" w:sz="4" w:space="0" w:color="auto"/>
              <w:right w:val="single" w:sz="4" w:space="0" w:color="auto"/>
            </w:tcBorders>
            <w:hideMark/>
          </w:tcPr>
          <w:p w14:paraId="46025236" w14:textId="77777777" w:rsidR="00F11ECC" w:rsidRPr="00BE69E9" w:rsidRDefault="00F11ECC" w:rsidP="006D3FC9">
            <w:pPr>
              <w:jc w:val="left"/>
              <w:rPr>
                <w:sz w:val="24"/>
                <w:szCs w:val="24"/>
              </w:rPr>
            </w:pPr>
            <w:r>
              <w:rPr>
                <w:sz w:val="24"/>
                <w:szCs w:val="24"/>
              </w:rPr>
              <w:t>Materials</w:t>
            </w:r>
          </w:p>
        </w:tc>
        <w:tc>
          <w:tcPr>
            <w:tcW w:w="624" w:type="pct"/>
            <w:tcBorders>
              <w:top w:val="single" w:sz="4" w:space="0" w:color="auto"/>
              <w:left w:val="nil"/>
              <w:bottom w:val="single" w:sz="4" w:space="0" w:color="auto"/>
              <w:right w:val="single" w:sz="4" w:space="0" w:color="auto"/>
            </w:tcBorders>
            <w:hideMark/>
          </w:tcPr>
          <w:p w14:paraId="6218C1C0" w14:textId="77777777" w:rsidR="00F11ECC" w:rsidRPr="00BE69E9" w:rsidRDefault="00F11ECC" w:rsidP="006D3FC9">
            <w:pPr>
              <w:jc w:val="left"/>
              <w:rPr>
                <w:sz w:val="24"/>
                <w:szCs w:val="24"/>
              </w:rPr>
            </w:pPr>
            <w:r>
              <w:rPr>
                <w:sz w:val="24"/>
                <w:szCs w:val="24"/>
              </w:rPr>
              <w:t>Quantity</w:t>
            </w:r>
          </w:p>
        </w:tc>
        <w:tc>
          <w:tcPr>
            <w:tcW w:w="396" w:type="pct"/>
            <w:tcBorders>
              <w:top w:val="single" w:sz="4" w:space="0" w:color="auto"/>
              <w:left w:val="nil"/>
              <w:bottom w:val="single" w:sz="4" w:space="0" w:color="auto"/>
              <w:right w:val="single" w:sz="4" w:space="0" w:color="auto"/>
            </w:tcBorders>
            <w:hideMark/>
          </w:tcPr>
          <w:p w14:paraId="6ACDBE4F" w14:textId="77777777" w:rsidR="00F11ECC" w:rsidRPr="00BE69E9" w:rsidRDefault="00F11ECC" w:rsidP="006D3FC9">
            <w:pPr>
              <w:jc w:val="left"/>
              <w:rPr>
                <w:sz w:val="24"/>
                <w:szCs w:val="24"/>
              </w:rPr>
            </w:pPr>
            <w:r>
              <w:rPr>
                <w:sz w:val="24"/>
                <w:szCs w:val="24"/>
              </w:rPr>
              <w:t>Units</w:t>
            </w:r>
          </w:p>
        </w:tc>
        <w:tc>
          <w:tcPr>
            <w:tcW w:w="716" w:type="pct"/>
            <w:tcBorders>
              <w:top w:val="single" w:sz="4" w:space="0" w:color="auto"/>
              <w:left w:val="nil"/>
              <w:bottom w:val="single" w:sz="4" w:space="0" w:color="auto"/>
              <w:right w:val="single" w:sz="4" w:space="0" w:color="auto"/>
            </w:tcBorders>
            <w:hideMark/>
          </w:tcPr>
          <w:p w14:paraId="720ADB8D" w14:textId="77777777" w:rsidR="00F11ECC" w:rsidRPr="00BE69E9" w:rsidRDefault="00F11ECC" w:rsidP="006D3FC9">
            <w:pPr>
              <w:jc w:val="left"/>
              <w:rPr>
                <w:sz w:val="24"/>
                <w:szCs w:val="24"/>
              </w:rPr>
            </w:pPr>
            <w:r>
              <w:rPr>
                <w:sz w:val="24"/>
                <w:szCs w:val="24"/>
              </w:rPr>
              <w:t>Emission factor (kg CO₂-eq./ unit)</w:t>
            </w:r>
          </w:p>
        </w:tc>
        <w:tc>
          <w:tcPr>
            <w:tcW w:w="811" w:type="pct"/>
            <w:tcBorders>
              <w:top w:val="single" w:sz="4" w:space="0" w:color="auto"/>
              <w:left w:val="nil"/>
              <w:bottom w:val="single" w:sz="4" w:space="0" w:color="auto"/>
              <w:right w:val="single" w:sz="4" w:space="0" w:color="auto"/>
            </w:tcBorders>
            <w:hideMark/>
          </w:tcPr>
          <w:p w14:paraId="25959DFF" w14:textId="77777777" w:rsidR="00F11ECC" w:rsidRPr="00BE69E9" w:rsidRDefault="00F11ECC" w:rsidP="006D3FC9">
            <w:pPr>
              <w:jc w:val="left"/>
              <w:rPr>
                <w:sz w:val="24"/>
                <w:szCs w:val="24"/>
              </w:rPr>
            </w:pPr>
            <w:r>
              <w:rPr>
                <w:sz w:val="24"/>
                <w:szCs w:val="24"/>
              </w:rPr>
              <w:t>Total emissions (kg CO₂- eq.)</w:t>
            </w:r>
          </w:p>
        </w:tc>
        <w:tc>
          <w:tcPr>
            <w:tcW w:w="811" w:type="pct"/>
            <w:tcBorders>
              <w:top w:val="single" w:sz="4" w:space="0" w:color="auto"/>
              <w:left w:val="nil"/>
              <w:bottom w:val="single" w:sz="4" w:space="0" w:color="auto"/>
              <w:right w:val="single" w:sz="4" w:space="0" w:color="auto"/>
            </w:tcBorders>
          </w:tcPr>
          <w:p w14:paraId="77DAF728" w14:textId="77777777" w:rsidR="00F11ECC" w:rsidRPr="00BE69E9" w:rsidRDefault="00F11ECC" w:rsidP="006D3FC9">
            <w:pPr>
              <w:jc w:val="left"/>
              <w:rPr>
                <w:sz w:val="24"/>
                <w:szCs w:val="24"/>
              </w:rPr>
            </w:pPr>
            <w:r>
              <w:rPr>
                <w:sz w:val="24"/>
                <w:szCs w:val="24"/>
              </w:rPr>
              <w:t>Embodied Energy</w:t>
            </w:r>
          </w:p>
          <w:p w14:paraId="2648AA3A" w14:textId="77777777" w:rsidR="00F11ECC" w:rsidRPr="00BE69E9" w:rsidRDefault="00F11ECC" w:rsidP="006D3FC9">
            <w:pPr>
              <w:jc w:val="left"/>
              <w:rPr>
                <w:sz w:val="24"/>
                <w:szCs w:val="24"/>
              </w:rPr>
            </w:pPr>
            <w:r>
              <w:rPr>
                <w:sz w:val="24"/>
                <w:szCs w:val="24"/>
              </w:rPr>
              <w:t>(MJ/Unit)</w:t>
            </w:r>
          </w:p>
        </w:tc>
        <w:tc>
          <w:tcPr>
            <w:tcW w:w="810" w:type="pct"/>
            <w:tcBorders>
              <w:top w:val="single" w:sz="4" w:space="0" w:color="auto"/>
              <w:left w:val="nil"/>
              <w:bottom w:val="single" w:sz="4" w:space="0" w:color="auto"/>
              <w:right w:val="single" w:sz="4" w:space="0" w:color="auto"/>
            </w:tcBorders>
          </w:tcPr>
          <w:p w14:paraId="4CB72DBD" w14:textId="77777777" w:rsidR="00F11ECC" w:rsidRPr="00BE69E9" w:rsidRDefault="00F11ECC" w:rsidP="006D3FC9">
            <w:pPr>
              <w:jc w:val="left"/>
              <w:rPr>
                <w:sz w:val="24"/>
                <w:szCs w:val="24"/>
              </w:rPr>
            </w:pPr>
            <w:r>
              <w:rPr>
                <w:sz w:val="24"/>
                <w:szCs w:val="24"/>
              </w:rPr>
              <w:t>Total Embodied Energy</w:t>
            </w:r>
          </w:p>
          <w:p w14:paraId="2A628E1E" w14:textId="77777777" w:rsidR="00F11ECC" w:rsidRPr="00BE69E9" w:rsidRDefault="00F11ECC" w:rsidP="006D3FC9">
            <w:pPr>
              <w:jc w:val="left"/>
              <w:rPr>
                <w:sz w:val="24"/>
                <w:szCs w:val="24"/>
              </w:rPr>
            </w:pPr>
            <w:r>
              <w:rPr>
                <w:sz w:val="24"/>
                <w:szCs w:val="24"/>
              </w:rPr>
              <w:t>(MJ)</w:t>
            </w:r>
          </w:p>
        </w:tc>
      </w:tr>
      <w:tr w:rsidR="00F11ECC" w:rsidRPr="00BE69E9" w14:paraId="2020A1C2"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7DE06FCC" w14:textId="77777777" w:rsidR="00F11ECC" w:rsidRPr="00BE69E9" w:rsidRDefault="00F11ECC" w:rsidP="006D3FC9">
            <w:pPr>
              <w:jc w:val="left"/>
              <w:rPr>
                <w:sz w:val="24"/>
                <w:szCs w:val="24"/>
              </w:rPr>
            </w:pPr>
            <w:r>
              <w:rPr>
                <w:sz w:val="24"/>
                <w:szCs w:val="24"/>
              </w:rPr>
              <w:t>Earth Work</w:t>
            </w:r>
          </w:p>
        </w:tc>
        <w:tc>
          <w:tcPr>
            <w:tcW w:w="624" w:type="pct"/>
            <w:tcBorders>
              <w:top w:val="nil"/>
              <w:left w:val="nil"/>
              <w:bottom w:val="single" w:sz="4" w:space="0" w:color="auto"/>
              <w:right w:val="single" w:sz="4" w:space="0" w:color="auto"/>
            </w:tcBorders>
            <w:hideMark/>
          </w:tcPr>
          <w:p w14:paraId="262DDE6C" w14:textId="77777777" w:rsidR="00F11ECC" w:rsidRPr="00BE69E9" w:rsidRDefault="00F11ECC" w:rsidP="006D3FC9">
            <w:pPr>
              <w:jc w:val="left"/>
              <w:rPr>
                <w:sz w:val="24"/>
                <w:szCs w:val="24"/>
              </w:rPr>
            </w:pPr>
            <w:r>
              <w:rPr>
                <w:sz w:val="24"/>
                <w:szCs w:val="24"/>
              </w:rPr>
              <w:t>9,032.9</w:t>
            </w:r>
          </w:p>
        </w:tc>
        <w:tc>
          <w:tcPr>
            <w:tcW w:w="396" w:type="pct"/>
            <w:tcBorders>
              <w:top w:val="nil"/>
              <w:left w:val="nil"/>
              <w:bottom w:val="single" w:sz="4" w:space="0" w:color="auto"/>
              <w:right w:val="single" w:sz="4" w:space="0" w:color="auto"/>
            </w:tcBorders>
            <w:hideMark/>
          </w:tcPr>
          <w:p w14:paraId="48BA8BB5" w14:textId="77777777" w:rsidR="00F11ECC" w:rsidRPr="00BE69E9" w:rsidRDefault="00F11ECC" w:rsidP="006D3FC9">
            <w:pPr>
              <w:jc w:val="left"/>
              <w:rPr>
                <w:sz w:val="24"/>
                <w:szCs w:val="24"/>
              </w:rPr>
            </w:pPr>
            <w:proofErr w:type="spellStart"/>
            <w:r>
              <w:rPr>
                <w:sz w:val="24"/>
                <w:szCs w:val="24"/>
              </w:rPr>
              <w:t>Cu.m</w:t>
            </w:r>
            <w:proofErr w:type="spellEnd"/>
          </w:p>
        </w:tc>
        <w:tc>
          <w:tcPr>
            <w:tcW w:w="716" w:type="pct"/>
            <w:tcBorders>
              <w:top w:val="nil"/>
              <w:left w:val="nil"/>
              <w:bottom w:val="single" w:sz="4" w:space="0" w:color="auto"/>
              <w:right w:val="single" w:sz="4" w:space="0" w:color="auto"/>
            </w:tcBorders>
            <w:hideMark/>
          </w:tcPr>
          <w:p w14:paraId="378E7A9E" w14:textId="77777777" w:rsidR="00F11ECC" w:rsidRPr="00BE69E9" w:rsidRDefault="00F11ECC" w:rsidP="006D3FC9">
            <w:pPr>
              <w:jc w:val="left"/>
              <w:rPr>
                <w:sz w:val="24"/>
                <w:szCs w:val="24"/>
              </w:rPr>
            </w:pPr>
            <w:r>
              <w:rPr>
                <w:sz w:val="24"/>
                <w:szCs w:val="24"/>
              </w:rPr>
              <w:t>0.02</w:t>
            </w:r>
          </w:p>
        </w:tc>
        <w:tc>
          <w:tcPr>
            <w:tcW w:w="811" w:type="pct"/>
            <w:tcBorders>
              <w:top w:val="nil"/>
              <w:left w:val="nil"/>
              <w:bottom w:val="single" w:sz="4" w:space="0" w:color="auto"/>
              <w:right w:val="single" w:sz="4" w:space="0" w:color="auto"/>
            </w:tcBorders>
            <w:hideMark/>
          </w:tcPr>
          <w:p w14:paraId="7002CD65" w14:textId="77777777" w:rsidR="00F11ECC" w:rsidRPr="00BE69E9" w:rsidRDefault="00F11ECC" w:rsidP="006D3FC9">
            <w:pPr>
              <w:jc w:val="left"/>
              <w:rPr>
                <w:sz w:val="24"/>
                <w:szCs w:val="24"/>
              </w:rPr>
            </w:pPr>
            <w:r>
              <w:rPr>
                <w:sz w:val="24"/>
                <w:szCs w:val="24"/>
              </w:rPr>
              <w:t>181</w:t>
            </w:r>
          </w:p>
        </w:tc>
        <w:tc>
          <w:tcPr>
            <w:tcW w:w="811" w:type="pct"/>
            <w:tcBorders>
              <w:top w:val="nil"/>
              <w:left w:val="nil"/>
              <w:bottom w:val="single" w:sz="4" w:space="0" w:color="auto"/>
              <w:right w:val="single" w:sz="4" w:space="0" w:color="auto"/>
            </w:tcBorders>
          </w:tcPr>
          <w:p w14:paraId="368E9F44" w14:textId="77777777" w:rsidR="00F11ECC" w:rsidRPr="00BE69E9" w:rsidRDefault="00F11ECC" w:rsidP="006D3FC9">
            <w:pPr>
              <w:jc w:val="left"/>
              <w:rPr>
                <w:sz w:val="24"/>
                <w:szCs w:val="24"/>
              </w:rPr>
            </w:pPr>
            <w:r>
              <w:rPr>
                <w:sz w:val="24"/>
                <w:szCs w:val="24"/>
              </w:rPr>
              <w:t>NA</w:t>
            </w:r>
          </w:p>
        </w:tc>
        <w:tc>
          <w:tcPr>
            <w:tcW w:w="810" w:type="pct"/>
            <w:tcBorders>
              <w:top w:val="nil"/>
              <w:left w:val="nil"/>
              <w:bottom w:val="single" w:sz="4" w:space="0" w:color="auto"/>
              <w:right w:val="single" w:sz="4" w:space="0" w:color="auto"/>
            </w:tcBorders>
          </w:tcPr>
          <w:p w14:paraId="1880CC0C" w14:textId="77777777" w:rsidR="00F11ECC" w:rsidRPr="00BE69E9" w:rsidRDefault="00F11ECC" w:rsidP="006D3FC9">
            <w:pPr>
              <w:jc w:val="left"/>
              <w:rPr>
                <w:sz w:val="24"/>
                <w:szCs w:val="24"/>
              </w:rPr>
            </w:pPr>
            <w:r>
              <w:rPr>
                <w:sz w:val="24"/>
                <w:szCs w:val="24"/>
              </w:rPr>
              <w:t>NA</w:t>
            </w:r>
          </w:p>
        </w:tc>
      </w:tr>
      <w:tr w:rsidR="00F11ECC" w:rsidRPr="00BE69E9" w14:paraId="36F94A56"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1EEA4833" w14:textId="77777777" w:rsidR="00F11ECC" w:rsidRPr="00BE69E9" w:rsidRDefault="00F11ECC" w:rsidP="006D3FC9">
            <w:pPr>
              <w:jc w:val="left"/>
              <w:rPr>
                <w:sz w:val="24"/>
                <w:szCs w:val="24"/>
              </w:rPr>
            </w:pPr>
            <w:r>
              <w:rPr>
                <w:sz w:val="24"/>
                <w:szCs w:val="24"/>
              </w:rPr>
              <w:t>RCC</w:t>
            </w:r>
          </w:p>
        </w:tc>
        <w:tc>
          <w:tcPr>
            <w:tcW w:w="624" w:type="pct"/>
            <w:tcBorders>
              <w:top w:val="nil"/>
              <w:left w:val="nil"/>
              <w:bottom w:val="single" w:sz="4" w:space="0" w:color="auto"/>
              <w:right w:val="single" w:sz="4" w:space="0" w:color="auto"/>
            </w:tcBorders>
            <w:hideMark/>
          </w:tcPr>
          <w:p w14:paraId="1CE09343" w14:textId="77777777" w:rsidR="00F11ECC" w:rsidRPr="00BE69E9" w:rsidRDefault="00F11ECC" w:rsidP="006D3FC9">
            <w:pPr>
              <w:jc w:val="left"/>
              <w:rPr>
                <w:sz w:val="24"/>
                <w:szCs w:val="24"/>
              </w:rPr>
            </w:pPr>
            <w:r>
              <w:rPr>
                <w:sz w:val="24"/>
                <w:szCs w:val="24"/>
              </w:rPr>
              <w:t>2,447.8</w:t>
            </w:r>
          </w:p>
        </w:tc>
        <w:tc>
          <w:tcPr>
            <w:tcW w:w="396" w:type="pct"/>
            <w:tcBorders>
              <w:top w:val="nil"/>
              <w:left w:val="nil"/>
              <w:bottom w:val="single" w:sz="4" w:space="0" w:color="auto"/>
              <w:right w:val="single" w:sz="4" w:space="0" w:color="auto"/>
            </w:tcBorders>
            <w:hideMark/>
          </w:tcPr>
          <w:p w14:paraId="6E7E36CC" w14:textId="77777777" w:rsidR="00F11ECC" w:rsidRPr="00BE69E9" w:rsidRDefault="00F11ECC" w:rsidP="006D3FC9">
            <w:pPr>
              <w:jc w:val="left"/>
              <w:rPr>
                <w:sz w:val="24"/>
                <w:szCs w:val="24"/>
              </w:rPr>
            </w:pPr>
            <w:proofErr w:type="spellStart"/>
            <w:r>
              <w:rPr>
                <w:sz w:val="24"/>
                <w:szCs w:val="24"/>
              </w:rPr>
              <w:t>Cu.m</w:t>
            </w:r>
            <w:proofErr w:type="spellEnd"/>
          </w:p>
        </w:tc>
        <w:tc>
          <w:tcPr>
            <w:tcW w:w="716" w:type="pct"/>
            <w:tcBorders>
              <w:top w:val="nil"/>
              <w:left w:val="nil"/>
              <w:bottom w:val="single" w:sz="4" w:space="0" w:color="auto"/>
              <w:right w:val="single" w:sz="4" w:space="0" w:color="auto"/>
            </w:tcBorders>
            <w:hideMark/>
          </w:tcPr>
          <w:p w14:paraId="7B09188E" w14:textId="77777777" w:rsidR="00F11ECC" w:rsidRPr="00BE69E9" w:rsidRDefault="00F11ECC" w:rsidP="006D3FC9">
            <w:pPr>
              <w:jc w:val="left"/>
              <w:rPr>
                <w:sz w:val="24"/>
                <w:szCs w:val="24"/>
              </w:rPr>
            </w:pPr>
            <w:r>
              <w:rPr>
                <w:sz w:val="24"/>
                <w:szCs w:val="24"/>
              </w:rPr>
              <w:t>410</w:t>
            </w:r>
          </w:p>
        </w:tc>
        <w:tc>
          <w:tcPr>
            <w:tcW w:w="811" w:type="pct"/>
            <w:tcBorders>
              <w:top w:val="nil"/>
              <w:left w:val="nil"/>
              <w:bottom w:val="single" w:sz="4" w:space="0" w:color="auto"/>
              <w:right w:val="single" w:sz="4" w:space="0" w:color="auto"/>
            </w:tcBorders>
            <w:hideMark/>
          </w:tcPr>
          <w:p w14:paraId="270007E2" w14:textId="77777777" w:rsidR="00F11ECC" w:rsidRPr="00BE69E9" w:rsidRDefault="00F11ECC" w:rsidP="006D3FC9">
            <w:pPr>
              <w:jc w:val="left"/>
              <w:rPr>
                <w:sz w:val="24"/>
                <w:szCs w:val="24"/>
              </w:rPr>
            </w:pPr>
            <w:r>
              <w:rPr>
                <w:sz w:val="24"/>
                <w:szCs w:val="24"/>
              </w:rPr>
              <w:t>1,003,610</w:t>
            </w:r>
          </w:p>
        </w:tc>
        <w:tc>
          <w:tcPr>
            <w:tcW w:w="811" w:type="pct"/>
            <w:tcBorders>
              <w:top w:val="nil"/>
              <w:left w:val="nil"/>
              <w:bottom w:val="single" w:sz="4" w:space="0" w:color="auto"/>
              <w:right w:val="single" w:sz="4" w:space="0" w:color="auto"/>
            </w:tcBorders>
          </w:tcPr>
          <w:p w14:paraId="473B2C2A" w14:textId="77777777" w:rsidR="00F11ECC" w:rsidRPr="00BE69E9" w:rsidRDefault="00F11ECC" w:rsidP="006D3FC9">
            <w:pPr>
              <w:jc w:val="left"/>
              <w:rPr>
                <w:sz w:val="24"/>
                <w:szCs w:val="24"/>
              </w:rPr>
            </w:pPr>
            <w:r>
              <w:rPr>
                <w:sz w:val="24"/>
                <w:szCs w:val="24"/>
              </w:rPr>
              <w:t>730</w:t>
            </w:r>
          </w:p>
        </w:tc>
        <w:tc>
          <w:tcPr>
            <w:tcW w:w="810" w:type="pct"/>
            <w:tcBorders>
              <w:top w:val="nil"/>
              <w:left w:val="nil"/>
              <w:bottom w:val="single" w:sz="4" w:space="0" w:color="auto"/>
              <w:right w:val="single" w:sz="4" w:space="0" w:color="auto"/>
            </w:tcBorders>
          </w:tcPr>
          <w:p w14:paraId="441A108A" w14:textId="77777777" w:rsidR="00F11ECC" w:rsidRPr="00BE69E9" w:rsidRDefault="00F11ECC" w:rsidP="006D3FC9">
            <w:pPr>
              <w:jc w:val="left"/>
              <w:rPr>
                <w:sz w:val="24"/>
                <w:szCs w:val="24"/>
              </w:rPr>
            </w:pPr>
            <w:r>
              <w:rPr>
                <w:sz w:val="24"/>
                <w:szCs w:val="24"/>
              </w:rPr>
              <w:t>1,786,894</w:t>
            </w:r>
          </w:p>
        </w:tc>
      </w:tr>
      <w:tr w:rsidR="00F11ECC" w:rsidRPr="00BE69E9" w14:paraId="4D9AD0D1"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14A594AB" w14:textId="77777777" w:rsidR="00F11ECC" w:rsidRPr="00BE69E9" w:rsidRDefault="00F11ECC" w:rsidP="006D3FC9">
            <w:pPr>
              <w:jc w:val="left"/>
              <w:rPr>
                <w:sz w:val="24"/>
                <w:szCs w:val="24"/>
              </w:rPr>
            </w:pPr>
            <w:r>
              <w:rPr>
                <w:sz w:val="24"/>
                <w:szCs w:val="24"/>
              </w:rPr>
              <w:t>Cement</w:t>
            </w:r>
          </w:p>
        </w:tc>
        <w:tc>
          <w:tcPr>
            <w:tcW w:w="624" w:type="pct"/>
            <w:tcBorders>
              <w:top w:val="nil"/>
              <w:left w:val="nil"/>
              <w:bottom w:val="single" w:sz="4" w:space="0" w:color="auto"/>
              <w:right w:val="single" w:sz="4" w:space="0" w:color="auto"/>
            </w:tcBorders>
            <w:hideMark/>
          </w:tcPr>
          <w:p w14:paraId="2F452C47" w14:textId="77777777" w:rsidR="00F11ECC" w:rsidRPr="00BE69E9" w:rsidRDefault="00F11ECC" w:rsidP="006D3FC9">
            <w:pPr>
              <w:jc w:val="left"/>
              <w:rPr>
                <w:sz w:val="24"/>
                <w:szCs w:val="24"/>
              </w:rPr>
            </w:pPr>
            <w:r>
              <w:rPr>
                <w:sz w:val="24"/>
                <w:szCs w:val="24"/>
              </w:rPr>
              <w:t>272,272.0</w:t>
            </w:r>
          </w:p>
        </w:tc>
        <w:tc>
          <w:tcPr>
            <w:tcW w:w="396" w:type="pct"/>
            <w:tcBorders>
              <w:top w:val="nil"/>
              <w:left w:val="nil"/>
              <w:bottom w:val="single" w:sz="4" w:space="0" w:color="auto"/>
              <w:right w:val="single" w:sz="4" w:space="0" w:color="auto"/>
            </w:tcBorders>
            <w:hideMark/>
          </w:tcPr>
          <w:p w14:paraId="0BC07690"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719132D3" w14:textId="77777777" w:rsidR="00F11ECC" w:rsidRPr="00BE69E9" w:rsidRDefault="00F11ECC" w:rsidP="006D3FC9">
            <w:pPr>
              <w:jc w:val="left"/>
              <w:rPr>
                <w:sz w:val="24"/>
                <w:szCs w:val="24"/>
              </w:rPr>
            </w:pPr>
            <w:r>
              <w:rPr>
                <w:sz w:val="24"/>
                <w:szCs w:val="24"/>
              </w:rPr>
              <w:t>0.967</w:t>
            </w:r>
          </w:p>
        </w:tc>
        <w:tc>
          <w:tcPr>
            <w:tcW w:w="811" w:type="pct"/>
            <w:tcBorders>
              <w:top w:val="nil"/>
              <w:left w:val="nil"/>
              <w:bottom w:val="single" w:sz="4" w:space="0" w:color="auto"/>
              <w:right w:val="single" w:sz="4" w:space="0" w:color="auto"/>
            </w:tcBorders>
            <w:hideMark/>
          </w:tcPr>
          <w:p w14:paraId="6A57B18D" w14:textId="77777777" w:rsidR="00F11ECC" w:rsidRPr="00BE69E9" w:rsidRDefault="00F11ECC" w:rsidP="006D3FC9">
            <w:pPr>
              <w:jc w:val="left"/>
              <w:rPr>
                <w:sz w:val="24"/>
                <w:szCs w:val="24"/>
              </w:rPr>
            </w:pPr>
            <w:r>
              <w:rPr>
                <w:sz w:val="24"/>
                <w:szCs w:val="24"/>
              </w:rPr>
              <w:t>263,287</w:t>
            </w:r>
          </w:p>
        </w:tc>
        <w:tc>
          <w:tcPr>
            <w:tcW w:w="811" w:type="pct"/>
            <w:tcBorders>
              <w:top w:val="nil"/>
              <w:left w:val="nil"/>
              <w:bottom w:val="single" w:sz="4" w:space="0" w:color="auto"/>
              <w:right w:val="single" w:sz="4" w:space="0" w:color="auto"/>
            </w:tcBorders>
          </w:tcPr>
          <w:p w14:paraId="41435373" w14:textId="77777777" w:rsidR="00F11ECC" w:rsidRPr="00BE69E9" w:rsidRDefault="00F11ECC" w:rsidP="006D3FC9">
            <w:pPr>
              <w:jc w:val="left"/>
              <w:rPr>
                <w:sz w:val="24"/>
                <w:szCs w:val="24"/>
              </w:rPr>
            </w:pPr>
            <w:r>
              <w:rPr>
                <w:sz w:val="24"/>
                <w:szCs w:val="24"/>
              </w:rPr>
              <w:t>4.6</w:t>
            </w:r>
          </w:p>
        </w:tc>
        <w:tc>
          <w:tcPr>
            <w:tcW w:w="810" w:type="pct"/>
            <w:tcBorders>
              <w:top w:val="nil"/>
              <w:left w:val="nil"/>
              <w:bottom w:val="single" w:sz="4" w:space="0" w:color="auto"/>
              <w:right w:val="single" w:sz="4" w:space="0" w:color="auto"/>
            </w:tcBorders>
          </w:tcPr>
          <w:p w14:paraId="4EE54BD4" w14:textId="77777777" w:rsidR="00F11ECC" w:rsidRPr="00BE69E9" w:rsidRDefault="00F11ECC" w:rsidP="006D3FC9">
            <w:pPr>
              <w:jc w:val="left"/>
              <w:rPr>
                <w:sz w:val="24"/>
                <w:szCs w:val="24"/>
              </w:rPr>
            </w:pPr>
            <w:r>
              <w:rPr>
                <w:sz w:val="24"/>
                <w:szCs w:val="24"/>
              </w:rPr>
              <w:t>1,252,451.2</w:t>
            </w:r>
          </w:p>
        </w:tc>
      </w:tr>
      <w:tr w:rsidR="00F11ECC" w:rsidRPr="00BE69E9" w14:paraId="686E64DA"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4749C2BC" w14:textId="77777777" w:rsidR="00F11ECC" w:rsidRPr="00BE69E9" w:rsidRDefault="00F11ECC" w:rsidP="006D3FC9">
            <w:pPr>
              <w:jc w:val="left"/>
              <w:rPr>
                <w:sz w:val="24"/>
                <w:szCs w:val="24"/>
              </w:rPr>
            </w:pPr>
            <w:r>
              <w:rPr>
                <w:sz w:val="24"/>
                <w:szCs w:val="24"/>
              </w:rPr>
              <w:t>Concrete</w:t>
            </w:r>
          </w:p>
        </w:tc>
        <w:tc>
          <w:tcPr>
            <w:tcW w:w="624" w:type="pct"/>
            <w:tcBorders>
              <w:top w:val="nil"/>
              <w:left w:val="nil"/>
              <w:bottom w:val="single" w:sz="4" w:space="0" w:color="auto"/>
              <w:right w:val="single" w:sz="4" w:space="0" w:color="auto"/>
            </w:tcBorders>
            <w:hideMark/>
          </w:tcPr>
          <w:p w14:paraId="73C073D8" w14:textId="77777777" w:rsidR="00F11ECC" w:rsidRPr="00BE69E9" w:rsidRDefault="00F11ECC" w:rsidP="006D3FC9">
            <w:pPr>
              <w:jc w:val="left"/>
              <w:rPr>
                <w:sz w:val="24"/>
                <w:szCs w:val="24"/>
              </w:rPr>
            </w:pPr>
            <w:r>
              <w:rPr>
                <w:sz w:val="24"/>
                <w:szCs w:val="24"/>
              </w:rPr>
              <w:t>3,696.0</w:t>
            </w:r>
          </w:p>
        </w:tc>
        <w:tc>
          <w:tcPr>
            <w:tcW w:w="396" w:type="pct"/>
            <w:tcBorders>
              <w:top w:val="nil"/>
              <w:left w:val="nil"/>
              <w:bottom w:val="single" w:sz="4" w:space="0" w:color="auto"/>
              <w:right w:val="single" w:sz="4" w:space="0" w:color="auto"/>
            </w:tcBorders>
            <w:hideMark/>
          </w:tcPr>
          <w:p w14:paraId="39292599"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7A94296F" w14:textId="77777777" w:rsidR="00F11ECC" w:rsidRPr="00BE69E9" w:rsidRDefault="00F11ECC" w:rsidP="006D3FC9">
            <w:pPr>
              <w:jc w:val="left"/>
              <w:rPr>
                <w:sz w:val="24"/>
                <w:szCs w:val="24"/>
              </w:rPr>
            </w:pPr>
            <w:r>
              <w:rPr>
                <w:sz w:val="24"/>
                <w:szCs w:val="24"/>
              </w:rPr>
              <w:t>0.159</w:t>
            </w:r>
          </w:p>
        </w:tc>
        <w:tc>
          <w:tcPr>
            <w:tcW w:w="811" w:type="pct"/>
            <w:tcBorders>
              <w:top w:val="nil"/>
              <w:left w:val="nil"/>
              <w:bottom w:val="single" w:sz="4" w:space="0" w:color="auto"/>
              <w:right w:val="single" w:sz="4" w:space="0" w:color="auto"/>
            </w:tcBorders>
            <w:hideMark/>
          </w:tcPr>
          <w:p w14:paraId="210672C6" w14:textId="77777777" w:rsidR="00F11ECC" w:rsidRPr="00BE69E9" w:rsidRDefault="00F11ECC" w:rsidP="006D3FC9">
            <w:pPr>
              <w:jc w:val="left"/>
              <w:rPr>
                <w:sz w:val="24"/>
                <w:szCs w:val="24"/>
              </w:rPr>
            </w:pPr>
            <w:r>
              <w:rPr>
                <w:sz w:val="24"/>
                <w:szCs w:val="24"/>
              </w:rPr>
              <w:t>588</w:t>
            </w:r>
          </w:p>
        </w:tc>
        <w:tc>
          <w:tcPr>
            <w:tcW w:w="811" w:type="pct"/>
            <w:tcBorders>
              <w:top w:val="nil"/>
              <w:left w:val="nil"/>
              <w:bottom w:val="single" w:sz="4" w:space="0" w:color="auto"/>
              <w:right w:val="single" w:sz="4" w:space="0" w:color="auto"/>
            </w:tcBorders>
          </w:tcPr>
          <w:p w14:paraId="0F6DDBB1" w14:textId="77777777" w:rsidR="00F11ECC" w:rsidRPr="00BE69E9" w:rsidRDefault="00F11ECC" w:rsidP="006D3FC9">
            <w:pPr>
              <w:jc w:val="left"/>
              <w:rPr>
                <w:sz w:val="24"/>
                <w:szCs w:val="24"/>
              </w:rPr>
            </w:pPr>
            <w:r>
              <w:rPr>
                <w:sz w:val="24"/>
                <w:szCs w:val="24"/>
              </w:rPr>
              <w:t>5.6</w:t>
            </w:r>
          </w:p>
        </w:tc>
        <w:tc>
          <w:tcPr>
            <w:tcW w:w="810" w:type="pct"/>
            <w:tcBorders>
              <w:top w:val="nil"/>
              <w:left w:val="nil"/>
              <w:bottom w:val="single" w:sz="4" w:space="0" w:color="auto"/>
              <w:right w:val="single" w:sz="4" w:space="0" w:color="auto"/>
            </w:tcBorders>
          </w:tcPr>
          <w:p w14:paraId="0491CCE7" w14:textId="77777777" w:rsidR="00F11ECC" w:rsidRPr="00BE69E9" w:rsidRDefault="00F11ECC" w:rsidP="006D3FC9">
            <w:pPr>
              <w:jc w:val="left"/>
              <w:rPr>
                <w:sz w:val="24"/>
                <w:szCs w:val="24"/>
              </w:rPr>
            </w:pPr>
            <w:r>
              <w:rPr>
                <w:sz w:val="24"/>
                <w:szCs w:val="24"/>
              </w:rPr>
              <w:t>20,697.6</w:t>
            </w:r>
          </w:p>
        </w:tc>
      </w:tr>
      <w:tr w:rsidR="00F11ECC" w:rsidRPr="00BE69E9" w14:paraId="79EFB6E5"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6E1FDC1B" w14:textId="77777777" w:rsidR="00F11ECC" w:rsidRPr="00BE69E9" w:rsidRDefault="00F11ECC" w:rsidP="006D3FC9">
            <w:pPr>
              <w:jc w:val="left"/>
              <w:rPr>
                <w:sz w:val="24"/>
                <w:szCs w:val="24"/>
              </w:rPr>
            </w:pPr>
            <w:r>
              <w:rPr>
                <w:sz w:val="24"/>
                <w:szCs w:val="24"/>
              </w:rPr>
              <w:t>Brick</w:t>
            </w:r>
          </w:p>
        </w:tc>
        <w:tc>
          <w:tcPr>
            <w:tcW w:w="624" w:type="pct"/>
            <w:tcBorders>
              <w:top w:val="nil"/>
              <w:left w:val="nil"/>
              <w:bottom w:val="single" w:sz="4" w:space="0" w:color="auto"/>
              <w:right w:val="single" w:sz="4" w:space="0" w:color="auto"/>
            </w:tcBorders>
            <w:hideMark/>
          </w:tcPr>
          <w:p w14:paraId="574BDAA3" w14:textId="77777777" w:rsidR="00F11ECC" w:rsidRPr="00BE69E9" w:rsidRDefault="00F11ECC" w:rsidP="006D3FC9">
            <w:pPr>
              <w:jc w:val="left"/>
              <w:rPr>
                <w:sz w:val="24"/>
                <w:szCs w:val="24"/>
              </w:rPr>
            </w:pPr>
            <w:r>
              <w:rPr>
                <w:sz w:val="24"/>
                <w:szCs w:val="24"/>
              </w:rPr>
              <w:t>3,548,023.0</w:t>
            </w:r>
          </w:p>
        </w:tc>
        <w:tc>
          <w:tcPr>
            <w:tcW w:w="396" w:type="pct"/>
            <w:tcBorders>
              <w:top w:val="nil"/>
              <w:left w:val="nil"/>
              <w:bottom w:val="single" w:sz="4" w:space="0" w:color="auto"/>
              <w:right w:val="single" w:sz="4" w:space="0" w:color="auto"/>
            </w:tcBorders>
            <w:hideMark/>
          </w:tcPr>
          <w:p w14:paraId="140F8F89"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340238F6" w14:textId="77777777" w:rsidR="00F11ECC" w:rsidRPr="00BE69E9" w:rsidRDefault="00F11ECC" w:rsidP="006D3FC9">
            <w:pPr>
              <w:jc w:val="left"/>
              <w:rPr>
                <w:sz w:val="24"/>
                <w:szCs w:val="24"/>
              </w:rPr>
            </w:pPr>
            <w:r>
              <w:rPr>
                <w:sz w:val="24"/>
                <w:szCs w:val="24"/>
              </w:rPr>
              <w:t>0.48</w:t>
            </w:r>
          </w:p>
        </w:tc>
        <w:tc>
          <w:tcPr>
            <w:tcW w:w="811" w:type="pct"/>
            <w:tcBorders>
              <w:top w:val="nil"/>
              <w:left w:val="nil"/>
              <w:bottom w:val="single" w:sz="4" w:space="0" w:color="auto"/>
              <w:right w:val="single" w:sz="4" w:space="0" w:color="auto"/>
            </w:tcBorders>
            <w:hideMark/>
          </w:tcPr>
          <w:p w14:paraId="54500610" w14:textId="77777777" w:rsidR="00F11ECC" w:rsidRPr="00BE69E9" w:rsidRDefault="00F11ECC" w:rsidP="006D3FC9">
            <w:pPr>
              <w:jc w:val="left"/>
              <w:rPr>
                <w:sz w:val="24"/>
                <w:szCs w:val="24"/>
              </w:rPr>
            </w:pPr>
            <w:r>
              <w:rPr>
                <w:sz w:val="24"/>
                <w:szCs w:val="24"/>
              </w:rPr>
              <w:t>1,703,051</w:t>
            </w:r>
          </w:p>
        </w:tc>
        <w:tc>
          <w:tcPr>
            <w:tcW w:w="811" w:type="pct"/>
            <w:tcBorders>
              <w:top w:val="nil"/>
              <w:left w:val="nil"/>
              <w:bottom w:val="single" w:sz="4" w:space="0" w:color="auto"/>
              <w:right w:val="single" w:sz="4" w:space="0" w:color="auto"/>
            </w:tcBorders>
          </w:tcPr>
          <w:p w14:paraId="1D0585B5" w14:textId="77777777" w:rsidR="00F11ECC" w:rsidRPr="00BE69E9" w:rsidRDefault="00F11ECC" w:rsidP="006D3FC9">
            <w:pPr>
              <w:jc w:val="left"/>
              <w:rPr>
                <w:sz w:val="24"/>
                <w:szCs w:val="24"/>
              </w:rPr>
            </w:pPr>
            <w:r>
              <w:rPr>
                <w:sz w:val="24"/>
                <w:szCs w:val="24"/>
              </w:rPr>
              <w:t>2,141</w:t>
            </w:r>
          </w:p>
        </w:tc>
        <w:tc>
          <w:tcPr>
            <w:tcW w:w="810" w:type="pct"/>
            <w:tcBorders>
              <w:top w:val="nil"/>
              <w:left w:val="nil"/>
              <w:bottom w:val="single" w:sz="4" w:space="0" w:color="auto"/>
              <w:right w:val="single" w:sz="4" w:space="0" w:color="auto"/>
            </w:tcBorders>
          </w:tcPr>
          <w:p w14:paraId="77E727D3" w14:textId="77777777" w:rsidR="00F11ECC" w:rsidRPr="00BE69E9" w:rsidRDefault="00F11ECC" w:rsidP="006D3FC9">
            <w:pPr>
              <w:jc w:val="left"/>
              <w:rPr>
                <w:sz w:val="24"/>
                <w:szCs w:val="24"/>
              </w:rPr>
            </w:pPr>
            <w:r>
              <w:rPr>
                <w:sz w:val="24"/>
                <w:szCs w:val="24"/>
              </w:rPr>
              <w:t>4,220,167.92</w:t>
            </w:r>
          </w:p>
        </w:tc>
      </w:tr>
      <w:tr w:rsidR="00F11ECC" w:rsidRPr="00BE69E9" w14:paraId="60B3B03C"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7C486919" w14:textId="77777777" w:rsidR="00F11ECC" w:rsidRPr="00BE69E9" w:rsidRDefault="00F11ECC" w:rsidP="006D3FC9">
            <w:pPr>
              <w:jc w:val="left"/>
              <w:rPr>
                <w:sz w:val="24"/>
                <w:szCs w:val="24"/>
              </w:rPr>
            </w:pPr>
            <w:r>
              <w:rPr>
                <w:sz w:val="24"/>
                <w:szCs w:val="24"/>
              </w:rPr>
              <w:t>Limestone</w:t>
            </w:r>
          </w:p>
        </w:tc>
        <w:tc>
          <w:tcPr>
            <w:tcW w:w="624" w:type="pct"/>
            <w:tcBorders>
              <w:top w:val="nil"/>
              <w:left w:val="nil"/>
              <w:bottom w:val="single" w:sz="4" w:space="0" w:color="auto"/>
              <w:right w:val="single" w:sz="4" w:space="0" w:color="auto"/>
            </w:tcBorders>
            <w:hideMark/>
          </w:tcPr>
          <w:p w14:paraId="00F4D24E" w14:textId="77777777" w:rsidR="00F11ECC" w:rsidRPr="00BE69E9" w:rsidRDefault="00F11ECC" w:rsidP="006D3FC9">
            <w:pPr>
              <w:jc w:val="left"/>
              <w:rPr>
                <w:sz w:val="24"/>
                <w:szCs w:val="24"/>
              </w:rPr>
            </w:pPr>
            <w:r>
              <w:rPr>
                <w:sz w:val="24"/>
                <w:szCs w:val="24"/>
              </w:rPr>
              <w:t>208,216.0</w:t>
            </w:r>
          </w:p>
        </w:tc>
        <w:tc>
          <w:tcPr>
            <w:tcW w:w="396" w:type="pct"/>
            <w:tcBorders>
              <w:top w:val="nil"/>
              <w:left w:val="nil"/>
              <w:bottom w:val="single" w:sz="4" w:space="0" w:color="auto"/>
              <w:right w:val="single" w:sz="4" w:space="0" w:color="auto"/>
            </w:tcBorders>
            <w:hideMark/>
          </w:tcPr>
          <w:p w14:paraId="4B34B54E"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401C494E" w14:textId="77777777" w:rsidR="00F11ECC" w:rsidRPr="00BE69E9" w:rsidRDefault="00F11ECC" w:rsidP="006D3FC9">
            <w:pPr>
              <w:jc w:val="left"/>
              <w:rPr>
                <w:sz w:val="24"/>
                <w:szCs w:val="24"/>
              </w:rPr>
            </w:pPr>
            <w:r>
              <w:rPr>
                <w:sz w:val="24"/>
                <w:szCs w:val="24"/>
              </w:rPr>
              <w:t>0.015</w:t>
            </w:r>
          </w:p>
        </w:tc>
        <w:tc>
          <w:tcPr>
            <w:tcW w:w="811" w:type="pct"/>
            <w:tcBorders>
              <w:top w:val="nil"/>
              <w:left w:val="nil"/>
              <w:bottom w:val="single" w:sz="4" w:space="0" w:color="auto"/>
              <w:right w:val="single" w:sz="4" w:space="0" w:color="auto"/>
            </w:tcBorders>
            <w:hideMark/>
          </w:tcPr>
          <w:p w14:paraId="1834FDB8" w14:textId="77777777" w:rsidR="00F11ECC" w:rsidRPr="00BE69E9" w:rsidRDefault="00F11ECC" w:rsidP="006D3FC9">
            <w:pPr>
              <w:jc w:val="left"/>
              <w:rPr>
                <w:sz w:val="24"/>
                <w:szCs w:val="24"/>
              </w:rPr>
            </w:pPr>
            <w:r>
              <w:rPr>
                <w:sz w:val="24"/>
                <w:szCs w:val="24"/>
              </w:rPr>
              <w:t>3,123</w:t>
            </w:r>
          </w:p>
        </w:tc>
        <w:tc>
          <w:tcPr>
            <w:tcW w:w="811" w:type="pct"/>
            <w:tcBorders>
              <w:top w:val="nil"/>
              <w:left w:val="nil"/>
              <w:bottom w:val="single" w:sz="4" w:space="0" w:color="auto"/>
              <w:right w:val="single" w:sz="4" w:space="0" w:color="auto"/>
            </w:tcBorders>
          </w:tcPr>
          <w:p w14:paraId="43F64127" w14:textId="77777777" w:rsidR="00F11ECC" w:rsidRPr="00BE69E9" w:rsidRDefault="00F11ECC" w:rsidP="006D3FC9">
            <w:pPr>
              <w:jc w:val="left"/>
              <w:rPr>
                <w:sz w:val="24"/>
                <w:szCs w:val="24"/>
              </w:rPr>
            </w:pPr>
            <w:r>
              <w:rPr>
                <w:sz w:val="24"/>
                <w:szCs w:val="24"/>
              </w:rPr>
              <w:t>34,860</w:t>
            </w:r>
          </w:p>
        </w:tc>
        <w:tc>
          <w:tcPr>
            <w:tcW w:w="810" w:type="pct"/>
            <w:tcBorders>
              <w:top w:val="nil"/>
              <w:left w:val="nil"/>
              <w:bottom w:val="single" w:sz="4" w:space="0" w:color="auto"/>
              <w:right w:val="single" w:sz="4" w:space="0" w:color="auto"/>
            </w:tcBorders>
          </w:tcPr>
          <w:p w14:paraId="592E4FAE" w14:textId="77777777" w:rsidR="00F11ECC" w:rsidRPr="00BE69E9" w:rsidRDefault="00F11ECC" w:rsidP="006D3FC9">
            <w:pPr>
              <w:jc w:val="left"/>
              <w:rPr>
                <w:sz w:val="24"/>
                <w:szCs w:val="24"/>
              </w:rPr>
            </w:pPr>
            <w:r>
              <w:rPr>
                <w:sz w:val="24"/>
                <w:szCs w:val="24"/>
              </w:rPr>
              <w:t>2,903,489.4</w:t>
            </w:r>
          </w:p>
        </w:tc>
      </w:tr>
      <w:tr w:rsidR="00F11ECC" w:rsidRPr="00BE69E9" w14:paraId="13F728E1"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687CC875" w14:textId="77777777" w:rsidR="00F11ECC" w:rsidRPr="00BE69E9" w:rsidRDefault="00F11ECC" w:rsidP="006D3FC9">
            <w:pPr>
              <w:jc w:val="left"/>
              <w:rPr>
                <w:sz w:val="24"/>
                <w:szCs w:val="24"/>
              </w:rPr>
            </w:pPr>
            <w:r>
              <w:rPr>
                <w:sz w:val="24"/>
                <w:szCs w:val="24"/>
              </w:rPr>
              <w:t>Paver Blocks</w:t>
            </w:r>
          </w:p>
        </w:tc>
        <w:tc>
          <w:tcPr>
            <w:tcW w:w="624" w:type="pct"/>
            <w:tcBorders>
              <w:top w:val="nil"/>
              <w:left w:val="nil"/>
              <w:bottom w:val="single" w:sz="4" w:space="0" w:color="auto"/>
              <w:right w:val="single" w:sz="4" w:space="0" w:color="auto"/>
            </w:tcBorders>
            <w:hideMark/>
          </w:tcPr>
          <w:p w14:paraId="16232878" w14:textId="77777777" w:rsidR="00F11ECC" w:rsidRPr="00BE69E9" w:rsidRDefault="00F11ECC" w:rsidP="006D3FC9">
            <w:pPr>
              <w:jc w:val="left"/>
              <w:rPr>
                <w:sz w:val="24"/>
                <w:szCs w:val="24"/>
              </w:rPr>
            </w:pPr>
            <w:r>
              <w:rPr>
                <w:sz w:val="24"/>
                <w:szCs w:val="24"/>
              </w:rPr>
              <w:t>24,024.0</w:t>
            </w:r>
          </w:p>
        </w:tc>
        <w:tc>
          <w:tcPr>
            <w:tcW w:w="396" w:type="pct"/>
            <w:tcBorders>
              <w:top w:val="nil"/>
              <w:left w:val="nil"/>
              <w:bottom w:val="single" w:sz="4" w:space="0" w:color="auto"/>
              <w:right w:val="single" w:sz="4" w:space="0" w:color="auto"/>
            </w:tcBorders>
            <w:hideMark/>
          </w:tcPr>
          <w:p w14:paraId="5DD42FA6"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3034EC04" w14:textId="77777777" w:rsidR="00F11ECC" w:rsidRPr="00BE69E9" w:rsidRDefault="00F11ECC" w:rsidP="006D3FC9">
            <w:pPr>
              <w:jc w:val="left"/>
              <w:rPr>
                <w:sz w:val="24"/>
                <w:szCs w:val="24"/>
              </w:rPr>
            </w:pPr>
            <w:r>
              <w:rPr>
                <w:sz w:val="24"/>
                <w:szCs w:val="24"/>
              </w:rPr>
              <w:t>0.159</w:t>
            </w:r>
          </w:p>
        </w:tc>
        <w:tc>
          <w:tcPr>
            <w:tcW w:w="811" w:type="pct"/>
            <w:tcBorders>
              <w:top w:val="nil"/>
              <w:left w:val="nil"/>
              <w:bottom w:val="single" w:sz="4" w:space="0" w:color="auto"/>
              <w:right w:val="single" w:sz="4" w:space="0" w:color="auto"/>
            </w:tcBorders>
            <w:hideMark/>
          </w:tcPr>
          <w:p w14:paraId="794F20D4" w14:textId="77777777" w:rsidR="00F11ECC" w:rsidRPr="00BE69E9" w:rsidRDefault="00F11ECC" w:rsidP="006D3FC9">
            <w:pPr>
              <w:jc w:val="left"/>
              <w:rPr>
                <w:sz w:val="24"/>
                <w:szCs w:val="24"/>
              </w:rPr>
            </w:pPr>
            <w:r>
              <w:rPr>
                <w:sz w:val="24"/>
                <w:szCs w:val="24"/>
              </w:rPr>
              <w:t>3,820</w:t>
            </w:r>
          </w:p>
        </w:tc>
        <w:tc>
          <w:tcPr>
            <w:tcW w:w="811" w:type="pct"/>
            <w:tcBorders>
              <w:top w:val="nil"/>
              <w:left w:val="nil"/>
              <w:bottom w:val="single" w:sz="4" w:space="0" w:color="auto"/>
              <w:right w:val="single" w:sz="4" w:space="0" w:color="auto"/>
            </w:tcBorders>
          </w:tcPr>
          <w:p w14:paraId="6BAB5AE0" w14:textId="77777777" w:rsidR="00F11ECC" w:rsidRPr="00BE69E9" w:rsidRDefault="00F11ECC" w:rsidP="006D3FC9">
            <w:pPr>
              <w:jc w:val="left"/>
              <w:rPr>
                <w:sz w:val="24"/>
                <w:szCs w:val="24"/>
              </w:rPr>
            </w:pPr>
            <w:r>
              <w:rPr>
                <w:sz w:val="24"/>
                <w:szCs w:val="24"/>
              </w:rPr>
              <w:t>1.5</w:t>
            </w:r>
          </w:p>
        </w:tc>
        <w:tc>
          <w:tcPr>
            <w:tcW w:w="810" w:type="pct"/>
            <w:tcBorders>
              <w:top w:val="nil"/>
              <w:left w:val="nil"/>
              <w:bottom w:val="single" w:sz="4" w:space="0" w:color="auto"/>
              <w:right w:val="single" w:sz="4" w:space="0" w:color="auto"/>
            </w:tcBorders>
          </w:tcPr>
          <w:p w14:paraId="27CA38F0" w14:textId="77777777" w:rsidR="00F11ECC" w:rsidRPr="00BE69E9" w:rsidRDefault="00F11ECC" w:rsidP="006D3FC9">
            <w:pPr>
              <w:jc w:val="left"/>
              <w:rPr>
                <w:sz w:val="24"/>
                <w:szCs w:val="24"/>
              </w:rPr>
            </w:pPr>
            <w:r>
              <w:rPr>
                <w:sz w:val="24"/>
                <w:szCs w:val="24"/>
              </w:rPr>
              <w:t>36,036</w:t>
            </w:r>
          </w:p>
        </w:tc>
      </w:tr>
      <w:tr w:rsidR="00F11ECC" w:rsidRPr="00BE69E9" w14:paraId="761AFE6E"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BE8037A" w14:textId="77777777" w:rsidR="00F11ECC" w:rsidRPr="00BE69E9" w:rsidRDefault="00F11ECC" w:rsidP="006D3FC9">
            <w:pPr>
              <w:jc w:val="left"/>
              <w:rPr>
                <w:sz w:val="24"/>
                <w:szCs w:val="24"/>
              </w:rPr>
            </w:pPr>
            <w:r>
              <w:rPr>
                <w:sz w:val="24"/>
                <w:szCs w:val="24"/>
              </w:rPr>
              <w:t>Granite</w:t>
            </w:r>
          </w:p>
        </w:tc>
        <w:tc>
          <w:tcPr>
            <w:tcW w:w="624" w:type="pct"/>
            <w:tcBorders>
              <w:top w:val="nil"/>
              <w:left w:val="nil"/>
              <w:bottom w:val="single" w:sz="4" w:space="0" w:color="auto"/>
              <w:right w:val="single" w:sz="4" w:space="0" w:color="auto"/>
            </w:tcBorders>
            <w:hideMark/>
          </w:tcPr>
          <w:p w14:paraId="5EDA1A96" w14:textId="77777777" w:rsidR="00F11ECC" w:rsidRPr="00BE69E9" w:rsidRDefault="00F11ECC" w:rsidP="006D3FC9">
            <w:pPr>
              <w:jc w:val="left"/>
              <w:rPr>
                <w:sz w:val="24"/>
                <w:szCs w:val="24"/>
              </w:rPr>
            </w:pPr>
            <w:r>
              <w:rPr>
                <w:sz w:val="24"/>
                <w:szCs w:val="24"/>
              </w:rPr>
              <w:t>1,647.0</w:t>
            </w:r>
          </w:p>
        </w:tc>
        <w:tc>
          <w:tcPr>
            <w:tcW w:w="396" w:type="pct"/>
            <w:tcBorders>
              <w:top w:val="nil"/>
              <w:left w:val="nil"/>
              <w:bottom w:val="single" w:sz="4" w:space="0" w:color="auto"/>
              <w:right w:val="single" w:sz="4" w:space="0" w:color="auto"/>
            </w:tcBorders>
            <w:hideMark/>
          </w:tcPr>
          <w:p w14:paraId="703AE054"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1DBCEFAD" w14:textId="77777777" w:rsidR="00F11ECC" w:rsidRPr="00BE69E9" w:rsidRDefault="00F11ECC" w:rsidP="006D3FC9">
            <w:pPr>
              <w:jc w:val="left"/>
              <w:rPr>
                <w:sz w:val="24"/>
                <w:szCs w:val="24"/>
              </w:rPr>
            </w:pPr>
            <w:r>
              <w:rPr>
                <w:sz w:val="24"/>
                <w:szCs w:val="24"/>
              </w:rPr>
              <w:t>0.04</w:t>
            </w:r>
          </w:p>
        </w:tc>
        <w:tc>
          <w:tcPr>
            <w:tcW w:w="811" w:type="pct"/>
            <w:tcBorders>
              <w:top w:val="nil"/>
              <w:left w:val="nil"/>
              <w:bottom w:val="single" w:sz="4" w:space="0" w:color="auto"/>
              <w:right w:val="single" w:sz="4" w:space="0" w:color="auto"/>
            </w:tcBorders>
            <w:hideMark/>
          </w:tcPr>
          <w:p w14:paraId="74438EBF" w14:textId="77777777" w:rsidR="00F11ECC" w:rsidRPr="00BE69E9" w:rsidRDefault="00F11ECC" w:rsidP="006D3FC9">
            <w:pPr>
              <w:jc w:val="left"/>
              <w:rPr>
                <w:sz w:val="24"/>
                <w:szCs w:val="24"/>
              </w:rPr>
            </w:pPr>
            <w:r>
              <w:rPr>
                <w:sz w:val="24"/>
                <w:szCs w:val="24"/>
              </w:rPr>
              <w:t>66</w:t>
            </w:r>
          </w:p>
        </w:tc>
        <w:tc>
          <w:tcPr>
            <w:tcW w:w="811" w:type="pct"/>
            <w:tcBorders>
              <w:top w:val="nil"/>
              <w:left w:val="nil"/>
              <w:bottom w:val="single" w:sz="4" w:space="0" w:color="auto"/>
              <w:right w:val="single" w:sz="4" w:space="0" w:color="auto"/>
            </w:tcBorders>
          </w:tcPr>
          <w:p w14:paraId="5EC8197D" w14:textId="77777777" w:rsidR="00F11ECC" w:rsidRPr="00BE69E9" w:rsidRDefault="00F11ECC" w:rsidP="006D3FC9">
            <w:pPr>
              <w:jc w:val="left"/>
              <w:rPr>
                <w:sz w:val="24"/>
                <w:szCs w:val="24"/>
              </w:rPr>
            </w:pPr>
            <w:r>
              <w:rPr>
                <w:sz w:val="24"/>
                <w:szCs w:val="24"/>
              </w:rPr>
              <w:t>5.908</w:t>
            </w:r>
          </w:p>
        </w:tc>
        <w:tc>
          <w:tcPr>
            <w:tcW w:w="810" w:type="pct"/>
            <w:tcBorders>
              <w:top w:val="nil"/>
              <w:left w:val="nil"/>
              <w:bottom w:val="single" w:sz="4" w:space="0" w:color="auto"/>
              <w:right w:val="single" w:sz="4" w:space="0" w:color="auto"/>
            </w:tcBorders>
          </w:tcPr>
          <w:p w14:paraId="3D86C406" w14:textId="77777777" w:rsidR="00F11ECC" w:rsidRPr="00BE69E9" w:rsidRDefault="00F11ECC" w:rsidP="006D3FC9">
            <w:pPr>
              <w:jc w:val="left"/>
              <w:rPr>
                <w:sz w:val="24"/>
                <w:szCs w:val="24"/>
              </w:rPr>
            </w:pPr>
            <w:r>
              <w:rPr>
                <w:sz w:val="24"/>
                <w:szCs w:val="24"/>
              </w:rPr>
              <w:t>9,730.476</w:t>
            </w:r>
          </w:p>
        </w:tc>
      </w:tr>
      <w:tr w:rsidR="00F11ECC" w:rsidRPr="00BE69E9" w14:paraId="1264006D"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49FC384" w14:textId="77777777" w:rsidR="00F11ECC" w:rsidRPr="00BE69E9" w:rsidRDefault="00F11ECC" w:rsidP="006D3FC9">
            <w:pPr>
              <w:jc w:val="left"/>
              <w:rPr>
                <w:sz w:val="24"/>
                <w:szCs w:val="24"/>
              </w:rPr>
            </w:pPr>
            <w:r>
              <w:rPr>
                <w:sz w:val="24"/>
                <w:szCs w:val="24"/>
              </w:rPr>
              <w:t>Terrazzo flooring</w:t>
            </w:r>
          </w:p>
        </w:tc>
        <w:tc>
          <w:tcPr>
            <w:tcW w:w="624" w:type="pct"/>
            <w:tcBorders>
              <w:top w:val="nil"/>
              <w:left w:val="nil"/>
              <w:bottom w:val="single" w:sz="4" w:space="0" w:color="auto"/>
              <w:right w:val="single" w:sz="4" w:space="0" w:color="auto"/>
            </w:tcBorders>
            <w:hideMark/>
          </w:tcPr>
          <w:p w14:paraId="001C54AE" w14:textId="77777777" w:rsidR="00F11ECC" w:rsidRPr="00BE69E9" w:rsidRDefault="00F11ECC" w:rsidP="006D3FC9">
            <w:pPr>
              <w:jc w:val="left"/>
              <w:rPr>
                <w:sz w:val="24"/>
                <w:szCs w:val="24"/>
              </w:rPr>
            </w:pPr>
            <w:r>
              <w:rPr>
                <w:sz w:val="24"/>
                <w:szCs w:val="24"/>
              </w:rPr>
              <w:t>4.8</w:t>
            </w:r>
          </w:p>
        </w:tc>
        <w:tc>
          <w:tcPr>
            <w:tcW w:w="396" w:type="pct"/>
            <w:tcBorders>
              <w:top w:val="nil"/>
              <w:left w:val="nil"/>
              <w:bottom w:val="single" w:sz="4" w:space="0" w:color="auto"/>
              <w:right w:val="single" w:sz="4" w:space="0" w:color="auto"/>
            </w:tcBorders>
            <w:hideMark/>
          </w:tcPr>
          <w:p w14:paraId="59E953C0" w14:textId="77777777" w:rsidR="00F11ECC" w:rsidRPr="00BE69E9" w:rsidRDefault="00F11ECC" w:rsidP="006D3FC9">
            <w:pPr>
              <w:jc w:val="left"/>
              <w:rPr>
                <w:sz w:val="24"/>
                <w:szCs w:val="24"/>
              </w:rPr>
            </w:pPr>
            <w:proofErr w:type="spellStart"/>
            <w:r>
              <w:rPr>
                <w:sz w:val="24"/>
                <w:szCs w:val="24"/>
              </w:rPr>
              <w:t>Cu.m</w:t>
            </w:r>
            <w:proofErr w:type="spellEnd"/>
          </w:p>
        </w:tc>
        <w:tc>
          <w:tcPr>
            <w:tcW w:w="716" w:type="pct"/>
            <w:tcBorders>
              <w:top w:val="nil"/>
              <w:left w:val="nil"/>
              <w:bottom w:val="single" w:sz="4" w:space="0" w:color="auto"/>
              <w:right w:val="single" w:sz="4" w:space="0" w:color="auto"/>
            </w:tcBorders>
            <w:hideMark/>
          </w:tcPr>
          <w:p w14:paraId="673EE3F6" w14:textId="77777777" w:rsidR="00F11ECC" w:rsidRPr="00BE69E9" w:rsidRDefault="00F11ECC" w:rsidP="006D3FC9">
            <w:pPr>
              <w:jc w:val="left"/>
              <w:rPr>
                <w:sz w:val="24"/>
                <w:szCs w:val="24"/>
              </w:rPr>
            </w:pPr>
            <w:r>
              <w:rPr>
                <w:sz w:val="24"/>
                <w:szCs w:val="24"/>
              </w:rPr>
              <w:t>237</w:t>
            </w:r>
          </w:p>
        </w:tc>
        <w:tc>
          <w:tcPr>
            <w:tcW w:w="811" w:type="pct"/>
            <w:tcBorders>
              <w:top w:val="nil"/>
              <w:left w:val="nil"/>
              <w:bottom w:val="single" w:sz="4" w:space="0" w:color="auto"/>
              <w:right w:val="single" w:sz="4" w:space="0" w:color="auto"/>
            </w:tcBorders>
            <w:hideMark/>
          </w:tcPr>
          <w:p w14:paraId="72BC3C37" w14:textId="77777777" w:rsidR="00F11ECC" w:rsidRPr="00BE69E9" w:rsidRDefault="00F11ECC" w:rsidP="006D3FC9">
            <w:pPr>
              <w:jc w:val="left"/>
              <w:rPr>
                <w:sz w:val="24"/>
                <w:szCs w:val="24"/>
              </w:rPr>
            </w:pPr>
            <w:r>
              <w:rPr>
                <w:sz w:val="24"/>
                <w:szCs w:val="24"/>
              </w:rPr>
              <w:t>1,127</w:t>
            </w:r>
          </w:p>
        </w:tc>
        <w:tc>
          <w:tcPr>
            <w:tcW w:w="811" w:type="pct"/>
            <w:tcBorders>
              <w:top w:val="nil"/>
              <w:left w:val="nil"/>
              <w:bottom w:val="single" w:sz="4" w:space="0" w:color="auto"/>
              <w:right w:val="single" w:sz="4" w:space="0" w:color="auto"/>
            </w:tcBorders>
          </w:tcPr>
          <w:p w14:paraId="3A5F00BE" w14:textId="77777777" w:rsidR="00F11ECC" w:rsidRPr="00BE69E9" w:rsidRDefault="00F11ECC" w:rsidP="006D3FC9">
            <w:pPr>
              <w:jc w:val="left"/>
              <w:rPr>
                <w:sz w:val="24"/>
                <w:szCs w:val="24"/>
              </w:rPr>
            </w:pPr>
            <w:r>
              <w:rPr>
                <w:sz w:val="24"/>
                <w:szCs w:val="24"/>
              </w:rPr>
              <w:t>2,450</w:t>
            </w:r>
          </w:p>
        </w:tc>
        <w:tc>
          <w:tcPr>
            <w:tcW w:w="810" w:type="pct"/>
            <w:tcBorders>
              <w:top w:val="nil"/>
              <w:left w:val="nil"/>
              <w:bottom w:val="single" w:sz="4" w:space="0" w:color="auto"/>
              <w:right w:val="single" w:sz="4" w:space="0" w:color="auto"/>
            </w:tcBorders>
          </w:tcPr>
          <w:p w14:paraId="69AC4F1D" w14:textId="77777777" w:rsidR="00F11ECC" w:rsidRPr="00BE69E9" w:rsidRDefault="00F11ECC" w:rsidP="006D3FC9">
            <w:pPr>
              <w:jc w:val="left"/>
              <w:rPr>
                <w:sz w:val="24"/>
                <w:szCs w:val="24"/>
              </w:rPr>
            </w:pPr>
            <w:r>
              <w:rPr>
                <w:sz w:val="24"/>
                <w:szCs w:val="24"/>
              </w:rPr>
              <w:t>11,760</w:t>
            </w:r>
          </w:p>
        </w:tc>
      </w:tr>
      <w:tr w:rsidR="00F11ECC" w:rsidRPr="00BE69E9" w14:paraId="01C712D2"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17116DD" w14:textId="77777777" w:rsidR="00F11ECC" w:rsidRPr="00BE69E9" w:rsidRDefault="00F11ECC" w:rsidP="006D3FC9">
            <w:pPr>
              <w:jc w:val="left"/>
              <w:rPr>
                <w:sz w:val="24"/>
                <w:szCs w:val="24"/>
              </w:rPr>
            </w:pPr>
            <w:r>
              <w:rPr>
                <w:sz w:val="24"/>
                <w:szCs w:val="24"/>
              </w:rPr>
              <w:t>Vitrified Tiles</w:t>
            </w:r>
          </w:p>
        </w:tc>
        <w:tc>
          <w:tcPr>
            <w:tcW w:w="624" w:type="pct"/>
            <w:tcBorders>
              <w:top w:val="nil"/>
              <w:left w:val="nil"/>
              <w:bottom w:val="single" w:sz="4" w:space="0" w:color="auto"/>
              <w:right w:val="single" w:sz="4" w:space="0" w:color="auto"/>
            </w:tcBorders>
            <w:hideMark/>
          </w:tcPr>
          <w:p w14:paraId="0A86D7C8" w14:textId="77777777" w:rsidR="00F11ECC" w:rsidRPr="00BE69E9" w:rsidRDefault="00F11ECC" w:rsidP="006D3FC9">
            <w:pPr>
              <w:jc w:val="left"/>
              <w:rPr>
                <w:sz w:val="24"/>
                <w:szCs w:val="24"/>
              </w:rPr>
            </w:pPr>
            <w:r>
              <w:rPr>
                <w:sz w:val="24"/>
                <w:szCs w:val="24"/>
              </w:rPr>
              <w:t>20,555.9</w:t>
            </w:r>
          </w:p>
        </w:tc>
        <w:tc>
          <w:tcPr>
            <w:tcW w:w="396" w:type="pct"/>
            <w:tcBorders>
              <w:top w:val="nil"/>
              <w:left w:val="nil"/>
              <w:bottom w:val="single" w:sz="4" w:space="0" w:color="auto"/>
              <w:right w:val="single" w:sz="4" w:space="0" w:color="auto"/>
            </w:tcBorders>
            <w:hideMark/>
          </w:tcPr>
          <w:p w14:paraId="7210CFAC" w14:textId="77777777" w:rsidR="00F11ECC" w:rsidRPr="00BE69E9" w:rsidRDefault="00F11ECC" w:rsidP="006D3FC9">
            <w:pPr>
              <w:jc w:val="left"/>
              <w:rPr>
                <w:sz w:val="24"/>
                <w:szCs w:val="24"/>
              </w:rPr>
            </w:pPr>
            <w:r>
              <w:rPr>
                <w:sz w:val="24"/>
                <w:szCs w:val="24"/>
              </w:rPr>
              <w:t>Sqm</w:t>
            </w:r>
          </w:p>
        </w:tc>
        <w:tc>
          <w:tcPr>
            <w:tcW w:w="716" w:type="pct"/>
            <w:tcBorders>
              <w:top w:val="nil"/>
              <w:left w:val="nil"/>
              <w:bottom w:val="single" w:sz="4" w:space="0" w:color="auto"/>
              <w:right w:val="single" w:sz="4" w:space="0" w:color="auto"/>
            </w:tcBorders>
            <w:hideMark/>
          </w:tcPr>
          <w:p w14:paraId="09FBE649" w14:textId="77777777" w:rsidR="00F11ECC" w:rsidRPr="00BE69E9" w:rsidRDefault="00F11ECC" w:rsidP="006D3FC9">
            <w:pPr>
              <w:jc w:val="left"/>
              <w:rPr>
                <w:sz w:val="24"/>
                <w:szCs w:val="24"/>
              </w:rPr>
            </w:pPr>
            <w:r>
              <w:rPr>
                <w:sz w:val="24"/>
                <w:szCs w:val="24"/>
              </w:rPr>
              <w:t>18.33</w:t>
            </w:r>
          </w:p>
        </w:tc>
        <w:tc>
          <w:tcPr>
            <w:tcW w:w="811" w:type="pct"/>
            <w:tcBorders>
              <w:top w:val="nil"/>
              <w:left w:val="nil"/>
              <w:bottom w:val="single" w:sz="4" w:space="0" w:color="auto"/>
              <w:right w:val="single" w:sz="4" w:space="0" w:color="auto"/>
            </w:tcBorders>
            <w:hideMark/>
          </w:tcPr>
          <w:p w14:paraId="1FBE281B" w14:textId="77777777" w:rsidR="00F11ECC" w:rsidRPr="00BE69E9" w:rsidRDefault="00F11ECC" w:rsidP="006D3FC9">
            <w:pPr>
              <w:jc w:val="left"/>
              <w:rPr>
                <w:sz w:val="24"/>
                <w:szCs w:val="24"/>
              </w:rPr>
            </w:pPr>
            <w:r>
              <w:rPr>
                <w:sz w:val="24"/>
                <w:szCs w:val="24"/>
              </w:rPr>
              <w:t>376,790</w:t>
            </w:r>
          </w:p>
        </w:tc>
        <w:tc>
          <w:tcPr>
            <w:tcW w:w="811" w:type="pct"/>
            <w:tcBorders>
              <w:top w:val="nil"/>
              <w:left w:val="nil"/>
              <w:bottom w:val="single" w:sz="4" w:space="0" w:color="auto"/>
              <w:right w:val="single" w:sz="4" w:space="0" w:color="auto"/>
            </w:tcBorders>
          </w:tcPr>
          <w:p w14:paraId="5D156661" w14:textId="77777777" w:rsidR="00F11ECC" w:rsidRPr="00BE69E9" w:rsidRDefault="00F11ECC" w:rsidP="006D3FC9">
            <w:pPr>
              <w:jc w:val="left"/>
              <w:rPr>
                <w:sz w:val="24"/>
                <w:szCs w:val="24"/>
              </w:rPr>
            </w:pPr>
            <w:r>
              <w:rPr>
                <w:sz w:val="24"/>
                <w:szCs w:val="24"/>
              </w:rPr>
              <w:t>5.5</w:t>
            </w:r>
          </w:p>
        </w:tc>
        <w:tc>
          <w:tcPr>
            <w:tcW w:w="810" w:type="pct"/>
            <w:tcBorders>
              <w:top w:val="nil"/>
              <w:left w:val="nil"/>
              <w:bottom w:val="single" w:sz="4" w:space="0" w:color="auto"/>
              <w:right w:val="single" w:sz="4" w:space="0" w:color="auto"/>
            </w:tcBorders>
          </w:tcPr>
          <w:p w14:paraId="19057786" w14:textId="77777777" w:rsidR="00F11ECC" w:rsidRPr="00BE69E9" w:rsidRDefault="00F11ECC" w:rsidP="006D3FC9">
            <w:pPr>
              <w:jc w:val="left"/>
              <w:rPr>
                <w:sz w:val="24"/>
                <w:szCs w:val="24"/>
              </w:rPr>
            </w:pPr>
            <w:r>
              <w:rPr>
                <w:sz w:val="24"/>
                <w:szCs w:val="24"/>
              </w:rPr>
              <w:t>113,057.45</w:t>
            </w:r>
          </w:p>
        </w:tc>
      </w:tr>
      <w:tr w:rsidR="00F11ECC" w:rsidRPr="00BE69E9" w14:paraId="1E3F589B"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4D29AC2C" w14:textId="77777777" w:rsidR="00F11ECC" w:rsidRPr="00BE69E9" w:rsidRDefault="00F11ECC" w:rsidP="006D3FC9">
            <w:pPr>
              <w:jc w:val="left"/>
              <w:rPr>
                <w:sz w:val="24"/>
                <w:szCs w:val="24"/>
              </w:rPr>
            </w:pPr>
            <w:r>
              <w:rPr>
                <w:sz w:val="24"/>
                <w:szCs w:val="24"/>
              </w:rPr>
              <w:t>Wood</w:t>
            </w:r>
          </w:p>
        </w:tc>
        <w:tc>
          <w:tcPr>
            <w:tcW w:w="624" w:type="pct"/>
            <w:tcBorders>
              <w:top w:val="nil"/>
              <w:left w:val="nil"/>
              <w:bottom w:val="single" w:sz="4" w:space="0" w:color="auto"/>
              <w:right w:val="single" w:sz="4" w:space="0" w:color="auto"/>
            </w:tcBorders>
            <w:hideMark/>
          </w:tcPr>
          <w:p w14:paraId="52BF026E" w14:textId="77777777" w:rsidR="00F11ECC" w:rsidRPr="00BE69E9" w:rsidRDefault="00F11ECC" w:rsidP="006D3FC9">
            <w:pPr>
              <w:jc w:val="left"/>
              <w:rPr>
                <w:sz w:val="24"/>
                <w:szCs w:val="24"/>
              </w:rPr>
            </w:pPr>
            <w:r>
              <w:rPr>
                <w:sz w:val="24"/>
                <w:szCs w:val="24"/>
              </w:rPr>
              <w:t>8,200.5</w:t>
            </w:r>
          </w:p>
        </w:tc>
        <w:tc>
          <w:tcPr>
            <w:tcW w:w="396" w:type="pct"/>
            <w:tcBorders>
              <w:top w:val="nil"/>
              <w:left w:val="nil"/>
              <w:bottom w:val="single" w:sz="4" w:space="0" w:color="auto"/>
              <w:right w:val="single" w:sz="4" w:space="0" w:color="auto"/>
            </w:tcBorders>
            <w:hideMark/>
          </w:tcPr>
          <w:p w14:paraId="04CD1CC4"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4BD546C5" w14:textId="77777777" w:rsidR="00F11ECC" w:rsidRPr="00BE69E9" w:rsidRDefault="00F11ECC" w:rsidP="006D3FC9">
            <w:pPr>
              <w:jc w:val="left"/>
              <w:rPr>
                <w:sz w:val="24"/>
                <w:szCs w:val="24"/>
              </w:rPr>
            </w:pPr>
            <w:r>
              <w:rPr>
                <w:sz w:val="24"/>
                <w:szCs w:val="24"/>
              </w:rPr>
              <w:t>1.5</w:t>
            </w:r>
          </w:p>
        </w:tc>
        <w:tc>
          <w:tcPr>
            <w:tcW w:w="811" w:type="pct"/>
            <w:tcBorders>
              <w:top w:val="nil"/>
              <w:left w:val="nil"/>
              <w:bottom w:val="single" w:sz="4" w:space="0" w:color="auto"/>
              <w:right w:val="single" w:sz="4" w:space="0" w:color="auto"/>
            </w:tcBorders>
            <w:hideMark/>
          </w:tcPr>
          <w:p w14:paraId="5008DCEA" w14:textId="77777777" w:rsidR="00F11ECC" w:rsidRPr="00BE69E9" w:rsidRDefault="00F11ECC" w:rsidP="006D3FC9">
            <w:pPr>
              <w:jc w:val="left"/>
              <w:rPr>
                <w:sz w:val="24"/>
                <w:szCs w:val="24"/>
              </w:rPr>
            </w:pPr>
            <w:r>
              <w:rPr>
                <w:sz w:val="24"/>
                <w:szCs w:val="24"/>
              </w:rPr>
              <w:t>12,301</w:t>
            </w:r>
          </w:p>
        </w:tc>
        <w:tc>
          <w:tcPr>
            <w:tcW w:w="811" w:type="pct"/>
            <w:tcBorders>
              <w:top w:val="nil"/>
              <w:left w:val="nil"/>
              <w:bottom w:val="single" w:sz="4" w:space="0" w:color="auto"/>
              <w:right w:val="single" w:sz="4" w:space="0" w:color="auto"/>
            </w:tcBorders>
          </w:tcPr>
          <w:p w14:paraId="7F0FE5AE" w14:textId="77777777" w:rsidR="00F11ECC" w:rsidRPr="00BE69E9" w:rsidRDefault="00F11ECC" w:rsidP="006D3FC9">
            <w:pPr>
              <w:jc w:val="left"/>
              <w:rPr>
                <w:sz w:val="24"/>
                <w:szCs w:val="24"/>
              </w:rPr>
            </w:pPr>
            <w:r>
              <w:rPr>
                <w:sz w:val="24"/>
                <w:szCs w:val="24"/>
              </w:rPr>
              <w:t>10.8</w:t>
            </w:r>
          </w:p>
        </w:tc>
        <w:tc>
          <w:tcPr>
            <w:tcW w:w="810" w:type="pct"/>
            <w:tcBorders>
              <w:top w:val="nil"/>
              <w:left w:val="nil"/>
              <w:bottom w:val="single" w:sz="4" w:space="0" w:color="auto"/>
              <w:right w:val="single" w:sz="4" w:space="0" w:color="auto"/>
            </w:tcBorders>
          </w:tcPr>
          <w:p w14:paraId="1FEB3AE6" w14:textId="77777777" w:rsidR="00F11ECC" w:rsidRPr="00BE69E9" w:rsidRDefault="00F11ECC" w:rsidP="006D3FC9">
            <w:pPr>
              <w:jc w:val="left"/>
              <w:rPr>
                <w:sz w:val="24"/>
                <w:szCs w:val="24"/>
              </w:rPr>
            </w:pPr>
            <w:r>
              <w:rPr>
                <w:sz w:val="24"/>
                <w:szCs w:val="24"/>
              </w:rPr>
              <w:t>88,565.4</w:t>
            </w:r>
          </w:p>
        </w:tc>
      </w:tr>
      <w:tr w:rsidR="00F11ECC" w:rsidRPr="00BE69E9" w14:paraId="53A8567B"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7F36FDFC" w14:textId="77777777" w:rsidR="00F11ECC" w:rsidRPr="00BE69E9" w:rsidRDefault="00F11ECC" w:rsidP="006D3FC9">
            <w:pPr>
              <w:jc w:val="left"/>
              <w:rPr>
                <w:sz w:val="24"/>
                <w:szCs w:val="24"/>
              </w:rPr>
            </w:pPr>
            <w:r>
              <w:rPr>
                <w:sz w:val="24"/>
                <w:szCs w:val="24"/>
              </w:rPr>
              <w:t>MS Grill</w:t>
            </w:r>
          </w:p>
        </w:tc>
        <w:tc>
          <w:tcPr>
            <w:tcW w:w="624" w:type="pct"/>
            <w:tcBorders>
              <w:top w:val="nil"/>
              <w:left w:val="nil"/>
              <w:bottom w:val="single" w:sz="4" w:space="0" w:color="auto"/>
              <w:right w:val="single" w:sz="4" w:space="0" w:color="auto"/>
            </w:tcBorders>
            <w:hideMark/>
          </w:tcPr>
          <w:p w14:paraId="7BBA97EA" w14:textId="77777777" w:rsidR="00F11ECC" w:rsidRPr="00BE69E9" w:rsidRDefault="00F11ECC" w:rsidP="006D3FC9">
            <w:pPr>
              <w:jc w:val="left"/>
              <w:rPr>
                <w:sz w:val="24"/>
                <w:szCs w:val="24"/>
              </w:rPr>
            </w:pPr>
            <w:r>
              <w:rPr>
                <w:sz w:val="24"/>
                <w:szCs w:val="24"/>
              </w:rPr>
              <w:t>5,894.4</w:t>
            </w:r>
          </w:p>
        </w:tc>
        <w:tc>
          <w:tcPr>
            <w:tcW w:w="396" w:type="pct"/>
            <w:tcBorders>
              <w:top w:val="nil"/>
              <w:left w:val="nil"/>
              <w:bottom w:val="single" w:sz="4" w:space="0" w:color="auto"/>
              <w:right w:val="single" w:sz="4" w:space="0" w:color="auto"/>
            </w:tcBorders>
            <w:hideMark/>
          </w:tcPr>
          <w:p w14:paraId="4062F773"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2FBBD1F7" w14:textId="77777777" w:rsidR="00F11ECC" w:rsidRPr="00BE69E9" w:rsidRDefault="00F11ECC" w:rsidP="006D3FC9">
            <w:pPr>
              <w:jc w:val="left"/>
              <w:rPr>
                <w:sz w:val="24"/>
                <w:szCs w:val="24"/>
              </w:rPr>
            </w:pPr>
            <w:r>
              <w:rPr>
                <w:sz w:val="24"/>
                <w:szCs w:val="24"/>
              </w:rPr>
              <w:t>2.75</w:t>
            </w:r>
          </w:p>
        </w:tc>
        <w:tc>
          <w:tcPr>
            <w:tcW w:w="811" w:type="pct"/>
            <w:tcBorders>
              <w:top w:val="nil"/>
              <w:left w:val="nil"/>
              <w:bottom w:val="single" w:sz="4" w:space="0" w:color="auto"/>
              <w:right w:val="single" w:sz="4" w:space="0" w:color="auto"/>
            </w:tcBorders>
            <w:hideMark/>
          </w:tcPr>
          <w:p w14:paraId="5372CCBE" w14:textId="77777777" w:rsidR="00F11ECC" w:rsidRPr="00BE69E9" w:rsidRDefault="00F11ECC" w:rsidP="006D3FC9">
            <w:pPr>
              <w:jc w:val="left"/>
              <w:rPr>
                <w:sz w:val="24"/>
                <w:szCs w:val="24"/>
              </w:rPr>
            </w:pPr>
            <w:r>
              <w:rPr>
                <w:sz w:val="24"/>
                <w:szCs w:val="24"/>
              </w:rPr>
              <w:t>16,209</w:t>
            </w:r>
          </w:p>
        </w:tc>
        <w:tc>
          <w:tcPr>
            <w:tcW w:w="811" w:type="pct"/>
            <w:tcBorders>
              <w:top w:val="nil"/>
              <w:left w:val="nil"/>
              <w:bottom w:val="single" w:sz="4" w:space="0" w:color="auto"/>
              <w:right w:val="single" w:sz="4" w:space="0" w:color="auto"/>
            </w:tcBorders>
          </w:tcPr>
          <w:p w14:paraId="762570F5" w14:textId="77777777" w:rsidR="00F11ECC" w:rsidRPr="00BE69E9" w:rsidRDefault="00F11ECC" w:rsidP="006D3FC9">
            <w:pPr>
              <w:jc w:val="left"/>
              <w:rPr>
                <w:sz w:val="24"/>
                <w:szCs w:val="24"/>
              </w:rPr>
            </w:pPr>
            <w:r>
              <w:rPr>
                <w:sz w:val="24"/>
                <w:szCs w:val="24"/>
              </w:rPr>
              <w:t>42</w:t>
            </w:r>
          </w:p>
        </w:tc>
        <w:tc>
          <w:tcPr>
            <w:tcW w:w="810" w:type="pct"/>
            <w:tcBorders>
              <w:top w:val="nil"/>
              <w:left w:val="nil"/>
              <w:bottom w:val="single" w:sz="4" w:space="0" w:color="auto"/>
              <w:right w:val="single" w:sz="4" w:space="0" w:color="auto"/>
            </w:tcBorders>
          </w:tcPr>
          <w:p w14:paraId="156B6257" w14:textId="77777777" w:rsidR="00F11ECC" w:rsidRPr="00BE69E9" w:rsidRDefault="00F11ECC" w:rsidP="006D3FC9">
            <w:pPr>
              <w:jc w:val="left"/>
              <w:rPr>
                <w:sz w:val="24"/>
                <w:szCs w:val="24"/>
              </w:rPr>
            </w:pPr>
            <w:r>
              <w:rPr>
                <w:sz w:val="24"/>
                <w:szCs w:val="24"/>
              </w:rPr>
              <w:t>247,564.8</w:t>
            </w:r>
          </w:p>
        </w:tc>
      </w:tr>
      <w:tr w:rsidR="00F11ECC" w:rsidRPr="00BE69E9" w14:paraId="6B2F5527"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7C0A9355" w14:textId="77777777" w:rsidR="00F11ECC" w:rsidRPr="00BE69E9" w:rsidRDefault="00F11ECC" w:rsidP="006D3FC9">
            <w:pPr>
              <w:jc w:val="left"/>
              <w:rPr>
                <w:sz w:val="24"/>
                <w:szCs w:val="24"/>
              </w:rPr>
            </w:pPr>
            <w:r>
              <w:rPr>
                <w:sz w:val="24"/>
                <w:szCs w:val="24"/>
              </w:rPr>
              <w:t>Glass Panes</w:t>
            </w:r>
          </w:p>
        </w:tc>
        <w:tc>
          <w:tcPr>
            <w:tcW w:w="624" w:type="pct"/>
            <w:tcBorders>
              <w:top w:val="nil"/>
              <w:left w:val="nil"/>
              <w:bottom w:val="single" w:sz="4" w:space="0" w:color="auto"/>
              <w:right w:val="single" w:sz="4" w:space="0" w:color="auto"/>
            </w:tcBorders>
            <w:hideMark/>
          </w:tcPr>
          <w:p w14:paraId="3CC31E3D" w14:textId="77777777" w:rsidR="00F11ECC" w:rsidRPr="00BE69E9" w:rsidRDefault="00F11ECC" w:rsidP="006D3FC9">
            <w:pPr>
              <w:jc w:val="left"/>
              <w:rPr>
                <w:sz w:val="24"/>
                <w:szCs w:val="24"/>
              </w:rPr>
            </w:pPr>
            <w:r>
              <w:rPr>
                <w:sz w:val="24"/>
                <w:szCs w:val="24"/>
              </w:rPr>
              <w:t>817.7</w:t>
            </w:r>
          </w:p>
        </w:tc>
        <w:tc>
          <w:tcPr>
            <w:tcW w:w="396" w:type="pct"/>
            <w:tcBorders>
              <w:top w:val="nil"/>
              <w:left w:val="nil"/>
              <w:bottom w:val="single" w:sz="4" w:space="0" w:color="auto"/>
              <w:right w:val="single" w:sz="4" w:space="0" w:color="auto"/>
            </w:tcBorders>
            <w:hideMark/>
          </w:tcPr>
          <w:p w14:paraId="246BD577"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57E8FEC3" w14:textId="77777777" w:rsidR="00F11ECC" w:rsidRPr="00BE69E9" w:rsidRDefault="00F11ECC" w:rsidP="006D3FC9">
            <w:pPr>
              <w:jc w:val="left"/>
              <w:rPr>
                <w:sz w:val="24"/>
                <w:szCs w:val="24"/>
              </w:rPr>
            </w:pPr>
            <w:r>
              <w:rPr>
                <w:sz w:val="24"/>
                <w:szCs w:val="24"/>
              </w:rPr>
              <w:t>1.735</w:t>
            </w:r>
          </w:p>
        </w:tc>
        <w:tc>
          <w:tcPr>
            <w:tcW w:w="811" w:type="pct"/>
            <w:tcBorders>
              <w:top w:val="nil"/>
              <w:left w:val="nil"/>
              <w:bottom w:val="single" w:sz="4" w:space="0" w:color="auto"/>
              <w:right w:val="single" w:sz="4" w:space="0" w:color="auto"/>
            </w:tcBorders>
            <w:hideMark/>
          </w:tcPr>
          <w:p w14:paraId="20825216" w14:textId="77777777" w:rsidR="00F11ECC" w:rsidRPr="00BE69E9" w:rsidRDefault="00F11ECC" w:rsidP="006D3FC9">
            <w:pPr>
              <w:jc w:val="left"/>
              <w:rPr>
                <w:sz w:val="24"/>
                <w:szCs w:val="24"/>
              </w:rPr>
            </w:pPr>
            <w:r>
              <w:rPr>
                <w:sz w:val="24"/>
                <w:szCs w:val="24"/>
              </w:rPr>
              <w:t>1,419</w:t>
            </w:r>
          </w:p>
        </w:tc>
        <w:tc>
          <w:tcPr>
            <w:tcW w:w="811" w:type="pct"/>
            <w:tcBorders>
              <w:top w:val="nil"/>
              <w:left w:val="nil"/>
              <w:bottom w:val="single" w:sz="4" w:space="0" w:color="auto"/>
              <w:right w:val="single" w:sz="4" w:space="0" w:color="auto"/>
            </w:tcBorders>
          </w:tcPr>
          <w:p w14:paraId="4293E843" w14:textId="77777777" w:rsidR="00F11ECC" w:rsidRPr="00BE69E9" w:rsidRDefault="00F11ECC" w:rsidP="006D3FC9">
            <w:pPr>
              <w:jc w:val="left"/>
              <w:rPr>
                <w:sz w:val="24"/>
                <w:szCs w:val="24"/>
              </w:rPr>
            </w:pPr>
            <w:r>
              <w:rPr>
                <w:sz w:val="24"/>
                <w:szCs w:val="24"/>
              </w:rPr>
              <w:t>25.8</w:t>
            </w:r>
          </w:p>
        </w:tc>
        <w:tc>
          <w:tcPr>
            <w:tcW w:w="810" w:type="pct"/>
            <w:tcBorders>
              <w:top w:val="nil"/>
              <w:left w:val="nil"/>
              <w:bottom w:val="single" w:sz="4" w:space="0" w:color="auto"/>
              <w:right w:val="single" w:sz="4" w:space="0" w:color="auto"/>
            </w:tcBorders>
          </w:tcPr>
          <w:p w14:paraId="3F423D1D" w14:textId="77777777" w:rsidR="00F11ECC" w:rsidRPr="00BE69E9" w:rsidRDefault="00F11ECC" w:rsidP="006D3FC9">
            <w:pPr>
              <w:jc w:val="left"/>
              <w:rPr>
                <w:sz w:val="24"/>
                <w:szCs w:val="24"/>
              </w:rPr>
            </w:pPr>
            <w:r>
              <w:rPr>
                <w:sz w:val="24"/>
                <w:szCs w:val="24"/>
              </w:rPr>
              <w:t>21,096.66</w:t>
            </w:r>
          </w:p>
        </w:tc>
      </w:tr>
      <w:tr w:rsidR="00F11ECC" w:rsidRPr="00BE69E9" w14:paraId="45427ABC"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11E2AE49" w14:textId="77777777" w:rsidR="00F11ECC" w:rsidRPr="00BE69E9" w:rsidRDefault="00F11ECC" w:rsidP="006D3FC9">
            <w:pPr>
              <w:jc w:val="left"/>
              <w:rPr>
                <w:sz w:val="24"/>
                <w:szCs w:val="24"/>
              </w:rPr>
            </w:pPr>
            <w:r>
              <w:rPr>
                <w:sz w:val="24"/>
                <w:szCs w:val="24"/>
              </w:rPr>
              <w:t>CPVC Pipes</w:t>
            </w:r>
          </w:p>
        </w:tc>
        <w:tc>
          <w:tcPr>
            <w:tcW w:w="624" w:type="pct"/>
            <w:tcBorders>
              <w:top w:val="nil"/>
              <w:left w:val="nil"/>
              <w:bottom w:val="single" w:sz="4" w:space="0" w:color="auto"/>
              <w:right w:val="single" w:sz="4" w:space="0" w:color="auto"/>
            </w:tcBorders>
            <w:hideMark/>
          </w:tcPr>
          <w:p w14:paraId="4044D666" w14:textId="77777777" w:rsidR="00F11ECC" w:rsidRPr="00BE69E9" w:rsidRDefault="00F11ECC" w:rsidP="006D3FC9">
            <w:pPr>
              <w:jc w:val="left"/>
              <w:rPr>
                <w:sz w:val="24"/>
                <w:szCs w:val="24"/>
              </w:rPr>
            </w:pPr>
            <w:r>
              <w:rPr>
                <w:sz w:val="24"/>
                <w:szCs w:val="24"/>
              </w:rPr>
              <w:t>971.7</w:t>
            </w:r>
          </w:p>
        </w:tc>
        <w:tc>
          <w:tcPr>
            <w:tcW w:w="396" w:type="pct"/>
            <w:tcBorders>
              <w:top w:val="nil"/>
              <w:left w:val="nil"/>
              <w:bottom w:val="single" w:sz="4" w:space="0" w:color="auto"/>
              <w:right w:val="single" w:sz="4" w:space="0" w:color="auto"/>
            </w:tcBorders>
            <w:hideMark/>
          </w:tcPr>
          <w:p w14:paraId="2BE1E385"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13E21E57" w14:textId="77777777" w:rsidR="00F11ECC" w:rsidRPr="00BE69E9" w:rsidRDefault="00F11ECC" w:rsidP="006D3FC9">
            <w:pPr>
              <w:jc w:val="left"/>
              <w:rPr>
                <w:sz w:val="24"/>
                <w:szCs w:val="24"/>
              </w:rPr>
            </w:pPr>
            <w:r>
              <w:rPr>
                <w:sz w:val="24"/>
                <w:szCs w:val="24"/>
              </w:rPr>
              <w:t>3.96</w:t>
            </w:r>
          </w:p>
        </w:tc>
        <w:tc>
          <w:tcPr>
            <w:tcW w:w="811" w:type="pct"/>
            <w:tcBorders>
              <w:top w:val="nil"/>
              <w:left w:val="nil"/>
              <w:bottom w:val="single" w:sz="4" w:space="0" w:color="auto"/>
              <w:right w:val="single" w:sz="4" w:space="0" w:color="auto"/>
            </w:tcBorders>
            <w:hideMark/>
          </w:tcPr>
          <w:p w14:paraId="64B2ABD9" w14:textId="77777777" w:rsidR="00F11ECC" w:rsidRPr="00BE69E9" w:rsidRDefault="00F11ECC" w:rsidP="006D3FC9">
            <w:pPr>
              <w:jc w:val="left"/>
              <w:rPr>
                <w:sz w:val="24"/>
                <w:szCs w:val="24"/>
              </w:rPr>
            </w:pPr>
            <w:r>
              <w:rPr>
                <w:sz w:val="24"/>
                <w:szCs w:val="24"/>
              </w:rPr>
              <w:t>3,848</w:t>
            </w:r>
          </w:p>
        </w:tc>
        <w:tc>
          <w:tcPr>
            <w:tcW w:w="811" w:type="pct"/>
            <w:tcBorders>
              <w:top w:val="nil"/>
              <w:left w:val="nil"/>
              <w:bottom w:val="single" w:sz="4" w:space="0" w:color="auto"/>
              <w:right w:val="single" w:sz="4" w:space="0" w:color="auto"/>
            </w:tcBorders>
          </w:tcPr>
          <w:p w14:paraId="35777F2C" w14:textId="77777777" w:rsidR="00F11ECC" w:rsidRPr="00BE69E9" w:rsidRDefault="00F11ECC" w:rsidP="006D3FC9">
            <w:pPr>
              <w:jc w:val="left"/>
              <w:rPr>
                <w:sz w:val="24"/>
                <w:szCs w:val="24"/>
              </w:rPr>
            </w:pPr>
            <w:r>
              <w:rPr>
                <w:sz w:val="24"/>
                <w:szCs w:val="24"/>
              </w:rPr>
              <w:t>71.2</w:t>
            </w:r>
          </w:p>
        </w:tc>
        <w:tc>
          <w:tcPr>
            <w:tcW w:w="810" w:type="pct"/>
            <w:tcBorders>
              <w:top w:val="nil"/>
              <w:left w:val="nil"/>
              <w:bottom w:val="single" w:sz="4" w:space="0" w:color="auto"/>
              <w:right w:val="single" w:sz="4" w:space="0" w:color="auto"/>
            </w:tcBorders>
          </w:tcPr>
          <w:p w14:paraId="44567E92" w14:textId="77777777" w:rsidR="00F11ECC" w:rsidRPr="00BE69E9" w:rsidRDefault="00F11ECC" w:rsidP="006D3FC9">
            <w:pPr>
              <w:jc w:val="left"/>
              <w:rPr>
                <w:sz w:val="24"/>
                <w:szCs w:val="24"/>
              </w:rPr>
            </w:pPr>
            <w:r>
              <w:rPr>
                <w:sz w:val="24"/>
                <w:szCs w:val="24"/>
              </w:rPr>
              <w:t>69,185.04</w:t>
            </w:r>
          </w:p>
        </w:tc>
      </w:tr>
      <w:tr w:rsidR="00F11ECC" w:rsidRPr="00BE69E9" w14:paraId="59130E81"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26B5404" w14:textId="77777777" w:rsidR="00F11ECC" w:rsidRPr="00BE69E9" w:rsidRDefault="00F11ECC" w:rsidP="006D3FC9">
            <w:pPr>
              <w:jc w:val="left"/>
              <w:rPr>
                <w:sz w:val="24"/>
                <w:szCs w:val="24"/>
              </w:rPr>
            </w:pPr>
            <w:r>
              <w:rPr>
                <w:sz w:val="24"/>
                <w:szCs w:val="24"/>
              </w:rPr>
              <w:t>PVC Pipes</w:t>
            </w:r>
          </w:p>
        </w:tc>
        <w:tc>
          <w:tcPr>
            <w:tcW w:w="624" w:type="pct"/>
            <w:tcBorders>
              <w:top w:val="nil"/>
              <w:left w:val="nil"/>
              <w:bottom w:val="single" w:sz="4" w:space="0" w:color="auto"/>
              <w:right w:val="single" w:sz="4" w:space="0" w:color="auto"/>
            </w:tcBorders>
            <w:hideMark/>
          </w:tcPr>
          <w:p w14:paraId="0A82EF81" w14:textId="77777777" w:rsidR="00F11ECC" w:rsidRPr="00BE69E9" w:rsidRDefault="00F11ECC" w:rsidP="006D3FC9">
            <w:pPr>
              <w:jc w:val="left"/>
              <w:rPr>
                <w:sz w:val="24"/>
                <w:szCs w:val="24"/>
              </w:rPr>
            </w:pPr>
            <w:r>
              <w:rPr>
                <w:sz w:val="24"/>
                <w:szCs w:val="24"/>
              </w:rPr>
              <w:t>365.8</w:t>
            </w:r>
          </w:p>
        </w:tc>
        <w:tc>
          <w:tcPr>
            <w:tcW w:w="396" w:type="pct"/>
            <w:tcBorders>
              <w:top w:val="nil"/>
              <w:left w:val="nil"/>
              <w:bottom w:val="single" w:sz="4" w:space="0" w:color="auto"/>
              <w:right w:val="single" w:sz="4" w:space="0" w:color="auto"/>
            </w:tcBorders>
            <w:hideMark/>
          </w:tcPr>
          <w:p w14:paraId="5C2AD75E"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72951121" w14:textId="77777777" w:rsidR="00F11ECC" w:rsidRPr="00BE69E9" w:rsidRDefault="00F11ECC" w:rsidP="006D3FC9">
            <w:pPr>
              <w:jc w:val="left"/>
              <w:rPr>
                <w:sz w:val="24"/>
                <w:szCs w:val="24"/>
              </w:rPr>
            </w:pPr>
            <w:r>
              <w:rPr>
                <w:sz w:val="24"/>
                <w:szCs w:val="24"/>
              </w:rPr>
              <w:t>3.23</w:t>
            </w:r>
          </w:p>
        </w:tc>
        <w:tc>
          <w:tcPr>
            <w:tcW w:w="811" w:type="pct"/>
            <w:tcBorders>
              <w:top w:val="nil"/>
              <w:left w:val="nil"/>
              <w:bottom w:val="single" w:sz="4" w:space="0" w:color="auto"/>
              <w:right w:val="single" w:sz="4" w:space="0" w:color="auto"/>
            </w:tcBorders>
            <w:hideMark/>
          </w:tcPr>
          <w:p w14:paraId="5BBF12FA" w14:textId="77777777" w:rsidR="00F11ECC" w:rsidRPr="00BE69E9" w:rsidRDefault="00F11ECC" w:rsidP="006D3FC9">
            <w:pPr>
              <w:jc w:val="left"/>
              <w:rPr>
                <w:sz w:val="24"/>
                <w:szCs w:val="24"/>
              </w:rPr>
            </w:pPr>
            <w:r>
              <w:rPr>
                <w:sz w:val="24"/>
                <w:szCs w:val="24"/>
              </w:rPr>
              <w:t>1,181</w:t>
            </w:r>
          </w:p>
        </w:tc>
        <w:tc>
          <w:tcPr>
            <w:tcW w:w="811" w:type="pct"/>
            <w:tcBorders>
              <w:top w:val="nil"/>
              <w:left w:val="nil"/>
              <w:bottom w:val="single" w:sz="4" w:space="0" w:color="auto"/>
              <w:right w:val="single" w:sz="4" w:space="0" w:color="auto"/>
            </w:tcBorders>
          </w:tcPr>
          <w:p w14:paraId="4C47E18D" w14:textId="77777777" w:rsidR="00F11ECC" w:rsidRPr="00BE69E9" w:rsidRDefault="00F11ECC" w:rsidP="006D3FC9">
            <w:pPr>
              <w:jc w:val="left"/>
              <w:rPr>
                <w:sz w:val="24"/>
                <w:szCs w:val="24"/>
              </w:rPr>
            </w:pPr>
            <w:r>
              <w:rPr>
                <w:sz w:val="24"/>
                <w:szCs w:val="24"/>
              </w:rPr>
              <w:t>80</w:t>
            </w:r>
          </w:p>
        </w:tc>
        <w:tc>
          <w:tcPr>
            <w:tcW w:w="810" w:type="pct"/>
            <w:tcBorders>
              <w:top w:val="nil"/>
              <w:left w:val="nil"/>
              <w:bottom w:val="single" w:sz="4" w:space="0" w:color="auto"/>
              <w:right w:val="single" w:sz="4" w:space="0" w:color="auto"/>
            </w:tcBorders>
          </w:tcPr>
          <w:p w14:paraId="7CA4CB2A" w14:textId="77777777" w:rsidR="00F11ECC" w:rsidRPr="00BE69E9" w:rsidRDefault="00F11ECC" w:rsidP="006D3FC9">
            <w:pPr>
              <w:jc w:val="left"/>
              <w:rPr>
                <w:sz w:val="24"/>
                <w:szCs w:val="24"/>
              </w:rPr>
            </w:pPr>
            <w:r>
              <w:rPr>
                <w:sz w:val="24"/>
                <w:szCs w:val="24"/>
              </w:rPr>
              <w:t>29,264</w:t>
            </w:r>
          </w:p>
        </w:tc>
      </w:tr>
      <w:tr w:rsidR="00F11ECC" w:rsidRPr="00BE69E9" w14:paraId="5F860EA4"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4B205BA1" w14:textId="77777777" w:rsidR="00F11ECC" w:rsidRPr="00BE69E9" w:rsidRDefault="00F11ECC" w:rsidP="006D3FC9">
            <w:pPr>
              <w:jc w:val="left"/>
              <w:rPr>
                <w:sz w:val="24"/>
                <w:szCs w:val="24"/>
              </w:rPr>
            </w:pPr>
            <w:r>
              <w:rPr>
                <w:sz w:val="24"/>
                <w:szCs w:val="24"/>
              </w:rPr>
              <w:t>Paints</w:t>
            </w:r>
          </w:p>
        </w:tc>
        <w:tc>
          <w:tcPr>
            <w:tcW w:w="624" w:type="pct"/>
            <w:tcBorders>
              <w:top w:val="nil"/>
              <w:left w:val="nil"/>
              <w:bottom w:val="single" w:sz="4" w:space="0" w:color="auto"/>
              <w:right w:val="single" w:sz="4" w:space="0" w:color="auto"/>
            </w:tcBorders>
            <w:hideMark/>
          </w:tcPr>
          <w:p w14:paraId="3368177D" w14:textId="77777777" w:rsidR="00F11ECC" w:rsidRPr="00BE69E9" w:rsidRDefault="00F11ECC" w:rsidP="006D3FC9">
            <w:pPr>
              <w:jc w:val="left"/>
              <w:rPr>
                <w:sz w:val="24"/>
                <w:szCs w:val="24"/>
              </w:rPr>
            </w:pPr>
            <w:r>
              <w:rPr>
                <w:sz w:val="24"/>
                <w:szCs w:val="24"/>
              </w:rPr>
              <w:t>762.3</w:t>
            </w:r>
          </w:p>
        </w:tc>
        <w:tc>
          <w:tcPr>
            <w:tcW w:w="396" w:type="pct"/>
            <w:tcBorders>
              <w:top w:val="nil"/>
              <w:left w:val="nil"/>
              <w:bottom w:val="single" w:sz="4" w:space="0" w:color="auto"/>
              <w:right w:val="single" w:sz="4" w:space="0" w:color="auto"/>
            </w:tcBorders>
            <w:hideMark/>
          </w:tcPr>
          <w:p w14:paraId="3B59F4BF" w14:textId="77777777" w:rsidR="00F11ECC" w:rsidRPr="00BE69E9" w:rsidRDefault="00F11ECC" w:rsidP="006D3FC9">
            <w:pPr>
              <w:jc w:val="left"/>
              <w:rPr>
                <w:sz w:val="24"/>
                <w:szCs w:val="24"/>
              </w:rPr>
            </w:pPr>
            <w:proofErr w:type="spellStart"/>
            <w:r>
              <w:rPr>
                <w:sz w:val="24"/>
                <w:szCs w:val="24"/>
              </w:rPr>
              <w:t>litre</w:t>
            </w:r>
            <w:proofErr w:type="spellEnd"/>
          </w:p>
        </w:tc>
        <w:tc>
          <w:tcPr>
            <w:tcW w:w="716" w:type="pct"/>
            <w:tcBorders>
              <w:top w:val="nil"/>
              <w:left w:val="nil"/>
              <w:bottom w:val="single" w:sz="4" w:space="0" w:color="auto"/>
              <w:right w:val="single" w:sz="4" w:space="0" w:color="auto"/>
            </w:tcBorders>
            <w:hideMark/>
          </w:tcPr>
          <w:p w14:paraId="050F112B" w14:textId="77777777" w:rsidR="00F11ECC" w:rsidRPr="00BE69E9" w:rsidRDefault="00F11ECC" w:rsidP="006D3FC9">
            <w:pPr>
              <w:jc w:val="left"/>
              <w:rPr>
                <w:sz w:val="24"/>
                <w:szCs w:val="24"/>
              </w:rPr>
            </w:pPr>
            <w:r>
              <w:rPr>
                <w:sz w:val="24"/>
                <w:szCs w:val="24"/>
              </w:rPr>
              <w:t>2.86</w:t>
            </w:r>
          </w:p>
        </w:tc>
        <w:tc>
          <w:tcPr>
            <w:tcW w:w="811" w:type="pct"/>
            <w:tcBorders>
              <w:top w:val="nil"/>
              <w:left w:val="nil"/>
              <w:bottom w:val="single" w:sz="4" w:space="0" w:color="auto"/>
              <w:right w:val="single" w:sz="4" w:space="0" w:color="auto"/>
            </w:tcBorders>
            <w:hideMark/>
          </w:tcPr>
          <w:p w14:paraId="2E124091" w14:textId="77777777" w:rsidR="00F11ECC" w:rsidRPr="00BE69E9" w:rsidRDefault="00F11ECC" w:rsidP="006D3FC9">
            <w:pPr>
              <w:jc w:val="left"/>
              <w:rPr>
                <w:sz w:val="24"/>
                <w:szCs w:val="24"/>
              </w:rPr>
            </w:pPr>
            <w:r>
              <w:rPr>
                <w:sz w:val="24"/>
                <w:szCs w:val="24"/>
              </w:rPr>
              <w:t>2,180</w:t>
            </w:r>
          </w:p>
        </w:tc>
        <w:tc>
          <w:tcPr>
            <w:tcW w:w="811" w:type="pct"/>
            <w:tcBorders>
              <w:top w:val="nil"/>
              <w:left w:val="nil"/>
              <w:bottom w:val="single" w:sz="4" w:space="0" w:color="auto"/>
              <w:right w:val="single" w:sz="4" w:space="0" w:color="auto"/>
            </w:tcBorders>
          </w:tcPr>
          <w:p w14:paraId="0D43B905" w14:textId="77777777" w:rsidR="00F11ECC" w:rsidRPr="00BE69E9" w:rsidRDefault="00F11ECC" w:rsidP="006D3FC9">
            <w:pPr>
              <w:jc w:val="left"/>
              <w:rPr>
                <w:sz w:val="24"/>
                <w:szCs w:val="24"/>
              </w:rPr>
            </w:pPr>
            <w:r>
              <w:rPr>
                <w:sz w:val="24"/>
                <w:szCs w:val="24"/>
              </w:rPr>
              <w:t>98.1</w:t>
            </w:r>
          </w:p>
        </w:tc>
        <w:tc>
          <w:tcPr>
            <w:tcW w:w="810" w:type="pct"/>
            <w:tcBorders>
              <w:top w:val="nil"/>
              <w:left w:val="nil"/>
              <w:bottom w:val="single" w:sz="4" w:space="0" w:color="auto"/>
              <w:right w:val="single" w:sz="4" w:space="0" w:color="auto"/>
            </w:tcBorders>
          </w:tcPr>
          <w:p w14:paraId="7A1DAD16" w14:textId="77777777" w:rsidR="00F11ECC" w:rsidRPr="00BE69E9" w:rsidRDefault="00F11ECC" w:rsidP="006D3FC9">
            <w:pPr>
              <w:jc w:val="left"/>
              <w:rPr>
                <w:sz w:val="24"/>
                <w:szCs w:val="24"/>
              </w:rPr>
            </w:pPr>
            <w:r>
              <w:rPr>
                <w:sz w:val="24"/>
                <w:szCs w:val="24"/>
              </w:rPr>
              <w:t>74,781.63</w:t>
            </w:r>
          </w:p>
        </w:tc>
      </w:tr>
      <w:tr w:rsidR="00F11ECC" w:rsidRPr="00BE69E9" w14:paraId="27FEA938"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34EC87EA" w14:textId="77777777" w:rsidR="00F11ECC" w:rsidRPr="00BE69E9" w:rsidRDefault="00F11ECC" w:rsidP="006D3FC9">
            <w:pPr>
              <w:jc w:val="left"/>
              <w:rPr>
                <w:sz w:val="24"/>
                <w:szCs w:val="24"/>
              </w:rPr>
            </w:pPr>
            <w:r>
              <w:rPr>
                <w:sz w:val="24"/>
                <w:szCs w:val="24"/>
              </w:rPr>
              <w:t>Cement Putty</w:t>
            </w:r>
          </w:p>
        </w:tc>
        <w:tc>
          <w:tcPr>
            <w:tcW w:w="624" w:type="pct"/>
            <w:tcBorders>
              <w:top w:val="nil"/>
              <w:left w:val="nil"/>
              <w:bottom w:val="single" w:sz="4" w:space="0" w:color="auto"/>
              <w:right w:val="single" w:sz="4" w:space="0" w:color="auto"/>
            </w:tcBorders>
            <w:hideMark/>
          </w:tcPr>
          <w:p w14:paraId="7126E9C8" w14:textId="77777777" w:rsidR="00F11ECC" w:rsidRPr="00BE69E9" w:rsidRDefault="00F11ECC" w:rsidP="006D3FC9">
            <w:pPr>
              <w:jc w:val="left"/>
              <w:rPr>
                <w:sz w:val="24"/>
                <w:szCs w:val="24"/>
              </w:rPr>
            </w:pPr>
            <w:r>
              <w:rPr>
                <w:sz w:val="24"/>
                <w:szCs w:val="24"/>
              </w:rPr>
              <w:t>9,287.0</w:t>
            </w:r>
          </w:p>
        </w:tc>
        <w:tc>
          <w:tcPr>
            <w:tcW w:w="396" w:type="pct"/>
            <w:tcBorders>
              <w:top w:val="nil"/>
              <w:left w:val="nil"/>
              <w:bottom w:val="single" w:sz="4" w:space="0" w:color="auto"/>
              <w:right w:val="single" w:sz="4" w:space="0" w:color="auto"/>
            </w:tcBorders>
            <w:hideMark/>
          </w:tcPr>
          <w:p w14:paraId="7CE38C52" w14:textId="77777777" w:rsidR="00F11ECC" w:rsidRPr="00BE69E9" w:rsidRDefault="00F11ECC" w:rsidP="006D3FC9">
            <w:pPr>
              <w:jc w:val="left"/>
              <w:rPr>
                <w:sz w:val="24"/>
                <w:szCs w:val="24"/>
              </w:rPr>
            </w:pPr>
            <w:r>
              <w:rPr>
                <w:sz w:val="24"/>
                <w:szCs w:val="24"/>
              </w:rPr>
              <w:t>kg</w:t>
            </w:r>
          </w:p>
        </w:tc>
        <w:tc>
          <w:tcPr>
            <w:tcW w:w="716" w:type="pct"/>
            <w:tcBorders>
              <w:top w:val="nil"/>
              <w:left w:val="nil"/>
              <w:bottom w:val="single" w:sz="4" w:space="0" w:color="auto"/>
              <w:right w:val="single" w:sz="4" w:space="0" w:color="auto"/>
            </w:tcBorders>
            <w:hideMark/>
          </w:tcPr>
          <w:p w14:paraId="408B30EE" w14:textId="77777777" w:rsidR="00F11ECC" w:rsidRPr="00BE69E9" w:rsidRDefault="00F11ECC" w:rsidP="006D3FC9">
            <w:pPr>
              <w:jc w:val="left"/>
              <w:rPr>
                <w:sz w:val="24"/>
                <w:szCs w:val="24"/>
              </w:rPr>
            </w:pPr>
            <w:r>
              <w:rPr>
                <w:sz w:val="24"/>
                <w:szCs w:val="24"/>
              </w:rPr>
              <w:t>0.78</w:t>
            </w:r>
          </w:p>
        </w:tc>
        <w:tc>
          <w:tcPr>
            <w:tcW w:w="811" w:type="pct"/>
            <w:tcBorders>
              <w:top w:val="nil"/>
              <w:left w:val="nil"/>
              <w:bottom w:val="single" w:sz="4" w:space="0" w:color="auto"/>
              <w:right w:val="single" w:sz="4" w:space="0" w:color="auto"/>
            </w:tcBorders>
            <w:hideMark/>
          </w:tcPr>
          <w:p w14:paraId="36E10024" w14:textId="77777777" w:rsidR="00F11ECC" w:rsidRPr="00BE69E9" w:rsidRDefault="00F11ECC" w:rsidP="006D3FC9">
            <w:pPr>
              <w:jc w:val="left"/>
              <w:rPr>
                <w:sz w:val="24"/>
                <w:szCs w:val="24"/>
              </w:rPr>
            </w:pPr>
            <w:r>
              <w:rPr>
                <w:sz w:val="24"/>
                <w:szCs w:val="24"/>
              </w:rPr>
              <w:t>7,244</w:t>
            </w:r>
          </w:p>
        </w:tc>
        <w:tc>
          <w:tcPr>
            <w:tcW w:w="811" w:type="pct"/>
            <w:tcBorders>
              <w:top w:val="nil"/>
              <w:left w:val="nil"/>
              <w:bottom w:val="single" w:sz="4" w:space="0" w:color="auto"/>
              <w:right w:val="single" w:sz="4" w:space="0" w:color="auto"/>
            </w:tcBorders>
          </w:tcPr>
          <w:p w14:paraId="70CF2B35" w14:textId="77777777" w:rsidR="00F11ECC" w:rsidRPr="00BE69E9" w:rsidRDefault="00F11ECC" w:rsidP="006D3FC9">
            <w:pPr>
              <w:jc w:val="left"/>
              <w:rPr>
                <w:sz w:val="24"/>
                <w:szCs w:val="24"/>
              </w:rPr>
            </w:pPr>
            <w:r>
              <w:rPr>
                <w:sz w:val="24"/>
                <w:szCs w:val="24"/>
              </w:rPr>
              <w:t>4.8</w:t>
            </w:r>
          </w:p>
        </w:tc>
        <w:tc>
          <w:tcPr>
            <w:tcW w:w="810" w:type="pct"/>
            <w:tcBorders>
              <w:top w:val="nil"/>
              <w:left w:val="nil"/>
              <w:bottom w:val="single" w:sz="4" w:space="0" w:color="auto"/>
              <w:right w:val="single" w:sz="4" w:space="0" w:color="auto"/>
            </w:tcBorders>
          </w:tcPr>
          <w:p w14:paraId="56B9910E" w14:textId="77777777" w:rsidR="00F11ECC" w:rsidRPr="00BE69E9" w:rsidRDefault="00F11ECC" w:rsidP="006D3FC9">
            <w:pPr>
              <w:jc w:val="left"/>
              <w:rPr>
                <w:sz w:val="24"/>
                <w:szCs w:val="24"/>
              </w:rPr>
            </w:pPr>
            <w:r>
              <w:rPr>
                <w:sz w:val="24"/>
                <w:szCs w:val="24"/>
              </w:rPr>
              <w:t>44,577.6</w:t>
            </w:r>
          </w:p>
        </w:tc>
      </w:tr>
      <w:tr w:rsidR="00F11ECC" w:rsidRPr="00BE69E9" w14:paraId="416CE1B4" w14:textId="77777777" w:rsidTr="006D3FC9">
        <w:trPr>
          <w:trHeight w:val="227"/>
        </w:trPr>
        <w:tc>
          <w:tcPr>
            <w:tcW w:w="2567" w:type="pct"/>
            <w:gridSpan w:val="4"/>
            <w:tcBorders>
              <w:top w:val="single" w:sz="4" w:space="0" w:color="auto"/>
              <w:left w:val="single" w:sz="4" w:space="0" w:color="auto"/>
              <w:bottom w:val="single" w:sz="4" w:space="0" w:color="auto"/>
              <w:right w:val="single" w:sz="4" w:space="0" w:color="auto"/>
            </w:tcBorders>
            <w:hideMark/>
          </w:tcPr>
          <w:p w14:paraId="6FAE88BB" w14:textId="77777777" w:rsidR="00F11ECC" w:rsidRPr="00BE69E9" w:rsidRDefault="00F11ECC" w:rsidP="006D3FC9">
            <w:pPr>
              <w:jc w:val="left"/>
              <w:rPr>
                <w:sz w:val="24"/>
                <w:szCs w:val="24"/>
              </w:rPr>
            </w:pPr>
            <w:r>
              <w:rPr>
                <w:sz w:val="24"/>
                <w:szCs w:val="24"/>
              </w:rPr>
              <w:t xml:space="preserve">Total </w:t>
            </w:r>
          </w:p>
        </w:tc>
        <w:tc>
          <w:tcPr>
            <w:tcW w:w="811" w:type="pct"/>
            <w:tcBorders>
              <w:top w:val="nil"/>
              <w:left w:val="nil"/>
              <w:bottom w:val="single" w:sz="4" w:space="0" w:color="auto"/>
              <w:right w:val="single" w:sz="4" w:space="0" w:color="auto"/>
            </w:tcBorders>
            <w:hideMark/>
          </w:tcPr>
          <w:p w14:paraId="15C06167" w14:textId="77777777" w:rsidR="00F11ECC" w:rsidRPr="00BE69E9" w:rsidRDefault="00F11ECC" w:rsidP="006D3FC9">
            <w:pPr>
              <w:jc w:val="left"/>
              <w:rPr>
                <w:sz w:val="24"/>
                <w:szCs w:val="24"/>
              </w:rPr>
            </w:pPr>
            <w:r>
              <w:rPr>
                <w:sz w:val="24"/>
                <w:szCs w:val="24"/>
              </w:rPr>
              <w:t>3,400,025</w:t>
            </w:r>
          </w:p>
        </w:tc>
        <w:tc>
          <w:tcPr>
            <w:tcW w:w="811" w:type="pct"/>
            <w:tcBorders>
              <w:top w:val="nil"/>
              <w:left w:val="nil"/>
              <w:bottom w:val="single" w:sz="4" w:space="0" w:color="auto"/>
              <w:right w:val="single" w:sz="4" w:space="0" w:color="auto"/>
            </w:tcBorders>
          </w:tcPr>
          <w:p w14:paraId="10655C73" w14:textId="77777777" w:rsidR="00F11ECC" w:rsidRPr="00BE69E9" w:rsidRDefault="00F11ECC" w:rsidP="006D3FC9">
            <w:pPr>
              <w:jc w:val="left"/>
              <w:rPr>
                <w:sz w:val="24"/>
                <w:szCs w:val="24"/>
              </w:rPr>
            </w:pPr>
          </w:p>
        </w:tc>
        <w:tc>
          <w:tcPr>
            <w:tcW w:w="810" w:type="pct"/>
            <w:tcBorders>
              <w:top w:val="nil"/>
              <w:left w:val="nil"/>
              <w:bottom w:val="single" w:sz="4" w:space="0" w:color="auto"/>
              <w:right w:val="single" w:sz="4" w:space="0" w:color="auto"/>
            </w:tcBorders>
          </w:tcPr>
          <w:p w14:paraId="1B986BD1" w14:textId="77777777" w:rsidR="00F11ECC" w:rsidRPr="00BE69E9" w:rsidRDefault="00F11ECC" w:rsidP="006D3FC9">
            <w:pPr>
              <w:jc w:val="left"/>
              <w:rPr>
                <w:sz w:val="24"/>
                <w:szCs w:val="24"/>
              </w:rPr>
            </w:pPr>
            <w:r>
              <w:rPr>
                <w:sz w:val="24"/>
                <w:szCs w:val="24"/>
              </w:rPr>
              <w:t>10,929,319.2</w:t>
            </w:r>
          </w:p>
        </w:tc>
      </w:tr>
    </w:tbl>
    <w:p w14:paraId="091B99C0" w14:textId="77777777" w:rsidR="00935285" w:rsidRPr="00BE69E9" w:rsidRDefault="00935285" w:rsidP="00941D61">
      <w:pPr>
        <w:spacing w:before="240"/>
        <w:rPr>
          <w:sz w:val="24"/>
          <w:szCs w:val="24"/>
          <w:lang w:val="en-IN" w:eastAsia="en-IN"/>
        </w:rPr>
      </w:pPr>
      <w:r>
        <w:rPr>
          <w:sz w:val="24"/>
          <w:szCs w:val="24"/>
          <w:lang w:val="en-IN" w:eastAsia="en-IN"/>
        </w:rPr>
        <w:t>Other significant sources of emissions include tiles (376,790 kg CO₂- eq.), cement (263,287 kg CO₂- eq.), and MS grill (16,209 kg CO₂- eq.). Glass panes and CPVC pipes also represent non-negligible emission sources due to their relatively high emission factors (1.735 and 3.96 kg CO₂- eq./kg, respectively), despite being used in lower quantities.</w:t>
      </w:r>
    </w:p>
    <w:p w14:paraId="02E608AF" w14:textId="77777777" w:rsidR="00935285" w:rsidRPr="00BE69E9" w:rsidRDefault="00935285" w:rsidP="00970AD7">
      <w:pPr>
        <w:rPr>
          <w:sz w:val="24"/>
          <w:szCs w:val="24"/>
          <w:lang w:val="en-IN" w:eastAsia="en-IN"/>
        </w:rPr>
      </w:pPr>
      <w:r>
        <w:rPr>
          <w:sz w:val="24"/>
          <w:szCs w:val="24"/>
          <w:lang w:val="en-IN" w:eastAsia="en-IN"/>
        </w:rPr>
        <w:t xml:space="preserve">In contrast, materials such as limestone, granite, and wood contributed minimally to total carbon emissions, reflecting low emission factors. </w:t>
      </w:r>
    </w:p>
    <w:p w14:paraId="4DE7E250" w14:textId="77777777" w:rsidR="00935285" w:rsidRPr="00BE69E9" w:rsidRDefault="00935285" w:rsidP="00970AD7">
      <w:pPr>
        <w:rPr>
          <w:rFonts w:eastAsia="Times New Roman"/>
          <w:sz w:val="24"/>
          <w:szCs w:val="24"/>
        </w:rPr>
      </w:pPr>
      <w:r>
        <w:rPr>
          <w:sz w:val="24"/>
          <w:szCs w:val="24"/>
        </w:rPr>
        <w:t xml:space="preserve">Transporting these materials from production sites to construction locations adds to the carbon footprint. Together, these stages make construction materials a major source of carbon emissions. Transportation-related emissions were assessed based on the number of delivery trips, diesel consumption, and an emission factor of </w:t>
      </w:r>
      <w:r>
        <w:rPr>
          <w:rFonts w:eastAsia="Times New Roman"/>
          <w:sz w:val="24"/>
          <w:szCs w:val="24"/>
        </w:rPr>
        <w:t xml:space="preserve">3.14 kg </w:t>
      </w:r>
      <w:r>
        <w:rPr>
          <w:sz w:val="24"/>
          <w:szCs w:val="24"/>
        </w:rPr>
        <w:t xml:space="preserve">CO₂- eq./ </w:t>
      </w:r>
      <w:proofErr w:type="spellStart"/>
      <w:r>
        <w:rPr>
          <w:rFonts w:eastAsia="Times New Roman"/>
          <w:sz w:val="24"/>
          <w:szCs w:val="24"/>
        </w:rPr>
        <w:t>litre</w:t>
      </w:r>
      <w:proofErr w:type="spellEnd"/>
      <w:r>
        <w:rPr>
          <w:rFonts w:eastAsia="Times New Roman"/>
          <w:sz w:val="24"/>
          <w:szCs w:val="24"/>
        </w:rPr>
        <w:t xml:space="preserve"> of diesel. 15.2 </w:t>
      </w:r>
      <w:proofErr w:type="spellStart"/>
      <w:r>
        <w:rPr>
          <w:rFonts w:eastAsia="Times New Roman"/>
          <w:sz w:val="24"/>
          <w:szCs w:val="24"/>
        </w:rPr>
        <w:t>litre</w:t>
      </w:r>
      <w:proofErr w:type="spellEnd"/>
      <w:r>
        <w:rPr>
          <w:rFonts w:eastAsia="Times New Roman"/>
          <w:sz w:val="24"/>
          <w:szCs w:val="24"/>
        </w:rPr>
        <w:t xml:space="preserve"> of diesel is consumed in 1 trip from Una to the site. </w:t>
      </w:r>
    </w:p>
    <w:p w14:paraId="53E1EE81" w14:textId="77777777" w:rsidR="000467E0" w:rsidRPr="00BE69E9" w:rsidRDefault="000467E0" w:rsidP="00970AD7">
      <w:pPr>
        <w:rPr>
          <w:rFonts w:eastAsia="Times New Roman"/>
          <w:sz w:val="24"/>
          <w:szCs w:val="24"/>
        </w:rPr>
      </w:pPr>
      <w:r>
        <w:rPr>
          <w:rFonts w:eastAsia="Times New Roman"/>
          <w:sz w:val="24"/>
          <w:szCs w:val="24"/>
          <w:lang w:val="en-IN" w:eastAsia="en-IN"/>
        </w:rPr>
        <w:t xml:space="preserve">The total emissions due to transportation of the materials from Una to the site were estimated to 63,169 kg </w:t>
      </w:r>
      <w:r>
        <w:rPr>
          <w:sz w:val="24"/>
          <w:szCs w:val="24"/>
        </w:rPr>
        <w:t>CO₂- eq</w:t>
      </w:r>
      <w:r>
        <w:rPr>
          <w:rFonts w:eastAsia="Times New Roman"/>
          <w:sz w:val="24"/>
          <w:szCs w:val="24"/>
          <w:lang w:val="en-IN" w:eastAsia="en-IN"/>
        </w:rPr>
        <w:t xml:space="preserve">. (Table 2). The highest contributor was Reinforced Cement Concrete (RCC) with 756 trips, consuming </w:t>
      </w:r>
      <w:r>
        <w:rPr>
          <w:rFonts w:eastAsia="Times New Roman"/>
          <w:sz w:val="24"/>
          <w:szCs w:val="24"/>
          <w:lang w:val="en-IN" w:eastAsia="en-IN"/>
        </w:rPr>
        <w:lastRenderedPageBreak/>
        <w:t xml:space="preserve">11,491.2 litres of diesel, and emitting 36,427 kg </w:t>
      </w:r>
      <w:r>
        <w:rPr>
          <w:sz w:val="24"/>
          <w:szCs w:val="24"/>
        </w:rPr>
        <w:t>CO₂- eq</w:t>
      </w:r>
      <w:r>
        <w:rPr>
          <w:rFonts w:eastAsia="Times New Roman"/>
          <w:sz w:val="24"/>
          <w:szCs w:val="24"/>
          <w:lang w:val="en-IN" w:eastAsia="en-IN"/>
        </w:rPr>
        <w:t xml:space="preserve">. Brick followed with 438 trips, consuming 6,559.7 litres of diesel, and emitting 21,105 kg </w:t>
      </w:r>
      <w:r>
        <w:rPr>
          <w:sz w:val="24"/>
          <w:szCs w:val="24"/>
        </w:rPr>
        <w:t>CO₂- eq</w:t>
      </w:r>
      <w:r>
        <w:rPr>
          <w:rFonts w:eastAsia="Times New Roman"/>
          <w:sz w:val="24"/>
          <w:szCs w:val="24"/>
          <w:lang w:val="en-IN" w:eastAsia="en-IN"/>
        </w:rPr>
        <w:t xml:space="preserve">. Other notable materials included cement and tiles, contributing 1,638 kg </w:t>
      </w:r>
      <w:r>
        <w:rPr>
          <w:sz w:val="24"/>
          <w:szCs w:val="24"/>
        </w:rPr>
        <w:t>CO₂- eq</w:t>
      </w:r>
      <w:r>
        <w:rPr>
          <w:rFonts w:eastAsia="Times New Roman"/>
          <w:sz w:val="24"/>
          <w:szCs w:val="24"/>
          <w:lang w:val="en-IN" w:eastAsia="en-IN"/>
        </w:rPr>
        <w:t xml:space="preserve">. and 1,976 kg </w:t>
      </w:r>
      <w:r>
        <w:rPr>
          <w:sz w:val="24"/>
          <w:szCs w:val="24"/>
        </w:rPr>
        <w:t>CO₂- eq</w:t>
      </w:r>
      <w:r>
        <w:rPr>
          <w:rFonts w:eastAsia="Times New Roman"/>
          <w:sz w:val="24"/>
          <w:szCs w:val="24"/>
          <w:lang w:val="en-IN" w:eastAsia="en-IN"/>
        </w:rPr>
        <w:t>., respectively.</w:t>
      </w:r>
    </w:p>
    <w:p w14:paraId="1D87BABC" w14:textId="60147F13" w:rsidR="002E2AA0" w:rsidRPr="00BE69E9" w:rsidRDefault="002E2AA0" w:rsidP="00941D61">
      <w:pPr>
        <w:pStyle w:val="Caption"/>
        <w:keepNext/>
        <w:spacing w:before="240" w:after="0"/>
        <w:rPr>
          <w:sz w:val="24"/>
          <w:szCs w:val="24"/>
        </w:rPr>
      </w:pPr>
      <w:r>
        <w:rPr>
          <w:b/>
          <w:bCs/>
          <w:i w:val="0"/>
          <w:iCs w:val="0"/>
          <w:sz w:val="24"/>
          <w:szCs w:val="24"/>
        </w:rPr>
        <w:t xml:space="preserve">Table </w:t>
      </w:r>
      <w:r>
        <w:rPr>
          <w:b/>
          <w:bCs/>
          <w:i w:val="0"/>
          <w:iCs w:val="0"/>
          <w:sz w:val="24"/>
          <w:szCs w:val="24"/>
        </w:rPr>
        <w:fldChar w:fldCharType="begin"/>
      </w:r>
      <w:r>
        <w:rPr>
          <w:b/>
          <w:bCs/>
          <w:i w:val="0"/>
          <w:iCs w:val="0"/>
          <w:sz w:val="24"/>
          <w:szCs w:val="24"/>
        </w:rPr>
        <w:instrText xml:space="preserve"> SEQ Table \* ARABIC </w:instrText>
      </w:r>
      <w:r>
        <w:rPr>
          <w:b/>
          <w:bCs/>
          <w:i w:val="0"/>
          <w:iCs w:val="0"/>
          <w:sz w:val="24"/>
          <w:szCs w:val="24"/>
        </w:rPr>
        <w:fldChar w:fldCharType="separate"/>
      </w:r>
      <w:r w:rsidR="006306C2">
        <w:rPr>
          <w:b/>
          <w:bCs/>
          <w:i w:val="0"/>
          <w:iCs w:val="0"/>
          <w:noProof/>
          <w:sz w:val="24"/>
          <w:szCs w:val="24"/>
        </w:rPr>
        <w:t>2</w:t>
      </w:r>
      <w:r>
        <w:rPr>
          <w:b/>
          <w:bCs/>
          <w:i w:val="0"/>
          <w:iCs w:val="0"/>
          <w:sz w:val="24"/>
          <w:szCs w:val="24"/>
        </w:rPr>
        <w:fldChar w:fldCharType="end"/>
      </w:r>
      <w:r>
        <w:rPr>
          <w:sz w:val="24"/>
          <w:szCs w:val="24"/>
        </w:rPr>
        <w:t xml:space="preserve"> </w:t>
      </w:r>
      <w:r>
        <w:rPr>
          <w:i w:val="0"/>
          <w:iCs w:val="0"/>
          <w:sz w:val="24"/>
          <w:szCs w:val="24"/>
        </w:rPr>
        <w:t>Materials with emissions due to their transportation</w:t>
      </w:r>
    </w:p>
    <w:tbl>
      <w:tblPr>
        <w:tblStyle w:val="TableGrid"/>
        <w:tblW w:w="5000" w:type="pct"/>
        <w:tblLook w:val="04A0" w:firstRow="1" w:lastRow="0" w:firstColumn="1" w:lastColumn="0" w:noHBand="0" w:noVBand="1"/>
      </w:tblPr>
      <w:tblGrid>
        <w:gridCol w:w="2072"/>
        <w:gridCol w:w="1477"/>
        <w:gridCol w:w="810"/>
        <w:gridCol w:w="788"/>
        <w:gridCol w:w="2379"/>
        <w:gridCol w:w="3156"/>
      </w:tblGrid>
      <w:tr w:rsidR="002E2AA0" w:rsidRPr="006D3FC9" w14:paraId="7B62347D" w14:textId="77777777" w:rsidTr="006D3FC9">
        <w:trPr>
          <w:trHeight w:val="353"/>
        </w:trPr>
        <w:tc>
          <w:tcPr>
            <w:tcW w:w="0" w:type="auto"/>
            <w:hideMark/>
          </w:tcPr>
          <w:p w14:paraId="7B13790A" w14:textId="77777777" w:rsidR="002E2AA0" w:rsidRPr="006D3FC9" w:rsidRDefault="002E2AA0" w:rsidP="006D3FC9">
            <w:pPr>
              <w:jc w:val="left"/>
              <w:rPr>
                <w:sz w:val="24"/>
                <w:szCs w:val="24"/>
              </w:rPr>
            </w:pPr>
            <w:r>
              <w:rPr>
                <w:sz w:val="24"/>
                <w:szCs w:val="24"/>
              </w:rPr>
              <w:t>Materials</w:t>
            </w:r>
          </w:p>
        </w:tc>
        <w:tc>
          <w:tcPr>
            <w:tcW w:w="0" w:type="auto"/>
            <w:hideMark/>
          </w:tcPr>
          <w:p w14:paraId="35175E0F" w14:textId="77777777" w:rsidR="002E2AA0" w:rsidRPr="006D3FC9" w:rsidRDefault="002E2AA0" w:rsidP="006D3FC9">
            <w:pPr>
              <w:jc w:val="left"/>
              <w:rPr>
                <w:sz w:val="24"/>
                <w:szCs w:val="24"/>
              </w:rPr>
            </w:pPr>
            <w:r>
              <w:rPr>
                <w:sz w:val="24"/>
                <w:szCs w:val="24"/>
              </w:rPr>
              <w:t>Quantity</w:t>
            </w:r>
          </w:p>
        </w:tc>
        <w:tc>
          <w:tcPr>
            <w:tcW w:w="0" w:type="auto"/>
            <w:hideMark/>
          </w:tcPr>
          <w:p w14:paraId="5C802ECD" w14:textId="77777777" w:rsidR="002E2AA0" w:rsidRPr="006D3FC9" w:rsidRDefault="002E2AA0" w:rsidP="006D3FC9">
            <w:pPr>
              <w:jc w:val="left"/>
              <w:rPr>
                <w:sz w:val="24"/>
                <w:szCs w:val="24"/>
              </w:rPr>
            </w:pPr>
            <w:r>
              <w:rPr>
                <w:sz w:val="24"/>
                <w:szCs w:val="24"/>
              </w:rPr>
              <w:t>Units</w:t>
            </w:r>
          </w:p>
        </w:tc>
        <w:tc>
          <w:tcPr>
            <w:tcW w:w="0" w:type="auto"/>
            <w:hideMark/>
          </w:tcPr>
          <w:p w14:paraId="3C906802" w14:textId="77777777" w:rsidR="002E2AA0" w:rsidRPr="006D3FC9" w:rsidRDefault="002E2AA0" w:rsidP="006D3FC9">
            <w:pPr>
              <w:jc w:val="left"/>
              <w:rPr>
                <w:sz w:val="24"/>
                <w:szCs w:val="24"/>
              </w:rPr>
            </w:pPr>
            <w:r>
              <w:rPr>
                <w:sz w:val="24"/>
                <w:szCs w:val="24"/>
              </w:rPr>
              <w:t>Trips</w:t>
            </w:r>
          </w:p>
        </w:tc>
        <w:tc>
          <w:tcPr>
            <w:tcW w:w="0" w:type="auto"/>
            <w:hideMark/>
          </w:tcPr>
          <w:p w14:paraId="0AF2E008" w14:textId="77777777" w:rsidR="002E2AA0" w:rsidRPr="006D3FC9" w:rsidRDefault="002E2AA0" w:rsidP="006D3FC9">
            <w:pPr>
              <w:jc w:val="left"/>
              <w:rPr>
                <w:sz w:val="24"/>
                <w:szCs w:val="24"/>
              </w:rPr>
            </w:pPr>
            <w:r>
              <w:rPr>
                <w:sz w:val="24"/>
                <w:szCs w:val="24"/>
              </w:rPr>
              <w:t>Diesel Consumption</w:t>
            </w:r>
          </w:p>
          <w:p w14:paraId="22895B70" w14:textId="77777777" w:rsidR="002E2AA0" w:rsidRPr="006D3FC9" w:rsidRDefault="002E2AA0" w:rsidP="006D3FC9">
            <w:pPr>
              <w:jc w:val="left"/>
              <w:rPr>
                <w:sz w:val="24"/>
                <w:szCs w:val="24"/>
              </w:rPr>
            </w:pPr>
            <w:r>
              <w:rPr>
                <w:sz w:val="24"/>
                <w:szCs w:val="24"/>
              </w:rPr>
              <w:t xml:space="preserve"> (in litres)</w:t>
            </w:r>
          </w:p>
        </w:tc>
        <w:tc>
          <w:tcPr>
            <w:tcW w:w="0" w:type="auto"/>
            <w:hideMark/>
          </w:tcPr>
          <w:p w14:paraId="0A85AAF0" w14:textId="77777777" w:rsidR="002E2AA0" w:rsidRPr="006D3FC9" w:rsidRDefault="002E2AA0" w:rsidP="006D3FC9">
            <w:pPr>
              <w:jc w:val="left"/>
              <w:rPr>
                <w:sz w:val="24"/>
                <w:szCs w:val="24"/>
              </w:rPr>
            </w:pPr>
            <w:r>
              <w:rPr>
                <w:sz w:val="24"/>
                <w:szCs w:val="24"/>
              </w:rPr>
              <w:t xml:space="preserve">Emissions by transportation </w:t>
            </w:r>
          </w:p>
          <w:p w14:paraId="44FB6518" w14:textId="77777777" w:rsidR="002E2AA0" w:rsidRPr="006D3FC9" w:rsidRDefault="002E2AA0" w:rsidP="006D3FC9">
            <w:pPr>
              <w:jc w:val="left"/>
              <w:rPr>
                <w:sz w:val="24"/>
                <w:szCs w:val="24"/>
              </w:rPr>
            </w:pPr>
            <w:r>
              <w:rPr>
                <w:sz w:val="24"/>
                <w:szCs w:val="24"/>
              </w:rPr>
              <w:t>(kg CO₂- eq.)</w:t>
            </w:r>
          </w:p>
        </w:tc>
      </w:tr>
      <w:tr w:rsidR="002E2AA0" w:rsidRPr="006D3FC9" w14:paraId="2CE8D0C8" w14:textId="77777777" w:rsidTr="006D3FC9">
        <w:trPr>
          <w:trHeight w:val="227"/>
        </w:trPr>
        <w:tc>
          <w:tcPr>
            <w:tcW w:w="0" w:type="auto"/>
            <w:hideMark/>
          </w:tcPr>
          <w:p w14:paraId="01849966" w14:textId="77777777" w:rsidR="002E2AA0" w:rsidRPr="006D3FC9" w:rsidRDefault="002E2AA0" w:rsidP="006D3FC9">
            <w:pPr>
              <w:jc w:val="left"/>
              <w:rPr>
                <w:sz w:val="24"/>
                <w:szCs w:val="24"/>
              </w:rPr>
            </w:pPr>
            <w:r>
              <w:rPr>
                <w:sz w:val="24"/>
                <w:szCs w:val="24"/>
              </w:rPr>
              <w:t>Earth Work</w:t>
            </w:r>
          </w:p>
        </w:tc>
        <w:tc>
          <w:tcPr>
            <w:tcW w:w="0" w:type="auto"/>
            <w:hideMark/>
          </w:tcPr>
          <w:p w14:paraId="56FD8671" w14:textId="77777777" w:rsidR="002E2AA0" w:rsidRPr="006D3FC9" w:rsidRDefault="002E2AA0" w:rsidP="006D3FC9">
            <w:pPr>
              <w:jc w:val="left"/>
              <w:rPr>
                <w:sz w:val="24"/>
                <w:szCs w:val="24"/>
              </w:rPr>
            </w:pPr>
            <w:r>
              <w:rPr>
                <w:sz w:val="24"/>
                <w:szCs w:val="24"/>
              </w:rPr>
              <w:t>9,032.9</w:t>
            </w:r>
          </w:p>
        </w:tc>
        <w:tc>
          <w:tcPr>
            <w:tcW w:w="0" w:type="auto"/>
            <w:hideMark/>
          </w:tcPr>
          <w:p w14:paraId="571B7338" w14:textId="77777777" w:rsidR="002E2AA0" w:rsidRPr="006D3FC9" w:rsidRDefault="002E2AA0" w:rsidP="006D3FC9">
            <w:pPr>
              <w:jc w:val="left"/>
              <w:rPr>
                <w:sz w:val="24"/>
                <w:szCs w:val="24"/>
              </w:rPr>
            </w:pPr>
            <w:proofErr w:type="spellStart"/>
            <w:r>
              <w:rPr>
                <w:sz w:val="24"/>
                <w:szCs w:val="24"/>
              </w:rPr>
              <w:t>Cu.m</w:t>
            </w:r>
            <w:proofErr w:type="spellEnd"/>
          </w:p>
        </w:tc>
        <w:tc>
          <w:tcPr>
            <w:tcW w:w="0" w:type="auto"/>
          </w:tcPr>
          <w:p w14:paraId="53200C4D" w14:textId="77777777" w:rsidR="002E2AA0" w:rsidRPr="006D3FC9" w:rsidRDefault="002E2AA0" w:rsidP="006D3FC9">
            <w:pPr>
              <w:jc w:val="left"/>
              <w:rPr>
                <w:sz w:val="24"/>
                <w:szCs w:val="24"/>
              </w:rPr>
            </w:pPr>
            <w:r>
              <w:rPr>
                <w:sz w:val="24"/>
                <w:szCs w:val="24"/>
              </w:rPr>
              <w:t>NA</w:t>
            </w:r>
          </w:p>
        </w:tc>
        <w:tc>
          <w:tcPr>
            <w:tcW w:w="0" w:type="auto"/>
          </w:tcPr>
          <w:p w14:paraId="0F84C177" w14:textId="77777777" w:rsidR="002E2AA0" w:rsidRPr="006D3FC9" w:rsidRDefault="002E2AA0" w:rsidP="006D3FC9">
            <w:pPr>
              <w:jc w:val="left"/>
              <w:rPr>
                <w:sz w:val="24"/>
                <w:szCs w:val="24"/>
              </w:rPr>
            </w:pPr>
            <w:r>
              <w:rPr>
                <w:sz w:val="24"/>
                <w:szCs w:val="24"/>
              </w:rPr>
              <w:t>NA</w:t>
            </w:r>
          </w:p>
        </w:tc>
        <w:tc>
          <w:tcPr>
            <w:tcW w:w="0" w:type="auto"/>
            <w:hideMark/>
          </w:tcPr>
          <w:p w14:paraId="72FE9D63" w14:textId="77777777" w:rsidR="002E2AA0" w:rsidRPr="006D3FC9" w:rsidRDefault="002E2AA0" w:rsidP="006D3FC9">
            <w:pPr>
              <w:jc w:val="left"/>
              <w:rPr>
                <w:sz w:val="24"/>
                <w:szCs w:val="24"/>
              </w:rPr>
            </w:pPr>
            <w:r>
              <w:rPr>
                <w:sz w:val="24"/>
                <w:szCs w:val="24"/>
              </w:rPr>
              <w:t>NA</w:t>
            </w:r>
          </w:p>
        </w:tc>
      </w:tr>
      <w:tr w:rsidR="002E2AA0" w:rsidRPr="006D3FC9" w14:paraId="1AFD7E98" w14:textId="77777777" w:rsidTr="006D3FC9">
        <w:trPr>
          <w:trHeight w:val="227"/>
        </w:trPr>
        <w:tc>
          <w:tcPr>
            <w:tcW w:w="0" w:type="auto"/>
            <w:hideMark/>
          </w:tcPr>
          <w:p w14:paraId="7A9E5F32" w14:textId="77777777" w:rsidR="002E2AA0" w:rsidRPr="006D3FC9" w:rsidRDefault="002E2AA0" w:rsidP="006D3FC9">
            <w:pPr>
              <w:jc w:val="left"/>
              <w:rPr>
                <w:sz w:val="24"/>
                <w:szCs w:val="24"/>
              </w:rPr>
            </w:pPr>
            <w:r>
              <w:rPr>
                <w:sz w:val="24"/>
                <w:szCs w:val="24"/>
              </w:rPr>
              <w:t>RCC</w:t>
            </w:r>
          </w:p>
        </w:tc>
        <w:tc>
          <w:tcPr>
            <w:tcW w:w="0" w:type="auto"/>
            <w:hideMark/>
          </w:tcPr>
          <w:p w14:paraId="28B6F980" w14:textId="77777777" w:rsidR="002E2AA0" w:rsidRPr="006D3FC9" w:rsidRDefault="002E2AA0" w:rsidP="006D3FC9">
            <w:pPr>
              <w:jc w:val="left"/>
              <w:rPr>
                <w:sz w:val="24"/>
                <w:szCs w:val="24"/>
              </w:rPr>
            </w:pPr>
            <w:r>
              <w:rPr>
                <w:sz w:val="24"/>
                <w:szCs w:val="24"/>
              </w:rPr>
              <w:t>2,447.8</w:t>
            </w:r>
          </w:p>
        </w:tc>
        <w:tc>
          <w:tcPr>
            <w:tcW w:w="0" w:type="auto"/>
            <w:hideMark/>
          </w:tcPr>
          <w:p w14:paraId="0E8E728D" w14:textId="77777777" w:rsidR="002E2AA0" w:rsidRPr="006D3FC9" w:rsidRDefault="002E2AA0" w:rsidP="006D3FC9">
            <w:pPr>
              <w:jc w:val="left"/>
              <w:rPr>
                <w:sz w:val="24"/>
                <w:szCs w:val="24"/>
              </w:rPr>
            </w:pPr>
            <w:proofErr w:type="spellStart"/>
            <w:r>
              <w:rPr>
                <w:sz w:val="24"/>
                <w:szCs w:val="24"/>
              </w:rPr>
              <w:t>Cu.m</w:t>
            </w:r>
            <w:proofErr w:type="spellEnd"/>
          </w:p>
        </w:tc>
        <w:tc>
          <w:tcPr>
            <w:tcW w:w="0" w:type="auto"/>
          </w:tcPr>
          <w:p w14:paraId="09CD56E7" w14:textId="77777777" w:rsidR="002E2AA0" w:rsidRPr="006D3FC9" w:rsidRDefault="002E2AA0" w:rsidP="006D3FC9">
            <w:pPr>
              <w:jc w:val="left"/>
              <w:rPr>
                <w:sz w:val="24"/>
                <w:szCs w:val="24"/>
              </w:rPr>
            </w:pPr>
            <w:r>
              <w:rPr>
                <w:sz w:val="24"/>
                <w:szCs w:val="24"/>
              </w:rPr>
              <w:t>756</w:t>
            </w:r>
          </w:p>
        </w:tc>
        <w:tc>
          <w:tcPr>
            <w:tcW w:w="0" w:type="auto"/>
          </w:tcPr>
          <w:p w14:paraId="258BA0EE" w14:textId="77777777" w:rsidR="002E2AA0" w:rsidRPr="006D3FC9" w:rsidRDefault="002E2AA0" w:rsidP="006D3FC9">
            <w:pPr>
              <w:jc w:val="left"/>
              <w:rPr>
                <w:sz w:val="24"/>
                <w:szCs w:val="24"/>
              </w:rPr>
            </w:pPr>
            <w:r>
              <w:rPr>
                <w:sz w:val="24"/>
                <w:szCs w:val="24"/>
              </w:rPr>
              <w:t>11,491.2</w:t>
            </w:r>
          </w:p>
        </w:tc>
        <w:tc>
          <w:tcPr>
            <w:tcW w:w="0" w:type="auto"/>
            <w:hideMark/>
          </w:tcPr>
          <w:p w14:paraId="78A98919" w14:textId="77777777" w:rsidR="002E2AA0" w:rsidRPr="006D3FC9" w:rsidRDefault="002E2AA0" w:rsidP="006D3FC9">
            <w:pPr>
              <w:jc w:val="left"/>
              <w:rPr>
                <w:sz w:val="24"/>
                <w:szCs w:val="24"/>
              </w:rPr>
            </w:pPr>
            <w:r>
              <w:rPr>
                <w:sz w:val="24"/>
                <w:szCs w:val="24"/>
              </w:rPr>
              <w:t>36,427</w:t>
            </w:r>
          </w:p>
        </w:tc>
      </w:tr>
      <w:tr w:rsidR="002E2AA0" w:rsidRPr="006D3FC9" w14:paraId="547BF865" w14:textId="77777777" w:rsidTr="006D3FC9">
        <w:trPr>
          <w:trHeight w:val="227"/>
        </w:trPr>
        <w:tc>
          <w:tcPr>
            <w:tcW w:w="0" w:type="auto"/>
            <w:hideMark/>
          </w:tcPr>
          <w:p w14:paraId="09EE4019" w14:textId="77777777" w:rsidR="002E2AA0" w:rsidRPr="006D3FC9" w:rsidRDefault="002E2AA0" w:rsidP="006D3FC9">
            <w:pPr>
              <w:jc w:val="left"/>
              <w:rPr>
                <w:sz w:val="24"/>
                <w:szCs w:val="24"/>
              </w:rPr>
            </w:pPr>
            <w:r>
              <w:rPr>
                <w:sz w:val="24"/>
                <w:szCs w:val="24"/>
              </w:rPr>
              <w:t>Cement</w:t>
            </w:r>
          </w:p>
        </w:tc>
        <w:tc>
          <w:tcPr>
            <w:tcW w:w="0" w:type="auto"/>
            <w:hideMark/>
          </w:tcPr>
          <w:p w14:paraId="141DBF60" w14:textId="77777777" w:rsidR="002E2AA0" w:rsidRPr="006D3FC9" w:rsidRDefault="002E2AA0" w:rsidP="006D3FC9">
            <w:pPr>
              <w:jc w:val="left"/>
              <w:rPr>
                <w:sz w:val="24"/>
                <w:szCs w:val="24"/>
              </w:rPr>
            </w:pPr>
            <w:r>
              <w:rPr>
                <w:sz w:val="24"/>
                <w:szCs w:val="24"/>
              </w:rPr>
              <w:t>272,272.0</w:t>
            </w:r>
          </w:p>
        </w:tc>
        <w:tc>
          <w:tcPr>
            <w:tcW w:w="0" w:type="auto"/>
            <w:hideMark/>
          </w:tcPr>
          <w:p w14:paraId="54437381" w14:textId="77777777" w:rsidR="002E2AA0" w:rsidRPr="006D3FC9" w:rsidRDefault="002E2AA0" w:rsidP="006D3FC9">
            <w:pPr>
              <w:jc w:val="left"/>
              <w:rPr>
                <w:sz w:val="24"/>
                <w:szCs w:val="24"/>
              </w:rPr>
            </w:pPr>
            <w:r>
              <w:rPr>
                <w:sz w:val="24"/>
                <w:szCs w:val="24"/>
              </w:rPr>
              <w:t>kg</w:t>
            </w:r>
          </w:p>
        </w:tc>
        <w:tc>
          <w:tcPr>
            <w:tcW w:w="0" w:type="auto"/>
          </w:tcPr>
          <w:p w14:paraId="3AB30D75" w14:textId="77777777" w:rsidR="002E2AA0" w:rsidRPr="006D3FC9" w:rsidRDefault="002E2AA0" w:rsidP="006D3FC9">
            <w:pPr>
              <w:jc w:val="left"/>
              <w:rPr>
                <w:sz w:val="24"/>
                <w:szCs w:val="24"/>
              </w:rPr>
            </w:pPr>
            <w:r>
              <w:rPr>
                <w:sz w:val="24"/>
                <w:szCs w:val="24"/>
              </w:rPr>
              <w:t>34</w:t>
            </w:r>
          </w:p>
        </w:tc>
        <w:tc>
          <w:tcPr>
            <w:tcW w:w="0" w:type="auto"/>
          </w:tcPr>
          <w:p w14:paraId="02180312" w14:textId="77777777" w:rsidR="002E2AA0" w:rsidRPr="006D3FC9" w:rsidRDefault="002E2AA0" w:rsidP="006D3FC9">
            <w:pPr>
              <w:jc w:val="left"/>
              <w:rPr>
                <w:sz w:val="24"/>
                <w:szCs w:val="24"/>
              </w:rPr>
            </w:pPr>
            <w:r>
              <w:rPr>
                <w:sz w:val="24"/>
                <w:szCs w:val="24"/>
              </w:rPr>
              <w:t>516</w:t>
            </w:r>
          </w:p>
        </w:tc>
        <w:tc>
          <w:tcPr>
            <w:tcW w:w="0" w:type="auto"/>
            <w:hideMark/>
          </w:tcPr>
          <w:p w14:paraId="6E3A7A8A" w14:textId="77777777" w:rsidR="002E2AA0" w:rsidRPr="006D3FC9" w:rsidRDefault="002E2AA0" w:rsidP="006D3FC9">
            <w:pPr>
              <w:jc w:val="left"/>
              <w:rPr>
                <w:sz w:val="24"/>
                <w:szCs w:val="24"/>
              </w:rPr>
            </w:pPr>
            <w:r>
              <w:rPr>
                <w:sz w:val="24"/>
                <w:szCs w:val="24"/>
              </w:rPr>
              <w:t>1,638</w:t>
            </w:r>
          </w:p>
        </w:tc>
      </w:tr>
      <w:tr w:rsidR="002E2AA0" w:rsidRPr="006D3FC9" w14:paraId="05E7E43D" w14:textId="77777777" w:rsidTr="006D3FC9">
        <w:trPr>
          <w:trHeight w:val="227"/>
        </w:trPr>
        <w:tc>
          <w:tcPr>
            <w:tcW w:w="0" w:type="auto"/>
            <w:hideMark/>
          </w:tcPr>
          <w:p w14:paraId="32F519A0" w14:textId="77777777" w:rsidR="002E2AA0" w:rsidRPr="006D3FC9" w:rsidRDefault="002E2AA0" w:rsidP="006D3FC9">
            <w:pPr>
              <w:jc w:val="left"/>
              <w:rPr>
                <w:sz w:val="24"/>
                <w:szCs w:val="24"/>
              </w:rPr>
            </w:pPr>
            <w:r>
              <w:rPr>
                <w:sz w:val="24"/>
                <w:szCs w:val="24"/>
              </w:rPr>
              <w:t>Concrete</w:t>
            </w:r>
          </w:p>
        </w:tc>
        <w:tc>
          <w:tcPr>
            <w:tcW w:w="0" w:type="auto"/>
            <w:hideMark/>
          </w:tcPr>
          <w:p w14:paraId="7FE4EE48" w14:textId="77777777" w:rsidR="002E2AA0" w:rsidRPr="006D3FC9" w:rsidRDefault="002E2AA0" w:rsidP="006D3FC9">
            <w:pPr>
              <w:jc w:val="left"/>
              <w:rPr>
                <w:sz w:val="24"/>
                <w:szCs w:val="24"/>
              </w:rPr>
            </w:pPr>
            <w:r>
              <w:rPr>
                <w:sz w:val="24"/>
                <w:szCs w:val="24"/>
              </w:rPr>
              <w:t>3,696.0</w:t>
            </w:r>
          </w:p>
        </w:tc>
        <w:tc>
          <w:tcPr>
            <w:tcW w:w="0" w:type="auto"/>
            <w:hideMark/>
          </w:tcPr>
          <w:p w14:paraId="0C963439" w14:textId="77777777" w:rsidR="002E2AA0" w:rsidRPr="006D3FC9" w:rsidRDefault="002E2AA0" w:rsidP="006D3FC9">
            <w:pPr>
              <w:jc w:val="left"/>
              <w:rPr>
                <w:sz w:val="24"/>
                <w:szCs w:val="24"/>
              </w:rPr>
            </w:pPr>
            <w:r>
              <w:rPr>
                <w:sz w:val="24"/>
                <w:szCs w:val="24"/>
              </w:rPr>
              <w:t>kg</w:t>
            </w:r>
          </w:p>
        </w:tc>
        <w:tc>
          <w:tcPr>
            <w:tcW w:w="0" w:type="auto"/>
          </w:tcPr>
          <w:p w14:paraId="795E301E" w14:textId="77777777" w:rsidR="002E2AA0" w:rsidRPr="006D3FC9" w:rsidRDefault="002E2AA0" w:rsidP="006D3FC9">
            <w:pPr>
              <w:jc w:val="left"/>
              <w:rPr>
                <w:sz w:val="24"/>
                <w:szCs w:val="24"/>
              </w:rPr>
            </w:pPr>
            <w:r>
              <w:rPr>
                <w:sz w:val="24"/>
                <w:szCs w:val="24"/>
              </w:rPr>
              <w:t>1</w:t>
            </w:r>
          </w:p>
        </w:tc>
        <w:tc>
          <w:tcPr>
            <w:tcW w:w="0" w:type="auto"/>
          </w:tcPr>
          <w:p w14:paraId="2D68DEB1" w14:textId="77777777" w:rsidR="002E2AA0" w:rsidRPr="006D3FC9" w:rsidRDefault="002E2AA0" w:rsidP="006D3FC9">
            <w:pPr>
              <w:jc w:val="left"/>
              <w:rPr>
                <w:sz w:val="24"/>
                <w:szCs w:val="24"/>
              </w:rPr>
            </w:pPr>
            <w:r>
              <w:rPr>
                <w:sz w:val="24"/>
                <w:szCs w:val="24"/>
              </w:rPr>
              <w:t>15.2</w:t>
            </w:r>
          </w:p>
        </w:tc>
        <w:tc>
          <w:tcPr>
            <w:tcW w:w="0" w:type="auto"/>
            <w:hideMark/>
          </w:tcPr>
          <w:p w14:paraId="2B340671" w14:textId="77777777" w:rsidR="002E2AA0" w:rsidRPr="006D3FC9" w:rsidRDefault="002E2AA0" w:rsidP="006D3FC9">
            <w:pPr>
              <w:jc w:val="left"/>
              <w:rPr>
                <w:sz w:val="24"/>
                <w:szCs w:val="24"/>
              </w:rPr>
            </w:pPr>
            <w:r>
              <w:rPr>
                <w:sz w:val="24"/>
                <w:szCs w:val="24"/>
              </w:rPr>
              <w:t>48</w:t>
            </w:r>
          </w:p>
        </w:tc>
      </w:tr>
      <w:tr w:rsidR="002E2AA0" w:rsidRPr="006D3FC9" w14:paraId="5EE8AF55" w14:textId="77777777" w:rsidTr="006D3FC9">
        <w:trPr>
          <w:trHeight w:val="227"/>
        </w:trPr>
        <w:tc>
          <w:tcPr>
            <w:tcW w:w="0" w:type="auto"/>
            <w:hideMark/>
          </w:tcPr>
          <w:p w14:paraId="2C2B9AB4" w14:textId="77777777" w:rsidR="002E2AA0" w:rsidRPr="006D3FC9" w:rsidRDefault="002E2AA0" w:rsidP="006D3FC9">
            <w:pPr>
              <w:jc w:val="left"/>
              <w:rPr>
                <w:sz w:val="24"/>
                <w:szCs w:val="24"/>
              </w:rPr>
            </w:pPr>
            <w:r>
              <w:rPr>
                <w:sz w:val="24"/>
                <w:szCs w:val="24"/>
              </w:rPr>
              <w:t>Brick</w:t>
            </w:r>
          </w:p>
        </w:tc>
        <w:tc>
          <w:tcPr>
            <w:tcW w:w="0" w:type="auto"/>
            <w:hideMark/>
          </w:tcPr>
          <w:p w14:paraId="1FDABB1E" w14:textId="77777777" w:rsidR="002E2AA0" w:rsidRPr="006D3FC9" w:rsidRDefault="002E2AA0" w:rsidP="006D3FC9">
            <w:pPr>
              <w:jc w:val="left"/>
              <w:rPr>
                <w:sz w:val="24"/>
                <w:szCs w:val="24"/>
              </w:rPr>
            </w:pPr>
            <w:r>
              <w:rPr>
                <w:sz w:val="24"/>
                <w:szCs w:val="24"/>
              </w:rPr>
              <w:t>3,548,023.0</w:t>
            </w:r>
          </w:p>
        </w:tc>
        <w:tc>
          <w:tcPr>
            <w:tcW w:w="0" w:type="auto"/>
            <w:hideMark/>
          </w:tcPr>
          <w:p w14:paraId="25492B91" w14:textId="77777777" w:rsidR="002E2AA0" w:rsidRPr="006D3FC9" w:rsidRDefault="002E2AA0" w:rsidP="006D3FC9">
            <w:pPr>
              <w:jc w:val="left"/>
              <w:rPr>
                <w:sz w:val="24"/>
                <w:szCs w:val="24"/>
              </w:rPr>
            </w:pPr>
            <w:r>
              <w:rPr>
                <w:sz w:val="24"/>
                <w:szCs w:val="24"/>
              </w:rPr>
              <w:t>kg</w:t>
            </w:r>
          </w:p>
        </w:tc>
        <w:tc>
          <w:tcPr>
            <w:tcW w:w="0" w:type="auto"/>
          </w:tcPr>
          <w:p w14:paraId="03191FF6" w14:textId="77777777" w:rsidR="002E2AA0" w:rsidRPr="006D3FC9" w:rsidRDefault="002E2AA0" w:rsidP="006D3FC9">
            <w:pPr>
              <w:jc w:val="left"/>
              <w:rPr>
                <w:sz w:val="24"/>
                <w:szCs w:val="24"/>
              </w:rPr>
            </w:pPr>
            <w:r>
              <w:rPr>
                <w:sz w:val="24"/>
                <w:szCs w:val="24"/>
              </w:rPr>
              <w:t>438</w:t>
            </w:r>
          </w:p>
        </w:tc>
        <w:tc>
          <w:tcPr>
            <w:tcW w:w="0" w:type="auto"/>
          </w:tcPr>
          <w:p w14:paraId="75EBE260" w14:textId="77777777" w:rsidR="002E2AA0" w:rsidRPr="006D3FC9" w:rsidRDefault="002E2AA0" w:rsidP="006D3FC9">
            <w:pPr>
              <w:jc w:val="left"/>
              <w:rPr>
                <w:sz w:val="24"/>
                <w:szCs w:val="24"/>
              </w:rPr>
            </w:pPr>
            <w:r>
              <w:rPr>
                <w:sz w:val="24"/>
                <w:szCs w:val="24"/>
              </w:rPr>
              <w:t>6,559.7</w:t>
            </w:r>
          </w:p>
        </w:tc>
        <w:tc>
          <w:tcPr>
            <w:tcW w:w="0" w:type="auto"/>
            <w:hideMark/>
          </w:tcPr>
          <w:p w14:paraId="75587E0D" w14:textId="77777777" w:rsidR="002E2AA0" w:rsidRPr="006D3FC9" w:rsidRDefault="002E2AA0" w:rsidP="006D3FC9">
            <w:pPr>
              <w:jc w:val="left"/>
              <w:rPr>
                <w:sz w:val="24"/>
                <w:szCs w:val="24"/>
              </w:rPr>
            </w:pPr>
            <w:r>
              <w:rPr>
                <w:sz w:val="24"/>
                <w:szCs w:val="24"/>
              </w:rPr>
              <w:t>21,105</w:t>
            </w:r>
          </w:p>
        </w:tc>
      </w:tr>
      <w:tr w:rsidR="002E2AA0" w:rsidRPr="006D3FC9" w14:paraId="52D6C5D8" w14:textId="77777777" w:rsidTr="006D3FC9">
        <w:trPr>
          <w:trHeight w:val="227"/>
        </w:trPr>
        <w:tc>
          <w:tcPr>
            <w:tcW w:w="0" w:type="auto"/>
            <w:hideMark/>
          </w:tcPr>
          <w:p w14:paraId="1F9B3E67" w14:textId="77777777" w:rsidR="002E2AA0" w:rsidRPr="006D3FC9" w:rsidRDefault="002E2AA0" w:rsidP="006D3FC9">
            <w:pPr>
              <w:jc w:val="left"/>
              <w:rPr>
                <w:sz w:val="24"/>
                <w:szCs w:val="24"/>
              </w:rPr>
            </w:pPr>
            <w:r>
              <w:rPr>
                <w:sz w:val="24"/>
                <w:szCs w:val="24"/>
              </w:rPr>
              <w:t>Limestone</w:t>
            </w:r>
          </w:p>
        </w:tc>
        <w:tc>
          <w:tcPr>
            <w:tcW w:w="0" w:type="auto"/>
            <w:hideMark/>
          </w:tcPr>
          <w:p w14:paraId="21B5A5D3" w14:textId="77777777" w:rsidR="002E2AA0" w:rsidRPr="006D3FC9" w:rsidRDefault="002E2AA0" w:rsidP="006D3FC9">
            <w:pPr>
              <w:jc w:val="left"/>
              <w:rPr>
                <w:sz w:val="24"/>
                <w:szCs w:val="24"/>
              </w:rPr>
            </w:pPr>
            <w:r>
              <w:rPr>
                <w:sz w:val="24"/>
                <w:szCs w:val="24"/>
              </w:rPr>
              <w:t>208,216.0</w:t>
            </w:r>
          </w:p>
        </w:tc>
        <w:tc>
          <w:tcPr>
            <w:tcW w:w="0" w:type="auto"/>
            <w:hideMark/>
          </w:tcPr>
          <w:p w14:paraId="50A7502A" w14:textId="77777777" w:rsidR="002E2AA0" w:rsidRPr="006D3FC9" w:rsidRDefault="002E2AA0" w:rsidP="006D3FC9">
            <w:pPr>
              <w:jc w:val="left"/>
              <w:rPr>
                <w:sz w:val="24"/>
                <w:szCs w:val="24"/>
              </w:rPr>
            </w:pPr>
            <w:r>
              <w:rPr>
                <w:sz w:val="24"/>
                <w:szCs w:val="24"/>
              </w:rPr>
              <w:t>kg</w:t>
            </w:r>
          </w:p>
        </w:tc>
        <w:tc>
          <w:tcPr>
            <w:tcW w:w="0" w:type="auto"/>
          </w:tcPr>
          <w:p w14:paraId="3DBB4428" w14:textId="77777777" w:rsidR="002E2AA0" w:rsidRPr="006D3FC9" w:rsidRDefault="002E2AA0" w:rsidP="006D3FC9">
            <w:pPr>
              <w:jc w:val="left"/>
              <w:rPr>
                <w:sz w:val="24"/>
                <w:szCs w:val="24"/>
              </w:rPr>
            </w:pPr>
            <w:r>
              <w:rPr>
                <w:sz w:val="24"/>
                <w:szCs w:val="24"/>
              </w:rPr>
              <w:t>27</w:t>
            </w:r>
          </w:p>
        </w:tc>
        <w:tc>
          <w:tcPr>
            <w:tcW w:w="0" w:type="auto"/>
          </w:tcPr>
          <w:p w14:paraId="543297C2" w14:textId="77777777" w:rsidR="002E2AA0" w:rsidRPr="006D3FC9" w:rsidRDefault="002E2AA0" w:rsidP="006D3FC9">
            <w:pPr>
              <w:jc w:val="left"/>
              <w:rPr>
                <w:sz w:val="24"/>
                <w:szCs w:val="24"/>
              </w:rPr>
            </w:pPr>
            <w:r>
              <w:rPr>
                <w:sz w:val="24"/>
                <w:szCs w:val="24"/>
              </w:rPr>
              <w:t>394.7</w:t>
            </w:r>
          </w:p>
        </w:tc>
        <w:tc>
          <w:tcPr>
            <w:tcW w:w="0" w:type="auto"/>
            <w:hideMark/>
          </w:tcPr>
          <w:p w14:paraId="33F4D687" w14:textId="77777777" w:rsidR="002E2AA0" w:rsidRPr="006D3FC9" w:rsidRDefault="002E2AA0" w:rsidP="006D3FC9">
            <w:pPr>
              <w:jc w:val="left"/>
              <w:rPr>
                <w:sz w:val="24"/>
                <w:szCs w:val="24"/>
              </w:rPr>
            </w:pPr>
            <w:r>
              <w:rPr>
                <w:sz w:val="24"/>
                <w:szCs w:val="24"/>
              </w:rPr>
              <w:t>1,253</w:t>
            </w:r>
          </w:p>
        </w:tc>
      </w:tr>
      <w:tr w:rsidR="002E2AA0" w:rsidRPr="006D3FC9" w14:paraId="7D421936" w14:textId="77777777" w:rsidTr="006D3FC9">
        <w:trPr>
          <w:trHeight w:val="227"/>
        </w:trPr>
        <w:tc>
          <w:tcPr>
            <w:tcW w:w="0" w:type="auto"/>
            <w:hideMark/>
          </w:tcPr>
          <w:p w14:paraId="1470D047" w14:textId="77777777" w:rsidR="002E2AA0" w:rsidRPr="006D3FC9" w:rsidRDefault="002E2AA0" w:rsidP="006D3FC9">
            <w:pPr>
              <w:jc w:val="left"/>
              <w:rPr>
                <w:sz w:val="24"/>
                <w:szCs w:val="24"/>
              </w:rPr>
            </w:pPr>
            <w:r>
              <w:rPr>
                <w:sz w:val="24"/>
                <w:szCs w:val="24"/>
              </w:rPr>
              <w:t>Paver Blocks</w:t>
            </w:r>
          </w:p>
        </w:tc>
        <w:tc>
          <w:tcPr>
            <w:tcW w:w="0" w:type="auto"/>
            <w:hideMark/>
          </w:tcPr>
          <w:p w14:paraId="46F30158" w14:textId="77777777" w:rsidR="002E2AA0" w:rsidRPr="006D3FC9" w:rsidRDefault="002E2AA0" w:rsidP="006D3FC9">
            <w:pPr>
              <w:jc w:val="left"/>
              <w:rPr>
                <w:sz w:val="24"/>
                <w:szCs w:val="24"/>
              </w:rPr>
            </w:pPr>
            <w:r>
              <w:rPr>
                <w:sz w:val="24"/>
                <w:szCs w:val="24"/>
              </w:rPr>
              <w:t>24,024.0</w:t>
            </w:r>
          </w:p>
        </w:tc>
        <w:tc>
          <w:tcPr>
            <w:tcW w:w="0" w:type="auto"/>
            <w:hideMark/>
          </w:tcPr>
          <w:p w14:paraId="738766BB" w14:textId="77777777" w:rsidR="002E2AA0" w:rsidRPr="006D3FC9" w:rsidRDefault="002E2AA0" w:rsidP="006D3FC9">
            <w:pPr>
              <w:jc w:val="left"/>
              <w:rPr>
                <w:sz w:val="24"/>
                <w:szCs w:val="24"/>
              </w:rPr>
            </w:pPr>
            <w:r>
              <w:rPr>
                <w:sz w:val="24"/>
                <w:szCs w:val="24"/>
              </w:rPr>
              <w:t>kg</w:t>
            </w:r>
          </w:p>
        </w:tc>
        <w:tc>
          <w:tcPr>
            <w:tcW w:w="0" w:type="auto"/>
          </w:tcPr>
          <w:p w14:paraId="2C7D0500" w14:textId="77777777" w:rsidR="002E2AA0" w:rsidRPr="006D3FC9" w:rsidRDefault="002E2AA0" w:rsidP="006D3FC9">
            <w:pPr>
              <w:jc w:val="left"/>
              <w:rPr>
                <w:sz w:val="24"/>
                <w:szCs w:val="24"/>
              </w:rPr>
            </w:pPr>
            <w:r>
              <w:rPr>
                <w:sz w:val="24"/>
                <w:szCs w:val="24"/>
              </w:rPr>
              <w:t>3</w:t>
            </w:r>
          </w:p>
        </w:tc>
        <w:tc>
          <w:tcPr>
            <w:tcW w:w="0" w:type="auto"/>
          </w:tcPr>
          <w:p w14:paraId="5335AE96" w14:textId="77777777" w:rsidR="002E2AA0" w:rsidRPr="006D3FC9" w:rsidRDefault="002E2AA0" w:rsidP="006D3FC9">
            <w:pPr>
              <w:jc w:val="left"/>
              <w:rPr>
                <w:sz w:val="24"/>
                <w:szCs w:val="24"/>
              </w:rPr>
            </w:pPr>
            <w:r>
              <w:rPr>
                <w:sz w:val="24"/>
                <w:szCs w:val="24"/>
              </w:rPr>
              <w:t>45.6</w:t>
            </w:r>
          </w:p>
        </w:tc>
        <w:tc>
          <w:tcPr>
            <w:tcW w:w="0" w:type="auto"/>
            <w:hideMark/>
          </w:tcPr>
          <w:p w14:paraId="4D77854F" w14:textId="77777777" w:rsidR="002E2AA0" w:rsidRPr="006D3FC9" w:rsidRDefault="002E2AA0" w:rsidP="006D3FC9">
            <w:pPr>
              <w:jc w:val="left"/>
              <w:rPr>
                <w:sz w:val="24"/>
                <w:szCs w:val="24"/>
              </w:rPr>
            </w:pPr>
            <w:r>
              <w:rPr>
                <w:sz w:val="24"/>
                <w:szCs w:val="24"/>
              </w:rPr>
              <w:t>145</w:t>
            </w:r>
          </w:p>
        </w:tc>
      </w:tr>
      <w:tr w:rsidR="002E2AA0" w:rsidRPr="006D3FC9" w14:paraId="1C9AB49C" w14:textId="77777777" w:rsidTr="006D3FC9">
        <w:trPr>
          <w:trHeight w:val="227"/>
        </w:trPr>
        <w:tc>
          <w:tcPr>
            <w:tcW w:w="0" w:type="auto"/>
            <w:hideMark/>
          </w:tcPr>
          <w:p w14:paraId="6BCE33EF" w14:textId="77777777" w:rsidR="002E2AA0" w:rsidRPr="006D3FC9" w:rsidRDefault="002E2AA0" w:rsidP="006D3FC9">
            <w:pPr>
              <w:jc w:val="left"/>
              <w:rPr>
                <w:sz w:val="24"/>
                <w:szCs w:val="24"/>
              </w:rPr>
            </w:pPr>
            <w:r>
              <w:rPr>
                <w:sz w:val="24"/>
                <w:szCs w:val="24"/>
              </w:rPr>
              <w:t>Granite</w:t>
            </w:r>
          </w:p>
        </w:tc>
        <w:tc>
          <w:tcPr>
            <w:tcW w:w="0" w:type="auto"/>
            <w:hideMark/>
          </w:tcPr>
          <w:p w14:paraId="60AB59D3" w14:textId="77777777" w:rsidR="002E2AA0" w:rsidRPr="006D3FC9" w:rsidRDefault="002E2AA0" w:rsidP="006D3FC9">
            <w:pPr>
              <w:jc w:val="left"/>
              <w:rPr>
                <w:sz w:val="24"/>
                <w:szCs w:val="24"/>
              </w:rPr>
            </w:pPr>
            <w:r>
              <w:rPr>
                <w:sz w:val="24"/>
                <w:szCs w:val="24"/>
              </w:rPr>
              <w:t>1647.0</w:t>
            </w:r>
          </w:p>
        </w:tc>
        <w:tc>
          <w:tcPr>
            <w:tcW w:w="0" w:type="auto"/>
            <w:hideMark/>
          </w:tcPr>
          <w:p w14:paraId="28A1D330" w14:textId="77777777" w:rsidR="002E2AA0" w:rsidRPr="006D3FC9" w:rsidRDefault="002E2AA0" w:rsidP="006D3FC9">
            <w:pPr>
              <w:jc w:val="left"/>
              <w:rPr>
                <w:sz w:val="24"/>
                <w:szCs w:val="24"/>
              </w:rPr>
            </w:pPr>
            <w:r>
              <w:rPr>
                <w:sz w:val="24"/>
                <w:szCs w:val="24"/>
              </w:rPr>
              <w:t>kg</w:t>
            </w:r>
          </w:p>
        </w:tc>
        <w:tc>
          <w:tcPr>
            <w:tcW w:w="0" w:type="auto"/>
          </w:tcPr>
          <w:p w14:paraId="632FA29D" w14:textId="77777777" w:rsidR="002E2AA0" w:rsidRPr="006D3FC9" w:rsidRDefault="002E2AA0" w:rsidP="006D3FC9">
            <w:pPr>
              <w:jc w:val="left"/>
              <w:rPr>
                <w:sz w:val="24"/>
                <w:szCs w:val="24"/>
              </w:rPr>
            </w:pPr>
            <w:r>
              <w:rPr>
                <w:sz w:val="24"/>
                <w:szCs w:val="24"/>
              </w:rPr>
              <w:t>1</w:t>
            </w:r>
          </w:p>
        </w:tc>
        <w:tc>
          <w:tcPr>
            <w:tcW w:w="0" w:type="auto"/>
          </w:tcPr>
          <w:p w14:paraId="357E5A7F" w14:textId="77777777" w:rsidR="002E2AA0" w:rsidRPr="006D3FC9" w:rsidRDefault="002E2AA0" w:rsidP="006D3FC9">
            <w:pPr>
              <w:jc w:val="left"/>
              <w:rPr>
                <w:sz w:val="24"/>
                <w:szCs w:val="24"/>
              </w:rPr>
            </w:pPr>
            <w:r>
              <w:rPr>
                <w:sz w:val="24"/>
                <w:szCs w:val="24"/>
              </w:rPr>
              <w:t>15.2</w:t>
            </w:r>
          </w:p>
        </w:tc>
        <w:tc>
          <w:tcPr>
            <w:tcW w:w="0" w:type="auto"/>
            <w:hideMark/>
          </w:tcPr>
          <w:p w14:paraId="4B627E79" w14:textId="77777777" w:rsidR="002E2AA0" w:rsidRPr="006D3FC9" w:rsidRDefault="002E2AA0" w:rsidP="006D3FC9">
            <w:pPr>
              <w:jc w:val="left"/>
              <w:rPr>
                <w:sz w:val="24"/>
                <w:szCs w:val="24"/>
              </w:rPr>
            </w:pPr>
            <w:r>
              <w:rPr>
                <w:sz w:val="24"/>
                <w:szCs w:val="24"/>
              </w:rPr>
              <w:t>48</w:t>
            </w:r>
          </w:p>
        </w:tc>
      </w:tr>
      <w:tr w:rsidR="002E2AA0" w:rsidRPr="006D3FC9" w14:paraId="724CDBE9" w14:textId="77777777" w:rsidTr="006D3FC9">
        <w:trPr>
          <w:trHeight w:val="227"/>
        </w:trPr>
        <w:tc>
          <w:tcPr>
            <w:tcW w:w="0" w:type="auto"/>
            <w:hideMark/>
          </w:tcPr>
          <w:p w14:paraId="760F978A" w14:textId="77777777" w:rsidR="002E2AA0" w:rsidRPr="006D3FC9" w:rsidRDefault="002E2AA0" w:rsidP="006D3FC9">
            <w:pPr>
              <w:jc w:val="left"/>
              <w:rPr>
                <w:sz w:val="24"/>
                <w:szCs w:val="24"/>
              </w:rPr>
            </w:pPr>
            <w:r>
              <w:rPr>
                <w:sz w:val="24"/>
                <w:szCs w:val="24"/>
              </w:rPr>
              <w:t>Terrazzo flooring</w:t>
            </w:r>
          </w:p>
        </w:tc>
        <w:tc>
          <w:tcPr>
            <w:tcW w:w="0" w:type="auto"/>
            <w:hideMark/>
          </w:tcPr>
          <w:p w14:paraId="4F35854A" w14:textId="77777777" w:rsidR="002E2AA0" w:rsidRPr="006D3FC9" w:rsidRDefault="002E2AA0" w:rsidP="006D3FC9">
            <w:pPr>
              <w:jc w:val="left"/>
              <w:rPr>
                <w:sz w:val="24"/>
                <w:szCs w:val="24"/>
              </w:rPr>
            </w:pPr>
            <w:r>
              <w:rPr>
                <w:sz w:val="24"/>
                <w:szCs w:val="24"/>
              </w:rPr>
              <w:t>4.8</w:t>
            </w:r>
          </w:p>
        </w:tc>
        <w:tc>
          <w:tcPr>
            <w:tcW w:w="0" w:type="auto"/>
            <w:hideMark/>
          </w:tcPr>
          <w:p w14:paraId="534740F9" w14:textId="77777777" w:rsidR="002E2AA0" w:rsidRPr="006D3FC9" w:rsidRDefault="002E2AA0" w:rsidP="006D3FC9">
            <w:pPr>
              <w:jc w:val="left"/>
              <w:rPr>
                <w:sz w:val="24"/>
                <w:szCs w:val="24"/>
              </w:rPr>
            </w:pPr>
            <w:proofErr w:type="spellStart"/>
            <w:r>
              <w:rPr>
                <w:sz w:val="24"/>
                <w:szCs w:val="24"/>
              </w:rPr>
              <w:t>Cu.m</w:t>
            </w:r>
            <w:proofErr w:type="spellEnd"/>
          </w:p>
        </w:tc>
        <w:tc>
          <w:tcPr>
            <w:tcW w:w="0" w:type="auto"/>
          </w:tcPr>
          <w:p w14:paraId="6F94692B" w14:textId="77777777" w:rsidR="002E2AA0" w:rsidRPr="006D3FC9" w:rsidRDefault="002E2AA0" w:rsidP="006D3FC9">
            <w:pPr>
              <w:jc w:val="left"/>
              <w:rPr>
                <w:sz w:val="24"/>
                <w:szCs w:val="24"/>
              </w:rPr>
            </w:pPr>
            <w:r>
              <w:rPr>
                <w:sz w:val="24"/>
                <w:szCs w:val="24"/>
              </w:rPr>
              <w:t>2</w:t>
            </w:r>
          </w:p>
        </w:tc>
        <w:tc>
          <w:tcPr>
            <w:tcW w:w="0" w:type="auto"/>
          </w:tcPr>
          <w:p w14:paraId="2B939939" w14:textId="77777777" w:rsidR="002E2AA0" w:rsidRPr="006D3FC9" w:rsidRDefault="002E2AA0" w:rsidP="006D3FC9">
            <w:pPr>
              <w:jc w:val="left"/>
              <w:rPr>
                <w:sz w:val="24"/>
                <w:szCs w:val="24"/>
              </w:rPr>
            </w:pPr>
            <w:r>
              <w:rPr>
                <w:sz w:val="24"/>
                <w:szCs w:val="24"/>
              </w:rPr>
              <w:t>30.4</w:t>
            </w:r>
          </w:p>
        </w:tc>
        <w:tc>
          <w:tcPr>
            <w:tcW w:w="0" w:type="auto"/>
            <w:hideMark/>
          </w:tcPr>
          <w:p w14:paraId="5869EA42" w14:textId="77777777" w:rsidR="002E2AA0" w:rsidRPr="006D3FC9" w:rsidRDefault="002E2AA0" w:rsidP="006D3FC9">
            <w:pPr>
              <w:jc w:val="left"/>
              <w:rPr>
                <w:sz w:val="24"/>
                <w:szCs w:val="24"/>
              </w:rPr>
            </w:pPr>
            <w:r>
              <w:rPr>
                <w:sz w:val="24"/>
                <w:szCs w:val="24"/>
              </w:rPr>
              <w:t>96</w:t>
            </w:r>
          </w:p>
        </w:tc>
      </w:tr>
      <w:tr w:rsidR="002E2AA0" w:rsidRPr="006D3FC9" w14:paraId="074FB95E" w14:textId="77777777" w:rsidTr="006D3FC9">
        <w:trPr>
          <w:trHeight w:val="227"/>
        </w:trPr>
        <w:tc>
          <w:tcPr>
            <w:tcW w:w="0" w:type="auto"/>
            <w:hideMark/>
          </w:tcPr>
          <w:p w14:paraId="099D761B" w14:textId="77777777" w:rsidR="002E2AA0" w:rsidRPr="006D3FC9" w:rsidRDefault="002E2AA0" w:rsidP="006D3FC9">
            <w:pPr>
              <w:jc w:val="left"/>
              <w:rPr>
                <w:sz w:val="24"/>
                <w:szCs w:val="24"/>
              </w:rPr>
            </w:pPr>
            <w:r>
              <w:rPr>
                <w:sz w:val="24"/>
                <w:szCs w:val="24"/>
              </w:rPr>
              <w:t>Vitrified Tiles</w:t>
            </w:r>
          </w:p>
        </w:tc>
        <w:tc>
          <w:tcPr>
            <w:tcW w:w="0" w:type="auto"/>
            <w:hideMark/>
          </w:tcPr>
          <w:p w14:paraId="78C8920B" w14:textId="77777777" w:rsidR="002E2AA0" w:rsidRPr="006D3FC9" w:rsidRDefault="002E2AA0" w:rsidP="006D3FC9">
            <w:pPr>
              <w:jc w:val="left"/>
              <w:rPr>
                <w:sz w:val="24"/>
                <w:szCs w:val="24"/>
              </w:rPr>
            </w:pPr>
            <w:r>
              <w:rPr>
                <w:sz w:val="24"/>
                <w:szCs w:val="24"/>
              </w:rPr>
              <w:t>20,555.9</w:t>
            </w:r>
          </w:p>
        </w:tc>
        <w:tc>
          <w:tcPr>
            <w:tcW w:w="0" w:type="auto"/>
            <w:hideMark/>
          </w:tcPr>
          <w:p w14:paraId="41979E97" w14:textId="77777777" w:rsidR="002E2AA0" w:rsidRPr="006D3FC9" w:rsidRDefault="002E2AA0" w:rsidP="006D3FC9">
            <w:pPr>
              <w:jc w:val="left"/>
              <w:rPr>
                <w:sz w:val="24"/>
                <w:szCs w:val="24"/>
              </w:rPr>
            </w:pPr>
            <w:r>
              <w:rPr>
                <w:sz w:val="24"/>
                <w:szCs w:val="24"/>
              </w:rPr>
              <w:t>Sqm</w:t>
            </w:r>
          </w:p>
        </w:tc>
        <w:tc>
          <w:tcPr>
            <w:tcW w:w="0" w:type="auto"/>
          </w:tcPr>
          <w:p w14:paraId="70ABE497" w14:textId="77777777" w:rsidR="002E2AA0" w:rsidRPr="006D3FC9" w:rsidRDefault="002E2AA0" w:rsidP="006D3FC9">
            <w:pPr>
              <w:jc w:val="left"/>
              <w:rPr>
                <w:sz w:val="24"/>
                <w:szCs w:val="24"/>
              </w:rPr>
            </w:pPr>
            <w:r>
              <w:rPr>
                <w:sz w:val="24"/>
                <w:szCs w:val="24"/>
              </w:rPr>
              <w:t>41</w:t>
            </w:r>
          </w:p>
        </w:tc>
        <w:tc>
          <w:tcPr>
            <w:tcW w:w="0" w:type="auto"/>
          </w:tcPr>
          <w:p w14:paraId="0D6D579D" w14:textId="77777777" w:rsidR="002E2AA0" w:rsidRPr="006D3FC9" w:rsidRDefault="002E2AA0" w:rsidP="006D3FC9">
            <w:pPr>
              <w:jc w:val="left"/>
              <w:rPr>
                <w:sz w:val="24"/>
                <w:szCs w:val="24"/>
              </w:rPr>
            </w:pPr>
            <w:r>
              <w:rPr>
                <w:sz w:val="24"/>
                <w:szCs w:val="24"/>
              </w:rPr>
              <w:t>623.2</w:t>
            </w:r>
          </w:p>
        </w:tc>
        <w:tc>
          <w:tcPr>
            <w:tcW w:w="0" w:type="auto"/>
            <w:hideMark/>
          </w:tcPr>
          <w:p w14:paraId="36C6E519" w14:textId="77777777" w:rsidR="002E2AA0" w:rsidRPr="006D3FC9" w:rsidRDefault="002E2AA0" w:rsidP="006D3FC9">
            <w:pPr>
              <w:jc w:val="left"/>
              <w:rPr>
                <w:sz w:val="24"/>
                <w:szCs w:val="24"/>
              </w:rPr>
            </w:pPr>
            <w:r>
              <w:rPr>
                <w:sz w:val="24"/>
                <w:szCs w:val="24"/>
              </w:rPr>
              <w:t>1,976</w:t>
            </w:r>
          </w:p>
        </w:tc>
      </w:tr>
      <w:tr w:rsidR="002E2AA0" w:rsidRPr="006D3FC9" w14:paraId="64D01D8A" w14:textId="77777777" w:rsidTr="006D3FC9">
        <w:trPr>
          <w:trHeight w:val="227"/>
        </w:trPr>
        <w:tc>
          <w:tcPr>
            <w:tcW w:w="0" w:type="auto"/>
            <w:hideMark/>
          </w:tcPr>
          <w:p w14:paraId="1886F0FD" w14:textId="77777777" w:rsidR="002E2AA0" w:rsidRPr="006D3FC9" w:rsidRDefault="002E2AA0" w:rsidP="006D3FC9">
            <w:pPr>
              <w:jc w:val="left"/>
              <w:rPr>
                <w:sz w:val="24"/>
                <w:szCs w:val="24"/>
              </w:rPr>
            </w:pPr>
            <w:r>
              <w:rPr>
                <w:sz w:val="24"/>
                <w:szCs w:val="24"/>
              </w:rPr>
              <w:t>Wood</w:t>
            </w:r>
          </w:p>
        </w:tc>
        <w:tc>
          <w:tcPr>
            <w:tcW w:w="0" w:type="auto"/>
            <w:hideMark/>
          </w:tcPr>
          <w:p w14:paraId="0BD7E956" w14:textId="77777777" w:rsidR="002E2AA0" w:rsidRPr="006D3FC9" w:rsidRDefault="002E2AA0" w:rsidP="006D3FC9">
            <w:pPr>
              <w:jc w:val="left"/>
              <w:rPr>
                <w:sz w:val="24"/>
                <w:szCs w:val="24"/>
              </w:rPr>
            </w:pPr>
            <w:r>
              <w:rPr>
                <w:sz w:val="24"/>
                <w:szCs w:val="24"/>
              </w:rPr>
              <w:t>8,200.5</w:t>
            </w:r>
          </w:p>
        </w:tc>
        <w:tc>
          <w:tcPr>
            <w:tcW w:w="0" w:type="auto"/>
            <w:hideMark/>
          </w:tcPr>
          <w:p w14:paraId="751F5065" w14:textId="77777777" w:rsidR="002E2AA0" w:rsidRPr="006D3FC9" w:rsidRDefault="002E2AA0" w:rsidP="006D3FC9">
            <w:pPr>
              <w:jc w:val="left"/>
              <w:rPr>
                <w:sz w:val="24"/>
                <w:szCs w:val="24"/>
              </w:rPr>
            </w:pPr>
            <w:r>
              <w:rPr>
                <w:sz w:val="24"/>
                <w:szCs w:val="24"/>
              </w:rPr>
              <w:t>kg</w:t>
            </w:r>
          </w:p>
        </w:tc>
        <w:tc>
          <w:tcPr>
            <w:tcW w:w="0" w:type="auto"/>
          </w:tcPr>
          <w:p w14:paraId="4D5C2FD2" w14:textId="77777777" w:rsidR="002E2AA0" w:rsidRPr="006D3FC9" w:rsidRDefault="002E2AA0" w:rsidP="006D3FC9">
            <w:pPr>
              <w:jc w:val="left"/>
              <w:rPr>
                <w:sz w:val="24"/>
                <w:szCs w:val="24"/>
              </w:rPr>
            </w:pPr>
            <w:r>
              <w:rPr>
                <w:sz w:val="24"/>
                <w:szCs w:val="24"/>
              </w:rPr>
              <w:t>2</w:t>
            </w:r>
          </w:p>
        </w:tc>
        <w:tc>
          <w:tcPr>
            <w:tcW w:w="0" w:type="auto"/>
          </w:tcPr>
          <w:p w14:paraId="64A37250" w14:textId="77777777" w:rsidR="002E2AA0" w:rsidRPr="006D3FC9" w:rsidRDefault="002E2AA0" w:rsidP="006D3FC9">
            <w:pPr>
              <w:jc w:val="left"/>
              <w:rPr>
                <w:sz w:val="24"/>
                <w:szCs w:val="24"/>
              </w:rPr>
            </w:pPr>
            <w:r>
              <w:rPr>
                <w:sz w:val="24"/>
                <w:szCs w:val="24"/>
              </w:rPr>
              <w:t>30.4</w:t>
            </w:r>
          </w:p>
        </w:tc>
        <w:tc>
          <w:tcPr>
            <w:tcW w:w="0" w:type="auto"/>
            <w:hideMark/>
          </w:tcPr>
          <w:p w14:paraId="6D655DE5" w14:textId="77777777" w:rsidR="002E2AA0" w:rsidRPr="006D3FC9" w:rsidRDefault="002E2AA0" w:rsidP="006D3FC9">
            <w:pPr>
              <w:jc w:val="left"/>
              <w:rPr>
                <w:sz w:val="24"/>
                <w:szCs w:val="24"/>
              </w:rPr>
            </w:pPr>
            <w:r>
              <w:rPr>
                <w:sz w:val="24"/>
                <w:szCs w:val="24"/>
              </w:rPr>
              <w:t>96</w:t>
            </w:r>
          </w:p>
        </w:tc>
      </w:tr>
      <w:tr w:rsidR="002E2AA0" w:rsidRPr="006D3FC9" w14:paraId="024EA19F" w14:textId="77777777" w:rsidTr="006D3FC9">
        <w:trPr>
          <w:trHeight w:val="227"/>
        </w:trPr>
        <w:tc>
          <w:tcPr>
            <w:tcW w:w="0" w:type="auto"/>
            <w:hideMark/>
          </w:tcPr>
          <w:p w14:paraId="1F0A2102" w14:textId="77777777" w:rsidR="002E2AA0" w:rsidRPr="006D3FC9" w:rsidRDefault="002E2AA0" w:rsidP="006D3FC9">
            <w:pPr>
              <w:jc w:val="left"/>
              <w:rPr>
                <w:sz w:val="24"/>
                <w:szCs w:val="24"/>
              </w:rPr>
            </w:pPr>
            <w:r>
              <w:rPr>
                <w:sz w:val="24"/>
                <w:szCs w:val="24"/>
              </w:rPr>
              <w:t>MS Grill</w:t>
            </w:r>
          </w:p>
        </w:tc>
        <w:tc>
          <w:tcPr>
            <w:tcW w:w="0" w:type="auto"/>
            <w:hideMark/>
          </w:tcPr>
          <w:p w14:paraId="62A11674" w14:textId="77777777" w:rsidR="002E2AA0" w:rsidRPr="006D3FC9" w:rsidRDefault="002E2AA0" w:rsidP="006D3FC9">
            <w:pPr>
              <w:jc w:val="left"/>
              <w:rPr>
                <w:sz w:val="24"/>
                <w:szCs w:val="24"/>
              </w:rPr>
            </w:pPr>
            <w:r>
              <w:rPr>
                <w:sz w:val="24"/>
                <w:szCs w:val="24"/>
              </w:rPr>
              <w:t>5,894.4</w:t>
            </w:r>
          </w:p>
        </w:tc>
        <w:tc>
          <w:tcPr>
            <w:tcW w:w="0" w:type="auto"/>
            <w:hideMark/>
          </w:tcPr>
          <w:p w14:paraId="58E739FA" w14:textId="77777777" w:rsidR="002E2AA0" w:rsidRPr="006D3FC9" w:rsidRDefault="002E2AA0" w:rsidP="006D3FC9">
            <w:pPr>
              <w:jc w:val="left"/>
              <w:rPr>
                <w:sz w:val="24"/>
                <w:szCs w:val="24"/>
              </w:rPr>
            </w:pPr>
            <w:r>
              <w:rPr>
                <w:sz w:val="24"/>
                <w:szCs w:val="24"/>
              </w:rPr>
              <w:t>kg</w:t>
            </w:r>
          </w:p>
        </w:tc>
        <w:tc>
          <w:tcPr>
            <w:tcW w:w="0" w:type="auto"/>
          </w:tcPr>
          <w:p w14:paraId="39A823DB" w14:textId="77777777" w:rsidR="002E2AA0" w:rsidRPr="006D3FC9" w:rsidRDefault="002E2AA0" w:rsidP="006D3FC9">
            <w:pPr>
              <w:jc w:val="left"/>
              <w:rPr>
                <w:sz w:val="24"/>
                <w:szCs w:val="24"/>
              </w:rPr>
            </w:pPr>
            <w:r>
              <w:rPr>
                <w:sz w:val="24"/>
                <w:szCs w:val="24"/>
              </w:rPr>
              <w:t>1</w:t>
            </w:r>
          </w:p>
        </w:tc>
        <w:tc>
          <w:tcPr>
            <w:tcW w:w="0" w:type="auto"/>
          </w:tcPr>
          <w:p w14:paraId="027461F4" w14:textId="77777777" w:rsidR="002E2AA0" w:rsidRPr="006D3FC9" w:rsidRDefault="002E2AA0" w:rsidP="006D3FC9">
            <w:pPr>
              <w:jc w:val="left"/>
              <w:rPr>
                <w:sz w:val="24"/>
                <w:szCs w:val="24"/>
              </w:rPr>
            </w:pPr>
            <w:r>
              <w:rPr>
                <w:sz w:val="24"/>
                <w:szCs w:val="24"/>
              </w:rPr>
              <w:t>15.2</w:t>
            </w:r>
          </w:p>
        </w:tc>
        <w:tc>
          <w:tcPr>
            <w:tcW w:w="0" w:type="auto"/>
            <w:hideMark/>
          </w:tcPr>
          <w:p w14:paraId="45DE7581" w14:textId="77777777" w:rsidR="002E2AA0" w:rsidRPr="006D3FC9" w:rsidRDefault="002E2AA0" w:rsidP="006D3FC9">
            <w:pPr>
              <w:jc w:val="left"/>
              <w:rPr>
                <w:sz w:val="24"/>
                <w:szCs w:val="24"/>
              </w:rPr>
            </w:pPr>
            <w:r>
              <w:rPr>
                <w:sz w:val="24"/>
                <w:szCs w:val="24"/>
              </w:rPr>
              <w:t>48</w:t>
            </w:r>
          </w:p>
        </w:tc>
      </w:tr>
      <w:tr w:rsidR="002E2AA0" w:rsidRPr="006D3FC9" w14:paraId="5C28252A" w14:textId="77777777" w:rsidTr="006D3FC9">
        <w:trPr>
          <w:trHeight w:val="227"/>
        </w:trPr>
        <w:tc>
          <w:tcPr>
            <w:tcW w:w="0" w:type="auto"/>
            <w:hideMark/>
          </w:tcPr>
          <w:p w14:paraId="1D9B0D62" w14:textId="77777777" w:rsidR="002E2AA0" w:rsidRPr="006D3FC9" w:rsidRDefault="002E2AA0" w:rsidP="006D3FC9">
            <w:pPr>
              <w:jc w:val="left"/>
              <w:rPr>
                <w:sz w:val="24"/>
                <w:szCs w:val="24"/>
              </w:rPr>
            </w:pPr>
            <w:r>
              <w:rPr>
                <w:sz w:val="24"/>
                <w:szCs w:val="24"/>
              </w:rPr>
              <w:t>Glass Panes</w:t>
            </w:r>
          </w:p>
        </w:tc>
        <w:tc>
          <w:tcPr>
            <w:tcW w:w="0" w:type="auto"/>
            <w:hideMark/>
          </w:tcPr>
          <w:p w14:paraId="605D1A0E" w14:textId="77777777" w:rsidR="002E2AA0" w:rsidRPr="006D3FC9" w:rsidRDefault="002E2AA0" w:rsidP="006D3FC9">
            <w:pPr>
              <w:jc w:val="left"/>
              <w:rPr>
                <w:sz w:val="24"/>
                <w:szCs w:val="24"/>
              </w:rPr>
            </w:pPr>
            <w:r>
              <w:rPr>
                <w:sz w:val="24"/>
                <w:szCs w:val="24"/>
              </w:rPr>
              <w:t>817.7</w:t>
            </w:r>
          </w:p>
        </w:tc>
        <w:tc>
          <w:tcPr>
            <w:tcW w:w="0" w:type="auto"/>
            <w:hideMark/>
          </w:tcPr>
          <w:p w14:paraId="6EBD776E" w14:textId="77777777" w:rsidR="002E2AA0" w:rsidRPr="006D3FC9" w:rsidRDefault="002E2AA0" w:rsidP="006D3FC9">
            <w:pPr>
              <w:jc w:val="left"/>
              <w:rPr>
                <w:sz w:val="24"/>
                <w:szCs w:val="24"/>
              </w:rPr>
            </w:pPr>
            <w:r>
              <w:rPr>
                <w:sz w:val="24"/>
                <w:szCs w:val="24"/>
              </w:rPr>
              <w:t>kg</w:t>
            </w:r>
          </w:p>
        </w:tc>
        <w:tc>
          <w:tcPr>
            <w:tcW w:w="0" w:type="auto"/>
          </w:tcPr>
          <w:p w14:paraId="759BA9D3" w14:textId="77777777" w:rsidR="002E2AA0" w:rsidRPr="006D3FC9" w:rsidRDefault="002E2AA0" w:rsidP="006D3FC9">
            <w:pPr>
              <w:jc w:val="left"/>
              <w:rPr>
                <w:sz w:val="24"/>
                <w:szCs w:val="24"/>
              </w:rPr>
            </w:pPr>
            <w:r>
              <w:rPr>
                <w:sz w:val="24"/>
                <w:szCs w:val="24"/>
              </w:rPr>
              <w:t>1</w:t>
            </w:r>
          </w:p>
        </w:tc>
        <w:tc>
          <w:tcPr>
            <w:tcW w:w="0" w:type="auto"/>
          </w:tcPr>
          <w:p w14:paraId="6FCEEF06" w14:textId="77777777" w:rsidR="002E2AA0" w:rsidRPr="006D3FC9" w:rsidRDefault="002E2AA0" w:rsidP="006D3FC9">
            <w:pPr>
              <w:jc w:val="left"/>
              <w:rPr>
                <w:sz w:val="24"/>
                <w:szCs w:val="24"/>
              </w:rPr>
            </w:pPr>
            <w:r>
              <w:rPr>
                <w:sz w:val="24"/>
                <w:szCs w:val="24"/>
              </w:rPr>
              <w:t>15.2</w:t>
            </w:r>
          </w:p>
        </w:tc>
        <w:tc>
          <w:tcPr>
            <w:tcW w:w="0" w:type="auto"/>
            <w:hideMark/>
          </w:tcPr>
          <w:p w14:paraId="70B49E41" w14:textId="77777777" w:rsidR="002E2AA0" w:rsidRPr="006D3FC9" w:rsidRDefault="002E2AA0" w:rsidP="006D3FC9">
            <w:pPr>
              <w:jc w:val="left"/>
              <w:rPr>
                <w:sz w:val="24"/>
                <w:szCs w:val="24"/>
              </w:rPr>
            </w:pPr>
            <w:r>
              <w:rPr>
                <w:sz w:val="24"/>
                <w:szCs w:val="24"/>
              </w:rPr>
              <w:t>48</w:t>
            </w:r>
          </w:p>
        </w:tc>
      </w:tr>
      <w:tr w:rsidR="002E2AA0" w:rsidRPr="006D3FC9" w14:paraId="4C8738F9" w14:textId="77777777" w:rsidTr="006D3FC9">
        <w:trPr>
          <w:trHeight w:val="227"/>
        </w:trPr>
        <w:tc>
          <w:tcPr>
            <w:tcW w:w="0" w:type="auto"/>
            <w:hideMark/>
          </w:tcPr>
          <w:p w14:paraId="0B269859" w14:textId="77777777" w:rsidR="002E2AA0" w:rsidRPr="006D3FC9" w:rsidRDefault="002E2AA0" w:rsidP="006D3FC9">
            <w:pPr>
              <w:jc w:val="left"/>
              <w:rPr>
                <w:sz w:val="24"/>
                <w:szCs w:val="24"/>
              </w:rPr>
            </w:pPr>
            <w:r>
              <w:rPr>
                <w:sz w:val="24"/>
                <w:szCs w:val="24"/>
              </w:rPr>
              <w:t>CPVC Pipes</w:t>
            </w:r>
          </w:p>
        </w:tc>
        <w:tc>
          <w:tcPr>
            <w:tcW w:w="0" w:type="auto"/>
            <w:hideMark/>
          </w:tcPr>
          <w:p w14:paraId="62AF4ADF" w14:textId="77777777" w:rsidR="002E2AA0" w:rsidRPr="006D3FC9" w:rsidRDefault="002E2AA0" w:rsidP="006D3FC9">
            <w:pPr>
              <w:jc w:val="left"/>
              <w:rPr>
                <w:sz w:val="24"/>
                <w:szCs w:val="24"/>
              </w:rPr>
            </w:pPr>
            <w:r>
              <w:rPr>
                <w:sz w:val="24"/>
                <w:szCs w:val="24"/>
              </w:rPr>
              <w:t>971.7</w:t>
            </w:r>
          </w:p>
        </w:tc>
        <w:tc>
          <w:tcPr>
            <w:tcW w:w="0" w:type="auto"/>
            <w:hideMark/>
          </w:tcPr>
          <w:p w14:paraId="79D84438" w14:textId="77777777" w:rsidR="002E2AA0" w:rsidRPr="006D3FC9" w:rsidRDefault="002E2AA0" w:rsidP="006D3FC9">
            <w:pPr>
              <w:jc w:val="left"/>
              <w:rPr>
                <w:sz w:val="24"/>
                <w:szCs w:val="24"/>
              </w:rPr>
            </w:pPr>
            <w:r>
              <w:rPr>
                <w:sz w:val="24"/>
                <w:szCs w:val="24"/>
              </w:rPr>
              <w:t>kg</w:t>
            </w:r>
          </w:p>
        </w:tc>
        <w:tc>
          <w:tcPr>
            <w:tcW w:w="0" w:type="auto"/>
          </w:tcPr>
          <w:p w14:paraId="78BE182B" w14:textId="77777777" w:rsidR="002E2AA0" w:rsidRPr="006D3FC9" w:rsidRDefault="002E2AA0" w:rsidP="006D3FC9">
            <w:pPr>
              <w:jc w:val="left"/>
              <w:rPr>
                <w:sz w:val="24"/>
                <w:szCs w:val="24"/>
              </w:rPr>
            </w:pPr>
            <w:r>
              <w:rPr>
                <w:sz w:val="24"/>
                <w:szCs w:val="24"/>
              </w:rPr>
              <w:t>1</w:t>
            </w:r>
          </w:p>
        </w:tc>
        <w:tc>
          <w:tcPr>
            <w:tcW w:w="0" w:type="auto"/>
          </w:tcPr>
          <w:p w14:paraId="2FB22554" w14:textId="77777777" w:rsidR="002E2AA0" w:rsidRPr="006D3FC9" w:rsidRDefault="002E2AA0" w:rsidP="006D3FC9">
            <w:pPr>
              <w:jc w:val="left"/>
              <w:rPr>
                <w:sz w:val="24"/>
                <w:szCs w:val="24"/>
              </w:rPr>
            </w:pPr>
            <w:r>
              <w:rPr>
                <w:sz w:val="24"/>
                <w:szCs w:val="24"/>
              </w:rPr>
              <w:t>15.2</w:t>
            </w:r>
          </w:p>
        </w:tc>
        <w:tc>
          <w:tcPr>
            <w:tcW w:w="0" w:type="auto"/>
            <w:hideMark/>
          </w:tcPr>
          <w:p w14:paraId="604EDD28" w14:textId="77777777" w:rsidR="002E2AA0" w:rsidRPr="006D3FC9" w:rsidRDefault="002E2AA0" w:rsidP="006D3FC9">
            <w:pPr>
              <w:jc w:val="left"/>
              <w:rPr>
                <w:sz w:val="24"/>
                <w:szCs w:val="24"/>
              </w:rPr>
            </w:pPr>
            <w:r>
              <w:rPr>
                <w:sz w:val="24"/>
                <w:szCs w:val="24"/>
              </w:rPr>
              <w:t>48</w:t>
            </w:r>
          </w:p>
        </w:tc>
      </w:tr>
      <w:tr w:rsidR="002E2AA0" w:rsidRPr="006D3FC9" w14:paraId="73A8D5C1" w14:textId="77777777" w:rsidTr="006D3FC9">
        <w:trPr>
          <w:trHeight w:val="227"/>
        </w:trPr>
        <w:tc>
          <w:tcPr>
            <w:tcW w:w="0" w:type="auto"/>
            <w:hideMark/>
          </w:tcPr>
          <w:p w14:paraId="7AA18271" w14:textId="77777777" w:rsidR="002E2AA0" w:rsidRPr="006D3FC9" w:rsidRDefault="002E2AA0" w:rsidP="006D3FC9">
            <w:pPr>
              <w:jc w:val="left"/>
              <w:rPr>
                <w:sz w:val="24"/>
                <w:szCs w:val="24"/>
              </w:rPr>
            </w:pPr>
            <w:r>
              <w:rPr>
                <w:sz w:val="24"/>
                <w:szCs w:val="24"/>
              </w:rPr>
              <w:t>PVC Pipes</w:t>
            </w:r>
          </w:p>
        </w:tc>
        <w:tc>
          <w:tcPr>
            <w:tcW w:w="0" w:type="auto"/>
            <w:hideMark/>
          </w:tcPr>
          <w:p w14:paraId="21162F06" w14:textId="77777777" w:rsidR="002E2AA0" w:rsidRPr="006D3FC9" w:rsidRDefault="002E2AA0" w:rsidP="006D3FC9">
            <w:pPr>
              <w:jc w:val="left"/>
              <w:rPr>
                <w:sz w:val="24"/>
                <w:szCs w:val="24"/>
              </w:rPr>
            </w:pPr>
            <w:r>
              <w:rPr>
                <w:sz w:val="24"/>
                <w:szCs w:val="24"/>
              </w:rPr>
              <w:t>365.8</w:t>
            </w:r>
          </w:p>
        </w:tc>
        <w:tc>
          <w:tcPr>
            <w:tcW w:w="0" w:type="auto"/>
            <w:hideMark/>
          </w:tcPr>
          <w:p w14:paraId="6B16CA53" w14:textId="77777777" w:rsidR="002E2AA0" w:rsidRPr="006D3FC9" w:rsidRDefault="002E2AA0" w:rsidP="006D3FC9">
            <w:pPr>
              <w:jc w:val="left"/>
              <w:rPr>
                <w:sz w:val="24"/>
                <w:szCs w:val="24"/>
              </w:rPr>
            </w:pPr>
            <w:r>
              <w:rPr>
                <w:sz w:val="24"/>
                <w:szCs w:val="24"/>
              </w:rPr>
              <w:t>kg</w:t>
            </w:r>
          </w:p>
        </w:tc>
        <w:tc>
          <w:tcPr>
            <w:tcW w:w="0" w:type="auto"/>
          </w:tcPr>
          <w:p w14:paraId="645CC77D" w14:textId="77777777" w:rsidR="002E2AA0" w:rsidRPr="006D3FC9" w:rsidRDefault="002E2AA0" w:rsidP="006D3FC9">
            <w:pPr>
              <w:jc w:val="left"/>
              <w:rPr>
                <w:sz w:val="24"/>
                <w:szCs w:val="24"/>
              </w:rPr>
            </w:pPr>
            <w:r>
              <w:rPr>
                <w:sz w:val="24"/>
                <w:szCs w:val="24"/>
              </w:rPr>
              <w:t>1</w:t>
            </w:r>
          </w:p>
        </w:tc>
        <w:tc>
          <w:tcPr>
            <w:tcW w:w="0" w:type="auto"/>
          </w:tcPr>
          <w:p w14:paraId="565DF1A2" w14:textId="77777777" w:rsidR="002E2AA0" w:rsidRPr="006D3FC9" w:rsidRDefault="002E2AA0" w:rsidP="006D3FC9">
            <w:pPr>
              <w:jc w:val="left"/>
              <w:rPr>
                <w:sz w:val="24"/>
                <w:szCs w:val="24"/>
              </w:rPr>
            </w:pPr>
            <w:r>
              <w:rPr>
                <w:sz w:val="24"/>
                <w:szCs w:val="24"/>
              </w:rPr>
              <w:t>15.2</w:t>
            </w:r>
          </w:p>
        </w:tc>
        <w:tc>
          <w:tcPr>
            <w:tcW w:w="0" w:type="auto"/>
            <w:hideMark/>
          </w:tcPr>
          <w:p w14:paraId="6D0BAAEA" w14:textId="77777777" w:rsidR="002E2AA0" w:rsidRPr="006D3FC9" w:rsidRDefault="002E2AA0" w:rsidP="006D3FC9">
            <w:pPr>
              <w:jc w:val="left"/>
              <w:rPr>
                <w:sz w:val="24"/>
                <w:szCs w:val="24"/>
              </w:rPr>
            </w:pPr>
            <w:r>
              <w:rPr>
                <w:sz w:val="24"/>
                <w:szCs w:val="24"/>
              </w:rPr>
              <w:t>48</w:t>
            </w:r>
          </w:p>
        </w:tc>
      </w:tr>
      <w:tr w:rsidR="002E2AA0" w:rsidRPr="006D3FC9" w14:paraId="5ACD8F2C" w14:textId="77777777" w:rsidTr="006D3FC9">
        <w:trPr>
          <w:trHeight w:val="227"/>
        </w:trPr>
        <w:tc>
          <w:tcPr>
            <w:tcW w:w="0" w:type="auto"/>
            <w:hideMark/>
          </w:tcPr>
          <w:p w14:paraId="2F1D4BF8" w14:textId="77777777" w:rsidR="002E2AA0" w:rsidRPr="006D3FC9" w:rsidRDefault="002E2AA0" w:rsidP="006D3FC9">
            <w:pPr>
              <w:jc w:val="left"/>
              <w:rPr>
                <w:sz w:val="24"/>
                <w:szCs w:val="24"/>
              </w:rPr>
            </w:pPr>
            <w:r>
              <w:rPr>
                <w:sz w:val="24"/>
                <w:szCs w:val="24"/>
              </w:rPr>
              <w:t>Paints</w:t>
            </w:r>
          </w:p>
        </w:tc>
        <w:tc>
          <w:tcPr>
            <w:tcW w:w="0" w:type="auto"/>
            <w:hideMark/>
          </w:tcPr>
          <w:p w14:paraId="11F83081" w14:textId="77777777" w:rsidR="002E2AA0" w:rsidRPr="006D3FC9" w:rsidRDefault="002E2AA0" w:rsidP="006D3FC9">
            <w:pPr>
              <w:jc w:val="left"/>
              <w:rPr>
                <w:sz w:val="24"/>
                <w:szCs w:val="24"/>
              </w:rPr>
            </w:pPr>
            <w:r>
              <w:rPr>
                <w:sz w:val="24"/>
                <w:szCs w:val="24"/>
              </w:rPr>
              <w:t>762.3</w:t>
            </w:r>
          </w:p>
        </w:tc>
        <w:tc>
          <w:tcPr>
            <w:tcW w:w="0" w:type="auto"/>
            <w:hideMark/>
          </w:tcPr>
          <w:p w14:paraId="79697C4F" w14:textId="77777777" w:rsidR="002E2AA0" w:rsidRPr="006D3FC9" w:rsidRDefault="002E2AA0" w:rsidP="006D3FC9">
            <w:pPr>
              <w:jc w:val="left"/>
              <w:rPr>
                <w:sz w:val="24"/>
                <w:szCs w:val="24"/>
              </w:rPr>
            </w:pPr>
            <w:r>
              <w:rPr>
                <w:sz w:val="24"/>
                <w:szCs w:val="24"/>
              </w:rPr>
              <w:t>litre</w:t>
            </w:r>
          </w:p>
        </w:tc>
        <w:tc>
          <w:tcPr>
            <w:tcW w:w="0" w:type="auto"/>
          </w:tcPr>
          <w:p w14:paraId="5ED2CC6C" w14:textId="77777777" w:rsidR="002E2AA0" w:rsidRPr="006D3FC9" w:rsidRDefault="002E2AA0" w:rsidP="006D3FC9">
            <w:pPr>
              <w:jc w:val="left"/>
              <w:rPr>
                <w:sz w:val="24"/>
                <w:szCs w:val="24"/>
              </w:rPr>
            </w:pPr>
            <w:r>
              <w:rPr>
                <w:sz w:val="24"/>
                <w:szCs w:val="24"/>
              </w:rPr>
              <w:t>1</w:t>
            </w:r>
          </w:p>
        </w:tc>
        <w:tc>
          <w:tcPr>
            <w:tcW w:w="0" w:type="auto"/>
          </w:tcPr>
          <w:p w14:paraId="57F93076" w14:textId="77777777" w:rsidR="002E2AA0" w:rsidRPr="006D3FC9" w:rsidRDefault="002E2AA0" w:rsidP="006D3FC9">
            <w:pPr>
              <w:jc w:val="left"/>
              <w:rPr>
                <w:sz w:val="24"/>
                <w:szCs w:val="24"/>
              </w:rPr>
            </w:pPr>
            <w:r>
              <w:rPr>
                <w:sz w:val="24"/>
                <w:szCs w:val="24"/>
              </w:rPr>
              <w:t>15.2</w:t>
            </w:r>
          </w:p>
        </w:tc>
        <w:tc>
          <w:tcPr>
            <w:tcW w:w="0" w:type="auto"/>
            <w:hideMark/>
          </w:tcPr>
          <w:p w14:paraId="0DC507EC" w14:textId="77777777" w:rsidR="002E2AA0" w:rsidRPr="006D3FC9" w:rsidRDefault="002E2AA0" w:rsidP="006D3FC9">
            <w:pPr>
              <w:jc w:val="left"/>
              <w:rPr>
                <w:sz w:val="24"/>
                <w:szCs w:val="24"/>
              </w:rPr>
            </w:pPr>
            <w:r>
              <w:rPr>
                <w:sz w:val="24"/>
                <w:szCs w:val="24"/>
              </w:rPr>
              <w:t>48</w:t>
            </w:r>
          </w:p>
        </w:tc>
      </w:tr>
      <w:tr w:rsidR="002E2AA0" w:rsidRPr="006D3FC9" w14:paraId="7C5B1F36" w14:textId="77777777" w:rsidTr="006D3FC9">
        <w:trPr>
          <w:trHeight w:val="227"/>
        </w:trPr>
        <w:tc>
          <w:tcPr>
            <w:tcW w:w="0" w:type="auto"/>
            <w:hideMark/>
          </w:tcPr>
          <w:p w14:paraId="1AFA6BCB" w14:textId="77777777" w:rsidR="002E2AA0" w:rsidRPr="006D3FC9" w:rsidRDefault="002E2AA0" w:rsidP="006D3FC9">
            <w:pPr>
              <w:jc w:val="left"/>
              <w:rPr>
                <w:sz w:val="24"/>
                <w:szCs w:val="24"/>
              </w:rPr>
            </w:pPr>
            <w:r>
              <w:rPr>
                <w:sz w:val="24"/>
                <w:szCs w:val="24"/>
              </w:rPr>
              <w:t>Cement Putty</w:t>
            </w:r>
          </w:p>
        </w:tc>
        <w:tc>
          <w:tcPr>
            <w:tcW w:w="0" w:type="auto"/>
            <w:hideMark/>
          </w:tcPr>
          <w:p w14:paraId="1406184D" w14:textId="77777777" w:rsidR="002E2AA0" w:rsidRPr="006D3FC9" w:rsidRDefault="002E2AA0" w:rsidP="006D3FC9">
            <w:pPr>
              <w:jc w:val="left"/>
              <w:rPr>
                <w:sz w:val="24"/>
                <w:szCs w:val="24"/>
              </w:rPr>
            </w:pPr>
            <w:r>
              <w:rPr>
                <w:sz w:val="24"/>
                <w:szCs w:val="24"/>
              </w:rPr>
              <w:t>9,287.0</w:t>
            </w:r>
          </w:p>
        </w:tc>
        <w:tc>
          <w:tcPr>
            <w:tcW w:w="0" w:type="auto"/>
            <w:hideMark/>
          </w:tcPr>
          <w:p w14:paraId="48DEF560" w14:textId="77777777" w:rsidR="002E2AA0" w:rsidRPr="006D3FC9" w:rsidRDefault="002E2AA0" w:rsidP="006D3FC9">
            <w:pPr>
              <w:jc w:val="left"/>
              <w:rPr>
                <w:sz w:val="24"/>
                <w:szCs w:val="24"/>
              </w:rPr>
            </w:pPr>
            <w:r>
              <w:rPr>
                <w:sz w:val="24"/>
                <w:szCs w:val="24"/>
              </w:rPr>
              <w:t>kg</w:t>
            </w:r>
          </w:p>
        </w:tc>
        <w:tc>
          <w:tcPr>
            <w:tcW w:w="0" w:type="auto"/>
          </w:tcPr>
          <w:p w14:paraId="2C782E94" w14:textId="77777777" w:rsidR="002E2AA0" w:rsidRPr="006D3FC9" w:rsidRDefault="002E2AA0" w:rsidP="006D3FC9">
            <w:pPr>
              <w:jc w:val="left"/>
              <w:rPr>
                <w:sz w:val="24"/>
                <w:szCs w:val="24"/>
              </w:rPr>
            </w:pPr>
            <w:r>
              <w:rPr>
                <w:sz w:val="24"/>
                <w:szCs w:val="24"/>
              </w:rPr>
              <w:t>2</w:t>
            </w:r>
          </w:p>
        </w:tc>
        <w:tc>
          <w:tcPr>
            <w:tcW w:w="0" w:type="auto"/>
          </w:tcPr>
          <w:p w14:paraId="199FC147" w14:textId="77777777" w:rsidR="002E2AA0" w:rsidRPr="006D3FC9" w:rsidRDefault="002E2AA0" w:rsidP="006D3FC9">
            <w:pPr>
              <w:jc w:val="left"/>
              <w:rPr>
                <w:sz w:val="24"/>
                <w:szCs w:val="24"/>
              </w:rPr>
            </w:pPr>
            <w:r>
              <w:rPr>
                <w:sz w:val="24"/>
                <w:szCs w:val="24"/>
              </w:rPr>
              <w:t>30.4</w:t>
            </w:r>
          </w:p>
        </w:tc>
        <w:tc>
          <w:tcPr>
            <w:tcW w:w="0" w:type="auto"/>
            <w:hideMark/>
          </w:tcPr>
          <w:p w14:paraId="20C68EA5" w14:textId="77777777" w:rsidR="002E2AA0" w:rsidRPr="006D3FC9" w:rsidRDefault="002E2AA0" w:rsidP="006D3FC9">
            <w:pPr>
              <w:jc w:val="left"/>
              <w:rPr>
                <w:sz w:val="24"/>
                <w:szCs w:val="24"/>
              </w:rPr>
            </w:pPr>
            <w:r>
              <w:rPr>
                <w:sz w:val="24"/>
                <w:szCs w:val="24"/>
              </w:rPr>
              <w:t>96</w:t>
            </w:r>
          </w:p>
        </w:tc>
      </w:tr>
      <w:tr w:rsidR="002E2AA0" w:rsidRPr="006D3FC9" w14:paraId="7B6BFFC9" w14:textId="77777777" w:rsidTr="006D3FC9">
        <w:trPr>
          <w:trHeight w:val="227"/>
        </w:trPr>
        <w:tc>
          <w:tcPr>
            <w:tcW w:w="0" w:type="auto"/>
            <w:gridSpan w:val="5"/>
            <w:hideMark/>
          </w:tcPr>
          <w:p w14:paraId="4EC96190" w14:textId="77777777" w:rsidR="002E2AA0" w:rsidRPr="006D3FC9" w:rsidRDefault="002E2AA0" w:rsidP="006D3FC9">
            <w:pPr>
              <w:jc w:val="left"/>
              <w:rPr>
                <w:sz w:val="24"/>
                <w:szCs w:val="24"/>
              </w:rPr>
            </w:pPr>
            <w:r>
              <w:rPr>
                <w:sz w:val="24"/>
                <w:szCs w:val="24"/>
              </w:rPr>
              <w:t>Total emissions</w:t>
            </w:r>
          </w:p>
        </w:tc>
        <w:tc>
          <w:tcPr>
            <w:tcW w:w="0" w:type="auto"/>
            <w:hideMark/>
          </w:tcPr>
          <w:p w14:paraId="1EB0B066" w14:textId="77777777" w:rsidR="002E2AA0" w:rsidRPr="006D3FC9" w:rsidRDefault="002E2AA0" w:rsidP="006D3FC9">
            <w:pPr>
              <w:jc w:val="left"/>
              <w:rPr>
                <w:sz w:val="24"/>
                <w:szCs w:val="24"/>
              </w:rPr>
            </w:pPr>
            <w:r>
              <w:rPr>
                <w:sz w:val="24"/>
                <w:szCs w:val="24"/>
              </w:rPr>
              <w:t>63,169</w:t>
            </w:r>
          </w:p>
        </w:tc>
      </w:tr>
    </w:tbl>
    <w:p w14:paraId="7940ADD7" w14:textId="77777777" w:rsidR="00935285" w:rsidRPr="00BE69E9" w:rsidRDefault="00935285" w:rsidP="00941D61">
      <w:pPr>
        <w:spacing w:before="240"/>
        <w:rPr>
          <w:sz w:val="24"/>
          <w:szCs w:val="24"/>
        </w:rPr>
      </w:pPr>
      <w:r>
        <w:rPr>
          <w:rFonts w:eastAsia="Times New Roman"/>
          <w:sz w:val="24"/>
          <w:szCs w:val="24"/>
          <w:lang w:val="en-IN" w:eastAsia="en-IN"/>
        </w:rPr>
        <w:t xml:space="preserve">Materials like glass, pipes, wood, paints, and concrete had minimal impact (≤96 kg </w:t>
      </w:r>
      <w:r>
        <w:rPr>
          <w:sz w:val="24"/>
          <w:szCs w:val="24"/>
        </w:rPr>
        <w:t>CO₂- eq</w:t>
      </w:r>
      <w:r>
        <w:rPr>
          <w:rFonts w:eastAsia="Times New Roman"/>
          <w:sz w:val="24"/>
          <w:szCs w:val="24"/>
          <w:lang w:val="en-IN" w:eastAsia="en-IN"/>
        </w:rPr>
        <w:t xml:space="preserve">. each) due to fewer trips and smaller quantities. Although materials such as limestone and paver blocks were used extensively, their transportation emissions remained moderate. Earthwork had no associated transport emissions due to on-site excavation. </w:t>
      </w:r>
      <w:r>
        <w:rPr>
          <w:sz w:val="24"/>
          <w:szCs w:val="24"/>
        </w:rPr>
        <w:t>The total emissions are 34,00,025 kg CO₂- eq</w:t>
      </w:r>
      <w:r>
        <w:rPr>
          <w:rFonts w:eastAsia="Times New Roman"/>
          <w:sz w:val="24"/>
          <w:szCs w:val="24"/>
          <w:lang w:val="en-IN" w:eastAsia="en-IN"/>
        </w:rPr>
        <w:t>.</w:t>
      </w:r>
      <w:r>
        <w:rPr>
          <w:sz w:val="24"/>
          <w:szCs w:val="24"/>
        </w:rPr>
        <w:t>, with an additional 63,169 kg CO₂- eq</w:t>
      </w:r>
      <w:r>
        <w:rPr>
          <w:rFonts w:eastAsia="Times New Roman"/>
          <w:sz w:val="24"/>
          <w:szCs w:val="24"/>
          <w:lang w:val="en-IN" w:eastAsia="en-IN"/>
        </w:rPr>
        <w:t xml:space="preserve">. </w:t>
      </w:r>
      <w:r>
        <w:rPr>
          <w:sz w:val="24"/>
          <w:szCs w:val="24"/>
        </w:rPr>
        <w:t xml:space="preserve">from transportation. Major contributors to total emissions are RCC and Brick, comprising approximately 79% of the total emissions from building materials. </w:t>
      </w:r>
    </w:p>
    <w:p w14:paraId="4159F9A1" w14:textId="77777777" w:rsidR="00935285" w:rsidRPr="00BE69E9" w:rsidRDefault="00935285" w:rsidP="006D3FC9">
      <w:pPr>
        <w:spacing w:after="240"/>
        <w:rPr>
          <w:sz w:val="24"/>
          <w:szCs w:val="24"/>
        </w:rPr>
      </w:pPr>
      <w:r>
        <w:rPr>
          <w:sz w:val="24"/>
          <w:szCs w:val="24"/>
        </w:rPr>
        <w:t>During occupancy, several mechanical processes run inside the building, consuming Energy from LPG, water, and electricity, thus releasing carbon or equivalent pollutants. Biological processes like respiration are also a major source of carbon dioxide emissions.</w:t>
      </w:r>
    </w:p>
    <w:p w14:paraId="33CA7E50" w14:textId="77777777" w:rsidR="00A642A7" w:rsidRPr="00BE69E9" w:rsidRDefault="006D3FC9" w:rsidP="006D3FC9">
      <w:pPr>
        <w:pStyle w:val="Heading3"/>
        <w:numPr>
          <w:ilvl w:val="0"/>
          <w:numId w:val="0"/>
        </w:numPr>
        <w:rPr>
          <w:sz w:val="24"/>
          <w:szCs w:val="24"/>
        </w:rPr>
      </w:pPr>
      <w:r>
        <w:rPr>
          <w:sz w:val="24"/>
          <w:szCs w:val="24"/>
        </w:rPr>
        <w:t>Post Occupancy stage: Operational stage</w:t>
      </w:r>
    </w:p>
    <w:p w14:paraId="7A5CA152" w14:textId="339AA12B" w:rsidR="00A642A7" w:rsidRPr="00BE69E9" w:rsidRDefault="00A642A7" w:rsidP="00941D61">
      <w:pPr>
        <w:spacing w:before="240"/>
        <w:rPr>
          <w:sz w:val="24"/>
          <w:szCs w:val="24"/>
          <w:vertAlign w:val="subscript"/>
        </w:rPr>
      </w:pPr>
      <w:r>
        <w:rPr>
          <w:sz w:val="24"/>
          <w:szCs w:val="24"/>
        </w:rPr>
        <w:t>LPG is used for cooking in the mess. The Annual consumption of LPG is 4,750 kg. Emissions due to 1kg of LPG are 3kg CO₂- eq</w:t>
      </w:r>
      <w:r>
        <w:rPr>
          <w:rFonts w:eastAsia="Times New Roman"/>
          <w:sz w:val="24"/>
          <w:szCs w:val="24"/>
          <w:lang w:val="en-IN" w:eastAsia="en-IN"/>
        </w:rPr>
        <w:t xml:space="preserve">. </w:t>
      </w:r>
      <w:r>
        <w:rPr>
          <w:sz w:val="24"/>
          <w:szCs w:val="24"/>
          <w:vertAlign w:val="subscript"/>
        </w:rPr>
        <w:fldChar w:fldCharType="begin"/>
      </w:r>
      <w:r w:rsidR="005373B8">
        <w:rPr>
          <w:sz w:val="24"/>
          <w:szCs w:val="24"/>
          <w:vertAlign w:val="subscript"/>
        </w:rPr>
        <w:instrText xml:space="preserve"> ADDIN ZOTERO_ITEM CSL_CITATION {"citationID":"ANIKxdzQ","properties":{"formattedCitation":"(Eggleston, 2006)","plainCitation":"(Eggleston, 2006)","noteIndex":0},"citationItems":[{"id":5297,"uris":["http://zotero.org/users/17155100/items/ET9IE76T"],"itemData":{"id":5297,"type":"book","ISBN":"978-4-88788-032-0","language":"eng","note":"OCLC: 192005769","publisher":"Institute for Global Environmental Strategies","publisher-place":"Hayama, Japan","source":"Open WorldCat","title":"2006 IPCC guidelines for national greenhouse gas inventories","editor":[{"family":"Eggleston","given":"H. S."}],"issued":{"date-parts":[["2006"]]}}}],"schema":"https://github.com/citation-style-language/schema/raw/master/csl-citation.json"} </w:instrText>
      </w:r>
      <w:r>
        <w:rPr>
          <w:sz w:val="24"/>
          <w:szCs w:val="24"/>
          <w:vertAlign w:val="subscript"/>
        </w:rPr>
        <w:fldChar w:fldCharType="separate"/>
      </w:r>
      <w:r>
        <w:rPr>
          <w:sz w:val="24"/>
          <w:szCs w:val="24"/>
        </w:rPr>
        <w:t>(Eggleston, 2006)</w:t>
      </w:r>
      <w:r>
        <w:rPr>
          <w:sz w:val="24"/>
          <w:szCs w:val="24"/>
          <w:vertAlign w:val="subscript"/>
        </w:rPr>
        <w:fldChar w:fldCharType="end"/>
      </w:r>
      <w:r>
        <w:rPr>
          <w:sz w:val="24"/>
          <w:szCs w:val="24"/>
        </w:rPr>
        <w:t>. Thus, the annual emission due to cooking gas is 14,250 kg CO₂- eq</w:t>
      </w:r>
      <w:r>
        <w:rPr>
          <w:rFonts w:eastAsia="Times New Roman"/>
          <w:sz w:val="24"/>
          <w:szCs w:val="24"/>
          <w:lang w:val="en-IN" w:eastAsia="en-IN"/>
        </w:rPr>
        <w:t>.</w:t>
      </w:r>
    </w:p>
    <w:p w14:paraId="4EA5B3F6" w14:textId="4BEA307A" w:rsidR="00027514" w:rsidRPr="00BE69E9" w:rsidRDefault="00CC1A04" w:rsidP="00970AD7">
      <w:pPr>
        <w:rPr>
          <w:rFonts w:eastAsia="Times New Roman"/>
          <w:sz w:val="24"/>
          <w:szCs w:val="24"/>
          <w:lang w:val="en-IN" w:eastAsia="en-IN"/>
        </w:rPr>
      </w:pPr>
      <w:r>
        <w:rPr>
          <w:sz w:val="24"/>
          <w:szCs w:val="24"/>
        </w:rPr>
        <w:t xml:space="preserve">There are 160 students in the hostel and 175 in total, including mess workers, attendants, and others. Generally, an individual emits 1kg of carbon daily </w:t>
      </w:r>
      <w:r>
        <w:rPr>
          <w:sz w:val="24"/>
          <w:szCs w:val="24"/>
        </w:rPr>
        <w:fldChar w:fldCharType="begin"/>
      </w:r>
      <w:r w:rsidR="005373B8">
        <w:rPr>
          <w:sz w:val="24"/>
          <w:szCs w:val="24"/>
        </w:rPr>
        <w:instrText xml:space="preserve"> ADDIN ZOTERO_ITEM CSL_CITATION {"citationID":"78u2xRi1","properties":{"formattedCitation":"(Baste &amp; Thakare, 2023)","plainCitation":"(Baste &amp; Thakare, 2023)","noteIndex":0},"citationItems":[{"id":5313,"uris":["http://zotero.org/users/17155100/items/28X6NU6F"],"itemData":{"id":5313,"type":"article-journal","abstract":"Development of environmentally sustainable cities is the need of today’s fast urbanizing India.  By 2050 nearly half the Indian population will be living in urban areas. Urban activities have increased the atmospheric Carbon Dioxide (CO2), and will continue to increase. Indian cities are major producers of CO2, but are not planned for enough Carbon Storage to compensate their own Carbon Footprints. It is imperative to maintain the ‘‘balance’’ between the Carbon emission and Sequestration to achieve environmental sustainability. Any process that removes CO2 from the atmosphere and deposits it in a reservoir of any particular type (plant material, wood, soil, etc) is termed as ‘Carbon Sequestration’. The Trees make the withdrawal of CO2 from the atmosphere with the process of photosynthesis and store it in the form of growing plant material. Around 5%-21% of total photosynthetically fixed Carbon is transferred into the rhizosphere through root exudates. This study constitutes an estimation of standing biomass in the form of Plants and Trees, and the Carbon Sequestration by them at the institutional campus – ‘Udhaji Maratha Boarding Campus, Nasik’. Objective is to find their value in environmental optimization w.r.t. CO2 footprint of the campus. This study tries to estimate (i) CO2 Sequestration by existing plant material, (ii) required Sequestration as per the current Carbon footprint of the users. Further this research projects the Carbon Sequestration in the future by the current vegetation after its 100% growth.","container-title":"Ecology, Environment and Conservation","DOI":"10.53550/eec.2023.v29i01.028","ISSN":"0971-765X","issue":"01","journalAbbreviation":"EEC","page":"175-181","publisher":"EM International","source":"Crossref","title":"Optimization for Carbon Footprint in an Institutional Campus","volume":"29","author":[{"family":"Baste","given":"Prajakta"},{"family":"Thakare","given":"Ar. Hemant"}],"issued":{"date-parts":[["2023"]]}}}],"schema":"https://github.com/citation-style-language/schema/raw/master/csl-citation.json"} </w:instrText>
      </w:r>
      <w:r>
        <w:rPr>
          <w:sz w:val="24"/>
          <w:szCs w:val="24"/>
        </w:rPr>
        <w:fldChar w:fldCharType="separate"/>
      </w:r>
      <w:r>
        <w:rPr>
          <w:sz w:val="24"/>
          <w:szCs w:val="24"/>
        </w:rPr>
        <w:t>(Baste &amp; Thakare, 2023)</w:t>
      </w:r>
      <w:r>
        <w:rPr>
          <w:sz w:val="24"/>
          <w:szCs w:val="24"/>
        </w:rPr>
        <w:fldChar w:fldCharType="end"/>
      </w:r>
      <w:r>
        <w:rPr>
          <w:sz w:val="24"/>
          <w:szCs w:val="24"/>
        </w:rPr>
        <w:t>. Thus, the annual average emission is 63,875 kg CO₂- eq</w:t>
      </w:r>
      <w:r>
        <w:rPr>
          <w:rFonts w:eastAsia="Times New Roman"/>
          <w:sz w:val="24"/>
          <w:szCs w:val="24"/>
          <w:lang w:val="en-IN" w:eastAsia="en-IN"/>
        </w:rPr>
        <w:t xml:space="preserve">. </w:t>
      </w:r>
    </w:p>
    <w:p w14:paraId="45F5B0DE" w14:textId="7C455EB4" w:rsidR="00573186" w:rsidRPr="00BE69E9" w:rsidRDefault="002C6BCA" w:rsidP="00970AD7">
      <w:pPr>
        <w:pStyle w:val="NormalWeb"/>
        <w:spacing w:before="0" w:beforeAutospacing="0" w:after="0" w:afterAutospacing="0"/>
        <w:jc w:val="both"/>
        <w:rPr>
          <w:sz w:val="24"/>
          <w:szCs w:val="24"/>
        </w:rPr>
      </w:pPr>
      <w:r>
        <w:rPr>
          <w:sz w:val="24"/>
          <w:szCs w:val="24"/>
        </w:rPr>
        <w:t xml:space="preserve">Electricity use is the primary source of carbon dioxide emissions, playing a dominant role in </w:t>
      </w:r>
      <w:proofErr w:type="spellStart"/>
      <w:r>
        <w:rPr>
          <w:sz w:val="24"/>
          <w:szCs w:val="24"/>
        </w:rPr>
        <w:t>fueling</w:t>
      </w:r>
      <w:proofErr w:type="spellEnd"/>
      <w:r>
        <w:rPr>
          <w:sz w:val="24"/>
          <w:szCs w:val="24"/>
        </w:rPr>
        <w:t xml:space="preserve"> climate change </w:t>
      </w:r>
      <w:r>
        <w:rPr>
          <w:sz w:val="24"/>
          <w:szCs w:val="24"/>
        </w:rPr>
        <w:fldChar w:fldCharType="begin"/>
      </w:r>
      <w:r w:rsidR="005373B8">
        <w:rPr>
          <w:sz w:val="24"/>
          <w:szCs w:val="24"/>
        </w:rPr>
        <w:instrText xml:space="preserve"> ADDIN ZOTERO_ITEM CSL_CITATION {"citationID":"sjjxdIUz","properties":{"formattedCitation":"(Li et al., 2025)","plainCitation":"(Li et al., 2025)","noteIndex":0},"citationItems":[{"id":5248,"uris":["http://zotero.org/users/17155100/items/FX43C27Z"],"itemData":{"id":5248,"type":"article-journal","abstract":"Abstract\n            \n              Carbon emissions from engineering construction play a critical role in achieving urban carbon peak and neutrality goals. This study evaluates the carbon emission reduction benefits of the renovation project of Yihe Bridge on Beijing Road using a life cycle assessment (LCA) approach. The carbon emissions resulting from the renovation were compared with those of an alternative demolition and reconstruction plan. The calculation boundary for carbon emissions during the bridge construction period was defined based on the renovation project’s specifics, dividing the process into three stages: material production, material transportation, and mechanical construction. By integrating factor decomposition theory with the carbon emission factor method, a carbon emission mode was developed, allowing a comprehensive quantitative analysis for the construction period. Results indicate that total carbon emissions were 84 560.40 t, with material production contributing 94.73%, transportation 1.47%, and mechanical construction 3.80%. The carbon emission intensity of the newly expanded bridge section was 2.11 t/m\n              2\n              . Compared to the demolition and reconstruction, the renovation plan reduced carbon emissions by 53 643.44 t, achieving a 38.81% reduction.\n            \n          , \n            </w:instrText>
      </w:r>
      <w:r w:rsidR="005373B8">
        <w:rPr>
          <w:rFonts w:ascii="MS Mincho" w:eastAsia="MS Mincho" w:hAnsi="MS Mincho" w:cs="MS Mincho" w:hint="eastAsia"/>
          <w:sz w:val="24"/>
          <w:szCs w:val="24"/>
        </w:rPr>
        <w:instrText>摘要</w:instrText>
      </w:r>
      <w:r w:rsidR="005373B8">
        <w:rPr>
          <w:sz w:val="24"/>
          <w:szCs w:val="24"/>
        </w:rPr>
        <w:instrText xml:space="preserve">\n            </w:instrText>
      </w:r>
      <w:r w:rsidR="005373B8">
        <w:rPr>
          <w:rFonts w:ascii="MS Mincho" w:eastAsia="MS Mincho" w:hAnsi="MS Mincho" w:cs="MS Mincho" w:hint="eastAsia"/>
          <w:sz w:val="24"/>
          <w:szCs w:val="24"/>
        </w:rPr>
        <w:instrText>工程建</w:instrText>
      </w:r>
      <w:r w:rsidR="005373B8">
        <w:rPr>
          <w:rFonts w:ascii="SimSun" w:eastAsia="SimSun" w:hAnsi="SimSun" w:cs="SimSun" w:hint="eastAsia"/>
          <w:sz w:val="24"/>
          <w:szCs w:val="24"/>
        </w:rPr>
        <w:instrText>设碳排放是影响城市碳达峰与碳中和目标实现的关键因素。本研究基于生命周期评价法（</w:instrText>
      </w:r>
      <w:r w:rsidR="005373B8">
        <w:rPr>
          <w:sz w:val="24"/>
          <w:szCs w:val="24"/>
        </w:rPr>
        <w:instrText>LCA</w:instrText>
      </w:r>
      <w:r w:rsidR="005373B8">
        <w:rPr>
          <w:rFonts w:ascii="MS Mincho" w:eastAsia="MS Mincho" w:hAnsi="MS Mincho" w:cs="MS Mincho" w:hint="eastAsia"/>
          <w:sz w:val="24"/>
          <w:szCs w:val="24"/>
        </w:rPr>
        <w:instrText>）</w:instrText>
      </w:r>
      <w:r w:rsidR="005373B8">
        <w:rPr>
          <w:rFonts w:ascii="SimSun" w:eastAsia="SimSun" w:hAnsi="SimSun" w:cs="SimSun" w:hint="eastAsia"/>
          <w:sz w:val="24"/>
          <w:szCs w:val="24"/>
        </w:rPr>
        <w:instrText>对北京路沂河桥改造工程的碳减排效益进行了评估，并与拆除重建方案进行对比分析。基于该工程特点，研究将桥梁施工期碳排放的核算边界划分为材料生产、材料运输及机械施工三个阶段。通过将因素分解理论与碳排放因子法结合，构建了施工期碳排放计算模型，实现碳排放的全面量化分析。研究结果表明：改造工程总碳排放量为</w:instrText>
      </w:r>
      <w:r w:rsidR="005373B8">
        <w:rPr>
          <w:sz w:val="24"/>
          <w:szCs w:val="24"/>
        </w:rPr>
        <w:instrText>84 560.40</w:instrText>
      </w:r>
      <w:r w:rsidR="005373B8">
        <w:rPr>
          <w:rFonts w:ascii="Yu Gothic" w:eastAsia="Yu Gothic" w:hAnsi="Yu Gothic" w:cs="Yu Gothic" w:hint="eastAsia"/>
          <w:sz w:val="24"/>
          <w:szCs w:val="24"/>
        </w:rPr>
        <w:instrText>吨，其中材料生</w:instrText>
      </w:r>
      <w:r w:rsidR="005373B8">
        <w:rPr>
          <w:rFonts w:ascii="SimSun" w:eastAsia="SimSun" w:hAnsi="SimSun" w:cs="SimSun" w:hint="eastAsia"/>
          <w:sz w:val="24"/>
          <w:szCs w:val="24"/>
        </w:rPr>
        <w:instrText>产阶段占比</w:instrText>
      </w:r>
      <w:r w:rsidR="005373B8">
        <w:rPr>
          <w:sz w:val="24"/>
          <w:szCs w:val="24"/>
        </w:rPr>
        <w:instrText>94.73%</w:instrText>
      </w:r>
      <w:r w:rsidR="005373B8">
        <w:rPr>
          <w:rFonts w:ascii="MS Mincho" w:eastAsia="MS Mincho" w:hAnsi="MS Mincho" w:cs="MS Mincho" w:hint="eastAsia"/>
          <w:sz w:val="24"/>
          <w:szCs w:val="24"/>
        </w:rPr>
        <w:instrText>，材料</w:instrText>
      </w:r>
      <w:r w:rsidR="005373B8">
        <w:rPr>
          <w:rFonts w:ascii="Yu Gothic" w:eastAsia="Yu Gothic" w:hAnsi="Yu Gothic" w:cs="Yu Gothic" w:hint="eastAsia"/>
          <w:sz w:val="24"/>
          <w:szCs w:val="24"/>
        </w:rPr>
        <w:instrText>运</w:instrText>
      </w:r>
      <w:r w:rsidR="005373B8">
        <w:rPr>
          <w:rFonts w:ascii="SimSun" w:eastAsia="SimSun" w:hAnsi="SimSun" w:cs="SimSun" w:hint="eastAsia"/>
          <w:sz w:val="24"/>
          <w:szCs w:val="24"/>
        </w:rPr>
        <w:instrText>输阶段占比</w:instrText>
      </w:r>
      <w:r w:rsidR="005373B8">
        <w:rPr>
          <w:sz w:val="24"/>
          <w:szCs w:val="24"/>
        </w:rPr>
        <w:instrText>1.47%</w:instrText>
      </w:r>
      <w:r w:rsidR="005373B8">
        <w:rPr>
          <w:rFonts w:ascii="MS Mincho" w:eastAsia="MS Mincho" w:hAnsi="MS Mincho" w:cs="MS Mincho" w:hint="eastAsia"/>
          <w:sz w:val="24"/>
          <w:szCs w:val="24"/>
        </w:rPr>
        <w:instrText>，机械施工</w:instrText>
      </w:r>
      <w:r w:rsidR="005373B8">
        <w:rPr>
          <w:rFonts w:ascii="SimSun" w:eastAsia="SimSun" w:hAnsi="SimSun" w:cs="SimSun" w:hint="eastAsia"/>
          <w:sz w:val="24"/>
          <w:szCs w:val="24"/>
        </w:rPr>
        <w:instrText>阶段占比</w:instrText>
      </w:r>
      <w:r w:rsidR="005373B8">
        <w:rPr>
          <w:sz w:val="24"/>
          <w:szCs w:val="24"/>
        </w:rPr>
        <w:instrText>3.80%</w:instrText>
      </w:r>
      <w:r w:rsidR="005373B8">
        <w:rPr>
          <w:rFonts w:ascii="MS Mincho" w:eastAsia="MS Mincho" w:hAnsi="MS Mincho" w:cs="MS Mincho" w:hint="eastAsia"/>
          <w:sz w:val="24"/>
          <w:szCs w:val="24"/>
        </w:rPr>
        <w:instrText>；</w:instrText>
      </w:r>
      <w:r w:rsidR="005373B8">
        <w:rPr>
          <w:rFonts w:ascii="SimSun" w:eastAsia="SimSun" w:hAnsi="SimSun" w:cs="SimSun" w:hint="eastAsia"/>
          <w:sz w:val="24"/>
          <w:szCs w:val="24"/>
        </w:rPr>
        <w:instrText>桥梁拓宽阶段的碳排放强度为</w:instrText>
      </w:r>
      <w:r w:rsidR="005373B8">
        <w:rPr>
          <w:sz w:val="24"/>
          <w:szCs w:val="24"/>
        </w:rPr>
        <w:instrText>2.11 t/m²</w:instrText>
      </w:r>
      <w:r w:rsidR="005373B8">
        <w:rPr>
          <w:rFonts w:ascii="MS Mincho" w:eastAsia="MS Mincho" w:hAnsi="MS Mincho" w:cs="MS Mincho" w:hint="eastAsia"/>
          <w:sz w:val="24"/>
          <w:szCs w:val="24"/>
        </w:rPr>
        <w:instrText>。相</w:instrText>
      </w:r>
      <w:r w:rsidR="005373B8">
        <w:rPr>
          <w:rFonts w:ascii="SimSun" w:eastAsia="SimSun" w:hAnsi="SimSun" w:cs="SimSun" w:hint="eastAsia"/>
          <w:sz w:val="24"/>
          <w:szCs w:val="24"/>
        </w:rPr>
        <w:instrText>较拆除重建方案，改造方案可减少碳排放</w:instrText>
      </w:r>
      <w:r w:rsidR="005373B8">
        <w:rPr>
          <w:sz w:val="24"/>
          <w:szCs w:val="24"/>
        </w:rPr>
        <w:instrText>53 643.44</w:instrText>
      </w:r>
      <w:r w:rsidR="005373B8">
        <w:rPr>
          <w:rFonts w:ascii="Yu Gothic" w:eastAsia="Yu Gothic" w:hAnsi="Yu Gothic" w:cs="Yu Gothic" w:hint="eastAsia"/>
          <w:sz w:val="24"/>
          <w:szCs w:val="24"/>
        </w:rPr>
        <w:instrText>吨，降幅达</w:instrText>
      </w:r>
      <w:r w:rsidR="005373B8">
        <w:rPr>
          <w:sz w:val="24"/>
          <w:szCs w:val="24"/>
        </w:rPr>
        <w:instrText>38.81%</w:instrText>
      </w:r>
      <w:r w:rsidR="005373B8">
        <w:rPr>
          <w:rFonts w:ascii="MS Mincho" w:eastAsia="MS Mincho" w:hAnsi="MS Mincho" w:cs="MS Mincho" w:hint="eastAsia"/>
          <w:sz w:val="24"/>
          <w:szCs w:val="24"/>
        </w:rPr>
        <w:instrText>。</w:instrText>
      </w:r>
      <w:r w:rsidR="005373B8">
        <w:rPr>
          <w:sz w:val="24"/>
          <w:szCs w:val="24"/>
        </w:rPr>
        <w:instrText xml:space="preserve">","container-title":"Low-carbon Materials and Green Construction","DOI":"10.1007/s44242-025-00071-z","ISSN":"2731-6319","issue":"1","journalAbbreviation":"Low-carbon Mater. Green Constr.","language":"en","page":"9","source":"DOI.org (Crossref)","title":"Assessing carbon emissions of the innovative renovation project of Yihe Bridge on Beijing Road","volume":"3","author":[{"family":"Li","given":"Xian"},{"family":"Xiao","given":"Jianzhuang"},{"family":"Zhu","given":"Liangyu"},{"family":"Zhu","given":"Dengyuan"},{"family":"Song","given":"Xiaoyuan"},{"family":"Liu","given":"Yuanxin"},{"family":"Hua","given":"Wei"}],"issued":{"date-parts":[["2025",6,5]]}}}],"schema":"https://github.com/citation-style-language/schema/raw/master/csl-citation.json"} </w:instrText>
      </w:r>
      <w:r>
        <w:rPr>
          <w:sz w:val="24"/>
          <w:szCs w:val="24"/>
        </w:rPr>
        <w:fldChar w:fldCharType="separate"/>
      </w:r>
      <w:r>
        <w:rPr>
          <w:sz w:val="24"/>
          <w:szCs w:val="24"/>
        </w:rPr>
        <w:t>(Li et al., 2025)</w:t>
      </w:r>
      <w:r>
        <w:rPr>
          <w:sz w:val="24"/>
          <w:szCs w:val="24"/>
        </w:rPr>
        <w:fldChar w:fldCharType="end"/>
      </w:r>
      <w:r>
        <w:rPr>
          <w:sz w:val="24"/>
          <w:szCs w:val="24"/>
        </w:rPr>
        <w:t>.</w:t>
      </w:r>
      <w:r>
        <w:rPr>
          <w:spacing w:val="1"/>
          <w:sz w:val="24"/>
          <w:szCs w:val="24"/>
        </w:rPr>
        <w:t xml:space="preserve"> </w:t>
      </w:r>
      <w:r>
        <w:rPr>
          <w:sz w:val="24"/>
          <w:szCs w:val="24"/>
        </w:rPr>
        <w:t>In 2022, power generation accounted for 53% of total energy-related CO</w:t>
      </w:r>
      <w:r>
        <w:rPr>
          <w:sz w:val="24"/>
          <w:szCs w:val="24"/>
          <w:vertAlign w:val="subscript"/>
        </w:rPr>
        <w:t xml:space="preserve">2 </w:t>
      </w:r>
      <w:r>
        <w:rPr>
          <w:sz w:val="24"/>
          <w:szCs w:val="24"/>
        </w:rPr>
        <w:t xml:space="preserve">emissions in India </w:t>
      </w:r>
      <w:r>
        <w:rPr>
          <w:sz w:val="24"/>
          <w:szCs w:val="24"/>
        </w:rPr>
        <w:fldChar w:fldCharType="begin"/>
      </w:r>
      <w:r w:rsidR="005373B8">
        <w:rPr>
          <w:sz w:val="24"/>
          <w:szCs w:val="24"/>
        </w:rPr>
        <w:instrText xml:space="preserve"> ADDIN ZOTERO_ITEM CSL_CITATION {"citationID":"4wAuTq4e","properties":{"formattedCitation":"({\\i{}International Energy Agency}, 2025)","plainCitation":"(International Energy Agency, 2025)","noteIndex":0},"citationItems":[{"id":5315,"uris":["http://zotero.org/users/17155100/items/MRUUSBCI"],"itemData":{"id":5315,"type":"post-weblog","genre":"https://www.iea.org/countries/india/electricity","title":"International Energy Agency","issued":{"date-parts":[["2025"]]}}}],"schema":"https://github.com/citation-style-language/schema/raw/master/csl-citation.json"} </w:instrText>
      </w:r>
      <w:r>
        <w:rPr>
          <w:sz w:val="24"/>
          <w:szCs w:val="24"/>
        </w:rPr>
        <w:fldChar w:fldCharType="separate"/>
      </w:r>
      <w:r>
        <w:rPr>
          <w:sz w:val="24"/>
          <w:szCs w:val="24"/>
        </w:rPr>
        <w:t>(</w:t>
      </w:r>
      <w:r>
        <w:rPr>
          <w:i/>
          <w:iCs/>
          <w:sz w:val="24"/>
          <w:szCs w:val="24"/>
        </w:rPr>
        <w:t>International Energy Agency</w:t>
      </w:r>
      <w:r>
        <w:rPr>
          <w:sz w:val="24"/>
          <w:szCs w:val="24"/>
        </w:rPr>
        <w:t>, 2025)</w:t>
      </w:r>
      <w:r>
        <w:rPr>
          <w:sz w:val="24"/>
          <w:szCs w:val="24"/>
        </w:rPr>
        <w:fldChar w:fldCharType="end"/>
      </w:r>
      <w:r>
        <w:rPr>
          <w:sz w:val="24"/>
          <w:szCs w:val="24"/>
        </w:rPr>
        <w:t xml:space="preserve">. This highlights the significant role of the electricity production sector in the country's overall emissions profile. Electricity sourced from the national grid powers all operations within the building, including the functioning of air conditioners, computers, heavy machinery, and lighting systems. </w:t>
      </w:r>
    </w:p>
    <w:p w14:paraId="7D8F1FF1" w14:textId="4BAE9044" w:rsidR="00F442E8" w:rsidRDefault="00F442E8" w:rsidP="00970AD7">
      <w:pPr>
        <w:pStyle w:val="NormalWeb"/>
        <w:spacing w:before="0" w:beforeAutospacing="0" w:after="0" w:afterAutospacing="0"/>
        <w:jc w:val="both"/>
        <w:rPr>
          <w:sz w:val="24"/>
          <w:szCs w:val="24"/>
        </w:rPr>
      </w:pPr>
      <w:r>
        <w:rPr>
          <w:sz w:val="24"/>
          <w:szCs w:val="24"/>
        </w:rPr>
        <w:t xml:space="preserve">The emission factor for 1kWh is 0.921 </w:t>
      </w:r>
      <w:r>
        <w:rPr>
          <w:sz w:val="24"/>
          <w:szCs w:val="24"/>
        </w:rPr>
        <w:fldChar w:fldCharType="begin"/>
      </w:r>
      <w:r w:rsidR="00D64814">
        <w:rPr>
          <w:sz w:val="24"/>
          <w:szCs w:val="24"/>
        </w:rPr>
        <w:instrText xml:space="preserve"> ADDIN ZOTERO_ITEM CSL_CITATION {"citationID":"3wG5kCMK","properties":{"formattedCitation":"(Varun et al., 2012)","plainCitation":"(Varun et al., 2012)","noteIndex":0},"citationItems":[{"id":"ra2KK2lN/yws7g6H4","uris":["http://zotero.org/users/local/n4TXlcxq/items/S22S4AEA"],"itemData":{"id":"fZhLvSq7/I5RIeC66","type":"article-journal","abstract":"This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Pr>
          <w:sz w:val="24"/>
          <w:szCs w:val="24"/>
        </w:rPr>
        <w:fldChar w:fldCharType="separate"/>
      </w:r>
      <w:r>
        <w:rPr>
          <w:sz w:val="24"/>
          <w:szCs w:val="24"/>
        </w:rPr>
        <w:t>(Varun et al., 2012)</w:t>
      </w:r>
      <w:r>
        <w:rPr>
          <w:sz w:val="24"/>
          <w:szCs w:val="24"/>
        </w:rPr>
        <w:fldChar w:fldCharType="end"/>
      </w:r>
      <w:r>
        <w:rPr>
          <w:sz w:val="24"/>
          <w:szCs w:val="24"/>
        </w:rPr>
        <w:t>. Figure 4 represents the monthly electricity consumption (use of geyser, ceiling fans, lights, iron, hair styling appliances, etc.) and emissions for 2022, 2023, and 2024.</w:t>
      </w:r>
    </w:p>
    <w:p w14:paraId="76C964F2" w14:textId="77777777" w:rsidR="00B422FF" w:rsidRPr="00BE69E9" w:rsidRDefault="00B422FF" w:rsidP="00B422FF">
      <w:pPr>
        <w:pStyle w:val="NormalWeb"/>
        <w:spacing w:before="0" w:beforeAutospacing="0" w:after="0" w:afterAutospacing="0"/>
        <w:jc w:val="both"/>
        <w:rPr>
          <w:sz w:val="24"/>
          <w:szCs w:val="24"/>
        </w:rPr>
      </w:pPr>
      <w:r>
        <w:rPr>
          <w:sz w:val="24"/>
          <w:szCs w:val="24"/>
        </w:rPr>
        <w:lastRenderedPageBreak/>
        <w:t>Peak electricity consumption is seen in April, attributed to the simultaneous use of geysers and fans. In 2022, the lowest consumption was recorded in March, primarily due to reduced occupancy resulting from COVID-19 restrictions.</w:t>
      </w:r>
    </w:p>
    <w:p w14:paraId="2732969F" w14:textId="77777777" w:rsidR="00444F3B" w:rsidRPr="006D3FC9" w:rsidRDefault="00444F3B" w:rsidP="006D3FC9">
      <w:pPr>
        <w:jc w:val="center"/>
        <w:rPr>
          <w:sz w:val="24"/>
          <w:szCs w:val="24"/>
        </w:rPr>
      </w:pPr>
      <w:r>
        <w:rPr>
          <w:noProof/>
          <w:sz w:val="24"/>
          <w:szCs w:val="24"/>
          <w:lang w:val="en-IN" w:eastAsia="en-IN"/>
        </w:rPr>
        <w:drawing>
          <wp:inline distT="0" distB="0" distL="0" distR="0" wp14:anchorId="62DBF5FF" wp14:editId="0BE13A12">
            <wp:extent cx="5494020" cy="3139440"/>
            <wp:effectExtent l="0" t="0" r="0" b="3810"/>
            <wp:docPr id="450784680"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C90B3B" w14:textId="77777777" w:rsidR="00444F3B" w:rsidRPr="006D3FC9" w:rsidRDefault="00444F3B" w:rsidP="006D3FC9">
      <w:pPr>
        <w:pStyle w:val="Caption"/>
        <w:jc w:val="center"/>
        <w:rPr>
          <w:i w:val="0"/>
          <w:iCs w:val="0"/>
          <w:sz w:val="24"/>
          <w:szCs w:val="24"/>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4</w:t>
      </w:r>
      <w:r>
        <w:rPr>
          <w:b/>
          <w:bCs/>
          <w:i w:val="0"/>
          <w:iCs w:val="0"/>
          <w:sz w:val="24"/>
          <w:szCs w:val="24"/>
        </w:rPr>
        <w:fldChar w:fldCharType="end"/>
      </w:r>
      <w:r>
        <w:rPr>
          <w:i w:val="0"/>
          <w:iCs w:val="0"/>
          <w:sz w:val="24"/>
          <w:szCs w:val="24"/>
        </w:rPr>
        <w:t xml:space="preserve"> Electricity consumption and its emissions</w:t>
      </w:r>
    </w:p>
    <w:p w14:paraId="026A6409" w14:textId="3273642E" w:rsidR="000D5557" w:rsidRDefault="00F442E8" w:rsidP="000D5557">
      <w:pPr>
        <w:spacing w:after="240"/>
        <w:rPr>
          <w:sz w:val="24"/>
          <w:szCs w:val="24"/>
        </w:rPr>
      </w:pPr>
      <w:r>
        <w:rPr>
          <w:sz w:val="24"/>
          <w:szCs w:val="24"/>
        </w:rPr>
        <w:t xml:space="preserve">In contrast, the minimum consumption for 2023 and 2024 occurred in July, coinciding with the semester break vacation, which led to fewer users. The total electricity consumption for the years 2022, 2023, and 2024 is </w:t>
      </w:r>
      <w:r>
        <w:rPr>
          <w:sz w:val="24"/>
          <w:szCs w:val="24"/>
          <w:lang w:val="en-IN" w:eastAsia="en-IN"/>
        </w:rPr>
        <w:t xml:space="preserve">98,835 </w:t>
      </w:r>
      <w:r>
        <w:rPr>
          <w:sz w:val="24"/>
          <w:szCs w:val="24"/>
        </w:rPr>
        <w:t xml:space="preserve">kWh, </w:t>
      </w:r>
      <w:r>
        <w:rPr>
          <w:sz w:val="24"/>
          <w:szCs w:val="24"/>
          <w:lang w:val="en-IN" w:eastAsia="en-IN"/>
        </w:rPr>
        <w:t>117,390</w:t>
      </w:r>
      <w:r>
        <w:rPr>
          <w:sz w:val="24"/>
          <w:szCs w:val="24"/>
        </w:rPr>
        <w:t xml:space="preserve"> kWh, and </w:t>
      </w:r>
      <w:r>
        <w:rPr>
          <w:sz w:val="24"/>
          <w:szCs w:val="24"/>
          <w:lang w:val="en-IN" w:eastAsia="en-IN"/>
        </w:rPr>
        <w:t>107,444</w:t>
      </w:r>
      <w:r>
        <w:rPr>
          <w:sz w:val="24"/>
          <w:szCs w:val="24"/>
        </w:rPr>
        <w:t xml:space="preserve"> kWh, respectively. The total emissions due to electricity for the years 2022, 2023, and 2023 are 91,027.04 kg CO₂- eq., 108,116.2 kg CO₂- eq., and 98,955.92 kg CO₂- eq. respectively</w:t>
      </w:r>
      <w:r w:rsidR="000D5557" w:rsidRPr="000D5557">
        <w:rPr>
          <w:sz w:val="24"/>
          <w:szCs w:val="24"/>
        </w:rPr>
        <w:t xml:space="preserve">. </w:t>
      </w:r>
    </w:p>
    <w:p w14:paraId="244C38C8" w14:textId="77777777" w:rsidR="000D5557" w:rsidRPr="000D5557" w:rsidRDefault="000D5557" w:rsidP="000D5557">
      <w:pPr>
        <w:pStyle w:val="Heading3"/>
        <w:numPr>
          <w:ilvl w:val="0"/>
          <w:numId w:val="0"/>
        </w:numPr>
        <w:rPr>
          <w:sz w:val="24"/>
          <w:szCs w:val="24"/>
        </w:rPr>
      </w:pPr>
      <w:r w:rsidRPr="000D5557">
        <w:rPr>
          <w:sz w:val="24"/>
          <w:szCs w:val="24"/>
        </w:rPr>
        <w:t>Sensitivity Analysis: Grid Emission Factor Trajectory</w:t>
      </w:r>
    </w:p>
    <w:p w14:paraId="1B2B23E7" w14:textId="4709F74C" w:rsidR="000D5557" w:rsidRPr="000D5557" w:rsidRDefault="000D5557" w:rsidP="000D5557">
      <w:pPr>
        <w:spacing w:before="240"/>
        <w:rPr>
          <w:sz w:val="24"/>
          <w:szCs w:val="24"/>
        </w:rPr>
      </w:pPr>
      <w:r w:rsidRPr="000D5557">
        <w:rPr>
          <w:sz w:val="24"/>
          <w:szCs w:val="24"/>
        </w:rPr>
        <w:t xml:space="preserve">The study assumes a constant grid electricity emission factor of 0.921 </w:t>
      </w:r>
      <w:proofErr w:type="spellStart"/>
      <w:r w:rsidRPr="000D5557">
        <w:rPr>
          <w:sz w:val="24"/>
          <w:szCs w:val="24"/>
        </w:rPr>
        <w:t>kgCO</w:t>
      </w:r>
      <w:proofErr w:type="spellEnd"/>
      <w:r w:rsidRPr="000D5557">
        <w:rPr>
          <w:sz w:val="24"/>
          <w:szCs w:val="24"/>
        </w:rPr>
        <w:t xml:space="preserve">₂-eq./kWh (Varun et al., 2012) throughout the 50-year building lifespan. However, India’s grid is undergoing rapid </w:t>
      </w:r>
      <w:proofErr w:type="spellStart"/>
      <w:r w:rsidRPr="000D5557">
        <w:rPr>
          <w:sz w:val="24"/>
          <w:szCs w:val="24"/>
        </w:rPr>
        <w:t>decarbonisation</w:t>
      </w:r>
      <w:proofErr w:type="spellEnd"/>
      <w:r w:rsidRPr="000D5557">
        <w:rPr>
          <w:sz w:val="24"/>
          <w:szCs w:val="24"/>
        </w:rPr>
        <w:t xml:space="preserve"> driven by expanding renewable energy capacity under its Nationally Determined Contributions (NDC) and the target of achieving net-zero emissions by 2070 </w:t>
      </w:r>
      <w:r w:rsidRPr="000D5557">
        <w:rPr>
          <w:sz w:val="24"/>
          <w:szCs w:val="24"/>
        </w:rPr>
        <w:fldChar w:fldCharType="begin"/>
      </w:r>
      <w:r w:rsidRPr="000D5557">
        <w:rPr>
          <w:sz w:val="24"/>
          <w:szCs w:val="24"/>
        </w:rPr>
        <w:instrText xml:space="preserve"> ADDIN ZOTERO_ITEM CSL_CITATION {"citationID":"Chn5pV0j","properties":{"unsorted":false,"formattedCitation":"(Ministry of Environment, Forest and Climate Change, 2023)","plainCitation":"(Ministry of Environment, Forest and Climate Change, 2023)","noteIndex":0},"citationItems":[{"id":5311,"uris":["http://zotero.org/users/17155100/items/L43NGL28"],"itemData":{"id":5311,"type":"post-weblog","genre":"gov.in","title":"Net zero emissions target","URL":"https://www.pib.gov.in/PressReleaseIframePage.aspx?PRID=1945472","author":[{"literal":"Ministry of Environment, Forest and Climate Change"}],"issued":{"date-parts":[["2023",8,3]]}}}],"schema":"https://github.com/citation-style-language/schema/raw/master/csl-citation.json"} </w:instrText>
      </w:r>
      <w:r w:rsidRPr="000D5557">
        <w:rPr>
          <w:sz w:val="24"/>
          <w:szCs w:val="24"/>
        </w:rPr>
        <w:fldChar w:fldCharType="separate"/>
      </w:r>
      <w:r w:rsidRPr="000D5557">
        <w:rPr>
          <w:sz w:val="24"/>
        </w:rPr>
        <w:t>(Ministry of Environment, Forest and Climate Change, 2023)</w:t>
      </w:r>
      <w:r w:rsidRPr="000D5557">
        <w:rPr>
          <w:sz w:val="24"/>
          <w:szCs w:val="24"/>
        </w:rPr>
        <w:fldChar w:fldCharType="end"/>
      </w:r>
      <w:r w:rsidRPr="000D5557">
        <w:rPr>
          <w:sz w:val="24"/>
          <w:szCs w:val="24"/>
        </w:rPr>
        <w:t xml:space="preserve">. Historical data from the Central Electricity Authority (CEA) show that the national grid emission factor declined from 0.774 </w:t>
      </w:r>
      <w:proofErr w:type="spellStart"/>
      <w:r w:rsidRPr="000D5557">
        <w:rPr>
          <w:sz w:val="24"/>
          <w:szCs w:val="24"/>
        </w:rPr>
        <w:t>kgCO</w:t>
      </w:r>
      <w:proofErr w:type="spellEnd"/>
      <w:r w:rsidRPr="000D5557">
        <w:rPr>
          <w:sz w:val="24"/>
          <w:szCs w:val="24"/>
        </w:rPr>
        <w:t xml:space="preserve">₂/kWh in FY 2013-14 to 0.710 </w:t>
      </w:r>
      <w:proofErr w:type="spellStart"/>
      <w:r w:rsidRPr="000D5557">
        <w:rPr>
          <w:sz w:val="24"/>
          <w:szCs w:val="24"/>
        </w:rPr>
        <w:t>kgCO</w:t>
      </w:r>
      <w:proofErr w:type="spellEnd"/>
      <w:r w:rsidRPr="000D5557">
        <w:rPr>
          <w:sz w:val="24"/>
          <w:szCs w:val="24"/>
        </w:rPr>
        <w:t xml:space="preserve">₂/kWh in FY 2024-25 </w:t>
      </w:r>
      <w:r w:rsidRPr="000D5557">
        <w:rPr>
          <w:sz w:val="24"/>
          <w:szCs w:val="24"/>
        </w:rPr>
        <w:fldChar w:fldCharType="begin"/>
      </w:r>
      <w:r w:rsidR="00D64814">
        <w:rPr>
          <w:sz w:val="24"/>
          <w:szCs w:val="24"/>
        </w:rPr>
        <w:instrText xml:space="preserve"> ADDIN ZOTERO_ITEM CSL_CITATION {"citationID":"7Pv6Gfxq","properties":{"unsorted":false,"formattedCitation":"(Bhawan &amp; Puram, 2025)","plainCitation":"(Bhawan &amp; Puram, 2025)","noteIndex":0},"citationItems":[{"id":16211,"uris":["http://zotero.org/users/17155100/items/2EW6QPES"],"itemData":{"id":16211,"type":"report","language":"en","source":"Zotero","title":"Central Electricity Authority: CO2 Baseline Database  for the Indian Power Sector","author":[{"family":"Bhawan","given":"Sewa"},{"family":"Puram","given":"R K"}],"issued":{"date-parts":[["2025",11]]}}}],"schema":"https://github.com/citation-style-language/schema/raw/master/csl-citation.json"} </w:instrText>
      </w:r>
      <w:r w:rsidRPr="000D5557">
        <w:rPr>
          <w:sz w:val="24"/>
          <w:szCs w:val="24"/>
        </w:rPr>
        <w:fldChar w:fldCharType="separate"/>
      </w:r>
      <w:r w:rsidR="00D64814" w:rsidRPr="00D64814">
        <w:rPr>
          <w:sz w:val="24"/>
        </w:rPr>
        <w:t>(Bhawan &amp; Puram, 2025)</w:t>
      </w:r>
      <w:r w:rsidRPr="000D5557">
        <w:rPr>
          <w:sz w:val="24"/>
          <w:szCs w:val="24"/>
        </w:rPr>
        <w:fldChar w:fldCharType="end"/>
      </w:r>
      <w:r w:rsidRPr="000D5557">
        <w:rPr>
          <w:sz w:val="24"/>
          <w:szCs w:val="24"/>
        </w:rPr>
        <w:t xml:space="preserve"> </w:t>
      </w:r>
      <w:r w:rsidRPr="000D5557">
        <w:rPr>
          <w:sz w:val="24"/>
          <w:szCs w:val="24"/>
        </w:rPr>
        <w:fldChar w:fldCharType="begin"/>
      </w:r>
      <w:r w:rsidR="00D64814">
        <w:rPr>
          <w:sz w:val="24"/>
          <w:szCs w:val="24"/>
        </w:rPr>
        <w:instrText xml:space="preserve"> ADDIN ZOTERO_ITEM CSL_CITATION {"citationID":"aZo8ETBZ","properties":{"unsorted":false,"formattedCitation":"(Bhawan &amp; Puram, n.d.)","plainCitation":"(Bhawan &amp; Puram, n.d.)","dontUpdate":true,"noteIndex":0},"citationItems":[{"id":"ra2KK2lN/TqvBDp7O","uris":["http://zotero.org/users/17155100/items/WZ2TILHQ"],"itemData":{"id":16210,"type":"article-journal","language":"en","source":"Zotero","title":"Central Electricity Authority","author":[{"family":"Bhawan","given":"Sewa"},{"family":"Puram","given":"R K"}]}}],"schema":"https://github.com/citation-style-language/schema/raw/master/csl-citation.json"} </w:instrText>
      </w:r>
      <w:r w:rsidRPr="000D5557">
        <w:rPr>
          <w:sz w:val="24"/>
          <w:szCs w:val="24"/>
        </w:rPr>
        <w:fldChar w:fldCharType="separate"/>
      </w:r>
      <w:r w:rsidRPr="000D5557">
        <w:rPr>
          <w:sz w:val="24"/>
          <w:szCs w:val="24"/>
        </w:rPr>
        <w:fldChar w:fldCharType="end"/>
      </w:r>
      <w:r w:rsidRPr="000D5557">
        <w:rPr>
          <w:sz w:val="24"/>
          <w:szCs w:val="24"/>
        </w:rPr>
        <w:t xml:space="preserve">. Modelling studies project a further decline to approximately 0.369 </w:t>
      </w:r>
      <w:proofErr w:type="spellStart"/>
      <w:r w:rsidRPr="000D5557">
        <w:rPr>
          <w:sz w:val="24"/>
          <w:szCs w:val="24"/>
        </w:rPr>
        <w:t>tCO</w:t>
      </w:r>
      <w:proofErr w:type="spellEnd"/>
      <w:r w:rsidRPr="000D5557">
        <w:rPr>
          <w:sz w:val="24"/>
          <w:szCs w:val="24"/>
        </w:rPr>
        <w:t xml:space="preserve">₂/MWh by 2050 under an ambitious </w:t>
      </w:r>
      <w:proofErr w:type="spellStart"/>
      <w:r w:rsidRPr="000D5557">
        <w:rPr>
          <w:sz w:val="24"/>
          <w:szCs w:val="24"/>
        </w:rPr>
        <w:t>decarbonisation</w:t>
      </w:r>
      <w:proofErr w:type="spellEnd"/>
      <w:r w:rsidRPr="000D5557">
        <w:rPr>
          <w:sz w:val="24"/>
          <w:szCs w:val="24"/>
        </w:rPr>
        <w:t xml:space="preserve"> pathway </w:t>
      </w:r>
      <w:r w:rsidRPr="000D5557">
        <w:rPr>
          <w:sz w:val="24"/>
          <w:szCs w:val="24"/>
        </w:rPr>
        <w:fldChar w:fldCharType="begin"/>
      </w:r>
      <w:r w:rsidRPr="000D5557">
        <w:rPr>
          <w:sz w:val="24"/>
          <w:szCs w:val="24"/>
        </w:rPr>
        <w:instrText xml:space="preserve"> ADDIN ZOTERO_ITEM CSL_CITATION {"citationID":"lOlbAjS4","properties":{"unsorted":false,"formattedCitation":"(Bisht &amp; Sharma, 2025)","plainCitation":"(Bisht &amp; Sharma, 2025)","noteIndex":0},"citationItems":[{"id":16214,"uris":["http://zotero.org/users/17155100/items/U5CIQHXC"],"itemData":{"id":16214,"type":"article-journal","container-title":"Energy for Sustainable Development","DOI":"10.1016/j.esd.2024.101637","ISSN":"09730826","journalAbbreviation":"Energy for Sustainable Development","language":"en","page":"101637","source":"DOI.org (Crossref)","title":"Indian power sector decarbonization: Net-zero by 2050 or 2070","title-short":"Indian power sector decarbonization","volume":"85","author":[{"family":"Bisht","given":"Arvind Singh"},{"family":"Sharma","given":"Tarun"}],"issued":{"date-parts":[["2025",4]]}}}],"schema":"https://github.com/citation-style-language/schema/raw/master/csl-citation.json"} </w:instrText>
      </w:r>
      <w:r w:rsidRPr="000D5557">
        <w:rPr>
          <w:sz w:val="24"/>
          <w:szCs w:val="24"/>
        </w:rPr>
        <w:fldChar w:fldCharType="separate"/>
      </w:r>
      <w:r w:rsidRPr="000D5557">
        <w:rPr>
          <w:sz w:val="24"/>
        </w:rPr>
        <w:t>(Bisht &amp; Sharma, 2025)</w:t>
      </w:r>
      <w:r w:rsidRPr="000D5557">
        <w:rPr>
          <w:sz w:val="24"/>
          <w:szCs w:val="24"/>
        </w:rPr>
        <w:fldChar w:fldCharType="end"/>
      </w:r>
      <w:r w:rsidRPr="000D5557">
        <w:rPr>
          <w:sz w:val="24"/>
          <w:szCs w:val="24"/>
        </w:rPr>
        <w:t>. To quantify the sensitivity of lifecycle results to this assumption, three scenarios were evaluated as presented in Table 3.</w:t>
      </w:r>
    </w:p>
    <w:p w14:paraId="610D2730" w14:textId="77777777" w:rsidR="000D5557" w:rsidRPr="000D5557" w:rsidRDefault="000D5557" w:rsidP="000D5557">
      <w:pPr>
        <w:pStyle w:val="Caption"/>
        <w:keepNext/>
        <w:spacing w:before="240" w:after="0"/>
        <w:rPr>
          <w:b/>
          <w:bCs/>
          <w:i w:val="0"/>
          <w:iCs w:val="0"/>
          <w:sz w:val="24"/>
          <w:szCs w:val="24"/>
        </w:rPr>
      </w:pPr>
      <w:r w:rsidRPr="000D5557">
        <w:rPr>
          <w:b/>
          <w:bCs/>
          <w:i w:val="0"/>
          <w:iCs w:val="0"/>
          <w:sz w:val="24"/>
          <w:szCs w:val="24"/>
        </w:rPr>
        <w:t xml:space="preserve">Table </w:t>
      </w:r>
      <w:r w:rsidRPr="000D5557">
        <w:rPr>
          <w:b/>
          <w:bCs/>
          <w:i w:val="0"/>
          <w:iCs w:val="0"/>
          <w:sz w:val="24"/>
          <w:szCs w:val="24"/>
        </w:rPr>
        <w:fldChar w:fldCharType="begin"/>
      </w:r>
      <w:r w:rsidRPr="000D5557">
        <w:rPr>
          <w:b/>
          <w:bCs/>
          <w:i w:val="0"/>
          <w:iCs w:val="0"/>
          <w:sz w:val="24"/>
          <w:szCs w:val="24"/>
        </w:rPr>
        <w:instrText xml:space="preserve"> SEQ Table \* ARABIC </w:instrText>
      </w:r>
      <w:r w:rsidRPr="000D5557">
        <w:rPr>
          <w:b/>
          <w:bCs/>
          <w:i w:val="0"/>
          <w:iCs w:val="0"/>
          <w:sz w:val="24"/>
          <w:szCs w:val="24"/>
        </w:rPr>
        <w:fldChar w:fldCharType="separate"/>
      </w:r>
      <w:r w:rsidRPr="000D5557">
        <w:rPr>
          <w:b/>
          <w:bCs/>
          <w:i w:val="0"/>
          <w:iCs w:val="0"/>
          <w:sz w:val="24"/>
          <w:szCs w:val="24"/>
        </w:rPr>
        <w:t>3</w:t>
      </w:r>
      <w:r w:rsidRPr="000D5557">
        <w:rPr>
          <w:b/>
          <w:bCs/>
          <w:i w:val="0"/>
          <w:iCs w:val="0"/>
          <w:sz w:val="24"/>
          <w:szCs w:val="24"/>
        </w:rPr>
        <w:fldChar w:fldCharType="end"/>
      </w:r>
      <w:r w:rsidRPr="000D5557">
        <w:rPr>
          <w:b/>
          <w:bCs/>
          <w:i w:val="0"/>
          <w:iCs w:val="0"/>
          <w:sz w:val="24"/>
          <w:szCs w:val="24"/>
        </w:rPr>
        <w:t xml:space="preserve"> </w:t>
      </w:r>
      <w:r w:rsidRPr="000D5557">
        <w:rPr>
          <w:i w:val="0"/>
          <w:iCs w:val="0"/>
          <w:sz w:val="24"/>
          <w:szCs w:val="24"/>
        </w:rPr>
        <w:t>Sensitivity analysis of total lifecycle emissions under three grid emission factor scenarios. EF is applied as a linearly declining average over 50 years for S2 and S3.</w:t>
      </w:r>
    </w:p>
    <w:tbl>
      <w:tblPr>
        <w:tblStyle w:val="TableGridLight1"/>
        <w:tblW w:w="5000" w:type="pct"/>
        <w:tblLook w:val="04A0" w:firstRow="1" w:lastRow="0" w:firstColumn="1" w:lastColumn="0" w:noHBand="0" w:noVBand="1"/>
      </w:tblPr>
      <w:tblGrid>
        <w:gridCol w:w="2671"/>
        <w:gridCol w:w="1780"/>
        <w:gridCol w:w="1780"/>
        <w:gridCol w:w="2671"/>
        <w:gridCol w:w="1780"/>
      </w:tblGrid>
      <w:tr w:rsidR="000D5557" w:rsidRPr="00C971DC" w14:paraId="1DFAD3A2" w14:textId="77777777" w:rsidTr="00452E25">
        <w:tc>
          <w:tcPr>
            <w:tcW w:w="1250" w:type="pct"/>
          </w:tcPr>
          <w:p w14:paraId="50A54736" w14:textId="77777777" w:rsidR="000D5557" w:rsidRPr="00C971DC" w:rsidRDefault="000D5557" w:rsidP="00452E25">
            <w:pPr>
              <w:rPr>
                <w:sz w:val="24"/>
                <w:szCs w:val="24"/>
              </w:rPr>
            </w:pPr>
            <w:r w:rsidRPr="00C971DC">
              <w:rPr>
                <w:b/>
                <w:sz w:val="24"/>
                <w:szCs w:val="24"/>
              </w:rPr>
              <w:t>Scenario</w:t>
            </w:r>
          </w:p>
        </w:tc>
        <w:tc>
          <w:tcPr>
            <w:tcW w:w="833" w:type="pct"/>
          </w:tcPr>
          <w:p w14:paraId="6FA9B63C" w14:textId="77777777" w:rsidR="000D5557" w:rsidRPr="00C971DC" w:rsidRDefault="000D5557" w:rsidP="00452E25">
            <w:pPr>
              <w:rPr>
                <w:sz w:val="24"/>
                <w:szCs w:val="24"/>
              </w:rPr>
            </w:pPr>
            <w:r w:rsidRPr="00C971DC">
              <w:rPr>
                <w:b/>
                <w:sz w:val="24"/>
                <w:szCs w:val="24"/>
              </w:rPr>
              <w:t>EF Start (</w:t>
            </w:r>
            <w:proofErr w:type="spellStart"/>
            <w:r w:rsidRPr="00C971DC">
              <w:rPr>
                <w:b/>
                <w:sz w:val="24"/>
                <w:szCs w:val="24"/>
              </w:rPr>
              <w:t>kgCO</w:t>
            </w:r>
            <w:proofErr w:type="spellEnd"/>
            <w:r w:rsidRPr="00C971DC">
              <w:rPr>
                <w:b/>
                <w:sz w:val="24"/>
                <w:szCs w:val="24"/>
              </w:rPr>
              <w:t>₂/kWh)</w:t>
            </w:r>
          </w:p>
        </w:tc>
        <w:tc>
          <w:tcPr>
            <w:tcW w:w="833" w:type="pct"/>
          </w:tcPr>
          <w:p w14:paraId="5CC110E9" w14:textId="77777777" w:rsidR="000D5557" w:rsidRPr="00C971DC" w:rsidRDefault="000D5557" w:rsidP="00452E25">
            <w:pPr>
              <w:rPr>
                <w:sz w:val="24"/>
                <w:szCs w:val="24"/>
              </w:rPr>
            </w:pPr>
            <w:r w:rsidRPr="00C971DC">
              <w:rPr>
                <w:b/>
                <w:sz w:val="24"/>
                <w:szCs w:val="24"/>
              </w:rPr>
              <w:t>EF End (</w:t>
            </w:r>
            <w:proofErr w:type="spellStart"/>
            <w:r w:rsidRPr="00C971DC">
              <w:rPr>
                <w:b/>
                <w:sz w:val="24"/>
                <w:szCs w:val="24"/>
              </w:rPr>
              <w:t>kgCO</w:t>
            </w:r>
            <w:proofErr w:type="spellEnd"/>
            <w:r w:rsidRPr="00C971DC">
              <w:rPr>
                <w:b/>
                <w:sz w:val="24"/>
                <w:szCs w:val="24"/>
              </w:rPr>
              <w:t>₂/kWh)</w:t>
            </w:r>
          </w:p>
        </w:tc>
        <w:tc>
          <w:tcPr>
            <w:tcW w:w="1250" w:type="pct"/>
          </w:tcPr>
          <w:p w14:paraId="75B290E2" w14:textId="77777777" w:rsidR="000D5557" w:rsidRPr="00C971DC" w:rsidRDefault="000D5557" w:rsidP="00452E25">
            <w:pPr>
              <w:rPr>
                <w:sz w:val="24"/>
                <w:szCs w:val="24"/>
              </w:rPr>
            </w:pPr>
            <w:r w:rsidRPr="00C971DC">
              <w:rPr>
                <w:b/>
                <w:sz w:val="24"/>
                <w:szCs w:val="24"/>
              </w:rPr>
              <w:t xml:space="preserve">50-yr Total Lifecycle Emissions (million </w:t>
            </w:r>
            <w:proofErr w:type="spellStart"/>
            <w:r w:rsidRPr="00C971DC">
              <w:rPr>
                <w:b/>
                <w:sz w:val="24"/>
                <w:szCs w:val="24"/>
              </w:rPr>
              <w:t>kgCO</w:t>
            </w:r>
            <w:proofErr w:type="spellEnd"/>
            <w:r w:rsidRPr="00C971DC">
              <w:rPr>
                <w:b/>
                <w:sz w:val="24"/>
                <w:szCs w:val="24"/>
              </w:rPr>
              <w:t>₂-eq.)</w:t>
            </w:r>
          </w:p>
        </w:tc>
        <w:tc>
          <w:tcPr>
            <w:tcW w:w="833" w:type="pct"/>
          </w:tcPr>
          <w:p w14:paraId="5E6D30ED" w14:textId="77777777" w:rsidR="000D5557" w:rsidRPr="00C971DC" w:rsidRDefault="000D5557" w:rsidP="00452E25">
            <w:pPr>
              <w:rPr>
                <w:sz w:val="24"/>
                <w:szCs w:val="24"/>
              </w:rPr>
            </w:pPr>
            <w:r w:rsidRPr="00C971DC">
              <w:rPr>
                <w:b/>
                <w:sz w:val="24"/>
                <w:szCs w:val="24"/>
              </w:rPr>
              <w:t>Change from S1</w:t>
            </w:r>
          </w:p>
        </w:tc>
      </w:tr>
      <w:tr w:rsidR="000D5557" w:rsidRPr="00C971DC" w14:paraId="287D306C" w14:textId="77777777" w:rsidTr="00452E25">
        <w:tc>
          <w:tcPr>
            <w:tcW w:w="1250" w:type="pct"/>
          </w:tcPr>
          <w:p w14:paraId="3A95B808" w14:textId="77777777" w:rsidR="000D5557" w:rsidRPr="00C971DC" w:rsidRDefault="000D5557" w:rsidP="00452E25">
            <w:pPr>
              <w:rPr>
                <w:sz w:val="24"/>
                <w:szCs w:val="24"/>
              </w:rPr>
            </w:pPr>
            <w:r w:rsidRPr="00C971DC">
              <w:rPr>
                <w:sz w:val="24"/>
                <w:szCs w:val="24"/>
              </w:rPr>
              <w:t xml:space="preserve">S1 - </w:t>
            </w:r>
            <w:r w:rsidRPr="00C971DC">
              <w:rPr>
                <w:sz w:val="24"/>
                <w:szCs w:val="24"/>
                <w:lang w:val="en-US"/>
              </w:rPr>
              <w:t xml:space="preserve">Business </w:t>
            </w:r>
            <w:proofErr w:type="gramStart"/>
            <w:r w:rsidRPr="00C971DC">
              <w:rPr>
                <w:sz w:val="24"/>
                <w:szCs w:val="24"/>
                <w:lang w:val="en-US"/>
              </w:rPr>
              <w:t>As</w:t>
            </w:r>
            <w:proofErr w:type="gramEnd"/>
            <w:r w:rsidRPr="00C971DC">
              <w:rPr>
                <w:sz w:val="24"/>
                <w:szCs w:val="24"/>
                <w:lang w:val="en-US"/>
              </w:rPr>
              <w:t xml:space="preserve"> Usual (BAU)/ </w:t>
            </w:r>
            <w:r w:rsidRPr="00C971DC">
              <w:rPr>
                <w:sz w:val="24"/>
                <w:szCs w:val="24"/>
              </w:rPr>
              <w:t>Constant (paper assumption)</w:t>
            </w:r>
          </w:p>
        </w:tc>
        <w:tc>
          <w:tcPr>
            <w:tcW w:w="833" w:type="pct"/>
          </w:tcPr>
          <w:p w14:paraId="1CC1DE01" w14:textId="77777777" w:rsidR="000D5557" w:rsidRPr="00C971DC" w:rsidRDefault="000D5557" w:rsidP="00452E25">
            <w:pPr>
              <w:rPr>
                <w:sz w:val="24"/>
                <w:szCs w:val="24"/>
              </w:rPr>
            </w:pPr>
            <w:r w:rsidRPr="00C971DC">
              <w:rPr>
                <w:sz w:val="24"/>
                <w:szCs w:val="24"/>
              </w:rPr>
              <w:t>0.921</w:t>
            </w:r>
          </w:p>
        </w:tc>
        <w:tc>
          <w:tcPr>
            <w:tcW w:w="833" w:type="pct"/>
          </w:tcPr>
          <w:p w14:paraId="546E90B2" w14:textId="77777777" w:rsidR="000D5557" w:rsidRPr="00C971DC" w:rsidRDefault="000D5557" w:rsidP="00452E25">
            <w:pPr>
              <w:rPr>
                <w:sz w:val="24"/>
                <w:szCs w:val="24"/>
              </w:rPr>
            </w:pPr>
            <w:r w:rsidRPr="00C971DC">
              <w:rPr>
                <w:sz w:val="24"/>
                <w:szCs w:val="24"/>
              </w:rPr>
              <w:t>0.921</w:t>
            </w:r>
          </w:p>
        </w:tc>
        <w:tc>
          <w:tcPr>
            <w:tcW w:w="1250" w:type="pct"/>
          </w:tcPr>
          <w:p w14:paraId="30B1EFAE" w14:textId="77777777" w:rsidR="000D5557" w:rsidRPr="00C971DC" w:rsidRDefault="000D5557" w:rsidP="00452E25">
            <w:pPr>
              <w:rPr>
                <w:sz w:val="24"/>
                <w:szCs w:val="24"/>
              </w:rPr>
            </w:pPr>
            <w:r w:rsidRPr="00C971DC">
              <w:rPr>
                <w:sz w:val="24"/>
                <w:szCs w:val="24"/>
              </w:rPr>
              <w:t>12.78</w:t>
            </w:r>
          </w:p>
        </w:tc>
        <w:tc>
          <w:tcPr>
            <w:tcW w:w="833" w:type="pct"/>
          </w:tcPr>
          <w:p w14:paraId="3544B915" w14:textId="77777777" w:rsidR="000D5557" w:rsidRPr="00C971DC" w:rsidRDefault="000D5557" w:rsidP="00452E25">
            <w:pPr>
              <w:rPr>
                <w:sz w:val="24"/>
                <w:szCs w:val="24"/>
              </w:rPr>
            </w:pPr>
            <w:r w:rsidRPr="00C971DC">
              <w:rPr>
                <w:sz w:val="24"/>
                <w:szCs w:val="24"/>
              </w:rPr>
              <w:t>-</w:t>
            </w:r>
          </w:p>
        </w:tc>
      </w:tr>
      <w:tr w:rsidR="000D5557" w:rsidRPr="00C971DC" w14:paraId="46A61FA0" w14:textId="77777777" w:rsidTr="00452E25">
        <w:tc>
          <w:tcPr>
            <w:tcW w:w="1250" w:type="pct"/>
          </w:tcPr>
          <w:p w14:paraId="65B7783F" w14:textId="77777777" w:rsidR="000D5557" w:rsidRPr="00C971DC" w:rsidRDefault="000D5557" w:rsidP="00452E25">
            <w:pPr>
              <w:rPr>
                <w:sz w:val="24"/>
                <w:szCs w:val="24"/>
              </w:rPr>
            </w:pPr>
            <w:r w:rsidRPr="00C971DC">
              <w:rPr>
                <w:sz w:val="24"/>
                <w:szCs w:val="24"/>
              </w:rPr>
              <w:t>S2 - Moderate Decline (NDC-aligned)</w:t>
            </w:r>
          </w:p>
        </w:tc>
        <w:tc>
          <w:tcPr>
            <w:tcW w:w="833" w:type="pct"/>
          </w:tcPr>
          <w:p w14:paraId="4A8D00FF" w14:textId="77777777" w:rsidR="000D5557" w:rsidRPr="00C971DC" w:rsidRDefault="000D5557" w:rsidP="00452E25">
            <w:pPr>
              <w:rPr>
                <w:sz w:val="24"/>
                <w:szCs w:val="24"/>
              </w:rPr>
            </w:pPr>
            <w:r w:rsidRPr="00C971DC">
              <w:rPr>
                <w:sz w:val="24"/>
                <w:szCs w:val="24"/>
              </w:rPr>
              <w:t>0.921</w:t>
            </w:r>
          </w:p>
        </w:tc>
        <w:tc>
          <w:tcPr>
            <w:tcW w:w="833" w:type="pct"/>
          </w:tcPr>
          <w:p w14:paraId="1E6C16FF" w14:textId="77777777" w:rsidR="000D5557" w:rsidRPr="00C971DC" w:rsidRDefault="000D5557" w:rsidP="00452E25">
            <w:pPr>
              <w:rPr>
                <w:sz w:val="24"/>
                <w:szCs w:val="24"/>
              </w:rPr>
            </w:pPr>
            <w:r w:rsidRPr="00C971DC">
              <w:rPr>
                <w:sz w:val="24"/>
                <w:szCs w:val="24"/>
              </w:rPr>
              <w:t>0.50</w:t>
            </w:r>
          </w:p>
        </w:tc>
        <w:tc>
          <w:tcPr>
            <w:tcW w:w="1250" w:type="pct"/>
          </w:tcPr>
          <w:p w14:paraId="33BAFEBE" w14:textId="77777777" w:rsidR="000D5557" w:rsidRPr="00C971DC" w:rsidRDefault="000D5557" w:rsidP="00452E25">
            <w:pPr>
              <w:rPr>
                <w:sz w:val="24"/>
                <w:szCs w:val="24"/>
              </w:rPr>
            </w:pPr>
            <w:r w:rsidRPr="00C971DC">
              <w:rPr>
                <w:sz w:val="24"/>
                <w:szCs w:val="24"/>
              </w:rPr>
              <w:t>11.64</w:t>
            </w:r>
          </w:p>
        </w:tc>
        <w:tc>
          <w:tcPr>
            <w:tcW w:w="833" w:type="pct"/>
          </w:tcPr>
          <w:p w14:paraId="27CB8B27" w14:textId="77777777" w:rsidR="000D5557" w:rsidRPr="00C971DC" w:rsidRDefault="000D5557" w:rsidP="00452E25">
            <w:pPr>
              <w:rPr>
                <w:sz w:val="24"/>
                <w:szCs w:val="24"/>
              </w:rPr>
            </w:pPr>
            <w:r w:rsidRPr="00C971DC">
              <w:rPr>
                <w:sz w:val="24"/>
                <w:szCs w:val="24"/>
              </w:rPr>
              <w:t>-8.9%</w:t>
            </w:r>
          </w:p>
        </w:tc>
      </w:tr>
      <w:tr w:rsidR="000D5557" w:rsidRPr="00C971DC" w14:paraId="20679DE3" w14:textId="77777777" w:rsidTr="00452E25">
        <w:tc>
          <w:tcPr>
            <w:tcW w:w="1250" w:type="pct"/>
          </w:tcPr>
          <w:p w14:paraId="6E180966" w14:textId="77777777" w:rsidR="000D5557" w:rsidRPr="00C971DC" w:rsidRDefault="000D5557" w:rsidP="00452E25">
            <w:pPr>
              <w:rPr>
                <w:sz w:val="24"/>
                <w:szCs w:val="24"/>
              </w:rPr>
            </w:pPr>
            <w:r w:rsidRPr="00C971DC">
              <w:rPr>
                <w:sz w:val="24"/>
                <w:szCs w:val="24"/>
              </w:rPr>
              <w:t>S3 - Ambitious Decline (decarbonisation pathway)</w:t>
            </w:r>
          </w:p>
        </w:tc>
        <w:tc>
          <w:tcPr>
            <w:tcW w:w="833" w:type="pct"/>
          </w:tcPr>
          <w:p w14:paraId="2B2D8AD0" w14:textId="77777777" w:rsidR="000D5557" w:rsidRPr="00C971DC" w:rsidRDefault="000D5557" w:rsidP="00452E25">
            <w:pPr>
              <w:rPr>
                <w:sz w:val="24"/>
                <w:szCs w:val="24"/>
              </w:rPr>
            </w:pPr>
            <w:r w:rsidRPr="00C971DC">
              <w:rPr>
                <w:sz w:val="24"/>
                <w:szCs w:val="24"/>
              </w:rPr>
              <w:t>0.921</w:t>
            </w:r>
          </w:p>
        </w:tc>
        <w:tc>
          <w:tcPr>
            <w:tcW w:w="833" w:type="pct"/>
          </w:tcPr>
          <w:p w14:paraId="0D3311AD" w14:textId="77777777" w:rsidR="000D5557" w:rsidRPr="00C971DC" w:rsidRDefault="000D5557" w:rsidP="00452E25">
            <w:pPr>
              <w:rPr>
                <w:sz w:val="24"/>
                <w:szCs w:val="24"/>
              </w:rPr>
            </w:pPr>
            <w:r w:rsidRPr="00C971DC">
              <w:rPr>
                <w:sz w:val="24"/>
                <w:szCs w:val="24"/>
              </w:rPr>
              <w:t>0.369</w:t>
            </w:r>
          </w:p>
        </w:tc>
        <w:tc>
          <w:tcPr>
            <w:tcW w:w="1250" w:type="pct"/>
          </w:tcPr>
          <w:p w14:paraId="7B39D197" w14:textId="77777777" w:rsidR="000D5557" w:rsidRPr="00C971DC" w:rsidRDefault="000D5557" w:rsidP="00452E25">
            <w:pPr>
              <w:rPr>
                <w:sz w:val="24"/>
                <w:szCs w:val="24"/>
              </w:rPr>
            </w:pPr>
            <w:r w:rsidRPr="00C971DC">
              <w:rPr>
                <w:sz w:val="24"/>
                <w:szCs w:val="24"/>
              </w:rPr>
              <w:t>11.29</w:t>
            </w:r>
          </w:p>
        </w:tc>
        <w:tc>
          <w:tcPr>
            <w:tcW w:w="833" w:type="pct"/>
          </w:tcPr>
          <w:p w14:paraId="742A9373" w14:textId="77777777" w:rsidR="000D5557" w:rsidRPr="00C971DC" w:rsidRDefault="000D5557" w:rsidP="00452E25">
            <w:pPr>
              <w:rPr>
                <w:sz w:val="24"/>
                <w:szCs w:val="24"/>
              </w:rPr>
            </w:pPr>
            <w:r w:rsidRPr="00C971DC">
              <w:rPr>
                <w:sz w:val="24"/>
                <w:szCs w:val="24"/>
              </w:rPr>
              <w:t>-11.7%</w:t>
            </w:r>
          </w:p>
        </w:tc>
      </w:tr>
    </w:tbl>
    <w:p w14:paraId="4220D1BA" w14:textId="11EC45DD" w:rsidR="000D5557" w:rsidRPr="000D5557" w:rsidRDefault="000D5557" w:rsidP="000D5557">
      <w:pPr>
        <w:spacing w:before="200"/>
        <w:rPr>
          <w:sz w:val="24"/>
          <w:szCs w:val="24"/>
        </w:rPr>
      </w:pPr>
      <w:r w:rsidRPr="000D5557">
        <w:rPr>
          <w:sz w:val="24"/>
          <w:szCs w:val="24"/>
        </w:rPr>
        <w:lastRenderedPageBreak/>
        <w:t xml:space="preserve">In S1 (BAU), the EF is held at 0.921 </w:t>
      </w:r>
      <w:proofErr w:type="spellStart"/>
      <w:r w:rsidRPr="000D5557">
        <w:rPr>
          <w:sz w:val="24"/>
          <w:szCs w:val="24"/>
        </w:rPr>
        <w:t>kgCO</w:t>
      </w:r>
      <w:proofErr w:type="spellEnd"/>
      <w:r w:rsidRPr="000D5557">
        <w:rPr>
          <w:sz w:val="24"/>
          <w:szCs w:val="24"/>
        </w:rPr>
        <w:t xml:space="preserve">₂/kWh throughout, yielding a total lifecycle emission of 12.78 million </w:t>
      </w:r>
      <w:proofErr w:type="spellStart"/>
      <w:r w:rsidRPr="000D5557">
        <w:rPr>
          <w:sz w:val="24"/>
          <w:szCs w:val="24"/>
        </w:rPr>
        <w:t>kgCO</w:t>
      </w:r>
      <w:proofErr w:type="spellEnd"/>
      <w:r w:rsidRPr="000D5557">
        <w:rPr>
          <w:sz w:val="24"/>
          <w:szCs w:val="24"/>
        </w:rPr>
        <w:t xml:space="preserve">₂-eq., consistent with the main result of this study. In S2 (NDC-aligned, moderate decline), the EF is assumed to decrease linearly from 0.921 to 0.50 </w:t>
      </w:r>
      <w:proofErr w:type="spellStart"/>
      <w:r w:rsidRPr="000D5557">
        <w:rPr>
          <w:sz w:val="24"/>
          <w:szCs w:val="24"/>
        </w:rPr>
        <w:t>kgCO</w:t>
      </w:r>
      <w:proofErr w:type="spellEnd"/>
      <w:r w:rsidRPr="000D5557">
        <w:rPr>
          <w:sz w:val="24"/>
          <w:szCs w:val="24"/>
        </w:rPr>
        <w:t xml:space="preserve">₂/kWh by 2075, reflecting India’s commitments under the Paris Agreement and historical CEA grid emission trends </w:t>
      </w:r>
      <w:r w:rsidRPr="000D5557">
        <w:rPr>
          <w:sz w:val="24"/>
          <w:szCs w:val="24"/>
        </w:rPr>
        <w:fldChar w:fldCharType="begin"/>
      </w:r>
      <w:r w:rsidR="00D64814">
        <w:rPr>
          <w:sz w:val="24"/>
          <w:szCs w:val="24"/>
        </w:rPr>
        <w:instrText xml:space="preserve"> ADDIN ZOTERO_ITEM CSL_CITATION {"citationID":"d0qZA9ve","properties":{"unsorted":false,"formattedCitation":"(Bhawan &amp; Puram, 2025)","plainCitation":"(Bhawan &amp; Puram, 2025)","noteIndex":0},"citationItems":[{"id":16211,"uris":["http://zotero.org/users/17155100/items/2EW6QPES"],"itemData":{"id":16211,"type":"report","language":"en","source":"Zotero","title":"Central Electricity Authority: CO2 Baseline Database  for the Indian Power Sector","author":[{"family":"Bhawan","given":"Sewa"},{"family":"Puram","given":"R K"}],"issued":{"date-parts":[["2025",11]]}}}],"schema":"https://github.com/citation-style-language/schema/raw/master/csl-citation.json"} </w:instrText>
      </w:r>
      <w:r w:rsidRPr="000D5557">
        <w:rPr>
          <w:sz w:val="24"/>
          <w:szCs w:val="24"/>
        </w:rPr>
        <w:fldChar w:fldCharType="separate"/>
      </w:r>
      <w:r w:rsidR="00D64814" w:rsidRPr="00D64814">
        <w:rPr>
          <w:sz w:val="24"/>
        </w:rPr>
        <w:t>(Bhawan &amp; Puram, 2025)</w:t>
      </w:r>
      <w:r w:rsidRPr="000D5557">
        <w:rPr>
          <w:sz w:val="24"/>
          <w:szCs w:val="24"/>
        </w:rPr>
        <w:fldChar w:fldCharType="end"/>
      </w:r>
      <w:r w:rsidRPr="000D5557">
        <w:rPr>
          <w:sz w:val="24"/>
          <w:szCs w:val="24"/>
        </w:rPr>
        <w:t xml:space="preserve">. This reduces the total lifecycle emission to 11.64 million </w:t>
      </w:r>
      <w:proofErr w:type="spellStart"/>
      <w:r w:rsidRPr="000D5557">
        <w:rPr>
          <w:sz w:val="24"/>
          <w:szCs w:val="24"/>
        </w:rPr>
        <w:t>kgCO</w:t>
      </w:r>
      <w:proofErr w:type="spellEnd"/>
      <w:r w:rsidRPr="000D5557">
        <w:rPr>
          <w:sz w:val="24"/>
          <w:szCs w:val="24"/>
        </w:rPr>
        <w:t xml:space="preserve">₂-eq., a reduction of 8.9%. In S3 (ambitious </w:t>
      </w:r>
      <w:proofErr w:type="spellStart"/>
      <w:r w:rsidRPr="000D5557">
        <w:rPr>
          <w:sz w:val="24"/>
          <w:szCs w:val="24"/>
        </w:rPr>
        <w:t>decarbonisation</w:t>
      </w:r>
      <w:proofErr w:type="spellEnd"/>
      <w:r w:rsidRPr="000D5557">
        <w:rPr>
          <w:sz w:val="24"/>
          <w:szCs w:val="24"/>
        </w:rPr>
        <w:t xml:space="preserve">), the EF declines from 0.921 to 0.369 </w:t>
      </w:r>
      <w:proofErr w:type="spellStart"/>
      <w:r w:rsidRPr="000D5557">
        <w:rPr>
          <w:sz w:val="24"/>
          <w:szCs w:val="24"/>
        </w:rPr>
        <w:t>kgCO</w:t>
      </w:r>
      <w:proofErr w:type="spellEnd"/>
      <w:r w:rsidRPr="000D5557">
        <w:rPr>
          <w:sz w:val="24"/>
          <w:szCs w:val="24"/>
        </w:rPr>
        <w:t xml:space="preserve">₂/kWh by 2075 based on published low-carbon energy transition modelling for India </w:t>
      </w:r>
      <w:r w:rsidRPr="000D5557">
        <w:rPr>
          <w:sz w:val="24"/>
          <w:szCs w:val="24"/>
        </w:rPr>
        <w:fldChar w:fldCharType="begin"/>
      </w:r>
      <w:r w:rsidRPr="000D5557">
        <w:rPr>
          <w:sz w:val="24"/>
          <w:szCs w:val="24"/>
        </w:rPr>
        <w:instrText xml:space="preserve"> ADDIN ZOTERO_ITEM CSL_CITATION {"citationID":"qQks72fd","properties":{"unsorted":false,"formattedCitation":"(Bisht &amp; Sharma, 2025)","plainCitation":"(Bisht &amp; Sharma, 2025)","noteIndex":0},"citationItems":[{"id":16214,"uris":["http://zotero.org/users/17155100/items/U5CIQHXC"],"itemData":{"id":16214,"type":"article-journal","container-title":"Energy for Sustainable Development","DOI":"10.1016/j.esd.2024.101637","ISSN":"09730826","journalAbbreviation":"Energy for Sustainable Development","language":"en","page":"101637","source":"DOI.org (Crossref)","title":"Indian power sector decarbonization: Net-zero by 2050 or 2070","title-short":"Indian power sector decarbonization","volume":"85","author":[{"family":"Bisht","given":"Arvind Singh"},{"family":"Sharma","given":"Tarun"}],"issued":{"date-parts":[["2025",4]]}}}],"schema":"https://github.com/citation-style-language/schema/raw/master/csl-citation.json"} </w:instrText>
      </w:r>
      <w:r w:rsidRPr="000D5557">
        <w:rPr>
          <w:sz w:val="24"/>
          <w:szCs w:val="24"/>
        </w:rPr>
        <w:fldChar w:fldCharType="separate"/>
      </w:r>
      <w:r w:rsidRPr="000D5557">
        <w:rPr>
          <w:sz w:val="24"/>
        </w:rPr>
        <w:t>(Bisht &amp; Sharma, 2025)</w:t>
      </w:r>
      <w:r w:rsidRPr="000D5557">
        <w:rPr>
          <w:sz w:val="24"/>
          <w:szCs w:val="24"/>
        </w:rPr>
        <w:fldChar w:fldCharType="end"/>
      </w:r>
      <w:r w:rsidRPr="000D5557">
        <w:rPr>
          <w:sz w:val="24"/>
          <w:szCs w:val="24"/>
        </w:rPr>
        <w:t xml:space="preserve">, yielding a total of 11.29 million </w:t>
      </w:r>
      <w:proofErr w:type="spellStart"/>
      <w:r w:rsidRPr="000D5557">
        <w:rPr>
          <w:sz w:val="24"/>
          <w:szCs w:val="24"/>
        </w:rPr>
        <w:t>kgCO</w:t>
      </w:r>
      <w:proofErr w:type="spellEnd"/>
      <w:r w:rsidRPr="000D5557">
        <w:rPr>
          <w:sz w:val="24"/>
          <w:szCs w:val="24"/>
        </w:rPr>
        <w:t xml:space="preserve">₂-eq., a reduction of 11.7%. The narrow spread across scenarios (11.29-12.78 million </w:t>
      </w:r>
      <w:proofErr w:type="spellStart"/>
      <w:r w:rsidRPr="000D5557">
        <w:rPr>
          <w:sz w:val="24"/>
          <w:szCs w:val="24"/>
        </w:rPr>
        <w:t>kgCO</w:t>
      </w:r>
      <w:proofErr w:type="spellEnd"/>
      <w:r w:rsidRPr="000D5557">
        <w:rPr>
          <w:sz w:val="24"/>
          <w:szCs w:val="24"/>
        </w:rPr>
        <w:t xml:space="preserve">₂-eq.) confirms that the study’s core findings are robust to the emission factor assumption; however, the BAU scenario represents a conservative upper bound, and actual future emissions are likely to be lower as India’s grid progressively </w:t>
      </w:r>
      <w:proofErr w:type="spellStart"/>
      <w:r w:rsidRPr="000D5557">
        <w:rPr>
          <w:sz w:val="24"/>
          <w:szCs w:val="24"/>
        </w:rPr>
        <w:t>decarbonises</w:t>
      </w:r>
      <w:proofErr w:type="spellEnd"/>
      <w:r w:rsidRPr="000D5557">
        <w:rPr>
          <w:sz w:val="24"/>
          <w:szCs w:val="24"/>
        </w:rPr>
        <w:t>.</w:t>
      </w:r>
    </w:p>
    <w:p w14:paraId="160BCA06" w14:textId="43DC5BE2" w:rsidR="0038420A" w:rsidRPr="00BE69E9" w:rsidRDefault="008F557B" w:rsidP="006D3FC9">
      <w:pPr>
        <w:spacing w:after="240"/>
        <w:rPr>
          <w:sz w:val="24"/>
          <w:szCs w:val="24"/>
        </w:rPr>
      </w:pPr>
      <w:r>
        <w:rPr>
          <w:sz w:val="24"/>
          <w:szCs w:val="24"/>
        </w:rPr>
        <w:t xml:space="preserve">The study investigates the greenhouse gas (GHG) emissions linked to the water supply system. The water supply system includes the extraction, treatment, and distribution of potable water </w:t>
      </w:r>
      <w:r>
        <w:rPr>
          <w:sz w:val="24"/>
          <w:szCs w:val="24"/>
        </w:rPr>
        <w:fldChar w:fldCharType="begin"/>
      </w:r>
      <w:r w:rsidR="005373B8">
        <w:rPr>
          <w:sz w:val="24"/>
          <w:szCs w:val="24"/>
        </w:rPr>
        <w:instrText xml:space="preserve"> ADDIN ZOTERO_ITEM CSL_CITATION {"citationID":"iTCdmJya","properties":{"formattedCitation":"(Lahmouri et al., 2019)","plainCitation":"(Lahmouri et al., 2019)","noteIndex":0},"citationItems":[{"id":5318,"uris":["http://zotero.org/users/17155100/items/TH237QXN"],"itemData":{"id":5318,"type":"article-journal","abstract":"With the constant increase of population and urbanization worldwide, stress on water, energy, and food resources is growing. Climate change constitutes a source of vulnerability, raising the importance of implementing actions to mitigate it. Within this, the water and wastewater sector represents an important source of greenhouse gas (GHG) emissions, during both the construction and operation phase. The scope of this study is to analyze the GHG emissions from the current and future water supply scheme, as well as to draw a comparison between possible water reclamation with resource recovery scenarios in the town Leh in India: a centralized scheme, a partly centralized combined with a decentralized scheme, and a household level approach. Precise values of emission factors, based on the IPCC Guidelines for National Greenhouse Gas Inventories, previous studies, and Ecoinvent database, have been adopted to quantify the different emissions. Potential sources of reduction of GHG emissions through sludge and biogas utilization have been identified and quantified to seize their ability to mitigate the carbon footprint of the water and wastewater sector. The results show that the future water supply scheme will lead to a significant increase of the GHG emissions during its operation. Further, it is shown that decentralizing wastewater management in Leh town has the least carbon footprint during both construction and operation phases. These results have implications for cities worldwide.","container-title":"Water","DOI":"10.3390/w11050906","ISSN":"2073-4441","issue":"5","language":"en","license":"https://creativecommons.org/licenses/by/4.0/","page":"906","publisher":"MDPI AG","source":"Crossref","title":"Analysis of Greenhouse Gas Emissions in Centralized and Decentralized Water Reclamation with Resource Recovery Strategies in Leh Town, Ladakh, India, and Potential for Their Reduction in Context of the Water–Energy–Food Nexus","volume":"11","author":[{"family":"Lahmouri","given":"Mounia"},{"family":"Drewes","given":"Jörg E."},{"family":"Gondhalekar","given":"Daphne"}],"issued":{"date-parts":[["2019",4,29]]}}}],"schema":"https://github.com/citation-style-language/schema/raw/master/csl-citation.json"} </w:instrText>
      </w:r>
      <w:r>
        <w:rPr>
          <w:sz w:val="24"/>
          <w:szCs w:val="24"/>
        </w:rPr>
        <w:fldChar w:fldCharType="separate"/>
      </w:r>
      <w:r>
        <w:rPr>
          <w:sz w:val="24"/>
          <w:szCs w:val="24"/>
        </w:rPr>
        <w:t>(Lahmouri et al., 2019)</w:t>
      </w:r>
      <w:r>
        <w:rPr>
          <w:sz w:val="24"/>
          <w:szCs w:val="24"/>
        </w:rPr>
        <w:fldChar w:fldCharType="end"/>
      </w:r>
      <w:r>
        <w:rPr>
          <w:sz w:val="24"/>
          <w:szCs w:val="24"/>
        </w:rPr>
        <w:t>. The calculations are based on the monthly user data provided by the hostel. The emission factor for water consumption varies by region due to differences in supply systems and energy sources. For greater accuracy, this research references a study from Dehradun, which provides a locally derived emission factor based on the city's specific water supply and energy usage. Using this region-specific data ensures the assessment reflects the actual environmental impact of water use in that context. Water production including extraction, treatment, and delivery to storage contributes to the GHG emissions. The related emission factor for water consumption is 0.00112 kg CO₂- eq</w:t>
      </w:r>
      <w:r>
        <w:rPr>
          <w:rFonts w:eastAsia="Times New Roman"/>
          <w:sz w:val="24"/>
          <w:szCs w:val="24"/>
          <w:lang w:val="en-IN" w:eastAsia="en-IN"/>
        </w:rPr>
        <w:t>.</w:t>
      </w:r>
      <w:r>
        <w:rPr>
          <w:sz w:val="24"/>
          <w:szCs w:val="24"/>
          <w:vertAlign w:val="subscript"/>
        </w:rPr>
        <w:t xml:space="preserve"> </w:t>
      </w:r>
      <w:r>
        <w:rPr>
          <w:sz w:val="24"/>
          <w:szCs w:val="24"/>
        </w:rPr>
        <w:t xml:space="preserve">per liter of water </w:t>
      </w:r>
      <w:r>
        <w:rPr>
          <w:sz w:val="24"/>
          <w:szCs w:val="24"/>
        </w:rPr>
        <w:fldChar w:fldCharType="begin"/>
      </w:r>
      <w:r w:rsidR="005373B8">
        <w:rPr>
          <w:sz w:val="24"/>
          <w:szCs w:val="24"/>
        </w:rPr>
        <w:instrText xml:space="preserve"> ADDIN ZOTERO_ITEM CSL_CITATION {"citationID":"M1kiAGOZ","properties":{"formattedCitation":"(Medha, 2020)","plainCitation":"(Medha, 2020)","noteIndex":0},"citationItems":[{"id":5291,"uris":["http://zotero.org/users/17155100/items/GWT88JFM"],"itemData":{"id":5291,"type":"paper-conference","event-title":"Roorkee Water Conclave 2020","publisher":"Indian Institute of Technology Roorkee and National Institute of Hydrology, Roorkee","title":"A Study on Energy use in the Water Supply and Treatment in Dehradun, India","author":[{"literal":"Medha"}],"issued":{"date-parts":[["2020"]]}}}],"schema":"https://github.com/citation-style-language/schema/raw/master/csl-citation.json"} </w:instrText>
      </w:r>
      <w:r>
        <w:rPr>
          <w:sz w:val="24"/>
          <w:szCs w:val="24"/>
        </w:rPr>
        <w:fldChar w:fldCharType="separate"/>
      </w:r>
      <w:r>
        <w:rPr>
          <w:sz w:val="24"/>
          <w:szCs w:val="24"/>
        </w:rPr>
        <w:t>(Medha, 2020)</w:t>
      </w:r>
      <w:r>
        <w:rPr>
          <w:sz w:val="24"/>
          <w:szCs w:val="24"/>
        </w:rPr>
        <w:fldChar w:fldCharType="end"/>
      </w:r>
      <w:r>
        <w:rPr>
          <w:sz w:val="24"/>
          <w:szCs w:val="24"/>
        </w:rPr>
        <w:t>. The total annual water consumption amounts to 7,814,070 liters, resulting in an associated emission of 8,751.75 kg CO₂- eq.</w:t>
      </w:r>
    </w:p>
    <w:p w14:paraId="5D520E16" w14:textId="77777777" w:rsidR="006C023C" w:rsidRPr="00BE69E9" w:rsidRDefault="006C023C" w:rsidP="006D3FC9">
      <w:pPr>
        <w:pStyle w:val="Heading3"/>
        <w:numPr>
          <w:ilvl w:val="0"/>
          <w:numId w:val="0"/>
        </w:numPr>
        <w:rPr>
          <w:sz w:val="24"/>
          <w:szCs w:val="24"/>
        </w:rPr>
      </w:pPr>
      <w:r>
        <w:rPr>
          <w:sz w:val="24"/>
          <w:szCs w:val="24"/>
        </w:rPr>
        <w:t xml:space="preserve">Overall Emissions </w:t>
      </w:r>
    </w:p>
    <w:p w14:paraId="2FF34DE4" w14:textId="77777777" w:rsidR="006C023C" w:rsidRPr="00BE69E9" w:rsidRDefault="004376EC" w:rsidP="00941D61">
      <w:pPr>
        <w:spacing w:before="240"/>
        <w:rPr>
          <w:sz w:val="24"/>
          <w:szCs w:val="24"/>
        </w:rPr>
      </w:pPr>
      <w:r>
        <w:rPr>
          <w:sz w:val="24"/>
          <w:szCs w:val="24"/>
        </w:rPr>
        <w:t>Over a span of 50 years, the building's total GHG emissions can be categorized into embodied and operational emissions. Pre-occupancy emissions for the entire life span refer to the cumulative emissions due to the preparation and transportation of building materials and construction-related activities. The total is calculated to be 3,463,194 kg CO₂- eq</w:t>
      </w:r>
      <w:r>
        <w:rPr>
          <w:rFonts w:eastAsia="Times New Roman"/>
          <w:sz w:val="24"/>
          <w:szCs w:val="24"/>
          <w:lang w:val="en-IN" w:eastAsia="en-IN"/>
        </w:rPr>
        <w:t>.,</w:t>
      </w:r>
      <w:r>
        <w:rPr>
          <w:sz w:val="24"/>
          <w:szCs w:val="24"/>
        </w:rPr>
        <w:t xml:space="preserve"> accounting for 27% of emissions.</w:t>
      </w:r>
    </w:p>
    <w:p w14:paraId="23FFECE3" w14:textId="77777777" w:rsidR="008D46E0" w:rsidRPr="00BE69E9" w:rsidRDefault="008D46E0" w:rsidP="00970AD7">
      <w:pPr>
        <w:rPr>
          <w:sz w:val="24"/>
          <w:szCs w:val="24"/>
        </w:rPr>
      </w:pPr>
      <w:r>
        <w:rPr>
          <w:sz w:val="24"/>
          <w:szCs w:val="24"/>
        </w:rPr>
        <w:t>Post-occupancy emission for building's life span</w:t>
      </w:r>
      <w:r>
        <w:rPr>
          <w:b/>
          <w:bCs/>
          <w:sz w:val="24"/>
          <w:szCs w:val="24"/>
        </w:rPr>
        <w:t xml:space="preserve"> </w:t>
      </w:r>
      <w:r>
        <w:rPr>
          <w:sz w:val="24"/>
          <w:szCs w:val="24"/>
        </w:rPr>
        <w:t xml:space="preserve">includes the emissions due to major building operations, viz cooking, water, and electricity consumption. In this study, the operations considered are electricity usage, water consumption, users' exhalation, and LPG consumption, amounting to 186,242 </w:t>
      </w:r>
      <w:proofErr w:type="spellStart"/>
      <w:r>
        <w:rPr>
          <w:sz w:val="24"/>
          <w:szCs w:val="24"/>
        </w:rPr>
        <w:t>kgCO</w:t>
      </w:r>
      <w:proofErr w:type="spellEnd"/>
      <w:r>
        <w:rPr>
          <w:sz w:val="24"/>
          <w:szCs w:val="24"/>
        </w:rPr>
        <w:t xml:space="preserve">₂- eq annually and 9,312,100 </w:t>
      </w:r>
      <w:proofErr w:type="spellStart"/>
      <w:r>
        <w:rPr>
          <w:sz w:val="24"/>
          <w:szCs w:val="24"/>
        </w:rPr>
        <w:t>kgCO</w:t>
      </w:r>
      <w:proofErr w:type="spellEnd"/>
      <w:r>
        <w:rPr>
          <w:sz w:val="24"/>
          <w:szCs w:val="24"/>
        </w:rPr>
        <w:t xml:space="preserve">₂- eq in the entire life span. Thus, 73% of the total lifespan emissions are due to operational stage (Fig. 5). Also, maximum weightage in emissions in the operational stage is due to user's exhalation and electricity, which is 87% of the total in the operational stage (Fig.6). </w:t>
      </w:r>
    </w:p>
    <w:p w14:paraId="2C2F77C3" w14:textId="77777777" w:rsidR="008D46E0" w:rsidRPr="00BE69E9" w:rsidRDefault="008D46E0" w:rsidP="00970AD7">
      <w:pPr>
        <w:rPr>
          <w:b/>
          <w:bCs/>
          <w:sz w:val="24"/>
          <w:szCs w:val="24"/>
        </w:rPr>
      </w:pPr>
      <w:r>
        <w:rPr>
          <w:sz w:val="24"/>
          <w:szCs w:val="24"/>
        </w:rPr>
        <w:t xml:space="preserve">Total emissions for the life span include pre-occupancy and post-occupancy emissions, which are calculated to be 12,775,294 </w:t>
      </w:r>
      <w:proofErr w:type="spellStart"/>
      <w:r>
        <w:rPr>
          <w:sz w:val="24"/>
          <w:szCs w:val="24"/>
        </w:rPr>
        <w:t>kgCO</w:t>
      </w:r>
      <w:proofErr w:type="spellEnd"/>
      <w:r>
        <w:rPr>
          <w:sz w:val="24"/>
          <w:szCs w:val="24"/>
        </w:rPr>
        <w:t>₂- eq.</w:t>
      </w:r>
      <w:r>
        <w:rPr>
          <w:b/>
          <w:bCs/>
          <w:sz w:val="24"/>
          <w:szCs w:val="24"/>
        </w:rPr>
        <w:t xml:space="preserve"> </w:t>
      </w:r>
    </w:p>
    <w:p w14:paraId="53B387F3" w14:textId="77777777" w:rsidR="005478E4" w:rsidRDefault="005478E4" w:rsidP="005478E4">
      <w:pPr>
        <w:pStyle w:val="Heading3"/>
        <w:numPr>
          <w:ilvl w:val="0"/>
          <w:numId w:val="0"/>
        </w:numPr>
        <w:rPr>
          <w:highlight w:val="yellow"/>
        </w:rPr>
      </w:pPr>
    </w:p>
    <w:p w14:paraId="10282350" w14:textId="77777777" w:rsidR="002E2AA0" w:rsidRPr="00BE69E9" w:rsidRDefault="002E2AA0" w:rsidP="006D3FC9">
      <w:pPr>
        <w:pStyle w:val="NormalWeb"/>
        <w:spacing w:after="0" w:afterAutospacing="0"/>
        <w:jc w:val="center"/>
        <w:rPr>
          <w:sz w:val="24"/>
          <w:szCs w:val="24"/>
        </w:rPr>
      </w:pPr>
      <w:r>
        <w:rPr>
          <w:noProof/>
          <w:sz w:val="24"/>
          <w:szCs w:val="24"/>
        </w:rPr>
        <w:drawing>
          <wp:inline distT="0" distB="0" distL="0" distR="0" wp14:anchorId="2BC38070" wp14:editId="062312F2">
            <wp:extent cx="2952750" cy="2127250"/>
            <wp:effectExtent l="0" t="0" r="0" b="0"/>
            <wp:docPr id="490221962" name="Chart 1">
              <a:extLst xmlns:a="http://schemas.openxmlformats.org/drawingml/2006/main">
                <a:ext uri="{FF2B5EF4-FFF2-40B4-BE49-F238E27FC236}">
                  <a16:creationId xmlns:a16="http://schemas.microsoft.com/office/drawing/2014/main" id="{ADA477A5-A8ED-96BD-3079-2362B0DF0D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DF7699" w14:textId="77777777" w:rsidR="002E2AA0" w:rsidRPr="00BE69E9" w:rsidRDefault="002E2AA0" w:rsidP="006D3FC9">
      <w:pPr>
        <w:pStyle w:val="Caption"/>
        <w:spacing w:after="0"/>
        <w:jc w:val="center"/>
        <w:rPr>
          <w:i w:val="0"/>
          <w:iCs w:val="0"/>
          <w:sz w:val="24"/>
          <w:szCs w:val="24"/>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5</w:t>
      </w:r>
      <w:r>
        <w:rPr>
          <w:b/>
          <w:bCs/>
          <w:i w:val="0"/>
          <w:iCs w:val="0"/>
          <w:sz w:val="24"/>
          <w:szCs w:val="24"/>
        </w:rPr>
        <w:fldChar w:fldCharType="end"/>
      </w:r>
      <w:r>
        <w:rPr>
          <w:i w:val="0"/>
          <w:iCs w:val="0"/>
          <w:sz w:val="24"/>
          <w:szCs w:val="24"/>
        </w:rPr>
        <w:t xml:space="preserve"> Distribution of total emissions in pre- occupancy and post- occupancy</w:t>
      </w:r>
    </w:p>
    <w:p w14:paraId="0DD5B0D0" w14:textId="77777777" w:rsidR="002E2AA0" w:rsidRPr="00BE69E9" w:rsidRDefault="002E2AA0" w:rsidP="006D3FC9">
      <w:pPr>
        <w:jc w:val="center"/>
        <w:rPr>
          <w:sz w:val="24"/>
          <w:szCs w:val="24"/>
        </w:rPr>
      </w:pPr>
      <w:r>
        <w:rPr>
          <w:noProof/>
          <w:sz w:val="24"/>
          <w:szCs w:val="24"/>
          <w:lang w:val="en-IN" w:eastAsia="en-IN"/>
        </w:rPr>
        <w:lastRenderedPageBreak/>
        <w:drawing>
          <wp:inline distT="0" distB="0" distL="0" distR="0" wp14:anchorId="0A9A819E" wp14:editId="14C725B7">
            <wp:extent cx="4381500" cy="2238375"/>
            <wp:effectExtent l="0" t="0" r="0" b="0"/>
            <wp:docPr id="1892009273"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ECDE53" w14:textId="77777777" w:rsidR="002E2AA0" w:rsidRPr="00BE69E9" w:rsidRDefault="002E2AA0" w:rsidP="006D3FC9">
      <w:pPr>
        <w:pStyle w:val="Caption"/>
        <w:spacing w:after="0"/>
        <w:jc w:val="center"/>
        <w:rPr>
          <w:b/>
          <w:bCs/>
          <w:i w:val="0"/>
          <w:iCs w:val="0"/>
          <w:sz w:val="24"/>
          <w:szCs w:val="24"/>
        </w:rPr>
      </w:pPr>
      <w:r>
        <w:rPr>
          <w:b/>
          <w:bCs/>
          <w:i w:val="0"/>
          <w:iCs w:val="0"/>
          <w:sz w:val="24"/>
          <w:szCs w:val="24"/>
        </w:rPr>
        <w:t xml:space="preserve">Fig. </w:t>
      </w:r>
      <w:r>
        <w:rPr>
          <w:b/>
          <w:bCs/>
          <w:i w:val="0"/>
          <w:iCs w:val="0"/>
          <w:sz w:val="24"/>
          <w:szCs w:val="24"/>
        </w:rPr>
        <w:fldChar w:fldCharType="begin"/>
      </w:r>
      <w:r>
        <w:rPr>
          <w:b/>
          <w:bCs/>
          <w:i w:val="0"/>
          <w:iCs w:val="0"/>
          <w:sz w:val="24"/>
          <w:szCs w:val="24"/>
        </w:rPr>
        <w:instrText xml:space="preserve"> SEQ Figure \* ARABIC </w:instrText>
      </w:r>
      <w:r>
        <w:rPr>
          <w:b/>
          <w:bCs/>
          <w:i w:val="0"/>
          <w:iCs w:val="0"/>
          <w:sz w:val="24"/>
          <w:szCs w:val="24"/>
        </w:rPr>
        <w:fldChar w:fldCharType="separate"/>
      </w:r>
      <w:r>
        <w:rPr>
          <w:b/>
          <w:bCs/>
          <w:i w:val="0"/>
          <w:iCs w:val="0"/>
          <w:noProof/>
          <w:sz w:val="24"/>
          <w:szCs w:val="24"/>
        </w:rPr>
        <w:t>6</w:t>
      </w:r>
      <w:r>
        <w:rPr>
          <w:b/>
          <w:bCs/>
          <w:i w:val="0"/>
          <w:iCs w:val="0"/>
          <w:sz w:val="24"/>
          <w:szCs w:val="24"/>
        </w:rPr>
        <w:fldChar w:fldCharType="end"/>
      </w:r>
      <w:r>
        <w:rPr>
          <w:i w:val="0"/>
          <w:iCs w:val="0"/>
          <w:sz w:val="24"/>
          <w:szCs w:val="24"/>
        </w:rPr>
        <w:t xml:space="preserve"> Share of Emissions due to different operations in </w:t>
      </w:r>
      <w:proofErr w:type="gramStart"/>
      <w:r>
        <w:rPr>
          <w:i w:val="0"/>
          <w:iCs w:val="0"/>
          <w:sz w:val="24"/>
          <w:szCs w:val="24"/>
        </w:rPr>
        <w:t>Post- Occupancy</w:t>
      </w:r>
      <w:proofErr w:type="gramEnd"/>
      <w:r>
        <w:rPr>
          <w:i w:val="0"/>
          <w:iCs w:val="0"/>
          <w:sz w:val="24"/>
          <w:szCs w:val="24"/>
        </w:rPr>
        <w:t xml:space="preserve"> phase</w:t>
      </w:r>
    </w:p>
    <w:p w14:paraId="6F19E9EB" w14:textId="77777777" w:rsidR="008D46E0" w:rsidRPr="00BE69E9" w:rsidRDefault="006D3FC9" w:rsidP="00970AD7">
      <w:pPr>
        <w:pStyle w:val="Heading1"/>
      </w:pPr>
      <w:r>
        <w:t>RECOMMENDATIONS</w:t>
      </w:r>
    </w:p>
    <w:p w14:paraId="502FDF6C" w14:textId="77777777" w:rsidR="000554D7" w:rsidRPr="00BE69E9" w:rsidRDefault="000554D7" w:rsidP="00941D61">
      <w:pPr>
        <w:spacing w:before="240"/>
        <w:rPr>
          <w:sz w:val="24"/>
          <w:szCs w:val="24"/>
        </w:rPr>
      </w:pPr>
      <w:r>
        <w:rPr>
          <w:sz w:val="24"/>
          <w:szCs w:val="24"/>
        </w:rPr>
        <w:t xml:space="preserve">The LCA quantifies the carbon emissions generated by a building throughout its entire life cycle. Given that the building considered for study is already constructed and operational, the emissions that have already occurred cannot be reversed. While achieving absolute zero carbon emissions is not feasible, it is possible to attain net-zero carbon through compensatory measures. </w:t>
      </w:r>
    </w:p>
    <w:p w14:paraId="579B003C" w14:textId="0EA4200B" w:rsidR="003B77DA" w:rsidRPr="00BE69E9" w:rsidRDefault="003B77DA" w:rsidP="00970AD7">
      <w:pPr>
        <w:rPr>
          <w:sz w:val="24"/>
          <w:szCs w:val="24"/>
        </w:rPr>
      </w:pPr>
      <w:r>
        <w:rPr>
          <w:sz w:val="24"/>
          <w:szCs w:val="24"/>
        </w:rPr>
        <w:t xml:space="preserve">Consequently, selecting materials with lower embodied energy becomes critical for sustainable design </w:t>
      </w:r>
      <w:r>
        <w:rPr>
          <w:sz w:val="24"/>
          <w:szCs w:val="24"/>
        </w:rPr>
        <w:fldChar w:fldCharType="begin"/>
      </w:r>
      <w:r w:rsidR="005373B8">
        <w:rPr>
          <w:sz w:val="24"/>
          <w:szCs w:val="24"/>
        </w:rPr>
        <w:instrText xml:space="preserve"> ADDIN ZOTERO_ITEM CSL_CITATION {"citationID":"hXQf4xUS","properties":{"formattedCitation":"(Kibert, 2016)","plainCitation":"(Kibert, 2016)","noteIndex":0},"citationItems":[{"id":5294,"uris":["http://zotero.org/users/17155100/items/2XQ7HMCU"],"itemData":{"id":5294,"type":"book","collection-title":"New York Academy of Sciences Series","edition":"1st ed","ISBN":"978-1-119-05517-4","language":"eng","number-of-pages":"1","publisher":"John Wiley &amp; Sons, Incorporated","publisher-place":"Newark","source":"K10plus ISBN","title":"Sustainable Construction: Green Building Design and Delivery","title-short":"Sustainable Construction","author":[{"family":"Kibert","given":"Charles J."}],"issued":{"date-parts":[["2016"]]}}}],"schema":"https://github.com/citation-style-language/schema/raw/master/csl-citation.json"} </w:instrText>
      </w:r>
      <w:r>
        <w:rPr>
          <w:sz w:val="24"/>
          <w:szCs w:val="24"/>
        </w:rPr>
        <w:fldChar w:fldCharType="separate"/>
      </w:r>
      <w:r>
        <w:rPr>
          <w:sz w:val="24"/>
          <w:szCs w:val="24"/>
        </w:rPr>
        <w:t>(Kibert, 2016)</w:t>
      </w:r>
      <w:r>
        <w:rPr>
          <w:sz w:val="24"/>
          <w:szCs w:val="24"/>
        </w:rPr>
        <w:fldChar w:fldCharType="end"/>
      </w:r>
      <w:r>
        <w:rPr>
          <w:sz w:val="24"/>
          <w:szCs w:val="24"/>
        </w:rPr>
        <w:t xml:space="preserve">. Furthermore, integrating sustainable practices during the pre-construction phase, such as energy-efficient machinery and waste reduction strategies, can significantly lower the embodied energy associated with construction activities </w:t>
      </w:r>
      <w:r>
        <w:rPr>
          <w:sz w:val="24"/>
          <w:szCs w:val="24"/>
        </w:rPr>
        <w:fldChar w:fldCharType="begin"/>
      </w:r>
      <w:r w:rsidR="005373B8">
        <w:rPr>
          <w:sz w:val="24"/>
          <w:szCs w:val="24"/>
        </w:rPr>
        <w:instrText xml:space="preserve"> ADDIN ZOTERO_ITEM CSL_CITATION {"citationID":"qGBB4mPj","properties":{"formattedCitation":"(Zuo &amp; Zhao, 2014)","plainCitation":"(Zuo &amp; Zhao, 2014)","noteIndex":0},"citationItems":[{"id":5292,"uris":["http://zotero.org/users/17155100/items/ZMQXNGMT","http://zotero.org/users/17155100/items/NGD3JS99"],"itemData":{"id":5292,"type":"article-journal","container-title":"Renewable and Sustainable Energy Reviews","DOI":"10.1016/j.rser.2013.10.021","ISSN":"13640321","journalAbbreviation":"Renewable and Sustainable Energy Reviews","language":"en","page":"271-281","source":"DOI.org (Crossref)","title":"Green building research–current status and future agenda: A review","title-short":"Green building research–current status and future agenda","volume":"30","author":[{"family":"Zuo","given":"Jian"},{"family":"Zhao","given":"Zhen-Yu"}],"issued":{"date-parts":[["2014",2]]}}}],"schema":"https://github.com/citation-style-language/schema/raw/master/csl-citation.json"} </w:instrText>
      </w:r>
      <w:r>
        <w:rPr>
          <w:sz w:val="24"/>
          <w:szCs w:val="24"/>
        </w:rPr>
        <w:fldChar w:fldCharType="separate"/>
      </w:r>
      <w:r>
        <w:rPr>
          <w:sz w:val="24"/>
          <w:szCs w:val="24"/>
        </w:rPr>
        <w:t>(Zuo &amp; Zhao, 2014)</w:t>
      </w:r>
      <w:r>
        <w:rPr>
          <w:sz w:val="24"/>
          <w:szCs w:val="24"/>
        </w:rPr>
        <w:fldChar w:fldCharType="end"/>
      </w:r>
      <w:r>
        <w:rPr>
          <w:sz w:val="24"/>
          <w:szCs w:val="24"/>
        </w:rPr>
        <w:t>. By adopting a comprehensive approach to embodied energy, stakeholders can enhance the sustainability of the built environment, ultimately contributing to climate change mitigation and resource conservation.</w:t>
      </w:r>
    </w:p>
    <w:p w14:paraId="7064DB01" w14:textId="77777777" w:rsidR="000554D7" w:rsidRPr="00BE69E9" w:rsidRDefault="008D46E0" w:rsidP="006D3FC9">
      <w:pPr>
        <w:spacing w:after="240"/>
        <w:rPr>
          <w:sz w:val="24"/>
          <w:szCs w:val="24"/>
        </w:rPr>
      </w:pPr>
      <w:r>
        <w:rPr>
          <w:sz w:val="24"/>
          <w:szCs w:val="24"/>
        </w:rPr>
        <w:t>To identify pathways for sustainable construction practices, it is crucial to assess the environmental impact of buildings. Since construction processes vary based on factors like building type, climate, topography, location, and soil conditions, tailored solutions are needed. For instance, sloping roofs are commonly used in hilly regions to protect buildings from heavy rain and snow. By adopting this site-specific approach, key construction and operational areas can be identified, and targeted actions can be implemented.</w:t>
      </w:r>
    </w:p>
    <w:p w14:paraId="6832B411" w14:textId="77777777" w:rsidR="002903B9" w:rsidRPr="006D3FC9" w:rsidRDefault="008D46E0" w:rsidP="006D3FC9">
      <w:pPr>
        <w:pStyle w:val="Heading2"/>
      </w:pPr>
      <w:r>
        <w:t>Electricity</w:t>
      </w:r>
    </w:p>
    <w:p w14:paraId="7A63BB2A" w14:textId="7DD71B28" w:rsidR="005E0CCD" w:rsidRPr="00BE69E9" w:rsidRDefault="008D46E0" w:rsidP="005E0CCD">
      <w:pPr>
        <w:spacing w:before="240"/>
        <w:rPr>
          <w:sz w:val="24"/>
          <w:szCs w:val="24"/>
          <w:lang w:val="en-IN" w:eastAsia="en-US"/>
        </w:rPr>
      </w:pPr>
      <w:r>
        <w:rPr>
          <w:sz w:val="24"/>
          <w:szCs w:val="24"/>
        </w:rPr>
        <w:t xml:space="preserve">The annual average consumption of electricity in the building is 107,889 kWh. As mentioned, the source of electricity here is a thermal power plant. The associated emission factor of thermal sources and renewable sources (PV panels) is 921g CO₂- </w:t>
      </w:r>
      <w:proofErr w:type="spellStart"/>
      <w:r>
        <w:rPr>
          <w:sz w:val="24"/>
          <w:szCs w:val="24"/>
        </w:rPr>
        <w:t>eq.per</w:t>
      </w:r>
      <w:proofErr w:type="spellEnd"/>
      <w:r>
        <w:rPr>
          <w:sz w:val="24"/>
          <w:szCs w:val="24"/>
        </w:rPr>
        <w:t xml:space="preserve"> kWh and 35g CO₂- eq. per kWh, respectively </w:t>
      </w:r>
      <w:r>
        <w:rPr>
          <w:sz w:val="24"/>
          <w:szCs w:val="24"/>
        </w:rPr>
        <w:fldChar w:fldCharType="begin"/>
      </w:r>
      <w:r w:rsidR="00D64814">
        <w:rPr>
          <w:sz w:val="24"/>
          <w:szCs w:val="24"/>
        </w:rPr>
        <w:instrText xml:space="preserve"> ADDIN ZOTERO_ITEM CSL_CITATION {"citationID":"sZBpWbym","properties":{"formattedCitation":"(Varun et al., 2012)","plainCitation":"(Varun et al., 2012)","noteIndex":0},"citationItems":[{"id":"ra2KK2lN/yws7g6H4","uris":["http://zotero.org/users/local/n4TXlcxq/items/S22S4AEA"],"itemData":{"id":"fZhLvSq7/I5RIeC66","type":"article-journal","abstract":"This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Pr>
          <w:sz w:val="24"/>
          <w:szCs w:val="24"/>
        </w:rPr>
        <w:fldChar w:fldCharType="separate"/>
      </w:r>
      <w:r>
        <w:rPr>
          <w:sz w:val="24"/>
          <w:szCs w:val="24"/>
        </w:rPr>
        <w:t>(Varun et al., 2012)</w:t>
      </w:r>
      <w:r>
        <w:rPr>
          <w:sz w:val="24"/>
          <w:szCs w:val="24"/>
        </w:rPr>
        <w:fldChar w:fldCharType="end"/>
      </w:r>
      <w:r>
        <w:rPr>
          <w:sz w:val="24"/>
          <w:szCs w:val="24"/>
        </w:rPr>
        <w:t>. The difference between them is 886g CO₂- eq. per kWh. Therefore, the implementation of solar photovoltaic panels for electricity generation can reduce carbon emissions by 95,589.65 kg CO₂- eq. annually which accounts to 96 % of the emissions due to electricity</w:t>
      </w:r>
      <w:r w:rsidRPr="00C971DC">
        <w:rPr>
          <w:sz w:val="24"/>
          <w:szCs w:val="24"/>
        </w:rPr>
        <w:t xml:space="preserve">. </w:t>
      </w:r>
      <w:r w:rsidR="005E0CCD" w:rsidRPr="00C971DC">
        <w:rPr>
          <w:sz w:val="24"/>
          <w:szCs w:val="24"/>
        </w:rPr>
        <w:t xml:space="preserve">To support institutional decision-making, a preliminary cost-benefit assessment of the proposed PV installation is presented. Based on the annual average electricity consumption of 107,889 kWh and a site solar availability of approximately 4.5–5 kWh/m²/day for Hamirpur, Himachal Pradesh, the required PV system capacity is estimated at approximately 59 </w:t>
      </w:r>
      <w:proofErr w:type="spellStart"/>
      <w:r w:rsidR="005E0CCD" w:rsidRPr="00C971DC">
        <w:rPr>
          <w:sz w:val="24"/>
          <w:szCs w:val="24"/>
        </w:rPr>
        <w:t>kWp</w:t>
      </w:r>
      <w:proofErr w:type="spellEnd"/>
      <w:r w:rsidR="005E0CCD" w:rsidRPr="00C971DC">
        <w:rPr>
          <w:sz w:val="24"/>
          <w:szCs w:val="24"/>
        </w:rPr>
        <w:t xml:space="preserve">. At current MNRE benchmark costs for institutional rooftop solar of approximately ₹45,000–48,000 per </w:t>
      </w:r>
      <w:proofErr w:type="spellStart"/>
      <w:r w:rsidR="005E0CCD" w:rsidRPr="00C971DC">
        <w:rPr>
          <w:sz w:val="24"/>
          <w:szCs w:val="24"/>
        </w:rPr>
        <w:t>kWp</w:t>
      </w:r>
      <w:proofErr w:type="spellEnd"/>
      <w:r w:rsidR="005E0CCD" w:rsidRPr="00C971DC">
        <w:rPr>
          <w:sz w:val="24"/>
          <w:szCs w:val="24"/>
        </w:rPr>
        <w:t xml:space="preserve"> </w:t>
      </w:r>
      <w:r w:rsidR="00E67686" w:rsidRPr="00C971DC">
        <w:rPr>
          <w:sz w:val="24"/>
          <w:szCs w:val="24"/>
        </w:rPr>
        <w:fldChar w:fldCharType="begin"/>
      </w:r>
      <w:r w:rsidR="00E67686" w:rsidRPr="00C971DC">
        <w:rPr>
          <w:sz w:val="24"/>
          <w:szCs w:val="24"/>
        </w:rPr>
        <w:instrText xml:space="preserve"> ADDIN ZOTERO_ITEM CSL_CITATION {"citationID":"SGfDS9gq","properties":{"unsorted":false,"formattedCitation":"(Ministry of New and Renewable Energy, 2024)","plainCitation":"(Ministry of New and Renewable Energy, 2024)","noteIndex":0},"citationItems":[{"id":16215,"uris":["http://zotero.org/users/17155100/items/UZ3VLPBV"],"itemData":{"id":16215,"type":"report","genre":"Grid Connected Rooftop Solar Programme. Government of India.","title":"Ministry of New and Renewable Energy","URL":"https://mnre.gov.in/en/grid-connected-solar-rooftop-programme/","issued":{"date-parts":[["2024"]]}}}],"schema":"https://github.com/citation-style-language/schema/raw/master/csl-citation.json"} </w:instrText>
      </w:r>
      <w:r w:rsidR="00E67686" w:rsidRPr="00C971DC">
        <w:rPr>
          <w:sz w:val="24"/>
          <w:szCs w:val="24"/>
        </w:rPr>
        <w:fldChar w:fldCharType="separate"/>
      </w:r>
      <w:r w:rsidR="00E67686" w:rsidRPr="00C971DC">
        <w:rPr>
          <w:sz w:val="24"/>
        </w:rPr>
        <w:t>(Ministry of New and Renewable Energy, 2024)</w:t>
      </w:r>
      <w:r w:rsidR="00E67686" w:rsidRPr="00C971DC">
        <w:rPr>
          <w:sz w:val="24"/>
          <w:szCs w:val="24"/>
        </w:rPr>
        <w:fldChar w:fldCharType="end"/>
      </w:r>
      <w:r w:rsidR="005E0CCD" w:rsidRPr="00C971DC">
        <w:rPr>
          <w:sz w:val="24"/>
          <w:szCs w:val="24"/>
        </w:rPr>
        <w:t xml:space="preserve">, the total installed cost would be in the range of ₹26.5–28.5 lakh. It is noted that Central Financial Assistance (CFA) under PM Surya Ghar: </w:t>
      </w:r>
      <w:proofErr w:type="spellStart"/>
      <w:r w:rsidR="005E0CCD" w:rsidRPr="00C971DC">
        <w:rPr>
          <w:sz w:val="24"/>
          <w:szCs w:val="24"/>
        </w:rPr>
        <w:t>Muft</w:t>
      </w:r>
      <w:proofErr w:type="spellEnd"/>
      <w:r w:rsidR="005E0CCD" w:rsidRPr="00C971DC">
        <w:rPr>
          <w:sz w:val="24"/>
          <w:szCs w:val="24"/>
        </w:rPr>
        <w:t xml:space="preserve"> Bijli Yojana is not applicable to government/institutional buildings; the above costs reflect the </w:t>
      </w:r>
      <w:proofErr w:type="spellStart"/>
      <w:r w:rsidR="005E0CCD" w:rsidRPr="00C971DC">
        <w:rPr>
          <w:sz w:val="24"/>
          <w:szCs w:val="24"/>
        </w:rPr>
        <w:t>unsubsidised</w:t>
      </w:r>
      <w:proofErr w:type="spellEnd"/>
      <w:r w:rsidR="005E0CCD" w:rsidRPr="00C971DC">
        <w:rPr>
          <w:sz w:val="24"/>
          <w:szCs w:val="24"/>
        </w:rPr>
        <w:t xml:space="preserve"> benchmark for institutional installations. At the applicable institutional electricity tariff for Himachal Pradesh of approximately ₹6–7 per kWh (HPSEBL, 2024), annual savings in electricity expenditure would be approximately ₹6.5–7.5 lakh, implying a simple payback period of 4–5 years. Over the 50-year building lifespan, the net financial saving is estimated to exceed ₹3 crore, in addition to the 96% reduction in electricity-related carbon emissions, positioning the PV installation as a high-impact, economically viable intervention for the institution.</w:t>
      </w:r>
    </w:p>
    <w:p w14:paraId="4462C2C7" w14:textId="77777777" w:rsidR="002903B9" w:rsidRPr="00BE69E9" w:rsidRDefault="008D46E0" w:rsidP="006D3FC9">
      <w:pPr>
        <w:pStyle w:val="Heading2"/>
      </w:pPr>
      <w:r>
        <w:lastRenderedPageBreak/>
        <w:t>Cooking gas</w:t>
      </w:r>
    </w:p>
    <w:p w14:paraId="1BD7356B" w14:textId="486D2460" w:rsidR="008D46E0" w:rsidRPr="00BE69E9" w:rsidRDefault="001A3DEE" w:rsidP="00941D61">
      <w:pPr>
        <w:spacing w:before="240"/>
        <w:rPr>
          <w:sz w:val="24"/>
          <w:szCs w:val="24"/>
        </w:rPr>
      </w:pPr>
      <w:r>
        <w:rPr>
          <w:sz w:val="24"/>
          <w:szCs w:val="24"/>
        </w:rPr>
        <w:t xml:space="preserve">Biogas has been identified as the most effective alternative fuel, exhibiting the minimal adverse environmental impacts throughout its entire life cycle </w:t>
      </w:r>
      <w:r>
        <w:rPr>
          <w:sz w:val="24"/>
          <w:szCs w:val="24"/>
        </w:rPr>
        <w:fldChar w:fldCharType="begin"/>
      </w:r>
      <w:r w:rsidR="005373B8">
        <w:rPr>
          <w:sz w:val="24"/>
          <w:szCs w:val="24"/>
        </w:rPr>
        <w:instrText xml:space="preserve"> ADDIN ZOTERO_ITEM CSL_CITATION {"citationID":"feQd0HHO","properties":{"formattedCitation":"(Kumar et al., 2024)","plainCitation":"(Kumar et al., 2024)","noteIndex":0},"citationItems":[{"id":5317,"uris":["http://zotero.org/users/17155100/items/KLGG6YRV"],"itemData":{"id":5317,"type":"article-journal","container-title":"Physics and Chemistry of the Earth, Parts A/B/C","DOI":"10.1016/j.pce.2024.103774","ISSN":"1474-7065","language":"en","license":"https://www.elsevier.com/tdm/userlicense/1.0/","page":"103774","publisher":"Elsevier BV","source":"Crossref","title":"Evaluation of cooking practices in India to achieve SDGs 7.1.2","volume":"136","author":[{"family":"Kumar","given":"Pradeep"},{"family":"Upadhyay","given":"Era"},{"family":"Kannan","given":"Krishnamurthi"},{"family":"Yadav","given":"Anoop"}],"issued":{"date-parts":[["2024",12]]}}}],"schema":"https://github.com/citation-style-language/schema/raw/master/csl-citation.json"} </w:instrText>
      </w:r>
      <w:r>
        <w:rPr>
          <w:sz w:val="24"/>
          <w:szCs w:val="24"/>
        </w:rPr>
        <w:fldChar w:fldCharType="separate"/>
      </w:r>
      <w:r>
        <w:rPr>
          <w:sz w:val="24"/>
          <w:szCs w:val="24"/>
        </w:rPr>
        <w:t>(Kumar et al., 2024)</w:t>
      </w:r>
      <w:r>
        <w:rPr>
          <w:sz w:val="24"/>
          <w:szCs w:val="24"/>
        </w:rPr>
        <w:fldChar w:fldCharType="end"/>
      </w:r>
      <w:r>
        <w:rPr>
          <w:sz w:val="24"/>
          <w:szCs w:val="24"/>
        </w:rPr>
        <w:t xml:space="preserve">. The building consumes an annual average of 4,750 kg of LPG for cooking, with an emission factor of 3 kg CO₂- eq., while Biogas has a lower emission factor of 0.3 kg CO₂- eq. Although LPG consumption cannot be entirely replaced, installing a biogas plant can reduce emissions and can also improve waste management efficiency. Past studies have worked on the methods of estimating food wastage from hostel mess. In 2017, food wastage at IIT Mandi averaged 27g and 32g per capita per meal in two messes, amounting to 118g per capita daily. At IIT Bombay, a 2011 waste audit showed an average daily mess hall waste of over 950 kg, with per capita waste ranging from 100g to 160g, averaging 130g </w:t>
      </w:r>
      <w:r>
        <w:rPr>
          <w:sz w:val="24"/>
          <w:szCs w:val="24"/>
        </w:rPr>
        <w:fldChar w:fldCharType="begin"/>
      </w:r>
      <w:r w:rsidR="005373B8">
        <w:rPr>
          <w:sz w:val="24"/>
          <w:szCs w:val="24"/>
        </w:rPr>
        <w:instrText xml:space="preserve"> ADDIN ZOTERO_ITEM CSL_CITATION {"citationID":"kus6Rm2K","properties":{"formattedCitation":"(Dash A, 2015)","plainCitation":"(Dash A, 2015)","noteIndex":0},"citationItems":[{"id":5293,"uris":["http://zotero.org/users/17155100/items/5S2IYPZA"],"itemData":{"id":5293,"type":"article-journal","title":"Food for thought. Insight: IIT Bombay's Student Media Body","author":[{"literal":"Dash A"}],"issued":{"date-parts":[["2015"]]}}}],"schema":"https://github.com/citation-style-language/schema/raw/master/csl-citation.json"} </w:instrText>
      </w:r>
      <w:r>
        <w:rPr>
          <w:sz w:val="24"/>
          <w:szCs w:val="24"/>
        </w:rPr>
        <w:fldChar w:fldCharType="separate"/>
      </w:r>
      <w:r>
        <w:rPr>
          <w:sz w:val="24"/>
          <w:szCs w:val="24"/>
        </w:rPr>
        <w:t>(Dash A, 2015)</w:t>
      </w:r>
      <w:r>
        <w:rPr>
          <w:sz w:val="24"/>
          <w:szCs w:val="24"/>
        </w:rPr>
        <w:fldChar w:fldCharType="end"/>
      </w:r>
      <w:r>
        <w:rPr>
          <w:sz w:val="24"/>
          <w:szCs w:val="24"/>
        </w:rPr>
        <w:t xml:space="preserve">. </w:t>
      </w:r>
    </w:p>
    <w:p w14:paraId="2A291DA5" w14:textId="7CAC8DBE" w:rsidR="00EF2A91" w:rsidRPr="00BE69E9" w:rsidRDefault="00F442E8" w:rsidP="0015127C">
      <w:pPr>
        <w:spacing w:after="240"/>
        <w:rPr>
          <w:sz w:val="24"/>
          <w:szCs w:val="24"/>
        </w:rPr>
      </w:pPr>
      <w:r>
        <w:rPr>
          <w:sz w:val="24"/>
          <w:szCs w:val="24"/>
        </w:rPr>
        <w:t xml:space="preserve">At Parvati Girls' Hostel, with an average food waste of 124g per capita daily and a total capacity of 160 people, the total waste generated is 19.84 kg per day. According to Pathak et al. </w:t>
      </w:r>
      <w:r>
        <w:rPr>
          <w:sz w:val="24"/>
          <w:szCs w:val="24"/>
        </w:rPr>
        <w:fldChar w:fldCharType="begin"/>
      </w:r>
      <w:r w:rsidR="005373B8">
        <w:rPr>
          <w:sz w:val="24"/>
          <w:szCs w:val="24"/>
        </w:rPr>
        <w:instrText xml:space="preserve"> ADDIN ZOTERO_ITEM CSL_CITATION {"citationID":"LOZE1ylS","properties":{"formattedCitation":"(Ashutosh Pathak et al., 2022)","plainCitation":"(Ashutosh Pathak et al., 2022)","dontUpdate":true,"noteIndex":0},"citationItems":[{"id":5255,"uris":["http://zotero.org/users/17155100/items/NUAHYZX7"],"itemData":{"id":5255,"type":"article-journal","container-title":"International Journal of Engineering Research &amp; Technology (IJERT)","issue":"4","title":"A Review on Bio Methane Production using Kitchen Waste","volume":"11","author":[{"literal":"Ashutosh Pathak"},{"literal":"Harshad Patil"},{"literal":"Sandesh Patil"},{"literal":"Varun Patil"},{"literal":"Prof. Firdos Khan"}],"issued":{"date-parts":[["2022",4]]}}}],"schema":"https://github.com/citation-style-language/schema/raw/master/csl-citation.json"} </w:instrText>
      </w:r>
      <w:r>
        <w:rPr>
          <w:sz w:val="24"/>
          <w:szCs w:val="24"/>
        </w:rPr>
        <w:fldChar w:fldCharType="separate"/>
      </w:r>
      <w:r>
        <w:rPr>
          <w:sz w:val="24"/>
          <w:szCs w:val="24"/>
        </w:rPr>
        <w:t>(2022)</w:t>
      </w:r>
      <w:r>
        <w:rPr>
          <w:sz w:val="24"/>
          <w:szCs w:val="24"/>
        </w:rPr>
        <w:fldChar w:fldCharType="end"/>
      </w:r>
      <w:r>
        <w:rPr>
          <w:sz w:val="24"/>
          <w:szCs w:val="24"/>
        </w:rPr>
        <w:t xml:space="preserve">, 1 kg of kitchen waste can produce 0.3 m³ of Biogas, resulting in 5.952 m³ of Biogas daily and 178.56 m³ monthly in the hostel. Since 1 m³ of Biogas is equivalent to 0.46 kg of LPG, biogas production would replace 82.14 kg of LPG monthly and, thus 821 kg annually. Thus, by using this alternate, annual carbon emissions can come down to 12,031 kg CO₂- eq. from 14,250 kg CO₂- eq. by using LPG gas. The biogas plant can reduce 2,219 kg CO₂- eq. (15.56%) of emissions annually in terms of cooking gas (considering the current waste production in the kitchen) as mentioned in Table </w:t>
      </w:r>
      <w:r w:rsidR="005E0CCD">
        <w:rPr>
          <w:sz w:val="24"/>
          <w:szCs w:val="24"/>
        </w:rPr>
        <w:t>4</w:t>
      </w:r>
      <w:r w:rsidRPr="00C971DC">
        <w:rPr>
          <w:sz w:val="24"/>
          <w:szCs w:val="24"/>
        </w:rPr>
        <w:t xml:space="preserve">. The technical feasibility of the proposed biogas plant is consistent with institutional-scale installations supported under India’s National Biogas </w:t>
      </w:r>
      <w:proofErr w:type="spellStart"/>
      <w:r w:rsidRPr="00C971DC">
        <w:rPr>
          <w:sz w:val="24"/>
          <w:szCs w:val="24"/>
        </w:rPr>
        <w:t>Programme</w:t>
      </w:r>
      <w:proofErr w:type="spellEnd"/>
      <w:r w:rsidRPr="00C971DC">
        <w:rPr>
          <w:sz w:val="24"/>
          <w:szCs w:val="24"/>
        </w:rPr>
        <w:t xml:space="preserve"> </w:t>
      </w:r>
      <w:r w:rsidR="00AE0844" w:rsidRPr="00C971DC">
        <w:rPr>
          <w:sz w:val="24"/>
          <w:szCs w:val="24"/>
        </w:rPr>
        <w:fldChar w:fldCharType="begin"/>
      </w:r>
      <w:r w:rsidR="00AE0844" w:rsidRPr="00C971DC">
        <w:rPr>
          <w:sz w:val="24"/>
          <w:szCs w:val="24"/>
        </w:rPr>
        <w:instrText xml:space="preserve"> ADDIN ZOTERO_ITEM CSL_CITATION {"citationID":"kQYvZ4qX","properties":{"unsorted":false,"formattedCitation":"({\\i{}Biogas Programme}, 2022)","plainCitation":"(Biogas Programme, 2022)","noteIndex":0},"citationItems":[{"id":16216,"uris":["http://zotero.org/users/17155100/items/4GD2ITZL"],"itemData":{"id":16216,"type":"post-weblog","genre":"MINISTRY OF NEW AND RENEWABLE ENERGY","title":"Biogas Programme","URL":"https://mnre.gov.in/en/bio-gas/","issued":{"date-parts":[["2022"]]}}}],"schema":"https://github.com/citation-style-language/schema/raw/master/csl-citation.json"} </w:instrText>
      </w:r>
      <w:r w:rsidR="00AE0844" w:rsidRPr="00C971DC">
        <w:rPr>
          <w:sz w:val="24"/>
          <w:szCs w:val="24"/>
        </w:rPr>
        <w:fldChar w:fldCharType="separate"/>
      </w:r>
      <w:r w:rsidR="00AE0844" w:rsidRPr="00C971DC">
        <w:rPr>
          <w:sz w:val="24"/>
        </w:rPr>
        <w:t>(</w:t>
      </w:r>
      <w:r w:rsidR="00AE0844" w:rsidRPr="00C971DC">
        <w:rPr>
          <w:i/>
          <w:iCs/>
          <w:sz w:val="24"/>
        </w:rPr>
        <w:t xml:space="preserve">Biogas </w:t>
      </w:r>
      <w:proofErr w:type="spellStart"/>
      <w:r w:rsidR="00AE0844" w:rsidRPr="00C971DC">
        <w:rPr>
          <w:i/>
          <w:iCs/>
          <w:sz w:val="24"/>
        </w:rPr>
        <w:t>Programme</w:t>
      </w:r>
      <w:proofErr w:type="spellEnd"/>
      <w:r w:rsidR="00AE0844" w:rsidRPr="00C971DC">
        <w:rPr>
          <w:sz w:val="24"/>
        </w:rPr>
        <w:t>, 2022)</w:t>
      </w:r>
      <w:r w:rsidR="00AE0844" w:rsidRPr="00C971DC">
        <w:rPr>
          <w:sz w:val="24"/>
          <w:szCs w:val="24"/>
        </w:rPr>
        <w:fldChar w:fldCharType="end"/>
      </w:r>
      <w:r w:rsidRPr="00C971DC">
        <w:rPr>
          <w:sz w:val="24"/>
          <w:szCs w:val="24"/>
        </w:rPr>
        <w:t xml:space="preserve"> A daily waste input of 19.84 kg corresponds to a biogas yield of approximately 5.95 m³/day. Based on standard anaerobic digestion design guidelines, a fixed-dome or floating-drum digester (KVIC type) of 6</w:t>
      </w:r>
      <w:r w:rsidR="00C8055B" w:rsidRPr="00C971DC">
        <w:rPr>
          <w:sz w:val="24"/>
          <w:szCs w:val="24"/>
        </w:rPr>
        <w:t>-</w:t>
      </w:r>
      <w:r w:rsidRPr="00C971DC">
        <w:rPr>
          <w:sz w:val="24"/>
          <w:szCs w:val="24"/>
        </w:rPr>
        <w:t>10 m³ capacity with a hydraulic retention time of 30</w:t>
      </w:r>
      <w:r w:rsidR="00C8055B" w:rsidRPr="00C971DC">
        <w:rPr>
          <w:sz w:val="24"/>
          <w:szCs w:val="24"/>
        </w:rPr>
        <w:t>-</w:t>
      </w:r>
      <w:r w:rsidRPr="00C971DC">
        <w:rPr>
          <w:sz w:val="24"/>
          <w:szCs w:val="24"/>
        </w:rPr>
        <w:t xml:space="preserve">40 days would be required to process this waste volume </w:t>
      </w:r>
      <w:r w:rsidR="00042E0E" w:rsidRPr="00C971DC">
        <w:rPr>
          <w:sz w:val="24"/>
          <w:szCs w:val="24"/>
        </w:rPr>
        <w:fldChar w:fldCharType="begin"/>
      </w:r>
      <w:r w:rsidR="00042E0E" w:rsidRPr="00C971DC">
        <w:rPr>
          <w:sz w:val="24"/>
          <w:szCs w:val="24"/>
        </w:rPr>
        <w:instrText xml:space="preserve"> ADDIN ZOTERO_ITEM CSL_CITATION {"citationID":"3zojuQ29","properties":{"unsorted":false,"formattedCitation":"(Rajendran et al., 2012)","plainCitation":"(Rajendran et al., 2012)","noteIndex":0},"citationItems":[{"id":16206,"uris":["http://zotero.org/users/17155100/items/ZEXJTCDX"],"itemData":{"id":16206,"type":"article-journal","abstract":"This review is a summary of different aspects of the design and operation of small-scale, household, biogas digesters. It covers different digester designs and materials used for construction, important operating parameters such as pH, temperature, substrate, and loading rate, applications of the biogas, the government policies concerning the use of household digesters, and the social and environmental effects of the digesters. Biogas is a value-added product of anaerobic digestion of organic compounds. Biogas production depends on different factors including: pH, temperature, substrate, loading rate, hydraulic retention time (HRT), C/N ratio, and mixing. Household digesters are cheap, easy to handle, and reduce the amount of organic household waste. The size of these digesters varies between 1 and 150 m3. The common designs include fixed dome, floating drum, and plug flow type. Biogas and fertilizer obtained at the end of anaerobic digestion could be used for cooking, lighting, and electricity.","container-title":"Energies","DOI":"10.3390/en5082911","ISSN":"1996-1073","issue":"8","journalAbbreviation":"Energies","language":"en","page":"2911-2942","source":"DOI.org (Crossref)","title":"Household Biogas Digesters—A Review","volume":"5","author":[{"family":"Rajendran","given":"Karthik"},{"family":"Aslanzadeh","given":"Solmaz"},{"family":"Taherzadeh","given":"Mohammad J."}],"issued":{"date-parts":[["2012",8,8]]}}}],"schema":"https://github.com/citation-style-language/schema/raw/master/csl-citation.json"} </w:instrText>
      </w:r>
      <w:r w:rsidR="00042E0E" w:rsidRPr="00C971DC">
        <w:rPr>
          <w:sz w:val="24"/>
          <w:szCs w:val="24"/>
        </w:rPr>
        <w:fldChar w:fldCharType="separate"/>
      </w:r>
      <w:r w:rsidR="00042E0E" w:rsidRPr="00C971DC">
        <w:rPr>
          <w:sz w:val="24"/>
        </w:rPr>
        <w:t>(Rajendran et al., 2012)</w:t>
      </w:r>
      <w:r w:rsidR="00042E0E" w:rsidRPr="00C971DC">
        <w:rPr>
          <w:sz w:val="24"/>
          <w:szCs w:val="24"/>
        </w:rPr>
        <w:fldChar w:fldCharType="end"/>
      </w:r>
      <w:r w:rsidRPr="00C971DC">
        <w:rPr>
          <w:sz w:val="24"/>
          <w:szCs w:val="24"/>
        </w:rPr>
        <w:t>. This scale of installation is well within the range of systems successfully deployed in institutional settings across India, confirming the practical viability of this recommendation for PGH.</w:t>
      </w:r>
    </w:p>
    <w:p w14:paraId="0662F945" w14:textId="480E7F90" w:rsidR="002E2AA0" w:rsidRPr="00BE69E9" w:rsidRDefault="002E2AA0" w:rsidP="00941D61">
      <w:pPr>
        <w:pStyle w:val="Caption"/>
        <w:keepNext/>
        <w:spacing w:after="0"/>
        <w:rPr>
          <w:sz w:val="24"/>
          <w:szCs w:val="24"/>
        </w:rPr>
      </w:pPr>
      <w:r>
        <w:rPr>
          <w:b/>
          <w:bCs/>
          <w:i w:val="0"/>
          <w:iCs w:val="0"/>
          <w:sz w:val="24"/>
          <w:szCs w:val="24"/>
        </w:rPr>
        <w:t xml:space="preserve">Table </w:t>
      </w:r>
      <w:r>
        <w:rPr>
          <w:b/>
          <w:bCs/>
          <w:i w:val="0"/>
          <w:iCs w:val="0"/>
          <w:sz w:val="24"/>
          <w:szCs w:val="24"/>
        </w:rPr>
        <w:fldChar w:fldCharType="begin"/>
      </w:r>
      <w:r>
        <w:rPr>
          <w:b/>
          <w:bCs/>
          <w:i w:val="0"/>
          <w:iCs w:val="0"/>
          <w:sz w:val="24"/>
          <w:szCs w:val="24"/>
        </w:rPr>
        <w:instrText xml:space="preserve"> SEQ Table \* ARABIC </w:instrText>
      </w:r>
      <w:r>
        <w:rPr>
          <w:b/>
          <w:bCs/>
          <w:i w:val="0"/>
          <w:iCs w:val="0"/>
          <w:sz w:val="24"/>
          <w:szCs w:val="24"/>
        </w:rPr>
        <w:fldChar w:fldCharType="separate"/>
      </w:r>
      <w:r w:rsidR="005E0CCD">
        <w:rPr>
          <w:b/>
          <w:bCs/>
          <w:i w:val="0"/>
          <w:iCs w:val="0"/>
          <w:noProof/>
          <w:sz w:val="24"/>
          <w:szCs w:val="24"/>
        </w:rPr>
        <w:t>4</w:t>
      </w:r>
      <w:r>
        <w:rPr>
          <w:b/>
          <w:bCs/>
          <w:i w:val="0"/>
          <w:iCs w:val="0"/>
          <w:sz w:val="24"/>
          <w:szCs w:val="24"/>
        </w:rPr>
        <w:fldChar w:fldCharType="end"/>
      </w:r>
      <w:r>
        <w:rPr>
          <w:sz w:val="24"/>
          <w:szCs w:val="24"/>
        </w:rPr>
        <w:t xml:space="preserve"> </w:t>
      </w:r>
      <w:r>
        <w:rPr>
          <w:i w:val="0"/>
          <w:iCs w:val="0"/>
          <w:sz w:val="24"/>
          <w:szCs w:val="24"/>
        </w:rPr>
        <w:t>Comparison of the LPG and the Combination of LPG and biogas for cooking gas</w:t>
      </w:r>
    </w:p>
    <w:tbl>
      <w:tblPr>
        <w:tblStyle w:val="TableGrid"/>
        <w:tblW w:w="5000" w:type="pct"/>
        <w:tblInd w:w="137" w:type="dxa"/>
        <w:tblLook w:val="0420" w:firstRow="1" w:lastRow="0" w:firstColumn="0" w:lastColumn="0" w:noHBand="0" w:noVBand="1"/>
      </w:tblPr>
      <w:tblGrid>
        <w:gridCol w:w="4505"/>
        <w:gridCol w:w="2549"/>
        <w:gridCol w:w="3628"/>
      </w:tblGrid>
      <w:tr w:rsidR="002E2AA0" w:rsidRPr="00BE69E9" w14:paraId="2F048114" w14:textId="77777777" w:rsidTr="006D3FC9">
        <w:trPr>
          <w:trHeight w:val="297"/>
        </w:trPr>
        <w:tc>
          <w:tcPr>
            <w:tcW w:w="2109" w:type="pct"/>
            <w:hideMark/>
          </w:tcPr>
          <w:p w14:paraId="1E0173A2" w14:textId="77777777" w:rsidR="002E2AA0" w:rsidRPr="00BE69E9" w:rsidRDefault="002E2AA0" w:rsidP="0015127C">
            <w:pPr>
              <w:spacing w:after="240"/>
              <w:rPr>
                <w:sz w:val="24"/>
                <w:szCs w:val="24"/>
              </w:rPr>
            </w:pPr>
          </w:p>
        </w:tc>
        <w:tc>
          <w:tcPr>
            <w:tcW w:w="1193" w:type="pct"/>
            <w:hideMark/>
          </w:tcPr>
          <w:p w14:paraId="38BDBDBB" w14:textId="77777777" w:rsidR="002E2AA0" w:rsidRPr="00BE69E9" w:rsidRDefault="002E2AA0" w:rsidP="0015127C">
            <w:pPr>
              <w:spacing w:after="240"/>
              <w:rPr>
                <w:sz w:val="24"/>
                <w:szCs w:val="24"/>
              </w:rPr>
            </w:pPr>
            <w:r>
              <w:rPr>
                <w:sz w:val="24"/>
                <w:szCs w:val="24"/>
              </w:rPr>
              <w:t>LPG</w:t>
            </w:r>
          </w:p>
        </w:tc>
        <w:tc>
          <w:tcPr>
            <w:tcW w:w="1698" w:type="pct"/>
            <w:hideMark/>
          </w:tcPr>
          <w:p w14:paraId="62248B65" w14:textId="77777777" w:rsidR="002E2AA0" w:rsidRPr="00BE69E9" w:rsidRDefault="002E2AA0" w:rsidP="0015127C">
            <w:pPr>
              <w:spacing w:after="240"/>
              <w:rPr>
                <w:sz w:val="24"/>
                <w:szCs w:val="24"/>
              </w:rPr>
            </w:pPr>
            <w:r>
              <w:rPr>
                <w:sz w:val="24"/>
                <w:szCs w:val="24"/>
              </w:rPr>
              <w:t>LPG+ Biogas</w:t>
            </w:r>
          </w:p>
        </w:tc>
      </w:tr>
      <w:tr w:rsidR="002E2AA0" w:rsidRPr="00BE69E9" w14:paraId="302F2209" w14:textId="77777777" w:rsidTr="006D3FC9">
        <w:trPr>
          <w:trHeight w:val="431"/>
        </w:trPr>
        <w:tc>
          <w:tcPr>
            <w:tcW w:w="2109" w:type="pct"/>
            <w:hideMark/>
          </w:tcPr>
          <w:p w14:paraId="5AD89882" w14:textId="77777777" w:rsidR="002E2AA0" w:rsidRPr="00BE69E9" w:rsidRDefault="002E2AA0" w:rsidP="0015127C">
            <w:pPr>
              <w:spacing w:after="240"/>
              <w:rPr>
                <w:sz w:val="24"/>
                <w:szCs w:val="24"/>
              </w:rPr>
            </w:pPr>
            <w:r>
              <w:rPr>
                <w:sz w:val="24"/>
                <w:szCs w:val="24"/>
              </w:rPr>
              <w:t>Annual average consumption (in kg)</w:t>
            </w:r>
          </w:p>
        </w:tc>
        <w:tc>
          <w:tcPr>
            <w:tcW w:w="1193" w:type="pct"/>
            <w:hideMark/>
          </w:tcPr>
          <w:p w14:paraId="425F8E90" w14:textId="77777777" w:rsidR="002E2AA0" w:rsidRPr="00BE69E9" w:rsidRDefault="002E2AA0" w:rsidP="0015127C">
            <w:pPr>
              <w:spacing w:after="240"/>
              <w:rPr>
                <w:sz w:val="24"/>
                <w:szCs w:val="24"/>
              </w:rPr>
            </w:pPr>
            <w:r>
              <w:rPr>
                <w:sz w:val="24"/>
                <w:szCs w:val="24"/>
              </w:rPr>
              <w:t>4,750</w:t>
            </w:r>
          </w:p>
        </w:tc>
        <w:tc>
          <w:tcPr>
            <w:tcW w:w="1698" w:type="pct"/>
            <w:hideMark/>
          </w:tcPr>
          <w:p w14:paraId="66ED1442" w14:textId="77777777" w:rsidR="002E2AA0" w:rsidRPr="00BE69E9" w:rsidRDefault="002E2AA0" w:rsidP="0015127C">
            <w:pPr>
              <w:spacing w:after="240"/>
              <w:rPr>
                <w:sz w:val="24"/>
                <w:szCs w:val="24"/>
              </w:rPr>
            </w:pPr>
            <w:r>
              <w:rPr>
                <w:sz w:val="24"/>
                <w:szCs w:val="24"/>
              </w:rPr>
              <w:t>3,928.6 (LPG) + 821.4(Biogas)</w:t>
            </w:r>
          </w:p>
        </w:tc>
      </w:tr>
      <w:tr w:rsidR="002E2AA0" w:rsidRPr="00BE69E9" w14:paraId="3D39A1FF" w14:textId="77777777" w:rsidTr="006D3FC9">
        <w:trPr>
          <w:trHeight w:val="553"/>
        </w:trPr>
        <w:tc>
          <w:tcPr>
            <w:tcW w:w="2109" w:type="pct"/>
            <w:hideMark/>
          </w:tcPr>
          <w:p w14:paraId="1B3988FD" w14:textId="77777777" w:rsidR="002E2AA0" w:rsidRPr="00BE69E9" w:rsidRDefault="002E2AA0" w:rsidP="0015127C">
            <w:pPr>
              <w:spacing w:after="240"/>
              <w:rPr>
                <w:sz w:val="24"/>
                <w:szCs w:val="24"/>
              </w:rPr>
            </w:pPr>
            <w:r>
              <w:rPr>
                <w:sz w:val="24"/>
                <w:szCs w:val="24"/>
              </w:rPr>
              <w:t>Annual emissions (in kg CO₂- eq.)</w:t>
            </w:r>
          </w:p>
        </w:tc>
        <w:tc>
          <w:tcPr>
            <w:tcW w:w="1193" w:type="pct"/>
            <w:hideMark/>
          </w:tcPr>
          <w:p w14:paraId="094923F6" w14:textId="77777777" w:rsidR="002E2AA0" w:rsidRPr="00BE69E9" w:rsidRDefault="002E2AA0" w:rsidP="0015127C">
            <w:pPr>
              <w:spacing w:after="240"/>
              <w:rPr>
                <w:sz w:val="24"/>
                <w:szCs w:val="24"/>
              </w:rPr>
            </w:pPr>
            <w:r>
              <w:rPr>
                <w:sz w:val="24"/>
                <w:szCs w:val="24"/>
              </w:rPr>
              <w:t>14,250</w:t>
            </w:r>
          </w:p>
        </w:tc>
        <w:tc>
          <w:tcPr>
            <w:tcW w:w="1698" w:type="pct"/>
            <w:hideMark/>
          </w:tcPr>
          <w:p w14:paraId="55F543DF" w14:textId="77777777" w:rsidR="002E2AA0" w:rsidRPr="00BE69E9" w:rsidRDefault="002E2AA0" w:rsidP="0015127C">
            <w:pPr>
              <w:spacing w:after="240"/>
              <w:rPr>
                <w:sz w:val="24"/>
                <w:szCs w:val="24"/>
              </w:rPr>
            </w:pPr>
            <w:r>
              <w:rPr>
                <w:sz w:val="24"/>
                <w:szCs w:val="24"/>
              </w:rPr>
              <w:t>12,031.4</w:t>
            </w:r>
          </w:p>
        </w:tc>
      </w:tr>
    </w:tbl>
    <w:p w14:paraId="67088143" w14:textId="77777777" w:rsidR="00F37E93" w:rsidRPr="00C971DC" w:rsidRDefault="00000000" w:rsidP="006D3FC9">
      <w:pPr>
        <w:pStyle w:val="Heading2"/>
      </w:pPr>
      <w:r w:rsidRPr="00C971DC">
        <w:t>Beyond the Lifecycle: End-of-Life Recovery Opportunities</w:t>
      </w:r>
    </w:p>
    <w:p w14:paraId="4C53C812" w14:textId="6ABB7808" w:rsidR="00F37E93" w:rsidRPr="00C971DC" w:rsidRDefault="00000000" w:rsidP="006D3FC9">
      <w:pPr>
        <w:spacing w:before="240"/>
        <w:rPr>
          <w:sz w:val="24"/>
          <w:szCs w:val="24"/>
        </w:rPr>
      </w:pPr>
      <w:r w:rsidRPr="00C971DC">
        <w:rPr>
          <w:sz w:val="24"/>
          <w:szCs w:val="24"/>
        </w:rPr>
        <w:t xml:space="preserve">While the present study adopts a cradle-to-grave system boundary in line with ISO 14040, the end-of-life stage offers meaningful recovery opportunities that can reduce the net environmental burden of the building. Two materials present the most significant potential. First, the 5,894 kg of mild steel (MS) grills used in the building (embodied emissions: 16,209 </w:t>
      </w:r>
      <w:proofErr w:type="spellStart"/>
      <w:r w:rsidRPr="00C971DC">
        <w:rPr>
          <w:sz w:val="24"/>
          <w:szCs w:val="24"/>
        </w:rPr>
        <w:t>kgCO</w:t>
      </w:r>
      <w:proofErr w:type="spellEnd"/>
      <w:r w:rsidRPr="00C971DC">
        <w:rPr>
          <w:sz w:val="24"/>
          <w:szCs w:val="24"/>
        </w:rPr>
        <w:t>₂-eq.) are highly recyclable; steel recycling recovers approximately 85</w:t>
      </w:r>
      <w:r w:rsidR="00C8055B" w:rsidRPr="00C971DC">
        <w:rPr>
          <w:sz w:val="24"/>
          <w:szCs w:val="24"/>
        </w:rPr>
        <w:t>-</w:t>
      </w:r>
      <w:r w:rsidRPr="00C971DC">
        <w:rPr>
          <w:sz w:val="24"/>
          <w:szCs w:val="24"/>
        </w:rPr>
        <w:t xml:space="preserve">90% of embodied energy compared to primary production </w:t>
      </w:r>
      <w:r w:rsidR="005E0CCD" w:rsidRPr="00C971DC">
        <w:rPr>
          <w:sz w:val="24"/>
          <w:szCs w:val="24"/>
        </w:rPr>
        <w:fldChar w:fldCharType="begin"/>
      </w:r>
      <w:r w:rsidR="005E0CCD" w:rsidRPr="00C971DC">
        <w:rPr>
          <w:sz w:val="24"/>
          <w:szCs w:val="24"/>
        </w:rPr>
        <w:instrText xml:space="preserve"> ADDIN ZOTERO_ITEM CSL_CITATION {"citationID":"cZQydgP4","properties":{"unsorted":false,"formattedCitation":"(Hammond &amp; Jones, 2008)","plainCitation":"(Hammond &amp; Jones, 2008)","noteIndex":0},"citationItems":[{"id":5295,"uris":["http://zotero.org/users/17155100/items/GTIF4EI6"],"itemData":{"id":5295,"type":"article-journal","abstract":"The development of an open-access, reliable database for embodied energy and carbon (dioxide) emissions associated with the construction industry is described. The University of Bath's inventory of carbon and energy database lists almost 200 different materials. The data were extracted from peer-reviewed literature on the basis of a defined methodology and a set of five criteria. The database was made publicly available via an online website and has attracted significant interest from industry, academia, government departments and agencies, among others. Feedback from such professional users has played an important part in the choice of ‘best values’ for ‘cradleto-site’ embodied energy and carbon from the range found in the literature. The variation in published data stems from differences in boundary definitions (including geographic origin), age of the data sources and rigour of the original life-cycle assessments. Although principally directed towards UK construction, the material set included in the database is of quite wide application across the industrial sector. The use of the inventory is illustrated with the aid of 14 case studies of real-world new-build dwellings. It was observed that there was little difference between embodied energy and carbon for houses and apartments until external works were taken into account (energy inputs for roads, connecting pathways, etc.).","container-title":"Proceedings of the Institution of Civil Engineers - Energy","DOI":"10.1680/ener.2008.161.2.87","ISSN":"1751-4223, 1751-4231","issue":"2","language":"en","page":"87-98","publisher":"Thomas Telford Ltd.","source":"Crossref","title":"Embodied energy and carbon in construction materials","volume":"161","author":[{"family":"Hammond","given":"G. P."},{"family":"Jones","given":"C. I."}],"issued":{"date-parts":[["2008",5]]}}}],"schema":"https://github.com/citation-style-language/schema/raw/master/csl-citation.json"} </w:instrText>
      </w:r>
      <w:r w:rsidR="005E0CCD" w:rsidRPr="00C971DC">
        <w:rPr>
          <w:sz w:val="24"/>
          <w:szCs w:val="24"/>
        </w:rPr>
        <w:fldChar w:fldCharType="separate"/>
      </w:r>
      <w:r w:rsidR="005E0CCD" w:rsidRPr="00C971DC">
        <w:rPr>
          <w:sz w:val="24"/>
        </w:rPr>
        <w:t>(Hammond &amp; Jones, 2008)</w:t>
      </w:r>
      <w:r w:rsidR="005E0CCD" w:rsidRPr="00C971DC">
        <w:rPr>
          <w:sz w:val="24"/>
          <w:szCs w:val="24"/>
        </w:rPr>
        <w:fldChar w:fldCharType="end"/>
      </w:r>
      <w:r w:rsidRPr="00C971DC">
        <w:rPr>
          <w:sz w:val="24"/>
          <w:szCs w:val="24"/>
        </w:rPr>
        <w:t>, implying a potential avoided emission of 13,778</w:t>
      </w:r>
      <w:r w:rsidR="00C8055B" w:rsidRPr="00C971DC">
        <w:rPr>
          <w:sz w:val="24"/>
          <w:szCs w:val="24"/>
        </w:rPr>
        <w:t>-</w:t>
      </w:r>
      <w:r w:rsidRPr="00C971DC">
        <w:rPr>
          <w:sz w:val="24"/>
          <w:szCs w:val="24"/>
        </w:rPr>
        <w:t xml:space="preserve">14,588 </w:t>
      </w:r>
      <w:proofErr w:type="spellStart"/>
      <w:r w:rsidRPr="00C971DC">
        <w:rPr>
          <w:sz w:val="24"/>
          <w:szCs w:val="24"/>
        </w:rPr>
        <w:t>kgCO</w:t>
      </w:r>
      <w:proofErr w:type="spellEnd"/>
      <w:r w:rsidRPr="00C971DC">
        <w:rPr>
          <w:sz w:val="24"/>
          <w:szCs w:val="24"/>
        </w:rPr>
        <w:t xml:space="preserve">₂-eq. at end of life. Second, the 2,447.8 m³ of reinforced cement concrete (RCC) can be crushed at demolition to produce recycled coarse aggregate (RCA), which substitutes for virgin aggregate extraction in future construction and reduces associated quarrying emissions. The use of RCA in structural and non-structural applications is </w:t>
      </w:r>
      <w:proofErr w:type="spellStart"/>
      <w:r w:rsidRPr="00C971DC">
        <w:rPr>
          <w:sz w:val="24"/>
          <w:szCs w:val="24"/>
        </w:rPr>
        <w:t>recognised</w:t>
      </w:r>
      <w:proofErr w:type="spellEnd"/>
      <w:r w:rsidRPr="00C971DC">
        <w:rPr>
          <w:sz w:val="24"/>
          <w:szCs w:val="24"/>
        </w:rPr>
        <w:t xml:space="preserve"> under IS 383:2016. Incorporating these beyond-lifecycle recovery pathways in future design decisions for comparable buildings can contribute to a more circular, cradle-to-cradle approach to construction in the Himalayan region.</w:t>
      </w:r>
    </w:p>
    <w:p w14:paraId="452F477C" w14:textId="77777777" w:rsidR="002903B9" w:rsidRPr="00BE69E9" w:rsidRDefault="009F3D46" w:rsidP="006D3FC9">
      <w:pPr>
        <w:pStyle w:val="Heading2"/>
      </w:pPr>
      <w:r>
        <w:t xml:space="preserve">Carbon sequestration by trees </w:t>
      </w:r>
    </w:p>
    <w:p w14:paraId="41D63DEF" w14:textId="76CA4289" w:rsidR="00935285" w:rsidRPr="00BE69E9" w:rsidRDefault="00935285" w:rsidP="00941D61">
      <w:pPr>
        <w:spacing w:before="240"/>
        <w:rPr>
          <w:sz w:val="24"/>
          <w:szCs w:val="24"/>
        </w:rPr>
      </w:pPr>
      <w:r>
        <w:rPr>
          <w:sz w:val="24"/>
          <w:szCs w:val="24"/>
        </w:rPr>
        <w:t>The process of carbon uptake and storage involves the absorption of atmospheric carbon dioxide by vegetation through photosynthesis. In this process, trees and plants release oxygen while retaining carbon within their biomass. Fossil fuels, which originate from ancient biomass, also act as long</w:t>
      </w:r>
      <w:r>
        <w:rPr>
          <w:sz w:val="24"/>
          <w:szCs w:val="24"/>
        </w:rPr>
        <w:noBreakHyphen/>
        <w:t xml:space="preserve">term carbon reservoirs until their combustion releases the stored carbon back into the atmosphere </w:t>
      </w:r>
      <w:r>
        <w:rPr>
          <w:sz w:val="24"/>
          <w:szCs w:val="24"/>
        </w:rPr>
        <w:fldChar w:fldCharType="begin"/>
      </w:r>
      <w:r w:rsidR="005373B8">
        <w:rPr>
          <w:sz w:val="24"/>
          <w:szCs w:val="24"/>
        </w:rPr>
        <w:instrText xml:space="preserve"> ADDIN ZOTERO_ITEM CSL_CITATION {"citationID":"3eGFJkDP","properties":{"formattedCitation":"({\\i{}UNFCCC}, 2010)","plainCitation":"(UNFCCC, 2010)","noteIndex":0},"citationItems":[{"id":5256,"uris":["http://zotero.org/users/17155100/items/EHZ73Q84"],"itemData":{"id":5256,"type":"entry-dictionary","title":"UNFCCC","URL":"https://unfccc.int/resource/cd_roms/na1/ghg_inventories/english/8_glossary/Glossary.htm","issued":{"date-parts":[["2010"]]}}}],"schema":"https://github.com/citation-style-language/schema/raw/master/csl-citation.json"} </w:instrText>
      </w:r>
      <w:r>
        <w:rPr>
          <w:sz w:val="24"/>
          <w:szCs w:val="24"/>
        </w:rPr>
        <w:fldChar w:fldCharType="separate"/>
      </w:r>
      <w:r>
        <w:rPr>
          <w:sz w:val="24"/>
          <w:szCs w:val="24"/>
        </w:rPr>
        <w:t>(</w:t>
      </w:r>
      <w:r>
        <w:rPr>
          <w:i/>
          <w:iCs/>
          <w:sz w:val="24"/>
          <w:szCs w:val="24"/>
        </w:rPr>
        <w:t>UNFCCC</w:t>
      </w:r>
      <w:r>
        <w:rPr>
          <w:sz w:val="24"/>
          <w:szCs w:val="24"/>
        </w:rPr>
        <w:t>, 2010)</w:t>
      </w:r>
      <w:r>
        <w:rPr>
          <w:sz w:val="24"/>
          <w:szCs w:val="24"/>
        </w:rPr>
        <w:fldChar w:fldCharType="end"/>
      </w:r>
      <w:r>
        <w:rPr>
          <w:sz w:val="24"/>
          <w:szCs w:val="24"/>
        </w:rPr>
        <w:t xml:space="preserve">. </w:t>
      </w:r>
    </w:p>
    <w:p w14:paraId="5312C427" w14:textId="0F6E4BBE" w:rsidR="00AF4674" w:rsidRPr="00BE69E9" w:rsidRDefault="00017505" w:rsidP="00970AD7">
      <w:pPr>
        <w:rPr>
          <w:sz w:val="24"/>
          <w:szCs w:val="24"/>
        </w:rPr>
      </w:pPr>
      <w:r>
        <w:rPr>
          <w:sz w:val="24"/>
          <w:szCs w:val="24"/>
        </w:rPr>
        <w:lastRenderedPageBreak/>
        <w:t xml:space="preserve">Thakare in his study presented that after the full growth of 765 trees, 367.81 tons of carbon were sequestered per year </w:t>
      </w:r>
      <w:r>
        <w:rPr>
          <w:sz w:val="24"/>
          <w:szCs w:val="24"/>
        </w:rPr>
        <w:fldChar w:fldCharType="begin"/>
      </w:r>
      <w:r w:rsidR="005373B8">
        <w:rPr>
          <w:sz w:val="24"/>
          <w:szCs w:val="24"/>
        </w:rPr>
        <w:instrText xml:space="preserve"> ADDIN ZOTERO_ITEM CSL_CITATION {"citationID":"7p5g9zbr","properties":{"formattedCitation":"(Baste &amp; Thakare, 2023)","plainCitation":"(Baste &amp; Thakare, 2023)","noteIndex":0},"citationItems":[{"id":5313,"uris":["http://zotero.org/users/17155100/items/28X6NU6F"],"itemData":{"id":5313,"type":"article-journal","abstract":"Development of environmentally sustainable cities is the need of today’s fast urbanizing India.  By 2050 nearly half the Indian population will be living in urban areas. Urban activities have increased the atmospheric Carbon Dioxide (CO2), and will continue to increase. Indian cities are major producers of CO2, but are not planned for enough Carbon Storage to compensate their own Carbon Footprints. It is imperative to maintain the ‘‘balance’’ between the Carbon emission and Sequestration to achieve environmental sustainability. Any process that removes CO2 from the atmosphere and deposits it in a reservoir of any particular type (plant material, wood, soil, etc) is termed as ‘Carbon Sequestration’. The Trees make the withdrawal of CO2 from the atmosphere with the process of photosynthesis and store it in the form of growing plant material. Around 5%-21% of total photosynthetically fixed Carbon is transferred into the rhizosphere through root exudates. This study constitutes an estimation of standing biomass in the form of Plants and Trees, and the Carbon Sequestration by them at the institutional campus – ‘Udhaji Maratha Boarding Campus, Nasik’. Objective is to find their value in environmental optimization w.r.t. CO2 footprint of the campus. This study tries to estimate (i) CO2 Sequestration by existing plant material, (ii) required Sequestration as per the current Carbon footprint of the users. Further this research projects the Carbon Sequestration in the future by the current vegetation after its 100% growth.","container-title":"Ecology, Environment and Conservation","DOI":"10.53550/eec.2023.v29i01.028","ISSN":"0971-765X","issue":"01","journalAbbreviation":"EEC","page":"175-181","publisher":"EM International","source":"Crossref","title":"Optimization for Carbon Footprint in an Institutional Campus","volume":"29","author":[{"family":"Baste","given":"Prajakta"},{"family":"Thakare","given":"Ar. Hemant"}],"issued":{"date-parts":[["2023"]]}}}],"schema":"https://github.com/citation-style-language/schema/raw/master/csl-citation.json"} </w:instrText>
      </w:r>
      <w:r>
        <w:rPr>
          <w:sz w:val="24"/>
          <w:szCs w:val="24"/>
        </w:rPr>
        <w:fldChar w:fldCharType="separate"/>
      </w:r>
      <w:r>
        <w:rPr>
          <w:sz w:val="24"/>
          <w:szCs w:val="24"/>
        </w:rPr>
        <w:t>(Baste &amp; Thakare, 2023)</w:t>
      </w:r>
      <w:r>
        <w:rPr>
          <w:sz w:val="24"/>
          <w:szCs w:val="24"/>
        </w:rPr>
        <w:fldChar w:fldCharType="end"/>
      </w:r>
      <w:r>
        <w:rPr>
          <w:sz w:val="24"/>
          <w:szCs w:val="24"/>
        </w:rPr>
        <w:t xml:space="preserve">. This gives a rate of approximately 0.481 tons of carbon per fully grown tree per year and 24 tons of carbon per fully grown tree in 50 years. Trees found in the area are pine, oak, deodar, etc. The average carbon sequestration of pine is 0.44 tons per year, as per a study </w:t>
      </w:r>
      <w:r>
        <w:rPr>
          <w:sz w:val="24"/>
          <w:szCs w:val="24"/>
        </w:rPr>
        <w:fldChar w:fldCharType="begin"/>
      </w:r>
      <w:r w:rsidR="005373B8">
        <w:rPr>
          <w:sz w:val="24"/>
          <w:szCs w:val="24"/>
        </w:rPr>
        <w:instrText xml:space="preserve"> ADDIN ZOTERO_ITEM CSL_CITATION {"citationID":"IPg43C4Q","properties":{"formattedCitation":"(Pant &amp; Tewari, 2013)","plainCitation":"(Pant &amp; Tewari, 2013)","noteIndex":0},"citationItems":[{"id":5314,"uris":["http://zotero.org/users/17155100/items/WEQ7V54K"],"itemData":{"id":5314,"type":"article-journal","container-title":"Applied Ecology and Environmental Sciences","DOI":"10.12691/aees-1-6-2","ISSN":"2328-3912","issue":"6","journalAbbreviation":"AEES","page":"110-112","publisher":"Science and Education Publishing Co., Ltd.","source":"Crossref","title":"Carbon Sequestration Potential of Chir Pine (&lt;i&gt;Pinus&lt;/i&gt;&lt;i&gt; &lt;/i&gt;&lt;i&gt;roxburghii&lt;/i&gt;. Sarg) Forest on Two Contrasting Aspects in Kumaun Central Himalaya between 1650-1860 m Elevation","volume":"1","author":[{"family":"Pant","given":"Harshit"},{"family":"Tewari","given":"Ashish"}],"issued":{"date-parts":[["2013",11,14]]}}}],"schema":"https://github.com/citation-style-language/schema/raw/master/csl-citation.json"} </w:instrText>
      </w:r>
      <w:r>
        <w:rPr>
          <w:sz w:val="24"/>
          <w:szCs w:val="24"/>
        </w:rPr>
        <w:fldChar w:fldCharType="separate"/>
      </w:r>
      <w:r>
        <w:rPr>
          <w:sz w:val="24"/>
          <w:szCs w:val="24"/>
        </w:rPr>
        <w:t>(Pant &amp; Tewari, 2013)</w:t>
      </w:r>
      <w:r>
        <w:rPr>
          <w:sz w:val="24"/>
          <w:szCs w:val="24"/>
        </w:rPr>
        <w:fldChar w:fldCharType="end"/>
      </w:r>
      <w:r>
        <w:rPr>
          <w:sz w:val="24"/>
          <w:szCs w:val="24"/>
        </w:rPr>
        <w:t>. Following is the detailed calculation of trees required to carbon sequestration required after change in cooking gas and electricity source.</w:t>
      </w:r>
    </w:p>
    <w:p w14:paraId="11FBED34" w14:textId="77777777" w:rsidR="00AF4674" w:rsidRPr="00BE69E9" w:rsidRDefault="00AF4674" w:rsidP="00970AD7">
      <w:pPr>
        <w:rPr>
          <w:sz w:val="24"/>
          <w:szCs w:val="24"/>
        </w:rPr>
      </w:pPr>
      <w:r>
        <w:rPr>
          <w:sz w:val="24"/>
          <w:szCs w:val="24"/>
        </w:rPr>
        <w:t>Step 1:</w:t>
      </w:r>
    </w:p>
    <w:p w14:paraId="08C79FFD" w14:textId="77777777" w:rsidR="00AF4674" w:rsidRPr="00BE69E9" w:rsidRDefault="00AF4674" w:rsidP="00970AD7">
      <w:pPr>
        <w:rPr>
          <w:sz w:val="24"/>
          <w:szCs w:val="24"/>
        </w:rPr>
      </w:pPr>
      <w:r>
        <w:rPr>
          <w:sz w:val="24"/>
          <w:szCs w:val="24"/>
        </w:rPr>
        <w:t>Molecular weight of CO</w:t>
      </w:r>
      <w:r>
        <w:rPr>
          <w:sz w:val="24"/>
          <w:szCs w:val="24"/>
          <w:vertAlign w:val="subscript"/>
        </w:rPr>
        <w:t>2</w:t>
      </w:r>
      <w:r>
        <w:rPr>
          <w:sz w:val="24"/>
          <w:szCs w:val="24"/>
        </w:rPr>
        <w:t xml:space="preserve"> = 44 g/mol</w:t>
      </w:r>
    </w:p>
    <w:p w14:paraId="6D5153F2" w14:textId="77777777" w:rsidR="00AF4674" w:rsidRPr="00BE69E9" w:rsidRDefault="00AF4674" w:rsidP="00970AD7">
      <w:pPr>
        <w:rPr>
          <w:sz w:val="24"/>
          <w:szCs w:val="24"/>
        </w:rPr>
      </w:pPr>
      <w:r>
        <w:rPr>
          <w:sz w:val="24"/>
          <w:szCs w:val="24"/>
        </w:rPr>
        <w:t>(Carbon = 12, Oxygen = 16 x 2; 12+32 =44)</w:t>
      </w:r>
    </w:p>
    <w:p w14:paraId="640E5D1A" w14:textId="77777777" w:rsidR="00AF4674" w:rsidRPr="00BE69E9" w:rsidRDefault="00AF4674" w:rsidP="00970AD7">
      <w:pPr>
        <w:rPr>
          <w:sz w:val="24"/>
          <w:szCs w:val="24"/>
        </w:rPr>
      </w:pPr>
      <w:r>
        <w:rPr>
          <w:sz w:val="24"/>
          <w:szCs w:val="24"/>
        </w:rPr>
        <w:t>Molecular weight of Carbon = 12</w:t>
      </w:r>
    </w:p>
    <w:p w14:paraId="1616A7C2" w14:textId="77777777" w:rsidR="00AF4674" w:rsidRPr="00BE69E9" w:rsidRDefault="00AF4674" w:rsidP="00970AD7">
      <w:pPr>
        <w:rPr>
          <w:sz w:val="24"/>
          <w:szCs w:val="24"/>
        </w:rPr>
      </w:pPr>
      <w:r>
        <w:rPr>
          <w:sz w:val="24"/>
          <w:szCs w:val="24"/>
        </w:rPr>
        <w:t>Fraction of Carbon in CO</w:t>
      </w:r>
      <w:r>
        <w:rPr>
          <w:sz w:val="24"/>
          <w:szCs w:val="24"/>
          <w:vertAlign w:val="subscript"/>
        </w:rPr>
        <w:t>2</w:t>
      </w:r>
      <w:r>
        <w:rPr>
          <w:sz w:val="24"/>
          <w:szCs w:val="24"/>
        </w:rPr>
        <w:t xml:space="preserve"> = 12/44 = 0.2727</w:t>
      </w:r>
    </w:p>
    <w:p w14:paraId="7E2E73DF" w14:textId="77777777" w:rsidR="00AF4674" w:rsidRPr="00BE69E9" w:rsidRDefault="00AF4674" w:rsidP="00970AD7">
      <w:pPr>
        <w:rPr>
          <w:sz w:val="24"/>
          <w:szCs w:val="24"/>
        </w:rPr>
      </w:pPr>
      <w:r>
        <w:rPr>
          <w:sz w:val="24"/>
          <w:szCs w:val="24"/>
        </w:rPr>
        <w:t>Therefore, 1 kg CO</w:t>
      </w:r>
      <w:r>
        <w:rPr>
          <w:sz w:val="24"/>
          <w:szCs w:val="24"/>
          <w:vertAlign w:val="subscript"/>
        </w:rPr>
        <w:t>2</w:t>
      </w:r>
      <w:r>
        <w:rPr>
          <w:sz w:val="24"/>
          <w:szCs w:val="24"/>
        </w:rPr>
        <w:t xml:space="preserve"> x 12/44 = 0.2727 of Carbon</w:t>
      </w:r>
    </w:p>
    <w:p w14:paraId="57202D45" w14:textId="77777777" w:rsidR="00AF4674" w:rsidRPr="00BE69E9" w:rsidRDefault="00AF4674" w:rsidP="00970AD7">
      <w:pPr>
        <w:rPr>
          <w:sz w:val="24"/>
          <w:szCs w:val="24"/>
        </w:rPr>
      </w:pPr>
      <w:r>
        <w:rPr>
          <w:sz w:val="24"/>
          <w:szCs w:val="24"/>
        </w:rPr>
        <w:t>Step 2:</w:t>
      </w:r>
    </w:p>
    <w:p w14:paraId="08758244" w14:textId="77777777" w:rsidR="00AF4674" w:rsidRPr="00BE69E9" w:rsidRDefault="00AF4674" w:rsidP="00970AD7">
      <w:pPr>
        <w:rPr>
          <w:sz w:val="24"/>
          <w:szCs w:val="24"/>
        </w:rPr>
      </w:pPr>
      <w:r>
        <w:rPr>
          <w:sz w:val="24"/>
          <w:szCs w:val="24"/>
        </w:rPr>
        <w:t>Total emissions through the lifetime of building after recommendations = (Materials) + (transportation of materials to the site) + (Cooking gas as Biogas+ LPG) + (Electricity through solar panels) + (Water consumption) + (User’s Exhalation)</w:t>
      </w:r>
    </w:p>
    <w:p w14:paraId="1F132826" w14:textId="77777777" w:rsidR="00AF4674" w:rsidRPr="00BE69E9" w:rsidRDefault="00AF4674" w:rsidP="00970AD7">
      <w:pPr>
        <w:rPr>
          <w:sz w:val="24"/>
          <w:szCs w:val="24"/>
        </w:rPr>
      </w:pPr>
      <w:r>
        <w:rPr>
          <w:sz w:val="24"/>
          <w:szCs w:val="24"/>
        </w:rPr>
        <w:t xml:space="preserve"> = 3,400,025 + 63,169 + 601,570 + 188,806 + 437,587.5 + 3,193,750</w:t>
      </w:r>
    </w:p>
    <w:p w14:paraId="3CF7EB2F" w14:textId="77777777" w:rsidR="00AF4674" w:rsidRPr="00BE69E9" w:rsidRDefault="00AF4674" w:rsidP="00970AD7">
      <w:pPr>
        <w:rPr>
          <w:sz w:val="24"/>
          <w:szCs w:val="24"/>
        </w:rPr>
      </w:pPr>
      <w:r>
        <w:rPr>
          <w:sz w:val="24"/>
          <w:szCs w:val="24"/>
        </w:rPr>
        <w:t xml:space="preserve"> = 7,884,907.5 kg CO₂- eq. </w:t>
      </w:r>
    </w:p>
    <w:p w14:paraId="0E063874" w14:textId="77777777" w:rsidR="00AF4674" w:rsidRPr="00BE69E9" w:rsidRDefault="00AF4674" w:rsidP="00970AD7">
      <w:pPr>
        <w:rPr>
          <w:sz w:val="24"/>
          <w:szCs w:val="24"/>
        </w:rPr>
      </w:pPr>
      <w:r>
        <w:rPr>
          <w:sz w:val="24"/>
          <w:szCs w:val="24"/>
        </w:rPr>
        <w:t>Which is equals to 2,149,585.7 kg of Carbon or 2,149.59 tons of Carbon</w:t>
      </w:r>
    </w:p>
    <w:p w14:paraId="1FB06D78" w14:textId="77777777" w:rsidR="00AF4674" w:rsidRPr="00BE69E9" w:rsidRDefault="00AF4674" w:rsidP="00970AD7">
      <w:pPr>
        <w:rPr>
          <w:sz w:val="24"/>
          <w:szCs w:val="24"/>
        </w:rPr>
      </w:pPr>
      <w:r>
        <w:rPr>
          <w:sz w:val="24"/>
          <w:szCs w:val="24"/>
        </w:rPr>
        <w:t>Step 3:</w:t>
      </w:r>
    </w:p>
    <w:p w14:paraId="4E645854" w14:textId="77777777" w:rsidR="00AF4674" w:rsidRPr="00BE69E9" w:rsidRDefault="00AF4674" w:rsidP="00970AD7">
      <w:pPr>
        <w:rPr>
          <w:sz w:val="24"/>
          <w:szCs w:val="24"/>
        </w:rPr>
      </w:pPr>
      <w:r>
        <w:rPr>
          <w:sz w:val="24"/>
          <w:szCs w:val="24"/>
        </w:rPr>
        <w:t>1 tree = 0.481 tons/ year</w:t>
      </w:r>
    </w:p>
    <w:p w14:paraId="7A9D7025" w14:textId="77777777" w:rsidR="00AF4674" w:rsidRPr="00BE69E9" w:rsidRDefault="00AF4674" w:rsidP="00970AD7">
      <w:pPr>
        <w:rPr>
          <w:sz w:val="24"/>
          <w:szCs w:val="24"/>
        </w:rPr>
      </w:pPr>
      <w:r>
        <w:rPr>
          <w:sz w:val="24"/>
          <w:szCs w:val="24"/>
        </w:rPr>
        <w:t>Over 50 years = 24 tons of Carbon / tree</w:t>
      </w:r>
    </w:p>
    <w:p w14:paraId="04E42F49" w14:textId="77777777" w:rsidR="00AF4674" w:rsidRPr="00BE69E9" w:rsidRDefault="00AF4674" w:rsidP="00970AD7">
      <w:pPr>
        <w:rPr>
          <w:sz w:val="24"/>
          <w:szCs w:val="24"/>
        </w:rPr>
      </w:pPr>
      <w:r>
        <w:rPr>
          <w:sz w:val="24"/>
          <w:szCs w:val="24"/>
        </w:rPr>
        <w:t>Step 4:</w:t>
      </w:r>
    </w:p>
    <w:p w14:paraId="40F6B01A" w14:textId="77777777" w:rsidR="00AF4674" w:rsidRPr="00BE69E9" w:rsidRDefault="00AF4674" w:rsidP="00970AD7">
      <w:pPr>
        <w:rPr>
          <w:sz w:val="24"/>
          <w:szCs w:val="24"/>
        </w:rPr>
      </w:pPr>
      <w:r>
        <w:rPr>
          <w:sz w:val="24"/>
          <w:szCs w:val="24"/>
        </w:rPr>
        <w:t>Total number of trees = 2,149.59 / 24</w:t>
      </w:r>
    </w:p>
    <w:p w14:paraId="52CEB235" w14:textId="77777777" w:rsidR="00AF4674" w:rsidRPr="00BE69E9" w:rsidRDefault="00AF4674" w:rsidP="00970AD7">
      <w:pPr>
        <w:rPr>
          <w:sz w:val="24"/>
          <w:szCs w:val="24"/>
        </w:rPr>
      </w:pPr>
      <w:r>
        <w:rPr>
          <w:sz w:val="24"/>
          <w:szCs w:val="24"/>
        </w:rPr>
        <w:t xml:space="preserve">                                    =89.54 (approximately 90) trees</w:t>
      </w:r>
    </w:p>
    <w:p w14:paraId="5E977025" w14:textId="77777777" w:rsidR="009F3D46" w:rsidRPr="00BE69E9" w:rsidRDefault="009F3D46" w:rsidP="00941D61">
      <w:pPr>
        <w:spacing w:after="240"/>
        <w:rPr>
          <w:sz w:val="24"/>
          <w:szCs w:val="24"/>
        </w:rPr>
      </w:pPr>
      <w:r>
        <w:rPr>
          <w:sz w:val="24"/>
          <w:szCs w:val="24"/>
        </w:rPr>
        <w:t>Thus, 90 fully grown trees are required to sequester the carbon emitted by the building in the entire life span in PGH. This approach helps offset or potentially neutralize the building's total carbon emissions over its lifecycle.</w:t>
      </w:r>
    </w:p>
    <w:p w14:paraId="72B633EC" w14:textId="77777777" w:rsidR="00E743A9" w:rsidRPr="00BE69E9" w:rsidRDefault="00E743A9" w:rsidP="006D3FC9">
      <w:pPr>
        <w:pStyle w:val="Heading2"/>
        <w:rPr>
          <w:lang w:val="en-IN" w:eastAsia="en-IN"/>
        </w:rPr>
      </w:pPr>
      <w:r>
        <w:rPr>
          <w:lang w:val="en-IN" w:eastAsia="en-IN"/>
        </w:rPr>
        <w:t>Comparison between existing case and recommended case</w:t>
      </w:r>
    </w:p>
    <w:p w14:paraId="52F2E7EF" w14:textId="2925DC9E" w:rsidR="00E743A9" w:rsidRPr="00BE69E9" w:rsidRDefault="00E743A9" w:rsidP="00941D61">
      <w:pPr>
        <w:spacing w:before="240"/>
        <w:rPr>
          <w:sz w:val="24"/>
          <w:szCs w:val="24"/>
          <w:lang w:val="en-IN" w:eastAsia="en-IN"/>
        </w:rPr>
      </w:pPr>
      <w:r>
        <w:rPr>
          <w:sz w:val="24"/>
          <w:szCs w:val="24"/>
          <w:lang w:val="en-IN" w:eastAsia="en-IN"/>
        </w:rPr>
        <w:t xml:space="preserve">Figure </w:t>
      </w:r>
      <w:r w:rsidR="0015127C">
        <w:rPr>
          <w:sz w:val="24"/>
          <w:szCs w:val="24"/>
          <w:lang w:val="en-IN" w:eastAsia="en-IN"/>
        </w:rPr>
        <w:t>7</w:t>
      </w:r>
      <w:r>
        <w:rPr>
          <w:sz w:val="24"/>
          <w:szCs w:val="24"/>
          <w:lang w:val="en-IN" w:eastAsia="en-IN"/>
        </w:rPr>
        <w:t xml:space="preserve"> presents a comparison of annual carbon emissions during the operational phase for the existing case and the recommended case, across electricity, cooking gas, water usage, and user exhalation, along with carbon sequestration by trees, shown as a negative value.</w:t>
      </w:r>
    </w:p>
    <w:p w14:paraId="01D44660" w14:textId="77777777" w:rsidR="0015127C" w:rsidRPr="00BE69E9" w:rsidRDefault="0015127C" w:rsidP="0015127C">
      <w:pPr>
        <w:jc w:val="center"/>
        <w:rPr>
          <w:sz w:val="24"/>
          <w:szCs w:val="24"/>
          <w:lang w:val="en-IN" w:eastAsia="en-IN"/>
        </w:rPr>
      </w:pPr>
      <w:r>
        <w:rPr>
          <w:noProof/>
          <w:sz w:val="24"/>
          <w:szCs w:val="24"/>
          <w:lang w:val="en-IN" w:eastAsia="en-IN"/>
        </w:rPr>
        <w:drawing>
          <wp:inline distT="0" distB="0" distL="0" distR="0" wp14:anchorId="57F3605F" wp14:editId="2EC509E9">
            <wp:extent cx="5357446" cy="3059723"/>
            <wp:effectExtent l="0" t="0" r="0" b="7620"/>
            <wp:docPr id="6555018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9C72F8" w14:textId="77777777" w:rsidR="0015127C" w:rsidRPr="00BE69E9" w:rsidRDefault="0015127C" w:rsidP="0015127C">
      <w:pPr>
        <w:jc w:val="center"/>
        <w:rPr>
          <w:rFonts w:eastAsiaTheme="minorHAnsi"/>
          <w:sz w:val="24"/>
          <w:szCs w:val="24"/>
          <w:lang w:val="en-IN" w:eastAsia="en-US"/>
        </w:rPr>
      </w:pPr>
      <w:r>
        <w:rPr>
          <w:rFonts w:eastAsiaTheme="minorHAnsi"/>
          <w:b/>
          <w:bCs/>
          <w:sz w:val="24"/>
          <w:szCs w:val="24"/>
          <w:lang w:val="en-IN" w:eastAsia="en-US"/>
        </w:rPr>
        <w:t xml:space="preserve">Fig. </w:t>
      </w:r>
      <w:r>
        <w:rPr>
          <w:rFonts w:eastAsiaTheme="minorHAnsi"/>
          <w:b/>
          <w:bCs/>
          <w:sz w:val="24"/>
          <w:szCs w:val="24"/>
          <w:lang w:val="en-IN" w:eastAsia="en-US"/>
        </w:rPr>
        <w:fldChar w:fldCharType="begin"/>
      </w:r>
      <w:r>
        <w:rPr>
          <w:rFonts w:eastAsiaTheme="minorHAnsi"/>
          <w:b/>
          <w:bCs/>
          <w:sz w:val="24"/>
          <w:szCs w:val="24"/>
          <w:lang w:val="en-IN" w:eastAsia="en-US"/>
        </w:rPr>
        <w:instrText xml:space="preserve"> SEQ Figure \* ARABIC </w:instrText>
      </w:r>
      <w:r>
        <w:rPr>
          <w:rFonts w:eastAsiaTheme="minorHAnsi"/>
          <w:b/>
          <w:bCs/>
          <w:sz w:val="24"/>
          <w:szCs w:val="24"/>
          <w:lang w:val="en-IN" w:eastAsia="en-US"/>
        </w:rPr>
        <w:fldChar w:fldCharType="separate"/>
      </w:r>
      <w:r>
        <w:rPr>
          <w:rFonts w:eastAsiaTheme="minorHAnsi"/>
          <w:b/>
          <w:bCs/>
          <w:noProof/>
          <w:sz w:val="24"/>
          <w:szCs w:val="24"/>
          <w:lang w:val="en-IN" w:eastAsia="en-US"/>
        </w:rPr>
        <w:t>7</w:t>
      </w:r>
      <w:r>
        <w:rPr>
          <w:rFonts w:eastAsiaTheme="minorHAnsi"/>
          <w:b/>
          <w:bCs/>
          <w:sz w:val="24"/>
          <w:szCs w:val="24"/>
          <w:lang w:val="en-IN" w:eastAsia="en-US"/>
        </w:rPr>
        <w:fldChar w:fldCharType="end"/>
      </w:r>
      <w:r>
        <w:rPr>
          <w:rFonts w:eastAsiaTheme="minorHAnsi"/>
          <w:i/>
          <w:iCs/>
          <w:sz w:val="24"/>
          <w:szCs w:val="24"/>
          <w:lang w:val="en-IN" w:eastAsia="en-US"/>
        </w:rPr>
        <w:t xml:space="preserve"> </w:t>
      </w:r>
      <w:r>
        <w:rPr>
          <w:rFonts w:eastAsiaTheme="minorHAnsi"/>
          <w:sz w:val="24"/>
          <w:szCs w:val="24"/>
          <w:lang w:val="en-IN" w:eastAsia="en-US"/>
        </w:rPr>
        <w:t>Emissions during operational phase for Existing case and recommended case</w:t>
      </w:r>
    </w:p>
    <w:p w14:paraId="1965C5ED" w14:textId="77777777" w:rsidR="0015127C" w:rsidRDefault="0015127C" w:rsidP="0015127C">
      <w:pPr>
        <w:rPr>
          <w:sz w:val="24"/>
          <w:szCs w:val="24"/>
          <w:lang w:val="en-IN" w:eastAsia="en-IN"/>
        </w:rPr>
      </w:pPr>
      <w:r>
        <w:rPr>
          <w:sz w:val="24"/>
          <w:szCs w:val="24"/>
          <w:lang w:val="en-IN" w:eastAsia="en-IN"/>
        </w:rPr>
        <w:lastRenderedPageBreak/>
        <w:t xml:space="preserve">In the existing case, total operational emissions are substantially higher, dominated by electricity and user exhalation, which together account for the 87% of emissions. Water usage and cooking gas also contribute, though to a lesser extent which is 13%. </w:t>
      </w:r>
    </w:p>
    <w:p w14:paraId="03A2E8D0" w14:textId="0F224283" w:rsidR="00DD0292" w:rsidRPr="00BE69E9" w:rsidRDefault="00E743A9" w:rsidP="00970AD7">
      <w:pPr>
        <w:rPr>
          <w:noProof/>
          <w:sz w:val="24"/>
          <w:szCs w:val="24"/>
          <w:lang w:val="en-IN" w:eastAsia="en-IN"/>
        </w:rPr>
      </w:pPr>
      <w:r>
        <w:rPr>
          <w:sz w:val="24"/>
          <w:szCs w:val="24"/>
          <w:lang w:val="en-IN" w:eastAsia="en-IN"/>
        </w:rPr>
        <w:t>The recommended strategies demonstrate a significant reduction in net emissions. While emissions from electricity, and cooking gas persist, they are considerably lower than the existing case indicating improved energy and resource efficiency. Notably, the inclusion of carbon sequestration, depicted as a large negative value</w:t>
      </w:r>
      <w:r w:rsidR="0015127C">
        <w:rPr>
          <w:sz w:val="24"/>
          <w:szCs w:val="24"/>
          <w:lang w:val="en-IN" w:eastAsia="en-IN"/>
        </w:rPr>
        <w:t>,</w:t>
      </w:r>
      <w:r>
        <w:rPr>
          <w:sz w:val="24"/>
          <w:szCs w:val="24"/>
          <w:lang w:val="en-IN" w:eastAsia="en-IN"/>
        </w:rPr>
        <w:t xml:space="preserve"> offsets a substantial portion of the operational emissions. This sequestration, attributed to strategic planting of trees or green cover, shifts the overall carbon balance in favour of a more sustainable outcome. The data underscores the effectiveness of the recommended interventions in reducing net annual emissions, primarily through demand-side efficiency measures and natural carbon offset mechanisms.</w:t>
      </w:r>
      <w:r>
        <w:rPr>
          <w:noProof/>
          <w:sz w:val="24"/>
          <w:szCs w:val="24"/>
          <w:lang w:val="en-IN" w:eastAsia="en-IN"/>
        </w:rPr>
        <w:t xml:space="preserve"> </w:t>
      </w:r>
    </w:p>
    <w:p w14:paraId="6A1572D1" w14:textId="77777777" w:rsidR="00130F2C" w:rsidRPr="00BE69E9" w:rsidRDefault="00130F2C" w:rsidP="00970AD7">
      <w:pPr>
        <w:rPr>
          <w:sz w:val="24"/>
          <w:szCs w:val="24"/>
        </w:rPr>
      </w:pPr>
      <w:r>
        <w:rPr>
          <w:sz w:val="24"/>
          <w:szCs w:val="24"/>
        </w:rPr>
        <w:t>For buildings that are already constructed, emission reduction efforts must focus on the operational phase, which accounts for 73% of total emissions. This study was conducted on an existing, operational building, but similar methods could also be applied during the design phase once the construction materials and operational plans are finalized.</w:t>
      </w:r>
    </w:p>
    <w:p w14:paraId="53E2ACC4" w14:textId="77777777" w:rsidR="00130F2C" w:rsidRPr="00BE69E9" w:rsidRDefault="00130F2C" w:rsidP="00941D61">
      <w:pPr>
        <w:spacing w:after="240"/>
        <w:rPr>
          <w:sz w:val="24"/>
          <w:szCs w:val="24"/>
        </w:rPr>
      </w:pPr>
      <w:r>
        <w:rPr>
          <w:sz w:val="24"/>
          <w:szCs w:val="24"/>
        </w:rPr>
        <w:t>One effective strategy to reduce operational emissions is transitioning to renewable energy sources, such as installing solar photovoltaic (PV) panels to replace conventional electricity. Similarly, using Biogas as a substitute for LPG in cooking can significantly lower emissions. While emissions from human exhalation are unavoidable, they can be offset through carbon sequestration measures like planting trees. By integrating these strategies, this research aims to pave the way for more sustainable and environmentally responsible building practices.</w:t>
      </w:r>
    </w:p>
    <w:p w14:paraId="3A0ACA2C" w14:textId="77777777" w:rsidR="008D46E0" w:rsidRPr="00BE69E9" w:rsidRDefault="00941D61" w:rsidP="00970AD7">
      <w:pPr>
        <w:pStyle w:val="Heading1"/>
      </w:pPr>
      <w:r>
        <w:t>CONCLUSION</w:t>
      </w:r>
    </w:p>
    <w:p w14:paraId="4AFAD433" w14:textId="77777777" w:rsidR="00E36730" w:rsidRPr="00BE69E9" w:rsidRDefault="00E36730" w:rsidP="00941D61">
      <w:pPr>
        <w:spacing w:before="240"/>
        <w:rPr>
          <w:sz w:val="24"/>
          <w:szCs w:val="24"/>
          <w:lang w:val="en-IN" w:eastAsia="en-IN"/>
        </w:rPr>
      </w:pPr>
      <w:r>
        <w:rPr>
          <w:sz w:val="24"/>
          <w:szCs w:val="24"/>
          <w:lang w:val="en-IN" w:eastAsia="en-IN"/>
        </w:rPr>
        <w:t>This study provides a comprehensive LCA associated with the Parvati Girls' Hostel at NIT Hamirpur, offering an evidence-based understanding of the environmental burden imposed by both the construction and operation of a residential building in a subtropical highland climate. The primary objective was to quantify and analyse the embodied energy, material- and transport-based emissions, and post-occupancy emissions to identify actionable pathways toward a low-carbon built environment.</w:t>
      </w:r>
    </w:p>
    <w:p w14:paraId="13AB76AE" w14:textId="77777777" w:rsidR="00E36730" w:rsidRPr="00BE69E9" w:rsidRDefault="00E36730" w:rsidP="00970AD7">
      <w:pPr>
        <w:rPr>
          <w:sz w:val="24"/>
          <w:szCs w:val="24"/>
          <w:lang w:val="en-IN" w:eastAsia="en-IN"/>
        </w:rPr>
      </w:pPr>
      <w:r>
        <w:rPr>
          <w:sz w:val="24"/>
          <w:szCs w:val="24"/>
          <w:lang w:val="en-IN" w:eastAsia="en-IN"/>
        </w:rPr>
        <w:t>The analysis revealed that over a 50-year life span, the building is responsible for a total of 12.77 million kg CO₂ equivalent, with emissions split across the construction phase (27%) and operational phase (73%). Operational emissions were dominated by electricity usage and human respiration, contributing 87% of annual emissions during building occupancy. Construction materials such as brick, RCC, and cement emerged as major contributors to both embodied energy and emissions, primarily due to their high usage volumes and energy-intensive production processes. Additionally, transportation of materials added a notable yet secondary layer of emissions, totalling 63,169 kg CO₂- eq.</w:t>
      </w:r>
    </w:p>
    <w:p w14:paraId="33F4B5FF" w14:textId="77777777" w:rsidR="004405BC" w:rsidRPr="00BE69E9" w:rsidRDefault="004405BC" w:rsidP="00970AD7">
      <w:pPr>
        <w:rPr>
          <w:sz w:val="24"/>
          <w:szCs w:val="24"/>
        </w:rPr>
      </w:pPr>
      <w:r>
        <w:rPr>
          <w:sz w:val="24"/>
          <w:szCs w:val="24"/>
        </w:rPr>
        <w:t xml:space="preserve">Another finding is that 34% of post-occupancy emissions are linked to human exhalation, emphasizing the importance of </w:t>
      </w:r>
      <w:r>
        <w:rPr>
          <w:rStyle w:val="Strong"/>
          <w:b w:val="0"/>
          <w:bCs w:val="0"/>
          <w:sz w:val="24"/>
          <w:szCs w:val="24"/>
        </w:rPr>
        <w:t>passive ventilation strategies</w:t>
      </w:r>
      <w:r>
        <w:rPr>
          <w:sz w:val="24"/>
          <w:szCs w:val="24"/>
        </w:rPr>
        <w:t xml:space="preserve"> to maintain indoor air quality. Furthermore, the study demonstrates that the total lifetime emissions of the building can potentially be </w:t>
      </w:r>
      <w:r>
        <w:rPr>
          <w:rStyle w:val="Strong"/>
          <w:b w:val="0"/>
          <w:bCs w:val="0"/>
          <w:sz w:val="24"/>
          <w:szCs w:val="24"/>
        </w:rPr>
        <w:t>offset by planting 90 fully grown pine trees</w:t>
      </w:r>
      <w:r>
        <w:rPr>
          <w:sz w:val="24"/>
          <w:szCs w:val="24"/>
        </w:rPr>
        <w:t>, offering a nature-based solution for carbon sequestration. The embodied energy of construction materials is also significant, with steel and brick being the major contributors.</w:t>
      </w:r>
    </w:p>
    <w:p w14:paraId="4DF6C7BC" w14:textId="77777777" w:rsidR="00E36730" w:rsidRPr="00BE69E9" w:rsidRDefault="00E36730" w:rsidP="00970AD7">
      <w:pPr>
        <w:rPr>
          <w:sz w:val="24"/>
          <w:szCs w:val="24"/>
        </w:rPr>
      </w:pPr>
      <w:r>
        <w:rPr>
          <w:sz w:val="24"/>
          <w:szCs w:val="24"/>
        </w:rPr>
        <w:t xml:space="preserve">This research contributes a </w:t>
      </w:r>
      <w:r>
        <w:rPr>
          <w:rStyle w:val="Strong"/>
          <w:b w:val="0"/>
          <w:bCs w:val="0"/>
          <w:sz w:val="24"/>
          <w:szCs w:val="24"/>
        </w:rPr>
        <w:t xml:space="preserve">replicable, data-driven methodology </w:t>
      </w:r>
      <w:r>
        <w:rPr>
          <w:sz w:val="24"/>
          <w:szCs w:val="24"/>
        </w:rPr>
        <w:t xml:space="preserve">for evaluating sustainability in institutional residential buildings. It can inform </w:t>
      </w:r>
      <w:r>
        <w:rPr>
          <w:rStyle w:val="Strong"/>
          <w:b w:val="0"/>
          <w:bCs w:val="0"/>
          <w:sz w:val="24"/>
          <w:szCs w:val="24"/>
        </w:rPr>
        <w:t>architects, engineers, and policymakers</w:t>
      </w:r>
      <w:r>
        <w:rPr>
          <w:sz w:val="24"/>
          <w:szCs w:val="24"/>
        </w:rPr>
        <w:t xml:space="preserve"> seeking to implement </w:t>
      </w:r>
      <w:r>
        <w:rPr>
          <w:rStyle w:val="Strong"/>
          <w:b w:val="0"/>
          <w:bCs w:val="0"/>
          <w:sz w:val="24"/>
          <w:szCs w:val="24"/>
        </w:rPr>
        <w:t>net-zero or low-emission strategies</w:t>
      </w:r>
      <w:r>
        <w:rPr>
          <w:sz w:val="24"/>
          <w:szCs w:val="24"/>
        </w:rPr>
        <w:t xml:space="preserve"> in both new and retrofitted structures. Moreover, it aligns with India's commitment to </w:t>
      </w:r>
      <w:r>
        <w:rPr>
          <w:rStyle w:val="Strong"/>
          <w:b w:val="0"/>
          <w:bCs w:val="0"/>
          <w:sz w:val="24"/>
          <w:szCs w:val="24"/>
        </w:rPr>
        <w:t>achieve net-zero emissions by 2070</w:t>
      </w:r>
      <w:r>
        <w:rPr>
          <w:sz w:val="24"/>
          <w:szCs w:val="24"/>
        </w:rPr>
        <w:t>, as announced at COP26, and supports global climate goals under the Paris Agreement and the UN Sustainable Development Goals (SDGs).</w:t>
      </w:r>
    </w:p>
    <w:p w14:paraId="0F5957CF" w14:textId="77777777" w:rsidR="00F37E93" w:rsidRPr="00D64814" w:rsidRDefault="00000000" w:rsidP="00970AD7">
      <w:pPr>
        <w:rPr>
          <w:sz w:val="24"/>
          <w:szCs w:val="24"/>
        </w:rPr>
      </w:pPr>
      <w:r w:rsidRPr="00D64814">
        <w:rPr>
          <w:sz w:val="24"/>
          <w:szCs w:val="24"/>
        </w:rPr>
        <w:t>While this study identifies high exhalation-related emissions as a key driver recommending improved passive ventilation, a detailed technical evaluation of fenestration retrofitting and its impact on thermal performance and energy loads falls beyond the scope of the current lifecycle carbon assessment. The quantitative assessment of how modifications to the existing hostel’s window-to-wall ratio, ventilator sizing, or envelope configuration would affect indoor thermal comfort, air change rates, and resultant operational energy demand requires dedicated building energy simulation and is being addressed in a subsequent study by the authors. This follow-up investigation will employ simulation tools to evaluate passive design interventions specific to the Lower Himalayan climate zone and will complement the lifecycle carbon findings presented here.</w:t>
      </w:r>
    </w:p>
    <w:p w14:paraId="718A51E0" w14:textId="77777777" w:rsidR="00E36730" w:rsidRPr="00BE69E9" w:rsidRDefault="00E36730" w:rsidP="00970AD7">
      <w:pPr>
        <w:rPr>
          <w:sz w:val="24"/>
          <w:szCs w:val="24"/>
        </w:rPr>
      </w:pPr>
      <w:r>
        <w:rPr>
          <w:sz w:val="24"/>
          <w:szCs w:val="24"/>
        </w:rPr>
        <w:lastRenderedPageBreak/>
        <w:t xml:space="preserve">As a way forward, the study recommends expanding research on next-generation materials such as </w:t>
      </w:r>
      <w:r>
        <w:rPr>
          <w:rStyle w:val="Strong"/>
          <w:b w:val="0"/>
          <w:bCs w:val="0"/>
          <w:sz w:val="24"/>
          <w:szCs w:val="24"/>
        </w:rPr>
        <w:t>geopolymer concrete, hempcrete, recycled steel, biobased flooring like cork and bamboo</w:t>
      </w:r>
      <w:r>
        <w:rPr>
          <w:sz w:val="24"/>
          <w:szCs w:val="24"/>
        </w:rPr>
        <w:t xml:space="preserve">. It also encourages to integrate smart metering and real time monitoring for energy optimization. The study also recommends to leverage decentralized renewable systems, </w:t>
      </w:r>
      <w:r>
        <w:rPr>
          <w:sz w:val="24"/>
          <w:szCs w:val="24"/>
          <w:lang w:val="en-IN" w:eastAsia="en-IN"/>
        </w:rPr>
        <w:t xml:space="preserve">such as hydrogen fuel cells and hybrid microgrids. </w:t>
      </w:r>
      <w:r>
        <w:rPr>
          <w:sz w:val="24"/>
          <w:szCs w:val="24"/>
        </w:rPr>
        <w:t xml:space="preserve">With advancements in </w:t>
      </w:r>
      <w:r>
        <w:rPr>
          <w:rStyle w:val="Strong"/>
          <w:b w:val="0"/>
          <w:bCs w:val="0"/>
          <w:sz w:val="24"/>
          <w:szCs w:val="24"/>
        </w:rPr>
        <w:t>transportation, production, and resource extraction</w:t>
      </w:r>
      <w:r>
        <w:rPr>
          <w:sz w:val="24"/>
          <w:szCs w:val="24"/>
        </w:rPr>
        <w:t>, new possibilities for reducing the carbon footprint across a building's lifecycle can be realized.</w:t>
      </w:r>
    </w:p>
    <w:p w14:paraId="6273E89F" w14:textId="77777777" w:rsidR="00B1000D" w:rsidRPr="00BE69E9" w:rsidRDefault="00E36730" w:rsidP="00941D61">
      <w:pPr>
        <w:spacing w:after="240"/>
        <w:rPr>
          <w:sz w:val="24"/>
          <w:szCs w:val="24"/>
        </w:rPr>
      </w:pPr>
      <w:r>
        <w:rPr>
          <w:sz w:val="24"/>
          <w:szCs w:val="24"/>
        </w:rPr>
        <w:t xml:space="preserve">In conclusion, this work demonstrates that </w:t>
      </w:r>
      <w:r>
        <w:rPr>
          <w:rStyle w:val="Strong"/>
          <w:b w:val="0"/>
          <w:bCs w:val="0"/>
          <w:sz w:val="24"/>
          <w:szCs w:val="24"/>
        </w:rPr>
        <w:t>holistic assessment and intervention strategies</w:t>
      </w:r>
      <w:r>
        <w:rPr>
          <w:sz w:val="24"/>
          <w:szCs w:val="24"/>
        </w:rPr>
        <w:t xml:space="preserve"> can not only mitigate environmental impacts but also pave the way toward </w:t>
      </w:r>
      <w:r>
        <w:rPr>
          <w:rStyle w:val="Strong"/>
          <w:b w:val="0"/>
          <w:bCs w:val="0"/>
          <w:sz w:val="24"/>
          <w:szCs w:val="24"/>
        </w:rPr>
        <w:t>climate-resilient and resource-efficient buildings</w:t>
      </w:r>
      <w:r>
        <w:rPr>
          <w:sz w:val="24"/>
          <w:szCs w:val="24"/>
        </w:rPr>
        <w:t>. As climate change accelerates, such analytical tools and localized actions will be essential for transforming the built environment into a catalyst for ecological balance and sustainability.</w:t>
      </w:r>
    </w:p>
    <w:p w14:paraId="13B00B7C" w14:textId="77777777" w:rsidR="00032907" w:rsidRPr="00BE69E9" w:rsidRDefault="00941D61" w:rsidP="00941D61">
      <w:pPr>
        <w:spacing w:after="240"/>
        <w:rPr>
          <w:b/>
          <w:bCs/>
          <w:sz w:val="24"/>
          <w:szCs w:val="24"/>
        </w:rPr>
      </w:pPr>
      <w:r>
        <w:rPr>
          <w:b/>
          <w:bCs/>
          <w:sz w:val="28"/>
          <w:szCs w:val="28"/>
        </w:rPr>
        <w:t>ACKNOWLEDGEMENTS</w:t>
      </w:r>
    </w:p>
    <w:p w14:paraId="63B540DA" w14:textId="77777777" w:rsidR="00032907" w:rsidRPr="00BE69E9" w:rsidRDefault="00032907" w:rsidP="00970AD7">
      <w:pPr>
        <w:rPr>
          <w:sz w:val="24"/>
          <w:szCs w:val="24"/>
        </w:rPr>
      </w:pPr>
      <w:r>
        <w:rPr>
          <w:sz w:val="24"/>
          <w:szCs w:val="24"/>
        </w:rPr>
        <w:t>The authors</w:t>
      </w:r>
      <w:r>
        <w:rPr>
          <w:b/>
          <w:bCs/>
          <w:sz w:val="24"/>
          <w:szCs w:val="24"/>
        </w:rPr>
        <w:t xml:space="preserve"> </w:t>
      </w:r>
      <w:r>
        <w:rPr>
          <w:sz w:val="24"/>
          <w:szCs w:val="24"/>
        </w:rPr>
        <w:t>extend sincere</w:t>
      </w:r>
      <w:r>
        <w:rPr>
          <w:b/>
          <w:bCs/>
          <w:sz w:val="24"/>
          <w:szCs w:val="24"/>
        </w:rPr>
        <w:t xml:space="preserve"> </w:t>
      </w:r>
      <w:r>
        <w:rPr>
          <w:sz w:val="24"/>
          <w:szCs w:val="24"/>
        </w:rPr>
        <w:t>gratitude to the administration and management of Parvati Girls' Hostel, NIT Hamirpur, for their cooperation and assistance during data collection and site-related investigations.</w:t>
      </w:r>
    </w:p>
    <w:p w14:paraId="3B85DCDD" w14:textId="77777777" w:rsidR="00B1000D" w:rsidRPr="00BE69E9" w:rsidRDefault="00032907" w:rsidP="00970AD7">
      <w:pPr>
        <w:rPr>
          <w:b/>
          <w:bCs/>
          <w:sz w:val="24"/>
          <w:szCs w:val="24"/>
        </w:rPr>
      </w:pPr>
      <w:r>
        <w:rPr>
          <w:b/>
          <w:bCs/>
          <w:sz w:val="24"/>
          <w:szCs w:val="24"/>
        </w:rPr>
        <w:t>Funding</w:t>
      </w:r>
    </w:p>
    <w:p w14:paraId="1976D2D2" w14:textId="77777777" w:rsidR="00032907" w:rsidRPr="00BE69E9" w:rsidRDefault="00032907" w:rsidP="00970AD7">
      <w:pPr>
        <w:rPr>
          <w:sz w:val="24"/>
          <w:szCs w:val="24"/>
        </w:rPr>
      </w:pPr>
      <w:r>
        <w:rPr>
          <w:sz w:val="24"/>
          <w:szCs w:val="24"/>
        </w:rPr>
        <w:t>This research received no external funding.</w:t>
      </w:r>
    </w:p>
    <w:p w14:paraId="7E826F2B" w14:textId="77777777" w:rsidR="00032907" w:rsidRPr="00BE69E9" w:rsidRDefault="00032907" w:rsidP="00970AD7">
      <w:pPr>
        <w:rPr>
          <w:b/>
          <w:bCs/>
          <w:sz w:val="24"/>
          <w:szCs w:val="24"/>
        </w:rPr>
      </w:pPr>
      <w:r>
        <w:rPr>
          <w:b/>
          <w:bCs/>
          <w:sz w:val="24"/>
          <w:szCs w:val="24"/>
        </w:rPr>
        <w:t>Author Contribution</w:t>
      </w:r>
    </w:p>
    <w:p w14:paraId="6CEFBD41" w14:textId="77777777" w:rsidR="00032907" w:rsidRPr="00BE69E9" w:rsidRDefault="00032907" w:rsidP="00970AD7">
      <w:pPr>
        <w:rPr>
          <w:sz w:val="24"/>
          <w:szCs w:val="24"/>
          <w:lang w:val="en-IN" w:eastAsia="en-IN"/>
        </w:rPr>
      </w:pPr>
      <w:r>
        <w:rPr>
          <w:sz w:val="24"/>
          <w:szCs w:val="24"/>
          <w:lang w:val="en-IN" w:eastAsia="en-IN"/>
        </w:rPr>
        <w:t xml:space="preserve">Monika Garg was responsible for the conceptualization of the study, development of the methodology, simulation work, data curation, analysis, visualization, and preparation of the original draft. Dr. </w:t>
      </w:r>
      <w:proofErr w:type="spellStart"/>
      <w:r>
        <w:rPr>
          <w:sz w:val="24"/>
          <w:szCs w:val="24"/>
          <w:lang w:val="en-IN" w:eastAsia="en-IN"/>
        </w:rPr>
        <w:t>Swechcha</w:t>
      </w:r>
      <w:proofErr w:type="spellEnd"/>
      <w:r>
        <w:rPr>
          <w:sz w:val="24"/>
          <w:szCs w:val="24"/>
          <w:lang w:val="en-IN" w:eastAsia="en-IN"/>
        </w:rPr>
        <w:t xml:space="preserve"> Roy contributed through supervision, validation of results, critical review, and editing of the manuscript, as well as providing guidance on research design and overall project administration. All authors have read and approved the final version of the manuscript.</w:t>
      </w:r>
    </w:p>
    <w:p w14:paraId="443C5189" w14:textId="77777777" w:rsidR="00032907" w:rsidRPr="00BE69E9" w:rsidRDefault="00032907" w:rsidP="00970AD7">
      <w:pPr>
        <w:rPr>
          <w:b/>
          <w:bCs/>
          <w:sz w:val="24"/>
          <w:szCs w:val="24"/>
        </w:rPr>
      </w:pPr>
      <w:r>
        <w:rPr>
          <w:b/>
          <w:bCs/>
          <w:sz w:val="24"/>
          <w:szCs w:val="24"/>
        </w:rPr>
        <w:t>Data Availability</w:t>
      </w:r>
    </w:p>
    <w:p w14:paraId="5910D666" w14:textId="77777777" w:rsidR="00032907" w:rsidRPr="00BE69E9" w:rsidRDefault="00032907" w:rsidP="00970AD7">
      <w:pPr>
        <w:rPr>
          <w:sz w:val="24"/>
          <w:szCs w:val="24"/>
        </w:rPr>
      </w:pPr>
      <w:r>
        <w:rPr>
          <w:sz w:val="24"/>
          <w:szCs w:val="24"/>
        </w:rPr>
        <w:t>The authors declare that all data generated or analyzed during this study are included in this paper.</w:t>
      </w:r>
    </w:p>
    <w:p w14:paraId="75FDFAE4" w14:textId="77777777" w:rsidR="00032907" w:rsidRPr="00BE69E9" w:rsidRDefault="00032907" w:rsidP="00970AD7">
      <w:pPr>
        <w:pStyle w:val="Heading1"/>
      </w:pPr>
      <w:r>
        <w:t xml:space="preserve">Declarations </w:t>
      </w:r>
    </w:p>
    <w:p w14:paraId="2B8EF5FD" w14:textId="77777777" w:rsidR="00032907" w:rsidRPr="00BE69E9" w:rsidRDefault="00032907" w:rsidP="00941D61">
      <w:pPr>
        <w:spacing w:after="240"/>
        <w:rPr>
          <w:sz w:val="24"/>
          <w:szCs w:val="24"/>
        </w:rPr>
      </w:pPr>
      <w:r>
        <w:rPr>
          <w:b/>
          <w:bCs/>
          <w:sz w:val="24"/>
          <w:szCs w:val="24"/>
        </w:rPr>
        <w:t>Competing Interests</w:t>
      </w:r>
      <w:r>
        <w:rPr>
          <w:sz w:val="24"/>
          <w:szCs w:val="24"/>
        </w:rPr>
        <w:t xml:space="preserve"> The authors declare no competing interests.</w:t>
      </w:r>
    </w:p>
    <w:p w14:paraId="267FB9D0" w14:textId="77777777" w:rsidR="000F5B04" w:rsidRPr="00BE69E9" w:rsidRDefault="00941D61" w:rsidP="00970AD7">
      <w:pPr>
        <w:pStyle w:val="Heading1"/>
      </w:pPr>
      <w:r>
        <w:t>REFERENCE</w:t>
      </w:r>
    </w:p>
    <w:p w14:paraId="0B01D801" w14:textId="77777777" w:rsidR="00D64814" w:rsidRDefault="006D1FE1" w:rsidP="0015127C">
      <w:pPr>
        <w:pStyle w:val="Bibliography"/>
        <w:numPr>
          <w:ilvl w:val="0"/>
          <w:numId w:val="11"/>
        </w:numPr>
      </w:pPr>
      <w:r>
        <w:rPr>
          <w:b/>
          <w:bCs/>
          <w:sz w:val="24"/>
          <w:szCs w:val="24"/>
        </w:rPr>
        <w:fldChar w:fldCharType="begin"/>
      </w:r>
      <w:r w:rsidR="00D64814">
        <w:rPr>
          <w:sz w:val="24"/>
          <w:szCs w:val="24"/>
        </w:rPr>
        <w:instrText xml:space="preserve"> ADDIN ZOTERO_BIBL {"uncited":[],"omitted":[],"custom":[]} CSL_BIBLIOGRAPHY </w:instrText>
      </w:r>
      <w:r>
        <w:rPr>
          <w:b/>
          <w:bCs/>
          <w:sz w:val="24"/>
          <w:szCs w:val="24"/>
        </w:rPr>
        <w:fldChar w:fldCharType="separate"/>
      </w:r>
      <w:r w:rsidR="00D64814">
        <w:t xml:space="preserve">Adeyeye, D., Olusola, A., Orimoloye, I. R., Singh, S. K., &amp; Adelabu, S. (2023). Carbon footprint assessment and mitigation scenarios: A benchmark model for GHG indicator in a Nigerian University. </w:t>
      </w:r>
      <w:r w:rsidR="00D64814">
        <w:rPr>
          <w:i/>
          <w:iCs/>
        </w:rPr>
        <w:t>Environment, Development and Sustainability</w:t>
      </w:r>
      <w:r w:rsidR="00D64814">
        <w:t xml:space="preserve">, </w:t>
      </w:r>
      <w:r w:rsidR="00D64814">
        <w:rPr>
          <w:i/>
          <w:iCs/>
        </w:rPr>
        <w:t>25</w:t>
      </w:r>
      <w:r w:rsidR="00D64814">
        <w:t>(2), 1361–1382. https://doi.org/10.1007/s10668-021-02098-1</w:t>
      </w:r>
    </w:p>
    <w:p w14:paraId="60C84241" w14:textId="77777777" w:rsidR="00D64814" w:rsidRDefault="00D64814" w:rsidP="0015127C">
      <w:pPr>
        <w:pStyle w:val="Bibliography"/>
        <w:numPr>
          <w:ilvl w:val="0"/>
          <w:numId w:val="11"/>
        </w:numPr>
      </w:pPr>
      <w:r>
        <w:t xml:space="preserve">Almusaed, A., Yitmen, I., Myhren, J. A., &amp; Almssad, A. (2024). Assessing the Impact of Recycled Building Materials on Environmental Sustainability and Energy Efficiency: A Comprehensive Framework for Reducing Greenhouse Gas Emissions. </w:t>
      </w:r>
      <w:r>
        <w:rPr>
          <w:i/>
          <w:iCs/>
        </w:rPr>
        <w:t>Buildings</w:t>
      </w:r>
      <w:r>
        <w:t xml:space="preserve">, </w:t>
      </w:r>
      <w:r>
        <w:rPr>
          <w:i/>
          <w:iCs/>
        </w:rPr>
        <w:t>14</w:t>
      </w:r>
      <w:r>
        <w:t>(6), 1566. https://doi.org/10.3390/buildings14061566</w:t>
      </w:r>
    </w:p>
    <w:p w14:paraId="7DA291AC" w14:textId="77777777" w:rsidR="00D64814" w:rsidRDefault="00D64814" w:rsidP="0015127C">
      <w:pPr>
        <w:pStyle w:val="Bibliography"/>
        <w:numPr>
          <w:ilvl w:val="0"/>
          <w:numId w:val="11"/>
        </w:numPr>
      </w:pPr>
      <w:r>
        <w:t xml:space="preserve">Ardente, F., Beccali, M., Cellura, M., &amp; Mistretta, M. (2008). Building energy performance: A LCA case study of kenaf-fibres insulation board. </w:t>
      </w:r>
      <w:r>
        <w:rPr>
          <w:i/>
          <w:iCs/>
        </w:rPr>
        <w:t>Energy and Buildings</w:t>
      </w:r>
      <w:r>
        <w:t xml:space="preserve">, </w:t>
      </w:r>
      <w:r>
        <w:rPr>
          <w:i/>
          <w:iCs/>
        </w:rPr>
        <w:t>40</w:t>
      </w:r>
      <w:r>
        <w:t>(1), 1–10. https://doi.org/10.1016/j.enbuild.2006.12.009</w:t>
      </w:r>
    </w:p>
    <w:p w14:paraId="60BB806C" w14:textId="77777777" w:rsidR="00D64814" w:rsidRDefault="00D64814" w:rsidP="0015127C">
      <w:pPr>
        <w:pStyle w:val="Bibliography"/>
        <w:numPr>
          <w:ilvl w:val="0"/>
          <w:numId w:val="11"/>
        </w:numPr>
      </w:pPr>
      <w:r>
        <w:t xml:space="preserve">Arena, A. P., &amp; de Rosa, C. (2023). Life cycle assessment of energy and environmental implications of the implementation of conservation technologies in school buildings in Mendoza—Argentina. </w:t>
      </w:r>
      <w:r>
        <w:rPr>
          <w:i/>
          <w:iCs/>
        </w:rPr>
        <w:t>Building and Environment</w:t>
      </w:r>
      <w:r>
        <w:t xml:space="preserve">, </w:t>
      </w:r>
      <w:r>
        <w:rPr>
          <w:i/>
          <w:iCs/>
        </w:rPr>
        <w:t>38</w:t>
      </w:r>
      <w:r>
        <w:t>, 359–368.</w:t>
      </w:r>
    </w:p>
    <w:p w14:paraId="143AA2B4" w14:textId="77777777" w:rsidR="00D64814" w:rsidRDefault="00D64814" w:rsidP="0015127C">
      <w:pPr>
        <w:pStyle w:val="Bibliography"/>
        <w:numPr>
          <w:ilvl w:val="0"/>
          <w:numId w:val="11"/>
        </w:numPr>
      </w:pPr>
      <w:r>
        <w:t xml:space="preserve">Asdrubali, F., Baldassarri, C., &amp; Fthenakis, V. (2013). Life cycle analysis in the construction sector: Guiding the optimization of conventional Italian buildings. </w:t>
      </w:r>
      <w:r>
        <w:rPr>
          <w:i/>
          <w:iCs/>
        </w:rPr>
        <w:t>Energy and Buildings</w:t>
      </w:r>
      <w:r>
        <w:t xml:space="preserve">, </w:t>
      </w:r>
      <w:r>
        <w:rPr>
          <w:i/>
          <w:iCs/>
        </w:rPr>
        <w:t>64</w:t>
      </w:r>
      <w:r>
        <w:t>, 73–89. https://doi.org/10.1016/j.enbuild.2013.04.018</w:t>
      </w:r>
    </w:p>
    <w:p w14:paraId="28808359" w14:textId="77777777" w:rsidR="00D64814" w:rsidRDefault="00D64814" w:rsidP="0015127C">
      <w:pPr>
        <w:pStyle w:val="Bibliography"/>
        <w:numPr>
          <w:ilvl w:val="0"/>
          <w:numId w:val="11"/>
        </w:numPr>
      </w:pPr>
      <w:r>
        <w:t xml:space="preserve">Ashutosh Pathak, Harshad Patil, Sandesh Patil, Varun Patil, &amp; Prof. Firdos Khan. (2022). A Review on Bio Methane Production using Kitchen Waste. </w:t>
      </w:r>
      <w:r>
        <w:rPr>
          <w:i/>
          <w:iCs/>
        </w:rPr>
        <w:t>International Journal of Engineering Research &amp; Technology (IJERT)</w:t>
      </w:r>
      <w:r>
        <w:t xml:space="preserve">, </w:t>
      </w:r>
      <w:r>
        <w:rPr>
          <w:i/>
          <w:iCs/>
        </w:rPr>
        <w:t>11</w:t>
      </w:r>
      <w:r>
        <w:t>(4).</w:t>
      </w:r>
    </w:p>
    <w:p w14:paraId="653BAA66" w14:textId="77777777" w:rsidR="00D64814" w:rsidRDefault="00D64814" w:rsidP="0015127C">
      <w:pPr>
        <w:pStyle w:val="Bibliography"/>
        <w:numPr>
          <w:ilvl w:val="0"/>
          <w:numId w:val="11"/>
        </w:numPr>
      </w:pPr>
      <w:r>
        <w:t xml:space="preserve">B. Surekha, M. N. HEGDE, &amp; K. S. JAGADISH. (2016). ENERGY AND BUILDING MATERIALS. </w:t>
      </w:r>
      <w:r>
        <w:rPr>
          <w:i/>
          <w:iCs/>
        </w:rPr>
        <w:t>IASET</w:t>
      </w:r>
      <w:r>
        <w:t xml:space="preserve">, </w:t>
      </w:r>
      <w:r>
        <w:rPr>
          <w:i/>
          <w:iCs/>
        </w:rPr>
        <w:t>5</w:t>
      </w:r>
      <w:r>
        <w:t>(5), 13–24.</w:t>
      </w:r>
    </w:p>
    <w:p w14:paraId="3D04E651" w14:textId="77777777" w:rsidR="00D64814" w:rsidRDefault="00D64814" w:rsidP="0015127C">
      <w:pPr>
        <w:pStyle w:val="Bibliography"/>
        <w:numPr>
          <w:ilvl w:val="0"/>
          <w:numId w:val="11"/>
        </w:numPr>
      </w:pPr>
      <w:r>
        <w:lastRenderedPageBreak/>
        <w:t xml:space="preserve">Baste, P., &amp; Thakare, Ar. H. (2023). Optimization for Carbon Footprint in an Institutional Campus. </w:t>
      </w:r>
      <w:r>
        <w:rPr>
          <w:i/>
          <w:iCs/>
        </w:rPr>
        <w:t>Ecology, Environment and Conservation</w:t>
      </w:r>
      <w:r>
        <w:t xml:space="preserve">, </w:t>
      </w:r>
      <w:r>
        <w:rPr>
          <w:i/>
          <w:iCs/>
        </w:rPr>
        <w:t>29</w:t>
      </w:r>
      <w:r>
        <w:t>(01), 175–181. https://doi.org/10.53550/eec.2023.v29i01.028</w:t>
      </w:r>
    </w:p>
    <w:p w14:paraId="00049469" w14:textId="77777777" w:rsidR="00D64814" w:rsidRDefault="00D64814" w:rsidP="0015127C">
      <w:pPr>
        <w:pStyle w:val="Bibliography"/>
        <w:numPr>
          <w:ilvl w:val="0"/>
          <w:numId w:val="11"/>
        </w:numPr>
      </w:pPr>
      <w:r>
        <w:t xml:space="preserve">Ben-Alon, L., Loftness, V., Harries, K. A., &amp; Cochran Hameen, E. (2021). Life cycle assessment (LCA) of natural vs conventional building assemblies. </w:t>
      </w:r>
      <w:r>
        <w:rPr>
          <w:i/>
          <w:iCs/>
        </w:rPr>
        <w:t>Renewable and Sustainable Energy Reviews</w:t>
      </w:r>
      <w:r>
        <w:t xml:space="preserve">, </w:t>
      </w:r>
      <w:r>
        <w:rPr>
          <w:i/>
          <w:iCs/>
        </w:rPr>
        <w:t>144</w:t>
      </w:r>
      <w:r>
        <w:t>, 110951. https://doi.org/10.1016/j.rser.2021.110951</w:t>
      </w:r>
    </w:p>
    <w:p w14:paraId="7D818FEC" w14:textId="77777777" w:rsidR="00D64814" w:rsidRDefault="00D64814" w:rsidP="0015127C">
      <w:pPr>
        <w:pStyle w:val="Bibliography"/>
        <w:numPr>
          <w:ilvl w:val="0"/>
          <w:numId w:val="11"/>
        </w:numPr>
      </w:pPr>
      <w:r>
        <w:t xml:space="preserve">Bhawan, S., &amp; Puram, R. K. (2025). </w:t>
      </w:r>
      <w:r>
        <w:rPr>
          <w:i/>
          <w:iCs/>
        </w:rPr>
        <w:t>Central Electricity Authority: CO2 Baseline Database  for the Indian Power Sector</w:t>
      </w:r>
      <w:r>
        <w:t>.</w:t>
      </w:r>
    </w:p>
    <w:p w14:paraId="6E7B5A86" w14:textId="77777777" w:rsidR="00D64814" w:rsidRDefault="00D64814" w:rsidP="0015127C">
      <w:pPr>
        <w:pStyle w:val="Bibliography"/>
        <w:numPr>
          <w:ilvl w:val="0"/>
          <w:numId w:val="11"/>
        </w:numPr>
      </w:pPr>
      <w:r>
        <w:rPr>
          <w:i/>
          <w:iCs/>
        </w:rPr>
        <w:t>Biogas Programme</w:t>
      </w:r>
      <w:r>
        <w:t>. (2022). [MINISTRY OF NEW AND RENEWABLE ENERGY]. https://mnre.gov.in/en/bio-gas/</w:t>
      </w:r>
    </w:p>
    <w:p w14:paraId="0D4CC862" w14:textId="77777777" w:rsidR="00D64814" w:rsidRDefault="00D64814" w:rsidP="0015127C">
      <w:pPr>
        <w:pStyle w:val="Bibliography"/>
        <w:numPr>
          <w:ilvl w:val="0"/>
          <w:numId w:val="11"/>
        </w:numPr>
      </w:pPr>
      <w:r>
        <w:t xml:space="preserve">Bisht, A. S., &amp; Sharma, T. (2025). Indian power sector decarbonization: Net-zero by 2050 or 2070. </w:t>
      </w:r>
      <w:r>
        <w:rPr>
          <w:i/>
          <w:iCs/>
        </w:rPr>
        <w:t>Energy for Sustainable Development</w:t>
      </w:r>
      <w:r>
        <w:t xml:space="preserve">, </w:t>
      </w:r>
      <w:r>
        <w:rPr>
          <w:i/>
          <w:iCs/>
        </w:rPr>
        <w:t>85</w:t>
      </w:r>
      <w:r>
        <w:t>, 101637. https://doi.org/10.1016/j.esd.2024.101637</w:t>
      </w:r>
    </w:p>
    <w:p w14:paraId="55B01B43" w14:textId="77777777" w:rsidR="00D64814" w:rsidRDefault="00D64814" w:rsidP="0015127C">
      <w:pPr>
        <w:pStyle w:val="Bibliography"/>
        <w:numPr>
          <w:ilvl w:val="0"/>
          <w:numId w:val="11"/>
        </w:numPr>
      </w:pPr>
      <w:r>
        <w:t xml:space="preserve">Blengini, G. A. (2009). Life cycle of buildings, demolition and recycling potential: A case study in Turin, Italy. </w:t>
      </w:r>
      <w:r>
        <w:rPr>
          <w:i/>
          <w:iCs/>
        </w:rPr>
        <w:t>Building and Environment</w:t>
      </w:r>
      <w:r>
        <w:t xml:space="preserve">, </w:t>
      </w:r>
      <w:r>
        <w:rPr>
          <w:i/>
          <w:iCs/>
        </w:rPr>
        <w:t>44</w:t>
      </w:r>
      <w:r>
        <w:t>(2), 319–330. https://doi.org/10.1016/j.buildenv.2008.03.007</w:t>
      </w:r>
    </w:p>
    <w:p w14:paraId="6012B400" w14:textId="77777777" w:rsidR="00D64814" w:rsidRDefault="00D64814" w:rsidP="0015127C">
      <w:pPr>
        <w:pStyle w:val="Bibliography"/>
        <w:numPr>
          <w:ilvl w:val="0"/>
          <w:numId w:val="11"/>
        </w:numPr>
      </w:pPr>
      <w:r>
        <w:t xml:space="preserve">Brandon, P. S., &amp; Lombardi, P. L. (2011). </w:t>
      </w:r>
      <w:r>
        <w:rPr>
          <w:i/>
          <w:iCs/>
        </w:rPr>
        <w:t>Evaluating sustainable development in the built environment</w:t>
      </w:r>
      <w:r>
        <w:t xml:space="preserve"> (2. ed). Wiley-Blackwell.</w:t>
      </w:r>
    </w:p>
    <w:p w14:paraId="48905BF6" w14:textId="77777777" w:rsidR="00D64814" w:rsidRDefault="00D64814" w:rsidP="0015127C">
      <w:pPr>
        <w:pStyle w:val="Bibliography"/>
        <w:numPr>
          <w:ilvl w:val="0"/>
          <w:numId w:val="11"/>
        </w:numPr>
      </w:pPr>
      <w:r>
        <w:t xml:space="preserve">Chau, C. K., Leung, T. M., &amp; Ng, W. Y. (2015). A review on Life Cycle Assessment, Life Cycle Energy Assessment and Life Cycle Carbon Emissions Assessment on buildings. </w:t>
      </w:r>
      <w:r>
        <w:rPr>
          <w:i/>
          <w:iCs/>
        </w:rPr>
        <w:t>Applied Energy</w:t>
      </w:r>
      <w:r>
        <w:t xml:space="preserve">, </w:t>
      </w:r>
      <w:r>
        <w:rPr>
          <w:i/>
          <w:iCs/>
        </w:rPr>
        <w:t>143</w:t>
      </w:r>
      <w:r>
        <w:t>, 395–413. https://doi.org/10.1016/j.apenergy.2015.01.023</w:t>
      </w:r>
    </w:p>
    <w:p w14:paraId="6524BEC9" w14:textId="77777777" w:rsidR="00D64814" w:rsidRDefault="00D64814" w:rsidP="0015127C">
      <w:pPr>
        <w:pStyle w:val="Bibliography"/>
        <w:numPr>
          <w:ilvl w:val="0"/>
          <w:numId w:val="11"/>
        </w:numPr>
      </w:pPr>
      <w:r>
        <w:t xml:space="preserve">Chen, X., Shi, P., &amp; Wang, H. (2025). Life cycle environmental impact assessment of bridges based on comparison of different construction schemes. </w:t>
      </w:r>
      <w:r>
        <w:rPr>
          <w:i/>
          <w:iCs/>
        </w:rPr>
        <w:t>Environment, Development and Sustainability</w:t>
      </w:r>
      <w:r>
        <w:t>. https://doi.org/10.1007/s10668-024-05895-6</w:t>
      </w:r>
    </w:p>
    <w:p w14:paraId="4DB81DBA" w14:textId="77777777" w:rsidR="00D64814" w:rsidRDefault="00D64814" w:rsidP="0015127C">
      <w:pPr>
        <w:pStyle w:val="Bibliography"/>
        <w:numPr>
          <w:ilvl w:val="0"/>
          <w:numId w:val="11"/>
        </w:numPr>
      </w:pPr>
      <w:r>
        <w:t xml:space="preserve">Chou, J.-S., &amp; Yeh, K.-C. (2015). Life cycle carbon dioxide emissions simulation and environmental cost analysis for building construction. </w:t>
      </w:r>
      <w:r>
        <w:rPr>
          <w:i/>
          <w:iCs/>
        </w:rPr>
        <w:t>Journal of Cleaner Production</w:t>
      </w:r>
      <w:r>
        <w:t xml:space="preserve">, </w:t>
      </w:r>
      <w:r>
        <w:rPr>
          <w:i/>
          <w:iCs/>
        </w:rPr>
        <w:t>101</w:t>
      </w:r>
      <w:r>
        <w:t>, 137–147. https://doi.org/10.1016/j.jclepro.2015.04.001</w:t>
      </w:r>
    </w:p>
    <w:p w14:paraId="2B595A50" w14:textId="77777777" w:rsidR="00D64814" w:rsidRDefault="00D64814" w:rsidP="0015127C">
      <w:pPr>
        <w:pStyle w:val="Bibliography"/>
        <w:numPr>
          <w:ilvl w:val="0"/>
          <w:numId w:val="11"/>
        </w:numPr>
      </w:pPr>
      <w:r>
        <w:t xml:space="preserve">Dash A. (2015). </w:t>
      </w:r>
      <w:r>
        <w:rPr>
          <w:i/>
          <w:iCs/>
        </w:rPr>
        <w:t>Food for thought. Insight: IIT Bombay’s Student Media Body</w:t>
      </w:r>
      <w:r>
        <w:t>.</w:t>
      </w:r>
    </w:p>
    <w:p w14:paraId="1DEA7E90" w14:textId="77777777" w:rsidR="00D64814" w:rsidRDefault="00D64814" w:rsidP="0015127C">
      <w:pPr>
        <w:pStyle w:val="Bibliography"/>
        <w:numPr>
          <w:ilvl w:val="0"/>
          <w:numId w:val="11"/>
        </w:numPr>
      </w:pPr>
      <w:r>
        <w:t xml:space="preserve">Ding, W., Cai, Z., &amp; Wang, D. (2004). Preliminary budget of methane emissions from natural wetlands in China. </w:t>
      </w:r>
      <w:r>
        <w:rPr>
          <w:i/>
          <w:iCs/>
        </w:rPr>
        <w:t>Atmospheric Environment</w:t>
      </w:r>
      <w:r>
        <w:t xml:space="preserve">, </w:t>
      </w:r>
      <w:r>
        <w:rPr>
          <w:i/>
          <w:iCs/>
        </w:rPr>
        <w:t>38</w:t>
      </w:r>
      <w:r>
        <w:t>(5), 751–759. https://doi.org/10.1016/j.atmosenv.2003.10.016</w:t>
      </w:r>
    </w:p>
    <w:p w14:paraId="48062970" w14:textId="77777777" w:rsidR="00D64814" w:rsidRDefault="00D64814" w:rsidP="0015127C">
      <w:pPr>
        <w:pStyle w:val="Bibliography"/>
        <w:numPr>
          <w:ilvl w:val="0"/>
          <w:numId w:val="11"/>
        </w:numPr>
      </w:pPr>
      <w:r>
        <w:t xml:space="preserve">Dong, W., Kong, F., He, T., Liu, M., Wu, J., &amp; Zhang, L. (2024). Enhancing performance and reducing carbon emissions in sprayed concrete using green silica-lignin admixture and recycled aggregates. </w:t>
      </w:r>
      <w:r>
        <w:rPr>
          <w:i/>
          <w:iCs/>
        </w:rPr>
        <w:t>Low-Carbon Materials and Green Construction</w:t>
      </w:r>
      <w:r>
        <w:t xml:space="preserve">, </w:t>
      </w:r>
      <w:r>
        <w:rPr>
          <w:i/>
          <w:iCs/>
        </w:rPr>
        <w:t>2</w:t>
      </w:r>
      <w:r>
        <w:t>(1), 28. https://doi.org/10.1007/s44242-024-00055-5</w:t>
      </w:r>
    </w:p>
    <w:p w14:paraId="2F708056" w14:textId="77777777" w:rsidR="00D64814" w:rsidRDefault="00D64814" w:rsidP="0015127C">
      <w:pPr>
        <w:pStyle w:val="Bibliography"/>
        <w:numPr>
          <w:ilvl w:val="0"/>
          <w:numId w:val="11"/>
        </w:numPr>
      </w:pPr>
      <w:r>
        <w:t xml:space="preserve">Dong, Y., Liu, P., &amp; Hossain, Md. U. (2023). Life Cycle Sustainability Assessment of Building Construction: A Case Study in China. </w:t>
      </w:r>
      <w:r>
        <w:rPr>
          <w:i/>
          <w:iCs/>
        </w:rPr>
        <w:t>Sustainability</w:t>
      </w:r>
      <w:r>
        <w:t xml:space="preserve">, </w:t>
      </w:r>
      <w:r>
        <w:rPr>
          <w:i/>
          <w:iCs/>
        </w:rPr>
        <w:t>15</w:t>
      </w:r>
      <w:r>
        <w:t>(9), 7655. https://doi.org/10.3390/su15097655</w:t>
      </w:r>
    </w:p>
    <w:p w14:paraId="09F82422" w14:textId="77777777" w:rsidR="00D64814" w:rsidRDefault="00D64814" w:rsidP="0015127C">
      <w:pPr>
        <w:pStyle w:val="Bibliography"/>
        <w:numPr>
          <w:ilvl w:val="0"/>
          <w:numId w:val="11"/>
        </w:numPr>
      </w:pPr>
      <w:r>
        <w:t xml:space="preserve">Eggleston, H. S. (Ed.). (2006). </w:t>
      </w:r>
      <w:r>
        <w:rPr>
          <w:i/>
          <w:iCs/>
        </w:rPr>
        <w:t>2006 IPCC guidelines for national greenhouse gas inventories</w:t>
      </w:r>
      <w:r>
        <w:t>. Institute for Global Environmental Strategies.</w:t>
      </w:r>
    </w:p>
    <w:p w14:paraId="0F8EEB5F" w14:textId="77777777" w:rsidR="00D64814" w:rsidRDefault="00D64814" w:rsidP="0015127C">
      <w:pPr>
        <w:pStyle w:val="Bibliography"/>
        <w:numPr>
          <w:ilvl w:val="0"/>
          <w:numId w:val="11"/>
        </w:numPr>
      </w:pPr>
      <w:r>
        <w:t xml:space="preserve">Endo, Y., &amp; Takamura, H. (2021). Evaluation of Life-Cycle Assessment Analysis: Application to Restoration Projects and New Construction in Alpine Climate, Japan. </w:t>
      </w:r>
      <w:r>
        <w:rPr>
          <w:i/>
          <w:iCs/>
        </w:rPr>
        <w:t>Sustainability</w:t>
      </w:r>
      <w:r>
        <w:t xml:space="preserve">, </w:t>
      </w:r>
      <w:r>
        <w:rPr>
          <w:i/>
          <w:iCs/>
        </w:rPr>
        <w:t>13</w:t>
      </w:r>
      <w:r>
        <w:t>(7), 3608. https://doi.org/10.3390/su13073608</w:t>
      </w:r>
    </w:p>
    <w:p w14:paraId="78E845C5" w14:textId="77777777" w:rsidR="00D64814" w:rsidRDefault="00D64814" w:rsidP="0015127C">
      <w:pPr>
        <w:pStyle w:val="Bibliography"/>
        <w:numPr>
          <w:ilvl w:val="0"/>
          <w:numId w:val="11"/>
        </w:numPr>
      </w:pPr>
      <w:r>
        <w:lastRenderedPageBreak/>
        <w:t xml:space="preserve">Fan, F., Zhu, S., Huang, J., Xu, X., &amp; Xu, F. (2025). Life cycle assessment of carbon emissions and reduction potential exploration of new building complexes in Universities: A case study in China. </w:t>
      </w:r>
      <w:r>
        <w:rPr>
          <w:i/>
          <w:iCs/>
        </w:rPr>
        <w:t>The International Journal of Life Cycle Assessment</w:t>
      </w:r>
      <w:r>
        <w:t xml:space="preserve">, </w:t>
      </w:r>
      <w:r>
        <w:rPr>
          <w:i/>
          <w:iCs/>
        </w:rPr>
        <w:t>30</w:t>
      </w:r>
      <w:r>
        <w:t>(4), 621–637. https://doi.org/10.1007/s11367-025-02429-8</w:t>
      </w:r>
    </w:p>
    <w:p w14:paraId="01C9817E" w14:textId="77777777" w:rsidR="00D64814" w:rsidRDefault="00D64814" w:rsidP="0015127C">
      <w:pPr>
        <w:pStyle w:val="Bibliography"/>
        <w:numPr>
          <w:ilvl w:val="0"/>
          <w:numId w:val="11"/>
        </w:numPr>
      </w:pPr>
      <w:r>
        <w:t xml:space="preserve">Figueiredo, K., Hammad, A. W. A., &amp; Haddad, A. N. (2024). Life cycle sustainability assessment applied in the built environment. In </w:t>
      </w:r>
      <w:r>
        <w:rPr>
          <w:i/>
          <w:iCs/>
        </w:rPr>
        <w:t>Materials Selection for Sustainability in the Built Environment</w:t>
      </w:r>
      <w:r>
        <w:t xml:space="preserve"> (pp. 243–265). Elsevier. https://doi.org/10.1016/B978-0-323-95122-7.00012-5</w:t>
      </w:r>
    </w:p>
    <w:p w14:paraId="2A797A0B" w14:textId="77777777" w:rsidR="00D64814" w:rsidRDefault="00D64814" w:rsidP="0015127C">
      <w:pPr>
        <w:pStyle w:val="Bibliography"/>
        <w:numPr>
          <w:ilvl w:val="0"/>
          <w:numId w:val="11"/>
        </w:numPr>
      </w:pPr>
      <w:r>
        <w:t xml:space="preserve">Goh, C. S., Chong, H.-Y., Jack, L., &amp; Mohd Faris, A. F. (2020). Revisiting triple bottom line within the context of sustainable construction: A systematic review. </w:t>
      </w:r>
      <w:r>
        <w:rPr>
          <w:i/>
          <w:iCs/>
        </w:rPr>
        <w:t>Journal of Cleaner Production</w:t>
      </w:r>
      <w:r>
        <w:t xml:space="preserve">, </w:t>
      </w:r>
      <w:r>
        <w:rPr>
          <w:i/>
          <w:iCs/>
        </w:rPr>
        <w:t>252</w:t>
      </w:r>
      <w:r>
        <w:t>(10), 119884. https://doi.org/10.1016/j.jclepro.2019.119884</w:t>
      </w:r>
    </w:p>
    <w:p w14:paraId="114BC57A" w14:textId="77777777" w:rsidR="00D64814" w:rsidRDefault="00D64814" w:rsidP="0015127C">
      <w:pPr>
        <w:pStyle w:val="Bibliography"/>
        <w:numPr>
          <w:ilvl w:val="0"/>
          <w:numId w:val="11"/>
        </w:numPr>
      </w:pPr>
      <w:r>
        <w:t xml:space="preserve">Gore, C., &amp; Gore, E. (1999). Knowledge management: The way forward. </w:t>
      </w:r>
      <w:r>
        <w:rPr>
          <w:i/>
          <w:iCs/>
        </w:rPr>
        <w:t>Total Quality Management</w:t>
      </w:r>
      <w:r>
        <w:t xml:space="preserve">, </w:t>
      </w:r>
      <w:r>
        <w:rPr>
          <w:i/>
          <w:iCs/>
        </w:rPr>
        <w:t>10</w:t>
      </w:r>
      <w:r>
        <w:t>(4–5), 554–560. https://doi.org/10.1080/0954412997523</w:t>
      </w:r>
    </w:p>
    <w:p w14:paraId="22E39CC2" w14:textId="77777777" w:rsidR="00D64814" w:rsidRDefault="00D64814" w:rsidP="0015127C">
      <w:pPr>
        <w:pStyle w:val="Bibliography"/>
        <w:numPr>
          <w:ilvl w:val="0"/>
          <w:numId w:val="11"/>
        </w:numPr>
      </w:pPr>
      <w:r>
        <w:t xml:space="preserve">Hammond, G. P., &amp; Jones, C. I. (2008). Embodied energy and carbon in construction materials. </w:t>
      </w:r>
      <w:r>
        <w:rPr>
          <w:i/>
          <w:iCs/>
        </w:rPr>
        <w:t>Proceedings of the Institution of Civil Engineers - Energy</w:t>
      </w:r>
      <w:r>
        <w:t xml:space="preserve">, </w:t>
      </w:r>
      <w:r>
        <w:rPr>
          <w:i/>
          <w:iCs/>
        </w:rPr>
        <w:t>161</w:t>
      </w:r>
      <w:r>
        <w:t>(2), 87–98. https://doi.org/10.1680/ener.2008.161.2.87</w:t>
      </w:r>
    </w:p>
    <w:p w14:paraId="1101843D" w14:textId="77777777" w:rsidR="00D64814" w:rsidRDefault="00D64814" w:rsidP="0015127C">
      <w:pPr>
        <w:pStyle w:val="Bibliography"/>
        <w:numPr>
          <w:ilvl w:val="0"/>
          <w:numId w:val="11"/>
        </w:numPr>
      </w:pPr>
      <w:r>
        <w:t xml:space="preserve">Hansen, R. N., Rasmussen, F. N., Ryberg, M., &amp; Birgisdóttir, H. (2023). A systematic review of consequential LCA on buildings: The perspectives and challenges of applications and inventory modelling. </w:t>
      </w:r>
      <w:r>
        <w:rPr>
          <w:i/>
          <w:iCs/>
        </w:rPr>
        <w:t>The International Journal of Life Cycle Assessment</w:t>
      </w:r>
      <w:r>
        <w:t xml:space="preserve">, </w:t>
      </w:r>
      <w:r>
        <w:rPr>
          <w:i/>
          <w:iCs/>
        </w:rPr>
        <w:t>28</w:t>
      </w:r>
      <w:r>
        <w:t>(2), 131–145. https://doi.org/10.1007/s11367-022-02126-w</w:t>
      </w:r>
    </w:p>
    <w:p w14:paraId="023ACFC3" w14:textId="77777777" w:rsidR="00D64814" w:rsidRDefault="00D64814" w:rsidP="0015127C">
      <w:pPr>
        <w:pStyle w:val="Bibliography"/>
        <w:numPr>
          <w:ilvl w:val="0"/>
          <w:numId w:val="11"/>
        </w:numPr>
      </w:pPr>
      <w:r>
        <w:t xml:space="preserve">Hao, J. L., Cheng, B., Lu, W., Xu, J., Wang, J., Bu, W., &amp; Guo, Z. (2020). Carbon emission reduction in prefabrication construction during materialization stage: A BIM-based life-cycle assessment approach. </w:t>
      </w:r>
      <w:r>
        <w:rPr>
          <w:i/>
          <w:iCs/>
        </w:rPr>
        <w:t>Science of The Total Environment</w:t>
      </w:r>
      <w:r>
        <w:t xml:space="preserve">, </w:t>
      </w:r>
      <w:r>
        <w:rPr>
          <w:i/>
          <w:iCs/>
        </w:rPr>
        <w:t>723</w:t>
      </w:r>
      <w:r>
        <w:t>, 137870. https://doi.org/10.1016/j.scitotenv.2020.137870</w:t>
      </w:r>
    </w:p>
    <w:p w14:paraId="254116C7" w14:textId="77777777" w:rsidR="00D64814" w:rsidRDefault="00D64814" w:rsidP="0015127C">
      <w:pPr>
        <w:pStyle w:val="Bibliography"/>
        <w:numPr>
          <w:ilvl w:val="0"/>
          <w:numId w:val="11"/>
        </w:numPr>
      </w:pPr>
      <w:r>
        <w:t xml:space="preserve">Hasik, V., Escott, E., Bates, R., Carlisle, S., Faircloth, B., &amp; Bilec, M. M. (2019). Comparative whole-building life cycle assessment of renovation and new construction. </w:t>
      </w:r>
      <w:r>
        <w:rPr>
          <w:i/>
          <w:iCs/>
        </w:rPr>
        <w:t>Building and Environment</w:t>
      </w:r>
      <w:r>
        <w:t xml:space="preserve">, </w:t>
      </w:r>
      <w:r>
        <w:rPr>
          <w:i/>
          <w:iCs/>
        </w:rPr>
        <w:t>161</w:t>
      </w:r>
      <w:r>
        <w:t>, 106218. https://doi.org/10.1016/j.buildenv.2019.106218</w:t>
      </w:r>
    </w:p>
    <w:p w14:paraId="4D1386D8" w14:textId="77777777" w:rsidR="00D64814" w:rsidRDefault="00D64814" w:rsidP="0015127C">
      <w:pPr>
        <w:pStyle w:val="Bibliography"/>
        <w:numPr>
          <w:ilvl w:val="0"/>
          <w:numId w:val="11"/>
        </w:numPr>
      </w:pPr>
      <w:r>
        <w:rPr>
          <w:i/>
          <w:iCs/>
        </w:rPr>
        <w:t>India CO2 emissions</w:t>
      </w:r>
      <w:r>
        <w:t>. (2024). [Worldometer]. https://www.worldometers.info/co2-emissions/india-co2-emissions/</w:t>
      </w:r>
    </w:p>
    <w:p w14:paraId="0128DFF1" w14:textId="77777777" w:rsidR="00D64814" w:rsidRDefault="00D64814" w:rsidP="0015127C">
      <w:pPr>
        <w:pStyle w:val="Bibliography"/>
        <w:numPr>
          <w:ilvl w:val="0"/>
          <w:numId w:val="11"/>
        </w:numPr>
      </w:pPr>
      <w:r>
        <w:rPr>
          <w:i/>
          <w:iCs/>
        </w:rPr>
        <w:t>International Energy Agency</w:t>
      </w:r>
      <w:r>
        <w:t>. (2025). [Https://www.iea.org/countries/india/electricity].</w:t>
      </w:r>
    </w:p>
    <w:p w14:paraId="1823E15E" w14:textId="77777777" w:rsidR="00D64814" w:rsidRDefault="00D64814" w:rsidP="0015127C">
      <w:pPr>
        <w:pStyle w:val="Bibliography"/>
        <w:numPr>
          <w:ilvl w:val="0"/>
          <w:numId w:val="11"/>
        </w:numPr>
      </w:pPr>
      <w:r>
        <w:t xml:space="preserve">Ioppolo, G., Cucurachi, S., Salomone, R., Shi, L., &amp; Yigitcanlar, T. (2019). Integrating strategic environmental assessment and material flow accounting: A novel approach for moving towards sustainable urban futures. </w:t>
      </w:r>
      <w:r>
        <w:rPr>
          <w:i/>
          <w:iCs/>
        </w:rPr>
        <w:t>The International Journal of Life Cycle Assessment</w:t>
      </w:r>
      <w:r>
        <w:t xml:space="preserve">, </w:t>
      </w:r>
      <w:r>
        <w:rPr>
          <w:i/>
          <w:iCs/>
        </w:rPr>
        <w:t>24</w:t>
      </w:r>
      <w:r>
        <w:t>(7), 1269–1284. https://doi.org/10.1007/s11367-018-1494-0</w:t>
      </w:r>
    </w:p>
    <w:p w14:paraId="33898B32" w14:textId="77777777" w:rsidR="00D64814" w:rsidRDefault="00D64814" w:rsidP="0015127C">
      <w:pPr>
        <w:pStyle w:val="Bibliography"/>
        <w:numPr>
          <w:ilvl w:val="0"/>
          <w:numId w:val="11"/>
        </w:numPr>
      </w:pPr>
      <w:r>
        <w:t xml:space="preserve">ISO. (2006). </w:t>
      </w:r>
      <w:r>
        <w:rPr>
          <w:i/>
          <w:iCs/>
        </w:rPr>
        <w:t>ISO 14040 (2006)</w:t>
      </w:r>
      <w:r>
        <w:t>.</w:t>
      </w:r>
    </w:p>
    <w:p w14:paraId="3EADDD69" w14:textId="77777777" w:rsidR="00D64814" w:rsidRDefault="00D64814" w:rsidP="0015127C">
      <w:pPr>
        <w:pStyle w:val="Bibliography"/>
        <w:numPr>
          <w:ilvl w:val="0"/>
          <w:numId w:val="11"/>
        </w:numPr>
      </w:pPr>
      <w:r>
        <w:t xml:space="preserve">Jackson, T. (2009). </w:t>
      </w:r>
      <w:r>
        <w:rPr>
          <w:i/>
          <w:iCs/>
        </w:rPr>
        <w:t>Prosperity without Growth</w:t>
      </w:r>
      <w:r>
        <w:t xml:space="preserve"> (0 edn). Routledge. https://doi.org/10.4324/9781849774338</w:t>
      </w:r>
    </w:p>
    <w:p w14:paraId="2F13D7FB" w14:textId="77777777" w:rsidR="00D64814" w:rsidRDefault="00D64814" w:rsidP="0015127C">
      <w:pPr>
        <w:pStyle w:val="Bibliography"/>
        <w:numPr>
          <w:ilvl w:val="0"/>
          <w:numId w:val="11"/>
        </w:numPr>
      </w:pPr>
      <w:r>
        <w:t xml:space="preserve">Kibert, C. J. (2016). </w:t>
      </w:r>
      <w:r>
        <w:rPr>
          <w:i/>
          <w:iCs/>
        </w:rPr>
        <w:t>Sustainable Construction: Green Building Design and Delivery</w:t>
      </w:r>
      <w:r>
        <w:t xml:space="preserve"> (1st ed). John Wiley &amp; Sons, Incorporated.</w:t>
      </w:r>
    </w:p>
    <w:p w14:paraId="27517746" w14:textId="77777777" w:rsidR="00D64814" w:rsidRDefault="00D64814" w:rsidP="0015127C">
      <w:pPr>
        <w:pStyle w:val="Bibliography"/>
        <w:numPr>
          <w:ilvl w:val="0"/>
          <w:numId w:val="11"/>
        </w:numPr>
      </w:pPr>
      <w:r>
        <w:t xml:space="preserve">Kofoworola, O. F., &amp; Gheewala, S. H. (2008). Environmental life cycle assessment of a commercial office building in Thailand. </w:t>
      </w:r>
      <w:r>
        <w:rPr>
          <w:i/>
          <w:iCs/>
        </w:rPr>
        <w:t>The International Journal of Life Cycle Assessment</w:t>
      </w:r>
      <w:r>
        <w:t xml:space="preserve">, </w:t>
      </w:r>
      <w:r>
        <w:rPr>
          <w:i/>
          <w:iCs/>
        </w:rPr>
        <w:t>13</w:t>
      </w:r>
      <w:r>
        <w:t>(6), 498–511. https://doi.org/10.1007/s11367-008-0012-1</w:t>
      </w:r>
    </w:p>
    <w:p w14:paraId="7B599004" w14:textId="77777777" w:rsidR="00D64814" w:rsidRDefault="00D64814" w:rsidP="0015127C">
      <w:pPr>
        <w:pStyle w:val="Bibliography"/>
        <w:numPr>
          <w:ilvl w:val="0"/>
          <w:numId w:val="11"/>
        </w:numPr>
      </w:pPr>
      <w:r>
        <w:lastRenderedPageBreak/>
        <w:t xml:space="preserve">Köppen-Geiger Climate Classification. (2010). In B. Warf, </w:t>
      </w:r>
      <w:r>
        <w:rPr>
          <w:i/>
          <w:iCs/>
        </w:rPr>
        <w:t>Encyclopedia of Geography</w:t>
      </w:r>
      <w:r>
        <w:t>. SAGE Publications, Inc. https://doi.org/10.4135/9781412939591.n671</w:t>
      </w:r>
    </w:p>
    <w:p w14:paraId="35F6F69E" w14:textId="77777777" w:rsidR="00D64814" w:rsidRDefault="00D64814" w:rsidP="0015127C">
      <w:pPr>
        <w:pStyle w:val="Bibliography"/>
        <w:numPr>
          <w:ilvl w:val="0"/>
          <w:numId w:val="11"/>
        </w:numPr>
      </w:pPr>
      <w:r>
        <w:t xml:space="preserve">Kumar, P., Upadhyay, E., Kannan, K., &amp; Yadav, A. (2024). Evaluation of cooking practices in India to achieve SDGs 7.1.2. </w:t>
      </w:r>
      <w:r>
        <w:rPr>
          <w:i/>
          <w:iCs/>
        </w:rPr>
        <w:t>Physics and Chemistry of the Earth, Parts A/B/C</w:t>
      </w:r>
      <w:r>
        <w:t xml:space="preserve">, </w:t>
      </w:r>
      <w:r>
        <w:rPr>
          <w:i/>
          <w:iCs/>
        </w:rPr>
        <w:t>136</w:t>
      </w:r>
      <w:r>
        <w:t>, 103774. https://doi.org/10.1016/j.pce.2024.103774</w:t>
      </w:r>
    </w:p>
    <w:p w14:paraId="5E5FED54" w14:textId="77777777" w:rsidR="00D64814" w:rsidRDefault="00D64814" w:rsidP="0015127C">
      <w:pPr>
        <w:pStyle w:val="Bibliography"/>
        <w:numPr>
          <w:ilvl w:val="0"/>
          <w:numId w:val="11"/>
        </w:numPr>
      </w:pPr>
      <w:r>
        <w:t xml:space="preserve">Lahmouri, M., Drewes, J. E., &amp; Gondhalekar, D. (2019). Analysis of Greenhouse Gas Emissions in Centralized and Decentralized Water Reclamation with Resource Recovery Strategies in Leh Town, Ladakh, India, and Potential for Their Reduction in Context of the Water–Energy–Food Nexus. </w:t>
      </w:r>
      <w:r>
        <w:rPr>
          <w:i/>
          <w:iCs/>
        </w:rPr>
        <w:t>Water</w:t>
      </w:r>
      <w:r>
        <w:t xml:space="preserve">, </w:t>
      </w:r>
      <w:r>
        <w:rPr>
          <w:i/>
          <w:iCs/>
        </w:rPr>
        <w:t>11</w:t>
      </w:r>
      <w:r>
        <w:t>(5), 906. https://doi.org/10.3390/w11050906</w:t>
      </w:r>
    </w:p>
    <w:p w14:paraId="212098DE" w14:textId="77777777" w:rsidR="00D64814" w:rsidRDefault="00D64814" w:rsidP="0015127C">
      <w:pPr>
        <w:pStyle w:val="Bibliography"/>
        <w:numPr>
          <w:ilvl w:val="0"/>
          <w:numId w:val="11"/>
        </w:numPr>
      </w:pPr>
      <w:r>
        <w:t xml:space="preserve">Li, X., Xiao, J., Zhu, L., Zhu, D., Song, X., Liu, Y., &amp; Hua, W. (2025). Assessing carbon emissions of the innovative renovation project of Yihe Bridge on Beijing Road. </w:t>
      </w:r>
      <w:r>
        <w:rPr>
          <w:i/>
          <w:iCs/>
        </w:rPr>
        <w:t>Low-Carbon Materials and Green Construction</w:t>
      </w:r>
      <w:r>
        <w:t xml:space="preserve">, </w:t>
      </w:r>
      <w:r>
        <w:rPr>
          <w:i/>
          <w:iCs/>
        </w:rPr>
        <w:t>3</w:t>
      </w:r>
      <w:r>
        <w:t>(1), 9. https://doi.org/10.1007/s44242-025-00071-z</w:t>
      </w:r>
    </w:p>
    <w:p w14:paraId="7A953EF5" w14:textId="77777777" w:rsidR="00D64814" w:rsidRDefault="00D64814" w:rsidP="0015127C">
      <w:pPr>
        <w:pStyle w:val="Bibliography"/>
        <w:numPr>
          <w:ilvl w:val="0"/>
          <w:numId w:val="11"/>
        </w:numPr>
      </w:pPr>
      <w:r>
        <w:t xml:space="preserve">Liang, S., Gu, H., Bergman, R., &amp; Kelley, S. S. (2020). Comparative life-cycle assessment of a mass timber building and concrete alternative. </w:t>
      </w:r>
      <w:r>
        <w:rPr>
          <w:i/>
          <w:iCs/>
        </w:rPr>
        <w:t>Wood and Fiber Science</w:t>
      </w:r>
      <w:r>
        <w:t xml:space="preserve">, </w:t>
      </w:r>
      <w:r>
        <w:rPr>
          <w:i/>
          <w:iCs/>
        </w:rPr>
        <w:t>52</w:t>
      </w:r>
      <w:r>
        <w:t>(2), 217–229. https://doi.org/10.22382/wfs-2020-019</w:t>
      </w:r>
    </w:p>
    <w:p w14:paraId="4A9D33B1" w14:textId="77777777" w:rsidR="00D64814" w:rsidRDefault="00D64814" w:rsidP="0015127C">
      <w:pPr>
        <w:pStyle w:val="Bibliography"/>
        <w:numPr>
          <w:ilvl w:val="0"/>
          <w:numId w:val="11"/>
        </w:numPr>
      </w:pPr>
      <w:r>
        <w:t xml:space="preserve">Liang, Y., Li, C., Liu, Z., Wang, X., Zeng, F., Yuan, X., &amp; Pan, Y. (2023). Decarbonization potentials of the embodied energy use and operational process in buildings: A review from the life-cycle perspective. </w:t>
      </w:r>
      <w:r>
        <w:rPr>
          <w:i/>
          <w:iCs/>
        </w:rPr>
        <w:t>Heliyon</w:t>
      </w:r>
      <w:r>
        <w:t xml:space="preserve">, </w:t>
      </w:r>
      <w:r>
        <w:rPr>
          <w:i/>
          <w:iCs/>
        </w:rPr>
        <w:t>9</w:t>
      </w:r>
      <w:r>
        <w:t>(10), e20190. https://doi.org/10.1016/j.heliyon.2023.e20190</w:t>
      </w:r>
    </w:p>
    <w:p w14:paraId="0BD4DC5B" w14:textId="77777777" w:rsidR="00D64814" w:rsidRDefault="00D64814" w:rsidP="0015127C">
      <w:pPr>
        <w:pStyle w:val="Bibliography"/>
        <w:numPr>
          <w:ilvl w:val="0"/>
          <w:numId w:val="11"/>
        </w:numPr>
      </w:pPr>
      <w:r>
        <w:t xml:space="preserve">Lovelock, J. (2009). </w:t>
      </w:r>
      <w:r>
        <w:rPr>
          <w:i/>
          <w:iCs/>
        </w:rPr>
        <w:t>The vanishing face of gaia: A final warning</w:t>
      </w:r>
      <w:r>
        <w:t>. Basic Books.</w:t>
      </w:r>
    </w:p>
    <w:p w14:paraId="00163461" w14:textId="77777777" w:rsidR="00D64814" w:rsidRDefault="00D64814" w:rsidP="0015127C">
      <w:pPr>
        <w:pStyle w:val="Bibliography"/>
        <w:numPr>
          <w:ilvl w:val="0"/>
          <w:numId w:val="11"/>
        </w:numPr>
      </w:pPr>
      <w:r>
        <w:t xml:space="preserve">Mathumitha, R., Rathika, P., &amp; Manimala, K. (2024). Intelligent deep learning techniques for energy consumption forecasting in smart buildings: A review. </w:t>
      </w:r>
      <w:r>
        <w:rPr>
          <w:i/>
          <w:iCs/>
        </w:rPr>
        <w:t>Artificial Intelligence Review</w:t>
      </w:r>
      <w:r>
        <w:t xml:space="preserve">, </w:t>
      </w:r>
      <w:r>
        <w:rPr>
          <w:i/>
          <w:iCs/>
        </w:rPr>
        <w:t>57</w:t>
      </w:r>
      <w:r>
        <w:t>(2), 35. https://doi.org/10.1007/s10462-023-10660-8</w:t>
      </w:r>
    </w:p>
    <w:p w14:paraId="6EE40BE2" w14:textId="77777777" w:rsidR="00D64814" w:rsidRDefault="00D64814" w:rsidP="0015127C">
      <w:pPr>
        <w:pStyle w:val="Bibliography"/>
        <w:numPr>
          <w:ilvl w:val="0"/>
          <w:numId w:val="11"/>
        </w:numPr>
      </w:pPr>
      <w:r>
        <w:t xml:space="preserve">Medha. (2020). </w:t>
      </w:r>
      <w:r>
        <w:rPr>
          <w:i/>
          <w:iCs/>
        </w:rPr>
        <w:t>A Study on Energy use in the Water Supply and Treatment in Dehradun, India</w:t>
      </w:r>
      <w:r>
        <w:t>. Roorkee Water Conclave 2020.</w:t>
      </w:r>
    </w:p>
    <w:p w14:paraId="3DA8C21B" w14:textId="77777777" w:rsidR="00D64814" w:rsidRDefault="00D64814" w:rsidP="0015127C">
      <w:pPr>
        <w:pStyle w:val="Bibliography"/>
        <w:numPr>
          <w:ilvl w:val="0"/>
          <w:numId w:val="11"/>
        </w:numPr>
      </w:pPr>
      <w:r>
        <w:t xml:space="preserve">Milić, I., &amp; Bleiziffer, J. (2024). Life cycle assessment of the sustainability of bridges: Methodology, literature review and knowledge gaps. </w:t>
      </w:r>
      <w:r>
        <w:rPr>
          <w:i/>
          <w:iCs/>
        </w:rPr>
        <w:t>Frontiers in Built Environment</w:t>
      </w:r>
      <w:r>
        <w:t xml:space="preserve">, </w:t>
      </w:r>
      <w:r>
        <w:rPr>
          <w:i/>
          <w:iCs/>
        </w:rPr>
        <w:t>10</w:t>
      </w:r>
      <w:r>
        <w:t>, 1410798. https://doi.org/10.3389/fbuil.2024.1410798</w:t>
      </w:r>
    </w:p>
    <w:p w14:paraId="0E2B67BE" w14:textId="77777777" w:rsidR="00D64814" w:rsidRDefault="00D64814" w:rsidP="0015127C">
      <w:pPr>
        <w:pStyle w:val="Bibliography"/>
        <w:numPr>
          <w:ilvl w:val="0"/>
          <w:numId w:val="11"/>
        </w:numPr>
      </w:pPr>
      <w:r>
        <w:t xml:space="preserve">Ministry of Environment, Forest and Climate Change. (2023, August 3). </w:t>
      </w:r>
      <w:r>
        <w:rPr>
          <w:i/>
          <w:iCs/>
        </w:rPr>
        <w:t>Net zero emissions target</w:t>
      </w:r>
      <w:r>
        <w:t xml:space="preserve"> [Gov.in]. https://www.pib.gov.in/PressReleaseIframePage.aspx?PRID=1945472</w:t>
      </w:r>
    </w:p>
    <w:p w14:paraId="3237A703" w14:textId="77777777" w:rsidR="00D64814" w:rsidRDefault="00D64814" w:rsidP="0015127C">
      <w:pPr>
        <w:pStyle w:val="Bibliography"/>
        <w:numPr>
          <w:ilvl w:val="0"/>
          <w:numId w:val="11"/>
        </w:numPr>
      </w:pPr>
      <w:r>
        <w:rPr>
          <w:i/>
          <w:iCs/>
        </w:rPr>
        <w:t>Ministry of New and Renewable Energy</w:t>
      </w:r>
      <w:r>
        <w:t>. (2024). [Grid Connected Rooftop Solar Programme. Government of India.]. https://mnre.gov.in/en/grid-connected-solar-rooftop-programme/</w:t>
      </w:r>
    </w:p>
    <w:p w14:paraId="1C0EE067" w14:textId="77777777" w:rsidR="00D64814" w:rsidRDefault="00D64814" w:rsidP="0015127C">
      <w:pPr>
        <w:pStyle w:val="Bibliography"/>
        <w:numPr>
          <w:ilvl w:val="0"/>
          <w:numId w:val="11"/>
        </w:numPr>
      </w:pPr>
      <w:r>
        <w:t xml:space="preserve">Moncaster, A. M., &amp; Song, J.-Y. (2012). A comparative review of existing data and methodologies for calculating embodied energy and carbon of buildings. </w:t>
      </w:r>
      <w:r>
        <w:rPr>
          <w:i/>
          <w:iCs/>
        </w:rPr>
        <w:t>International Journal of Sustainable Building Technology and Urban Development</w:t>
      </w:r>
      <w:r>
        <w:t xml:space="preserve">, </w:t>
      </w:r>
      <w:r>
        <w:rPr>
          <w:i/>
          <w:iCs/>
        </w:rPr>
        <w:t>3</w:t>
      </w:r>
      <w:r>
        <w:t>(1), 26–36. https://doi.org/10.1080/2093761x.2012.673915</w:t>
      </w:r>
    </w:p>
    <w:p w14:paraId="01C39FBF" w14:textId="77777777" w:rsidR="00D64814" w:rsidRDefault="00D64814" w:rsidP="0015127C">
      <w:pPr>
        <w:pStyle w:val="Bibliography"/>
        <w:numPr>
          <w:ilvl w:val="0"/>
          <w:numId w:val="11"/>
        </w:numPr>
      </w:pPr>
      <w:r>
        <w:t xml:space="preserve">Österbring, M., Mata, É., Thuvander, L., &amp; Wallbaum, H. (2019). Explorative life-cycle assessment of renovating existing urban housing-stocks. </w:t>
      </w:r>
      <w:r>
        <w:rPr>
          <w:i/>
          <w:iCs/>
        </w:rPr>
        <w:t>Building and Environment</w:t>
      </w:r>
      <w:r>
        <w:t xml:space="preserve">, </w:t>
      </w:r>
      <w:r>
        <w:rPr>
          <w:i/>
          <w:iCs/>
        </w:rPr>
        <w:t>165</w:t>
      </w:r>
      <w:r>
        <w:t>, 106391. https://doi.org/10.1016/j.buildenv.2019.106391</w:t>
      </w:r>
    </w:p>
    <w:p w14:paraId="48D40B13" w14:textId="77777777" w:rsidR="00D64814" w:rsidRDefault="00D64814" w:rsidP="0015127C">
      <w:pPr>
        <w:pStyle w:val="Bibliography"/>
        <w:numPr>
          <w:ilvl w:val="0"/>
          <w:numId w:val="11"/>
        </w:numPr>
      </w:pPr>
      <w:r>
        <w:lastRenderedPageBreak/>
        <w:t>Pant, H., &amp; Tewari, A. (2013). Carbon Sequestration Potential of Chir Pine (</w:t>
      </w:r>
      <w:r>
        <w:rPr>
          <w:i/>
          <w:iCs/>
        </w:rPr>
        <w:t>Pinus roxburghii</w:t>
      </w:r>
      <w:r>
        <w:t xml:space="preserve">. Sarg) Forest on Two Contrasting Aspects in Kumaun Central Himalaya between 1650-1860 m Elevation. </w:t>
      </w:r>
      <w:r>
        <w:rPr>
          <w:i/>
          <w:iCs/>
        </w:rPr>
        <w:t>Applied Ecology and Environmental Sciences</w:t>
      </w:r>
      <w:r>
        <w:t xml:space="preserve">, </w:t>
      </w:r>
      <w:r>
        <w:rPr>
          <w:i/>
          <w:iCs/>
        </w:rPr>
        <w:t>1</w:t>
      </w:r>
      <w:r>
        <w:t>(6), 110–112. https://doi.org/10.12691/aees-1-6-2</w:t>
      </w:r>
    </w:p>
    <w:p w14:paraId="09B9A396" w14:textId="77777777" w:rsidR="00D64814" w:rsidRDefault="00D64814" w:rsidP="0015127C">
      <w:pPr>
        <w:pStyle w:val="Bibliography"/>
        <w:numPr>
          <w:ilvl w:val="0"/>
          <w:numId w:val="11"/>
        </w:numPr>
      </w:pPr>
      <w:r>
        <w:t xml:space="preserve">Petrovic, B., Myhren, J. A., Zhang, X., Wallhagen, M., &amp; Eriksson, O. (2019). Life Cycle Assessment of Building Materials for a Single-family House in Sweden. </w:t>
      </w:r>
      <w:r>
        <w:rPr>
          <w:i/>
          <w:iCs/>
        </w:rPr>
        <w:t>Energy Procedia</w:t>
      </w:r>
      <w:r>
        <w:t xml:space="preserve">, </w:t>
      </w:r>
      <w:r>
        <w:rPr>
          <w:i/>
          <w:iCs/>
        </w:rPr>
        <w:t>158</w:t>
      </w:r>
      <w:r>
        <w:t>, 3547–3552. https://doi.org/10.1016/j.egypro.2019.01.913</w:t>
      </w:r>
    </w:p>
    <w:p w14:paraId="31C56724" w14:textId="77777777" w:rsidR="00D64814" w:rsidRDefault="00D64814" w:rsidP="0015127C">
      <w:pPr>
        <w:pStyle w:val="Bibliography"/>
        <w:numPr>
          <w:ilvl w:val="0"/>
          <w:numId w:val="11"/>
        </w:numPr>
      </w:pPr>
      <w:r>
        <w:t xml:space="preserve">Rabani, M., Madessa, H. B., Ljungström, M., Aamodt, L., Løvvold, S., &amp; Nord, N. (2021). Life cycle analysis of GHG emissions from the building retrofitting: The case of a Norwegian office building. </w:t>
      </w:r>
      <w:r>
        <w:rPr>
          <w:i/>
          <w:iCs/>
        </w:rPr>
        <w:t>Building and Environment</w:t>
      </w:r>
      <w:r>
        <w:t xml:space="preserve">, </w:t>
      </w:r>
      <w:r>
        <w:rPr>
          <w:i/>
          <w:iCs/>
        </w:rPr>
        <w:t>204</w:t>
      </w:r>
      <w:r>
        <w:t>, 108159. https://doi.org/10.1016/j.buildenv.2021.108159</w:t>
      </w:r>
    </w:p>
    <w:p w14:paraId="7D12AC03" w14:textId="77777777" w:rsidR="00D64814" w:rsidRDefault="00D64814" w:rsidP="0015127C">
      <w:pPr>
        <w:pStyle w:val="Bibliography"/>
        <w:numPr>
          <w:ilvl w:val="0"/>
          <w:numId w:val="11"/>
        </w:numPr>
      </w:pPr>
      <w:r>
        <w:t xml:space="preserve">Rajendran, K., Aslanzadeh, S., &amp; Taherzadeh, M. J. (2012). Household Biogas Digesters—A Review. </w:t>
      </w:r>
      <w:r>
        <w:rPr>
          <w:i/>
          <w:iCs/>
        </w:rPr>
        <w:t>Energies</w:t>
      </w:r>
      <w:r>
        <w:t xml:space="preserve">, </w:t>
      </w:r>
      <w:r>
        <w:rPr>
          <w:i/>
          <w:iCs/>
        </w:rPr>
        <w:t>5</w:t>
      </w:r>
      <w:r>
        <w:t>(8), 2911–2942. https://doi.org/10.3390/en5082911</w:t>
      </w:r>
    </w:p>
    <w:p w14:paraId="505DEA6C" w14:textId="77777777" w:rsidR="00D64814" w:rsidRDefault="00D64814" w:rsidP="0015127C">
      <w:pPr>
        <w:pStyle w:val="Bibliography"/>
        <w:numPr>
          <w:ilvl w:val="0"/>
          <w:numId w:val="11"/>
        </w:numPr>
      </w:pPr>
      <w:r>
        <w:t xml:space="preserve">Rees, W. E. (2009). The ecological crisis and self-delusion: Implications for the building sector. </w:t>
      </w:r>
      <w:r>
        <w:rPr>
          <w:i/>
          <w:iCs/>
        </w:rPr>
        <w:t>Building Research &amp; Information</w:t>
      </w:r>
      <w:r>
        <w:t xml:space="preserve">, </w:t>
      </w:r>
      <w:r>
        <w:rPr>
          <w:i/>
          <w:iCs/>
        </w:rPr>
        <w:t>37</w:t>
      </w:r>
      <w:r>
        <w:t>(3), 300–311. https://doi.org/10.1080/09613210902781470</w:t>
      </w:r>
    </w:p>
    <w:p w14:paraId="3DF70A79" w14:textId="77777777" w:rsidR="00D64814" w:rsidRDefault="00D64814" w:rsidP="0015127C">
      <w:pPr>
        <w:pStyle w:val="Bibliography"/>
        <w:numPr>
          <w:ilvl w:val="0"/>
          <w:numId w:val="11"/>
        </w:numPr>
      </w:pPr>
      <w:r>
        <w:t xml:space="preserve">Rezaei, F., Bulle, C., &amp; Lesage, P. (2019). Integrating building information modeling and life cycle assessment in the early and detailed building design stages. </w:t>
      </w:r>
      <w:r>
        <w:rPr>
          <w:i/>
          <w:iCs/>
        </w:rPr>
        <w:t>Building and Environment</w:t>
      </w:r>
      <w:r>
        <w:t xml:space="preserve">, </w:t>
      </w:r>
      <w:r>
        <w:rPr>
          <w:i/>
          <w:iCs/>
        </w:rPr>
        <w:t>153</w:t>
      </w:r>
      <w:r>
        <w:t>, 158–167. https://doi.org/10.1016/j.buildenv.2019.01.034</w:t>
      </w:r>
    </w:p>
    <w:p w14:paraId="4959AA9C" w14:textId="77777777" w:rsidR="00D64814" w:rsidRDefault="00D64814" w:rsidP="0015127C">
      <w:pPr>
        <w:pStyle w:val="Bibliography"/>
        <w:numPr>
          <w:ilvl w:val="0"/>
          <w:numId w:val="11"/>
        </w:numPr>
      </w:pPr>
      <w:r>
        <w:t xml:space="preserve">Röck, M., Saade, M. R. M., Balouktsi, M., Rasmussen, F. N., Birgisdottir, H., Frischknecht, R., Habert, G., Lützkendorf, T., &amp; Passer, A. (2020). Embodied GHG emissions of buildings – The hidden challenge for effective climate change mitigation. </w:t>
      </w:r>
      <w:r>
        <w:rPr>
          <w:i/>
          <w:iCs/>
        </w:rPr>
        <w:t>Applied Energy</w:t>
      </w:r>
      <w:r>
        <w:t xml:space="preserve">, </w:t>
      </w:r>
      <w:r>
        <w:rPr>
          <w:i/>
          <w:iCs/>
        </w:rPr>
        <w:t>258</w:t>
      </w:r>
      <w:r>
        <w:t>, 114107. https://doi.org/10.1016/j.apenergy.2019.114107</w:t>
      </w:r>
    </w:p>
    <w:p w14:paraId="0FF2F6AB" w14:textId="77777777" w:rsidR="00D64814" w:rsidRDefault="00D64814" w:rsidP="0015127C">
      <w:pPr>
        <w:pStyle w:val="Bibliography"/>
        <w:numPr>
          <w:ilvl w:val="0"/>
          <w:numId w:val="11"/>
        </w:numPr>
      </w:pPr>
      <w:r>
        <w:t xml:space="preserve">Santos, R., Costa, A. A., Silvestre, J. D., Vandenbergh, T., &amp; Pyl, L. (2020). BIM-based life cycle assessment and life cycle costing of an office building in Western Europe. </w:t>
      </w:r>
      <w:r>
        <w:rPr>
          <w:i/>
          <w:iCs/>
        </w:rPr>
        <w:t>Building and Environment</w:t>
      </w:r>
      <w:r>
        <w:t xml:space="preserve">, </w:t>
      </w:r>
      <w:r>
        <w:rPr>
          <w:i/>
          <w:iCs/>
        </w:rPr>
        <w:t>169</w:t>
      </w:r>
      <w:r>
        <w:t>, 106568. https://doi.org/10.1016/j.buildenv.2019.106568</w:t>
      </w:r>
    </w:p>
    <w:p w14:paraId="76EDC959" w14:textId="77777777" w:rsidR="00D64814" w:rsidRDefault="00D64814" w:rsidP="0015127C">
      <w:pPr>
        <w:pStyle w:val="Bibliography"/>
        <w:numPr>
          <w:ilvl w:val="0"/>
          <w:numId w:val="11"/>
        </w:numPr>
      </w:pPr>
      <w:r>
        <w:t xml:space="preserve">Schneider-Marin, P., &amp; Lang, W. (2020). Environmental costs of buildings: Monetary valuation of ecological indicators for the building industry. </w:t>
      </w:r>
      <w:r>
        <w:rPr>
          <w:i/>
          <w:iCs/>
        </w:rPr>
        <w:t>The International Journal of Life Cycle Assessment</w:t>
      </w:r>
      <w:r>
        <w:t xml:space="preserve">, </w:t>
      </w:r>
      <w:r>
        <w:rPr>
          <w:i/>
          <w:iCs/>
        </w:rPr>
        <w:t>25</w:t>
      </w:r>
      <w:r>
        <w:t>(9), 1637–1659. https://doi.org/10.1007/s11367-020-01784-y</w:t>
      </w:r>
    </w:p>
    <w:p w14:paraId="1B524343" w14:textId="77777777" w:rsidR="00D64814" w:rsidRDefault="00D64814" w:rsidP="0015127C">
      <w:pPr>
        <w:pStyle w:val="Bibliography"/>
        <w:numPr>
          <w:ilvl w:val="0"/>
          <w:numId w:val="11"/>
        </w:numPr>
      </w:pPr>
      <w:r>
        <w:t xml:space="preserve">Shahana Y. Janjua, Prabir K. Sarker, &amp; Wahidul K. Biswas. (2019). A Review of Residential Buildings’ Sustainability Performance Using a Life Cycle Assessment Approach. </w:t>
      </w:r>
      <w:r>
        <w:rPr>
          <w:i/>
          <w:iCs/>
        </w:rPr>
        <w:t>Journal of Sustainability Research</w:t>
      </w:r>
      <w:r>
        <w:t xml:space="preserve">, </w:t>
      </w:r>
      <w:r>
        <w:rPr>
          <w:i/>
          <w:iCs/>
        </w:rPr>
        <w:t>1</w:t>
      </w:r>
      <w:r>
        <w:t>(1). https://doi.org/10.20900/jsr20190006</w:t>
      </w:r>
    </w:p>
    <w:p w14:paraId="3DEB126B" w14:textId="77777777" w:rsidR="00D64814" w:rsidRDefault="00D64814" w:rsidP="0015127C">
      <w:pPr>
        <w:pStyle w:val="Bibliography"/>
        <w:numPr>
          <w:ilvl w:val="0"/>
          <w:numId w:val="11"/>
        </w:numPr>
      </w:pPr>
      <w:r>
        <w:t xml:space="preserve">Shams, S., Mahmud, K., &amp; Amin, Md. A. (2011). A comparative analysis of building materials for sustainable construction with emphasis on CO&lt;SUB align="right"&gt;2 reduction. </w:t>
      </w:r>
      <w:r>
        <w:rPr>
          <w:i/>
          <w:iCs/>
        </w:rPr>
        <w:t>International Journal of Environment and Sustainable Development</w:t>
      </w:r>
      <w:r>
        <w:t xml:space="preserve">, </w:t>
      </w:r>
      <w:r>
        <w:rPr>
          <w:i/>
          <w:iCs/>
        </w:rPr>
        <w:t>10</w:t>
      </w:r>
      <w:r>
        <w:t>(4), 364. https://doi.org/10.1504/ijesd.2011.047767</w:t>
      </w:r>
    </w:p>
    <w:p w14:paraId="7E2E6BBC" w14:textId="77777777" w:rsidR="00D64814" w:rsidRDefault="00D64814" w:rsidP="0015127C">
      <w:pPr>
        <w:pStyle w:val="Bibliography"/>
        <w:numPr>
          <w:ilvl w:val="0"/>
          <w:numId w:val="11"/>
        </w:numPr>
      </w:pPr>
      <w:r>
        <w:t xml:space="preserve">Singh*, R. R., Kumar, R. V., &amp; Durai, T. N. P. (2019). Assessment of Embodied Energy for an Institutional Building. </w:t>
      </w:r>
      <w:r>
        <w:rPr>
          <w:i/>
          <w:iCs/>
        </w:rPr>
        <w:t>International Journal of Recent Technology and Engineering (IJRTE)</w:t>
      </w:r>
      <w:r>
        <w:t xml:space="preserve">, </w:t>
      </w:r>
      <w:r>
        <w:rPr>
          <w:i/>
          <w:iCs/>
        </w:rPr>
        <w:t>8</w:t>
      </w:r>
      <w:r>
        <w:t>(3), 3151–3158. https://doi.org/10.35940/ijrte.c4657.098319</w:t>
      </w:r>
    </w:p>
    <w:p w14:paraId="55E7F578" w14:textId="77777777" w:rsidR="00D64814" w:rsidRDefault="00D64814" w:rsidP="0015127C">
      <w:pPr>
        <w:pStyle w:val="Bibliography"/>
        <w:numPr>
          <w:ilvl w:val="0"/>
          <w:numId w:val="11"/>
        </w:numPr>
      </w:pPr>
      <w:r>
        <w:lastRenderedPageBreak/>
        <w:t xml:space="preserve">Torabi, M., &amp; Evins, R. (2024). Towards net-zero carbon buildings: Investigating the impact of early-stage structure design on building embodied carbon. </w:t>
      </w:r>
      <w:r>
        <w:rPr>
          <w:i/>
          <w:iCs/>
        </w:rPr>
        <w:t>The International Journal of Life Cycle Assessment</w:t>
      </w:r>
      <w:r>
        <w:t>. https://doi.org/10.1007/s11367-024-02287-w</w:t>
      </w:r>
    </w:p>
    <w:p w14:paraId="3EC0E545" w14:textId="77777777" w:rsidR="00D64814" w:rsidRDefault="00D64814" w:rsidP="0015127C">
      <w:pPr>
        <w:pStyle w:val="Bibliography"/>
        <w:numPr>
          <w:ilvl w:val="0"/>
          <w:numId w:val="11"/>
        </w:numPr>
      </w:pPr>
      <w:r>
        <w:t xml:space="preserve">Ullah, Z., Nasir, A. R., Alqahtani, F. K., Ullah, F., Thaheem, M. J., &amp; Maqsoom, A. (2023). Life Cycle Sustainability Assessment of Healthcare Buildings: A Policy Framework. </w:t>
      </w:r>
      <w:r>
        <w:rPr>
          <w:i/>
          <w:iCs/>
        </w:rPr>
        <w:t>Buildings</w:t>
      </w:r>
      <w:r>
        <w:t xml:space="preserve">, </w:t>
      </w:r>
      <w:r>
        <w:rPr>
          <w:i/>
          <w:iCs/>
        </w:rPr>
        <w:t>13</w:t>
      </w:r>
      <w:r>
        <w:t>(9), 2143. https://doi.org/10.3390/buildings13092143</w:t>
      </w:r>
    </w:p>
    <w:p w14:paraId="09285865" w14:textId="77777777" w:rsidR="00D64814" w:rsidRDefault="00D64814" w:rsidP="0015127C">
      <w:pPr>
        <w:pStyle w:val="Bibliography"/>
        <w:numPr>
          <w:ilvl w:val="0"/>
          <w:numId w:val="11"/>
        </w:numPr>
      </w:pPr>
      <w:r>
        <w:rPr>
          <w:i/>
          <w:iCs/>
        </w:rPr>
        <w:t>UNFCCC</w:t>
      </w:r>
      <w:r>
        <w:t>. (2010). https://unfccc.int/resource/cd_roms/na1/ghg_inventories/english/8_glossary/Glossary.htm</w:t>
      </w:r>
    </w:p>
    <w:p w14:paraId="6BD3C360" w14:textId="77777777" w:rsidR="00D64814" w:rsidRDefault="00D64814" w:rsidP="0015127C">
      <w:pPr>
        <w:pStyle w:val="Bibliography"/>
        <w:numPr>
          <w:ilvl w:val="0"/>
          <w:numId w:val="11"/>
        </w:numPr>
      </w:pPr>
      <w:r>
        <w:t xml:space="preserve">United Nations Environment Programme (UNEP). (2021). </w:t>
      </w:r>
      <w:r>
        <w:rPr>
          <w:i/>
          <w:iCs/>
        </w:rPr>
        <w:t>Global Status Report for Buildings and Construction: Towards a Zero-emission, Efficient and Resilient Buildings and Construction Sector</w:t>
      </w:r>
      <w:r>
        <w:t>.</w:t>
      </w:r>
    </w:p>
    <w:p w14:paraId="35FB2BEB" w14:textId="77777777" w:rsidR="00D64814" w:rsidRDefault="00D64814" w:rsidP="0015127C">
      <w:pPr>
        <w:pStyle w:val="Bibliography"/>
        <w:numPr>
          <w:ilvl w:val="0"/>
          <w:numId w:val="11"/>
        </w:numPr>
      </w:pPr>
      <w:r>
        <w:t xml:space="preserve">Varun, Sharma, A., Shree, V., &amp; Nautiyal, H. (2012). Life cycle environmental assessment of an educational building in Northern India: A case study. </w:t>
      </w:r>
      <w:r>
        <w:rPr>
          <w:i/>
          <w:iCs/>
        </w:rPr>
        <w:t>Sustainable Cities and Society</w:t>
      </w:r>
      <w:r>
        <w:t xml:space="preserve">, </w:t>
      </w:r>
      <w:r>
        <w:rPr>
          <w:i/>
          <w:iCs/>
        </w:rPr>
        <w:t>4</w:t>
      </w:r>
      <w:r>
        <w:t>, 22–28. https://doi.org/10.1016/j.scs.2012.03.002</w:t>
      </w:r>
    </w:p>
    <w:p w14:paraId="7FD09B87" w14:textId="77777777" w:rsidR="00D64814" w:rsidRDefault="00D64814" w:rsidP="0015127C">
      <w:pPr>
        <w:pStyle w:val="Bibliography"/>
        <w:numPr>
          <w:ilvl w:val="0"/>
          <w:numId w:val="11"/>
        </w:numPr>
      </w:pPr>
      <w:r>
        <w:t xml:space="preserve">Wang, J., Wu, H., Duan, H., Zillante, G., Zuo, J., &amp; Yuan, H. (2018). Combining life cycle assessment and Building Information Modelling to account for carbon emission of building demolition waste: A case study. </w:t>
      </w:r>
      <w:r>
        <w:rPr>
          <w:i/>
          <w:iCs/>
        </w:rPr>
        <w:t>Journal of Cleaner Production</w:t>
      </w:r>
      <w:r>
        <w:t xml:space="preserve">, </w:t>
      </w:r>
      <w:r>
        <w:rPr>
          <w:i/>
          <w:iCs/>
        </w:rPr>
        <w:t>172</w:t>
      </w:r>
      <w:r>
        <w:t>, 3154–3166. https://doi.org/10.1016/j.jclepro.2017.11.087</w:t>
      </w:r>
    </w:p>
    <w:p w14:paraId="00EB7CFD" w14:textId="77777777" w:rsidR="00D64814" w:rsidRDefault="00D64814" w:rsidP="0015127C">
      <w:pPr>
        <w:pStyle w:val="Bibliography"/>
        <w:numPr>
          <w:ilvl w:val="0"/>
          <w:numId w:val="11"/>
        </w:numPr>
      </w:pPr>
      <w:r>
        <w:t xml:space="preserve">Wang, Y. (2023). Exploring the importance of sustainability in the construction  industry. </w:t>
      </w:r>
      <w:r>
        <w:rPr>
          <w:i/>
          <w:iCs/>
        </w:rPr>
        <w:t>Applied and Computational Engineering</w:t>
      </w:r>
      <w:r>
        <w:t xml:space="preserve">, </w:t>
      </w:r>
      <w:r>
        <w:rPr>
          <w:i/>
          <w:iCs/>
        </w:rPr>
        <w:t>9</w:t>
      </w:r>
      <w:r>
        <w:t>(1), 312–318. https://doi.org/10.54254/2755-2721/9/20230011</w:t>
      </w:r>
    </w:p>
    <w:p w14:paraId="65269B99" w14:textId="77777777" w:rsidR="00D64814" w:rsidRDefault="00D64814" w:rsidP="0015127C">
      <w:pPr>
        <w:pStyle w:val="Bibliography"/>
        <w:numPr>
          <w:ilvl w:val="0"/>
          <w:numId w:val="11"/>
        </w:numPr>
      </w:pPr>
      <w:r>
        <w:t xml:space="preserve">World Bank: Washington, DC, USA. (2021). </w:t>
      </w:r>
      <w:r>
        <w:rPr>
          <w:i/>
          <w:iCs/>
        </w:rPr>
        <w:t>World Bank. Total Greenhouse Gas Emissions (kt of CO2 Equivalent)</w:t>
      </w:r>
      <w:r>
        <w:t>.</w:t>
      </w:r>
    </w:p>
    <w:p w14:paraId="152C2470" w14:textId="77777777" w:rsidR="00D64814" w:rsidRDefault="00D64814" w:rsidP="0015127C">
      <w:pPr>
        <w:pStyle w:val="Bibliography"/>
        <w:numPr>
          <w:ilvl w:val="0"/>
          <w:numId w:val="11"/>
        </w:numPr>
      </w:pPr>
      <w:r>
        <w:t xml:space="preserve">Yang, X., Hu, M., Wu, J., &amp; Zhao, B. (2018). Building-information-modeling enabled life cycle assessment, a case study on carbon footprint accounting for a residential building in China. </w:t>
      </w:r>
      <w:r>
        <w:rPr>
          <w:i/>
          <w:iCs/>
        </w:rPr>
        <w:t>Journal of Cleaner Production</w:t>
      </w:r>
      <w:r>
        <w:t xml:space="preserve">, </w:t>
      </w:r>
      <w:r>
        <w:rPr>
          <w:i/>
          <w:iCs/>
        </w:rPr>
        <w:t>183</w:t>
      </w:r>
      <w:r>
        <w:t>, 729–743. https://doi.org/10.1016/j.jclepro.2018.02.070</w:t>
      </w:r>
    </w:p>
    <w:p w14:paraId="597E922F" w14:textId="77777777" w:rsidR="00D64814" w:rsidRDefault="00D64814" w:rsidP="0015127C">
      <w:pPr>
        <w:pStyle w:val="Bibliography"/>
        <w:numPr>
          <w:ilvl w:val="0"/>
          <w:numId w:val="11"/>
        </w:numPr>
      </w:pPr>
      <w:r>
        <w:t xml:space="preserve">Zuo, J., &amp; Zhao, Z.-Y. (2014). Green building research–current status and future agenda: A review. </w:t>
      </w:r>
      <w:r>
        <w:rPr>
          <w:i/>
          <w:iCs/>
        </w:rPr>
        <w:t>Renewable and Sustainable Energy Reviews</w:t>
      </w:r>
      <w:r>
        <w:t xml:space="preserve">, </w:t>
      </w:r>
      <w:r>
        <w:rPr>
          <w:i/>
          <w:iCs/>
        </w:rPr>
        <w:t>30</w:t>
      </w:r>
      <w:r>
        <w:t>, 271–281. https://doi.org/10.1016/j.rser.2013.10.021</w:t>
      </w:r>
    </w:p>
    <w:p w14:paraId="1369E9CE" w14:textId="0D65EAE7" w:rsidR="00B422FF" w:rsidRPr="00BE69E9" w:rsidRDefault="006D1FE1" w:rsidP="00B422FF">
      <w:pPr>
        <w:pStyle w:val="Heading1"/>
        <w:rPr>
          <w:rFonts w:eastAsiaTheme="minorHAnsi"/>
          <w:sz w:val="24"/>
          <w:szCs w:val="24"/>
          <w:lang w:val="en-IN" w:eastAsia="en-US"/>
        </w:rPr>
      </w:pPr>
      <w:r>
        <w:fldChar w:fldCharType="end"/>
      </w:r>
      <w:r>
        <w:rPr>
          <w:rFonts w:eastAsiaTheme="minorHAnsi"/>
          <w:sz w:val="24"/>
          <w:szCs w:val="24"/>
          <w:lang w:val="en-IN" w:eastAsia="en-US"/>
        </w:rPr>
        <w:t xml:space="preserve"> </w:t>
      </w:r>
    </w:p>
    <w:sectPr w:rsidR="00B422FF" w:rsidRPr="00BE69E9" w:rsidSect="00970AD7">
      <w:headerReference w:type="even" r:id="rId19"/>
      <w:headerReference w:type="default" r:id="rId20"/>
      <w:footerReference w:type="even" r:id="rId21"/>
      <w:footerReference w:type="default" r:id="rId22"/>
      <w:pgSz w:w="11906" w:h="16838" w:code="9"/>
      <w:pgMar w:top="1094" w:right="607" w:bottom="607" w:left="607"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F24A" w14:textId="77777777" w:rsidR="00213031" w:rsidRDefault="00213031" w:rsidP="00B16FD1">
      <w:r>
        <w:separator/>
      </w:r>
    </w:p>
    <w:p w14:paraId="51EAE3CA" w14:textId="77777777" w:rsidR="00213031" w:rsidRDefault="00213031"/>
  </w:endnote>
  <w:endnote w:type="continuationSeparator" w:id="0">
    <w:p w14:paraId="7703E9E5" w14:textId="77777777" w:rsidR="00213031" w:rsidRDefault="00213031" w:rsidP="00B16FD1">
      <w:r>
        <w:continuationSeparator/>
      </w:r>
    </w:p>
    <w:p w14:paraId="6C30F1BF" w14:textId="77777777" w:rsidR="00213031" w:rsidRDefault="00213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85A4" w14:textId="77777777" w:rsidR="007673E7" w:rsidRDefault="007673E7" w:rsidP="00B16FD1">
    <w:pPr>
      <w:pStyle w:val="Footer"/>
    </w:pPr>
  </w:p>
  <w:p w14:paraId="5616DB7D" w14:textId="77777777" w:rsidR="007673E7" w:rsidRDefault="007673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348347"/>
      <w:docPartObj>
        <w:docPartGallery w:val="Page Numbers (Bottom of Page)"/>
        <w:docPartUnique/>
      </w:docPartObj>
    </w:sdtPr>
    <w:sdtEndPr>
      <w:rPr>
        <w:noProof/>
      </w:rPr>
    </w:sdtEndPr>
    <w:sdtContent>
      <w:p w14:paraId="03D56B56" w14:textId="77777777" w:rsidR="007673E7" w:rsidRDefault="007673E7">
        <w:pPr>
          <w:pStyle w:val="Footer"/>
          <w:jc w:val="right"/>
        </w:pPr>
        <w:r>
          <w:fldChar w:fldCharType="begin"/>
        </w:r>
        <w:r>
          <w:instrText xml:space="preserve"> PAGE   \* MERGEFORMAT </w:instrText>
        </w:r>
        <w:r>
          <w:fldChar w:fldCharType="separate"/>
        </w:r>
        <w:r w:rsidR="009842B1">
          <w:rPr>
            <w:noProof/>
          </w:rPr>
          <w:t>16</w:t>
        </w:r>
        <w:r>
          <w:rPr>
            <w:noProof/>
          </w:rPr>
          <w:fldChar w:fldCharType="end"/>
        </w:r>
      </w:p>
    </w:sdtContent>
  </w:sdt>
  <w:p w14:paraId="2D838441" w14:textId="77777777" w:rsidR="007673E7" w:rsidRDefault="007673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F28D" w14:textId="77777777" w:rsidR="00213031" w:rsidRDefault="00213031" w:rsidP="00B16FD1">
      <w:r>
        <w:separator/>
      </w:r>
    </w:p>
    <w:p w14:paraId="5D85F2EC" w14:textId="77777777" w:rsidR="00213031" w:rsidRDefault="00213031"/>
  </w:footnote>
  <w:footnote w:type="continuationSeparator" w:id="0">
    <w:p w14:paraId="05E4BC37" w14:textId="77777777" w:rsidR="00213031" w:rsidRDefault="00213031" w:rsidP="00B16FD1">
      <w:r>
        <w:continuationSeparator/>
      </w:r>
    </w:p>
    <w:p w14:paraId="33152A93" w14:textId="77777777" w:rsidR="00213031" w:rsidRDefault="00213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F4D3" w14:textId="77777777" w:rsidR="007673E7" w:rsidRDefault="007673E7" w:rsidP="00B16FD1">
    <w:pPr>
      <w:pStyle w:val="Header"/>
    </w:pPr>
  </w:p>
  <w:p w14:paraId="517C3152" w14:textId="77777777" w:rsidR="007673E7" w:rsidRDefault="007673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EF68" w14:textId="77777777" w:rsidR="007673E7" w:rsidRDefault="007673E7" w:rsidP="00B16FD1">
    <w:pPr>
      <w:pStyle w:val="Header"/>
    </w:pPr>
  </w:p>
  <w:p w14:paraId="5C95526E" w14:textId="77777777" w:rsidR="007673E7" w:rsidRDefault="007673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23D"/>
    <w:multiLevelType w:val="multilevel"/>
    <w:tmpl w:val="D742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F43D7"/>
    <w:multiLevelType w:val="multilevel"/>
    <w:tmpl w:val="DAFC84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pStyle w:val="Heading3"/>
      <w:lvlText w:val="%1.%2.%3."/>
      <w:lvlJc w:val="left"/>
      <w:pPr>
        <w:ind w:left="78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F125FC"/>
    <w:multiLevelType w:val="hybridMultilevel"/>
    <w:tmpl w:val="FFCE3D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E5F4D96"/>
    <w:multiLevelType w:val="hybridMultilevel"/>
    <w:tmpl w:val="516867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F57535C"/>
    <w:multiLevelType w:val="hybridMultilevel"/>
    <w:tmpl w:val="7C7865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082321E"/>
    <w:multiLevelType w:val="hybridMultilevel"/>
    <w:tmpl w:val="E69EDB04"/>
    <w:lvl w:ilvl="0" w:tplc="AFC23AF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C17FB1"/>
    <w:multiLevelType w:val="multilevel"/>
    <w:tmpl w:val="B658D0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5E777F"/>
    <w:multiLevelType w:val="hybridMultilevel"/>
    <w:tmpl w:val="2466DE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26615B6"/>
    <w:multiLevelType w:val="hybridMultilevel"/>
    <w:tmpl w:val="473EA2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B81649C"/>
    <w:multiLevelType w:val="multilevel"/>
    <w:tmpl w:val="3D927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4228625">
    <w:abstractNumId w:val="0"/>
  </w:num>
  <w:num w:numId="2" w16cid:durableId="2034265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225306">
    <w:abstractNumId w:val="1"/>
  </w:num>
  <w:num w:numId="4" w16cid:durableId="1604148658">
    <w:abstractNumId w:val="9"/>
  </w:num>
  <w:num w:numId="5" w16cid:durableId="2095471573">
    <w:abstractNumId w:val="5"/>
  </w:num>
  <w:num w:numId="6" w16cid:durableId="2126734800">
    <w:abstractNumId w:val="8"/>
  </w:num>
  <w:num w:numId="7" w16cid:durableId="1775242619">
    <w:abstractNumId w:val="3"/>
  </w:num>
  <w:num w:numId="8" w16cid:durableId="662398427">
    <w:abstractNumId w:val="4"/>
  </w:num>
  <w:num w:numId="9" w16cid:durableId="1563756454">
    <w:abstractNumId w:val="2"/>
  </w:num>
  <w:num w:numId="10" w16cid:durableId="623195952">
    <w:abstractNumId w:val="1"/>
  </w:num>
  <w:num w:numId="11" w16cid:durableId="18344896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yMDE2NzA0NjMwNzNS0lEKTi0uzszPAykwsagFAJfV1HAtAAAA"/>
  </w:docVars>
  <w:rsids>
    <w:rsidRoot w:val="26EC15BB"/>
    <w:rsid w:val="0000006E"/>
    <w:rsid w:val="00004E17"/>
    <w:rsid w:val="00017505"/>
    <w:rsid w:val="00017612"/>
    <w:rsid w:val="000236B5"/>
    <w:rsid w:val="0002504B"/>
    <w:rsid w:val="00027514"/>
    <w:rsid w:val="00032907"/>
    <w:rsid w:val="00034015"/>
    <w:rsid w:val="00034A09"/>
    <w:rsid w:val="00041596"/>
    <w:rsid w:val="00041BD5"/>
    <w:rsid w:val="00042E0E"/>
    <w:rsid w:val="000467E0"/>
    <w:rsid w:val="00046995"/>
    <w:rsid w:val="0005074A"/>
    <w:rsid w:val="000522BA"/>
    <w:rsid w:val="000554D7"/>
    <w:rsid w:val="00062088"/>
    <w:rsid w:val="000628BF"/>
    <w:rsid w:val="00064F55"/>
    <w:rsid w:val="00074CB4"/>
    <w:rsid w:val="000801C9"/>
    <w:rsid w:val="00083FF1"/>
    <w:rsid w:val="0008479B"/>
    <w:rsid w:val="00092405"/>
    <w:rsid w:val="000A1471"/>
    <w:rsid w:val="000A1C3F"/>
    <w:rsid w:val="000A2EF7"/>
    <w:rsid w:val="000B2AFE"/>
    <w:rsid w:val="000B683D"/>
    <w:rsid w:val="000C18F6"/>
    <w:rsid w:val="000D274F"/>
    <w:rsid w:val="000D5557"/>
    <w:rsid w:val="000E2010"/>
    <w:rsid w:val="000E3081"/>
    <w:rsid w:val="000F2DD6"/>
    <w:rsid w:val="000F5B04"/>
    <w:rsid w:val="000F5EE5"/>
    <w:rsid w:val="000F6DCD"/>
    <w:rsid w:val="00102553"/>
    <w:rsid w:val="001033AD"/>
    <w:rsid w:val="00104B80"/>
    <w:rsid w:val="0012028E"/>
    <w:rsid w:val="0012127A"/>
    <w:rsid w:val="001219A7"/>
    <w:rsid w:val="00123BEC"/>
    <w:rsid w:val="00130F2C"/>
    <w:rsid w:val="00132FA7"/>
    <w:rsid w:val="00135A5D"/>
    <w:rsid w:val="00140933"/>
    <w:rsid w:val="0014182B"/>
    <w:rsid w:val="00143522"/>
    <w:rsid w:val="00143766"/>
    <w:rsid w:val="00147893"/>
    <w:rsid w:val="0015127C"/>
    <w:rsid w:val="00153C24"/>
    <w:rsid w:val="00153F3A"/>
    <w:rsid w:val="001554B4"/>
    <w:rsid w:val="00163EE8"/>
    <w:rsid w:val="00170129"/>
    <w:rsid w:val="00177969"/>
    <w:rsid w:val="00177B58"/>
    <w:rsid w:val="00181B8B"/>
    <w:rsid w:val="00184414"/>
    <w:rsid w:val="0018608B"/>
    <w:rsid w:val="001941B1"/>
    <w:rsid w:val="001A2C97"/>
    <w:rsid w:val="001A3360"/>
    <w:rsid w:val="001A3DEE"/>
    <w:rsid w:val="001C131B"/>
    <w:rsid w:val="001C6E48"/>
    <w:rsid w:val="001D53D9"/>
    <w:rsid w:val="001E0855"/>
    <w:rsid w:val="001E5E7E"/>
    <w:rsid w:val="001F39D3"/>
    <w:rsid w:val="001F3AF3"/>
    <w:rsid w:val="001F7395"/>
    <w:rsid w:val="00200FC1"/>
    <w:rsid w:val="0020474B"/>
    <w:rsid w:val="00213031"/>
    <w:rsid w:val="00214586"/>
    <w:rsid w:val="00222122"/>
    <w:rsid w:val="00231789"/>
    <w:rsid w:val="00231F7B"/>
    <w:rsid w:val="002345EB"/>
    <w:rsid w:val="00254AF7"/>
    <w:rsid w:val="00257C38"/>
    <w:rsid w:val="00272C47"/>
    <w:rsid w:val="00275871"/>
    <w:rsid w:val="002903B9"/>
    <w:rsid w:val="00293566"/>
    <w:rsid w:val="00294D0F"/>
    <w:rsid w:val="00294FD7"/>
    <w:rsid w:val="00295463"/>
    <w:rsid w:val="00295C16"/>
    <w:rsid w:val="00296B92"/>
    <w:rsid w:val="002A0228"/>
    <w:rsid w:val="002A37BD"/>
    <w:rsid w:val="002B3EF2"/>
    <w:rsid w:val="002C6BCA"/>
    <w:rsid w:val="002C7D7C"/>
    <w:rsid w:val="002D1EDE"/>
    <w:rsid w:val="002E2AA0"/>
    <w:rsid w:val="002E3FDF"/>
    <w:rsid w:val="002F1C8E"/>
    <w:rsid w:val="00301545"/>
    <w:rsid w:val="00304FD4"/>
    <w:rsid w:val="00305743"/>
    <w:rsid w:val="00306580"/>
    <w:rsid w:val="00310B60"/>
    <w:rsid w:val="0031137E"/>
    <w:rsid w:val="00312042"/>
    <w:rsid w:val="003166AE"/>
    <w:rsid w:val="0032552C"/>
    <w:rsid w:val="003320A2"/>
    <w:rsid w:val="00333EE1"/>
    <w:rsid w:val="003361E7"/>
    <w:rsid w:val="00342600"/>
    <w:rsid w:val="00343828"/>
    <w:rsid w:val="00343A36"/>
    <w:rsid w:val="00343FBE"/>
    <w:rsid w:val="00344FA4"/>
    <w:rsid w:val="00346AB0"/>
    <w:rsid w:val="003652E2"/>
    <w:rsid w:val="00370F09"/>
    <w:rsid w:val="00371BAF"/>
    <w:rsid w:val="0038023E"/>
    <w:rsid w:val="0038420A"/>
    <w:rsid w:val="00387F7D"/>
    <w:rsid w:val="003A0701"/>
    <w:rsid w:val="003A415C"/>
    <w:rsid w:val="003A783E"/>
    <w:rsid w:val="003B06D8"/>
    <w:rsid w:val="003B25F1"/>
    <w:rsid w:val="003B77DA"/>
    <w:rsid w:val="003B7B70"/>
    <w:rsid w:val="003C295F"/>
    <w:rsid w:val="003C2AE5"/>
    <w:rsid w:val="003C50BB"/>
    <w:rsid w:val="003D5AAE"/>
    <w:rsid w:val="003D6DEB"/>
    <w:rsid w:val="003D762B"/>
    <w:rsid w:val="003E20A0"/>
    <w:rsid w:val="003E4A46"/>
    <w:rsid w:val="003E5867"/>
    <w:rsid w:val="00401BC4"/>
    <w:rsid w:val="00401BEF"/>
    <w:rsid w:val="0040694A"/>
    <w:rsid w:val="0041490C"/>
    <w:rsid w:val="00423811"/>
    <w:rsid w:val="00432471"/>
    <w:rsid w:val="004376EC"/>
    <w:rsid w:val="004405BC"/>
    <w:rsid w:val="00444F3B"/>
    <w:rsid w:val="00445572"/>
    <w:rsid w:val="004479B3"/>
    <w:rsid w:val="00450FA2"/>
    <w:rsid w:val="00453AE3"/>
    <w:rsid w:val="004550C5"/>
    <w:rsid w:val="004612D7"/>
    <w:rsid w:val="00466FF3"/>
    <w:rsid w:val="004707E9"/>
    <w:rsid w:val="00475321"/>
    <w:rsid w:val="00476A79"/>
    <w:rsid w:val="0047752D"/>
    <w:rsid w:val="0048114D"/>
    <w:rsid w:val="0048434E"/>
    <w:rsid w:val="00485DA3"/>
    <w:rsid w:val="00486A32"/>
    <w:rsid w:val="00495154"/>
    <w:rsid w:val="00495FB0"/>
    <w:rsid w:val="004A1DFD"/>
    <w:rsid w:val="004B519C"/>
    <w:rsid w:val="004B6A85"/>
    <w:rsid w:val="004C452B"/>
    <w:rsid w:val="004D1FB6"/>
    <w:rsid w:val="004E4A25"/>
    <w:rsid w:val="004E7D3D"/>
    <w:rsid w:val="004F4624"/>
    <w:rsid w:val="004F5819"/>
    <w:rsid w:val="00501EBE"/>
    <w:rsid w:val="00507C3C"/>
    <w:rsid w:val="00510E5C"/>
    <w:rsid w:val="005171E1"/>
    <w:rsid w:val="0052234F"/>
    <w:rsid w:val="00533C26"/>
    <w:rsid w:val="005373B8"/>
    <w:rsid w:val="0053791D"/>
    <w:rsid w:val="00540D74"/>
    <w:rsid w:val="0054436C"/>
    <w:rsid w:val="005478E4"/>
    <w:rsid w:val="00550B90"/>
    <w:rsid w:val="00557796"/>
    <w:rsid w:val="00565C16"/>
    <w:rsid w:val="00573186"/>
    <w:rsid w:val="0057584E"/>
    <w:rsid w:val="00577BD5"/>
    <w:rsid w:val="0058334F"/>
    <w:rsid w:val="005A188B"/>
    <w:rsid w:val="005A3518"/>
    <w:rsid w:val="005C292C"/>
    <w:rsid w:val="005C521E"/>
    <w:rsid w:val="005D203F"/>
    <w:rsid w:val="005E0CCD"/>
    <w:rsid w:val="005E4C17"/>
    <w:rsid w:val="005E72E4"/>
    <w:rsid w:val="005F76B4"/>
    <w:rsid w:val="00602BA6"/>
    <w:rsid w:val="006063EF"/>
    <w:rsid w:val="006174EE"/>
    <w:rsid w:val="00630468"/>
    <w:rsid w:val="006306C2"/>
    <w:rsid w:val="00642940"/>
    <w:rsid w:val="006523E4"/>
    <w:rsid w:val="00652C46"/>
    <w:rsid w:val="00667241"/>
    <w:rsid w:val="006721C0"/>
    <w:rsid w:val="0068080F"/>
    <w:rsid w:val="00682082"/>
    <w:rsid w:val="006940E2"/>
    <w:rsid w:val="00697CE2"/>
    <w:rsid w:val="006A023E"/>
    <w:rsid w:val="006A02C6"/>
    <w:rsid w:val="006A276F"/>
    <w:rsid w:val="006A389D"/>
    <w:rsid w:val="006A45DB"/>
    <w:rsid w:val="006A4BB2"/>
    <w:rsid w:val="006C023C"/>
    <w:rsid w:val="006C1BFD"/>
    <w:rsid w:val="006D1FE1"/>
    <w:rsid w:val="006D3FC9"/>
    <w:rsid w:val="006D7245"/>
    <w:rsid w:val="006E5509"/>
    <w:rsid w:val="006F478F"/>
    <w:rsid w:val="006F7D18"/>
    <w:rsid w:val="007236DE"/>
    <w:rsid w:val="00735BE0"/>
    <w:rsid w:val="00740DF3"/>
    <w:rsid w:val="00767362"/>
    <w:rsid w:val="007673E7"/>
    <w:rsid w:val="00775E85"/>
    <w:rsid w:val="00784993"/>
    <w:rsid w:val="00786B34"/>
    <w:rsid w:val="00795385"/>
    <w:rsid w:val="00795B2F"/>
    <w:rsid w:val="00796E68"/>
    <w:rsid w:val="007A0354"/>
    <w:rsid w:val="007A1C1A"/>
    <w:rsid w:val="007B1425"/>
    <w:rsid w:val="007B2FBF"/>
    <w:rsid w:val="007B6F87"/>
    <w:rsid w:val="007B7F94"/>
    <w:rsid w:val="007C08D0"/>
    <w:rsid w:val="007D3EE3"/>
    <w:rsid w:val="007D6177"/>
    <w:rsid w:val="007D70C4"/>
    <w:rsid w:val="007E1948"/>
    <w:rsid w:val="007E64E0"/>
    <w:rsid w:val="007F2CAE"/>
    <w:rsid w:val="007F3CA1"/>
    <w:rsid w:val="007F6D94"/>
    <w:rsid w:val="007F7585"/>
    <w:rsid w:val="0080192F"/>
    <w:rsid w:val="00814DEA"/>
    <w:rsid w:val="00821C1C"/>
    <w:rsid w:val="008221D8"/>
    <w:rsid w:val="0082460D"/>
    <w:rsid w:val="00831CB8"/>
    <w:rsid w:val="008527EE"/>
    <w:rsid w:val="00855732"/>
    <w:rsid w:val="0085658E"/>
    <w:rsid w:val="00856E10"/>
    <w:rsid w:val="00857709"/>
    <w:rsid w:val="00864EB6"/>
    <w:rsid w:val="0086579A"/>
    <w:rsid w:val="00870468"/>
    <w:rsid w:val="008760E5"/>
    <w:rsid w:val="00881551"/>
    <w:rsid w:val="00885103"/>
    <w:rsid w:val="00895542"/>
    <w:rsid w:val="008A3FE9"/>
    <w:rsid w:val="008C1CA7"/>
    <w:rsid w:val="008D46E0"/>
    <w:rsid w:val="008D4CBB"/>
    <w:rsid w:val="008F28D3"/>
    <w:rsid w:val="008F557B"/>
    <w:rsid w:val="008F7B3B"/>
    <w:rsid w:val="00915B7E"/>
    <w:rsid w:val="00922897"/>
    <w:rsid w:val="009255CA"/>
    <w:rsid w:val="00925E91"/>
    <w:rsid w:val="009262EF"/>
    <w:rsid w:val="00935285"/>
    <w:rsid w:val="00935F9B"/>
    <w:rsid w:val="00941D61"/>
    <w:rsid w:val="00952A9A"/>
    <w:rsid w:val="00970AD7"/>
    <w:rsid w:val="0097402F"/>
    <w:rsid w:val="009842B1"/>
    <w:rsid w:val="009848DE"/>
    <w:rsid w:val="00986D86"/>
    <w:rsid w:val="009870F6"/>
    <w:rsid w:val="00994F35"/>
    <w:rsid w:val="009A481A"/>
    <w:rsid w:val="009A748E"/>
    <w:rsid w:val="009B51F8"/>
    <w:rsid w:val="009C0469"/>
    <w:rsid w:val="009C2333"/>
    <w:rsid w:val="009C7C4E"/>
    <w:rsid w:val="009D156C"/>
    <w:rsid w:val="009D6C8D"/>
    <w:rsid w:val="009E51D8"/>
    <w:rsid w:val="009E662E"/>
    <w:rsid w:val="009E69F2"/>
    <w:rsid w:val="009E72EE"/>
    <w:rsid w:val="009F3D46"/>
    <w:rsid w:val="009F3F0B"/>
    <w:rsid w:val="009F3F37"/>
    <w:rsid w:val="009F690D"/>
    <w:rsid w:val="009F7792"/>
    <w:rsid w:val="00A148A4"/>
    <w:rsid w:val="00A17F81"/>
    <w:rsid w:val="00A44392"/>
    <w:rsid w:val="00A47C60"/>
    <w:rsid w:val="00A610EB"/>
    <w:rsid w:val="00A642A7"/>
    <w:rsid w:val="00A6480E"/>
    <w:rsid w:val="00A70F5C"/>
    <w:rsid w:val="00A72D25"/>
    <w:rsid w:val="00A87CD1"/>
    <w:rsid w:val="00AB2601"/>
    <w:rsid w:val="00AB2FB5"/>
    <w:rsid w:val="00AB7049"/>
    <w:rsid w:val="00AC00FA"/>
    <w:rsid w:val="00AC1CC4"/>
    <w:rsid w:val="00AC3220"/>
    <w:rsid w:val="00AD1B77"/>
    <w:rsid w:val="00AE0844"/>
    <w:rsid w:val="00AE1433"/>
    <w:rsid w:val="00AF129A"/>
    <w:rsid w:val="00AF4674"/>
    <w:rsid w:val="00AF7DE6"/>
    <w:rsid w:val="00B03B52"/>
    <w:rsid w:val="00B0745D"/>
    <w:rsid w:val="00B1000D"/>
    <w:rsid w:val="00B1107F"/>
    <w:rsid w:val="00B1356A"/>
    <w:rsid w:val="00B16FD1"/>
    <w:rsid w:val="00B24392"/>
    <w:rsid w:val="00B31702"/>
    <w:rsid w:val="00B31C7C"/>
    <w:rsid w:val="00B325E1"/>
    <w:rsid w:val="00B422FF"/>
    <w:rsid w:val="00B4237F"/>
    <w:rsid w:val="00B43911"/>
    <w:rsid w:val="00B55CBB"/>
    <w:rsid w:val="00B63B7F"/>
    <w:rsid w:val="00B64130"/>
    <w:rsid w:val="00B676AD"/>
    <w:rsid w:val="00B7292F"/>
    <w:rsid w:val="00B76B24"/>
    <w:rsid w:val="00B80FB2"/>
    <w:rsid w:val="00B831C0"/>
    <w:rsid w:val="00B84911"/>
    <w:rsid w:val="00B91D58"/>
    <w:rsid w:val="00B93C70"/>
    <w:rsid w:val="00B95A19"/>
    <w:rsid w:val="00B9738D"/>
    <w:rsid w:val="00BA5171"/>
    <w:rsid w:val="00BB177B"/>
    <w:rsid w:val="00BB6B67"/>
    <w:rsid w:val="00BC39B1"/>
    <w:rsid w:val="00BD15EC"/>
    <w:rsid w:val="00BD1C62"/>
    <w:rsid w:val="00BD51D7"/>
    <w:rsid w:val="00BE3DF1"/>
    <w:rsid w:val="00BE47C0"/>
    <w:rsid w:val="00BE5795"/>
    <w:rsid w:val="00BE642D"/>
    <w:rsid w:val="00BE69E9"/>
    <w:rsid w:val="00BE74CC"/>
    <w:rsid w:val="00BF430D"/>
    <w:rsid w:val="00BF59EC"/>
    <w:rsid w:val="00C108E4"/>
    <w:rsid w:val="00C115C6"/>
    <w:rsid w:val="00C2374D"/>
    <w:rsid w:val="00C26B8A"/>
    <w:rsid w:val="00C27CD7"/>
    <w:rsid w:val="00C35DA9"/>
    <w:rsid w:val="00C430A5"/>
    <w:rsid w:val="00C449B9"/>
    <w:rsid w:val="00C45BE1"/>
    <w:rsid w:val="00C50425"/>
    <w:rsid w:val="00C6011D"/>
    <w:rsid w:val="00C60CAF"/>
    <w:rsid w:val="00C6256E"/>
    <w:rsid w:val="00C641FE"/>
    <w:rsid w:val="00C65F2E"/>
    <w:rsid w:val="00C67264"/>
    <w:rsid w:val="00C74812"/>
    <w:rsid w:val="00C8055B"/>
    <w:rsid w:val="00C818B4"/>
    <w:rsid w:val="00C828F9"/>
    <w:rsid w:val="00C94AA1"/>
    <w:rsid w:val="00C971DC"/>
    <w:rsid w:val="00CA16D1"/>
    <w:rsid w:val="00CA4A40"/>
    <w:rsid w:val="00CA54C5"/>
    <w:rsid w:val="00CA7BFE"/>
    <w:rsid w:val="00CA7FE6"/>
    <w:rsid w:val="00CB13D2"/>
    <w:rsid w:val="00CB21AB"/>
    <w:rsid w:val="00CB2F27"/>
    <w:rsid w:val="00CB3AEC"/>
    <w:rsid w:val="00CC1A04"/>
    <w:rsid w:val="00CC28A7"/>
    <w:rsid w:val="00CC3F24"/>
    <w:rsid w:val="00CD5417"/>
    <w:rsid w:val="00CE0C9D"/>
    <w:rsid w:val="00CE3F4A"/>
    <w:rsid w:val="00CF0085"/>
    <w:rsid w:val="00CF4CDA"/>
    <w:rsid w:val="00D05750"/>
    <w:rsid w:val="00D10154"/>
    <w:rsid w:val="00D1469C"/>
    <w:rsid w:val="00D15FDF"/>
    <w:rsid w:val="00D2305F"/>
    <w:rsid w:val="00D36929"/>
    <w:rsid w:val="00D37C39"/>
    <w:rsid w:val="00D43DB6"/>
    <w:rsid w:val="00D474D8"/>
    <w:rsid w:val="00D47607"/>
    <w:rsid w:val="00D5619C"/>
    <w:rsid w:val="00D64814"/>
    <w:rsid w:val="00D654C0"/>
    <w:rsid w:val="00D72D4F"/>
    <w:rsid w:val="00D74133"/>
    <w:rsid w:val="00D777C1"/>
    <w:rsid w:val="00D948CA"/>
    <w:rsid w:val="00DA0450"/>
    <w:rsid w:val="00DA1844"/>
    <w:rsid w:val="00DA61D2"/>
    <w:rsid w:val="00DA7121"/>
    <w:rsid w:val="00DB3088"/>
    <w:rsid w:val="00DB37B5"/>
    <w:rsid w:val="00DC0164"/>
    <w:rsid w:val="00DC16DC"/>
    <w:rsid w:val="00DD0292"/>
    <w:rsid w:val="00DE7376"/>
    <w:rsid w:val="00DF44D8"/>
    <w:rsid w:val="00E05C6C"/>
    <w:rsid w:val="00E06465"/>
    <w:rsid w:val="00E07AA1"/>
    <w:rsid w:val="00E109BB"/>
    <w:rsid w:val="00E166D0"/>
    <w:rsid w:val="00E16997"/>
    <w:rsid w:val="00E170C2"/>
    <w:rsid w:val="00E178BD"/>
    <w:rsid w:val="00E25811"/>
    <w:rsid w:val="00E36730"/>
    <w:rsid w:val="00E44398"/>
    <w:rsid w:val="00E5120D"/>
    <w:rsid w:val="00E532C5"/>
    <w:rsid w:val="00E57710"/>
    <w:rsid w:val="00E6039C"/>
    <w:rsid w:val="00E60597"/>
    <w:rsid w:val="00E67434"/>
    <w:rsid w:val="00E67686"/>
    <w:rsid w:val="00E7205A"/>
    <w:rsid w:val="00E743A9"/>
    <w:rsid w:val="00E812C1"/>
    <w:rsid w:val="00E82381"/>
    <w:rsid w:val="00E8795B"/>
    <w:rsid w:val="00E90913"/>
    <w:rsid w:val="00E9788A"/>
    <w:rsid w:val="00EA254C"/>
    <w:rsid w:val="00EB076C"/>
    <w:rsid w:val="00EB0B3B"/>
    <w:rsid w:val="00EB6911"/>
    <w:rsid w:val="00EC38B3"/>
    <w:rsid w:val="00ED6F59"/>
    <w:rsid w:val="00ED71B3"/>
    <w:rsid w:val="00ED784B"/>
    <w:rsid w:val="00EE3AC3"/>
    <w:rsid w:val="00EE51B2"/>
    <w:rsid w:val="00EE7CE1"/>
    <w:rsid w:val="00EF0ACB"/>
    <w:rsid w:val="00EF2A91"/>
    <w:rsid w:val="00EF3DC7"/>
    <w:rsid w:val="00EF4C3B"/>
    <w:rsid w:val="00F00D7B"/>
    <w:rsid w:val="00F0333C"/>
    <w:rsid w:val="00F05063"/>
    <w:rsid w:val="00F11ECC"/>
    <w:rsid w:val="00F13114"/>
    <w:rsid w:val="00F20FC8"/>
    <w:rsid w:val="00F23B98"/>
    <w:rsid w:val="00F3509E"/>
    <w:rsid w:val="00F37E93"/>
    <w:rsid w:val="00F423DD"/>
    <w:rsid w:val="00F430E2"/>
    <w:rsid w:val="00F442E8"/>
    <w:rsid w:val="00F50B6F"/>
    <w:rsid w:val="00F55B3E"/>
    <w:rsid w:val="00F56AFE"/>
    <w:rsid w:val="00F6492A"/>
    <w:rsid w:val="00F67355"/>
    <w:rsid w:val="00F7048B"/>
    <w:rsid w:val="00F7440E"/>
    <w:rsid w:val="00F765BD"/>
    <w:rsid w:val="00F80820"/>
    <w:rsid w:val="00F875CC"/>
    <w:rsid w:val="00F93671"/>
    <w:rsid w:val="00FA03C1"/>
    <w:rsid w:val="00FA12B2"/>
    <w:rsid w:val="00FA3752"/>
    <w:rsid w:val="00FA65D8"/>
    <w:rsid w:val="00FA6C89"/>
    <w:rsid w:val="00FA6EAD"/>
    <w:rsid w:val="00FB3A45"/>
    <w:rsid w:val="00FB75C8"/>
    <w:rsid w:val="00FC3EF4"/>
    <w:rsid w:val="00FC75FB"/>
    <w:rsid w:val="00FD165F"/>
    <w:rsid w:val="12218BE8"/>
    <w:rsid w:val="18A121BD"/>
    <w:rsid w:val="1D270195"/>
    <w:rsid w:val="228FBFB5"/>
    <w:rsid w:val="26EC15BB"/>
    <w:rsid w:val="26EFE3B2"/>
    <w:rsid w:val="290169C6"/>
    <w:rsid w:val="318E520D"/>
    <w:rsid w:val="3380920B"/>
    <w:rsid w:val="35BFF325"/>
    <w:rsid w:val="4BBA0C87"/>
    <w:rsid w:val="527EE17C"/>
    <w:rsid w:val="5298ECE8"/>
    <w:rsid w:val="553670BE"/>
    <w:rsid w:val="59E070DE"/>
    <w:rsid w:val="5B652002"/>
    <w:rsid w:val="5EEBF7C0"/>
    <w:rsid w:val="63CF6241"/>
    <w:rsid w:val="7CB52F4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D41FE"/>
  <w15:docId w15:val="{3CE18DD0-AB35-4C75-9EB5-38A4846A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D1"/>
    <w:pPr>
      <w:autoSpaceDE w:val="0"/>
      <w:autoSpaceDN w:val="0"/>
      <w:adjustRightInd w:val="0"/>
      <w:spacing w:after="0" w:line="240" w:lineRule="auto"/>
      <w:jc w:val="both"/>
    </w:pPr>
    <w:rPr>
      <w:rFonts w:ascii="Times New Roman" w:eastAsia="Calibri" w:hAnsi="Times New Roman" w:cs="Times New Roman"/>
      <w:sz w:val="20"/>
      <w:szCs w:val="20"/>
    </w:rPr>
  </w:style>
  <w:style w:type="paragraph" w:styleId="Heading1">
    <w:name w:val="heading 1"/>
    <w:basedOn w:val="Heading4"/>
    <w:next w:val="Normal"/>
    <w:link w:val="Heading1Char"/>
    <w:uiPriority w:val="9"/>
    <w:qFormat/>
    <w:rsid w:val="00970AD7"/>
    <w:pPr>
      <w:outlineLvl w:val="0"/>
    </w:pPr>
    <w:rPr>
      <w:rFonts w:eastAsia="Calibri" w:cs="Times New Roman"/>
      <w:b/>
      <w:bCs/>
      <w:i w:val="0"/>
      <w:iCs w:val="0"/>
      <w:color w:val="auto"/>
      <w:sz w:val="28"/>
      <w:szCs w:val="28"/>
    </w:rPr>
  </w:style>
  <w:style w:type="paragraph" w:styleId="Heading2">
    <w:name w:val="heading 2"/>
    <w:basedOn w:val="Heading1"/>
    <w:next w:val="Normal"/>
    <w:link w:val="Heading2Char"/>
    <w:uiPriority w:val="9"/>
    <w:unhideWhenUsed/>
    <w:qFormat/>
    <w:rsid w:val="006D3FC9"/>
    <w:pPr>
      <w:numPr>
        <w:ilvl w:val="1"/>
      </w:numPr>
      <w:outlineLvl w:val="1"/>
    </w:pPr>
    <w:rPr>
      <w:sz w:val="24"/>
      <w:szCs w:val="24"/>
    </w:rPr>
  </w:style>
  <w:style w:type="paragraph" w:styleId="Heading3">
    <w:name w:val="heading 3"/>
    <w:basedOn w:val="Normal"/>
    <w:link w:val="Heading3Char"/>
    <w:uiPriority w:val="9"/>
    <w:unhideWhenUsed/>
    <w:qFormat/>
    <w:rsid w:val="002903B9"/>
    <w:pPr>
      <w:numPr>
        <w:ilvl w:val="2"/>
        <w:numId w:val="3"/>
      </w:numPr>
      <w:outlineLvl w:val="2"/>
    </w:pPr>
    <w:rPr>
      <w:b/>
      <w:bCs/>
      <w:lang w:val="en-IN" w:eastAsia="en-IN"/>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AD7"/>
    <w:rPr>
      <w:rFonts w:ascii="Times New Roman" w:eastAsia="Calibri" w:hAnsi="Times New Roman" w:cs="Times New Roman"/>
      <w:b/>
      <w:bCs/>
      <w:sz w:val="28"/>
      <w:szCs w:val="28"/>
    </w:rPr>
  </w:style>
  <w:style w:type="character" w:customStyle="1" w:styleId="Heading2Char">
    <w:name w:val="Heading 2 Char"/>
    <w:basedOn w:val="DefaultParagraphFont"/>
    <w:link w:val="Heading2"/>
    <w:uiPriority w:val="9"/>
    <w:rsid w:val="006D3FC9"/>
    <w:rPr>
      <w:rFonts w:ascii="Times New Roman" w:eastAsia="Calibri" w:hAnsi="Times New Roman" w:cs="Times New Roman"/>
      <w:b/>
      <w:bCs/>
    </w:rPr>
  </w:style>
  <w:style w:type="character" w:customStyle="1" w:styleId="Heading3Char">
    <w:name w:val="Heading 3 Char"/>
    <w:basedOn w:val="DefaultParagraphFont"/>
    <w:link w:val="Heading3"/>
    <w:uiPriority w:val="9"/>
    <w:rsid w:val="002903B9"/>
    <w:rPr>
      <w:rFonts w:ascii="Times New Roman" w:eastAsia="Calibri" w:hAnsi="Times New Roman" w:cs="Times New Roman"/>
      <w:b/>
      <w:bCs/>
      <w:sz w:val="20"/>
      <w:szCs w:val="20"/>
      <w:lang w:val="en-IN" w:eastAsia="en-IN"/>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Default">
    <w:name w:val="Default"/>
    <w:rsid w:val="00895542"/>
    <w:pPr>
      <w:autoSpaceDE w:val="0"/>
      <w:autoSpaceDN w:val="0"/>
      <w:adjustRightInd w:val="0"/>
      <w:spacing w:after="0" w:line="240" w:lineRule="auto"/>
    </w:pPr>
    <w:rPr>
      <w:rFonts w:ascii="Times New Roman" w:hAnsi="Times New Roman" w:cs="Times New Roman"/>
      <w:color w:val="000000"/>
      <w:lang w:val="en-IN"/>
    </w:rPr>
  </w:style>
  <w:style w:type="paragraph" w:styleId="Caption">
    <w:name w:val="caption"/>
    <w:basedOn w:val="Normal"/>
    <w:next w:val="Normal"/>
    <w:uiPriority w:val="35"/>
    <w:unhideWhenUsed/>
    <w:qFormat/>
    <w:rsid w:val="009870F6"/>
    <w:pPr>
      <w:spacing w:after="200"/>
    </w:pPr>
    <w:rPr>
      <w:rFonts w:eastAsiaTheme="minorHAnsi"/>
      <w:i/>
      <w:iCs/>
      <w:sz w:val="22"/>
      <w:szCs w:val="18"/>
      <w:lang w:val="en-IN" w:eastAsia="en-US"/>
    </w:rPr>
  </w:style>
  <w:style w:type="table" w:customStyle="1" w:styleId="TableGridLight1">
    <w:name w:val="Table Grid Light1"/>
    <w:basedOn w:val="TableNormal"/>
    <w:uiPriority w:val="40"/>
    <w:rsid w:val="00D474D8"/>
    <w:pPr>
      <w:spacing w:after="0" w:line="240" w:lineRule="auto"/>
    </w:pPr>
    <w:rPr>
      <w:rFonts w:eastAsiaTheme="minorHAnsi"/>
      <w:sz w:val="22"/>
      <w:szCs w:val="22"/>
      <w:lang w:val="en-IN"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D1B77"/>
    <w:rPr>
      <w:color w:val="666666"/>
    </w:rPr>
  </w:style>
  <w:style w:type="paragraph" w:styleId="NormalWeb">
    <w:name w:val="Normal (Web)"/>
    <w:basedOn w:val="Normal"/>
    <w:uiPriority w:val="99"/>
    <w:unhideWhenUsed/>
    <w:rsid w:val="00667241"/>
    <w:pPr>
      <w:autoSpaceDE/>
      <w:autoSpaceDN/>
      <w:adjustRightInd/>
      <w:spacing w:before="100" w:beforeAutospacing="1" w:after="100" w:afterAutospacing="1"/>
      <w:jc w:val="left"/>
    </w:pPr>
    <w:rPr>
      <w:rFonts w:eastAsia="Times New Roman"/>
      <w:lang w:val="en-IN" w:eastAsia="en-IN"/>
    </w:rPr>
  </w:style>
  <w:style w:type="character" w:styleId="Strong">
    <w:name w:val="Strong"/>
    <w:basedOn w:val="DefaultParagraphFont"/>
    <w:uiPriority w:val="22"/>
    <w:qFormat/>
    <w:rsid w:val="00667241"/>
    <w:rPr>
      <w:b/>
      <w:bCs/>
    </w:rPr>
  </w:style>
  <w:style w:type="character" w:styleId="Hyperlink">
    <w:name w:val="Hyperlink"/>
    <w:basedOn w:val="DefaultParagraphFont"/>
    <w:uiPriority w:val="99"/>
    <w:unhideWhenUsed/>
    <w:rsid w:val="00A642A7"/>
    <w:rPr>
      <w:color w:val="467886" w:themeColor="hyperlink"/>
      <w:u w:val="single"/>
    </w:rPr>
  </w:style>
  <w:style w:type="character" w:customStyle="1" w:styleId="UnresolvedMention1">
    <w:name w:val="Unresolved Mention1"/>
    <w:basedOn w:val="DefaultParagraphFont"/>
    <w:uiPriority w:val="99"/>
    <w:semiHidden/>
    <w:unhideWhenUsed/>
    <w:rsid w:val="00A642A7"/>
    <w:rPr>
      <w:color w:val="605E5C"/>
      <w:shd w:val="clear" w:color="auto" w:fill="E1DFDD"/>
    </w:rPr>
  </w:style>
  <w:style w:type="table" w:customStyle="1" w:styleId="ListTable3-Accent11">
    <w:name w:val="List Table 3 - Accent 11"/>
    <w:basedOn w:val="TableNormal"/>
    <w:uiPriority w:val="48"/>
    <w:rsid w:val="00F93671"/>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katex-mathml">
    <w:name w:val="katex-mathml"/>
    <w:basedOn w:val="DefaultParagraphFont"/>
    <w:rsid w:val="00DA0450"/>
  </w:style>
  <w:style w:type="character" w:customStyle="1" w:styleId="mord">
    <w:name w:val="mord"/>
    <w:basedOn w:val="DefaultParagraphFont"/>
    <w:rsid w:val="00DA0450"/>
  </w:style>
  <w:style w:type="character" w:customStyle="1" w:styleId="mrel">
    <w:name w:val="mrel"/>
    <w:basedOn w:val="DefaultParagraphFont"/>
    <w:rsid w:val="00DA0450"/>
  </w:style>
  <w:style w:type="character" w:customStyle="1" w:styleId="mbin">
    <w:name w:val="mbin"/>
    <w:basedOn w:val="DefaultParagraphFont"/>
    <w:rsid w:val="00DA0450"/>
  </w:style>
  <w:style w:type="table" w:styleId="TableGrid">
    <w:name w:val="Table Grid"/>
    <w:basedOn w:val="TableNormal"/>
    <w:uiPriority w:val="39"/>
    <w:rsid w:val="0020474B"/>
    <w:pPr>
      <w:spacing w:after="0" w:line="240" w:lineRule="auto"/>
      <w:jc w:val="both"/>
    </w:pPr>
    <w:rPr>
      <w:rFonts w:ascii="Times New Roman" w:eastAsia="Times New Roman" w:hAnsi="Times New Roman" w:cs="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D1FE1"/>
    <w:pPr>
      <w:spacing w:line="480" w:lineRule="auto"/>
      <w:ind w:left="720" w:hanging="720"/>
    </w:pPr>
  </w:style>
  <w:style w:type="paragraph" w:customStyle="1" w:styleId="mb-2">
    <w:name w:val="mb-2"/>
    <w:basedOn w:val="Normal"/>
    <w:rsid w:val="00EF3DC7"/>
    <w:pPr>
      <w:autoSpaceDE/>
      <w:autoSpaceDN/>
      <w:adjustRightInd/>
      <w:spacing w:before="100" w:beforeAutospacing="1" w:after="100" w:afterAutospacing="1"/>
      <w:jc w:val="left"/>
    </w:pPr>
    <w:rPr>
      <w:rFonts w:eastAsia="Times New Roman"/>
      <w:lang w:val="en-IN" w:eastAsia="en-IN"/>
    </w:rPr>
  </w:style>
  <w:style w:type="character" w:customStyle="1" w:styleId="sr-only">
    <w:name w:val="sr-only"/>
    <w:basedOn w:val="DefaultParagraphFont"/>
    <w:rsid w:val="00EF3DC7"/>
  </w:style>
  <w:style w:type="character" w:styleId="FollowedHyperlink">
    <w:name w:val="FollowedHyperlink"/>
    <w:basedOn w:val="DefaultParagraphFont"/>
    <w:uiPriority w:val="99"/>
    <w:semiHidden/>
    <w:unhideWhenUsed/>
    <w:rsid w:val="00FC75FB"/>
    <w:rPr>
      <w:color w:val="96607D" w:themeColor="followedHyperlink"/>
      <w:u w:val="single"/>
    </w:rPr>
  </w:style>
  <w:style w:type="paragraph" w:styleId="Header">
    <w:name w:val="header"/>
    <w:basedOn w:val="Normal"/>
    <w:link w:val="HeaderChar"/>
    <w:uiPriority w:val="99"/>
    <w:unhideWhenUsed/>
    <w:rsid w:val="00034A09"/>
    <w:pPr>
      <w:tabs>
        <w:tab w:val="center" w:pos="4513"/>
        <w:tab w:val="right" w:pos="9026"/>
      </w:tabs>
    </w:pPr>
  </w:style>
  <w:style w:type="character" w:customStyle="1" w:styleId="HeaderChar">
    <w:name w:val="Header Char"/>
    <w:basedOn w:val="DefaultParagraphFont"/>
    <w:link w:val="Header"/>
    <w:uiPriority w:val="99"/>
    <w:rsid w:val="00034A09"/>
    <w:rPr>
      <w:rFonts w:ascii="Times New Roman" w:hAnsi="Times New Roman" w:cs="Times New Roman"/>
    </w:rPr>
  </w:style>
  <w:style w:type="paragraph" w:styleId="Footer">
    <w:name w:val="footer"/>
    <w:basedOn w:val="Normal"/>
    <w:link w:val="FooterChar"/>
    <w:uiPriority w:val="99"/>
    <w:unhideWhenUsed/>
    <w:rsid w:val="00034A09"/>
    <w:pPr>
      <w:tabs>
        <w:tab w:val="center" w:pos="4513"/>
        <w:tab w:val="right" w:pos="9026"/>
      </w:tabs>
    </w:pPr>
  </w:style>
  <w:style w:type="character" w:customStyle="1" w:styleId="FooterChar">
    <w:name w:val="Footer Char"/>
    <w:basedOn w:val="DefaultParagraphFont"/>
    <w:link w:val="Footer"/>
    <w:uiPriority w:val="99"/>
    <w:rsid w:val="00034A09"/>
    <w:rPr>
      <w:rFonts w:ascii="Times New Roman" w:hAnsi="Times New Roman" w:cs="Times New Roman"/>
    </w:rPr>
  </w:style>
  <w:style w:type="character" w:styleId="LineNumber">
    <w:name w:val="line number"/>
    <w:basedOn w:val="DefaultParagraphFont"/>
    <w:uiPriority w:val="99"/>
    <w:semiHidden/>
    <w:unhideWhenUsed/>
    <w:rsid w:val="00312042"/>
  </w:style>
  <w:style w:type="character" w:styleId="CommentReference">
    <w:name w:val="annotation reference"/>
    <w:basedOn w:val="DefaultParagraphFont"/>
    <w:uiPriority w:val="99"/>
    <w:semiHidden/>
    <w:unhideWhenUsed/>
    <w:rsid w:val="004B6A85"/>
    <w:rPr>
      <w:sz w:val="16"/>
      <w:szCs w:val="16"/>
    </w:rPr>
  </w:style>
  <w:style w:type="paragraph" w:styleId="CommentText">
    <w:name w:val="annotation text"/>
    <w:basedOn w:val="Normal"/>
    <w:link w:val="CommentTextChar"/>
    <w:uiPriority w:val="99"/>
    <w:semiHidden/>
    <w:unhideWhenUsed/>
    <w:rsid w:val="004B6A85"/>
  </w:style>
  <w:style w:type="character" w:customStyle="1" w:styleId="CommentTextChar">
    <w:name w:val="Comment Text Char"/>
    <w:basedOn w:val="DefaultParagraphFont"/>
    <w:link w:val="CommentText"/>
    <w:uiPriority w:val="99"/>
    <w:semiHidden/>
    <w:rsid w:val="004B6A8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6A85"/>
    <w:rPr>
      <w:b/>
      <w:bCs/>
    </w:rPr>
  </w:style>
  <w:style w:type="character" w:customStyle="1" w:styleId="CommentSubjectChar">
    <w:name w:val="Comment Subject Char"/>
    <w:basedOn w:val="CommentTextChar"/>
    <w:link w:val="CommentSubject"/>
    <w:uiPriority w:val="99"/>
    <w:semiHidden/>
    <w:rsid w:val="004B6A8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4B6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85"/>
    <w:rPr>
      <w:rFonts w:ascii="Segoe UI" w:eastAsia="Calibri" w:hAnsi="Segoe UI" w:cs="Segoe UI"/>
      <w:sz w:val="18"/>
      <w:szCs w:val="18"/>
    </w:rPr>
  </w:style>
  <w:style w:type="paragraph" w:styleId="Revision">
    <w:name w:val="Revision"/>
    <w:hidden/>
    <w:uiPriority w:val="99"/>
    <w:semiHidden/>
    <w:rsid w:val="00495154"/>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78213">
      <w:bodyDiv w:val="1"/>
      <w:marLeft w:val="0"/>
      <w:marRight w:val="0"/>
      <w:marTop w:val="0"/>
      <w:marBottom w:val="0"/>
      <w:divBdr>
        <w:top w:val="none" w:sz="0" w:space="0" w:color="auto"/>
        <w:left w:val="none" w:sz="0" w:space="0" w:color="auto"/>
        <w:bottom w:val="none" w:sz="0" w:space="0" w:color="auto"/>
        <w:right w:val="none" w:sz="0" w:space="0" w:color="auto"/>
      </w:divBdr>
    </w:div>
    <w:div w:id="313997828">
      <w:bodyDiv w:val="1"/>
      <w:marLeft w:val="0"/>
      <w:marRight w:val="0"/>
      <w:marTop w:val="0"/>
      <w:marBottom w:val="0"/>
      <w:divBdr>
        <w:top w:val="none" w:sz="0" w:space="0" w:color="auto"/>
        <w:left w:val="none" w:sz="0" w:space="0" w:color="auto"/>
        <w:bottom w:val="none" w:sz="0" w:space="0" w:color="auto"/>
        <w:right w:val="none" w:sz="0" w:space="0" w:color="auto"/>
      </w:divBdr>
    </w:div>
    <w:div w:id="451290814">
      <w:bodyDiv w:val="1"/>
      <w:marLeft w:val="0"/>
      <w:marRight w:val="0"/>
      <w:marTop w:val="0"/>
      <w:marBottom w:val="0"/>
      <w:divBdr>
        <w:top w:val="none" w:sz="0" w:space="0" w:color="auto"/>
        <w:left w:val="none" w:sz="0" w:space="0" w:color="auto"/>
        <w:bottom w:val="none" w:sz="0" w:space="0" w:color="auto"/>
        <w:right w:val="none" w:sz="0" w:space="0" w:color="auto"/>
      </w:divBdr>
    </w:div>
    <w:div w:id="488718967">
      <w:bodyDiv w:val="1"/>
      <w:marLeft w:val="0"/>
      <w:marRight w:val="0"/>
      <w:marTop w:val="0"/>
      <w:marBottom w:val="0"/>
      <w:divBdr>
        <w:top w:val="none" w:sz="0" w:space="0" w:color="auto"/>
        <w:left w:val="none" w:sz="0" w:space="0" w:color="auto"/>
        <w:bottom w:val="none" w:sz="0" w:space="0" w:color="auto"/>
        <w:right w:val="none" w:sz="0" w:space="0" w:color="auto"/>
      </w:divBdr>
      <w:divsChild>
        <w:div w:id="646009031">
          <w:marLeft w:val="0"/>
          <w:marRight w:val="0"/>
          <w:marTop w:val="100"/>
          <w:marBottom w:val="100"/>
          <w:divBdr>
            <w:top w:val="single" w:sz="2" w:space="0" w:color="E4E4E7"/>
            <w:left w:val="single" w:sz="2" w:space="0" w:color="E4E4E7"/>
            <w:bottom w:val="single" w:sz="2" w:space="0" w:color="E4E4E7"/>
            <w:right w:val="single" w:sz="2" w:space="0" w:color="E4E4E7"/>
          </w:divBdr>
          <w:divsChild>
            <w:div w:id="1616060933">
              <w:marLeft w:val="0"/>
              <w:marRight w:val="0"/>
              <w:marTop w:val="0"/>
              <w:marBottom w:val="0"/>
              <w:divBdr>
                <w:top w:val="single" w:sz="2" w:space="0" w:color="E4E4E7"/>
                <w:left w:val="single" w:sz="2" w:space="0" w:color="E4E4E7"/>
                <w:bottom w:val="single" w:sz="2" w:space="0" w:color="E4E4E7"/>
                <w:right w:val="single" w:sz="2" w:space="0" w:color="E4E4E7"/>
              </w:divBdr>
              <w:divsChild>
                <w:div w:id="1191070481">
                  <w:marLeft w:val="0"/>
                  <w:marRight w:val="0"/>
                  <w:marTop w:val="0"/>
                  <w:marBottom w:val="0"/>
                  <w:divBdr>
                    <w:top w:val="single" w:sz="2" w:space="0" w:color="E4E4E7"/>
                    <w:left w:val="single" w:sz="2" w:space="0" w:color="E4E4E7"/>
                    <w:bottom w:val="single" w:sz="2" w:space="0" w:color="E4E4E7"/>
                    <w:right w:val="single" w:sz="2" w:space="0" w:color="E4E4E7"/>
                  </w:divBdr>
                  <w:divsChild>
                    <w:div w:id="1991325001">
                      <w:marLeft w:val="0"/>
                      <w:marRight w:val="0"/>
                      <w:marTop w:val="120"/>
                      <w:marBottom w:val="0"/>
                      <w:divBdr>
                        <w:top w:val="single" w:sz="2" w:space="0" w:color="E4E4E7"/>
                        <w:left w:val="single" w:sz="2" w:space="0" w:color="E4E4E7"/>
                        <w:bottom w:val="single" w:sz="2" w:space="0" w:color="E4E4E7"/>
                        <w:right w:val="single" w:sz="2" w:space="0" w:color="E4E4E7"/>
                      </w:divBdr>
                      <w:divsChild>
                        <w:div w:id="177065744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650644647">
      <w:bodyDiv w:val="1"/>
      <w:marLeft w:val="0"/>
      <w:marRight w:val="0"/>
      <w:marTop w:val="0"/>
      <w:marBottom w:val="0"/>
      <w:divBdr>
        <w:top w:val="none" w:sz="0" w:space="0" w:color="auto"/>
        <w:left w:val="none" w:sz="0" w:space="0" w:color="auto"/>
        <w:bottom w:val="none" w:sz="0" w:space="0" w:color="auto"/>
        <w:right w:val="none" w:sz="0" w:space="0" w:color="auto"/>
      </w:divBdr>
    </w:div>
    <w:div w:id="676810533">
      <w:bodyDiv w:val="1"/>
      <w:marLeft w:val="0"/>
      <w:marRight w:val="0"/>
      <w:marTop w:val="0"/>
      <w:marBottom w:val="0"/>
      <w:divBdr>
        <w:top w:val="none" w:sz="0" w:space="0" w:color="auto"/>
        <w:left w:val="none" w:sz="0" w:space="0" w:color="auto"/>
        <w:bottom w:val="none" w:sz="0" w:space="0" w:color="auto"/>
        <w:right w:val="none" w:sz="0" w:space="0" w:color="auto"/>
      </w:divBdr>
    </w:div>
    <w:div w:id="693267397">
      <w:bodyDiv w:val="1"/>
      <w:marLeft w:val="0"/>
      <w:marRight w:val="0"/>
      <w:marTop w:val="0"/>
      <w:marBottom w:val="0"/>
      <w:divBdr>
        <w:top w:val="none" w:sz="0" w:space="0" w:color="auto"/>
        <w:left w:val="none" w:sz="0" w:space="0" w:color="auto"/>
        <w:bottom w:val="none" w:sz="0" w:space="0" w:color="auto"/>
        <w:right w:val="none" w:sz="0" w:space="0" w:color="auto"/>
      </w:divBdr>
    </w:div>
    <w:div w:id="746609860">
      <w:bodyDiv w:val="1"/>
      <w:marLeft w:val="0"/>
      <w:marRight w:val="0"/>
      <w:marTop w:val="0"/>
      <w:marBottom w:val="0"/>
      <w:divBdr>
        <w:top w:val="none" w:sz="0" w:space="0" w:color="auto"/>
        <w:left w:val="none" w:sz="0" w:space="0" w:color="auto"/>
        <w:bottom w:val="none" w:sz="0" w:space="0" w:color="auto"/>
        <w:right w:val="none" w:sz="0" w:space="0" w:color="auto"/>
      </w:divBdr>
    </w:div>
    <w:div w:id="765078922">
      <w:bodyDiv w:val="1"/>
      <w:marLeft w:val="0"/>
      <w:marRight w:val="0"/>
      <w:marTop w:val="0"/>
      <w:marBottom w:val="0"/>
      <w:divBdr>
        <w:top w:val="none" w:sz="0" w:space="0" w:color="auto"/>
        <w:left w:val="none" w:sz="0" w:space="0" w:color="auto"/>
        <w:bottom w:val="none" w:sz="0" w:space="0" w:color="auto"/>
        <w:right w:val="none" w:sz="0" w:space="0" w:color="auto"/>
      </w:divBdr>
    </w:div>
    <w:div w:id="834805938">
      <w:bodyDiv w:val="1"/>
      <w:marLeft w:val="0"/>
      <w:marRight w:val="0"/>
      <w:marTop w:val="0"/>
      <w:marBottom w:val="0"/>
      <w:divBdr>
        <w:top w:val="none" w:sz="0" w:space="0" w:color="auto"/>
        <w:left w:val="none" w:sz="0" w:space="0" w:color="auto"/>
        <w:bottom w:val="none" w:sz="0" w:space="0" w:color="auto"/>
        <w:right w:val="none" w:sz="0" w:space="0" w:color="auto"/>
      </w:divBdr>
    </w:div>
    <w:div w:id="853686727">
      <w:bodyDiv w:val="1"/>
      <w:marLeft w:val="0"/>
      <w:marRight w:val="0"/>
      <w:marTop w:val="0"/>
      <w:marBottom w:val="0"/>
      <w:divBdr>
        <w:top w:val="none" w:sz="0" w:space="0" w:color="auto"/>
        <w:left w:val="none" w:sz="0" w:space="0" w:color="auto"/>
        <w:bottom w:val="none" w:sz="0" w:space="0" w:color="auto"/>
        <w:right w:val="none" w:sz="0" w:space="0" w:color="auto"/>
      </w:divBdr>
    </w:div>
    <w:div w:id="889076167">
      <w:bodyDiv w:val="1"/>
      <w:marLeft w:val="0"/>
      <w:marRight w:val="0"/>
      <w:marTop w:val="0"/>
      <w:marBottom w:val="0"/>
      <w:divBdr>
        <w:top w:val="none" w:sz="0" w:space="0" w:color="auto"/>
        <w:left w:val="none" w:sz="0" w:space="0" w:color="auto"/>
        <w:bottom w:val="none" w:sz="0" w:space="0" w:color="auto"/>
        <w:right w:val="none" w:sz="0" w:space="0" w:color="auto"/>
      </w:divBdr>
      <w:divsChild>
        <w:div w:id="1007561487">
          <w:marLeft w:val="446"/>
          <w:marRight w:val="0"/>
          <w:marTop w:val="0"/>
          <w:marBottom w:val="0"/>
          <w:divBdr>
            <w:top w:val="none" w:sz="0" w:space="0" w:color="auto"/>
            <w:left w:val="none" w:sz="0" w:space="0" w:color="auto"/>
            <w:bottom w:val="none" w:sz="0" w:space="0" w:color="auto"/>
            <w:right w:val="none" w:sz="0" w:space="0" w:color="auto"/>
          </w:divBdr>
        </w:div>
        <w:div w:id="1187938282">
          <w:marLeft w:val="446"/>
          <w:marRight w:val="0"/>
          <w:marTop w:val="0"/>
          <w:marBottom w:val="0"/>
          <w:divBdr>
            <w:top w:val="none" w:sz="0" w:space="0" w:color="auto"/>
            <w:left w:val="none" w:sz="0" w:space="0" w:color="auto"/>
            <w:bottom w:val="none" w:sz="0" w:space="0" w:color="auto"/>
            <w:right w:val="none" w:sz="0" w:space="0" w:color="auto"/>
          </w:divBdr>
        </w:div>
        <w:div w:id="1385324424">
          <w:marLeft w:val="446"/>
          <w:marRight w:val="0"/>
          <w:marTop w:val="0"/>
          <w:marBottom w:val="0"/>
          <w:divBdr>
            <w:top w:val="none" w:sz="0" w:space="0" w:color="auto"/>
            <w:left w:val="none" w:sz="0" w:space="0" w:color="auto"/>
            <w:bottom w:val="none" w:sz="0" w:space="0" w:color="auto"/>
            <w:right w:val="none" w:sz="0" w:space="0" w:color="auto"/>
          </w:divBdr>
        </w:div>
        <w:div w:id="1862090470">
          <w:marLeft w:val="446"/>
          <w:marRight w:val="0"/>
          <w:marTop w:val="0"/>
          <w:marBottom w:val="0"/>
          <w:divBdr>
            <w:top w:val="none" w:sz="0" w:space="0" w:color="auto"/>
            <w:left w:val="none" w:sz="0" w:space="0" w:color="auto"/>
            <w:bottom w:val="none" w:sz="0" w:space="0" w:color="auto"/>
            <w:right w:val="none" w:sz="0" w:space="0" w:color="auto"/>
          </w:divBdr>
        </w:div>
      </w:divsChild>
    </w:div>
    <w:div w:id="912162658">
      <w:bodyDiv w:val="1"/>
      <w:marLeft w:val="0"/>
      <w:marRight w:val="0"/>
      <w:marTop w:val="0"/>
      <w:marBottom w:val="0"/>
      <w:divBdr>
        <w:top w:val="none" w:sz="0" w:space="0" w:color="auto"/>
        <w:left w:val="none" w:sz="0" w:space="0" w:color="auto"/>
        <w:bottom w:val="none" w:sz="0" w:space="0" w:color="auto"/>
        <w:right w:val="none" w:sz="0" w:space="0" w:color="auto"/>
      </w:divBdr>
    </w:div>
    <w:div w:id="1011840097">
      <w:bodyDiv w:val="1"/>
      <w:marLeft w:val="0"/>
      <w:marRight w:val="0"/>
      <w:marTop w:val="0"/>
      <w:marBottom w:val="0"/>
      <w:divBdr>
        <w:top w:val="none" w:sz="0" w:space="0" w:color="auto"/>
        <w:left w:val="none" w:sz="0" w:space="0" w:color="auto"/>
        <w:bottom w:val="none" w:sz="0" w:space="0" w:color="auto"/>
        <w:right w:val="none" w:sz="0" w:space="0" w:color="auto"/>
      </w:divBdr>
    </w:div>
    <w:div w:id="1032730787">
      <w:bodyDiv w:val="1"/>
      <w:marLeft w:val="0"/>
      <w:marRight w:val="0"/>
      <w:marTop w:val="0"/>
      <w:marBottom w:val="0"/>
      <w:divBdr>
        <w:top w:val="none" w:sz="0" w:space="0" w:color="auto"/>
        <w:left w:val="none" w:sz="0" w:space="0" w:color="auto"/>
        <w:bottom w:val="none" w:sz="0" w:space="0" w:color="auto"/>
        <w:right w:val="none" w:sz="0" w:space="0" w:color="auto"/>
      </w:divBdr>
    </w:div>
    <w:div w:id="1062023481">
      <w:bodyDiv w:val="1"/>
      <w:marLeft w:val="0"/>
      <w:marRight w:val="0"/>
      <w:marTop w:val="0"/>
      <w:marBottom w:val="0"/>
      <w:divBdr>
        <w:top w:val="none" w:sz="0" w:space="0" w:color="auto"/>
        <w:left w:val="none" w:sz="0" w:space="0" w:color="auto"/>
        <w:bottom w:val="none" w:sz="0" w:space="0" w:color="auto"/>
        <w:right w:val="none" w:sz="0" w:space="0" w:color="auto"/>
      </w:divBdr>
    </w:div>
    <w:div w:id="1118767215">
      <w:bodyDiv w:val="1"/>
      <w:marLeft w:val="0"/>
      <w:marRight w:val="0"/>
      <w:marTop w:val="0"/>
      <w:marBottom w:val="0"/>
      <w:divBdr>
        <w:top w:val="none" w:sz="0" w:space="0" w:color="auto"/>
        <w:left w:val="none" w:sz="0" w:space="0" w:color="auto"/>
        <w:bottom w:val="none" w:sz="0" w:space="0" w:color="auto"/>
        <w:right w:val="none" w:sz="0" w:space="0" w:color="auto"/>
      </w:divBdr>
      <w:divsChild>
        <w:div w:id="93748018">
          <w:marLeft w:val="480"/>
          <w:marRight w:val="0"/>
          <w:marTop w:val="0"/>
          <w:marBottom w:val="0"/>
          <w:divBdr>
            <w:top w:val="none" w:sz="0" w:space="0" w:color="auto"/>
            <w:left w:val="none" w:sz="0" w:space="0" w:color="auto"/>
            <w:bottom w:val="none" w:sz="0" w:space="0" w:color="auto"/>
            <w:right w:val="none" w:sz="0" w:space="0" w:color="auto"/>
          </w:divBdr>
        </w:div>
        <w:div w:id="224222255">
          <w:marLeft w:val="480"/>
          <w:marRight w:val="0"/>
          <w:marTop w:val="0"/>
          <w:marBottom w:val="0"/>
          <w:divBdr>
            <w:top w:val="none" w:sz="0" w:space="0" w:color="auto"/>
            <w:left w:val="none" w:sz="0" w:space="0" w:color="auto"/>
            <w:bottom w:val="none" w:sz="0" w:space="0" w:color="auto"/>
            <w:right w:val="none" w:sz="0" w:space="0" w:color="auto"/>
          </w:divBdr>
        </w:div>
        <w:div w:id="567617859">
          <w:marLeft w:val="480"/>
          <w:marRight w:val="0"/>
          <w:marTop w:val="0"/>
          <w:marBottom w:val="0"/>
          <w:divBdr>
            <w:top w:val="none" w:sz="0" w:space="0" w:color="auto"/>
            <w:left w:val="none" w:sz="0" w:space="0" w:color="auto"/>
            <w:bottom w:val="none" w:sz="0" w:space="0" w:color="auto"/>
            <w:right w:val="none" w:sz="0" w:space="0" w:color="auto"/>
          </w:divBdr>
        </w:div>
        <w:div w:id="956715000">
          <w:marLeft w:val="480"/>
          <w:marRight w:val="0"/>
          <w:marTop w:val="0"/>
          <w:marBottom w:val="0"/>
          <w:divBdr>
            <w:top w:val="none" w:sz="0" w:space="0" w:color="auto"/>
            <w:left w:val="none" w:sz="0" w:space="0" w:color="auto"/>
            <w:bottom w:val="none" w:sz="0" w:space="0" w:color="auto"/>
            <w:right w:val="none" w:sz="0" w:space="0" w:color="auto"/>
          </w:divBdr>
        </w:div>
        <w:div w:id="1144157995">
          <w:marLeft w:val="480"/>
          <w:marRight w:val="0"/>
          <w:marTop w:val="0"/>
          <w:marBottom w:val="0"/>
          <w:divBdr>
            <w:top w:val="none" w:sz="0" w:space="0" w:color="auto"/>
            <w:left w:val="none" w:sz="0" w:space="0" w:color="auto"/>
            <w:bottom w:val="none" w:sz="0" w:space="0" w:color="auto"/>
            <w:right w:val="none" w:sz="0" w:space="0" w:color="auto"/>
          </w:divBdr>
        </w:div>
        <w:div w:id="1179388503">
          <w:marLeft w:val="480"/>
          <w:marRight w:val="0"/>
          <w:marTop w:val="0"/>
          <w:marBottom w:val="0"/>
          <w:divBdr>
            <w:top w:val="none" w:sz="0" w:space="0" w:color="auto"/>
            <w:left w:val="none" w:sz="0" w:space="0" w:color="auto"/>
            <w:bottom w:val="none" w:sz="0" w:space="0" w:color="auto"/>
            <w:right w:val="none" w:sz="0" w:space="0" w:color="auto"/>
          </w:divBdr>
        </w:div>
        <w:div w:id="1606183608">
          <w:marLeft w:val="480"/>
          <w:marRight w:val="0"/>
          <w:marTop w:val="0"/>
          <w:marBottom w:val="0"/>
          <w:divBdr>
            <w:top w:val="none" w:sz="0" w:space="0" w:color="auto"/>
            <w:left w:val="none" w:sz="0" w:space="0" w:color="auto"/>
            <w:bottom w:val="none" w:sz="0" w:space="0" w:color="auto"/>
            <w:right w:val="none" w:sz="0" w:space="0" w:color="auto"/>
          </w:divBdr>
        </w:div>
        <w:div w:id="1717242599">
          <w:marLeft w:val="480"/>
          <w:marRight w:val="0"/>
          <w:marTop w:val="0"/>
          <w:marBottom w:val="0"/>
          <w:divBdr>
            <w:top w:val="none" w:sz="0" w:space="0" w:color="auto"/>
            <w:left w:val="none" w:sz="0" w:space="0" w:color="auto"/>
            <w:bottom w:val="none" w:sz="0" w:space="0" w:color="auto"/>
            <w:right w:val="none" w:sz="0" w:space="0" w:color="auto"/>
          </w:divBdr>
          <w:divsChild>
            <w:div w:id="459764942">
              <w:marLeft w:val="0"/>
              <w:marRight w:val="0"/>
              <w:marTop w:val="0"/>
              <w:marBottom w:val="0"/>
              <w:divBdr>
                <w:top w:val="none" w:sz="0" w:space="0" w:color="auto"/>
                <w:left w:val="none" w:sz="0" w:space="0" w:color="auto"/>
                <w:bottom w:val="none" w:sz="0" w:space="0" w:color="auto"/>
                <w:right w:val="none" w:sz="0" w:space="0" w:color="auto"/>
              </w:divBdr>
            </w:div>
          </w:divsChild>
        </w:div>
        <w:div w:id="1744452011">
          <w:marLeft w:val="480"/>
          <w:marRight w:val="0"/>
          <w:marTop w:val="0"/>
          <w:marBottom w:val="0"/>
          <w:divBdr>
            <w:top w:val="none" w:sz="0" w:space="0" w:color="auto"/>
            <w:left w:val="none" w:sz="0" w:space="0" w:color="auto"/>
            <w:bottom w:val="none" w:sz="0" w:space="0" w:color="auto"/>
            <w:right w:val="none" w:sz="0" w:space="0" w:color="auto"/>
          </w:divBdr>
        </w:div>
        <w:div w:id="1984044587">
          <w:marLeft w:val="480"/>
          <w:marRight w:val="0"/>
          <w:marTop w:val="0"/>
          <w:marBottom w:val="0"/>
          <w:divBdr>
            <w:top w:val="none" w:sz="0" w:space="0" w:color="auto"/>
            <w:left w:val="none" w:sz="0" w:space="0" w:color="auto"/>
            <w:bottom w:val="none" w:sz="0" w:space="0" w:color="auto"/>
            <w:right w:val="none" w:sz="0" w:space="0" w:color="auto"/>
          </w:divBdr>
        </w:div>
        <w:div w:id="2051495798">
          <w:marLeft w:val="480"/>
          <w:marRight w:val="0"/>
          <w:marTop w:val="0"/>
          <w:marBottom w:val="0"/>
          <w:divBdr>
            <w:top w:val="none" w:sz="0" w:space="0" w:color="auto"/>
            <w:left w:val="none" w:sz="0" w:space="0" w:color="auto"/>
            <w:bottom w:val="none" w:sz="0" w:space="0" w:color="auto"/>
            <w:right w:val="none" w:sz="0" w:space="0" w:color="auto"/>
          </w:divBdr>
        </w:div>
      </w:divsChild>
    </w:div>
    <w:div w:id="1129855138">
      <w:bodyDiv w:val="1"/>
      <w:marLeft w:val="0"/>
      <w:marRight w:val="0"/>
      <w:marTop w:val="0"/>
      <w:marBottom w:val="0"/>
      <w:divBdr>
        <w:top w:val="none" w:sz="0" w:space="0" w:color="auto"/>
        <w:left w:val="none" w:sz="0" w:space="0" w:color="auto"/>
        <w:bottom w:val="none" w:sz="0" w:space="0" w:color="auto"/>
        <w:right w:val="none" w:sz="0" w:space="0" w:color="auto"/>
      </w:divBdr>
    </w:div>
    <w:div w:id="1136920891">
      <w:bodyDiv w:val="1"/>
      <w:marLeft w:val="0"/>
      <w:marRight w:val="0"/>
      <w:marTop w:val="0"/>
      <w:marBottom w:val="0"/>
      <w:divBdr>
        <w:top w:val="none" w:sz="0" w:space="0" w:color="auto"/>
        <w:left w:val="none" w:sz="0" w:space="0" w:color="auto"/>
        <w:bottom w:val="none" w:sz="0" w:space="0" w:color="auto"/>
        <w:right w:val="none" w:sz="0" w:space="0" w:color="auto"/>
      </w:divBdr>
    </w:div>
    <w:div w:id="1206717658">
      <w:bodyDiv w:val="1"/>
      <w:marLeft w:val="0"/>
      <w:marRight w:val="0"/>
      <w:marTop w:val="0"/>
      <w:marBottom w:val="0"/>
      <w:divBdr>
        <w:top w:val="none" w:sz="0" w:space="0" w:color="auto"/>
        <w:left w:val="none" w:sz="0" w:space="0" w:color="auto"/>
        <w:bottom w:val="none" w:sz="0" w:space="0" w:color="auto"/>
        <w:right w:val="none" w:sz="0" w:space="0" w:color="auto"/>
      </w:divBdr>
      <w:divsChild>
        <w:div w:id="68963065">
          <w:marLeft w:val="547"/>
          <w:marRight w:val="0"/>
          <w:marTop w:val="0"/>
          <w:marBottom w:val="0"/>
          <w:divBdr>
            <w:top w:val="none" w:sz="0" w:space="0" w:color="auto"/>
            <w:left w:val="none" w:sz="0" w:space="0" w:color="auto"/>
            <w:bottom w:val="none" w:sz="0" w:space="0" w:color="auto"/>
            <w:right w:val="none" w:sz="0" w:space="0" w:color="auto"/>
          </w:divBdr>
        </w:div>
      </w:divsChild>
    </w:div>
    <w:div w:id="1287538540">
      <w:bodyDiv w:val="1"/>
      <w:marLeft w:val="0"/>
      <w:marRight w:val="0"/>
      <w:marTop w:val="0"/>
      <w:marBottom w:val="0"/>
      <w:divBdr>
        <w:top w:val="none" w:sz="0" w:space="0" w:color="auto"/>
        <w:left w:val="none" w:sz="0" w:space="0" w:color="auto"/>
        <w:bottom w:val="none" w:sz="0" w:space="0" w:color="auto"/>
        <w:right w:val="none" w:sz="0" w:space="0" w:color="auto"/>
      </w:divBdr>
    </w:div>
    <w:div w:id="1306935359">
      <w:bodyDiv w:val="1"/>
      <w:marLeft w:val="0"/>
      <w:marRight w:val="0"/>
      <w:marTop w:val="0"/>
      <w:marBottom w:val="0"/>
      <w:divBdr>
        <w:top w:val="none" w:sz="0" w:space="0" w:color="auto"/>
        <w:left w:val="none" w:sz="0" w:space="0" w:color="auto"/>
        <w:bottom w:val="none" w:sz="0" w:space="0" w:color="auto"/>
        <w:right w:val="none" w:sz="0" w:space="0" w:color="auto"/>
      </w:divBdr>
    </w:div>
    <w:div w:id="1319530175">
      <w:bodyDiv w:val="1"/>
      <w:marLeft w:val="0"/>
      <w:marRight w:val="0"/>
      <w:marTop w:val="0"/>
      <w:marBottom w:val="0"/>
      <w:divBdr>
        <w:top w:val="none" w:sz="0" w:space="0" w:color="auto"/>
        <w:left w:val="none" w:sz="0" w:space="0" w:color="auto"/>
        <w:bottom w:val="none" w:sz="0" w:space="0" w:color="auto"/>
        <w:right w:val="none" w:sz="0" w:space="0" w:color="auto"/>
      </w:divBdr>
    </w:div>
    <w:div w:id="1507551583">
      <w:bodyDiv w:val="1"/>
      <w:marLeft w:val="0"/>
      <w:marRight w:val="0"/>
      <w:marTop w:val="0"/>
      <w:marBottom w:val="0"/>
      <w:divBdr>
        <w:top w:val="none" w:sz="0" w:space="0" w:color="auto"/>
        <w:left w:val="none" w:sz="0" w:space="0" w:color="auto"/>
        <w:bottom w:val="none" w:sz="0" w:space="0" w:color="auto"/>
        <w:right w:val="none" w:sz="0" w:space="0" w:color="auto"/>
      </w:divBdr>
    </w:div>
    <w:div w:id="1606378708">
      <w:bodyDiv w:val="1"/>
      <w:marLeft w:val="0"/>
      <w:marRight w:val="0"/>
      <w:marTop w:val="0"/>
      <w:marBottom w:val="0"/>
      <w:divBdr>
        <w:top w:val="none" w:sz="0" w:space="0" w:color="auto"/>
        <w:left w:val="none" w:sz="0" w:space="0" w:color="auto"/>
        <w:bottom w:val="none" w:sz="0" w:space="0" w:color="auto"/>
        <w:right w:val="none" w:sz="0" w:space="0" w:color="auto"/>
      </w:divBdr>
    </w:div>
    <w:div w:id="1618870632">
      <w:bodyDiv w:val="1"/>
      <w:marLeft w:val="0"/>
      <w:marRight w:val="0"/>
      <w:marTop w:val="0"/>
      <w:marBottom w:val="0"/>
      <w:divBdr>
        <w:top w:val="none" w:sz="0" w:space="0" w:color="auto"/>
        <w:left w:val="none" w:sz="0" w:space="0" w:color="auto"/>
        <w:bottom w:val="none" w:sz="0" w:space="0" w:color="auto"/>
        <w:right w:val="none" w:sz="0" w:space="0" w:color="auto"/>
      </w:divBdr>
    </w:div>
    <w:div w:id="1730377971">
      <w:bodyDiv w:val="1"/>
      <w:marLeft w:val="0"/>
      <w:marRight w:val="0"/>
      <w:marTop w:val="0"/>
      <w:marBottom w:val="0"/>
      <w:divBdr>
        <w:top w:val="none" w:sz="0" w:space="0" w:color="auto"/>
        <w:left w:val="none" w:sz="0" w:space="0" w:color="auto"/>
        <w:bottom w:val="none" w:sz="0" w:space="0" w:color="auto"/>
        <w:right w:val="none" w:sz="0" w:space="0" w:color="auto"/>
      </w:divBdr>
    </w:div>
    <w:div w:id="1762066635">
      <w:bodyDiv w:val="1"/>
      <w:marLeft w:val="0"/>
      <w:marRight w:val="0"/>
      <w:marTop w:val="0"/>
      <w:marBottom w:val="0"/>
      <w:divBdr>
        <w:top w:val="none" w:sz="0" w:space="0" w:color="auto"/>
        <w:left w:val="none" w:sz="0" w:space="0" w:color="auto"/>
        <w:bottom w:val="none" w:sz="0" w:space="0" w:color="auto"/>
        <w:right w:val="none" w:sz="0" w:space="0" w:color="auto"/>
      </w:divBdr>
    </w:div>
    <w:div w:id="1797066315">
      <w:bodyDiv w:val="1"/>
      <w:marLeft w:val="0"/>
      <w:marRight w:val="0"/>
      <w:marTop w:val="0"/>
      <w:marBottom w:val="0"/>
      <w:divBdr>
        <w:top w:val="none" w:sz="0" w:space="0" w:color="auto"/>
        <w:left w:val="none" w:sz="0" w:space="0" w:color="auto"/>
        <w:bottom w:val="none" w:sz="0" w:space="0" w:color="auto"/>
        <w:right w:val="none" w:sz="0" w:space="0" w:color="auto"/>
      </w:divBdr>
    </w:div>
    <w:div w:id="1873881916">
      <w:bodyDiv w:val="1"/>
      <w:marLeft w:val="0"/>
      <w:marRight w:val="0"/>
      <w:marTop w:val="0"/>
      <w:marBottom w:val="0"/>
      <w:divBdr>
        <w:top w:val="none" w:sz="0" w:space="0" w:color="auto"/>
        <w:left w:val="none" w:sz="0" w:space="0" w:color="auto"/>
        <w:bottom w:val="none" w:sz="0" w:space="0" w:color="auto"/>
        <w:right w:val="none" w:sz="0" w:space="0" w:color="auto"/>
      </w:divBdr>
    </w:div>
    <w:div w:id="1948923317">
      <w:bodyDiv w:val="1"/>
      <w:marLeft w:val="0"/>
      <w:marRight w:val="0"/>
      <w:marTop w:val="0"/>
      <w:marBottom w:val="0"/>
      <w:divBdr>
        <w:top w:val="none" w:sz="0" w:space="0" w:color="auto"/>
        <w:left w:val="none" w:sz="0" w:space="0" w:color="auto"/>
        <w:bottom w:val="none" w:sz="0" w:space="0" w:color="auto"/>
        <w:right w:val="none" w:sz="0" w:space="0" w:color="auto"/>
      </w:divBdr>
    </w:div>
    <w:div w:id="1954091386">
      <w:bodyDiv w:val="1"/>
      <w:marLeft w:val="0"/>
      <w:marRight w:val="0"/>
      <w:marTop w:val="0"/>
      <w:marBottom w:val="0"/>
      <w:divBdr>
        <w:top w:val="none" w:sz="0" w:space="0" w:color="auto"/>
        <w:left w:val="none" w:sz="0" w:space="0" w:color="auto"/>
        <w:bottom w:val="none" w:sz="0" w:space="0" w:color="auto"/>
        <w:right w:val="none" w:sz="0" w:space="0" w:color="auto"/>
      </w:divBdr>
    </w:div>
    <w:div w:id="2051032847">
      <w:bodyDiv w:val="1"/>
      <w:marLeft w:val="0"/>
      <w:marRight w:val="0"/>
      <w:marTop w:val="0"/>
      <w:marBottom w:val="0"/>
      <w:divBdr>
        <w:top w:val="none" w:sz="0" w:space="0" w:color="auto"/>
        <w:left w:val="none" w:sz="0" w:space="0" w:color="auto"/>
        <w:bottom w:val="none" w:sz="0" w:space="0" w:color="auto"/>
        <w:right w:val="none" w:sz="0" w:space="0" w:color="auto"/>
      </w:divBdr>
    </w:div>
    <w:div w:id="2054160394">
      <w:bodyDiv w:val="1"/>
      <w:marLeft w:val="0"/>
      <w:marRight w:val="0"/>
      <w:marTop w:val="0"/>
      <w:marBottom w:val="0"/>
      <w:divBdr>
        <w:top w:val="none" w:sz="0" w:space="0" w:color="auto"/>
        <w:left w:val="none" w:sz="0" w:space="0" w:color="auto"/>
        <w:bottom w:val="none" w:sz="0" w:space="0" w:color="auto"/>
        <w:right w:val="none" w:sz="0" w:space="0" w:color="auto"/>
      </w:divBdr>
    </w:div>
    <w:div w:id="21002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Units in kWh for 2022</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7814</c:v>
                </c:pt>
                <c:pt idx="1">
                  <c:v>3576</c:v>
                </c:pt>
                <c:pt idx="2">
                  <c:v>400</c:v>
                </c:pt>
                <c:pt idx="3">
                  <c:v>15942</c:v>
                </c:pt>
                <c:pt idx="4">
                  <c:v>11652</c:v>
                </c:pt>
                <c:pt idx="5">
                  <c:v>7205</c:v>
                </c:pt>
                <c:pt idx="6">
                  <c:v>1118</c:v>
                </c:pt>
                <c:pt idx="7">
                  <c:v>7776</c:v>
                </c:pt>
                <c:pt idx="8">
                  <c:v>11778</c:v>
                </c:pt>
                <c:pt idx="9">
                  <c:v>5129</c:v>
                </c:pt>
                <c:pt idx="10">
                  <c:v>11948</c:v>
                </c:pt>
                <c:pt idx="11">
                  <c:v>14497</c:v>
                </c:pt>
              </c:numCache>
            </c:numRef>
          </c:val>
          <c:extLst>
            <c:ext xmlns:c16="http://schemas.microsoft.com/office/drawing/2014/chart" uri="{C3380CC4-5D6E-409C-BE32-E72D297353CC}">
              <c16:uniqueId val="{00000000-4A63-40E2-85F1-476ACE14D85E}"/>
            </c:ext>
          </c:extLst>
        </c:ser>
        <c:ser>
          <c:idx val="1"/>
          <c:order val="1"/>
          <c:tx>
            <c:strRef>
              <c:f>Sheet1!$C$1</c:f>
              <c:strCache>
                <c:ptCount val="1"/>
                <c:pt idx="0">
                  <c:v>Units in kWh for 2023</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c:v>13198</c:v>
                </c:pt>
                <c:pt idx="1">
                  <c:v>11463</c:v>
                </c:pt>
                <c:pt idx="2">
                  <c:v>8899</c:v>
                </c:pt>
                <c:pt idx="3">
                  <c:v>11865</c:v>
                </c:pt>
                <c:pt idx="4">
                  <c:v>11534</c:v>
                </c:pt>
                <c:pt idx="5">
                  <c:v>4146</c:v>
                </c:pt>
                <c:pt idx="6">
                  <c:v>2259</c:v>
                </c:pt>
                <c:pt idx="7">
                  <c:v>9359</c:v>
                </c:pt>
                <c:pt idx="8">
                  <c:v>13520</c:v>
                </c:pt>
                <c:pt idx="9">
                  <c:v>9800</c:v>
                </c:pt>
                <c:pt idx="10">
                  <c:v>9068</c:v>
                </c:pt>
                <c:pt idx="11">
                  <c:v>12279</c:v>
                </c:pt>
              </c:numCache>
            </c:numRef>
          </c:val>
          <c:extLst>
            <c:ext xmlns:c16="http://schemas.microsoft.com/office/drawing/2014/chart" uri="{C3380CC4-5D6E-409C-BE32-E72D297353CC}">
              <c16:uniqueId val="{00000001-4A63-40E2-85F1-476ACE14D85E}"/>
            </c:ext>
          </c:extLst>
        </c:ser>
        <c:ser>
          <c:idx val="2"/>
          <c:order val="2"/>
          <c:tx>
            <c:strRef>
              <c:f>Sheet1!$D$1</c:f>
              <c:strCache>
                <c:ptCount val="1"/>
                <c:pt idx="0">
                  <c:v>Units in kWh for 2024</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4531</c:v>
                </c:pt>
                <c:pt idx="1">
                  <c:v>14596</c:v>
                </c:pt>
                <c:pt idx="2">
                  <c:v>14407</c:v>
                </c:pt>
                <c:pt idx="3">
                  <c:v>7865</c:v>
                </c:pt>
                <c:pt idx="4">
                  <c:v>9211</c:v>
                </c:pt>
                <c:pt idx="5">
                  <c:v>4410</c:v>
                </c:pt>
                <c:pt idx="6">
                  <c:v>1663</c:v>
                </c:pt>
                <c:pt idx="7">
                  <c:v>8654</c:v>
                </c:pt>
                <c:pt idx="8">
                  <c:v>12308</c:v>
                </c:pt>
                <c:pt idx="9">
                  <c:v>10736</c:v>
                </c:pt>
                <c:pt idx="10">
                  <c:v>7341</c:v>
                </c:pt>
                <c:pt idx="11">
                  <c:v>11722</c:v>
                </c:pt>
              </c:numCache>
            </c:numRef>
          </c:val>
          <c:extLst>
            <c:ext xmlns:c16="http://schemas.microsoft.com/office/drawing/2014/chart" uri="{C3380CC4-5D6E-409C-BE32-E72D297353CC}">
              <c16:uniqueId val="{00000002-4A63-40E2-85F1-476ACE14D85E}"/>
            </c:ext>
          </c:extLst>
        </c:ser>
        <c:dLbls>
          <c:showLegendKey val="0"/>
          <c:showVal val="0"/>
          <c:showCatName val="0"/>
          <c:showSerName val="0"/>
          <c:showPercent val="0"/>
          <c:showBubbleSize val="0"/>
        </c:dLbls>
        <c:gapWidth val="219"/>
        <c:axId val="268147200"/>
        <c:axId val="268655936"/>
      </c:barChart>
      <c:lineChart>
        <c:grouping val="standard"/>
        <c:varyColors val="0"/>
        <c:ser>
          <c:idx val="3"/>
          <c:order val="3"/>
          <c:tx>
            <c:strRef>
              <c:f>Sheet1!$E$1</c:f>
              <c:strCache>
                <c:ptCount val="1"/>
                <c:pt idx="0">
                  <c:v>Emissions in CO2- eq. For 2022</c:v>
                </c:pt>
              </c:strCache>
            </c:strRef>
          </c:tx>
          <c:spPr>
            <a:ln w="15875" cap="rnd">
              <a:solidFill>
                <a:schemeClr val="accent1">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7196.6940000000004</c:v>
                </c:pt>
                <c:pt idx="1">
                  <c:v>3293.4960000000001</c:v>
                </c:pt>
                <c:pt idx="2">
                  <c:v>368.40000000000003</c:v>
                </c:pt>
                <c:pt idx="3">
                  <c:v>14682.582</c:v>
                </c:pt>
                <c:pt idx="4">
                  <c:v>10731.492</c:v>
                </c:pt>
                <c:pt idx="5">
                  <c:v>6635.8050000000003</c:v>
                </c:pt>
                <c:pt idx="6">
                  <c:v>1029.6780000000001</c:v>
                </c:pt>
                <c:pt idx="7">
                  <c:v>7161.6959999999999</c:v>
                </c:pt>
                <c:pt idx="8">
                  <c:v>10847.538</c:v>
                </c:pt>
                <c:pt idx="9">
                  <c:v>4723.8090000000002</c:v>
                </c:pt>
                <c:pt idx="10">
                  <c:v>11004.108</c:v>
                </c:pt>
                <c:pt idx="11">
                  <c:v>13351.737000000001</c:v>
                </c:pt>
              </c:numCache>
            </c:numRef>
          </c:val>
          <c:smooth val="0"/>
          <c:extLst>
            <c:ext xmlns:c16="http://schemas.microsoft.com/office/drawing/2014/chart" uri="{C3380CC4-5D6E-409C-BE32-E72D297353CC}">
              <c16:uniqueId val="{00000003-4A63-40E2-85F1-476ACE14D85E}"/>
            </c:ext>
          </c:extLst>
        </c:ser>
        <c:ser>
          <c:idx val="4"/>
          <c:order val="4"/>
          <c:tx>
            <c:strRef>
              <c:f>Sheet1!$F$1</c:f>
              <c:strCache>
                <c:ptCount val="1"/>
                <c:pt idx="0">
                  <c:v>Emissions in CO2- eq. For 2023</c:v>
                </c:pt>
              </c:strCache>
            </c:strRef>
          </c:tx>
          <c:spPr>
            <a:ln w="15875" cap="rnd">
              <a:solidFill>
                <a:schemeClr val="accent3">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12155.358</c:v>
                </c:pt>
                <c:pt idx="1">
                  <c:v>10557.423000000001</c:v>
                </c:pt>
                <c:pt idx="2">
                  <c:v>8195.9790000000012</c:v>
                </c:pt>
                <c:pt idx="3">
                  <c:v>10927.665000000001</c:v>
                </c:pt>
                <c:pt idx="4">
                  <c:v>10622.814</c:v>
                </c:pt>
                <c:pt idx="5">
                  <c:v>3818.4660000000003</c:v>
                </c:pt>
                <c:pt idx="6">
                  <c:v>2080.5390000000002</c:v>
                </c:pt>
                <c:pt idx="7">
                  <c:v>8619.639000000001</c:v>
                </c:pt>
                <c:pt idx="8">
                  <c:v>12451.92</c:v>
                </c:pt>
                <c:pt idx="9">
                  <c:v>9025.8000000000011</c:v>
                </c:pt>
                <c:pt idx="10">
                  <c:v>8351.6280000000006</c:v>
                </c:pt>
                <c:pt idx="11">
                  <c:v>11308.959000000001</c:v>
                </c:pt>
              </c:numCache>
            </c:numRef>
          </c:val>
          <c:smooth val="0"/>
          <c:extLst>
            <c:ext xmlns:c16="http://schemas.microsoft.com/office/drawing/2014/chart" uri="{C3380CC4-5D6E-409C-BE32-E72D297353CC}">
              <c16:uniqueId val="{00000004-4A63-40E2-85F1-476ACE14D85E}"/>
            </c:ext>
          </c:extLst>
        </c:ser>
        <c:ser>
          <c:idx val="5"/>
          <c:order val="5"/>
          <c:tx>
            <c:strRef>
              <c:f>Sheet1!$G$1</c:f>
              <c:strCache>
                <c:ptCount val="1"/>
                <c:pt idx="0">
                  <c:v>Emissions in CO2- eq. For 2024</c:v>
                </c:pt>
              </c:strCache>
            </c:strRef>
          </c:tx>
          <c:spPr>
            <a:ln w="15875" cap="rnd">
              <a:solidFill>
                <a:schemeClr val="accent5">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13442.916000000001</c:v>
                </c:pt>
                <c:pt idx="1">
                  <c:v>13268.847</c:v>
                </c:pt>
                <c:pt idx="2">
                  <c:v>7243.665</c:v>
                </c:pt>
                <c:pt idx="3">
                  <c:v>8483.3310000000001</c:v>
                </c:pt>
                <c:pt idx="4">
                  <c:v>4061.61</c:v>
                </c:pt>
                <c:pt idx="5">
                  <c:v>1531.623</c:v>
                </c:pt>
                <c:pt idx="6">
                  <c:v>7970.3340000000007</c:v>
                </c:pt>
                <c:pt idx="7">
                  <c:v>11335.668</c:v>
                </c:pt>
                <c:pt idx="8">
                  <c:v>9887.8559999999998</c:v>
                </c:pt>
                <c:pt idx="9">
                  <c:v>6761.0610000000006</c:v>
                </c:pt>
                <c:pt idx="10">
                  <c:v>10795.962000000001</c:v>
                </c:pt>
                <c:pt idx="11">
                  <c:v>4173.0510000000004</c:v>
                </c:pt>
              </c:numCache>
            </c:numRef>
          </c:val>
          <c:smooth val="0"/>
          <c:extLst>
            <c:ext xmlns:c16="http://schemas.microsoft.com/office/drawing/2014/chart" uri="{C3380CC4-5D6E-409C-BE32-E72D297353CC}">
              <c16:uniqueId val="{00000005-4A63-40E2-85F1-476ACE14D85E}"/>
            </c:ext>
          </c:extLst>
        </c:ser>
        <c:dLbls>
          <c:showLegendKey val="0"/>
          <c:showVal val="0"/>
          <c:showCatName val="0"/>
          <c:showSerName val="0"/>
          <c:showPercent val="0"/>
          <c:showBubbleSize val="0"/>
        </c:dLbls>
        <c:marker val="1"/>
        <c:smooth val="0"/>
        <c:axId val="268147200"/>
        <c:axId val="268655936"/>
      </c:lineChart>
      <c:catAx>
        <c:axId val="26814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268655936"/>
        <c:crosses val="autoZero"/>
        <c:auto val="1"/>
        <c:lblAlgn val="ctr"/>
        <c:lblOffset val="100"/>
        <c:noMultiLvlLbl val="0"/>
      </c:catAx>
      <c:valAx>
        <c:axId val="26865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26814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5169287648790856"/>
          <c:y val="0.19939441927300983"/>
          <c:w val="0.53410290091433044"/>
          <c:h val="0.70749571108080767"/>
        </c:manualLayout>
      </c:layout>
      <c:pieChart>
        <c:varyColors val="1"/>
        <c:ser>
          <c:idx val="0"/>
          <c:order val="0"/>
          <c:tx>
            <c:strRef>
              <c:f>Sheet1!$B$1</c:f>
              <c:strCache>
                <c:ptCount val="1"/>
                <c:pt idx="0">
                  <c:v>Emissions</c:v>
                </c:pt>
              </c:strCache>
            </c:strRef>
          </c:tx>
          <c:dPt>
            <c:idx val="0"/>
            <c:bubble3D val="0"/>
            <c:spPr>
              <a:solidFill>
                <a:schemeClr val="accent1">
                  <a:shade val="7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D9D-4259-8E38-9DBBE3B88146}"/>
              </c:ext>
            </c:extLst>
          </c:dPt>
          <c:dPt>
            <c:idx val="1"/>
            <c:bubble3D val="0"/>
            <c:spPr>
              <a:solidFill>
                <a:schemeClr val="accent1">
                  <a:tint val="77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D9D-4259-8E38-9DBBE3B88146}"/>
              </c:ext>
            </c:extLst>
          </c:dPt>
          <c:dLbls>
            <c:spPr>
              <a:noFill/>
              <a:ln>
                <a:noFill/>
              </a:ln>
              <a:effectLst/>
            </c:spPr>
            <c:txPr>
              <a:bodyPr rot="0" spcFirstLastPara="1" vertOverflow="ellipsis" vert="horz" wrap="square" anchor="ctr" anchorCtr="1"/>
              <a:lstStyle/>
              <a:p>
                <a:pPr>
                  <a:defRPr sz="105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Pre occupancy</c:v>
                </c:pt>
                <c:pt idx="1">
                  <c:v>Post occupancy</c:v>
                </c:pt>
              </c:strCache>
            </c:strRef>
          </c:cat>
          <c:val>
            <c:numRef>
              <c:f>Sheet1!$B$2:$B$3</c:f>
              <c:numCache>
                <c:formatCode>General</c:formatCode>
                <c:ptCount val="2"/>
                <c:pt idx="0" formatCode="#,##0">
                  <c:v>3463194</c:v>
                </c:pt>
                <c:pt idx="1">
                  <c:v>9312100</c:v>
                </c:pt>
              </c:numCache>
            </c:numRef>
          </c:val>
          <c:extLst>
            <c:ext xmlns:c16="http://schemas.microsoft.com/office/drawing/2014/chart" uri="{C3380CC4-5D6E-409C-BE32-E72D297353CC}">
              <c16:uniqueId val="{00000004-4D9D-4259-8E38-9DBBE3B8814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Emissions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052-4AA9-A9C9-3A7328AF447C}"/>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052-4AA9-A9C9-3A7328AF447C}"/>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052-4AA9-A9C9-3A7328AF447C}"/>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052-4AA9-A9C9-3A7328AF447C}"/>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Electricity</c:v>
                </c:pt>
                <c:pt idx="1">
                  <c:v>LPG</c:v>
                </c:pt>
                <c:pt idx="2">
                  <c:v>User's exhalation</c:v>
                </c:pt>
                <c:pt idx="3">
                  <c:v>Water</c:v>
                </c:pt>
              </c:strCache>
            </c:strRef>
          </c:cat>
          <c:val>
            <c:numRef>
              <c:f>Sheet1!$B$2:$B$5</c:f>
              <c:numCache>
                <c:formatCode>General</c:formatCode>
                <c:ptCount val="4"/>
                <c:pt idx="0" formatCode="#,##0">
                  <c:v>99366</c:v>
                </c:pt>
                <c:pt idx="1">
                  <c:v>14250</c:v>
                </c:pt>
                <c:pt idx="2">
                  <c:v>63875</c:v>
                </c:pt>
                <c:pt idx="3">
                  <c:v>8751</c:v>
                </c:pt>
              </c:numCache>
            </c:numRef>
          </c:val>
          <c:extLst>
            <c:ext xmlns:c16="http://schemas.microsoft.com/office/drawing/2014/chart" uri="{C3380CC4-5D6E-409C-BE32-E72D297353CC}">
              <c16:uniqueId val="{00000008-C052-4AA9-A9C9-3A7328AF447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Annual Emissions during Operational phase </a:t>
            </a:r>
          </a:p>
          <a:p>
            <a:pPr>
              <a:defRPr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(Existing case vs recommended case)</a:t>
            </a:r>
            <a:endParaRPr lang="en-IN"/>
          </a:p>
        </c:rich>
      </c:tx>
      <c:overlay val="0"/>
      <c:spPr>
        <a:noFill/>
        <a:ln>
          <a:noFill/>
        </a:ln>
        <a:effectLst/>
      </c:spPr>
    </c:title>
    <c:autoTitleDeleted val="0"/>
    <c:plotArea>
      <c:layout/>
      <c:barChart>
        <c:barDir val="bar"/>
        <c:grouping val="clustered"/>
        <c:varyColors val="0"/>
        <c:ser>
          <c:idx val="0"/>
          <c:order val="0"/>
          <c:tx>
            <c:strRef>
              <c:f>Sheet1!$B$1</c:f>
              <c:strCache>
                <c:ptCount val="1"/>
                <c:pt idx="0">
                  <c:v>Electricity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Sheet1!$B$2:$B$3</c:f>
              <c:numCache>
                <c:formatCode>General</c:formatCode>
                <c:ptCount val="2"/>
                <c:pt idx="0">
                  <c:v>99366</c:v>
                </c:pt>
                <c:pt idx="1">
                  <c:v>3777</c:v>
                </c:pt>
              </c:numCache>
            </c:numRef>
          </c:val>
          <c:extLst>
            <c:ext xmlns:c16="http://schemas.microsoft.com/office/drawing/2014/chart" uri="{C3380CC4-5D6E-409C-BE32-E72D297353CC}">
              <c16:uniqueId val="{00000000-A924-4C98-88F1-EE5B9487EC19}"/>
            </c:ext>
          </c:extLst>
        </c:ser>
        <c:ser>
          <c:idx val="1"/>
          <c:order val="1"/>
          <c:tx>
            <c:strRef>
              <c:f>Sheet1!$C$1</c:f>
              <c:strCache>
                <c:ptCount val="1"/>
                <c:pt idx="0">
                  <c:v>Cooking gas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Sheet1!$C$2:$C$3</c:f>
              <c:numCache>
                <c:formatCode>General</c:formatCode>
                <c:ptCount val="2"/>
                <c:pt idx="0">
                  <c:v>14250</c:v>
                </c:pt>
                <c:pt idx="1">
                  <c:v>12031</c:v>
                </c:pt>
              </c:numCache>
            </c:numRef>
          </c:val>
          <c:extLst>
            <c:ext xmlns:c16="http://schemas.microsoft.com/office/drawing/2014/chart" uri="{C3380CC4-5D6E-409C-BE32-E72D297353CC}">
              <c16:uniqueId val="{00000001-A924-4C98-88F1-EE5B9487EC19}"/>
            </c:ext>
          </c:extLst>
        </c:ser>
        <c:ser>
          <c:idx val="2"/>
          <c:order val="2"/>
          <c:tx>
            <c:strRef>
              <c:f>Sheet1!$D$1</c:f>
              <c:strCache>
                <c:ptCount val="1"/>
                <c:pt idx="0">
                  <c:v>User exhalation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Sheet1!$D$2:$D$3</c:f>
              <c:numCache>
                <c:formatCode>General</c:formatCode>
                <c:ptCount val="2"/>
                <c:pt idx="0">
                  <c:v>63875</c:v>
                </c:pt>
                <c:pt idx="1">
                  <c:v>63875</c:v>
                </c:pt>
              </c:numCache>
            </c:numRef>
          </c:val>
          <c:extLst>
            <c:ext xmlns:c16="http://schemas.microsoft.com/office/drawing/2014/chart" uri="{C3380CC4-5D6E-409C-BE32-E72D297353CC}">
              <c16:uniqueId val="{00000002-A924-4C98-88F1-EE5B9487EC19}"/>
            </c:ext>
          </c:extLst>
        </c:ser>
        <c:ser>
          <c:idx val="3"/>
          <c:order val="3"/>
          <c:tx>
            <c:strRef>
              <c:f>Sheet1!$E$1</c:f>
              <c:strCache>
                <c:ptCount val="1"/>
                <c:pt idx="0">
                  <c:v>Water </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Sheet1!$E$2:$E$3</c:f>
              <c:numCache>
                <c:formatCode>General</c:formatCode>
                <c:ptCount val="2"/>
                <c:pt idx="0">
                  <c:v>8751</c:v>
                </c:pt>
                <c:pt idx="1">
                  <c:v>8751</c:v>
                </c:pt>
              </c:numCache>
            </c:numRef>
          </c:val>
          <c:extLst>
            <c:ext xmlns:c16="http://schemas.microsoft.com/office/drawing/2014/chart" uri="{C3380CC4-5D6E-409C-BE32-E72D297353CC}">
              <c16:uniqueId val="{00000003-A924-4C98-88F1-EE5B9487EC19}"/>
            </c:ext>
          </c:extLst>
        </c:ser>
        <c:ser>
          <c:idx val="4"/>
          <c:order val="4"/>
          <c:tx>
            <c:strRef>
              <c:f>Sheet1!$F$1</c:f>
              <c:strCache>
                <c:ptCount val="1"/>
                <c:pt idx="0">
                  <c:v>Carbon sequestration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Sheet1!$F$2:$F$3</c:f>
              <c:numCache>
                <c:formatCode>General</c:formatCode>
                <c:ptCount val="2"/>
                <c:pt idx="0">
                  <c:v>0</c:v>
                </c:pt>
                <c:pt idx="1">
                  <c:v>-157698</c:v>
                </c:pt>
              </c:numCache>
            </c:numRef>
          </c:val>
          <c:extLst>
            <c:ext xmlns:c16="http://schemas.microsoft.com/office/drawing/2014/chart" uri="{C3380CC4-5D6E-409C-BE32-E72D297353CC}">
              <c16:uniqueId val="{00000004-A924-4C98-88F1-EE5B9487EC19}"/>
            </c:ext>
          </c:extLst>
        </c:ser>
        <c:dLbls>
          <c:showLegendKey val="0"/>
          <c:showVal val="1"/>
          <c:showCatName val="0"/>
          <c:showSerName val="0"/>
          <c:showPercent val="0"/>
          <c:showBubbleSize val="0"/>
        </c:dLbls>
        <c:gapWidth val="75"/>
        <c:axId val="270030336"/>
        <c:axId val="171102144"/>
      </c:barChart>
      <c:catAx>
        <c:axId val="27003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1102144"/>
        <c:crosses val="autoZero"/>
        <c:auto val="1"/>
        <c:lblAlgn val="ctr"/>
        <c:lblOffset val="100"/>
        <c:noMultiLvlLbl val="0"/>
      </c:catAx>
      <c:valAx>
        <c:axId val="17110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Emissions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03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2F5419-BFFB-4754-B068-ABC7BB3EAB63}" type="doc">
      <dgm:prSet loTypeId="urn:microsoft.com/office/officeart/2005/8/layout/hierarchy4" loCatId="hierarchy" qsTypeId="urn:microsoft.com/office/officeart/2005/8/quickstyle/simple1" qsCatId="simple" csTypeId="urn:microsoft.com/office/officeart/2005/8/colors/colorful1" csCatId="colorful" phldr="1"/>
      <dgm:spPr/>
      <dgm:t>
        <a:bodyPr/>
        <a:lstStyle/>
        <a:p>
          <a:endParaRPr lang="en-IN"/>
        </a:p>
      </dgm:t>
    </dgm:pt>
    <dgm:pt modelId="{6C7B7D98-0A79-4C99-B76F-C2FC49CEC66F}">
      <dgm:prSet phldrT="[Text]" custT="1"/>
      <dgm:spPr/>
      <dgm:t>
        <a:bodyPr/>
        <a:lstStyle/>
        <a:p>
          <a:pPr algn="ctr"/>
          <a:r>
            <a:rPr lang="en-GB" sz="1050" dirty="0">
              <a:solidFill>
                <a:sysClr val="windowText" lastClr="000000"/>
              </a:solidFill>
              <a:latin typeface="Times New Roman" panose="02020603050405020304" pitchFamily="18" charset="0"/>
              <a:cs typeface="Times New Roman" panose="02020603050405020304" pitchFamily="18" charset="0"/>
            </a:rPr>
            <a:t>Building operation responsible for carbon emission &amp; embodied energy</a:t>
          </a:r>
          <a:endParaRPr lang="en-IN" sz="1050" dirty="0">
            <a:solidFill>
              <a:sysClr val="windowText" lastClr="000000"/>
            </a:solidFill>
            <a:latin typeface="Times New Roman" panose="02020603050405020304" pitchFamily="18" charset="0"/>
            <a:cs typeface="Times New Roman" panose="02020603050405020304" pitchFamily="18" charset="0"/>
          </a:endParaRPr>
        </a:p>
      </dgm:t>
    </dgm:pt>
    <dgm:pt modelId="{7FD6E857-36A4-44BD-A285-D2BF869834C3}" type="parTrans" cxnId="{D77A1686-AF4E-470E-B3D1-DA02B7266D6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C894567-B2EC-4063-BEC2-49272399399D}" type="sibTrans" cxnId="{D77A1686-AF4E-470E-B3D1-DA02B7266D6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B0D99CA-7A12-4ADC-BA8C-7269D74D75CB}">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Pre- occupancy</a:t>
          </a:r>
          <a:endParaRPr lang="en-IN" sz="1000" dirty="0">
            <a:solidFill>
              <a:sysClr val="windowText" lastClr="000000"/>
            </a:solidFill>
            <a:latin typeface="Times New Roman" panose="02020603050405020304" pitchFamily="18" charset="0"/>
            <a:cs typeface="Times New Roman" panose="02020603050405020304" pitchFamily="18" charset="0"/>
          </a:endParaRPr>
        </a:p>
      </dgm:t>
    </dgm:pt>
    <dgm:pt modelId="{DAF7E0FE-8927-4106-8237-1B244FA90ED0}" type="parTrans" cxnId="{C9753856-F0DD-48EC-A8C7-0A92A8D38EA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72B30E8-C69C-4542-8222-A616AC54C127}" type="sibTrans" cxnId="{C9753856-F0DD-48EC-A8C7-0A92A8D38EA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549BB9F-34A6-4068-A330-A0A09015EDFD}">
      <dgm:prSet phldrT="[Tex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Construction materials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527ABB17-FDA4-4E2B-BF31-E68E74E7DDB9}" type="parTrans" cxnId="{BFC3E192-90A2-4AB3-BD94-479A9B446CF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2C21A7D-EE5D-4D60-878E-EAD0D74C3CDD}" type="sibTrans" cxnId="{BFC3E192-90A2-4AB3-BD94-479A9B446CF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208C61A5-8D96-4D68-955C-3C75B19BF38C}">
      <dgm:prSet phldrT="[Tex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Transportation of materials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5D1691F6-812E-4398-89BB-839C04D10E8D}" type="parTrans" cxnId="{71642342-7BA2-4214-A549-1F46738C113B}">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128AEF96-CF9F-4218-894C-8D0F1B428E6A}" type="sibTrans" cxnId="{71642342-7BA2-4214-A549-1F46738C113B}">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7C8484F-7407-4605-8605-FCD4D1CC24EF}">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Post- occupancy</a:t>
          </a:r>
          <a:endParaRPr lang="en-IN" sz="1000" dirty="0">
            <a:solidFill>
              <a:sysClr val="windowText" lastClr="000000"/>
            </a:solidFill>
            <a:latin typeface="Times New Roman" panose="02020603050405020304" pitchFamily="18" charset="0"/>
            <a:cs typeface="Times New Roman" panose="02020603050405020304" pitchFamily="18" charset="0"/>
          </a:endParaRPr>
        </a:p>
      </dgm:t>
    </dgm:pt>
    <dgm:pt modelId="{AF156066-6668-4EBF-B550-12948DFF966D}" type="parTrans" cxnId="{9F8327DA-BE39-4B8D-A358-0A01F59E6BD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ABCAAD7C-EFBC-459E-80F2-69B45086EC07}" type="sibTrans" cxnId="{9F8327DA-BE39-4B8D-A358-0A01F59E6BD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4A9107F-7E0C-49A5-8C28-18021913A112}">
      <dgm:prSet phldrT="[Tex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Electricity</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208A24B0-4D59-448A-93CF-1EE1FEBAEE8A}" type="parTrans" cxnId="{84F44959-AF7E-49DE-AB44-06B250173031}">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C80D3C96-FF1E-4EC6-9B5B-CD2AAAA4FB88}" type="sibTrans" cxnId="{84F44959-AF7E-49DE-AB44-06B250173031}">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BB93A86-ED1F-4CEB-95C0-B48028AC728E}">
      <dgm:prSet custT="1"/>
      <dgm:spPr>
        <a:solidFill>
          <a:schemeClr val="accent6">
            <a:lumMod val="60000"/>
            <a:lumOff val="40000"/>
          </a:schemeClr>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Construction processes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830CBA45-84AB-4F7B-9B97-61A980143F54}" type="parTrans" cxnId="{91D4A2CE-C136-4465-A4EE-D31EBF5C0BC0}">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67D154EF-08A9-4E9D-BDB1-23A9B4C1CA71}" type="sibTrans" cxnId="{91D4A2CE-C136-4465-A4EE-D31EBF5C0BC0}">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362E7E96-EA17-4EED-A6AB-2FF6BEB5E338}">
      <dgm:prSet custT="1"/>
      <dgm:spPr>
        <a:solidFill>
          <a:schemeClr val="accent6">
            <a:lumMod val="60000"/>
            <a:lumOff val="40000"/>
          </a:schemeClr>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Maintenance</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2AAEFFF7-D00D-4686-82AB-7BEEAC6C7D15}" type="parTrans" cxnId="{D42C0B59-D629-4707-8811-B4FAC86A6194}">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C7D1120C-05D3-4995-9054-BB96373F2053}" type="sibTrans" cxnId="{D42C0B59-D629-4707-8811-B4FAC86A6194}">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48C3DDB-1815-4924-BF6C-DBC936B22BE8}">
      <dgm:prSe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Operations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EE2CA952-F492-4C12-BC65-67F16F00615B}" type="parTrans" cxnId="{4E78C084-8D02-4FD2-B688-EAFC1F5E292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FF06EAA-13A5-4B06-A36D-0E017348E5BA}" type="sibTrans" cxnId="{4E78C084-8D02-4FD2-B688-EAFC1F5E292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A2BA7D3D-E356-4658-B0A4-46704E727C93}">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Cooking gas</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DB82E716-DA46-4804-8A98-4C6791734682}" type="parTrans" cxnId="{A18BA4CB-74A9-4722-8150-59141703624E}">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8795D49-B7DD-4C0E-88EF-DB5BF28795ED}" type="sibTrans" cxnId="{A18BA4CB-74A9-4722-8150-59141703624E}">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8B4CCDE0-A381-4100-B67D-F2DF87D81AE7}">
      <dgm:prSe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User’s Exhalation</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D259A9BC-8A9A-45BE-8EAC-0C60CED9FE01}" type="parTrans" cxnId="{1C697D09-4AE4-47EB-9AE2-8A8447850F5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8856A53D-126C-401F-8BC3-10C4F88285A3}" type="sibTrans" cxnId="{1C697D09-4AE4-47EB-9AE2-8A8447850F5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FB654F1-AF3F-4BD0-B52F-5E2C87528FF7}">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Raw material Extraction </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65992131-FE1A-4D15-A5BE-7282FF983674}" type="parTrans" cxnId="{4F1002A8-CD29-4BEA-97F1-7F6D0E691C0C}">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38B3B46-ECE9-4B95-99B3-0E97C4F553C3}" type="sibTrans" cxnId="{4F1002A8-CD29-4BEA-97F1-7F6D0E691C0C}">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AE89E5E-AD05-417A-9CF4-58638FD66012}">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Manufacture of materials</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F68CAE78-2EB0-4BF8-AA71-6E2B5998C98A}" type="parTrans" cxnId="{BCD193CC-C405-42CC-BFB3-46ECC34229E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9672BA0-2214-4CD5-9936-809EA8B5F7F0}" type="sibTrans" cxnId="{BCD193CC-C405-42CC-BFB3-46ECC34229E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CE31C98-6BA9-4BC7-A0FE-B7BAFDF42CA6}">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Diesel</a:t>
          </a:r>
        </a:p>
      </dgm:t>
    </dgm:pt>
    <dgm:pt modelId="{09C4FF0B-7A21-45D6-BD54-F65A019E4060}" type="parTrans" cxnId="{8E58852E-2F8E-4CAD-9976-483CBD758C0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512F5D8D-77C9-42BC-93C5-B5C2D0128A5E}" type="sibTrans" cxnId="{8E58852E-2F8E-4CAD-9976-483CBD758C0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2E4E0A5-C5A6-42E6-9AD1-0B24C291BD05}">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Heavy machinery</a:t>
          </a:r>
        </a:p>
      </dgm:t>
    </dgm:pt>
    <dgm:pt modelId="{92309689-E810-4034-BBC9-99840462CE4C}" type="parTrans" cxnId="{F216AC99-528E-48ED-A95E-0F4D9AD317FD}">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5C1472C4-7182-42F2-85E0-DB8B599C13B4}" type="sibTrans" cxnId="{F216AC99-528E-48ED-A95E-0F4D9AD317FD}">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EAA36E9-2522-41B1-A962-E6A28E60EBB5}">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 Repairs</a:t>
          </a:r>
        </a:p>
      </dgm:t>
    </dgm:pt>
    <dgm:pt modelId="{427720B6-0887-4FE9-9099-F35837BB87A6}" type="parTrans" cxnId="{240AF5BA-FB9C-4094-83F3-A18C6A6CD76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72049B0B-058F-4F9D-881E-E26E9444E8D3}" type="sibTrans" cxnId="{240AF5BA-FB9C-4094-83F3-A18C6A6CD76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64F57AFC-FB90-4FA4-B3CF-5EA3093DAFC1}">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Carbon Dioxide</a:t>
          </a:r>
        </a:p>
      </dgm:t>
    </dgm:pt>
    <dgm:pt modelId="{D77D90A2-57C3-4E93-A2DF-71DF11A39FF1}" type="parTrans" cxnId="{86D6F381-BBAC-44F2-BED8-3615D1DF2F8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F8CA149E-D3C6-4C96-8AC1-D528059C2313}" type="sibTrans" cxnId="{86D6F381-BBAC-44F2-BED8-3615D1DF2F8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198C8745-CF7E-459B-A151-4EAD9309C5D2}">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Replacement</a:t>
          </a:r>
        </a:p>
      </dgm:t>
    </dgm:pt>
    <dgm:pt modelId="{DACD3BE5-0B9C-4D66-9284-5E73AE80E87A}" type="parTrans" cxnId="{22465ADC-65DE-416A-9F42-976D793F1BBA}">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C15390C-84EA-48A8-A0A6-D1D0886EF4FD}" type="sibTrans" cxnId="{22465ADC-65DE-416A-9F42-976D793F1BBA}">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455DF1AA-5DC3-471E-9F1D-833494640EB2}">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Upgrades</a:t>
          </a:r>
        </a:p>
      </dgm:t>
    </dgm:pt>
    <dgm:pt modelId="{7B237776-8194-49C7-BFE0-E9BB3D0BF344}" type="parTrans" cxnId="{D310798F-1F57-4918-B0C2-A0C96FFAEA1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B9D374D-331E-403D-A9D1-8B701C745831}" type="sibTrans" cxnId="{D310798F-1F57-4918-B0C2-A0C96FFAEA1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3E00B507-B544-4F51-9024-C79DECB1885B}" type="pres">
      <dgm:prSet presAssocID="{382F5419-BFFB-4754-B068-ABC7BB3EAB63}" presName="Name0" presStyleCnt="0">
        <dgm:presLayoutVars>
          <dgm:chPref val="1"/>
          <dgm:dir/>
          <dgm:animOne val="branch"/>
          <dgm:animLvl val="lvl"/>
          <dgm:resizeHandles/>
        </dgm:presLayoutVars>
      </dgm:prSet>
      <dgm:spPr/>
    </dgm:pt>
    <dgm:pt modelId="{F7E6697D-E075-4466-8F3C-C90CB8F038E0}" type="pres">
      <dgm:prSet presAssocID="{6C7B7D98-0A79-4C99-B76F-C2FC49CEC66F}" presName="vertOne" presStyleCnt="0"/>
      <dgm:spPr/>
    </dgm:pt>
    <dgm:pt modelId="{A9459259-F946-4097-ACA9-3974C7F21439}" type="pres">
      <dgm:prSet presAssocID="{6C7B7D98-0A79-4C99-B76F-C2FC49CEC66F}" presName="txOne" presStyleLbl="node0" presStyleIdx="0" presStyleCnt="1">
        <dgm:presLayoutVars>
          <dgm:chPref val="3"/>
        </dgm:presLayoutVars>
      </dgm:prSet>
      <dgm:spPr/>
    </dgm:pt>
    <dgm:pt modelId="{5ADA0FD9-9A55-4C89-BB11-4FDBAB42F6D0}" type="pres">
      <dgm:prSet presAssocID="{6C7B7D98-0A79-4C99-B76F-C2FC49CEC66F}" presName="parTransOne" presStyleCnt="0"/>
      <dgm:spPr/>
    </dgm:pt>
    <dgm:pt modelId="{7BC6A0D6-2BA9-4B43-B0DD-4CB594C076EC}" type="pres">
      <dgm:prSet presAssocID="{6C7B7D98-0A79-4C99-B76F-C2FC49CEC66F}" presName="horzOne" presStyleCnt="0"/>
      <dgm:spPr/>
    </dgm:pt>
    <dgm:pt modelId="{A682DF2C-959E-4903-9F0B-3D223F0E0C7D}" type="pres">
      <dgm:prSet presAssocID="{DB0D99CA-7A12-4ADC-BA8C-7269D74D75CB}" presName="vertTwo" presStyleCnt="0"/>
      <dgm:spPr/>
    </dgm:pt>
    <dgm:pt modelId="{39FB4AA4-692B-4471-88C0-00AC0B715BB1}" type="pres">
      <dgm:prSet presAssocID="{DB0D99CA-7A12-4ADC-BA8C-7269D74D75CB}" presName="txTwo" presStyleLbl="node2" presStyleIdx="0" presStyleCnt="2">
        <dgm:presLayoutVars>
          <dgm:chPref val="3"/>
        </dgm:presLayoutVars>
      </dgm:prSet>
      <dgm:spPr/>
    </dgm:pt>
    <dgm:pt modelId="{5D3D8978-11E8-44FE-BAFE-3BF7130DA9DD}" type="pres">
      <dgm:prSet presAssocID="{DB0D99CA-7A12-4ADC-BA8C-7269D74D75CB}" presName="parTransTwo" presStyleCnt="0"/>
      <dgm:spPr/>
    </dgm:pt>
    <dgm:pt modelId="{6E46FA50-18D0-459D-8173-397ECB56C8D5}" type="pres">
      <dgm:prSet presAssocID="{DB0D99CA-7A12-4ADC-BA8C-7269D74D75CB}" presName="horzTwo" presStyleCnt="0"/>
      <dgm:spPr/>
    </dgm:pt>
    <dgm:pt modelId="{C37B78AF-F11B-48BD-92A2-6610D8351F3F}" type="pres">
      <dgm:prSet presAssocID="{B549BB9F-34A6-4068-A330-A0A09015EDFD}" presName="vertThree" presStyleCnt="0"/>
      <dgm:spPr/>
    </dgm:pt>
    <dgm:pt modelId="{4F7C2FD6-DAD3-41D5-A9FC-3BF1AF5C51C0}" type="pres">
      <dgm:prSet presAssocID="{B549BB9F-34A6-4068-A330-A0A09015EDFD}" presName="txThree" presStyleLbl="node3" presStyleIdx="0" presStyleCnt="6" custScaleX="98665">
        <dgm:presLayoutVars>
          <dgm:chPref val="3"/>
        </dgm:presLayoutVars>
      </dgm:prSet>
      <dgm:spPr/>
    </dgm:pt>
    <dgm:pt modelId="{76424135-57CB-48D2-9E27-8E1C48AF31AE}" type="pres">
      <dgm:prSet presAssocID="{B549BB9F-34A6-4068-A330-A0A09015EDFD}" presName="parTransThree" presStyleCnt="0"/>
      <dgm:spPr/>
    </dgm:pt>
    <dgm:pt modelId="{C9BDD972-42CC-4E3A-8204-7E06632DA4DD}" type="pres">
      <dgm:prSet presAssocID="{B549BB9F-34A6-4068-A330-A0A09015EDFD}" presName="horzThree" presStyleCnt="0"/>
      <dgm:spPr/>
    </dgm:pt>
    <dgm:pt modelId="{13610F94-A16F-4DE3-A9A1-5EF308D7A381}" type="pres">
      <dgm:prSet presAssocID="{DFB654F1-AF3F-4BD0-B52F-5E2C87528FF7}" presName="vertFour" presStyleCnt="0">
        <dgm:presLayoutVars>
          <dgm:chPref val="3"/>
        </dgm:presLayoutVars>
      </dgm:prSet>
      <dgm:spPr/>
    </dgm:pt>
    <dgm:pt modelId="{55411F56-4C65-4F70-8826-16E520DCCEF0}" type="pres">
      <dgm:prSet presAssocID="{DFB654F1-AF3F-4BD0-B52F-5E2C87528FF7}" presName="txFour" presStyleLbl="node4" presStyleIdx="0" presStyleCnt="10">
        <dgm:presLayoutVars>
          <dgm:chPref val="3"/>
        </dgm:presLayoutVars>
      </dgm:prSet>
      <dgm:spPr/>
    </dgm:pt>
    <dgm:pt modelId="{6AC01EE6-E40E-45E6-AD2C-B1F6D527CC01}" type="pres">
      <dgm:prSet presAssocID="{DFB654F1-AF3F-4BD0-B52F-5E2C87528FF7}" presName="horzFour" presStyleCnt="0"/>
      <dgm:spPr/>
    </dgm:pt>
    <dgm:pt modelId="{3F7D94D3-7807-42FD-94C8-656AFE0D37ED}" type="pres">
      <dgm:prSet presAssocID="{938B3B46-ECE9-4B95-99B3-0E97C4F553C3}" presName="sibSpaceFour" presStyleCnt="0"/>
      <dgm:spPr/>
    </dgm:pt>
    <dgm:pt modelId="{86E3C857-77CD-4156-96B1-217F5E72471B}" type="pres">
      <dgm:prSet presAssocID="{EAE89E5E-AD05-417A-9CF4-58638FD66012}" presName="vertFour" presStyleCnt="0">
        <dgm:presLayoutVars>
          <dgm:chPref val="3"/>
        </dgm:presLayoutVars>
      </dgm:prSet>
      <dgm:spPr/>
    </dgm:pt>
    <dgm:pt modelId="{A564BC21-B6E0-459D-A41C-F6CF95A25535}" type="pres">
      <dgm:prSet presAssocID="{EAE89E5E-AD05-417A-9CF4-58638FD66012}" presName="txFour" presStyleLbl="node4" presStyleIdx="1" presStyleCnt="10">
        <dgm:presLayoutVars>
          <dgm:chPref val="3"/>
        </dgm:presLayoutVars>
      </dgm:prSet>
      <dgm:spPr/>
    </dgm:pt>
    <dgm:pt modelId="{1AE639C2-0984-4A97-80CF-5616A0E5238C}" type="pres">
      <dgm:prSet presAssocID="{EAE89E5E-AD05-417A-9CF4-58638FD66012}" presName="horzFour" presStyleCnt="0"/>
      <dgm:spPr/>
    </dgm:pt>
    <dgm:pt modelId="{3FE67ED4-D3D8-451B-9B6F-31A1A8131FD5}" type="pres">
      <dgm:prSet presAssocID="{B2C21A7D-EE5D-4D60-878E-EAD0D74C3CDD}" presName="sibSpaceThree" presStyleCnt="0"/>
      <dgm:spPr/>
    </dgm:pt>
    <dgm:pt modelId="{1FC2DAB0-86D4-4269-BCCF-C8319922B0DA}" type="pres">
      <dgm:prSet presAssocID="{208C61A5-8D96-4D68-955C-3C75B19BF38C}" presName="vertThree" presStyleCnt="0"/>
      <dgm:spPr/>
    </dgm:pt>
    <dgm:pt modelId="{58BB333A-0488-43ED-BD9C-5F09CBA130DD}" type="pres">
      <dgm:prSet presAssocID="{208C61A5-8D96-4D68-955C-3C75B19BF38C}" presName="txThree" presStyleLbl="node3" presStyleIdx="1" presStyleCnt="6" custScaleX="132891">
        <dgm:presLayoutVars>
          <dgm:chPref val="3"/>
        </dgm:presLayoutVars>
      </dgm:prSet>
      <dgm:spPr/>
    </dgm:pt>
    <dgm:pt modelId="{5E38E379-7B93-4D1C-A2A6-DE008975CFD8}" type="pres">
      <dgm:prSet presAssocID="{208C61A5-8D96-4D68-955C-3C75B19BF38C}" presName="parTransThree" presStyleCnt="0"/>
      <dgm:spPr/>
    </dgm:pt>
    <dgm:pt modelId="{00EB05F9-08F2-440B-85CA-52DA4F8BEF27}" type="pres">
      <dgm:prSet presAssocID="{208C61A5-8D96-4D68-955C-3C75B19BF38C}" presName="horzThree" presStyleCnt="0"/>
      <dgm:spPr/>
    </dgm:pt>
    <dgm:pt modelId="{D2AC5398-7DB9-4366-A365-AC794545DC23}" type="pres">
      <dgm:prSet presAssocID="{BCE31C98-6BA9-4BC7-A0FE-B7BAFDF42CA6}" presName="vertFour" presStyleCnt="0">
        <dgm:presLayoutVars>
          <dgm:chPref val="3"/>
        </dgm:presLayoutVars>
      </dgm:prSet>
      <dgm:spPr/>
    </dgm:pt>
    <dgm:pt modelId="{1F566B68-1A6C-4224-905B-6D4EA61AA5DB}" type="pres">
      <dgm:prSet presAssocID="{BCE31C98-6BA9-4BC7-A0FE-B7BAFDF42CA6}" presName="txFour" presStyleLbl="node4" presStyleIdx="2" presStyleCnt="10">
        <dgm:presLayoutVars>
          <dgm:chPref val="3"/>
        </dgm:presLayoutVars>
      </dgm:prSet>
      <dgm:spPr/>
    </dgm:pt>
    <dgm:pt modelId="{8AD0C4D4-2CF9-4535-85B4-A0B1AF74C1D0}" type="pres">
      <dgm:prSet presAssocID="{BCE31C98-6BA9-4BC7-A0FE-B7BAFDF42CA6}" presName="horzFour" presStyleCnt="0"/>
      <dgm:spPr/>
    </dgm:pt>
    <dgm:pt modelId="{5B5DA01B-4E8B-403B-A618-9CF8DCE3C02E}" type="pres">
      <dgm:prSet presAssocID="{128AEF96-CF9F-4218-894C-8D0F1B428E6A}" presName="sibSpaceThree" presStyleCnt="0"/>
      <dgm:spPr/>
    </dgm:pt>
    <dgm:pt modelId="{A03864D2-9699-4A53-A8AC-71D27DE763A9}" type="pres">
      <dgm:prSet presAssocID="{EBB93A86-ED1F-4CEB-95C0-B48028AC728E}" presName="vertThree" presStyleCnt="0"/>
      <dgm:spPr/>
    </dgm:pt>
    <dgm:pt modelId="{117BD4CC-5FB7-4661-A40E-31846E6E6E43}" type="pres">
      <dgm:prSet presAssocID="{EBB93A86-ED1F-4CEB-95C0-B48028AC728E}" presName="txThree" presStyleLbl="node3" presStyleIdx="2" presStyleCnt="6" custScaleX="120381">
        <dgm:presLayoutVars>
          <dgm:chPref val="3"/>
        </dgm:presLayoutVars>
      </dgm:prSet>
      <dgm:spPr/>
    </dgm:pt>
    <dgm:pt modelId="{37F84224-4741-40E6-8034-8711C33193C8}" type="pres">
      <dgm:prSet presAssocID="{EBB93A86-ED1F-4CEB-95C0-B48028AC728E}" presName="parTransThree" presStyleCnt="0"/>
      <dgm:spPr/>
    </dgm:pt>
    <dgm:pt modelId="{A23AEC5E-3E2C-4DAB-AD63-66EBFF3D3E04}" type="pres">
      <dgm:prSet presAssocID="{EBB93A86-ED1F-4CEB-95C0-B48028AC728E}" presName="horzThree" presStyleCnt="0"/>
      <dgm:spPr/>
    </dgm:pt>
    <dgm:pt modelId="{5F78BC44-6544-4F8C-814F-FD1719CB6EB1}" type="pres">
      <dgm:prSet presAssocID="{E2E4E0A5-C5A6-42E6-9AD1-0B24C291BD05}" presName="vertFour" presStyleCnt="0">
        <dgm:presLayoutVars>
          <dgm:chPref val="3"/>
        </dgm:presLayoutVars>
      </dgm:prSet>
      <dgm:spPr/>
    </dgm:pt>
    <dgm:pt modelId="{CE8D9576-9C4B-48DD-8188-E3EF651B72D9}" type="pres">
      <dgm:prSet presAssocID="{E2E4E0A5-C5A6-42E6-9AD1-0B24C291BD05}" presName="txFour" presStyleLbl="node4" presStyleIdx="3" presStyleCnt="10">
        <dgm:presLayoutVars>
          <dgm:chPref val="3"/>
        </dgm:presLayoutVars>
      </dgm:prSet>
      <dgm:spPr/>
    </dgm:pt>
    <dgm:pt modelId="{BF2332C0-4F77-4C6D-BF41-B9761D1EABFA}" type="pres">
      <dgm:prSet presAssocID="{E2E4E0A5-C5A6-42E6-9AD1-0B24C291BD05}" presName="horzFour" presStyleCnt="0"/>
      <dgm:spPr/>
    </dgm:pt>
    <dgm:pt modelId="{A9CBD56A-88A2-4ED8-B6B0-F888CF510ABF}" type="pres">
      <dgm:prSet presAssocID="{972B30E8-C69C-4542-8222-A616AC54C127}" presName="sibSpaceTwo" presStyleCnt="0"/>
      <dgm:spPr/>
    </dgm:pt>
    <dgm:pt modelId="{3B3B61A0-591E-49FD-837E-A9D246C9CEFE}" type="pres">
      <dgm:prSet presAssocID="{D7C8484F-7407-4605-8605-FCD4D1CC24EF}" presName="vertTwo" presStyleCnt="0"/>
      <dgm:spPr/>
    </dgm:pt>
    <dgm:pt modelId="{91DD569D-D431-4885-ADFA-12273AD98852}" type="pres">
      <dgm:prSet presAssocID="{D7C8484F-7407-4605-8605-FCD4D1CC24EF}" presName="txTwo" presStyleLbl="node2" presStyleIdx="1" presStyleCnt="2">
        <dgm:presLayoutVars>
          <dgm:chPref val="3"/>
        </dgm:presLayoutVars>
      </dgm:prSet>
      <dgm:spPr/>
    </dgm:pt>
    <dgm:pt modelId="{63F6F789-69DF-429E-832B-EF600ED5AB75}" type="pres">
      <dgm:prSet presAssocID="{D7C8484F-7407-4605-8605-FCD4D1CC24EF}" presName="parTransTwo" presStyleCnt="0"/>
      <dgm:spPr/>
    </dgm:pt>
    <dgm:pt modelId="{5EE9A53D-4987-4EF9-996D-2CDE755EF51C}" type="pres">
      <dgm:prSet presAssocID="{D7C8484F-7407-4605-8605-FCD4D1CC24EF}" presName="horzTwo" presStyleCnt="0"/>
      <dgm:spPr/>
    </dgm:pt>
    <dgm:pt modelId="{FCDB4958-43A9-46E6-A606-D1E5F1B8192A}" type="pres">
      <dgm:prSet presAssocID="{B48C3DDB-1815-4924-BF6C-DBC936B22BE8}" presName="vertThree" presStyleCnt="0"/>
      <dgm:spPr/>
    </dgm:pt>
    <dgm:pt modelId="{F5FC5AA9-55C9-4181-918C-99FB813030C3}" type="pres">
      <dgm:prSet presAssocID="{B48C3DDB-1815-4924-BF6C-DBC936B22BE8}" presName="txThree" presStyleLbl="node3" presStyleIdx="3" presStyleCnt="6">
        <dgm:presLayoutVars>
          <dgm:chPref val="3"/>
        </dgm:presLayoutVars>
      </dgm:prSet>
      <dgm:spPr/>
    </dgm:pt>
    <dgm:pt modelId="{68DC1C3B-AD3F-4372-874F-ACFFC66EB1A3}" type="pres">
      <dgm:prSet presAssocID="{B48C3DDB-1815-4924-BF6C-DBC936B22BE8}" presName="parTransThree" presStyleCnt="0"/>
      <dgm:spPr/>
    </dgm:pt>
    <dgm:pt modelId="{A1260D82-0375-4E42-B098-9AE18DF60769}" type="pres">
      <dgm:prSet presAssocID="{B48C3DDB-1815-4924-BF6C-DBC936B22BE8}" presName="horzThree" presStyleCnt="0"/>
      <dgm:spPr/>
    </dgm:pt>
    <dgm:pt modelId="{7C9223E5-0AE1-49EA-9A23-1ECA3F96DF57}" type="pres">
      <dgm:prSet presAssocID="{94A9107F-7E0C-49A5-8C28-18021913A112}" presName="vertFour" presStyleCnt="0">
        <dgm:presLayoutVars>
          <dgm:chPref val="3"/>
        </dgm:presLayoutVars>
      </dgm:prSet>
      <dgm:spPr/>
    </dgm:pt>
    <dgm:pt modelId="{8A05317E-D5F2-4556-BEBC-324C1B45D34E}" type="pres">
      <dgm:prSet presAssocID="{94A9107F-7E0C-49A5-8C28-18021913A112}" presName="txFour" presStyleLbl="node4" presStyleIdx="4" presStyleCnt="10">
        <dgm:presLayoutVars>
          <dgm:chPref val="3"/>
        </dgm:presLayoutVars>
      </dgm:prSet>
      <dgm:spPr/>
    </dgm:pt>
    <dgm:pt modelId="{E690FF22-B29F-4676-A34F-B9680A7AF9D2}" type="pres">
      <dgm:prSet presAssocID="{94A9107F-7E0C-49A5-8C28-18021913A112}" presName="horzFour" presStyleCnt="0"/>
      <dgm:spPr/>
    </dgm:pt>
    <dgm:pt modelId="{3C3A4BB9-87A4-4A8B-B5C6-5DBE4AC041B2}" type="pres">
      <dgm:prSet presAssocID="{C80D3C96-FF1E-4EC6-9B5B-CD2AAAA4FB88}" presName="sibSpaceFour" presStyleCnt="0"/>
      <dgm:spPr/>
    </dgm:pt>
    <dgm:pt modelId="{CB3E74E7-A70F-4726-9E26-5A44A7CCF084}" type="pres">
      <dgm:prSet presAssocID="{A2BA7D3D-E356-4658-B0A4-46704E727C93}" presName="vertFour" presStyleCnt="0">
        <dgm:presLayoutVars>
          <dgm:chPref val="3"/>
        </dgm:presLayoutVars>
      </dgm:prSet>
      <dgm:spPr/>
    </dgm:pt>
    <dgm:pt modelId="{E0F8DAD7-A370-4692-A710-7C8062172147}" type="pres">
      <dgm:prSet presAssocID="{A2BA7D3D-E356-4658-B0A4-46704E727C93}" presName="txFour" presStyleLbl="node4" presStyleIdx="5" presStyleCnt="10">
        <dgm:presLayoutVars>
          <dgm:chPref val="3"/>
        </dgm:presLayoutVars>
      </dgm:prSet>
      <dgm:spPr/>
    </dgm:pt>
    <dgm:pt modelId="{2353535A-5516-4C65-AD8B-279FB7A82B6D}" type="pres">
      <dgm:prSet presAssocID="{A2BA7D3D-E356-4658-B0A4-46704E727C93}" presName="horzFour" presStyleCnt="0"/>
      <dgm:spPr/>
    </dgm:pt>
    <dgm:pt modelId="{B26FE9C4-415B-43D7-8AD9-61A936E7A3A1}" type="pres">
      <dgm:prSet presAssocID="{DFF06EAA-13A5-4B06-A36D-0E017348E5BA}" presName="sibSpaceThree" presStyleCnt="0"/>
      <dgm:spPr/>
    </dgm:pt>
    <dgm:pt modelId="{A29AA409-AFFF-4B0B-9A44-EEF171D15E73}" type="pres">
      <dgm:prSet presAssocID="{362E7E96-EA17-4EED-A6AB-2FF6BEB5E338}" presName="vertThree" presStyleCnt="0"/>
      <dgm:spPr/>
    </dgm:pt>
    <dgm:pt modelId="{5B4C45C3-7723-406D-A57E-6A1B4E40AD78}" type="pres">
      <dgm:prSet presAssocID="{362E7E96-EA17-4EED-A6AB-2FF6BEB5E338}" presName="txThree" presStyleLbl="node3" presStyleIdx="4" presStyleCnt="6">
        <dgm:presLayoutVars>
          <dgm:chPref val="3"/>
        </dgm:presLayoutVars>
      </dgm:prSet>
      <dgm:spPr/>
    </dgm:pt>
    <dgm:pt modelId="{93575730-7CD5-4E02-B15A-FA1AD362373F}" type="pres">
      <dgm:prSet presAssocID="{362E7E96-EA17-4EED-A6AB-2FF6BEB5E338}" presName="parTransThree" presStyleCnt="0"/>
      <dgm:spPr/>
    </dgm:pt>
    <dgm:pt modelId="{236495C4-185D-46DB-8D74-C6ABF61540A7}" type="pres">
      <dgm:prSet presAssocID="{362E7E96-EA17-4EED-A6AB-2FF6BEB5E338}" presName="horzThree" presStyleCnt="0"/>
      <dgm:spPr/>
    </dgm:pt>
    <dgm:pt modelId="{4AE2FE23-AED7-4797-9241-58BFAFE85540}" type="pres">
      <dgm:prSet presAssocID="{9EAA36E9-2522-41B1-A962-E6A28E60EBB5}" presName="vertFour" presStyleCnt="0">
        <dgm:presLayoutVars>
          <dgm:chPref val="3"/>
        </dgm:presLayoutVars>
      </dgm:prSet>
      <dgm:spPr/>
    </dgm:pt>
    <dgm:pt modelId="{412D6954-7376-46A2-BD04-2EDDAEDACC3D}" type="pres">
      <dgm:prSet presAssocID="{9EAA36E9-2522-41B1-A962-E6A28E60EBB5}" presName="txFour" presStyleLbl="node4" presStyleIdx="6" presStyleCnt="10">
        <dgm:presLayoutVars>
          <dgm:chPref val="3"/>
        </dgm:presLayoutVars>
      </dgm:prSet>
      <dgm:spPr/>
    </dgm:pt>
    <dgm:pt modelId="{F8F8E40F-B888-4F55-9209-C270D2909F88}" type="pres">
      <dgm:prSet presAssocID="{9EAA36E9-2522-41B1-A962-E6A28E60EBB5}" presName="horzFour" presStyleCnt="0"/>
      <dgm:spPr/>
    </dgm:pt>
    <dgm:pt modelId="{C2000512-04AA-4728-A3A6-A958D615201E}" type="pres">
      <dgm:prSet presAssocID="{72049B0B-058F-4F9D-881E-E26E9444E8D3}" presName="sibSpaceFour" presStyleCnt="0"/>
      <dgm:spPr/>
    </dgm:pt>
    <dgm:pt modelId="{6BA168E7-171A-40EA-817C-F048FAD18C3A}" type="pres">
      <dgm:prSet presAssocID="{198C8745-CF7E-459B-A151-4EAD9309C5D2}" presName="vertFour" presStyleCnt="0">
        <dgm:presLayoutVars>
          <dgm:chPref val="3"/>
        </dgm:presLayoutVars>
      </dgm:prSet>
      <dgm:spPr/>
    </dgm:pt>
    <dgm:pt modelId="{8B1680DD-B1CF-4FD9-ABF7-FC4BA811CB7F}" type="pres">
      <dgm:prSet presAssocID="{198C8745-CF7E-459B-A151-4EAD9309C5D2}" presName="txFour" presStyleLbl="node4" presStyleIdx="7" presStyleCnt="10">
        <dgm:presLayoutVars>
          <dgm:chPref val="3"/>
        </dgm:presLayoutVars>
      </dgm:prSet>
      <dgm:spPr/>
    </dgm:pt>
    <dgm:pt modelId="{36EA1B44-2A52-425A-AD07-6700D3F24F28}" type="pres">
      <dgm:prSet presAssocID="{198C8745-CF7E-459B-A151-4EAD9309C5D2}" presName="horzFour" presStyleCnt="0"/>
      <dgm:spPr/>
    </dgm:pt>
    <dgm:pt modelId="{201F4201-0E56-4432-A47E-8E216BEF6997}" type="pres">
      <dgm:prSet presAssocID="{9C15390C-84EA-48A8-A0A6-D1D0886EF4FD}" presName="sibSpaceFour" presStyleCnt="0"/>
      <dgm:spPr/>
    </dgm:pt>
    <dgm:pt modelId="{4204B585-D927-41D6-ACEC-D173B3BB61F2}" type="pres">
      <dgm:prSet presAssocID="{455DF1AA-5DC3-471E-9F1D-833494640EB2}" presName="vertFour" presStyleCnt="0">
        <dgm:presLayoutVars>
          <dgm:chPref val="3"/>
        </dgm:presLayoutVars>
      </dgm:prSet>
      <dgm:spPr/>
    </dgm:pt>
    <dgm:pt modelId="{F20BD022-FBFB-4EBF-BB3C-67C02E1BCDF3}" type="pres">
      <dgm:prSet presAssocID="{455DF1AA-5DC3-471E-9F1D-833494640EB2}" presName="txFour" presStyleLbl="node4" presStyleIdx="8" presStyleCnt="10">
        <dgm:presLayoutVars>
          <dgm:chPref val="3"/>
        </dgm:presLayoutVars>
      </dgm:prSet>
      <dgm:spPr/>
    </dgm:pt>
    <dgm:pt modelId="{A302CA94-DAE4-4A62-B031-939AD9318387}" type="pres">
      <dgm:prSet presAssocID="{455DF1AA-5DC3-471E-9F1D-833494640EB2}" presName="horzFour" presStyleCnt="0"/>
      <dgm:spPr/>
    </dgm:pt>
    <dgm:pt modelId="{BB0E497C-F599-467A-9984-AF2176102C9F}" type="pres">
      <dgm:prSet presAssocID="{C7D1120C-05D3-4995-9054-BB96373F2053}" presName="sibSpaceThree" presStyleCnt="0"/>
      <dgm:spPr/>
    </dgm:pt>
    <dgm:pt modelId="{60AAB59E-B935-4B3B-ADCF-26E98F0D6729}" type="pres">
      <dgm:prSet presAssocID="{8B4CCDE0-A381-4100-B67D-F2DF87D81AE7}" presName="vertThree" presStyleCnt="0"/>
      <dgm:spPr/>
    </dgm:pt>
    <dgm:pt modelId="{9E670BE1-0D94-49A3-B77F-3D9FFAA40A8E}" type="pres">
      <dgm:prSet presAssocID="{8B4CCDE0-A381-4100-B67D-F2DF87D81AE7}" presName="txThree" presStyleLbl="node3" presStyleIdx="5" presStyleCnt="6">
        <dgm:presLayoutVars>
          <dgm:chPref val="3"/>
        </dgm:presLayoutVars>
      </dgm:prSet>
      <dgm:spPr/>
    </dgm:pt>
    <dgm:pt modelId="{2048C810-3ED9-4EB8-A70E-4AFB24B4F87D}" type="pres">
      <dgm:prSet presAssocID="{8B4CCDE0-A381-4100-B67D-F2DF87D81AE7}" presName="parTransThree" presStyleCnt="0"/>
      <dgm:spPr/>
    </dgm:pt>
    <dgm:pt modelId="{BCABD0C4-5240-46B3-A0D0-9CE83EF77614}" type="pres">
      <dgm:prSet presAssocID="{8B4CCDE0-A381-4100-B67D-F2DF87D81AE7}" presName="horzThree" presStyleCnt="0"/>
      <dgm:spPr/>
    </dgm:pt>
    <dgm:pt modelId="{D35E77AD-E61D-41D9-A1BF-54830EF9497C}" type="pres">
      <dgm:prSet presAssocID="{64F57AFC-FB90-4FA4-B3CF-5EA3093DAFC1}" presName="vertFour" presStyleCnt="0">
        <dgm:presLayoutVars>
          <dgm:chPref val="3"/>
        </dgm:presLayoutVars>
      </dgm:prSet>
      <dgm:spPr/>
    </dgm:pt>
    <dgm:pt modelId="{52E9F729-44BA-410D-A64C-54471C74F1F6}" type="pres">
      <dgm:prSet presAssocID="{64F57AFC-FB90-4FA4-B3CF-5EA3093DAFC1}" presName="txFour" presStyleLbl="node4" presStyleIdx="9" presStyleCnt="10">
        <dgm:presLayoutVars>
          <dgm:chPref val="3"/>
        </dgm:presLayoutVars>
      </dgm:prSet>
      <dgm:spPr/>
    </dgm:pt>
    <dgm:pt modelId="{BD8E2BB4-02CF-4AEB-82B9-59CFCC45A539}" type="pres">
      <dgm:prSet presAssocID="{64F57AFC-FB90-4FA4-B3CF-5EA3093DAFC1}" presName="horzFour" presStyleCnt="0"/>
      <dgm:spPr/>
    </dgm:pt>
  </dgm:ptLst>
  <dgm:cxnLst>
    <dgm:cxn modelId="{55D03A08-CF53-40B7-BDCC-AA2268293F67}" type="presOf" srcId="{D7C8484F-7407-4605-8605-FCD4D1CC24EF}" destId="{91DD569D-D431-4885-ADFA-12273AD98852}" srcOrd="0" destOrd="0" presId="urn:microsoft.com/office/officeart/2005/8/layout/hierarchy4"/>
    <dgm:cxn modelId="{1C697D09-4AE4-47EB-9AE2-8A8447850F57}" srcId="{D7C8484F-7407-4605-8605-FCD4D1CC24EF}" destId="{8B4CCDE0-A381-4100-B67D-F2DF87D81AE7}" srcOrd="2" destOrd="0" parTransId="{D259A9BC-8A9A-45BE-8EAC-0C60CED9FE01}" sibTransId="{8856A53D-126C-401F-8BC3-10C4F88285A3}"/>
    <dgm:cxn modelId="{1B8AF11B-9A2A-459A-A5F4-3002B9033772}" type="presOf" srcId="{B549BB9F-34A6-4068-A330-A0A09015EDFD}" destId="{4F7C2FD6-DAD3-41D5-A9FC-3BF1AF5C51C0}" srcOrd="0" destOrd="0" presId="urn:microsoft.com/office/officeart/2005/8/layout/hierarchy4"/>
    <dgm:cxn modelId="{6C2D2D1C-03D3-4426-A0F0-BBB37CA5161A}" type="presOf" srcId="{362E7E96-EA17-4EED-A6AB-2FF6BEB5E338}" destId="{5B4C45C3-7723-406D-A57E-6A1B4E40AD78}" srcOrd="0" destOrd="0" presId="urn:microsoft.com/office/officeart/2005/8/layout/hierarchy4"/>
    <dgm:cxn modelId="{4777112A-91C1-45A9-A958-F27D57082FB2}" type="presOf" srcId="{64F57AFC-FB90-4FA4-B3CF-5EA3093DAFC1}" destId="{52E9F729-44BA-410D-A64C-54471C74F1F6}" srcOrd="0" destOrd="0" presId="urn:microsoft.com/office/officeart/2005/8/layout/hierarchy4"/>
    <dgm:cxn modelId="{8E58852E-2F8E-4CAD-9976-483CBD758C05}" srcId="{208C61A5-8D96-4D68-955C-3C75B19BF38C}" destId="{BCE31C98-6BA9-4BC7-A0FE-B7BAFDF42CA6}" srcOrd="0" destOrd="0" parTransId="{09C4FF0B-7A21-45D6-BD54-F65A019E4060}" sibTransId="{512F5D8D-77C9-42BC-93C5-B5C2D0128A5E}"/>
    <dgm:cxn modelId="{2A625E30-F7B8-4529-BC78-6730CEA6FB2E}" type="presOf" srcId="{455DF1AA-5DC3-471E-9F1D-833494640EB2}" destId="{F20BD022-FBFB-4EBF-BB3C-67C02E1BCDF3}" srcOrd="0" destOrd="0" presId="urn:microsoft.com/office/officeart/2005/8/layout/hierarchy4"/>
    <dgm:cxn modelId="{E3092840-D9A6-4162-A544-E37192DC3A32}" type="presOf" srcId="{BCE31C98-6BA9-4BC7-A0FE-B7BAFDF42CA6}" destId="{1F566B68-1A6C-4224-905B-6D4EA61AA5DB}" srcOrd="0" destOrd="0" presId="urn:microsoft.com/office/officeart/2005/8/layout/hierarchy4"/>
    <dgm:cxn modelId="{3DCB2C5B-3A63-41ED-84B6-464E93D30E66}" type="presOf" srcId="{DB0D99CA-7A12-4ADC-BA8C-7269D74D75CB}" destId="{39FB4AA4-692B-4471-88C0-00AC0B715BB1}" srcOrd="0" destOrd="0" presId="urn:microsoft.com/office/officeart/2005/8/layout/hierarchy4"/>
    <dgm:cxn modelId="{71642342-7BA2-4214-A549-1F46738C113B}" srcId="{DB0D99CA-7A12-4ADC-BA8C-7269D74D75CB}" destId="{208C61A5-8D96-4D68-955C-3C75B19BF38C}" srcOrd="1" destOrd="0" parTransId="{5D1691F6-812E-4398-89BB-839C04D10E8D}" sibTransId="{128AEF96-CF9F-4218-894C-8D0F1B428E6A}"/>
    <dgm:cxn modelId="{E2908464-2BBD-4F8E-9164-1074C18027C5}" type="presOf" srcId="{EAE89E5E-AD05-417A-9CF4-58638FD66012}" destId="{A564BC21-B6E0-459D-A41C-F6CF95A25535}" srcOrd="0" destOrd="0" presId="urn:microsoft.com/office/officeart/2005/8/layout/hierarchy4"/>
    <dgm:cxn modelId="{79EF4672-D666-4E5C-AAAD-0D803A12B9B2}" type="presOf" srcId="{B48C3DDB-1815-4924-BF6C-DBC936B22BE8}" destId="{F5FC5AA9-55C9-4181-918C-99FB813030C3}" srcOrd="0" destOrd="0" presId="urn:microsoft.com/office/officeart/2005/8/layout/hierarchy4"/>
    <dgm:cxn modelId="{FA0B2F75-28D7-44DD-BBFA-167FAB301162}" type="presOf" srcId="{8B4CCDE0-A381-4100-B67D-F2DF87D81AE7}" destId="{9E670BE1-0D94-49A3-B77F-3D9FFAA40A8E}" srcOrd="0" destOrd="0" presId="urn:microsoft.com/office/officeart/2005/8/layout/hierarchy4"/>
    <dgm:cxn modelId="{C9753856-F0DD-48EC-A8C7-0A92A8D38EA7}" srcId="{6C7B7D98-0A79-4C99-B76F-C2FC49CEC66F}" destId="{DB0D99CA-7A12-4ADC-BA8C-7269D74D75CB}" srcOrd="0" destOrd="0" parTransId="{DAF7E0FE-8927-4106-8237-1B244FA90ED0}" sibTransId="{972B30E8-C69C-4542-8222-A616AC54C127}"/>
    <dgm:cxn modelId="{D42C0B59-D629-4707-8811-B4FAC86A6194}" srcId="{D7C8484F-7407-4605-8605-FCD4D1CC24EF}" destId="{362E7E96-EA17-4EED-A6AB-2FF6BEB5E338}" srcOrd="1" destOrd="0" parTransId="{2AAEFFF7-D00D-4686-82AB-7BEEAC6C7D15}" sibTransId="{C7D1120C-05D3-4995-9054-BB96373F2053}"/>
    <dgm:cxn modelId="{84F44959-AF7E-49DE-AB44-06B250173031}" srcId="{B48C3DDB-1815-4924-BF6C-DBC936B22BE8}" destId="{94A9107F-7E0C-49A5-8C28-18021913A112}" srcOrd="0" destOrd="0" parTransId="{208A24B0-4D59-448A-93CF-1EE1FEBAEE8A}" sibTransId="{C80D3C96-FF1E-4EC6-9B5B-CD2AAAA4FB88}"/>
    <dgm:cxn modelId="{EE07C85A-2639-4180-A2D5-60E09FF93C15}" type="presOf" srcId="{E2E4E0A5-C5A6-42E6-9AD1-0B24C291BD05}" destId="{CE8D9576-9C4B-48DD-8188-E3EF651B72D9}" srcOrd="0" destOrd="0" presId="urn:microsoft.com/office/officeart/2005/8/layout/hierarchy4"/>
    <dgm:cxn modelId="{EC9F3F7E-C65D-494A-A849-142B02FEFFE1}" type="presOf" srcId="{198C8745-CF7E-459B-A151-4EAD9309C5D2}" destId="{8B1680DD-B1CF-4FD9-ABF7-FC4BA811CB7F}" srcOrd="0" destOrd="0" presId="urn:microsoft.com/office/officeart/2005/8/layout/hierarchy4"/>
    <dgm:cxn modelId="{86D6F381-BBAC-44F2-BED8-3615D1DF2F85}" srcId="{8B4CCDE0-A381-4100-B67D-F2DF87D81AE7}" destId="{64F57AFC-FB90-4FA4-B3CF-5EA3093DAFC1}" srcOrd="0" destOrd="0" parTransId="{D77D90A2-57C3-4E93-A2DF-71DF11A39FF1}" sibTransId="{F8CA149E-D3C6-4C96-8AC1-D528059C2313}"/>
    <dgm:cxn modelId="{4E78C084-8D02-4FD2-B688-EAFC1F5E2929}" srcId="{D7C8484F-7407-4605-8605-FCD4D1CC24EF}" destId="{B48C3DDB-1815-4924-BF6C-DBC936B22BE8}" srcOrd="0" destOrd="0" parTransId="{EE2CA952-F492-4C12-BC65-67F16F00615B}" sibTransId="{DFF06EAA-13A5-4B06-A36D-0E017348E5BA}"/>
    <dgm:cxn modelId="{D77A1686-AF4E-470E-B3D1-DA02B7266D65}" srcId="{382F5419-BFFB-4754-B068-ABC7BB3EAB63}" destId="{6C7B7D98-0A79-4C99-B76F-C2FC49CEC66F}" srcOrd="0" destOrd="0" parTransId="{7FD6E857-36A4-44BD-A285-D2BF869834C3}" sibTransId="{EC894567-B2EC-4063-BEC2-49272399399D}"/>
    <dgm:cxn modelId="{D310798F-1F57-4918-B0C2-A0C96FFAEA19}" srcId="{362E7E96-EA17-4EED-A6AB-2FF6BEB5E338}" destId="{455DF1AA-5DC3-471E-9F1D-833494640EB2}" srcOrd="2" destOrd="0" parTransId="{7B237776-8194-49C7-BFE0-E9BB3D0BF344}" sibTransId="{BB9D374D-331E-403D-A9D1-8B701C745831}"/>
    <dgm:cxn modelId="{BFC3E192-90A2-4AB3-BD94-479A9B446CF9}" srcId="{DB0D99CA-7A12-4ADC-BA8C-7269D74D75CB}" destId="{B549BB9F-34A6-4068-A330-A0A09015EDFD}" srcOrd="0" destOrd="0" parTransId="{527ABB17-FDA4-4E2B-BF31-E68E74E7DDB9}" sibTransId="{B2C21A7D-EE5D-4D60-878E-EAD0D74C3CDD}"/>
    <dgm:cxn modelId="{F216AC99-528E-48ED-A95E-0F4D9AD317FD}" srcId="{EBB93A86-ED1F-4CEB-95C0-B48028AC728E}" destId="{E2E4E0A5-C5A6-42E6-9AD1-0B24C291BD05}" srcOrd="0" destOrd="0" parTransId="{92309689-E810-4034-BBC9-99840462CE4C}" sibTransId="{5C1472C4-7182-42F2-85E0-DB8B599C13B4}"/>
    <dgm:cxn modelId="{4F1002A8-CD29-4BEA-97F1-7F6D0E691C0C}" srcId="{B549BB9F-34A6-4068-A330-A0A09015EDFD}" destId="{DFB654F1-AF3F-4BD0-B52F-5E2C87528FF7}" srcOrd="0" destOrd="0" parTransId="{65992131-FE1A-4D15-A5BE-7282FF983674}" sibTransId="{938B3B46-ECE9-4B95-99B3-0E97C4F553C3}"/>
    <dgm:cxn modelId="{240AF5BA-FB9C-4094-83F3-A18C6A6CD767}" srcId="{362E7E96-EA17-4EED-A6AB-2FF6BEB5E338}" destId="{9EAA36E9-2522-41B1-A962-E6A28E60EBB5}" srcOrd="0" destOrd="0" parTransId="{427720B6-0887-4FE9-9099-F35837BB87A6}" sibTransId="{72049B0B-058F-4F9D-881E-E26E9444E8D3}"/>
    <dgm:cxn modelId="{CB6A85C7-7040-47ED-BE20-62C230005453}" type="presOf" srcId="{9EAA36E9-2522-41B1-A962-E6A28E60EBB5}" destId="{412D6954-7376-46A2-BD04-2EDDAEDACC3D}" srcOrd="0" destOrd="0" presId="urn:microsoft.com/office/officeart/2005/8/layout/hierarchy4"/>
    <dgm:cxn modelId="{A18BA4CB-74A9-4722-8150-59141703624E}" srcId="{B48C3DDB-1815-4924-BF6C-DBC936B22BE8}" destId="{A2BA7D3D-E356-4658-B0A4-46704E727C93}" srcOrd="1" destOrd="0" parTransId="{DB82E716-DA46-4804-8A98-4C6791734682}" sibTransId="{98795D49-B7DD-4C0E-88EF-DB5BF28795ED}"/>
    <dgm:cxn modelId="{BCD193CC-C405-42CC-BFB3-46ECC34229E3}" srcId="{B549BB9F-34A6-4068-A330-A0A09015EDFD}" destId="{EAE89E5E-AD05-417A-9CF4-58638FD66012}" srcOrd="1" destOrd="0" parTransId="{F68CAE78-2EB0-4BF8-AA71-6E2B5998C98A}" sibTransId="{99672BA0-2214-4CD5-9936-809EA8B5F7F0}"/>
    <dgm:cxn modelId="{6B8D7BCE-C28C-48AD-BF61-ABE83DBC42F6}" type="presOf" srcId="{A2BA7D3D-E356-4658-B0A4-46704E727C93}" destId="{E0F8DAD7-A370-4692-A710-7C8062172147}" srcOrd="0" destOrd="0" presId="urn:microsoft.com/office/officeart/2005/8/layout/hierarchy4"/>
    <dgm:cxn modelId="{91D4A2CE-C136-4465-A4EE-D31EBF5C0BC0}" srcId="{DB0D99CA-7A12-4ADC-BA8C-7269D74D75CB}" destId="{EBB93A86-ED1F-4CEB-95C0-B48028AC728E}" srcOrd="2" destOrd="0" parTransId="{830CBA45-84AB-4F7B-9B97-61A980143F54}" sibTransId="{67D154EF-08A9-4E9D-BDB1-23A9B4C1CA71}"/>
    <dgm:cxn modelId="{0757B2CE-988B-450B-99A1-913225E6DFB4}" type="presOf" srcId="{6C7B7D98-0A79-4C99-B76F-C2FC49CEC66F}" destId="{A9459259-F946-4097-ACA9-3974C7F21439}" srcOrd="0" destOrd="0" presId="urn:microsoft.com/office/officeart/2005/8/layout/hierarchy4"/>
    <dgm:cxn modelId="{3CD1DDD2-2D2A-4023-BA8E-C33386A36E5D}" type="presOf" srcId="{382F5419-BFFB-4754-B068-ABC7BB3EAB63}" destId="{3E00B507-B544-4F51-9024-C79DECB1885B}" srcOrd="0" destOrd="0" presId="urn:microsoft.com/office/officeart/2005/8/layout/hierarchy4"/>
    <dgm:cxn modelId="{9F8327DA-BE39-4B8D-A358-0A01F59E6BD3}" srcId="{6C7B7D98-0A79-4C99-B76F-C2FC49CEC66F}" destId="{D7C8484F-7407-4605-8605-FCD4D1CC24EF}" srcOrd="1" destOrd="0" parTransId="{AF156066-6668-4EBF-B550-12948DFF966D}" sibTransId="{ABCAAD7C-EFBC-459E-80F2-69B45086EC07}"/>
    <dgm:cxn modelId="{EE2E27DC-B282-454E-B0A4-5730BAA084A4}" type="presOf" srcId="{94A9107F-7E0C-49A5-8C28-18021913A112}" destId="{8A05317E-D5F2-4556-BEBC-324C1B45D34E}" srcOrd="0" destOrd="0" presId="urn:microsoft.com/office/officeart/2005/8/layout/hierarchy4"/>
    <dgm:cxn modelId="{22465ADC-65DE-416A-9F42-976D793F1BBA}" srcId="{362E7E96-EA17-4EED-A6AB-2FF6BEB5E338}" destId="{198C8745-CF7E-459B-A151-4EAD9309C5D2}" srcOrd="1" destOrd="0" parTransId="{DACD3BE5-0B9C-4D66-9284-5E73AE80E87A}" sibTransId="{9C15390C-84EA-48A8-A0A6-D1D0886EF4FD}"/>
    <dgm:cxn modelId="{33AEFFDC-8270-4BAB-8082-02C97B7030CC}" type="presOf" srcId="{DFB654F1-AF3F-4BD0-B52F-5E2C87528FF7}" destId="{55411F56-4C65-4F70-8826-16E520DCCEF0}" srcOrd="0" destOrd="0" presId="urn:microsoft.com/office/officeart/2005/8/layout/hierarchy4"/>
    <dgm:cxn modelId="{845C03E0-CAA8-4271-85D2-E9F3FE155211}" type="presOf" srcId="{208C61A5-8D96-4D68-955C-3C75B19BF38C}" destId="{58BB333A-0488-43ED-BD9C-5F09CBA130DD}" srcOrd="0" destOrd="0" presId="urn:microsoft.com/office/officeart/2005/8/layout/hierarchy4"/>
    <dgm:cxn modelId="{50B171FE-FDF6-4790-BD12-2146CA742B65}" type="presOf" srcId="{EBB93A86-ED1F-4CEB-95C0-B48028AC728E}" destId="{117BD4CC-5FB7-4661-A40E-31846E6E6E43}" srcOrd="0" destOrd="0" presId="urn:microsoft.com/office/officeart/2005/8/layout/hierarchy4"/>
    <dgm:cxn modelId="{B44D83D4-9158-48B2-B8BB-B5F9BBAFE77D}" type="presParOf" srcId="{3E00B507-B544-4F51-9024-C79DECB1885B}" destId="{F7E6697D-E075-4466-8F3C-C90CB8F038E0}" srcOrd="0" destOrd="0" presId="urn:microsoft.com/office/officeart/2005/8/layout/hierarchy4"/>
    <dgm:cxn modelId="{BBFED865-7D92-4BD5-8444-A30D77FFE456}" type="presParOf" srcId="{F7E6697D-E075-4466-8F3C-C90CB8F038E0}" destId="{A9459259-F946-4097-ACA9-3974C7F21439}" srcOrd="0" destOrd="0" presId="urn:microsoft.com/office/officeart/2005/8/layout/hierarchy4"/>
    <dgm:cxn modelId="{FAC38BFB-9A5D-495C-8F25-8958D6BD7B3C}" type="presParOf" srcId="{F7E6697D-E075-4466-8F3C-C90CB8F038E0}" destId="{5ADA0FD9-9A55-4C89-BB11-4FDBAB42F6D0}" srcOrd="1" destOrd="0" presId="urn:microsoft.com/office/officeart/2005/8/layout/hierarchy4"/>
    <dgm:cxn modelId="{57ADB319-61E9-4E1F-9944-1AAFEEDE4154}" type="presParOf" srcId="{F7E6697D-E075-4466-8F3C-C90CB8F038E0}" destId="{7BC6A0D6-2BA9-4B43-B0DD-4CB594C076EC}" srcOrd="2" destOrd="0" presId="urn:microsoft.com/office/officeart/2005/8/layout/hierarchy4"/>
    <dgm:cxn modelId="{B36C881C-1E5E-4510-BA5E-FAA2ECA9F5AE}" type="presParOf" srcId="{7BC6A0D6-2BA9-4B43-B0DD-4CB594C076EC}" destId="{A682DF2C-959E-4903-9F0B-3D223F0E0C7D}" srcOrd="0" destOrd="0" presId="urn:microsoft.com/office/officeart/2005/8/layout/hierarchy4"/>
    <dgm:cxn modelId="{22B6ABB2-ADD2-4318-A3DB-EBD20292B311}" type="presParOf" srcId="{A682DF2C-959E-4903-9F0B-3D223F0E0C7D}" destId="{39FB4AA4-692B-4471-88C0-00AC0B715BB1}" srcOrd="0" destOrd="0" presId="urn:microsoft.com/office/officeart/2005/8/layout/hierarchy4"/>
    <dgm:cxn modelId="{C3B7864F-612A-44E9-B44F-6107844B8A79}" type="presParOf" srcId="{A682DF2C-959E-4903-9F0B-3D223F0E0C7D}" destId="{5D3D8978-11E8-44FE-BAFE-3BF7130DA9DD}" srcOrd="1" destOrd="0" presId="urn:microsoft.com/office/officeart/2005/8/layout/hierarchy4"/>
    <dgm:cxn modelId="{1F4E3D74-C0C3-4962-8CDA-524336463049}" type="presParOf" srcId="{A682DF2C-959E-4903-9F0B-3D223F0E0C7D}" destId="{6E46FA50-18D0-459D-8173-397ECB56C8D5}" srcOrd="2" destOrd="0" presId="urn:microsoft.com/office/officeart/2005/8/layout/hierarchy4"/>
    <dgm:cxn modelId="{9F79065E-C07A-45AA-AB87-F6329163A30F}" type="presParOf" srcId="{6E46FA50-18D0-459D-8173-397ECB56C8D5}" destId="{C37B78AF-F11B-48BD-92A2-6610D8351F3F}" srcOrd="0" destOrd="0" presId="urn:microsoft.com/office/officeart/2005/8/layout/hierarchy4"/>
    <dgm:cxn modelId="{902A4580-4B34-447D-A1BC-E1D99CA55638}" type="presParOf" srcId="{C37B78AF-F11B-48BD-92A2-6610D8351F3F}" destId="{4F7C2FD6-DAD3-41D5-A9FC-3BF1AF5C51C0}" srcOrd="0" destOrd="0" presId="urn:microsoft.com/office/officeart/2005/8/layout/hierarchy4"/>
    <dgm:cxn modelId="{4E6EFFC6-139C-4A49-9E49-D46AA7281A0D}" type="presParOf" srcId="{C37B78AF-F11B-48BD-92A2-6610D8351F3F}" destId="{76424135-57CB-48D2-9E27-8E1C48AF31AE}" srcOrd="1" destOrd="0" presId="urn:microsoft.com/office/officeart/2005/8/layout/hierarchy4"/>
    <dgm:cxn modelId="{C1D62E68-99A7-42C1-91F1-E31D5FA0E79A}" type="presParOf" srcId="{C37B78AF-F11B-48BD-92A2-6610D8351F3F}" destId="{C9BDD972-42CC-4E3A-8204-7E06632DA4DD}" srcOrd="2" destOrd="0" presId="urn:microsoft.com/office/officeart/2005/8/layout/hierarchy4"/>
    <dgm:cxn modelId="{974C0E0B-4D75-43F2-89F2-6FCDC97FC49B}" type="presParOf" srcId="{C9BDD972-42CC-4E3A-8204-7E06632DA4DD}" destId="{13610F94-A16F-4DE3-A9A1-5EF308D7A381}" srcOrd="0" destOrd="0" presId="urn:microsoft.com/office/officeart/2005/8/layout/hierarchy4"/>
    <dgm:cxn modelId="{6A779E0F-1777-4C65-B11A-04FEE1113E28}" type="presParOf" srcId="{13610F94-A16F-4DE3-A9A1-5EF308D7A381}" destId="{55411F56-4C65-4F70-8826-16E520DCCEF0}" srcOrd="0" destOrd="0" presId="urn:microsoft.com/office/officeart/2005/8/layout/hierarchy4"/>
    <dgm:cxn modelId="{F617157B-75AE-42AF-8BBE-322D5327119E}" type="presParOf" srcId="{13610F94-A16F-4DE3-A9A1-5EF308D7A381}" destId="{6AC01EE6-E40E-45E6-AD2C-B1F6D527CC01}" srcOrd="1" destOrd="0" presId="urn:microsoft.com/office/officeart/2005/8/layout/hierarchy4"/>
    <dgm:cxn modelId="{78A86213-C608-41CF-837E-ABC433EC2A30}" type="presParOf" srcId="{C9BDD972-42CC-4E3A-8204-7E06632DA4DD}" destId="{3F7D94D3-7807-42FD-94C8-656AFE0D37ED}" srcOrd="1" destOrd="0" presId="urn:microsoft.com/office/officeart/2005/8/layout/hierarchy4"/>
    <dgm:cxn modelId="{17580CCE-1E10-4FE2-88AE-2268C8860F3F}" type="presParOf" srcId="{C9BDD972-42CC-4E3A-8204-7E06632DA4DD}" destId="{86E3C857-77CD-4156-96B1-217F5E72471B}" srcOrd="2" destOrd="0" presId="urn:microsoft.com/office/officeart/2005/8/layout/hierarchy4"/>
    <dgm:cxn modelId="{2944B161-8122-4E72-BC08-5D4A8D194725}" type="presParOf" srcId="{86E3C857-77CD-4156-96B1-217F5E72471B}" destId="{A564BC21-B6E0-459D-A41C-F6CF95A25535}" srcOrd="0" destOrd="0" presId="urn:microsoft.com/office/officeart/2005/8/layout/hierarchy4"/>
    <dgm:cxn modelId="{EDD9E7CE-9F29-4D2D-8A43-D50CA7F41FF8}" type="presParOf" srcId="{86E3C857-77CD-4156-96B1-217F5E72471B}" destId="{1AE639C2-0984-4A97-80CF-5616A0E5238C}" srcOrd="1" destOrd="0" presId="urn:microsoft.com/office/officeart/2005/8/layout/hierarchy4"/>
    <dgm:cxn modelId="{BD8BD8E7-EDDD-41A6-A568-E94844A21320}" type="presParOf" srcId="{6E46FA50-18D0-459D-8173-397ECB56C8D5}" destId="{3FE67ED4-D3D8-451B-9B6F-31A1A8131FD5}" srcOrd="1" destOrd="0" presId="urn:microsoft.com/office/officeart/2005/8/layout/hierarchy4"/>
    <dgm:cxn modelId="{38A472E1-CFAA-43C6-A3C9-640073927733}" type="presParOf" srcId="{6E46FA50-18D0-459D-8173-397ECB56C8D5}" destId="{1FC2DAB0-86D4-4269-BCCF-C8319922B0DA}" srcOrd="2" destOrd="0" presId="urn:microsoft.com/office/officeart/2005/8/layout/hierarchy4"/>
    <dgm:cxn modelId="{3B26BD95-B507-4CBC-B741-AFD12672AF7D}" type="presParOf" srcId="{1FC2DAB0-86D4-4269-BCCF-C8319922B0DA}" destId="{58BB333A-0488-43ED-BD9C-5F09CBA130DD}" srcOrd="0" destOrd="0" presId="urn:microsoft.com/office/officeart/2005/8/layout/hierarchy4"/>
    <dgm:cxn modelId="{D28C48C4-7B1D-4907-91A1-3CF038CAA336}" type="presParOf" srcId="{1FC2DAB0-86D4-4269-BCCF-C8319922B0DA}" destId="{5E38E379-7B93-4D1C-A2A6-DE008975CFD8}" srcOrd="1" destOrd="0" presId="urn:microsoft.com/office/officeart/2005/8/layout/hierarchy4"/>
    <dgm:cxn modelId="{9C87883F-5FE6-4881-ACE3-D5135AE8ACAE}" type="presParOf" srcId="{1FC2DAB0-86D4-4269-BCCF-C8319922B0DA}" destId="{00EB05F9-08F2-440B-85CA-52DA4F8BEF27}" srcOrd="2" destOrd="0" presId="urn:microsoft.com/office/officeart/2005/8/layout/hierarchy4"/>
    <dgm:cxn modelId="{F12D1515-B532-4739-BEE3-F00D9BB94C7F}" type="presParOf" srcId="{00EB05F9-08F2-440B-85CA-52DA4F8BEF27}" destId="{D2AC5398-7DB9-4366-A365-AC794545DC23}" srcOrd="0" destOrd="0" presId="urn:microsoft.com/office/officeart/2005/8/layout/hierarchy4"/>
    <dgm:cxn modelId="{5671FD54-958C-4F75-97C6-CC777D5E829D}" type="presParOf" srcId="{D2AC5398-7DB9-4366-A365-AC794545DC23}" destId="{1F566B68-1A6C-4224-905B-6D4EA61AA5DB}" srcOrd="0" destOrd="0" presId="urn:microsoft.com/office/officeart/2005/8/layout/hierarchy4"/>
    <dgm:cxn modelId="{8D0C99B9-D9D3-4184-AF70-8AF27D027CF8}" type="presParOf" srcId="{D2AC5398-7DB9-4366-A365-AC794545DC23}" destId="{8AD0C4D4-2CF9-4535-85B4-A0B1AF74C1D0}" srcOrd="1" destOrd="0" presId="urn:microsoft.com/office/officeart/2005/8/layout/hierarchy4"/>
    <dgm:cxn modelId="{E4ABCC4C-C81A-4095-AE44-DA70D3720E5A}" type="presParOf" srcId="{6E46FA50-18D0-459D-8173-397ECB56C8D5}" destId="{5B5DA01B-4E8B-403B-A618-9CF8DCE3C02E}" srcOrd="3" destOrd="0" presId="urn:microsoft.com/office/officeart/2005/8/layout/hierarchy4"/>
    <dgm:cxn modelId="{C565A831-AA85-401C-8BA7-7C63E27226AB}" type="presParOf" srcId="{6E46FA50-18D0-459D-8173-397ECB56C8D5}" destId="{A03864D2-9699-4A53-A8AC-71D27DE763A9}" srcOrd="4" destOrd="0" presId="urn:microsoft.com/office/officeart/2005/8/layout/hierarchy4"/>
    <dgm:cxn modelId="{9944A8BD-FA82-412F-9D4B-9151DB033F0A}" type="presParOf" srcId="{A03864D2-9699-4A53-A8AC-71D27DE763A9}" destId="{117BD4CC-5FB7-4661-A40E-31846E6E6E43}" srcOrd="0" destOrd="0" presId="urn:microsoft.com/office/officeart/2005/8/layout/hierarchy4"/>
    <dgm:cxn modelId="{A2CC779B-911B-40CC-ABE0-A12CE3414E63}" type="presParOf" srcId="{A03864D2-9699-4A53-A8AC-71D27DE763A9}" destId="{37F84224-4741-40E6-8034-8711C33193C8}" srcOrd="1" destOrd="0" presId="urn:microsoft.com/office/officeart/2005/8/layout/hierarchy4"/>
    <dgm:cxn modelId="{0797F7C0-05B0-466F-A10D-EDE86F72A636}" type="presParOf" srcId="{A03864D2-9699-4A53-A8AC-71D27DE763A9}" destId="{A23AEC5E-3E2C-4DAB-AD63-66EBFF3D3E04}" srcOrd="2" destOrd="0" presId="urn:microsoft.com/office/officeart/2005/8/layout/hierarchy4"/>
    <dgm:cxn modelId="{49273D20-5874-468B-9C6B-3C670E313068}" type="presParOf" srcId="{A23AEC5E-3E2C-4DAB-AD63-66EBFF3D3E04}" destId="{5F78BC44-6544-4F8C-814F-FD1719CB6EB1}" srcOrd="0" destOrd="0" presId="urn:microsoft.com/office/officeart/2005/8/layout/hierarchy4"/>
    <dgm:cxn modelId="{EFA3DEA3-2BF9-44F9-9202-7F85FA3B7D90}" type="presParOf" srcId="{5F78BC44-6544-4F8C-814F-FD1719CB6EB1}" destId="{CE8D9576-9C4B-48DD-8188-E3EF651B72D9}" srcOrd="0" destOrd="0" presId="urn:microsoft.com/office/officeart/2005/8/layout/hierarchy4"/>
    <dgm:cxn modelId="{27923C54-F911-4BB9-B663-EE5AD6AA2AB1}" type="presParOf" srcId="{5F78BC44-6544-4F8C-814F-FD1719CB6EB1}" destId="{BF2332C0-4F77-4C6D-BF41-B9761D1EABFA}" srcOrd="1" destOrd="0" presId="urn:microsoft.com/office/officeart/2005/8/layout/hierarchy4"/>
    <dgm:cxn modelId="{E6F6C046-8B44-46EE-8E22-4F6884F80E06}" type="presParOf" srcId="{7BC6A0D6-2BA9-4B43-B0DD-4CB594C076EC}" destId="{A9CBD56A-88A2-4ED8-B6B0-F888CF510ABF}" srcOrd="1" destOrd="0" presId="urn:microsoft.com/office/officeart/2005/8/layout/hierarchy4"/>
    <dgm:cxn modelId="{71A74CAE-15E2-47C0-AB3A-CA08A8C511EB}" type="presParOf" srcId="{7BC6A0D6-2BA9-4B43-B0DD-4CB594C076EC}" destId="{3B3B61A0-591E-49FD-837E-A9D246C9CEFE}" srcOrd="2" destOrd="0" presId="urn:microsoft.com/office/officeart/2005/8/layout/hierarchy4"/>
    <dgm:cxn modelId="{5BBE9F7B-E3A8-4A2D-8772-5BAFF2E79B32}" type="presParOf" srcId="{3B3B61A0-591E-49FD-837E-A9D246C9CEFE}" destId="{91DD569D-D431-4885-ADFA-12273AD98852}" srcOrd="0" destOrd="0" presId="urn:microsoft.com/office/officeart/2005/8/layout/hierarchy4"/>
    <dgm:cxn modelId="{7938B262-837E-4209-8BB6-AB6E99C98DC1}" type="presParOf" srcId="{3B3B61A0-591E-49FD-837E-A9D246C9CEFE}" destId="{63F6F789-69DF-429E-832B-EF600ED5AB75}" srcOrd="1" destOrd="0" presId="urn:microsoft.com/office/officeart/2005/8/layout/hierarchy4"/>
    <dgm:cxn modelId="{30DE009E-9223-4EE0-BB89-5E3ACB588B40}" type="presParOf" srcId="{3B3B61A0-591E-49FD-837E-A9D246C9CEFE}" destId="{5EE9A53D-4987-4EF9-996D-2CDE755EF51C}" srcOrd="2" destOrd="0" presId="urn:microsoft.com/office/officeart/2005/8/layout/hierarchy4"/>
    <dgm:cxn modelId="{399B2ADA-F3C8-4E45-9883-F353E4A0BBAC}" type="presParOf" srcId="{5EE9A53D-4987-4EF9-996D-2CDE755EF51C}" destId="{FCDB4958-43A9-46E6-A606-D1E5F1B8192A}" srcOrd="0" destOrd="0" presId="urn:microsoft.com/office/officeart/2005/8/layout/hierarchy4"/>
    <dgm:cxn modelId="{517C8AB0-797B-4D59-8B1B-3E58D834F622}" type="presParOf" srcId="{FCDB4958-43A9-46E6-A606-D1E5F1B8192A}" destId="{F5FC5AA9-55C9-4181-918C-99FB813030C3}" srcOrd="0" destOrd="0" presId="urn:microsoft.com/office/officeart/2005/8/layout/hierarchy4"/>
    <dgm:cxn modelId="{1FF48BE9-4DFB-4637-93FD-FD78563C8604}" type="presParOf" srcId="{FCDB4958-43A9-46E6-A606-D1E5F1B8192A}" destId="{68DC1C3B-AD3F-4372-874F-ACFFC66EB1A3}" srcOrd="1" destOrd="0" presId="urn:microsoft.com/office/officeart/2005/8/layout/hierarchy4"/>
    <dgm:cxn modelId="{E6D52B61-65F2-4B8D-B5CB-4A75CFDFA8B7}" type="presParOf" srcId="{FCDB4958-43A9-46E6-A606-D1E5F1B8192A}" destId="{A1260D82-0375-4E42-B098-9AE18DF60769}" srcOrd="2" destOrd="0" presId="urn:microsoft.com/office/officeart/2005/8/layout/hierarchy4"/>
    <dgm:cxn modelId="{D5E04F34-BEDE-42D6-9A9A-BB854A7549AE}" type="presParOf" srcId="{A1260D82-0375-4E42-B098-9AE18DF60769}" destId="{7C9223E5-0AE1-49EA-9A23-1ECA3F96DF57}" srcOrd="0" destOrd="0" presId="urn:microsoft.com/office/officeart/2005/8/layout/hierarchy4"/>
    <dgm:cxn modelId="{F37FB19B-9FC7-4FA8-AAEB-225AC7B71E23}" type="presParOf" srcId="{7C9223E5-0AE1-49EA-9A23-1ECA3F96DF57}" destId="{8A05317E-D5F2-4556-BEBC-324C1B45D34E}" srcOrd="0" destOrd="0" presId="urn:microsoft.com/office/officeart/2005/8/layout/hierarchy4"/>
    <dgm:cxn modelId="{B6CB8B15-F4CA-4678-8158-E7B7379A9953}" type="presParOf" srcId="{7C9223E5-0AE1-49EA-9A23-1ECA3F96DF57}" destId="{E690FF22-B29F-4676-A34F-B9680A7AF9D2}" srcOrd="1" destOrd="0" presId="urn:microsoft.com/office/officeart/2005/8/layout/hierarchy4"/>
    <dgm:cxn modelId="{9D8D9E71-D6A3-44BA-806D-17BFE10B0687}" type="presParOf" srcId="{A1260D82-0375-4E42-B098-9AE18DF60769}" destId="{3C3A4BB9-87A4-4A8B-B5C6-5DBE4AC041B2}" srcOrd="1" destOrd="0" presId="urn:microsoft.com/office/officeart/2005/8/layout/hierarchy4"/>
    <dgm:cxn modelId="{CEE6D331-70F7-45DD-8AEC-9503D4B51BA5}" type="presParOf" srcId="{A1260D82-0375-4E42-B098-9AE18DF60769}" destId="{CB3E74E7-A70F-4726-9E26-5A44A7CCF084}" srcOrd="2" destOrd="0" presId="urn:microsoft.com/office/officeart/2005/8/layout/hierarchy4"/>
    <dgm:cxn modelId="{0B420DB6-530E-4CF6-B20A-7CDC136E2C4D}" type="presParOf" srcId="{CB3E74E7-A70F-4726-9E26-5A44A7CCF084}" destId="{E0F8DAD7-A370-4692-A710-7C8062172147}" srcOrd="0" destOrd="0" presId="urn:microsoft.com/office/officeart/2005/8/layout/hierarchy4"/>
    <dgm:cxn modelId="{ADDB1CFD-AFE5-4084-B3F9-8A7D5F7BFD4B}" type="presParOf" srcId="{CB3E74E7-A70F-4726-9E26-5A44A7CCF084}" destId="{2353535A-5516-4C65-AD8B-279FB7A82B6D}" srcOrd="1" destOrd="0" presId="urn:microsoft.com/office/officeart/2005/8/layout/hierarchy4"/>
    <dgm:cxn modelId="{15270D31-E77E-4B77-A129-6F35F65FAD74}" type="presParOf" srcId="{5EE9A53D-4987-4EF9-996D-2CDE755EF51C}" destId="{B26FE9C4-415B-43D7-8AD9-61A936E7A3A1}" srcOrd="1" destOrd="0" presId="urn:microsoft.com/office/officeart/2005/8/layout/hierarchy4"/>
    <dgm:cxn modelId="{F49B61FD-447A-4444-8B8D-966BD62E7564}" type="presParOf" srcId="{5EE9A53D-4987-4EF9-996D-2CDE755EF51C}" destId="{A29AA409-AFFF-4B0B-9A44-EEF171D15E73}" srcOrd="2" destOrd="0" presId="urn:microsoft.com/office/officeart/2005/8/layout/hierarchy4"/>
    <dgm:cxn modelId="{8B30EC34-CB13-4FAD-BB0A-94902865CAF5}" type="presParOf" srcId="{A29AA409-AFFF-4B0B-9A44-EEF171D15E73}" destId="{5B4C45C3-7723-406D-A57E-6A1B4E40AD78}" srcOrd="0" destOrd="0" presId="urn:microsoft.com/office/officeart/2005/8/layout/hierarchy4"/>
    <dgm:cxn modelId="{D01650D3-0220-4B10-9EA0-FCE8F540B0BB}" type="presParOf" srcId="{A29AA409-AFFF-4B0B-9A44-EEF171D15E73}" destId="{93575730-7CD5-4E02-B15A-FA1AD362373F}" srcOrd="1" destOrd="0" presId="urn:microsoft.com/office/officeart/2005/8/layout/hierarchy4"/>
    <dgm:cxn modelId="{A23845D3-2ACD-43EA-A8F6-D5709AACD98B}" type="presParOf" srcId="{A29AA409-AFFF-4B0B-9A44-EEF171D15E73}" destId="{236495C4-185D-46DB-8D74-C6ABF61540A7}" srcOrd="2" destOrd="0" presId="urn:microsoft.com/office/officeart/2005/8/layout/hierarchy4"/>
    <dgm:cxn modelId="{55F8EE23-E76E-4D30-89E1-B03B403538EC}" type="presParOf" srcId="{236495C4-185D-46DB-8D74-C6ABF61540A7}" destId="{4AE2FE23-AED7-4797-9241-58BFAFE85540}" srcOrd="0" destOrd="0" presId="urn:microsoft.com/office/officeart/2005/8/layout/hierarchy4"/>
    <dgm:cxn modelId="{EEF429E9-5048-4E02-9D52-49118299A9E3}" type="presParOf" srcId="{4AE2FE23-AED7-4797-9241-58BFAFE85540}" destId="{412D6954-7376-46A2-BD04-2EDDAEDACC3D}" srcOrd="0" destOrd="0" presId="urn:microsoft.com/office/officeart/2005/8/layout/hierarchy4"/>
    <dgm:cxn modelId="{A1BBDF08-D22F-486E-B108-06DCEB590AAD}" type="presParOf" srcId="{4AE2FE23-AED7-4797-9241-58BFAFE85540}" destId="{F8F8E40F-B888-4F55-9209-C270D2909F88}" srcOrd="1" destOrd="0" presId="urn:microsoft.com/office/officeart/2005/8/layout/hierarchy4"/>
    <dgm:cxn modelId="{A421D18B-001F-425F-88A7-9C0BD384AD35}" type="presParOf" srcId="{236495C4-185D-46DB-8D74-C6ABF61540A7}" destId="{C2000512-04AA-4728-A3A6-A958D615201E}" srcOrd="1" destOrd="0" presId="urn:microsoft.com/office/officeart/2005/8/layout/hierarchy4"/>
    <dgm:cxn modelId="{7C356AC9-1A3D-4201-931E-FC2F376D8053}" type="presParOf" srcId="{236495C4-185D-46DB-8D74-C6ABF61540A7}" destId="{6BA168E7-171A-40EA-817C-F048FAD18C3A}" srcOrd="2" destOrd="0" presId="urn:microsoft.com/office/officeart/2005/8/layout/hierarchy4"/>
    <dgm:cxn modelId="{209476C9-9548-4DF1-BB03-0A42A6C0703C}" type="presParOf" srcId="{6BA168E7-171A-40EA-817C-F048FAD18C3A}" destId="{8B1680DD-B1CF-4FD9-ABF7-FC4BA811CB7F}" srcOrd="0" destOrd="0" presId="urn:microsoft.com/office/officeart/2005/8/layout/hierarchy4"/>
    <dgm:cxn modelId="{AAB58FF5-5610-484E-A0A8-39A564CEB22E}" type="presParOf" srcId="{6BA168E7-171A-40EA-817C-F048FAD18C3A}" destId="{36EA1B44-2A52-425A-AD07-6700D3F24F28}" srcOrd="1" destOrd="0" presId="urn:microsoft.com/office/officeart/2005/8/layout/hierarchy4"/>
    <dgm:cxn modelId="{C0E23327-B028-4804-8CD7-86D2811D056D}" type="presParOf" srcId="{236495C4-185D-46DB-8D74-C6ABF61540A7}" destId="{201F4201-0E56-4432-A47E-8E216BEF6997}" srcOrd="3" destOrd="0" presId="urn:microsoft.com/office/officeart/2005/8/layout/hierarchy4"/>
    <dgm:cxn modelId="{9F3EDC63-FBDA-4CFF-9491-E8D6607EAA74}" type="presParOf" srcId="{236495C4-185D-46DB-8D74-C6ABF61540A7}" destId="{4204B585-D927-41D6-ACEC-D173B3BB61F2}" srcOrd="4" destOrd="0" presId="urn:microsoft.com/office/officeart/2005/8/layout/hierarchy4"/>
    <dgm:cxn modelId="{A838C2A1-CD0E-4AD3-B479-6D43EA077371}" type="presParOf" srcId="{4204B585-D927-41D6-ACEC-D173B3BB61F2}" destId="{F20BD022-FBFB-4EBF-BB3C-67C02E1BCDF3}" srcOrd="0" destOrd="0" presId="urn:microsoft.com/office/officeart/2005/8/layout/hierarchy4"/>
    <dgm:cxn modelId="{30887C31-0AA0-4590-B51D-8EC8777BF618}" type="presParOf" srcId="{4204B585-D927-41D6-ACEC-D173B3BB61F2}" destId="{A302CA94-DAE4-4A62-B031-939AD9318387}" srcOrd="1" destOrd="0" presId="urn:microsoft.com/office/officeart/2005/8/layout/hierarchy4"/>
    <dgm:cxn modelId="{39F4CF53-727B-44A1-9359-298EDFA06233}" type="presParOf" srcId="{5EE9A53D-4987-4EF9-996D-2CDE755EF51C}" destId="{BB0E497C-F599-467A-9984-AF2176102C9F}" srcOrd="3" destOrd="0" presId="urn:microsoft.com/office/officeart/2005/8/layout/hierarchy4"/>
    <dgm:cxn modelId="{9DF3F89F-4AE1-4948-AC2E-BD9E8F1A3E4C}" type="presParOf" srcId="{5EE9A53D-4987-4EF9-996D-2CDE755EF51C}" destId="{60AAB59E-B935-4B3B-ADCF-26E98F0D6729}" srcOrd="4" destOrd="0" presId="urn:microsoft.com/office/officeart/2005/8/layout/hierarchy4"/>
    <dgm:cxn modelId="{280546B2-1B8D-4A87-898B-78AD012CA210}" type="presParOf" srcId="{60AAB59E-B935-4B3B-ADCF-26E98F0D6729}" destId="{9E670BE1-0D94-49A3-B77F-3D9FFAA40A8E}" srcOrd="0" destOrd="0" presId="urn:microsoft.com/office/officeart/2005/8/layout/hierarchy4"/>
    <dgm:cxn modelId="{2B187B7F-1B65-49D4-82F9-AD319F894782}" type="presParOf" srcId="{60AAB59E-B935-4B3B-ADCF-26E98F0D6729}" destId="{2048C810-3ED9-4EB8-A70E-4AFB24B4F87D}" srcOrd="1" destOrd="0" presId="urn:microsoft.com/office/officeart/2005/8/layout/hierarchy4"/>
    <dgm:cxn modelId="{D9DB1279-EE84-4A3A-9664-8AA741991D94}" type="presParOf" srcId="{60AAB59E-B935-4B3B-ADCF-26E98F0D6729}" destId="{BCABD0C4-5240-46B3-A0D0-9CE83EF77614}" srcOrd="2" destOrd="0" presId="urn:microsoft.com/office/officeart/2005/8/layout/hierarchy4"/>
    <dgm:cxn modelId="{3B5A897B-BC02-4E2C-89BD-536E1F3E14EA}" type="presParOf" srcId="{BCABD0C4-5240-46B3-A0D0-9CE83EF77614}" destId="{D35E77AD-E61D-41D9-A1BF-54830EF9497C}" srcOrd="0" destOrd="0" presId="urn:microsoft.com/office/officeart/2005/8/layout/hierarchy4"/>
    <dgm:cxn modelId="{ADD866C1-91B2-4D2E-9E76-DC6A5B2F43DA}" type="presParOf" srcId="{D35E77AD-E61D-41D9-A1BF-54830EF9497C}" destId="{52E9F729-44BA-410D-A64C-54471C74F1F6}" srcOrd="0" destOrd="0" presId="urn:microsoft.com/office/officeart/2005/8/layout/hierarchy4"/>
    <dgm:cxn modelId="{62773C63-B5B2-4ABD-B99F-281EDEC3702C}" type="presParOf" srcId="{D35E77AD-E61D-41D9-A1BF-54830EF9497C}" destId="{BD8E2BB4-02CF-4AEB-82B9-59CFCC45A539}" srcOrd="1" destOrd="0" presId="urn:microsoft.com/office/officeart/2005/8/layout/hierarchy4"/>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459259-F946-4097-ACA9-3974C7F21439}">
      <dsp:nvSpPr>
        <dsp:cNvPr id="0" name=""/>
        <dsp:cNvSpPr/>
      </dsp:nvSpPr>
      <dsp:spPr>
        <a:xfrm>
          <a:off x="2910" y="398"/>
          <a:ext cx="5937778" cy="33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dirty="0">
              <a:solidFill>
                <a:sysClr val="windowText" lastClr="000000"/>
              </a:solidFill>
              <a:latin typeface="Times New Roman" panose="02020603050405020304" pitchFamily="18" charset="0"/>
              <a:cs typeface="Times New Roman" panose="02020603050405020304" pitchFamily="18" charset="0"/>
            </a:rPr>
            <a:t>Building operation responsible for carbon emission &amp; embodied energy</a:t>
          </a:r>
          <a:endParaRPr lang="en-IN" sz="1050" kern="1200" dirty="0">
            <a:solidFill>
              <a:sysClr val="windowText" lastClr="000000"/>
            </a:solidFill>
            <a:latin typeface="Times New Roman" panose="02020603050405020304" pitchFamily="18" charset="0"/>
            <a:cs typeface="Times New Roman" panose="02020603050405020304" pitchFamily="18" charset="0"/>
          </a:endParaRPr>
        </a:p>
      </dsp:txBody>
      <dsp:txXfrm>
        <a:off x="12817" y="10305"/>
        <a:ext cx="5917964" cy="318443"/>
      </dsp:txXfrm>
    </dsp:sp>
    <dsp:sp modelId="{39FB4AA4-692B-4471-88C0-00AC0B715BB1}">
      <dsp:nvSpPr>
        <dsp:cNvPr id="0" name=""/>
        <dsp:cNvSpPr/>
      </dsp:nvSpPr>
      <dsp:spPr>
        <a:xfrm>
          <a:off x="8706" y="410408"/>
          <a:ext cx="2528776" cy="33825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latin typeface="Times New Roman" panose="02020603050405020304" pitchFamily="18" charset="0"/>
              <a:cs typeface="Times New Roman" panose="02020603050405020304" pitchFamily="18" charset="0"/>
            </a:rPr>
            <a:t>Pre- occupancy</a:t>
          </a:r>
          <a:endParaRPr lang="en-IN"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18613" y="420315"/>
        <a:ext cx="2508962" cy="318443"/>
      </dsp:txXfrm>
    </dsp:sp>
    <dsp:sp modelId="{4F7C2FD6-DAD3-41D5-A9FC-3BF1AF5C51C0}">
      <dsp:nvSpPr>
        <dsp:cNvPr id="0" name=""/>
        <dsp:cNvSpPr/>
      </dsp:nvSpPr>
      <dsp:spPr>
        <a:xfrm>
          <a:off x="20965" y="820418"/>
          <a:ext cx="1083024"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Construction materials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30872" y="830325"/>
        <a:ext cx="1063210" cy="318443"/>
      </dsp:txXfrm>
    </dsp:sp>
    <dsp:sp modelId="{55411F56-4C65-4F70-8826-16E520DCCEF0}">
      <dsp:nvSpPr>
        <dsp:cNvPr id="0" name=""/>
        <dsp:cNvSpPr/>
      </dsp:nvSpPr>
      <dsp:spPr>
        <a:xfrm>
          <a:off x="13638"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Raw material Extraction </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23545" y="1240335"/>
        <a:ext cx="523322" cy="318443"/>
      </dsp:txXfrm>
    </dsp:sp>
    <dsp:sp modelId="{A564BC21-B6E0-459D-A41C-F6CF95A25535}">
      <dsp:nvSpPr>
        <dsp:cNvPr id="0" name=""/>
        <dsp:cNvSpPr/>
      </dsp:nvSpPr>
      <dsp:spPr>
        <a:xfrm>
          <a:off x="568180"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Manufacture of materials</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578087" y="1240335"/>
        <a:ext cx="523322" cy="318443"/>
      </dsp:txXfrm>
    </dsp:sp>
    <dsp:sp modelId="{58BB333A-0488-43ED-BD9C-5F09CBA130DD}">
      <dsp:nvSpPr>
        <dsp:cNvPr id="0" name=""/>
        <dsp:cNvSpPr/>
      </dsp:nvSpPr>
      <dsp:spPr>
        <a:xfrm>
          <a:off x="1134128" y="820418"/>
          <a:ext cx="721778"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Transportation of materials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1144035" y="830325"/>
        <a:ext cx="701964" cy="318443"/>
      </dsp:txXfrm>
    </dsp:sp>
    <dsp:sp modelId="{1F566B68-1A6C-4224-905B-6D4EA61AA5DB}">
      <dsp:nvSpPr>
        <dsp:cNvPr id="0" name=""/>
        <dsp:cNvSpPr/>
      </dsp:nvSpPr>
      <dsp:spPr>
        <a:xfrm>
          <a:off x="1223449"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Diesel</a:t>
          </a:r>
        </a:p>
      </dsp:txBody>
      <dsp:txXfrm>
        <a:off x="1233356" y="1240335"/>
        <a:ext cx="523322" cy="318443"/>
      </dsp:txXfrm>
    </dsp:sp>
    <dsp:sp modelId="{117BD4CC-5FB7-4661-A40E-31846E6E6E43}">
      <dsp:nvSpPr>
        <dsp:cNvPr id="0" name=""/>
        <dsp:cNvSpPr/>
      </dsp:nvSpPr>
      <dsp:spPr>
        <a:xfrm>
          <a:off x="1878718" y="820418"/>
          <a:ext cx="653832" cy="338257"/>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Construction processes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1888625" y="830325"/>
        <a:ext cx="634018" cy="318443"/>
      </dsp:txXfrm>
    </dsp:sp>
    <dsp:sp modelId="{CE8D9576-9C4B-48DD-8188-E3EF651B72D9}">
      <dsp:nvSpPr>
        <dsp:cNvPr id="0" name=""/>
        <dsp:cNvSpPr/>
      </dsp:nvSpPr>
      <dsp:spPr>
        <a:xfrm>
          <a:off x="1934067"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Heavy machinery</a:t>
          </a:r>
        </a:p>
      </dsp:txBody>
      <dsp:txXfrm>
        <a:off x="1943974" y="1240335"/>
        <a:ext cx="523322" cy="318443"/>
      </dsp:txXfrm>
    </dsp:sp>
    <dsp:sp modelId="{91DD569D-D431-4885-ADFA-12273AD98852}">
      <dsp:nvSpPr>
        <dsp:cNvPr id="0" name=""/>
        <dsp:cNvSpPr/>
      </dsp:nvSpPr>
      <dsp:spPr>
        <a:xfrm>
          <a:off x="2583240" y="410408"/>
          <a:ext cx="3351652" cy="33825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latin typeface="Times New Roman" panose="02020603050405020304" pitchFamily="18" charset="0"/>
              <a:cs typeface="Times New Roman" panose="02020603050405020304" pitchFamily="18" charset="0"/>
            </a:rPr>
            <a:t>Post- occupancy</a:t>
          </a:r>
          <a:endParaRPr lang="en-IN"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147" y="420315"/>
        <a:ext cx="3331838" cy="318443"/>
      </dsp:txXfrm>
    </dsp:sp>
    <dsp:sp modelId="{F5FC5AA9-55C9-4181-918C-99FB813030C3}">
      <dsp:nvSpPr>
        <dsp:cNvPr id="0" name=""/>
        <dsp:cNvSpPr/>
      </dsp:nvSpPr>
      <dsp:spPr>
        <a:xfrm>
          <a:off x="2583307" y="820418"/>
          <a:ext cx="1101965"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Operations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214" y="830325"/>
        <a:ext cx="1082151" cy="318443"/>
      </dsp:txXfrm>
    </dsp:sp>
    <dsp:sp modelId="{8A05317E-D5F2-4556-BEBC-324C1B45D34E}">
      <dsp:nvSpPr>
        <dsp:cNvPr id="0" name=""/>
        <dsp:cNvSpPr/>
      </dsp:nvSpPr>
      <dsp:spPr>
        <a:xfrm>
          <a:off x="2583324"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Electricity</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231" y="1240335"/>
        <a:ext cx="525448" cy="318443"/>
      </dsp:txXfrm>
    </dsp:sp>
    <dsp:sp modelId="{E0F8DAD7-A370-4692-A710-7C8062172147}">
      <dsp:nvSpPr>
        <dsp:cNvPr id="0" name=""/>
        <dsp:cNvSpPr/>
      </dsp:nvSpPr>
      <dsp:spPr>
        <a:xfrm>
          <a:off x="3139993"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Cooking gas</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3149900" y="1240335"/>
        <a:ext cx="525448" cy="318443"/>
      </dsp:txXfrm>
    </dsp:sp>
    <dsp:sp modelId="{5B4C45C3-7723-406D-A57E-6A1B4E40AD78}">
      <dsp:nvSpPr>
        <dsp:cNvPr id="0" name=""/>
        <dsp:cNvSpPr/>
      </dsp:nvSpPr>
      <dsp:spPr>
        <a:xfrm>
          <a:off x="3708084" y="820418"/>
          <a:ext cx="1658667" cy="338257"/>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Maintenance</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3717991" y="830325"/>
        <a:ext cx="1638853" cy="318443"/>
      </dsp:txXfrm>
    </dsp:sp>
    <dsp:sp modelId="{412D6954-7376-46A2-BD04-2EDDAEDACC3D}">
      <dsp:nvSpPr>
        <dsp:cNvPr id="0" name=""/>
        <dsp:cNvSpPr/>
      </dsp:nvSpPr>
      <dsp:spPr>
        <a:xfrm>
          <a:off x="3708117"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 Repairs</a:t>
          </a:r>
        </a:p>
      </dsp:txBody>
      <dsp:txXfrm>
        <a:off x="3718024" y="1240335"/>
        <a:ext cx="525448" cy="318443"/>
      </dsp:txXfrm>
    </dsp:sp>
    <dsp:sp modelId="{8B1680DD-B1CF-4FD9-ABF7-FC4BA811CB7F}">
      <dsp:nvSpPr>
        <dsp:cNvPr id="0" name=""/>
        <dsp:cNvSpPr/>
      </dsp:nvSpPr>
      <dsp:spPr>
        <a:xfrm>
          <a:off x="4264786"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Replacement</a:t>
          </a:r>
        </a:p>
      </dsp:txBody>
      <dsp:txXfrm>
        <a:off x="4274693" y="1240335"/>
        <a:ext cx="525448" cy="318443"/>
      </dsp:txXfrm>
    </dsp:sp>
    <dsp:sp modelId="{F20BD022-FBFB-4EBF-BB3C-67C02E1BCDF3}">
      <dsp:nvSpPr>
        <dsp:cNvPr id="0" name=""/>
        <dsp:cNvSpPr/>
      </dsp:nvSpPr>
      <dsp:spPr>
        <a:xfrm>
          <a:off x="4821455"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Upgrades</a:t>
          </a:r>
        </a:p>
      </dsp:txBody>
      <dsp:txXfrm>
        <a:off x="4831362" y="1240335"/>
        <a:ext cx="525448" cy="318443"/>
      </dsp:txXfrm>
    </dsp:sp>
    <dsp:sp modelId="{9E670BE1-0D94-49A3-B77F-3D9FFAA40A8E}">
      <dsp:nvSpPr>
        <dsp:cNvPr id="0" name=""/>
        <dsp:cNvSpPr/>
      </dsp:nvSpPr>
      <dsp:spPr>
        <a:xfrm>
          <a:off x="5389563" y="820418"/>
          <a:ext cx="545262"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User’s Exhalation</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5399470" y="830325"/>
        <a:ext cx="525448" cy="318443"/>
      </dsp:txXfrm>
    </dsp:sp>
    <dsp:sp modelId="{52E9F729-44BA-410D-A64C-54471C74F1F6}">
      <dsp:nvSpPr>
        <dsp:cNvPr id="0" name=""/>
        <dsp:cNvSpPr/>
      </dsp:nvSpPr>
      <dsp:spPr>
        <a:xfrm>
          <a:off x="5389563"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Carbon Dioxide</a:t>
          </a:r>
        </a:p>
      </dsp:txBody>
      <dsp:txXfrm>
        <a:off x="5399470" y="1240335"/>
        <a:ext cx="525448" cy="3184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 dockstate="right" visibility="0" width="438" row="6">
    <wetp:webextensionref xmlns:r="http://schemas.openxmlformats.org/officeDocument/2006/relationships" r:id="rId2"/>
  </wetp:taskpane>
  <wetp:taskpane dockstate="right" visibility="0" width="438" row="5">
    <wetp:webextensionref xmlns:r="http://schemas.openxmlformats.org/officeDocument/2006/relationships" r:id="rId3"/>
  </wetp:taskpane>
  <wetp:taskpane dockstate="right" visibility="0" width="438" row="1">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6936EEED-AF9F-4405-843C-BB3FFBA54D50}">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485C059B-CBF1-40A8-84FE-AA48EDA55A22}">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CAB6EA22-6609-4265-A64B-680FF0DC661B}">
  <we:reference id="wa104380587" version="1.0.0.1" store="en-US" storeType="OMEX"/>
  <we:alternateReferences>
    <we:reference id="WA104380587" version="1.0.0.1" store=""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87007064-D5A5-45FC-82D1-045A7F3B6C28}">
  <we:reference id="wa200005502" version="1.0.0.11" store="en-US" storeType="OMEX"/>
  <we:alternateReferences>
    <we:reference id="WA200005502" version="1.0.0.1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Pet10</b:Tag>
    <b:SourceType>Book</b:SourceType>
    <b:Guid>{77221AE0-417C-4388-A72E-3CED590E9B51}</b:Guid>
    <b:Author>
      <b:Author>
        <b:NameList>
          <b:Person>
            <b:Last>Peter S. Brandon</b:Last>
            <b:First>Patrizia</b:First>
            <b:Middle>Lombardi</b:Middle>
          </b:Person>
        </b:NameList>
      </b:Author>
    </b:Author>
    <b:Title>Evaluating Sustainable Development in the Built Environment</b:Title>
    <b:Year>2010</b:Year>
    <b:Publisher>Wiley</b:Publisher>
    <b:RefOrder>1</b:RefOrder>
  </b:Source>
</b:Sources>
</file>

<file path=customXml/itemProps1.xml><?xml version="1.0" encoding="utf-8"?>
<ds:datastoreItem xmlns:ds="http://schemas.openxmlformats.org/officeDocument/2006/customXml" ds:itemID="{6CE425E9-2382-4B3F-8839-F4B872F0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19</Pages>
  <Words>30108</Words>
  <Characters>171622</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Swechcha Roy;Monika Garg</dc:creator>
  <cp:keywords/>
  <dc:description/>
  <cp:lastModifiedBy>Monika Garg</cp:lastModifiedBy>
  <cp:revision>11</cp:revision>
  <cp:lastPrinted>2026-04-09T08:23:00Z</cp:lastPrinted>
  <dcterms:created xsi:type="dcterms:W3CDTF">2026-04-30T04:57:00Z</dcterms:created>
  <dcterms:modified xsi:type="dcterms:W3CDTF">2026-04-30T16:13:00Z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id="ra2KK2lN"/&gt;&lt;style id="http://www.zotero.org/styles/apa" locale="en-GB" hasBibliography="1" bibliographyStyleHasBeenSet="1"/&gt;&lt;prefs&gt;&lt;pref name="fieldType" value="Field"/&gt;&lt;pref name="automaticJourna</vt:lpwstr>
  </property>
  <property fmtid="{D5CDD505-2E9C-101B-9397-08002B2CF9AE}" pid="3" name="GrammarlyDocumentId">
    <vt:lpwstr>ec41966a-5aaa-4828-8b16-5b24c68080f3</vt:lpwstr>
  </property>
  <property fmtid="{D5CDD505-2E9C-101B-9397-08002B2CF9AE}" pid="4" name="ZOTERO_PREF_2">
    <vt:lpwstr>lAbbreviations" value="true"/&gt;&lt;/prefs&gt;&lt;/data&gt;</vt:lpwstr>
  </property>
</Properties>
</file>