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E6A1" w14:textId="545C672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246B688F"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Homeopathy in Oncology: Therapeutic Insights into Malignant Disease Management</w:t>
      </w:r>
    </w:p>
    <w:p w14:paraId="4797070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Authors</w:t>
      </w:r>
    </w:p>
    <w:p w14:paraId="07F53931" w14:textId="1402F172"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Md Azmal Hossain, PhD Scholar¹</w:t>
      </w:r>
      <w:r w:rsidRPr="0068145A">
        <w:rPr>
          <w:rFonts w:ascii="Times New Roman" w:eastAsia="Times New Roman" w:hAnsi="Times New Roman" w:cs="Times New Roman"/>
          <w:kern w:val="0"/>
          <w:lang w:eastAsia="en-GB"/>
          <w14:ligatures w14:val="none"/>
        </w:rPr>
        <w:br/>
        <w:t>Amiya Nanda Dev Goswami, PhD²</w:t>
      </w:r>
      <w:r w:rsidRPr="0068145A">
        <w:rPr>
          <w:rFonts w:ascii="Times New Roman" w:eastAsia="Times New Roman" w:hAnsi="Times New Roman" w:cs="Times New Roman"/>
          <w:kern w:val="0"/>
          <w:lang w:eastAsia="en-GB"/>
          <w14:ligatures w14:val="none"/>
        </w:rPr>
        <w:br/>
        <w:t>Zubair Mustahid, PhD Scholar</w:t>
      </w:r>
      <w:r w:rsidR="0023742B" w:rsidRPr="0023742B">
        <w:rPr>
          <w:rFonts w:ascii="Times New Roman" w:eastAsia="Times New Roman" w:hAnsi="Times New Roman" w:cs="Times New Roman"/>
          <w:kern w:val="0"/>
          <w:vertAlign w:val="superscript"/>
          <w:lang w:eastAsia="en-GB"/>
          <w14:ligatures w14:val="none"/>
        </w:rPr>
        <w:t>1</w:t>
      </w:r>
    </w:p>
    <w:p w14:paraId="659FAF4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¹Department of Homeopathy, JRN Rajasthan Vidyapeeth (Deemed to be University), Udaipur, India</w:t>
      </w:r>
      <w:r w:rsidRPr="0068145A">
        <w:rPr>
          <w:rFonts w:ascii="Times New Roman" w:eastAsia="Times New Roman" w:hAnsi="Times New Roman" w:cs="Times New Roman"/>
          <w:kern w:val="0"/>
          <w:lang w:eastAsia="en-GB"/>
          <w14:ligatures w14:val="none"/>
        </w:rPr>
        <w:br/>
        <w:t>²RV Homeopathic Medical College &amp; Hospital, Udaipur, India</w:t>
      </w:r>
    </w:p>
    <w:p w14:paraId="3A13B2D3"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Corresponding Author</w:t>
      </w:r>
    </w:p>
    <w:p w14:paraId="20C00A7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Md Azmal Hossain</w:t>
      </w:r>
      <w:r w:rsidRPr="0068145A">
        <w:rPr>
          <w:rFonts w:ascii="Times New Roman" w:eastAsia="Times New Roman" w:hAnsi="Times New Roman" w:cs="Times New Roman"/>
          <w:kern w:val="0"/>
          <w:lang w:eastAsia="en-GB"/>
          <w14:ligatures w14:val="none"/>
        </w:rPr>
        <w:br/>
        <w:t xml:space="preserve">Email: </w:t>
      </w:r>
      <w:hyperlink r:id="rId7" w:history="1">
        <w:r w:rsidRPr="0068145A">
          <w:rPr>
            <w:rFonts w:ascii="Times New Roman" w:eastAsia="Times New Roman" w:hAnsi="Times New Roman" w:cs="Times New Roman"/>
            <w:color w:val="0000FF"/>
            <w:kern w:val="0"/>
            <w:u w:val="single"/>
            <w:lang w:eastAsia="en-GB"/>
            <w14:ligatures w14:val="none"/>
          </w:rPr>
          <w:t>azmal128@gmail.com</w:t>
        </w:r>
      </w:hyperlink>
    </w:p>
    <w:p w14:paraId="025D56F7" w14:textId="77EF1EC2"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51DDE0E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Abstract</w:t>
      </w:r>
    </w:p>
    <w:p w14:paraId="4809C6F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Background</w:t>
      </w:r>
    </w:p>
    <w:p w14:paraId="3A23331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remains a major cause of morbidity and mortality worldwide.¹,² Although modern oncology has advanced through surgery, chemotherapy, radiotherapy, targeted therapy and immunotherapy,³,⁴ many patients continue to suffer from persistent symptom burden, treatment-related toxicity and reduced quality of life.⁵–⁷</w:t>
      </w:r>
    </w:p>
    <w:p w14:paraId="736CFEF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Objective</w:t>
      </w:r>
    </w:p>
    <w:p w14:paraId="377ED16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To describe the potential supportive role of individualized homeopathic treatment in malignant disorders, with emphasis on symptom relief, functional improvement and quality of life.</w:t>
      </w:r>
    </w:p>
    <w:p w14:paraId="17343DC1"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Methods</w:t>
      </w:r>
    </w:p>
    <w:p w14:paraId="4A31C6B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This clinical observational report presents three cases: colon adenocarcinoma, squamous cell carcinoma and cerebellar glioma. Remedies were selected according to classical homeopathic principles, including totality of symptoms, repertorial analysis and Materia Medica confirmation.⁸–¹¹</w:t>
      </w:r>
    </w:p>
    <w:p w14:paraId="72A13D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Results</w:t>
      </w:r>
    </w:p>
    <w:p w14:paraId="2ECB2F2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Clinical observations showed improvement in pain, appetite, sleep, anxiety, vitality and functional capacity. Such symptom-based and quality-of-life outcomes are important in supportive oncology research.¹²,¹³</w:t>
      </w:r>
    </w:p>
    <w:p w14:paraId="43DD497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Conclusion</w:t>
      </w:r>
    </w:p>
    <w:p w14:paraId="1B58CAC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Individualized homeopathy may provide supportive benefit in malignant disorders, particularly in symptom control and quality of life. Further systematic studies are required.</w:t>
      </w:r>
    </w:p>
    <w:p w14:paraId="3867042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Keywords</w:t>
      </w:r>
    </w:p>
    <w:p w14:paraId="63168B2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Homeopathy; oncology; malignant disorders; individualized treatment; repertory; supportive care; quality of life</w:t>
      </w:r>
    </w:p>
    <w:p w14:paraId="72E457B6" w14:textId="2B7BEA8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3D05E272"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Introduction</w:t>
      </w:r>
    </w:p>
    <w:p w14:paraId="25CCF68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Cancer is a complex group of diseases characterized by uncontrolled cellular growth, local invasion and possible metastasis.¹⁴–¹⁶ Despite significant advances in conventional oncology, many patients continue to experience pain, fatigue, nausea, insomnia, anxiety, reduced appetite and impaired quality of life.⁵–⁷</w:t>
      </w:r>
    </w:p>
    <w:p w14:paraId="431A349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Homeopathy is a system of individualized medicine based on the principle of symptom similarity.⁸–¹¹ In oncological practice, homeopathy should be considered as supportive care and not as a substitute for standard evidence-based cancer treatment, because refusal or delay of conventional cancer care may adversely affect survival.²⁰,²¹ Its possible role lies in symptom relief, improvement of general well-being and better tolerance of disease-related suffering.¹⁷–¹⁹</w:t>
      </w:r>
    </w:p>
    <w:p w14:paraId="5F61653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Existing evidence on homeopathy in oncology remains heterogeneous, with some studies reporting quality-of-life benefits and others emphasizing methodological limitations.²²–²⁶ This paper presents three clinical cases to illustrate how individualized homeopathic prescribing may be applied in malignant disorders. Transparent clinical case reporting is important for interpretation, reproducibility and future research.²⁷–²⁹</w:t>
      </w:r>
    </w:p>
    <w:p w14:paraId="62FFB183"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Materials and Methods</w:t>
      </w:r>
    </w:p>
    <w:p w14:paraId="0649EB9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Study Design</w:t>
      </w:r>
    </w:p>
    <w:p w14:paraId="5CDF18F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This is a clinical observational case report describing individualized homeopathic management in three malignant disorders. The reporting approach follows general case-report methodology and homeopathic case-report recommendations.²⁷–²⁹</w:t>
      </w:r>
    </w:p>
    <w:p w14:paraId="75CE1FF6"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Case Selection</w:t>
      </w:r>
    </w:p>
    <w:p w14:paraId="7FAD04D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selected cases included:</w:t>
      </w:r>
    </w:p>
    <w:p w14:paraId="2B9FC2A3"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Colon adenocarcinoma</w:t>
      </w:r>
    </w:p>
    <w:p w14:paraId="2AFABDE9"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Squamous cell carcinoma</w:t>
      </w:r>
    </w:p>
    <w:p w14:paraId="70544D30" w14:textId="77777777" w:rsidR="0068145A" w:rsidRPr="0068145A" w:rsidRDefault="0068145A" w:rsidP="0068145A">
      <w:pPr>
        <w:numPr>
          <w:ilvl w:val="0"/>
          <w:numId w:val="19"/>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Cerebellar glioma</w:t>
      </w:r>
    </w:p>
    <w:p w14:paraId="6D2217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Each case was supported by clinical findings and relevant investigations. Diagnosis and classification of malignant tumours commonly depend on histopathological, radiological and clinicopathological assessment.³⁰</w:t>
      </w:r>
    </w:p>
    <w:p w14:paraId="4FEAC86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Homeopathic Case-Taking</w:t>
      </w:r>
    </w:p>
    <w:p w14:paraId="7D18179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Case-taking included mental and emotional symptoms, physical generals, particular symptoms, modalities, food desires and aversions, thermal state, past history, family history and available clinical investigations. This method follows classical homeopathic principles of individualization and totality of symptoms.⁸–¹¹</w:t>
      </w:r>
    </w:p>
    <w:p w14:paraId="204D46A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Repertorial Analysis and Remedy Selection</w:t>
      </w:r>
    </w:p>
    <w:p w14:paraId="4F9C763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Characteristic symptoms were selected for repertorial analysis. The final remedy was chosen after correlation with Materia Medica and clinical judgment.⁹–¹¹</w:t>
      </w:r>
    </w:p>
    <w:p w14:paraId="40701E5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Outcome Assessment</w:t>
      </w:r>
    </w:p>
    <w:p w14:paraId="284964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Outcomes were assessed through symptom relief, functional improvement, quality of life, clinical stability and follow-up observations. Validated quality-of-life tools, such as the EORTC QLQ-C30, may strengthen future oncology studies.¹²,¹³</w:t>
      </w:r>
    </w:p>
    <w:p w14:paraId="22B45F9C" w14:textId="06991629"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CC49665" w14:textId="77777777" w:rsidR="0068145A" w:rsidRPr="0068145A" w:rsidRDefault="0068145A" w:rsidP="0068145A">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68145A">
        <w:rPr>
          <w:rFonts w:ascii="Times New Roman" w:eastAsia="Times New Roman" w:hAnsi="Times New Roman" w:cs="Times New Roman"/>
          <w:b/>
          <w:bCs/>
          <w:kern w:val="36"/>
          <w:sz w:val="48"/>
          <w:szCs w:val="48"/>
          <w:lang w:eastAsia="en-GB"/>
          <w14:ligatures w14:val="none"/>
        </w:rPr>
        <w:t>Case Presentations</w:t>
      </w:r>
    </w:p>
    <w:p w14:paraId="1CCA9FC6"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1: Colon Adenocarcinoma</w:t>
      </w:r>
    </w:p>
    <w:p w14:paraId="246024CE"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1770BD51"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55-year-old male businessperson from an urban area presented on 24 June 2014 with pain and discomfort in the abdomen. He had obstinate constipation, slow digestion, waterbrash, nausea in the evening and abdominal pain when the stomach was empty. He also had multiple neurofibromas, mostly on the abdominal wall. Urinary flow was not smooth as before the illness.</w:t>
      </w:r>
    </w:p>
    <w:p w14:paraId="5B1B950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A lump was detected in the colon, and surgery was advised. Hemicolectomy was performed, and biopsy confirmed adenocarcinoma of the colon. Histopathological examination remains central to diagnosis and staging of malignant tumours.³⁰ Chemotherapy and radiotherapy were advised, but the patient decided to try homeopathic treatment.</w:t>
      </w:r>
    </w:p>
    <w:p w14:paraId="4C312E1F"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Mental and General Features</w:t>
      </w:r>
    </w:p>
    <w:p w14:paraId="15C3296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patient was courageous and firm in decision-making. Once he decided something, he rarely changed his opinion. He was also superstitious in some matters. He preferred to remain alone and became annoyed when relatives visited. At times, he refused to talk to guests. When alone, he muttered to himself. He had fear of death, irritability from contradiction and gloominess. His wife reported that he frequently wept during deep sleep.</w:t>
      </w:r>
    </w:p>
    <w:p w14:paraId="7B188C4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had a desire for sour and acidic food. Descending aggravated his complaints. He suffered from myalgia and joint pain, especially in the large joints. Constipation had been present for many years, and sometimes he required manual assistance for evacuation. Stool contained mucus. Flatulence was present throughout the day, with abdominal rumbling after meals.</w:t>
      </w:r>
    </w:p>
    <w:p w14:paraId="77CAE95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Clinical Findings</w:t>
      </w:r>
    </w:p>
    <w:p w14:paraId="3E66B58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abdomen was full of flatulence. Pressure over the abdomen, especially the epigastrium, caused pain and startling. Blood pressure was 132/86 mmHg, pulse rate 88/minute and weight 57 kg. He was slightly anaemic. Xanthelasma was present on both sides. The palms and soles were warmer than the rest of the body. Mild pedal oedema was present.</w:t>
      </w:r>
    </w:p>
    <w:p w14:paraId="054FC1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w:t>
      </w:r>
    </w:p>
    <w:p w14:paraId="5FB7BA6E"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01 June 2014: Histopathological examination of the growth from the transverse colon showed well-differentiated adenocarcinoma of the colon, </w:t>
      </w:r>
      <w:proofErr w:type="spellStart"/>
      <w:r w:rsidRPr="0068145A">
        <w:rPr>
          <w:rFonts w:ascii="Times New Roman" w:eastAsia="Times New Roman" w:hAnsi="Times New Roman" w:cs="Times New Roman"/>
          <w:kern w:val="0"/>
          <w:lang w:eastAsia="en-GB"/>
          <w14:ligatures w14:val="none"/>
        </w:rPr>
        <w:t>Astler</w:t>
      </w:r>
      <w:proofErr w:type="spellEnd"/>
      <w:r w:rsidRPr="0068145A">
        <w:rPr>
          <w:rFonts w:ascii="Times New Roman" w:eastAsia="Times New Roman" w:hAnsi="Times New Roman" w:cs="Times New Roman"/>
          <w:kern w:val="0"/>
          <w:lang w:eastAsia="en-GB"/>
          <w14:ligatures w14:val="none"/>
        </w:rPr>
        <w:t>-Coller stage B2.³⁰</w:t>
      </w:r>
    </w:p>
    <w:p w14:paraId="2677F9C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63B6561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following characteristic symptoms were selected:</w:t>
      </w:r>
    </w:p>
    <w:p w14:paraId="65122B9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Superstitious disposition</w:t>
      </w:r>
    </w:p>
    <w:p w14:paraId="051F1B46"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sour food and acidic things</w:t>
      </w:r>
    </w:p>
    <w:p w14:paraId="1565F09F"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Weeping during sleep</w:t>
      </w:r>
    </w:p>
    <w:p w14:paraId="02CCD3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Complaints aggravated while descending</w:t>
      </w:r>
    </w:p>
    <w:p w14:paraId="06D46057" w14:textId="77777777" w:rsidR="0068145A" w:rsidRPr="0068145A" w:rsidRDefault="0068145A" w:rsidP="0068145A">
      <w:pPr>
        <w:numPr>
          <w:ilvl w:val="0"/>
          <w:numId w:val="20"/>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during hunger</w:t>
      </w:r>
    </w:p>
    <w:p w14:paraId="1C8091C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 accordance with the principles of symptom evaluation, the more characteristic symptoms were selected for repertorial analysis.⁸–¹¹</w:t>
      </w:r>
    </w:p>
    <w:p w14:paraId="0B650AD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Repertory Analysis</w:t>
      </w:r>
    </w:p>
    <w:p w14:paraId="3E5D0A32"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superstitious</w:t>
      </w:r>
    </w:p>
    <w:p w14:paraId="125CF19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Generals, food and drinks, sour food, acids, desire</w:t>
      </w:r>
    </w:p>
    <w:p w14:paraId="12AC68A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weeping, sleep, during</w:t>
      </w:r>
    </w:p>
    <w:p w14:paraId="7B367BE4"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descending aggravates</w:t>
      </w:r>
    </w:p>
    <w:p w14:paraId="743BDBC0" w14:textId="77777777" w:rsidR="0068145A" w:rsidRPr="0068145A" w:rsidRDefault="0068145A" w:rsidP="0068145A">
      <w:pPr>
        <w:numPr>
          <w:ilvl w:val="0"/>
          <w:numId w:val="2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pain, hunger, during</w:t>
      </w:r>
    </w:p>
    <w:p w14:paraId="376A539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Prescribed Medicines</w:t>
      </w:r>
    </w:p>
    <w:p w14:paraId="051628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6C, 30C, 200C, 1M</w:t>
      </w:r>
      <w:r w:rsidRPr="0068145A">
        <w:rPr>
          <w:rFonts w:ascii="Times New Roman" w:eastAsia="Times New Roman" w:hAnsi="Times New Roman" w:cs="Times New Roman"/>
          <w:kern w:val="0"/>
          <w:lang w:eastAsia="en-GB"/>
          <w14:ligatures w14:val="none"/>
        </w:rPr>
        <w:br/>
        <w:t>Hyoscyamus 30C, 200C</w:t>
      </w:r>
      <w:r w:rsidRPr="0068145A">
        <w:rPr>
          <w:rFonts w:ascii="Times New Roman" w:eastAsia="Times New Roman" w:hAnsi="Times New Roman" w:cs="Times New Roman"/>
          <w:kern w:val="0"/>
          <w:lang w:eastAsia="en-GB"/>
          <w14:ligatures w14:val="none"/>
        </w:rPr>
        <w:br/>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w:t>
      </w:r>
    </w:p>
    <w:p w14:paraId="3E24D24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Style w:val="PlainTable1"/>
        <w:tblW w:w="0" w:type="auto"/>
        <w:tblLook w:val="04A0" w:firstRow="1" w:lastRow="0" w:firstColumn="1" w:lastColumn="0" w:noHBand="0" w:noVBand="1"/>
      </w:tblPr>
      <w:tblGrid>
        <w:gridCol w:w="1511"/>
        <w:gridCol w:w="4660"/>
        <w:gridCol w:w="3179"/>
      </w:tblGrid>
      <w:tr w:rsidR="0068145A" w:rsidRPr="0068145A" w14:paraId="2DF05434" w14:textId="77777777" w:rsidTr="00E44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A44A9C" w14:textId="77777777" w:rsidR="0068145A" w:rsidRPr="0068145A" w:rsidRDefault="0068145A" w:rsidP="0068145A">
            <w:pPr>
              <w:jc w:val="center"/>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Date</w:t>
            </w:r>
          </w:p>
        </w:tc>
        <w:tc>
          <w:tcPr>
            <w:tcW w:w="0" w:type="auto"/>
            <w:hideMark/>
          </w:tcPr>
          <w:p w14:paraId="2ACF0177"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Complaints / Follow-up</w:t>
            </w:r>
          </w:p>
        </w:tc>
        <w:tc>
          <w:tcPr>
            <w:tcW w:w="0" w:type="auto"/>
            <w:hideMark/>
          </w:tcPr>
          <w:p w14:paraId="6277EDF2"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Medicine</w:t>
            </w:r>
          </w:p>
        </w:tc>
      </w:tr>
      <w:tr w:rsidR="0068145A" w:rsidRPr="0068145A" w14:paraId="45034948"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DB08F5"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July 2014</w:t>
            </w:r>
          </w:p>
        </w:tc>
        <w:tc>
          <w:tcPr>
            <w:tcW w:w="0" w:type="auto"/>
            <w:hideMark/>
          </w:tcPr>
          <w:p w14:paraId="28F39671"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Abdominal pain on empty stomach; obstinacy; constipation; waterbrash; myalgia; neurofibromas; feeble urinary flow</w:t>
            </w:r>
          </w:p>
        </w:tc>
        <w:tc>
          <w:tcPr>
            <w:tcW w:w="0" w:type="auto"/>
            <w:hideMark/>
          </w:tcPr>
          <w:p w14:paraId="23DF350F"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6C, 1 dose in saccharum lactis and 1 dose in distilled water</w:t>
            </w:r>
          </w:p>
        </w:tc>
      </w:tr>
      <w:tr w:rsidR="0068145A" w:rsidRPr="0068145A" w14:paraId="4F05D259"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2A1F17EA"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24 August 2014</w:t>
            </w:r>
          </w:p>
        </w:tc>
        <w:tc>
          <w:tcPr>
            <w:tcW w:w="0" w:type="auto"/>
            <w:hideMark/>
          </w:tcPr>
          <w:p w14:paraId="05E52DCC"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hideMark/>
          </w:tcPr>
          <w:p w14:paraId="441AB104"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4 doses</w:t>
            </w:r>
          </w:p>
        </w:tc>
      </w:tr>
      <w:tr w:rsidR="0068145A" w:rsidRPr="0068145A" w14:paraId="68AF38DB"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638FC0"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28 October 2014</w:t>
            </w:r>
          </w:p>
        </w:tc>
        <w:tc>
          <w:tcPr>
            <w:tcW w:w="0" w:type="auto"/>
            <w:hideMark/>
          </w:tcPr>
          <w:p w14:paraId="5F8E9669"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Feels better</w:t>
            </w:r>
          </w:p>
        </w:tc>
        <w:tc>
          <w:tcPr>
            <w:tcW w:w="0" w:type="auto"/>
            <w:hideMark/>
          </w:tcPr>
          <w:p w14:paraId="7C2D15EE"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30C, 3 doses</w:t>
            </w:r>
          </w:p>
        </w:tc>
      </w:tr>
      <w:tr w:rsidR="0068145A" w:rsidRPr="0068145A" w14:paraId="596F50DE"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25250AE4"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December 2014</w:t>
            </w:r>
          </w:p>
        </w:tc>
        <w:tc>
          <w:tcPr>
            <w:tcW w:w="0" w:type="auto"/>
            <w:hideMark/>
          </w:tcPr>
          <w:p w14:paraId="191FA4CC"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w:t>
            </w:r>
          </w:p>
        </w:tc>
        <w:tc>
          <w:tcPr>
            <w:tcW w:w="0" w:type="auto"/>
            <w:hideMark/>
          </w:tcPr>
          <w:p w14:paraId="6E01E306"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200C, 3 doses</w:t>
            </w:r>
          </w:p>
        </w:tc>
      </w:tr>
      <w:tr w:rsidR="0068145A" w:rsidRPr="0068145A" w14:paraId="2D257B29"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7E3FE0"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March 2015</w:t>
            </w:r>
          </w:p>
        </w:tc>
        <w:tc>
          <w:tcPr>
            <w:tcW w:w="0" w:type="auto"/>
            <w:hideMark/>
          </w:tcPr>
          <w:p w14:paraId="6C652513"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 follow-up</w:t>
            </w:r>
          </w:p>
        </w:tc>
        <w:tc>
          <w:tcPr>
            <w:tcW w:w="0" w:type="auto"/>
            <w:hideMark/>
          </w:tcPr>
          <w:p w14:paraId="7F4C4CA6"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Stramonium 1M, 3 doses</w:t>
            </w:r>
          </w:p>
        </w:tc>
      </w:tr>
      <w:tr w:rsidR="0068145A" w:rsidRPr="0068145A" w14:paraId="1E446E65"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11F29B4E"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26 March 2015</w:t>
            </w:r>
          </w:p>
        </w:tc>
        <w:tc>
          <w:tcPr>
            <w:tcW w:w="0" w:type="auto"/>
            <w:hideMark/>
          </w:tcPr>
          <w:p w14:paraId="233CB6C9"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Involuntary bloody stool; colic with vomiting</w:t>
            </w:r>
          </w:p>
        </w:tc>
        <w:tc>
          <w:tcPr>
            <w:tcW w:w="0" w:type="auto"/>
            <w:hideMark/>
          </w:tcPr>
          <w:p w14:paraId="6B3D0061"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0F6546D3"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BD469"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29 July 2015</w:t>
            </w:r>
          </w:p>
        </w:tc>
        <w:tc>
          <w:tcPr>
            <w:tcW w:w="0" w:type="auto"/>
            <w:hideMark/>
          </w:tcPr>
          <w:p w14:paraId="72209110"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Better</w:t>
            </w:r>
          </w:p>
        </w:tc>
        <w:tc>
          <w:tcPr>
            <w:tcW w:w="0" w:type="auto"/>
            <w:hideMark/>
          </w:tcPr>
          <w:p w14:paraId="666A199B"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30C, 3 doses</w:t>
            </w:r>
          </w:p>
        </w:tc>
      </w:tr>
      <w:tr w:rsidR="0068145A" w:rsidRPr="0068145A" w14:paraId="6E0656D7"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3B5AB544"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13 October 2015</w:t>
            </w:r>
          </w:p>
        </w:tc>
        <w:tc>
          <w:tcPr>
            <w:tcW w:w="0" w:type="auto"/>
            <w:hideMark/>
          </w:tcPr>
          <w:p w14:paraId="21E8B66A"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Pain and complaints almost absent</w:t>
            </w:r>
          </w:p>
        </w:tc>
        <w:tc>
          <w:tcPr>
            <w:tcW w:w="0" w:type="auto"/>
            <w:hideMark/>
          </w:tcPr>
          <w:p w14:paraId="77AAC9A2"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Hyoscyamus 200C, 3 doses</w:t>
            </w:r>
          </w:p>
        </w:tc>
      </w:tr>
      <w:tr w:rsidR="0068145A" w:rsidRPr="0068145A" w14:paraId="00DDE75C"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3E7437"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25 December 2019</w:t>
            </w:r>
          </w:p>
        </w:tc>
        <w:tc>
          <w:tcPr>
            <w:tcW w:w="0" w:type="auto"/>
            <w:hideMark/>
          </w:tcPr>
          <w:p w14:paraId="6AFD0A11"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Well; only neurofibromas remained</w:t>
            </w:r>
          </w:p>
        </w:tc>
        <w:tc>
          <w:tcPr>
            <w:tcW w:w="0" w:type="auto"/>
            <w:hideMark/>
          </w:tcPr>
          <w:p w14:paraId="08780ED6"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1 dose</w:t>
            </w:r>
          </w:p>
        </w:tc>
      </w:tr>
    </w:tbl>
    <w:p w14:paraId="5C01701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3E350622" w14:textId="1916CFCB"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After </w:t>
      </w:r>
      <w:proofErr w:type="spellStart"/>
      <w:r w:rsidRPr="0068145A">
        <w:rPr>
          <w:rFonts w:ascii="Times New Roman" w:eastAsia="Times New Roman" w:hAnsi="Times New Roman" w:cs="Times New Roman"/>
          <w:kern w:val="0"/>
          <w:lang w:eastAsia="en-GB"/>
          <w14:ligatures w14:val="none"/>
        </w:rPr>
        <w:t>repertori</w:t>
      </w:r>
      <w:r w:rsidR="006C06D3">
        <w:rPr>
          <w:rFonts w:ascii="Times New Roman" w:eastAsia="Times New Roman" w:hAnsi="Times New Roman" w:cs="Times New Roman"/>
          <w:kern w:val="0"/>
          <w:lang w:eastAsia="en-GB"/>
          <w14:ligatures w14:val="none"/>
        </w:rPr>
        <w:t>z</w:t>
      </w:r>
      <w:r w:rsidRPr="0068145A">
        <w:rPr>
          <w:rFonts w:ascii="Times New Roman" w:eastAsia="Times New Roman" w:hAnsi="Times New Roman" w:cs="Times New Roman"/>
          <w:kern w:val="0"/>
          <w:lang w:eastAsia="en-GB"/>
          <w14:ligatures w14:val="none"/>
        </w:rPr>
        <w:t>ation</w:t>
      </w:r>
      <w:proofErr w:type="spellEnd"/>
      <w:r w:rsidRPr="0068145A">
        <w:rPr>
          <w:rFonts w:ascii="Times New Roman" w:eastAsia="Times New Roman" w:hAnsi="Times New Roman" w:cs="Times New Roman"/>
          <w:kern w:val="0"/>
          <w:lang w:eastAsia="en-GB"/>
          <w14:ligatures w14:val="none"/>
        </w:rPr>
        <w:t xml:space="preserve"> using Synthesis Repertory, Edition 9.1, Stramonium emerged as the indicated remedy.⁹–¹¹ Although it is not specifically listed under cancerous affections or colon cancer, the remedy was prescribed according to the totality of symptoms. The response was favourable, and the patient’s condition gradually improved.</w:t>
      </w:r>
    </w:p>
    <w:p w14:paraId="133910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When improvement became stationary, the case was reviewed, and Hyoscyamus appeared more suitable. It was prescribed in different potencies with remarkable results. Finally,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30C was given as an anti-</w:t>
      </w:r>
      <w:proofErr w:type="spellStart"/>
      <w:r w:rsidRPr="0068145A">
        <w:rPr>
          <w:rFonts w:ascii="Times New Roman" w:eastAsia="Times New Roman" w:hAnsi="Times New Roman" w:cs="Times New Roman"/>
          <w:kern w:val="0"/>
          <w:lang w:eastAsia="en-GB"/>
          <w14:ligatures w14:val="none"/>
        </w:rPr>
        <w:t>miasmatic</w:t>
      </w:r>
      <w:proofErr w:type="spellEnd"/>
      <w:r w:rsidRPr="0068145A">
        <w:rPr>
          <w:rFonts w:ascii="Times New Roman" w:eastAsia="Times New Roman" w:hAnsi="Times New Roman" w:cs="Times New Roman"/>
          <w:kern w:val="0"/>
          <w:lang w:eastAsia="en-GB"/>
          <w14:ligatures w14:val="none"/>
        </w:rPr>
        <w:t xml:space="preserve"> remedy. The patient took the last medicine on 31 January 2021. Since then, he has remained symptom-free and declined further biopsy.</w:t>
      </w:r>
    </w:p>
    <w:p w14:paraId="0F27E569" w14:textId="39F3D0AD"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0898A7F8"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2: Squamous Cell Carcinoma</w:t>
      </w:r>
    </w:p>
    <w:p w14:paraId="637078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CD595FF"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75-year-old retired male from a rural area presented on 3 September 2023 with a wart-like cutaneous growth on the right forearm, measuring approximately 7.5 × 6.0 cm. The lesion was associated with severe itching and crusting. It was hard, dry and occasionally moist, with a thick keratotic layer. The lesion was gradually extending.</w:t>
      </w:r>
    </w:p>
    <w:p w14:paraId="58E84A9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Itching was aggravated by sun exposure, especially while walking outdoors. Although the lesion was prominent, it was painless. The patient kept the limb covered to avoid social attention. He also had nocturnal itching of the scalp.</w:t>
      </w:r>
    </w:p>
    <w:p w14:paraId="6281DBA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Associated Complaints</w:t>
      </w:r>
    </w:p>
    <w:p w14:paraId="2AD5090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had nocturnal urinary incontinence with increased frequency of urination at night. Appetite was poor. Sleep was non-restorative, with frequent dreams. He slept early and woke early. He remained cheerful and smiling during consultation. Chronic constipation was present. He had a strong desire for sour food, especially pickles.</w:t>
      </w:r>
    </w:p>
    <w:p w14:paraId="49C876E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Past History</w:t>
      </w:r>
    </w:p>
    <w:p w14:paraId="2A869DE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 frequently suffered from skin eruptions in young age. He had malaria around the age of 25 or 26 years. He had cough and cold in childhood, as reported by his parents. He received smallpox vaccination in childhood.</w:t>
      </w:r>
    </w:p>
    <w:p w14:paraId="0964E89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Personal History</w:t>
      </w:r>
    </w:p>
    <w:p w14:paraId="7F3C70E6"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He used to smoke </w:t>
      </w:r>
      <w:proofErr w:type="spellStart"/>
      <w:r w:rsidRPr="0068145A">
        <w:rPr>
          <w:rFonts w:ascii="Times New Roman" w:eastAsia="Times New Roman" w:hAnsi="Times New Roman" w:cs="Times New Roman"/>
          <w:kern w:val="0"/>
          <w:lang w:eastAsia="en-GB"/>
          <w14:ligatures w14:val="none"/>
        </w:rPr>
        <w:t>biri</w:t>
      </w:r>
      <w:proofErr w:type="spellEnd"/>
      <w:r w:rsidRPr="0068145A">
        <w:rPr>
          <w:rFonts w:ascii="Times New Roman" w:eastAsia="Times New Roman" w:hAnsi="Times New Roman" w:cs="Times New Roman"/>
          <w:kern w:val="0"/>
          <w:lang w:eastAsia="en-GB"/>
          <w14:ligatures w14:val="none"/>
        </w:rPr>
        <w:t>. He desired sour food. During puberty, he had frequent nocturnal emissions, after which he felt very weak. Libido remained weak. He had performed hard physical work throughout life. He was tall, thin and emaciated.</w:t>
      </w:r>
    </w:p>
    <w:p w14:paraId="4CC4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Family History</w:t>
      </w:r>
    </w:p>
    <w:p w14:paraId="1CCB888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His father died of stroke in old age. His mother had chronic cold and rheumatic pain in different parts of the body. There was no family history of cancer, diabetes or any other serious disease.</w:t>
      </w:r>
    </w:p>
    <w:p w14:paraId="2C5B5ECE" w14:textId="77777777" w:rsidR="00E44D99" w:rsidRDefault="00E44D99"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47406061" w14:textId="27F2E581"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Investigations</w:t>
      </w:r>
    </w:p>
    <w:p w14:paraId="0BBE46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29 August 2023: FNAC from right forearm lesion showed squamous cell carcinoma. Cutaneous squamous cell carcinoma is commonly diagnosed through cytological or histopathological </w:t>
      </w:r>
      <w:r w:rsidRPr="0068145A">
        <w:rPr>
          <w:rFonts w:ascii="Times New Roman" w:eastAsia="Times New Roman" w:hAnsi="Times New Roman" w:cs="Times New Roman"/>
          <w:kern w:val="0"/>
          <w:lang w:eastAsia="en-GB"/>
          <w14:ligatures w14:val="none"/>
        </w:rPr>
        <w:lastRenderedPageBreak/>
        <w:t>examination.³¹</w:t>
      </w:r>
      <w:r w:rsidRPr="0068145A">
        <w:rPr>
          <w:rFonts w:ascii="Times New Roman" w:eastAsia="Times New Roman" w:hAnsi="Times New Roman" w:cs="Times New Roman"/>
          <w:kern w:val="0"/>
          <w:lang w:eastAsia="en-GB"/>
          <w14:ligatures w14:val="none"/>
        </w:rPr>
        <w:br/>
        <w:t xml:space="preserve">01 September 2024: Report showed </w:t>
      </w:r>
      <w:proofErr w:type="spellStart"/>
      <w:r w:rsidRPr="0068145A">
        <w:rPr>
          <w:rFonts w:ascii="Times New Roman" w:eastAsia="Times New Roman" w:hAnsi="Times New Roman" w:cs="Times New Roman"/>
          <w:kern w:val="0"/>
          <w:lang w:eastAsia="en-GB"/>
          <w14:ligatures w14:val="none"/>
        </w:rPr>
        <w:t>squamoproliferative</w:t>
      </w:r>
      <w:proofErr w:type="spellEnd"/>
      <w:r w:rsidRPr="0068145A">
        <w:rPr>
          <w:rFonts w:ascii="Times New Roman" w:eastAsia="Times New Roman" w:hAnsi="Times New Roman" w:cs="Times New Roman"/>
          <w:kern w:val="0"/>
          <w:lang w:eastAsia="en-GB"/>
          <w14:ligatures w14:val="none"/>
        </w:rPr>
        <w:t xml:space="preserve"> lesion with nuclear atypia.</w:t>
      </w:r>
    </w:p>
    <w:p w14:paraId="1DAFE179"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Evaluation of Symptoms</w:t>
      </w:r>
    </w:p>
    <w:p w14:paraId="7F69AA1B"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Hard warts on the skin</w:t>
      </w:r>
    </w:p>
    <w:p w14:paraId="13AFD522"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Horny nature of warts</w:t>
      </w:r>
    </w:p>
    <w:p w14:paraId="5B902E79"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Crusty skin eruptions</w:t>
      </w:r>
    </w:p>
    <w:p w14:paraId="4553CFD8"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Lively and cheerful temperament</w:t>
      </w:r>
    </w:p>
    <w:p w14:paraId="3B595CEC"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Old age</w:t>
      </w:r>
    </w:p>
    <w:p w14:paraId="6E4EA033"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Aggravation from sun exposure</w:t>
      </w:r>
    </w:p>
    <w:p w14:paraId="5964B5E5" w14:textId="77777777" w:rsidR="0068145A" w:rsidRPr="0068145A" w:rsidRDefault="0068145A" w:rsidP="0068145A">
      <w:pPr>
        <w:numPr>
          <w:ilvl w:val="0"/>
          <w:numId w:val="22"/>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Strong desire for sour food</w:t>
      </w:r>
    </w:p>
    <w:p w14:paraId="07A2E54A"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Repertory Analysis</w:t>
      </w:r>
    </w:p>
    <w:p w14:paraId="0F430C39"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hard</w:t>
      </w:r>
    </w:p>
    <w:p w14:paraId="1A388CFF"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warts, horny</w:t>
      </w:r>
    </w:p>
    <w:p w14:paraId="0685E583"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Skin, eruptions, crusty</w:t>
      </w:r>
    </w:p>
    <w:p w14:paraId="59C28205"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vivacious</w:t>
      </w:r>
    </w:p>
    <w:p w14:paraId="1602D2D6"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old age</w:t>
      </w:r>
    </w:p>
    <w:p w14:paraId="055F0721"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sun, exposure to sun</w:t>
      </w:r>
    </w:p>
    <w:p w14:paraId="29A136FC" w14:textId="77777777" w:rsidR="0068145A" w:rsidRPr="0068145A" w:rsidRDefault="0068145A" w:rsidP="0068145A">
      <w:pPr>
        <w:numPr>
          <w:ilvl w:val="0"/>
          <w:numId w:val="23"/>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sour food, acid, desire</w:t>
      </w:r>
    </w:p>
    <w:p w14:paraId="28C72BA7"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Style w:val="PlainTable1"/>
        <w:tblW w:w="0" w:type="auto"/>
        <w:tblLook w:val="04A0" w:firstRow="1" w:lastRow="0" w:firstColumn="1" w:lastColumn="0" w:noHBand="0" w:noVBand="1"/>
      </w:tblPr>
      <w:tblGrid>
        <w:gridCol w:w="1696"/>
        <w:gridCol w:w="3262"/>
        <w:gridCol w:w="1621"/>
        <w:gridCol w:w="1183"/>
        <w:gridCol w:w="1588"/>
      </w:tblGrid>
      <w:tr w:rsidR="0068145A" w:rsidRPr="0068145A" w14:paraId="523DF4AE" w14:textId="77777777" w:rsidTr="00E44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7BE271CB" w14:textId="77777777" w:rsidR="0068145A" w:rsidRPr="0068145A" w:rsidRDefault="0068145A" w:rsidP="0068145A">
            <w:pPr>
              <w:jc w:val="center"/>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Date</w:t>
            </w:r>
          </w:p>
        </w:tc>
        <w:tc>
          <w:tcPr>
            <w:tcW w:w="3262" w:type="dxa"/>
            <w:hideMark/>
          </w:tcPr>
          <w:p w14:paraId="39346791"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Symptoms / Follow-up</w:t>
            </w:r>
          </w:p>
        </w:tc>
        <w:tc>
          <w:tcPr>
            <w:tcW w:w="0" w:type="auto"/>
            <w:hideMark/>
          </w:tcPr>
          <w:p w14:paraId="2A75F208"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Medicine</w:t>
            </w:r>
          </w:p>
        </w:tc>
        <w:tc>
          <w:tcPr>
            <w:tcW w:w="0" w:type="auto"/>
            <w:hideMark/>
          </w:tcPr>
          <w:p w14:paraId="09D2D3E8"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Potency / Dose</w:t>
            </w:r>
          </w:p>
        </w:tc>
        <w:tc>
          <w:tcPr>
            <w:tcW w:w="0" w:type="auto"/>
            <w:hideMark/>
          </w:tcPr>
          <w:p w14:paraId="78182B31"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Remarks</w:t>
            </w:r>
          </w:p>
        </w:tc>
      </w:tr>
      <w:tr w:rsidR="0068145A" w:rsidRPr="0068145A" w14:paraId="4492B28E"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2DE0970C"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September 2023</w:t>
            </w:r>
          </w:p>
        </w:tc>
        <w:tc>
          <w:tcPr>
            <w:tcW w:w="3262" w:type="dxa"/>
            <w:hideMark/>
          </w:tcPr>
          <w:p w14:paraId="1C0F670D"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Warty growth; hard, horny lesion; itching &lt; warmth; cheerful; desire for sour food;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background</w:t>
            </w:r>
          </w:p>
        </w:tc>
        <w:tc>
          <w:tcPr>
            <w:tcW w:w="0" w:type="auto"/>
            <w:hideMark/>
          </w:tcPr>
          <w:p w14:paraId="15F12056"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hideMark/>
          </w:tcPr>
          <w:p w14:paraId="5E724913"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 / 3 doses</w:t>
            </w:r>
          </w:p>
        </w:tc>
        <w:tc>
          <w:tcPr>
            <w:tcW w:w="0" w:type="auto"/>
            <w:hideMark/>
          </w:tcPr>
          <w:p w14:paraId="616A42D4"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Initial prescription</w:t>
            </w:r>
          </w:p>
        </w:tc>
      </w:tr>
      <w:tr w:rsidR="0068145A" w:rsidRPr="0068145A" w14:paraId="3F30C481" w14:textId="77777777" w:rsidTr="00E44D99">
        <w:tc>
          <w:tcPr>
            <w:cnfStyle w:val="001000000000" w:firstRow="0" w:lastRow="0" w:firstColumn="1" w:lastColumn="0" w:oddVBand="0" w:evenVBand="0" w:oddHBand="0" w:evenHBand="0" w:firstRowFirstColumn="0" w:firstRowLastColumn="0" w:lastRowFirstColumn="0" w:lastRowLastColumn="0"/>
            <w:tcW w:w="1696" w:type="dxa"/>
            <w:hideMark/>
          </w:tcPr>
          <w:p w14:paraId="4AD8CEDF"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December 2023</w:t>
            </w:r>
          </w:p>
        </w:tc>
        <w:tc>
          <w:tcPr>
            <w:tcW w:w="3262" w:type="dxa"/>
            <w:hideMark/>
          </w:tcPr>
          <w:p w14:paraId="7A852051"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 change</w:t>
            </w:r>
          </w:p>
        </w:tc>
        <w:tc>
          <w:tcPr>
            <w:tcW w:w="0" w:type="auto"/>
            <w:hideMark/>
          </w:tcPr>
          <w:p w14:paraId="6035C56D"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hideMark/>
          </w:tcPr>
          <w:p w14:paraId="09E3C623"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 / 3 doses</w:t>
            </w:r>
          </w:p>
        </w:tc>
        <w:tc>
          <w:tcPr>
            <w:tcW w:w="0" w:type="auto"/>
            <w:hideMark/>
          </w:tcPr>
          <w:p w14:paraId="0234D089"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Re-evaluation</w:t>
            </w:r>
          </w:p>
        </w:tc>
      </w:tr>
      <w:tr w:rsidR="0068145A" w:rsidRPr="0068145A" w14:paraId="760BC9C7"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CEF4D33"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February 2024</w:t>
            </w:r>
          </w:p>
        </w:tc>
        <w:tc>
          <w:tcPr>
            <w:tcW w:w="3262" w:type="dxa"/>
            <w:hideMark/>
          </w:tcPr>
          <w:p w14:paraId="1371812F"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hideMark/>
          </w:tcPr>
          <w:p w14:paraId="0475B1E2"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hideMark/>
          </w:tcPr>
          <w:p w14:paraId="3235DB5B"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Same</w:t>
            </w:r>
          </w:p>
        </w:tc>
        <w:tc>
          <w:tcPr>
            <w:tcW w:w="0" w:type="auto"/>
            <w:hideMark/>
          </w:tcPr>
          <w:p w14:paraId="572D0AFF"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3232DD91" w14:textId="77777777" w:rsidTr="00E44D99">
        <w:tc>
          <w:tcPr>
            <w:cnfStyle w:val="001000000000" w:firstRow="0" w:lastRow="0" w:firstColumn="1" w:lastColumn="0" w:oddVBand="0" w:evenVBand="0" w:oddHBand="0" w:evenHBand="0" w:firstRowFirstColumn="0" w:firstRowLastColumn="0" w:lastRowFirstColumn="0" w:lastRowLastColumn="0"/>
            <w:tcW w:w="1696" w:type="dxa"/>
            <w:hideMark/>
          </w:tcPr>
          <w:p w14:paraId="3D48BBC6"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07 April 2024</w:t>
            </w:r>
          </w:p>
        </w:tc>
        <w:tc>
          <w:tcPr>
            <w:tcW w:w="3262" w:type="dxa"/>
            <w:hideMark/>
          </w:tcPr>
          <w:p w14:paraId="2A5864BC"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More than 70% improved</w:t>
            </w:r>
          </w:p>
        </w:tc>
        <w:tc>
          <w:tcPr>
            <w:tcW w:w="0" w:type="auto"/>
            <w:hideMark/>
          </w:tcPr>
          <w:p w14:paraId="1C1D56EB"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hideMark/>
          </w:tcPr>
          <w:p w14:paraId="2C9C27F3"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hideMark/>
          </w:tcPr>
          <w:p w14:paraId="7DB5600D"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Potency raised</w:t>
            </w:r>
          </w:p>
        </w:tc>
      </w:tr>
      <w:tr w:rsidR="0068145A" w:rsidRPr="0068145A" w14:paraId="4B7A741F"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646ACD7A"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04 November 2024</w:t>
            </w:r>
          </w:p>
        </w:tc>
        <w:tc>
          <w:tcPr>
            <w:tcW w:w="3262" w:type="dxa"/>
            <w:hideMark/>
          </w:tcPr>
          <w:p w14:paraId="7059BE4C"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Action slow</w:t>
            </w:r>
          </w:p>
        </w:tc>
        <w:tc>
          <w:tcPr>
            <w:tcW w:w="0" w:type="auto"/>
            <w:hideMark/>
          </w:tcPr>
          <w:p w14:paraId="3DE668EA"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p>
        </w:tc>
        <w:tc>
          <w:tcPr>
            <w:tcW w:w="0" w:type="auto"/>
            <w:hideMark/>
          </w:tcPr>
          <w:p w14:paraId="4B53A3DC"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3 doses</w:t>
            </w:r>
          </w:p>
        </w:tc>
        <w:tc>
          <w:tcPr>
            <w:tcW w:w="0" w:type="auto"/>
            <w:hideMark/>
          </w:tcPr>
          <w:p w14:paraId="62C21A5E"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5872CF54" w14:textId="77777777" w:rsidTr="00E44D99">
        <w:tc>
          <w:tcPr>
            <w:cnfStyle w:val="001000000000" w:firstRow="0" w:lastRow="0" w:firstColumn="1" w:lastColumn="0" w:oddVBand="0" w:evenVBand="0" w:oddHBand="0" w:evenHBand="0" w:firstRowFirstColumn="0" w:firstRowLastColumn="0" w:lastRowFirstColumn="0" w:lastRowLastColumn="0"/>
            <w:tcW w:w="1696" w:type="dxa"/>
            <w:hideMark/>
          </w:tcPr>
          <w:p w14:paraId="33C59949"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June 2025</w:t>
            </w:r>
          </w:p>
        </w:tc>
        <w:tc>
          <w:tcPr>
            <w:tcW w:w="3262" w:type="dxa"/>
            <w:hideMark/>
          </w:tcPr>
          <w:p w14:paraId="3E965F0F"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Improvement slow; change of weather aggravates</w:t>
            </w:r>
          </w:p>
        </w:tc>
        <w:tc>
          <w:tcPr>
            <w:tcW w:w="0" w:type="auto"/>
            <w:hideMark/>
          </w:tcPr>
          <w:p w14:paraId="29C99E9D"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hideMark/>
          </w:tcPr>
          <w:p w14:paraId="36D6B08C"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3 doses</w:t>
            </w:r>
          </w:p>
        </w:tc>
        <w:tc>
          <w:tcPr>
            <w:tcW w:w="0" w:type="auto"/>
            <w:hideMark/>
          </w:tcPr>
          <w:p w14:paraId="653FB796"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New symptom totality</w:t>
            </w:r>
          </w:p>
        </w:tc>
      </w:tr>
      <w:tr w:rsidR="0068145A" w:rsidRPr="0068145A" w14:paraId="0AA7578D"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hideMark/>
          </w:tcPr>
          <w:p w14:paraId="4788C18D"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23 December 2025</w:t>
            </w:r>
          </w:p>
        </w:tc>
        <w:tc>
          <w:tcPr>
            <w:tcW w:w="3262" w:type="dxa"/>
            <w:hideMark/>
          </w:tcPr>
          <w:p w14:paraId="6476179C"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w:t>
            </w:r>
          </w:p>
        </w:tc>
        <w:tc>
          <w:tcPr>
            <w:tcW w:w="0" w:type="auto"/>
            <w:hideMark/>
          </w:tcPr>
          <w:p w14:paraId="2174B043"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Dulcamara</w:t>
            </w:r>
          </w:p>
        </w:tc>
        <w:tc>
          <w:tcPr>
            <w:tcW w:w="0" w:type="auto"/>
            <w:hideMark/>
          </w:tcPr>
          <w:p w14:paraId="149AC618"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10M / 1 dose</w:t>
            </w:r>
          </w:p>
        </w:tc>
        <w:tc>
          <w:tcPr>
            <w:tcW w:w="0" w:type="auto"/>
            <w:hideMark/>
          </w:tcPr>
          <w:p w14:paraId="10AE52B3"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Continued</w:t>
            </w:r>
          </w:p>
        </w:tc>
      </w:tr>
      <w:tr w:rsidR="0068145A" w:rsidRPr="0068145A" w14:paraId="7836435C" w14:textId="77777777" w:rsidTr="00E44D99">
        <w:tc>
          <w:tcPr>
            <w:cnfStyle w:val="001000000000" w:firstRow="0" w:lastRow="0" w:firstColumn="1" w:lastColumn="0" w:oddVBand="0" w:evenVBand="0" w:oddHBand="0" w:evenHBand="0" w:firstRowFirstColumn="0" w:firstRowLastColumn="0" w:lastRowFirstColumn="0" w:lastRowLastColumn="0"/>
            <w:tcW w:w="1696" w:type="dxa"/>
            <w:hideMark/>
          </w:tcPr>
          <w:p w14:paraId="50D66A61"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February 2026</w:t>
            </w:r>
          </w:p>
        </w:tc>
        <w:tc>
          <w:tcPr>
            <w:tcW w:w="3262" w:type="dxa"/>
            <w:hideMark/>
          </w:tcPr>
          <w:p w14:paraId="4CBBE0E2"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Improving but slow</w:t>
            </w:r>
          </w:p>
        </w:tc>
        <w:tc>
          <w:tcPr>
            <w:tcW w:w="0" w:type="auto"/>
            <w:hideMark/>
          </w:tcPr>
          <w:p w14:paraId="5EAF092E"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Thuja occidentalis</w:t>
            </w:r>
          </w:p>
        </w:tc>
        <w:tc>
          <w:tcPr>
            <w:tcW w:w="0" w:type="auto"/>
            <w:hideMark/>
          </w:tcPr>
          <w:p w14:paraId="7C0003B2"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 / 1 dose</w:t>
            </w:r>
          </w:p>
        </w:tc>
        <w:tc>
          <w:tcPr>
            <w:tcW w:w="0" w:type="auto"/>
            <w:hideMark/>
          </w:tcPr>
          <w:p w14:paraId="279AC9A3"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Intercurrent</w:t>
            </w:r>
          </w:p>
        </w:tc>
      </w:tr>
    </w:tbl>
    <w:p w14:paraId="54C315C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Result</w:t>
      </w:r>
    </w:p>
    <w:p w14:paraId="5B269E8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Initially, Thuja occidentalis was prescribed because it is commonly considered in warty or papillomatous growths. In this case, however, no appreciable response was observed. It may have produced a limited constitutional effect on the underlying </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tendency, but this could not be objectively verified.</w:t>
      </w:r>
    </w:p>
    <w:p w14:paraId="739D505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After re-evaluation and repertorial analysis,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was selected because it corresponded more closely to the symptom picture.⁹–¹¹ After this change, the lesion showed rapid and sustained improvement, with more than 70% reduction within six months.</w:t>
      </w:r>
    </w:p>
    <w:p w14:paraId="7520715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During follow-up, Dulcamara was prescribed when a new symptom cluster appeared. It was followed by continued improvement. Later, Thuja occidentalis was again prescribed as an intercurrent anti-</w:t>
      </w:r>
      <w:proofErr w:type="spellStart"/>
      <w:r w:rsidRPr="0068145A">
        <w:rPr>
          <w:rFonts w:ascii="Times New Roman" w:eastAsia="Times New Roman" w:hAnsi="Times New Roman" w:cs="Times New Roman"/>
          <w:kern w:val="0"/>
          <w:lang w:eastAsia="en-GB"/>
          <w14:ligatures w14:val="none"/>
        </w:rPr>
        <w:t>sycotic</w:t>
      </w:r>
      <w:proofErr w:type="spellEnd"/>
      <w:r w:rsidRPr="0068145A">
        <w:rPr>
          <w:rFonts w:ascii="Times New Roman" w:eastAsia="Times New Roman" w:hAnsi="Times New Roman" w:cs="Times New Roman"/>
          <w:kern w:val="0"/>
          <w:lang w:eastAsia="en-GB"/>
          <w14:ligatures w14:val="none"/>
        </w:rPr>
        <w:t xml:space="preserve"> remedy. The patient remains under observation with ongoing monitoring of the lesion and general health.</w:t>
      </w:r>
    </w:p>
    <w:p w14:paraId="78A854E4" w14:textId="59995603"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6CCDA3A4"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Case 3: Cerebellar Glioma</w:t>
      </w:r>
    </w:p>
    <w:p w14:paraId="280BAB50"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Patient Information</w:t>
      </w:r>
    </w:p>
    <w:p w14:paraId="62B7E2B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 45-year-old female patient from a rural area presented on 15 July 2013 with persistent pulsatile headache, worse after meals and extending to the orbital region. She also had progressive visual impairment, usually occurring with aggravation of headache.</w:t>
      </w:r>
    </w:p>
    <w:p w14:paraId="438191B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complained of chronic abdominal distension and bloating, worse in the evening. Milk aggravated her gastrointestinal symptoms. After hysterectomy, she developed persistent abdominal bloating with intermittent vomiting. She was also hypertensive.</w:t>
      </w:r>
    </w:p>
    <w:p w14:paraId="5CBF463C"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Medical and Surgical History</w:t>
      </w:r>
    </w:p>
    <w:p w14:paraId="30F64D3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She had undergone total hysterectomy three months earlier for uterine fibroids and excessive uterine bleeding, probably associated with perimenopausal changes. She also had a history of lacunar infarction.</w:t>
      </w:r>
    </w:p>
    <w:p w14:paraId="73FCA2D2"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Neuropsychiatric Symptoms</w:t>
      </w:r>
    </w:p>
    <w:p w14:paraId="3DFF57D0"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In the evening, she became quiet and spoke very little. She was highly sensitive to sound, especially loud noise. She felt anxious about safety and feared falling. Her eyesight became weak, and she had difficulty recognizing objects. She tired easily and developed palpitations on slight exertion. She felt too hot and desired cold drinks and cold food. She became irritable when contradicted.</w:t>
      </w:r>
    </w:p>
    <w:p w14:paraId="5F399E83" w14:textId="77777777" w:rsidR="00E44D99" w:rsidRDefault="00E44D99"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7D89444" w14:textId="4850CF9D"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Investigations</w:t>
      </w:r>
    </w:p>
    <w:p w14:paraId="1ABCB60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03 February 2013 – Blood Biochemistry</w:t>
      </w:r>
      <w:r w:rsidRPr="0068145A">
        <w:rPr>
          <w:rFonts w:ascii="Times New Roman" w:eastAsia="Times New Roman" w:hAnsi="Times New Roman" w:cs="Times New Roman"/>
          <w:kern w:val="0"/>
          <w:lang w:eastAsia="en-GB"/>
          <w14:ligatures w14:val="none"/>
        </w:rPr>
        <w:br/>
        <w:t>Fasting blood sugar: 116 mg/dL</w:t>
      </w:r>
      <w:r w:rsidRPr="0068145A">
        <w:rPr>
          <w:rFonts w:ascii="Times New Roman" w:eastAsia="Times New Roman" w:hAnsi="Times New Roman" w:cs="Times New Roman"/>
          <w:kern w:val="0"/>
          <w:lang w:eastAsia="en-GB"/>
          <w14:ligatures w14:val="none"/>
        </w:rPr>
        <w:br/>
        <w:t>Serum creatinine: 0.8 mg/dL</w:t>
      </w:r>
    </w:p>
    <w:p w14:paraId="54A0867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14 February 2013 – Haematology and Serology</w:t>
      </w:r>
      <w:r w:rsidRPr="0068145A">
        <w:rPr>
          <w:rFonts w:ascii="Times New Roman" w:eastAsia="Times New Roman" w:hAnsi="Times New Roman" w:cs="Times New Roman"/>
          <w:kern w:val="0"/>
          <w:lang w:eastAsia="en-GB"/>
          <w14:ligatures w14:val="none"/>
        </w:rPr>
        <w:br/>
        <w:t>Blood group: B positive</w:t>
      </w:r>
      <w:r w:rsidRPr="0068145A">
        <w:rPr>
          <w:rFonts w:ascii="Times New Roman" w:eastAsia="Times New Roman" w:hAnsi="Times New Roman" w:cs="Times New Roman"/>
          <w:kern w:val="0"/>
          <w:lang w:eastAsia="en-GB"/>
          <w14:ligatures w14:val="none"/>
        </w:rPr>
        <w:br/>
        <w:t>WBC: 7000/cu mm</w:t>
      </w:r>
      <w:r w:rsidRPr="0068145A">
        <w:rPr>
          <w:rFonts w:ascii="Times New Roman" w:eastAsia="Times New Roman" w:hAnsi="Times New Roman" w:cs="Times New Roman"/>
          <w:kern w:val="0"/>
          <w:lang w:eastAsia="en-GB"/>
          <w14:ligatures w14:val="none"/>
        </w:rPr>
        <w:br/>
        <w:t>Neutrophils: 59%</w:t>
      </w:r>
      <w:r w:rsidRPr="0068145A">
        <w:rPr>
          <w:rFonts w:ascii="Times New Roman" w:eastAsia="Times New Roman" w:hAnsi="Times New Roman" w:cs="Times New Roman"/>
          <w:kern w:val="0"/>
          <w:lang w:eastAsia="en-GB"/>
          <w14:ligatures w14:val="none"/>
        </w:rPr>
        <w:br/>
        <w:t>Eosinophils: 4%</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t>Lymphocytes: 31%</w:t>
      </w:r>
      <w:r w:rsidRPr="0068145A">
        <w:rPr>
          <w:rFonts w:ascii="Times New Roman" w:eastAsia="Times New Roman" w:hAnsi="Times New Roman" w:cs="Times New Roman"/>
          <w:kern w:val="0"/>
          <w:lang w:eastAsia="en-GB"/>
          <w14:ligatures w14:val="none"/>
        </w:rPr>
        <w:br/>
        <w:t>Monocytes: 6%</w:t>
      </w:r>
      <w:r w:rsidRPr="0068145A">
        <w:rPr>
          <w:rFonts w:ascii="Times New Roman" w:eastAsia="Times New Roman" w:hAnsi="Times New Roman" w:cs="Times New Roman"/>
          <w:kern w:val="0"/>
          <w:lang w:eastAsia="en-GB"/>
          <w14:ligatures w14:val="none"/>
        </w:rPr>
        <w:br/>
        <w:t>Platelet count: 215,000/cu mm</w:t>
      </w:r>
      <w:r w:rsidRPr="0068145A">
        <w:rPr>
          <w:rFonts w:ascii="Times New Roman" w:eastAsia="Times New Roman" w:hAnsi="Times New Roman" w:cs="Times New Roman"/>
          <w:kern w:val="0"/>
          <w:lang w:eastAsia="en-GB"/>
          <w14:ligatures w14:val="none"/>
        </w:rPr>
        <w:br/>
        <w:t>ESR: 35 mm in the first hour</w:t>
      </w:r>
      <w:r w:rsidRPr="0068145A">
        <w:rPr>
          <w:rFonts w:ascii="Times New Roman" w:eastAsia="Times New Roman" w:hAnsi="Times New Roman" w:cs="Times New Roman"/>
          <w:kern w:val="0"/>
          <w:lang w:eastAsia="en-GB"/>
          <w14:ligatures w14:val="none"/>
        </w:rPr>
        <w:br/>
        <w:t>TSH: 3.19 µIU/mL</w:t>
      </w:r>
    </w:p>
    <w:p w14:paraId="2D5314C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08 June 2013 – CT Scan of Brain</w:t>
      </w:r>
      <w:r w:rsidRPr="0068145A">
        <w:rPr>
          <w:rFonts w:ascii="Times New Roman" w:eastAsia="Times New Roman" w:hAnsi="Times New Roman" w:cs="Times New Roman"/>
          <w:kern w:val="0"/>
          <w:lang w:eastAsia="en-GB"/>
          <w14:ligatures w14:val="none"/>
        </w:rPr>
        <w:br/>
        <w:t xml:space="preserve">Posterior fossa mass involving the right cerebellar hemisphere with mass effect. Radiological impression: </w:t>
      </w:r>
      <w:r w:rsidRPr="0068145A">
        <w:rPr>
          <w:rFonts w:ascii="Times New Roman" w:eastAsia="Times New Roman" w:hAnsi="Times New Roman" w:cs="Times New Roman"/>
          <w:b/>
          <w:bCs/>
          <w:kern w:val="0"/>
          <w:lang w:eastAsia="en-GB"/>
          <w14:ligatures w14:val="none"/>
        </w:rPr>
        <w:t>low-grade glioma</w:t>
      </w:r>
      <w:r w:rsidRPr="0068145A">
        <w:rPr>
          <w:rFonts w:ascii="Times New Roman" w:eastAsia="Times New Roman" w:hAnsi="Times New Roman" w:cs="Times New Roman"/>
          <w:kern w:val="0"/>
          <w:lang w:eastAsia="en-GB"/>
          <w14:ligatures w14:val="none"/>
        </w:rPr>
        <w:t>. Brain tumours require correlation of clinical features, imaging and histopathology wherever possible.³,⁴ Lacunar infarction in the pons. Bilateral ethmoidal sinusitis.</w:t>
      </w:r>
    </w:p>
    <w:p w14:paraId="67506A0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Follow-up CT Scan of Brain</w:t>
      </w:r>
      <w:r w:rsidRPr="0068145A">
        <w:rPr>
          <w:rFonts w:ascii="Times New Roman" w:eastAsia="Times New Roman" w:hAnsi="Times New Roman" w:cs="Times New Roman"/>
          <w:kern w:val="0"/>
          <w:lang w:eastAsia="en-GB"/>
          <w14:ligatures w14:val="none"/>
        </w:rPr>
        <w:br/>
        <w:t>Right cerebellar infarction. Bilateral periventricular white matter lacunar infarctions.</w:t>
      </w:r>
    </w:p>
    <w:p w14:paraId="12FFC18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Blood Biochemistry</w:t>
      </w:r>
      <w:r w:rsidRPr="0068145A">
        <w:rPr>
          <w:rFonts w:ascii="Times New Roman" w:eastAsia="Times New Roman" w:hAnsi="Times New Roman" w:cs="Times New Roman"/>
          <w:kern w:val="0"/>
          <w:lang w:eastAsia="en-GB"/>
          <w14:ligatures w14:val="none"/>
        </w:rPr>
        <w:br/>
        <w:t>Fasting blood sugar: 165 mg/dL</w:t>
      </w:r>
      <w:r w:rsidRPr="0068145A">
        <w:rPr>
          <w:rFonts w:ascii="Times New Roman" w:eastAsia="Times New Roman" w:hAnsi="Times New Roman" w:cs="Times New Roman"/>
          <w:kern w:val="0"/>
          <w:lang w:eastAsia="en-GB"/>
          <w14:ligatures w14:val="none"/>
        </w:rPr>
        <w:br/>
        <w:t>Postprandial blood sugar: 312 mg/dL</w:t>
      </w:r>
      <w:r w:rsidRPr="0068145A">
        <w:rPr>
          <w:rFonts w:ascii="Times New Roman" w:eastAsia="Times New Roman" w:hAnsi="Times New Roman" w:cs="Times New Roman"/>
          <w:kern w:val="0"/>
          <w:lang w:eastAsia="en-GB"/>
          <w14:ligatures w14:val="none"/>
        </w:rPr>
        <w:br/>
        <w:t>Serum urea: 16 mg/dL</w:t>
      </w:r>
      <w:r w:rsidRPr="0068145A">
        <w:rPr>
          <w:rFonts w:ascii="Times New Roman" w:eastAsia="Times New Roman" w:hAnsi="Times New Roman" w:cs="Times New Roman"/>
          <w:kern w:val="0"/>
          <w:lang w:eastAsia="en-GB"/>
          <w14:ligatures w14:val="none"/>
        </w:rPr>
        <w:br/>
        <w:t>Serum creatinine: 0.6 mg/dL</w:t>
      </w:r>
      <w:r w:rsidRPr="0068145A">
        <w:rPr>
          <w:rFonts w:ascii="Times New Roman" w:eastAsia="Times New Roman" w:hAnsi="Times New Roman" w:cs="Times New Roman"/>
          <w:kern w:val="0"/>
          <w:lang w:eastAsia="en-GB"/>
          <w14:ligatures w14:val="none"/>
        </w:rPr>
        <w:br/>
        <w:t>HBsAg: Negative</w:t>
      </w:r>
    </w:p>
    <w:p w14:paraId="78AFC947"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16 March 2017 – Haematology</w:t>
      </w:r>
      <w:r w:rsidRPr="0068145A">
        <w:rPr>
          <w:rFonts w:ascii="Times New Roman" w:eastAsia="Times New Roman" w:hAnsi="Times New Roman" w:cs="Times New Roman"/>
          <w:kern w:val="0"/>
          <w:lang w:eastAsia="en-GB"/>
          <w14:ligatures w14:val="none"/>
        </w:rPr>
        <w:br/>
        <w:t>Haemoglobin: 13.4 g/dL</w:t>
      </w:r>
      <w:r w:rsidRPr="0068145A">
        <w:rPr>
          <w:rFonts w:ascii="Times New Roman" w:eastAsia="Times New Roman" w:hAnsi="Times New Roman" w:cs="Times New Roman"/>
          <w:kern w:val="0"/>
          <w:lang w:eastAsia="en-GB"/>
          <w14:ligatures w14:val="none"/>
        </w:rPr>
        <w:br/>
        <w:t>WBC: 4900/cu mm</w:t>
      </w:r>
      <w:r w:rsidRPr="0068145A">
        <w:rPr>
          <w:rFonts w:ascii="Times New Roman" w:eastAsia="Times New Roman" w:hAnsi="Times New Roman" w:cs="Times New Roman"/>
          <w:kern w:val="0"/>
          <w:lang w:eastAsia="en-GB"/>
          <w14:ligatures w14:val="none"/>
        </w:rPr>
        <w:br/>
        <w:t>Neutrophils: 57%</w:t>
      </w:r>
      <w:r w:rsidRPr="0068145A">
        <w:rPr>
          <w:rFonts w:ascii="Times New Roman" w:eastAsia="Times New Roman" w:hAnsi="Times New Roman" w:cs="Times New Roman"/>
          <w:kern w:val="0"/>
          <w:lang w:eastAsia="en-GB"/>
          <w14:ligatures w14:val="none"/>
        </w:rPr>
        <w:br/>
        <w:t>Eosinophils: 8%</w:t>
      </w:r>
      <w:r w:rsidRPr="0068145A">
        <w:rPr>
          <w:rFonts w:ascii="Times New Roman" w:eastAsia="Times New Roman" w:hAnsi="Times New Roman" w:cs="Times New Roman"/>
          <w:kern w:val="0"/>
          <w:lang w:eastAsia="en-GB"/>
          <w14:ligatures w14:val="none"/>
        </w:rPr>
        <w:br/>
        <w:t>Basophils: 0%</w:t>
      </w:r>
      <w:r w:rsidRPr="0068145A">
        <w:rPr>
          <w:rFonts w:ascii="Times New Roman" w:eastAsia="Times New Roman" w:hAnsi="Times New Roman" w:cs="Times New Roman"/>
          <w:kern w:val="0"/>
          <w:lang w:eastAsia="en-GB"/>
          <w14:ligatures w14:val="none"/>
        </w:rPr>
        <w:br/>
        <w:t>Lymphocytes: 32%</w:t>
      </w:r>
      <w:r w:rsidRPr="0068145A">
        <w:rPr>
          <w:rFonts w:ascii="Times New Roman" w:eastAsia="Times New Roman" w:hAnsi="Times New Roman" w:cs="Times New Roman"/>
          <w:kern w:val="0"/>
          <w:lang w:eastAsia="en-GB"/>
          <w14:ligatures w14:val="none"/>
        </w:rPr>
        <w:br/>
        <w:t>Monocytes: 3%</w:t>
      </w:r>
      <w:r w:rsidRPr="0068145A">
        <w:rPr>
          <w:rFonts w:ascii="Times New Roman" w:eastAsia="Times New Roman" w:hAnsi="Times New Roman" w:cs="Times New Roman"/>
          <w:kern w:val="0"/>
          <w:lang w:eastAsia="en-GB"/>
          <w14:ligatures w14:val="none"/>
        </w:rPr>
        <w:br/>
        <w:t>ESR: 18 mm in the first hour</w:t>
      </w:r>
    </w:p>
    <w:p w14:paraId="7B64C438" w14:textId="77777777" w:rsidR="00E44D99" w:rsidRDefault="00E44D99"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0AC9B151" w14:textId="4082F7AF"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lastRenderedPageBreak/>
        <w:t>Evaluation of Symptoms</w:t>
      </w:r>
    </w:p>
    <w:p w14:paraId="76A421F3"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distended in the evening</w:t>
      </w:r>
    </w:p>
    <w:p w14:paraId="11B769F5"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Milk aggravates complaints</w:t>
      </w:r>
    </w:p>
    <w:p w14:paraId="4468871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extends to the eyes</w:t>
      </w:r>
    </w:p>
    <w:p w14:paraId="791341D6"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Headache worse after menstruation</w:t>
      </w:r>
    </w:p>
    <w:p w14:paraId="72D1AFB1"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Irritability during menstruation</w:t>
      </w:r>
    </w:p>
    <w:p w14:paraId="714E0A5D"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Taciturn in the evening</w:t>
      </w:r>
    </w:p>
    <w:p w14:paraId="59F095BC"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Dim vision during headache</w:t>
      </w:r>
    </w:p>
    <w:p w14:paraId="7DAD2230" w14:textId="77777777" w:rsidR="0068145A" w:rsidRPr="0068145A" w:rsidRDefault="0068145A" w:rsidP="0068145A">
      <w:pPr>
        <w:numPr>
          <w:ilvl w:val="0"/>
          <w:numId w:val="24"/>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Desire for cold food</w:t>
      </w:r>
    </w:p>
    <w:p w14:paraId="760583EB"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Repertorial Analysis</w:t>
      </w:r>
    </w:p>
    <w:p w14:paraId="4CA2D192"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Abdomen, distension, evening</w:t>
      </w:r>
    </w:p>
    <w:p w14:paraId="1D4EA9FB"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milk aggravates</w:t>
      </w:r>
    </w:p>
    <w:p w14:paraId="6DDBB0C9"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extending to eyes</w:t>
      </w:r>
    </w:p>
    <w:p w14:paraId="201A0E7A"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Head, pain, menses, after, aggravates</w:t>
      </w:r>
    </w:p>
    <w:p w14:paraId="22AA10C0"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irritability, menses, during</w:t>
      </w:r>
    </w:p>
    <w:p w14:paraId="71515297"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Mind, taciturn, evening</w:t>
      </w:r>
    </w:p>
    <w:p w14:paraId="57DA5793"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Vision, dim, headache during</w:t>
      </w:r>
    </w:p>
    <w:p w14:paraId="6E5E91D1" w14:textId="77777777" w:rsidR="0068145A" w:rsidRPr="0068145A" w:rsidRDefault="0068145A" w:rsidP="0068145A">
      <w:pPr>
        <w:numPr>
          <w:ilvl w:val="0"/>
          <w:numId w:val="25"/>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Generals, food and drinks, cold food, desire</w:t>
      </w:r>
    </w:p>
    <w:p w14:paraId="3D0D02F3" w14:textId="77777777"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Prescription Timeline</w:t>
      </w:r>
    </w:p>
    <w:tbl>
      <w:tblPr>
        <w:tblStyle w:val="PlainTable1"/>
        <w:tblW w:w="0" w:type="auto"/>
        <w:tblLook w:val="04A0" w:firstRow="1" w:lastRow="0" w:firstColumn="1" w:lastColumn="0" w:noHBand="0" w:noVBand="1"/>
      </w:tblPr>
      <w:tblGrid>
        <w:gridCol w:w="2163"/>
        <w:gridCol w:w="2290"/>
        <w:gridCol w:w="1030"/>
      </w:tblGrid>
      <w:tr w:rsidR="0068145A" w:rsidRPr="0068145A" w14:paraId="1141C776" w14:textId="77777777" w:rsidTr="00E44D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370011" w14:textId="77777777" w:rsidR="0068145A" w:rsidRPr="0068145A" w:rsidRDefault="0068145A" w:rsidP="0068145A">
            <w:pPr>
              <w:jc w:val="center"/>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Date</w:t>
            </w:r>
          </w:p>
        </w:tc>
        <w:tc>
          <w:tcPr>
            <w:tcW w:w="0" w:type="auto"/>
            <w:hideMark/>
          </w:tcPr>
          <w:p w14:paraId="540A5335"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Medicine</w:t>
            </w:r>
          </w:p>
        </w:tc>
        <w:tc>
          <w:tcPr>
            <w:tcW w:w="0" w:type="auto"/>
            <w:hideMark/>
          </w:tcPr>
          <w:p w14:paraId="2B26F996" w14:textId="77777777" w:rsidR="0068145A" w:rsidRPr="0068145A" w:rsidRDefault="0068145A" w:rsidP="0068145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GB"/>
                <w14:ligatures w14:val="none"/>
              </w:rPr>
            </w:pPr>
            <w:r w:rsidRPr="0068145A">
              <w:rPr>
                <w:rFonts w:ascii="Times New Roman" w:eastAsia="Times New Roman" w:hAnsi="Times New Roman" w:cs="Times New Roman"/>
                <w:kern w:val="0"/>
                <w:lang w:eastAsia="en-GB"/>
                <w14:ligatures w14:val="none"/>
              </w:rPr>
              <w:t>Potency</w:t>
            </w:r>
          </w:p>
        </w:tc>
      </w:tr>
      <w:tr w:rsidR="0068145A" w:rsidRPr="0068145A" w14:paraId="5675D7DE"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8DB6C9"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15 June 2013</w:t>
            </w:r>
          </w:p>
        </w:tc>
        <w:tc>
          <w:tcPr>
            <w:tcW w:w="0" w:type="auto"/>
            <w:hideMark/>
          </w:tcPr>
          <w:p w14:paraId="0EAA0A59"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2C5BBD31"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32C4C0F1"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01E73C0A"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July 2013</w:t>
            </w:r>
          </w:p>
        </w:tc>
        <w:tc>
          <w:tcPr>
            <w:tcW w:w="0" w:type="auto"/>
            <w:hideMark/>
          </w:tcPr>
          <w:p w14:paraId="1EF6FDB0"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046F094F"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0B1CB555"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2A9B97"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11 September 2013</w:t>
            </w:r>
          </w:p>
        </w:tc>
        <w:tc>
          <w:tcPr>
            <w:tcW w:w="0" w:type="auto"/>
            <w:hideMark/>
          </w:tcPr>
          <w:p w14:paraId="1A9FD8FC"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0153E8F5"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6E8B684A"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67652571"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27 October 2013</w:t>
            </w:r>
          </w:p>
        </w:tc>
        <w:tc>
          <w:tcPr>
            <w:tcW w:w="0" w:type="auto"/>
            <w:hideMark/>
          </w:tcPr>
          <w:p w14:paraId="2E5A41CC"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579AF3E4"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2632122"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2CBF63"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March 2014</w:t>
            </w:r>
          </w:p>
        </w:tc>
        <w:tc>
          <w:tcPr>
            <w:tcW w:w="0" w:type="auto"/>
            <w:hideMark/>
          </w:tcPr>
          <w:p w14:paraId="50B7375E"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1FD3FB79"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1F5CCA5"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4FFAD677"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2014</w:t>
            </w:r>
          </w:p>
        </w:tc>
        <w:tc>
          <w:tcPr>
            <w:tcW w:w="0" w:type="auto"/>
            <w:hideMark/>
          </w:tcPr>
          <w:p w14:paraId="65026726"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283C076E"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08A102CE"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B8ACEE"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05 November 2015</w:t>
            </w:r>
          </w:p>
        </w:tc>
        <w:tc>
          <w:tcPr>
            <w:tcW w:w="0" w:type="auto"/>
            <w:hideMark/>
          </w:tcPr>
          <w:p w14:paraId="60CF223E"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hideMark/>
          </w:tcPr>
          <w:p w14:paraId="05618110"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2001A5BD"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23F550F6"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01 February 2016</w:t>
            </w:r>
          </w:p>
        </w:tc>
        <w:tc>
          <w:tcPr>
            <w:tcW w:w="0" w:type="auto"/>
            <w:hideMark/>
          </w:tcPr>
          <w:p w14:paraId="152FA2B8"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hideMark/>
          </w:tcPr>
          <w:p w14:paraId="5F822CE8"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200C</w:t>
            </w:r>
          </w:p>
        </w:tc>
      </w:tr>
      <w:tr w:rsidR="0068145A" w:rsidRPr="0068145A" w14:paraId="25680134"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3FF4E3"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10 May 2016</w:t>
            </w:r>
          </w:p>
        </w:tc>
        <w:tc>
          <w:tcPr>
            <w:tcW w:w="0" w:type="auto"/>
            <w:hideMark/>
          </w:tcPr>
          <w:p w14:paraId="02A28F45"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Pulsatilla nigra</w:t>
            </w:r>
          </w:p>
        </w:tc>
        <w:tc>
          <w:tcPr>
            <w:tcW w:w="0" w:type="auto"/>
            <w:hideMark/>
          </w:tcPr>
          <w:p w14:paraId="315F05A3"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1M</w:t>
            </w:r>
          </w:p>
        </w:tc>
      </w:tr>
      <w:tr w:rsidR="0068145A" w:rsidRPr="0068145A" w14:paraId="73A12AD5" w14:textId="77777777" w:rsidTr="00E44D99">
        <w:tc>
          <w:tcPr>
            <w:cnfStyle w:val="001000000000" w:firstRow="0" w:lastRow="0" w:firstColumn="1" w:lastColumn="0" w:oddVBand="0" w:evenVBand="0" w:oddHBand="0" w:evenHBand="0" w:firstRowFirstColumn="0" w:firstRowLastColumn="0" w:lastRowFirstColumn="0" w:lastRowLastColumn="0"/>
            <w:tcW w:w="0" w:type="auto"/>
            <w:hideMark/>
          </w:tcPr>
          <w:p w14:paraId="22030135"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18 October 2016</w:t>
            </w:r>
          </w:p>
        </w:tc>
        <w:tc>
          <w:tcPr>
            <w:tcW w:w="0" w:type="auto"/>
            <w:hideMark/>
          </w:tcPr>
          <w:p w14:paraId="68521582"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p>
        </w:tc>
        <w:tc>
          <w:tcPr>
            <w:tcW w:w="0" w:type="auto"/>
            <w:hideMark/>
          </w:tcPr>
          <w:p w14:paraId="30101277" w14:textId="77777777" w:rsidR="0068145A" w:rsidRPr="0068145A" w:rsidRDefault="0068145A" w:rsidP="0068145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r w:rsidR="0068145A" w:rsidRPr="0068145A" w14:paraId="54CA4C48" w14:textId="77777777" w:rsidTr="00E44D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F511C9" w14:textId="77777777" w:rsidR="0068145A" w:rsidRPr="0068145A" w:rsidRDefault="0068145A" w:rsidP="0068145A">
            <w:pPr>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20 March 2017</w:t>
            </w:r>
          </w:p>
        </w:tc>
        <w:tc>
          <w:tcPr>
            <w:tcW w:w="0" w:type="auto"/>
            <w:hideMark/>
          </w:tcPr>
          <w:p w14:paraId="3CB80EC8"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Phosphorus</w:t>
            </w:r>
          </w:p>
        </w:tc>
        <w:tc>
          <w:tcPr>
            <w:tcW w:w="0" w:type="auto"/>
            <w:hideMark/>
          </w:tcPr>
          <w:p w14:paraId="7C1BE26C" w14:textId="77777777" w:rsidR="0068145A" w:rsidRPr="0068145A" w:rsidRDefault="0068145A" w:rsidP="006814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30C</w:t>
            </w:r>
          </w:p>
        </w:tc>
      </w:tr>
    </w:tbl>
    <w:p w14:paraId="033FD2CC" w14:textId="77777777" w:rsidR="00C017BF" w:rsidRDefault="00C017BF"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p>
    <w:p w14:paraId="6FDD5A84" w14:textId="1E74D5EE" w:rsidR="0068145A" w:rsidRPr="0068145A" w:rsidRDefault="0068145A" w:rsidP="0068145A">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68145A">
        <w:rPr>
          <w:rFonts w:ascii="Times New Roman" w:eastAsia="Times New Roman" w:hAnsi="Times New Roman" w:cs="Times New Roman"/>
          <w:b/>
          <w:bCs/>
          <w:kern w:val="0"/>
          <w:sz w:val="27"/>
          <w:szCs w:val="27"/>
          <w:lang w:eastAsia="en-GB"/>
          <w14:ligatures w14:val="none"/>
        </w:rPr>
        <w:t>Result</w:t>
      </w:r>
    </w:p>
    <w:p w14:paraId="19E67D88"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Under individualized homeopathic management, the patient showed gradual and sustained clinical improvement. The main symptom complex, especially chronic headache with neurological complaints, progressively improved after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Stability was maintained during follow-up.</w:t>
      </w:r>
    </w:p>
    <w:p w14:paraId="3A6A7C62"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After the main complaints improved, mild residual symptoms persisted, including photophobia and intermittent intercostal pain. These improved after Phosphorus 30C, and no further active medicine was required at that stage.</w:t>
      </w:r>
    </w:p>
    <w:p w14:paraId="22329B5D"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During approximately four years of follow-up, the patient reported cessation of recurrent headache and improved tolerance of neurological symptoms, indicating sustained symptomatic remission and improved general status.</w:t>
      </w:r>
    </w:p>
    <w:p w14:paraId="0A7EF782" w14:textId="6A8590C5"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43E9FCF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Discussion</w:t>
      </w:r>
    </w:p>
    <w:p w14:paraId="029A2ED4"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three cases show the clinical application of individualized homeopathy in malignant disorders. The cases included colon adenocarcinoma, squamous cell carcinoma and cerebellar glioma, each confirmed or supported by clinical and investigative findings. Medicine selection was based on the totality of symptoms, not on the cancer diagnosis alone.⁸–¹¹</w:t>
      </w:r>
    </w:p>
    <w:p w14:paraId="70033D1A"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Mental generals, physical generals, modalities, cravings, peculiar symptoms, repertorial analysis and Materia Medica confirmation guided the prescriptions. This method is consistent with classical homeopathic prescribing principles and structured case-reporting recommendations.⁸–¹¹,²⁷–²⁹</w:t>
      </w:r>
    </w:p>
    <w:p w14:paraId="474BF03B"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The remedies used included Stramonium, Hyoscyamus, </w:t>
      </w:r>
      <w:proofErr w:type="spellStart"/>
      <w:r w:rsidRPr="0068145A">
        <w:rPr>
          <w:rFonts w:ascii="Times New Roman" w:eastAsia="Times New Roman" w:hAnsi="Times New Roman" w:cs="Times New Roman"/>
          <w:kern w:val="0"/>
          <w:lang w:eastAsia="en-GB"/>
          <w14:ligatures w14:val="none"/>
        </w:rPr>
        <w:t>Carcinocin</w:t>
      </w:r>
      <w:proofErr w:type="spellEnd"/>
      <w:r w:rsidRPr="0068145A">
        <w:rPr>
          <w:rFonts w:ascii="Times New Roman" w:eastAsia="Times New Roman" w:hAnsi="Times New Roman" w:cs="Times New Roman"/>
          <w:kern w:val="0"/>
          <w:lang w:eastAsia="en-GB"/>
          <w14:ligatures w14:val="none"/>
        </w:rPr>
        <w:t xml:space="preserve">, Thuja occidentalis, </w:t>
      </w:r>
      <w:proofErr w:type="spellStart"/>
      <w:r w:rsidRPr="0068145A">
        <w:rPr>
          <w:rFonts w:ascii="Times New Roman" w:eastAsia="Times New Roman" w:hAnsi="Times New Roman" w:cs="Times New Roman"/>
          <w:kern w:val="0"/>
          <w:lang w:eastAsia="en-GB"/>
          <w14:ligatures w14:val="none"/>
        </w:rPr>
        <w:t>Antimonium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crudum</w:t>
      </w:r>
      <w:proofErr w:type="spellEnd"/>
      <w:r w:rsidRPr="0068145A">
        <w:rPr>
          <w:rFonts w:ascii="Times New Roman" w:eastAsia="Times New Roman" w:hAnsi="Times New Roman" w:cs="Times New Roman"/>
          <w:kern w:val="0"/>
          <w:lang w:eastAsia="en-GB"/>
          <w14:ligatures w14:val="none"/>
        </w:rPr>
        <w:t xml:space="preserve">, Dulcamara, </w:t>
      </w:r>
      <w:proofErr w:type="spellStart"/>
      <w:r w:rsidRPr="0068145A">
        <w:rPr>
          <w:rFonts w:ascii="Times New Roman" w:eastAsia="Times New Roman" w:hAnsi="Times New Roman" w:cs="Times New Roman"/>
          <w:kern w:val="0"/>
          <w:lang w:eastAsia="en-GB"/>
          <w14:ligatures w14:val="none"/>
        </w:rPr>
        <w:t>Zincum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Pulsatilla, </w:t>
      </w:r>
      <w:proofErr w:type="spellStart"/>
      <w:r w:rsidRPr="0068145A">
        <w:rPr>
          <w:rFonts w:ascii="Times New Roman" w:eastAsia="Times New Roman" w:hAnsi="Times New Roman" w:cs="Times New Roman"/>
          <w:kern w:val="0"/>
          <w:lang w:eastAsia="en-GB"/>
          <w14:ligatures w14:val="none"/>
        </w:rPr>
        <w:t>Plumbum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metallicum</w:t>
      </w:r>
      <w:proofErr w:type="spellEnd"/>
      <w:r w:rsidRPr="0068145A">
        <w:rPr>
          <w:rFonts w:ascii="Times New Roman" w:eastAsia="Times New Roman" w:hAnsi="Times New Roman" w:cs="Times New Roman"/>
          <w:kern w:val="0"/>
          <w:lang w:eastAsia="en-GB"/>
          <w14:ligatures w14:val="none"/>
        </w:rPr>
        <w:t xml:space="preserve"> and Phosphorus. Clinical observations showed symptom relief, functional improvement and better quality of life. Similar supportive endpoints are commonly used in oncology and survivorship research.⁵–⁷,¹²,¹³</w:t>
      </w:r>
    </w:p>
    <w:p w14:paraId="474BD37C"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However, these findings should be interpreted cautiously. Case reports cannot establish causality, and improvement may be influenced by natural disease course, concurrent treatment, placebo effects or reporting bias.²⁷,²⁸ Existing reviews of homeopathy in oncology show mixed findings and emphasize the need for better-designed trials.²²–²⁶ Further prospective studies with larger samples, validated quality-of-life tools and objective long-term follow-up are necessary.¹²,¹³,²⁹</w:t>
      </w:r>
    </w:p>
    <w:p w14:paraId="42FD23E6" w14:textId="210FD40C"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0456FEF5" w14:textId="742901E6"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Conclusion</w:t>
      </w:r>
    </w:p>
    <w:p w14:paraId="187FACA9"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These cases suggest that individualized homeopathic management may provide supportive benefit in malignant disorders through symptom relief, better functional status and improved quality of life.¹²,¹³,¹⁷–¹⁹</w:t>
      </w:r>
    </w:p>
    <w:p w14:paraId="750F96F3"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Careful case-taking, repertorial analysis, Materia Medica confirmation and regular follow-up remain essential for meaningful and reliable clinical outcomes.⁸–¹¹</w:t>
      </w:r>
    </w:p>
    <w:p w14:paraId="721ED406" w14:textId="5BA82F68" w:rsidR="0068145A" w:rsidRPr="0068145A" w:rsidRDefault="00C017BF" w:rsidP="0068145A">
      <w:pPr>
        <w:spacing w:after="0" w:line="240" w:lineRule="auto"/>
        <w:rPr>
          <w:rFonts w:ascii="Times New Roman" w:eastAsia="Times New Roman" w:hAnsi="Times New Roman" w:cs="Times New Roman"/>
          <w:b/>
          <w:bCs/>
          <w:kern w:val="0"/>
          <w:sz w:val="36"/>
          <w:szCs w:val="36"/>
          <w:lang w:eastAsia="en-GB"/>
          <w14:ligatures w14:val="none"/>
        </w:rPr>
      </w:pPr>
      <w:r w:rsidRPr="00C017BF">
        <w:rPr>
          <w:rFonts w:ascii="Times New Roman" w:eastAsia="Times New Roman" w:hAnsi="Times New Roman" w:cs="Times New Roman"/>
          <w:b/>
          <w:bCs/>
          <w:kern w:val="0"/>
          <w:sz w:val="36"/>
          <w:szCs w:val="36"/>
          <w:lang w:eastAsia="en-GB"/>
          <w14:ligatures w14:val="none"/>
        </w:rPr>
        <w:lastRenderedPageBreak/>
        <w:t>Additional Information</w:t>
      </w:r>
    </w:p>
    <w:p w14:paraId="23B8CBAA"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Patient Consent</w:t>
      </w:r>
    </w:p>
    <w:p w14:paraId="0369F860" w14:textId="232329B8"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Consents are obtained from the patients for publication of clinical details. Patient</w:t>
      </w:r>
      <w:r w:rsidR="00C017BF">
        <w:rPr>
          <w:rFonts w:ascii="Times New Roman" w:eastAsia="Times New Roman" w:hAnsi="Times New Roman" w:cs="Times New Roman"/>
          <w:kern w:val="0"/>
          <w:lang w:eastAsia="en-GB"/>
          <w14:ligatures w14:val="none"/>
        </w:rPr>
        <w:t>s’</w:t>
      </w:r>
      <w:r w:rsidRPr="0068145A">
        <w:rPr>
          <w:rFonts w:ascii="Times New Roman" w:eastAsia="Times New Roman" w:hAnsi="Times New Roman" w:cs="Times New Roman"/>
          <w:kern w:val="0"/>
          <w:lang w:eastAsia="en-GB"/>
          <w14:ligatures w14:val="none"/>
        </w:rPr>
        <w:t xml:space="preserve"> confidentiality is maintained.</w:t>
      </w:r>
    </w:p>
    <w:p w14:paraId="136A3685"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Conflict of Interest</w:t>
      </w:r>
    </w:p>
    <w:p w14:paraId="6CBA5645" w14:textId="7777777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The authors declare no conflict of interest.</w:t>
      </w:r>
    </w:p>
    <w:p w14:paraId="438C799F"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28"/>
          <w:szCs w:val="28"/>
          <w:lang w:eastAsia="en-GB"/>
          <w14:ligatures w14:val="none"/>
        </w:rPr>
      </w:pPr>
      <w:r w:rsidRPr="0068145A">
        <w:rPr>
          <w:rFonts w:ascii="Times New Roman" w:eastAsia="Times New Roman" w:hAnsi="Times New Roman" w:cs="Times New Roman"/>
          <w:b/>
          <w:bCs/>
          <w:kern w:val="0"/>
          <w:sz w:val="28"/>
          <w:szCs w:val="28"/>
          <w:lang w:eastAsia="en-GB"/>
          <w14:ligatures w14:val="none"/>
        </w:rPr>
        <w:t>Funding</w:t>
      </w:r>
    </w:p>
    <w:p w14:paraId="7F229975" w14:textId="3A6498F7" w:rsidR="0068145A" w:rsidRPr="0068145A" w:rsidRDefault="0068145A" w:rsidP="0068145A">
      <w:p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No</w:t>
      </w:r>
      <w:r w:rsidR="00C017BF">
        <w:rPr>
          <w:rFonts w:ascii="Times New Roman" w:eastAsia="Times New Roman" w:hAnsi="Times New Roman" w:cs="Times New Roman"/>
          <w:kern w:val="0"/>
          <w:lang w:eastAsia="en-GB"/>
          <w14:ligatures w14:val="none"/>
        </w:rPr>
        <w:t>ne.</w:t>
      </w:r>
    </w:p>
    <w:p w14:paraId="6D660F64" w14:textId="6ABD5210" w:rsidR="0068145A" w:rsidRPr="0068145A" w:rsidRDefault="0068145A" w:rsidP="0068145A">
      <w:pPr>
        <w:spacing w:after="0" w:line="240" w:lineRule="auto"/>
        <w:rPr>
          <w:rFonts w:ascii="Times New Roman" w:eastAsia="Times New Roman" w:hAnsi="Times New Roman" w:cs="Times New Roman"/>
          <w:kern w:val="0"/>
          <w:lang w:eastAsia="en-GB"/>
          <w14:ligatures w14:val="none"/>
        </w:rPr>
      </w:pPr>
    </w:p>
    <w:p w14:paraId="7F697320" w14:textId="77777777" w:rsidR="0068145A" w:rsidRPr="0068145A" w:rsidRDefault="0068145A" w:rsidP="0068145A">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68145A">
        <w:rPr>
          <w:rFonts w:ascii="Times New Roman" w:eastAsia="Times New Roman" w:hAnsi="Times New Roman" w:cs="Times New Roman"/>
          <w:b/>
          <w:bCs/>
          <w:kern w:val="0"/>
          <w:sz w:val="36"/>
          <w:szCs w:val="36"/>
          <w:lang w:eastAsia="en-GB"/>
          <w14:ligatures w14:val="none"/>
        </w:rPr>
        <w:t>References</w:t>
      </w:r>
    </w:p>
    <w:p w14:paraId="0B727FF3"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Sung, H. et al. Global cancer statistics 2020: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71</w:t>
      </w:r>
      <w:r w:rsidRPr="0068145A">
        <w:rPr>
          <w:rFonts w:ascii="Times New Roman" w:eastAsia="Times New Roman" w:hAnsi="Times New Roman" w:cs="Times New Roman"/>
          <w:kern w:val="0"/>
          <w:lang w:eastAsia="en-GB"/>
          <w14:ligatures w14:val="none"/>
        </w:rPr>
        <w:t>, 209–249 (2021).</w:t>
      </w:r>
    </w:p>
    <w:p w14:paraId="42A3415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Bray, F. et al. Global cancer statistics 2022: GLOBOCAN estimates of incidence and mortality worldwide for 36 cancers in 185 countries.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74</w:t>
      </w:r>
      <w:r w:rsidRPr="0068145A">
        <w:rPr>
          <w:rFonts w:ascii="Times New Roman" w:eastAsia="Times New Roman" w:hAnsi="Times New Roman" w:cs="Times New Roman"/>
          <w:kern w:val="0"/>
          <w:lang w:eastAsia="en-GB"/>
          <w14:ligatures w14:val="none"/>
        </w:rPr>
        <w:t>, 229–263 (2024).</w:t>
      </w:r>
    </w:p>
    <w:p w14:paraId="0C0EFCC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DeVita, V. T., Lawrence, T. S. &amp; Rosenberg, S. A. </w:t>
      </w:r>
      <w:r w:rsidRPr="0068145A">
        <w:rPr>
          <w:rFonts w:ascii="Times New Roman" w:eastAsia="Times New Roman" w:hAnsi="Times New Roman" w:cs="Times New Roman"/>
          <w:i/>
          <w:iCs/>
          <w:kern w:val="0"/>
          <w:lang w:eastAsia="en-GB"/>
          <w14:ligatures w14:val="none"/>
        </w:rPr>
        <w:t>DeVita, Hellman, and Rosenberg’s Cancer: Principles &amp; Practice of Oncology</w:t>
      </w:r>
      <w:r w:rsidRPr="0068145A">
        <w:rPr>
          <w:rFonts w:ascii="Times New Roman" w:eastAsia="Times New Roman" w:hAnsi="Times New Roman" w:cs="Times New Roman"/>
          <w:kern w:val="0"/>
          <w:lang w:eastAsia="en-GB"/>
          <w14:ligatures w14:val="none"/>
        </w:rPr>
        <w:t xml:space="preserve"> 12th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(Wolters Kluwer, Philadelphia, 2023).</w:t>
      </w:r>
    </w:p>
    <w:p w14:paraId="3603308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Niederhuber</w:t>
      </w:r>
      <w:proofErr w:type="spellEnd"/>
      <w:r w:rsidRPr="0068145A">
        <w:rPr>
          <w:rFonts w:ascii="Times New Roman" w:eastAsia="Times New Roman" w:hAnsi="Times New Roman" w:cs="Times New Roman"/>
          <w:kern w:val="0"/>
          <w:lang w:eastAsia="en-GB"/>
          <w14:ligatures w14:val="none"/>
        </w:rPr>
        <w:t xml:space="preserve">, J. E., Armitage, J. O., </w:t>
      </w:r>
      <w:proofErr w:type="spellStart"/>
      <w:r w:rsidRPr="0068145A">
        <w:rPr>
          <w:rFonts w:ascii="Times New Roman" w:eastAsia="Times New Roman" w:hAnsi="Times New Roman" w:cs="Times New Roman"/>
          <w:kern w:val="0"/>
          <w:lang w:eastAsia="en-GB"/>
          <w14:ligatures w14:val="none"/>
        </w:rPr>
        <w:t>Doroshow</w:t>
      </w:r>
      <w:proofErr w:type="spellEnd"/>
      <w:r w:rsidRPr="0068145A">
        <w:rPr>
          <w:rFonts w:ascii="Times New Roman" w:eastAsia="Times New Roman" w:hAnsi="Times New Roman" w:cs="Times New Roman"/>
          <w:kern w:val="0"/>
          <w:lang w:eastAsia="en-GB"/>
          <w14:ligatures w14:val="none"/>
        </w:rPr>
        <w:t xml:space="preserve">, J. H., Kastan, M. B. &amp; Tepper, J. E. </w:t>
      </w:r>
      <w:proofErr w:type="spellStart"/>
      <w:r w:rsidRPr="0068145A">
        <w:rPr>
          <w:rFonts w:ascii="Times New Roman" w:eastAsia="Times New Roman" w:hAnsi="Times New Roman" w:cs="Times New Roman"/>
          <w:i/>
          <w:iCs/>
          <w:kern w:val="0"/>
          <w:lang w:eastAsia="en-GB"/>
          <w14:ligatures w14:val="none"/>
        </w:rPr>
        <w:t>Abeloff’s</w:t>
      </w:r>
      <w:proofErr w:type="spellEnd"/>
      <w:r w:rsidRPr="0068145A">
        <w:rPr>
          <w:rFonts w:ascii="Times New Roman" w:eastAsia="Times New Roman" w:hAnsi="Times New Roman" w:cs="Times New Roman"/>
          <w:i/>
          <w:iCs/>
          <w:kern w:val="0"/>
          <w:lang w:eastAsia="en-GB"/>
          <w14:ligatures w14:val="none"/>
        </w:rPr>
        <w:t xml:space="preserve"> Clinical Oncology</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3369C8FE"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Cleeland, C. S. et al. Symptom burden in cancer patients. </w:t>
      </w:r>
      <w:r w:rsidRPr="0068145A">
        <w:rPr>
          <w:rFonts w:ascii="Times New Roman" w:eastAsia="Times New Roman" w:hAnsi="Times New Roman" w:cs="Times New Roman"/>
          <w:i/>
          <w:iCs/>
          <w:kern w:val="0"/>
          <w:lang w:eastAsia="en-GB"/>
          <w14:ligatures w14:val="none"/>
        </w:rPr>
        <w:t>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94</w:t>
      </w:r>
      <w:r w:rsidRPr="0068145A">
        <w:rPr>
          <w:rFonts w:ascii="Times New Roman" w:eastAsia="Times New Roman" w:hAnsi="Times New Roman" w:cs="Times New Roman"/>
          <w:kern w:val="0"/>
          <w:lang w:eastAsia="en-GB"/>
          <w14:ligatures w14:val="none"/>
        </w:rPr>
        <w:t>, 2489–2498 (2002).</w:t>
      </w:r>
    </w:p>
    <w:p w14:paraId="7C508E3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Berger, A. M. et al. Cancer-related fatigue, version 2.2015. </w:t>
      </w:r>
      <w:r w:rsidRPr="0068145A">
        <w:rPr>
          <w:rFonts w:ascii="Times New Roman" w:eastAsia="Times New Roman" w:hAnsi="Times New Roman" w:cs="Times New Roman"/>
          <w:i/>
          <w:iCs/>
          <w:kern w:val="0"/>
          <w:lang w:eastAsia="en-GB"/>
          <w14:ligatures w14:val="none"/>
        </w:rPr>
        <w:t xml:space="preserve">J. Natl </w:t>
      </w:r>
      <w:proofErr w:type="spellStart"/>
      <w:r w:rsidRPr="0068145A">
        <w:rPr>
          <w:rFonts w:ascii="Times New Roman" w:eastAsia="Times New Roman" w:hAnsi="Times New Roman" w:cs="Times New Roman"/>
          <w:i/>
          <w:iCs/>
          <w:kern w:val="0"/>
          <w:lang w:eastAsia="en-GB"/>
          <w14:ligatures w14:val="none"/>
        </w:rPr>
        <w:t>Compr</w:t>
      </w:r>
      <w:proofErr w:type="spellEnd"/>
      <w:r w:rsidRPr="0068145A">
        <w:rPr>
          <w:rFonts w:ascii="Times New Roman" w:eastAsia="Times New Roman" w:hAnsi="Times New Roman" w:cs="Times New Roman"/>
          <w:i/>
          <w:iCs/>
          <w:kern w:val="0"/>
          <w:lang w:eastAsia="en-GB"/>
          <w14:ligatures w14:val="none"/>
        </w:rPr>
        <w:t xml:space="preserve">. Canc. </w:t>
      </w:r>
      <w:proofErr w:type="spellStart"/>
      <w:r w:rsidRPr="0068145A">
        <w:rPr>
          <w:rFonts w:ascii="Times New Roman" w:eastAsia="Times New Roman" w:hAnsi="Times New Roman" w:cs="Times New Roman"/>
          <w:i/>
          <w:iCs/>
          <w:kern w:val="0"/>
          <w:lang w:eastAsia="en-GB"/>
          <w14:ligatures w14:val="none"/>
        </w:rPr>
        <w:t>Netw</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13</w:t>
      </w:r>
      <w:r w:rsidRPr="0068145A">
        <w:rPr>
          <w:rFonts w:ascii="Times New Roman" w:eastAsia="Times New Roman" w:hAnsi="Times New Roman" w:cs="Times New Roman"/>
          <w:kern w:val="0"/>
          <w:lang w:eastAsia="en-GB"/>
          <w14:ligatures w14:val="none"/>
        </w:rPr>
        <w:t>, 1012–1039 (2015).</w:t>
      </w:r>
    </w:p>
    <w:p w14:paraId="396CBAE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Snijders, R. A. H. et al. Update on prevalence of pain in patients with cancer: systematic review and meta-analysis. </w:t>
      </w:r>
      <w:r w:rsidRPr="0068145A">
        <w:rPr>
          <w:rFonts w:ascii="Times New Roman" w:eastAsia="Times New Roman" w:hAnsi="Times New Roman" w:cs="Times New Roman"/>
          <w:i/>
          <w:iCs/>
          <w:kern w:val="0"/>
          <w:lang w:eastAsia="en-GB"/>
          <w14:ligatures w14:val="none"/>
        </w:rPr>
        <w:t>J. Pain Symptom Manage.</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65</w:t>
      </w:r>
      <w:r w:rsidRPr="0068145A">
        <w:rPr>
          <w:rFonts w:ascii="Times New Roman" w:eastAsia="Times New Roman" w:hAnsi="Times New Roman" w:cs="Times New Roman"/>
          <w:kern w:val="0"/>
          <w:lang w:eastAsia="en-GB"/>
          <w14:ligatures w14:val="none"/>
        </w:rPr>
        <w:t>, e243–e264 (2023).</w:t>
      </w:r>
    </w:p>
    <w:p w14:paraId="1B4C2C5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Hahnemann, S. </w:t>
      </w:r>
      <w:r w:rsidRPr="0068145A">
        <w:rPr>
          <w:rFonts w:ascii="Times New Roman" w:eastAsia="Times New Roman" w:hAnsi="Times New Roman" w:cs="Times New Roman"/>
          <w:i/>
          <w:iCs/>
          <w:kern w:val="0"/>
          <w:lang w:eastAsia="en-GB"/>
          <w14:ligatures w14:val="none"/>
        </w:rPr>
        <w:t>Organon of Medicine</w:t>
      </w:r>
      <w:r w:rsidRPr="0068145A">
        <w:rPr>
          <w:rFonts w:ascii="Times New Roman" w:eastAsia="Times New Roman" w:hAnsi="Times New Roman" w:cs="Times New Roman"/>
          <w:kern w:val="0"/>
          <w:lang w:eastAsia="en-GB"/>
          <w14:ligatures w14:val="none"/>
        </w:rPr>
        <w:t xml:space="preserve"> 6th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trans. Boericke, W.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1921).</w:t>
      </w:r>
    </w:p>
    <w:p w14:paraId="544D73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Kent, J. T. </w:t>
      </w:r>
      <w:r w:rsidRPr="0068145A">
        <w:rPr>
          <w:rFonts w:ascii="Times New Roman" w:eastAsia="Times New Roman" w:hAnsi="Times New Roman" w:cs="Times New Roman"/>
          <w:i/>
          <w:iCs/>
          <w:kern w:val="0"/>
          <w:lang w:eastAsia="en-GB"/>
          <w14:ligatures w14:val="none"/>
        </w:rPr>
        <w:t>Lectures on Homoeopathic Philosophy</w:t>
      </w:r>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1900).</w:t>
      </w:r>
    </w:p>
    <w:p w14:paraId="3A59843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Boericke, W. </w:t>
      </w:r>
      <w:r w:rsidRPr="0068145A">
        <w:rPr>
          <w:rFonts w:ascii="Times New Roman" w:eastAsia="Times New Roman" w:hAnsi="Times New Roman" w:cs="Times New Roman"/>
          <w:i/>
          <w:iCs/>
          <w:kern w:val="0"/>
          <w:lang w:eastAsia="en-GB"/>
          <w14:ligatures w14:val="none"/>
        </w:rPr>
        <w:t>Pocket Manual of Homoeopathic Materia Medica with Repertory</w:t>
      </w:r>
      <w:r w:rsidRPr="0068145A">
        <w:rPr>
          <w:rFonts w:ascii="Times New Roman" w:eastAsia="Times New Roman" w:hAnsi="Times New Roman" w:cs="Times New Roman"/>
          <w:kern w:val="0"/>
          <w:lang w:eastAsia="en-GB"/>
          <w14:ligatures w14:val="none"/>
        </w:rPr>
        <w:t xml:space="preserve"> 9th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Boericke</w:t>
      </w:r>
      <w:proofErr w:type="spellEnd"/>
      <w:r w:rsidRPr="0068145A">
        <w:rPr>
          <w:rFonts w:ascii="Times New Roman" w:eastAsia="Times New Roman" w:hAnsi="Times New Roman" w:cs="Times New Roman"/>
          <w:kern w:val="0"/>
          <w:lang w:eastAsia="en-GB"/>
          <w14:ligatures w14:val="none"/>
        </w:rPr>
        <w:t xml:space="preserve"> &amp; Tafel, Philadelphia, 1927).</w:t>
      </w:r>
    </w:p>
    <w:p w14:paraId="1730EEB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Schroyens</w:t>
      </w:r>
      <w:proofErr w:type="spellEnd"/>
      <w:r w:rsidRPr="0068145A">
        <w:rPr>
          <w:rFonts w:ascii="Times New Roman" w:eastAsia="Times New Roman" w:hAnsi="Times New Roman" w:cs="Times New Roman"/>
          <w:kern w:val="0"/>
          <w:lang w:eastAsia="en-GB"/>
          <w14:ligatures w14:val="none"/>
        </w:rPr>
        <w:t xml:space="preserve">, F. </w:t>
      </w:r>
      <w:r w:rsidRPr="0068145A">
        <w:rPr>
          <w:rFonts w:ascii="Times New Roman" w:eastAsia="Times New Roman" w:hAnsi="Times New Roman" w:cs="Times New Roman"/>
          <w:i/>
          <w:iCs/>
          <w:kern w:val="0"/>
          <w:lang w:eastAsia="en-GB"/>
          <w14:ligatures w14:val="none"/>
        </w:rPr>
        <w:t xml:space="preserve">Synthesis Repertory: </w:t>
      </w:r>
      <w:proofErr w:type="spellStart"/>
      <w:r w:rsidRPr="0068145A">
        <w:rPr>
          <w:rFonts w:ascii="Times New Roman" w:eastAsia="Times New Roman" w:hAnsi="Times New Roman" w:cs="Times New Roman"/>
          <w:i/>
          <w:iCs/>
          <w:kern w:val="0"/>
          <w:lang w:eastAsia="en-GB"/>
          <w14:ligatures w14:val="none"/>
        </w:rPr>
        <w:t>Repertorium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Homeopathicum</w:t>
      </w:r>
      <w:proofErr w:type="spellEnd"/>
      <w:r w:rsidRPr="0068145A">
        <w:rPr>
          <w:rFonts w:ascii="Times New Roman" w:eastAsia="Times New Roman" w:hAnsi="Times New Roman" w:cs="Times New Roman"/>
          <w:i/>
          <w:iCs/>
          <w:kern w:val="0"/>
          <w:lang w:eastAsia="en-GB"/>
          <w14:ligatures w14:val="none"/>
        </w:rPr>
        <w:t xml:space="preserve"> </w:t>
      </w:r>
      <w:proofErr w:type="spellStart"/>
      <w:r w:rsidRPr="0068145A">
        <w:rPr>
          <w:rFonts w:ascii="Times New Roman" w:eastAsia="Times New Roman" w:hAnsi="Times New Roman" w:cs="Times New Roman"/>
          <w:i/>
          <w:iCs/>
          <w:kern w:val="0"/>
          <w:lang w:eastAsia="en-GB"/>
          <w14:ligatures w14:val="none"/>
        </w:rPr>
        <w:t>Syntheticum</w:t>
      </w:r>
      <w:proofErr w:type="spellEnd"/>
      <w:r w:rsidRPr="0068145A">
        <w:rPr>
          <w:rFonts w:ascii="Times New Roman" w:eastAsia="Times New Roman" w:hAnsi="Times New Roman" w:cs="Times New Roman"/>
          <w:kern w:val="0"/>
          <w:lang w:eastAsia="en-GB"/>
          <w14:ligatures w14:val="none"/>
        </w:rPr>
        <w:t xml:space="preserve">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9.1 (Homeopathic Book Publishers, London, 2007).</w:t>
      </w:r>
    </w:p>
    <w:p w14:paraId="4B42D5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lastRenderedPageBreak/>
        <w:t xml:space="preserve">Aaronson, N. K. et al. The European Organization for Research and Treatment of Cancer QLQ-C30: a quality-of-life instrument for use in international clinical trials in oncology.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85</w:t>
      </w:r>
      <w:r w:rsidRPr="0068145A">
        <w:rPr>
          <w:rFonts w:ascii="Times New Roman" w:eastAsia="Times New Roman" w:hAnsi="Times New Roman" w:cs="Times New Roman"/>
          <w:kern w:val="0"/>
          <w:lang w:eastAsia="en-GB"/>
          <w14:ligatures w14:val="none"/>
        </w:rPr>
        <w:t>, 365–376 (1993).</w:t>
      </w:r>
    </w:p>
    <w:p w14:paraId="5DF3FCC8"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proofErr w:type="spellStart"/>
      <w:r w:rsidRPr="0068145A">
        <w:rPr>
          <w:rFonts w:ascii="Times New Roman" w:eastAsia="Times New Roman" w:hAnsi="Times New Roman" w:cs="Times New Roman"/>
          <w:kern w:val="0"/>
          <w:lang w:eastAsia="en-GB"/>
          <w14:ligatures w14:val="none"/>
        </w:rPr>
        <w:t>Fayers</w:t>
      </w:r>
      <w:proofErr w:type="spellEnd"/>
      <w:r w:rsidRPr="0068145A">
        <w:rPr>
          <w:rFonts w:ascii="Times New Roman" w:eastAsia="Times New Roman" w:hAnsi="Times New Roman" w:cs="Times New Roman"/>
          <w:kern w:val="0"/>
          <w:lang w:eastAsia="en-GB"/>
          <w14:ligatures w14:val="none"/>
        </w:rPr>
        <w:t xml:space="preserve">, P., Bottomley, A. &amp; EORTC Quality of Life Group. Quality of life research within the EORTC—the EORTC QLQ-C30.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38</w:t>
      </w:r>
      <w:r w:rsidRPr="0068145A">
        <w:rPr>
          <w:rFonts w:ascii="Times New Roman" w:eastAsia="Times New Roman" w:hAnsi="Times New Roman" w:cs="Times New Roman"/>
          <w:kern w:val="0"/>
          <w:lang w:eastAsia="en-GB"/>
          <w14:ligatures w14:val="none"/>
        </w:rPr>
        <w:t>, S125–S133 (2002).</w:t>
      </w:r>
    </w:p>
    <w:p w14:paraId="7435732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Kumar, V., Abbas, A. K. &amp; Aster, J. C. </w:t>
      </w:r>
      <w:r w:rsidRPr="0068145A">
        <w:rPr>
          <w:rFonts w:ascii="Times New Roman" w:eastAsia="Times New Roman" w:hAnsi="Times New Roman" w:cs="Times New Roman"/>
          <w:i/>
          <w:iCs/>
          <w:kern w:val="0"/>
          <w:lang w:eastAsia="en-GB"/>
          <w14:ligatures w14:val="none"/>
        </w:rPr>
        <w:t xml:space="preserve">Robbins and </w:t>
      </w:r>
      <w:proofErr w:type="spellStart"/>
      <w:r w:rsidRPr="0068145A">
        <w:rPr>
          <w:rFonts w:ascii="Times New Roman" w:eastAsia="Times New Roman" w:hAnsi="Times New Roman" w:cs="Times New Roman"/>
          <w:i/>
          <w:iCs/>
          <w:kern w:val="0"/>
          <w:lang w:eastAsia="en-GB"/>
          <w14:ligatures w14:val="none"/>
        </w:rPr>
        <w:t>Cotran</w:t>
      </w:r>
      <w:proofErr w:type="spellEnd"/>
      <w:r w:rsidRPr="0068145A">
        <w:rPr>
          <w:rFonts w:ascii="Times New Roman" w:eastAsia="Times New Roman" w:hAnsi="Times New Roman" w:cs="Times New Roman"/>
          <w:i/>
          <w:iCs/>
          <w:kern w:val="0"/>
          <w:lang w:eastAsia="en-GB"/>
          <w14:ligatures w14:val="none"/>
        </w:rPr>
        <w:t xml:space="preserve"> Pathologic Basis of Disease</w:t>
      </w:r>
      <w:r w:rsidRPr="0068145A">
        <w:rPr>
          <w:rFonts w:ascii="Times New Roman" w:eastAsia="Times New Roman" w:hAnsi="Times New Roman" w:cs="Times New Roman"/>
          <w:kern w:val="0"/>
          <w:lang w:eastAsia="en-GB"/>
          <w14:ligatures w14:val="none"/>
        </w:rPr>
        <w:t xml:space="preserve"> 10th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(Elsevier, Philadelphia, 2020).</w:t>
      </w:r>
    </w:p>
    <w:p w14:paraId="41905C1D"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Weinberg, R. A. </w:t>
      </w:r>
      <w:r w:rsidRPr="0068145A">
        <w:rPr>
          <w:rFonts w:ascii="Times New Roman" w:eastAsia="Times New Roman" w:hAnsi="Times New Roman" w:cs="Times New Roman"/>
          <w:i/>
          <w:iCs/>
          <w:kern w:val="0"/>
          <w:lang w:eastAsia="en-GB"/>
          <w14:ligatures w14:val="none"/>
        </w:rPr>
        <w:t>The Biology of Cancer</w:t>
      </w:r>
      <w:r w:rsidRPr="0068145A">
        <w:rPr>
          <w:rFonts w:ascii="Times New Roman" w:eastAsia="Times New Roman" w:hAnsi="Times New Roman" w:cs="Times New Roman"/>
          <w:kern w:val="0"/>
          <w:lang w:eastAsia="en-GB"/>
          <w14:ligatures w14:val="none"/>
        </w:rPr>
        <w:t xml:space="preserve"> 3rd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(Garland Science, New York, 2023).</w:t>
      </w:r>
    </w:p>
    <w:p w14:paraId="5A2AAB6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Hanahan, D. Hallmarks of cancer: new dimensions. </w:t>
      </w:r>
      <w:r w:rsidRPr="0068145A">
        <w:rPr>
          <w:rFonts w:ascii="Times New Roman" w:eastAsia="Times New Roman" w:hAnsi="Times New Roman" w:cs="Times New Roman"/>
          <w:i/>
          <w:iCs/>
          <w:kern w:val="0"/>
          <w:lang w:eastAsia="en-GB"/>
          <w14:ligatures w14:val="none"/>
        </w:rPr>
        <w:t xml:space="preserve">Cancer </w:t>
      </w:r>
      <w:proofErr w:type="spellStart"/>
      <w:r w:rsidRPr="0068145A">
        <w:rPr>
          <w:rFonts w:ascii="Times New Roman" w:eastAsia="Times New Roman" w:hAnsi="Times New Roman" w:cs="Times New Roman"/>
          <w:i/>
          <w:iCs/>
          <w:kern w:val="0"/>
          <w:lang w:eastAsia="en-GB"/>
          <w14:ligatures w14:val="none"/>
        </w:rPr>
        <w:t>Discov</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w:t>
      </w:r>
      <w:r w:rsidRPr="0068145A">
        <w:rPr>
          <w:rFonts w:ascii="Times New Roman" w:eastAsia="Times New Roman" w:hAnsi="Times New Roman" w:cs="Times New Roman"/>
          <w:kern w:val="0"/>
          <w:lang w:eastAsia="en-GB"/>
          <w14:ligatures w14:val="none"/>
        </w:rPr>
        <w:t>, 31–46 (2022).</w:t>
      </w:r>
    </w:p>
    <w:p w14:paraId="31FEC40C"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Greenlee, H. et al. Clinical practice guidelines on the evidence-based use of integrative therapies during and after breast cancer treatment. </w:t>
      </w:r>
      <w:r w:rsidRPr="0068145A">
        <w:rPr>
          <w:rFonts w:ascii="Times New Roman" w:eastAsia="Times New Roman" w:hAnsi="Times New Roman" w:cs="Times New Roman"/>
          <w:i/>
          <w:iCs/>
          <w:kern w:val="0"/>
          <w:lang w:eastAsia="en-GB"/>
          <w14:ligatures w14:val="none"/>
        </w:rPr>
        <w:t>CA Cancer J. Clin.</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194–232 (2017).</w:t>
      </w:r>
    </w:p>
    <w:p w14:paraId="15B3BF3A"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Lyman, G. H. et al. Integrative therapies during and after breast cancer treatment: ASCO endorsement of the SIO clinical practice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36</w:t>
      </w:r>
      <w:r w:rsidRPr="0068145A">
        <w:rPr>
          <w:rFonts w:ascii="Times New Roman" w:eastAsia="Times New Roman" w:hAnsi="Times New Roman" w:cs="Times New Roman"/>
          <w:kern w:val="0"/>
          <w:lang w:eastAsia="en-GB"/>
          <w14:ligatures w14:val="none"/>
        </w:rPr>
        <w:t>, 2647–2655 (2018).</w:t>
      </w:r>
    </w:p>
    <w:p w14:paraId="2BBBD6C2"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Mao, J. J. et al. Integrative medicine for pain management in oncology: Society for Integrative Oncology–ASCO guideline. </w:t>
      </w:r>
      <w:r w:rsidRPr="0068145A">
        <w:rPr>
          <w:rFonts w:ascii="Times New Roman" w:eastAsia="Times New Roman" w:hAnsi="Times New Roman" w:cs="Times New Roman"/>
          <w:i/>
          <w:iCs/>
          <w:kern w:val="0"/>
          <w:lang w:eastAsia="en-GB"/>
          <w14:ligatures w14:val="none"/>
        </w:rPr>
        <w:t>J.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40</w:t>
      </w:r>
      <w:r w:rsidRPr="0068145A">
        <w:rPr>
          <w:rFonts w:ascii="Times New Roman" w:eastAsia="Times New Roman" w:hAnsi="Times New Roman" w:cs="Times New Roman"/>
          <w:kern w:val="0"/>
          <w:lang w:eastAsia="en-GB"/>
          <w14:ligatures w14:val="none"/>
        </w:rPr>
        <w:t>, 3998–4024 (2022).</w:t>
      </w:r>
    </w:p>
    <w:p w14:paraId="602A9D4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Johnson, S. B., Park, H. S., Gross, C. P. &amp; Yu, J. B. Use of alternative medicine for cancer and its impact on survival. </w:t>
      </w:r>
      <w:r w:rsidRPr="0068145A">
        <w:rPr>
          <w:rFonts w:ascii="Times New Roman" w:eastAsia="Times New Roman" w:hAnsi="Times New Roman" w:cs="Times New Roman"/>
          <w:i/>
          <w:iCs/>
          <w:kern w:val="0"/>
          <w:lang w:eastAsia="en-GB"/>
          <w14:ligatures w14:val="none"/>
        </w:rPr>
        <w:t>J. Natl Cancer Inst.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110</w:t>
      </w:r>
      <w:r w:rsidRPr="0068145A">
        <w:rPr>
          <w:rFonts w:ascii="Times New Roman" w:eastAsia="Times New Roman" w:hAnsi="Times New Roman" w:cs="Times New Roman"/>
          <w:kern w:val="0"/>
          <w:lang w:eastAsia="en-GB"/>
          <w14:ligatures w14:val="none"/>
        </w:rPr>
        <w:t>, 121–124 (2018).</w:t>
      </w:r>
    </w:p>
    <w:p w14:paraId="5DE08D9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Skyler, B. J. et al. Complementary medicine, refusal of conventional cancer therapy, and survival among patients with curable cancers. </w:t>
      </w:r>
      <w:r w:rsidRPr="0068145A">
        <w:rPr>
          <w:rFonts w:ascii="Times New Roman" w:eastAsia="Times New Roman" w:hAnsi="Times New Roman" w:cs="Times New Roman"/>
          <w:i/>
          <w:iCs/>
          <w:kern w:val="0"/>
          <w:lang w:eastAsia="en-GB"/>
          <w14:ligatures w14:val="none"/>
        </w:rPr>
        <w:t>JAMA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w:t>
      </w:r>
      <w:r w:rsidRPr="0068145A">
        <w:rPr>
          <w:rFonts w:ascii="Times New Roman" w:eastAsia="Times New Roman" w:hAnsi="Times New Roman" w:cs="Times New Roman"/>
          <w:kern w:val="0"/>
          <w:lang w:eastAsia="en-GB"/>
          <w14:ligatures w14:val="none"/>
        </w:rPr>
        <w:t>, 1375–1381 (2018).</w:t>
      </w:r>
    </w:p>
    <w:p w14:paraId="0AA51A8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Influence of adjunctive classical homeopathy on global health status and subjective wellbeing in cancer patients: a pragmatic randomized controlled trial.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23</w:t>
      </w:r>
      <w:r w:rsidRPr="0068145A">
        <w:rPr>
          <w:rFonts w:ascii="Times New Roman" w:eastAsia="Times New Roman" w:hAnsi="Times New Roman" w:cs="Times New Roman"/>
          <w:kern w:val="0"/>
          <w:lang w:eastAsia="en-GB"/>
          <w14:ligatures w14:val="none"/>
        </w:rPr>
        <w:t>, 309–317 (2015).</w:t>
      </w:r>
    </w:p>
    <w:p w14:paraId="7AF653E6"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Frass, M. et al. Homeopathic treatment as an add-on therapy may improve quality of life and prolong survival in patients with non-small cell lung cancer. </w:t>
      </w:r>
      <w:r w:rsidRPr="0068145A">
        <w:rPr>
          <w:rFonts w:ascii="Times New Roman" w:eastAsia="Times New Roman" w:hAnsi="Times New Roman" w:cs="Times New Roman"/>
          <w:i/>
          <w:iCs/>
          <w:kern w:val="0"/>
          <w:lang w:eastAsia="en-GB"/>
          <w14:ligatures w14:val="none"/>
        </w:rPr>
        <w:t>Oncologist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e1930–e1955 (2020).</w:t>
      </w:r>
    </w:p>
    <w:p w14:paraId="56FD8F9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Milazzo, S., Russell, N. &amp; Ernst, E. Efficacy of homeopathic therapy in cancer treatment.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42</w:t>
      </w:r>
      <w:r w:rsidRPr="0068145A">
        <w:rPr>
          <w:rFonts w:ascii="Times New Roman" w:eastAsia="Times New Roman" w:hAnsi="Times New Roman" w:cs="Times New Roman"/>
          <w:kern w:val="0"/>
          <w:lang w:eastAsia="en-GB"/>
          <w14:ligatures w14:val="none"/>
        </w:rPr>
        <w:t>, 282–289 (2006).</w:t>
      </w:r>
    </w:p>
    <w:p w14:paraId="587BA459"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Kassab, S., Cummings, M., Berkovitz, S., 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&amp; Fisher, P. Homeopathic medicines for adverse effects of cancer treatments. </w:t>
      </w:r>
      <w:r w:rsidRPr="0068145A">
        <w:rPr>
          <w:rFonts w:ascii="Times New Roman" w:eastAsia="Times New Roman" w:hAnsi="Times New Roman" w:cs="Times New Roman"/>
          <w:i/>
          <w:iCs/>
          <w:kern w:val="0"/>
          <w:lang w:eastAsia="en-GB"/>
          <w14:ligatures w14:val="none"/>
        </w:rPr>
        <w:t>Cochrane Database Syst. Rev.</w:t>
      </w:r>
      <w:r w:rsidRPr="0068145A">
        <w:rPr>
          <w:rFonts w:ascii="Times New Roman" w:eastAsia="Times New Roman" w:hAnsi="Times New Roman" w:cs="Times New Roman"/>
          <w:kern w:val="0"/>
          <w:lang w:eastAsia="en-GB"/>
          <w14:ligatures w14:val="none"/>
        </w:rPr>
        <w:t xml:space="preserve"> CD004845 (2009).</w:t>
      </w:r>
    </w:p>
    <w:p w14:paraId="1A5CBF27"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Wagenknecht, A., Dörfler, J., </w:t>
      </w:r>
      <w:proofErr w:type="spellStart"/>
      <w:r w:rsidRPr="0068145A">
        <w:rPr>
          <w:rFonts w:ascii="Times New Roman" w:eastAsia="Times New Roman" w:hAnsi="Times New Roman" w:cs="Times New Roman"/>
          <w:kern w:val="0"/>
          <w:lang w:eastAsia="en-GB"/>
          <w14:ligatures w14:val="none"/>
        </w:rPr>
        <w:t>Freuding</w:t>
      </w:r>
      <w:proofErr w:type="spellEnd"/>
      <w:r w:rsidRPr="0068145A">
        <w:rPr>
          <w:rFonts w:ascii="Times New Roman" w:eastAsia="Times New Roman" w:hAnsi="Times New Roman" w:cs="Times New Roman"/>
          <w:kern w:val="0"/>
          <w:lang w:eastAsia="en-GB"/>
          <w14:ligatures w14:val="none"/>
        </w:rPr>
        <w:t xml:space="preserve">, M., Josfeld, L. &amp; Huebner, J. Homeopathy effects in patients during oncological treatment: a systematic review. </w:t>
      </w:r>
      <w:r w:rsidRPr="0068145A">
        <w:rPr>
          <w:rFonts w:ascii="Times New Roman" w:eastAsia="Times New Roman" w:hAnsi="Times New Roman" w:cs="Times New Roman"/>
          <w:i/>
          <w:iCs/>
          <w:kern w:val="0"/>
          <w:lang w:eastAsia="en-GB"/>
          <w14:ligatures w14:val="none"/>
        </w:rPr>
        <w:t>J. Cancer Res. Clin. Oncol.</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149</w:t>
      </w:r>
      <w:r w:rsidRPr="0068145A">
        <w:rPr>
          <w:rFonts w:ascii="Times New Roman" w:eastAsia="Times New Roman" w:hAnsi="Times New Roman" w:cs="Times New Roman"/>
          <w:kern w:val="0"/>
          <w:lang w:eastAsia="en-GB"/>
          <w14:ligatures w14:val="none"/>
        </w:rPr>
        <w:t>, 2925–2943 (2023).</w:t>
      </w:r>
    </w:p>
    <w:p w14:paraId="731E0651"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Gagnier, J. J. et al. The CARE guidelines: consensus-based clinical case reporting guideline development.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67</w:t>
      </w:r>
      <w:r w:rsidRPr="0068145A">
        <w:rPr>
          <w:rFonts w:ascii="Times New Roman" w:eastAsia="Times New Roman" w:hAnsi="Times New Roman" w:cs="Times New Roman"/>
          <w:kern w:val="0"/>
          <w:lang w:eastAsia="en-GB"/>
          <w14:ligatures w14:val="none"/>
        </w:rPr>
        <w:t>, 46–51 (2014).</w:t>
      </w:r>
    </w:p>
    <w:p w14:paraId="61E558BF"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Riley, D. S. et al. CARE guidelines for case reports: explanation and elaboration document. </w:t>
      </w:r>
      <w:r w:rsidRPr="0068145A">
        <w:rPr>
          <w:rFonts w:ascii="Times New Roman" w:eastAsia="Times New Roman" w:hAnsi="Times New Roman" w:cs="Times New Roman"/>
          <w:i/>
          <w:iCs/>
          <w:kern w:val="0"/>
          <w:lang w:eastAsia="en-GB"/>
          <w14:ligatures w14:val="none"/>
        </w:rPr>
        <w:t xml:space="preserve">J. Clin. </w:t>
      </w:r>
      <w:proofErr w:type="spellStart"/>
      <w:r w:rsidRPr="0068145A">
        <w:rPr>
          <w:rFonts w:ascii="Times New Roman" w:eastAsia="Times New Roman" w:hAnsi="Times New Roman" w:cs="Times New Roman"/>
          <w:i/>
          <w:iCs/>
          <w:kern w:val="0"/>
          <w:lang w:eastAsia="en-GB"/>
          <w14:ligatures w14:val="none"/>
        </w:rPr>
        <w:t>Epidemiol</w:t>
      </w:r>
      <w:proofErr w:type="spellEnd"/>
      <w:r w:rsidRPr="0068145A">
        <w:rPr>
          <w:rFonts w:ascii="Times New Roman" w:eastAsia="Times New Roman" w:hAnsi="Times New Roman" w:cs="Times New Roman"/>
          <w:i/>
          <w:iCs/>
          <w:kern w:val="0"/>
          <w:lang w:eastAsia="en-GB"/>
          <w14:ligatures w14:val="none"/>
        </w:rPr>
        <w:t>.</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89</w:t>
      </w:r>
      <w:r w:rsidRPr="0068145A">
        <w:rPr>
          <w:rFonts w:ascii="Times New Roman" w:eastAsia="Times New Roman" w:hAnsi="Times New Roman" w:cs="Times New Roman"/>
          <w:kern w:val="0"/>
          <w:lang w:eastAsia="en-GB"/>
          <w14:ligatures w14:val="none"/>
        </w:rPr>
        <w:t>, 218–235 (2017).</w:t>
      </w:r>
    </w:p>
    <w:p w14:paraId="368A72E0"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van </w:t>
      </w:r>
      <w:proofErr w:type="spellStart"/>
      <w:r w:rsidRPr="0068145A">
        <w:rPr>
          <w:rFonts w:ascii="Times New Roman" w:eastAsia="Times New Roman" w:hAnsi="Times New Roman" w:cs="Times New Roman"/>
          <w:kern w:val="0"/>
          <w:lang w:eastAsia="en-GB"/>
          <w14:ligatures w14:val="none"/>
        </w:rPr>
        <w:t>Haselen</w:t>
      </w:r>
      <w:proofErr w:type="spellEnd"/>
      <w:r w:rsidRPr="0068145A">
        <w:rPr>
          <w:rFonts w:ascii="Times New Roman" w:eastAsia="Times New Roman" w:hAnsi="Times New Roman" w:cs="Times New Roman"/>
          <w:kern w:val="0"/>
          <w:lang w:eastAsia="en-GB"/>
          <w14:ligatures w14:val="none"/>
        </w:rPr>
        <w:t xml:space="preserve">, R. A. Homeopathic clinical case reports: development of a supplement (HOM-CASE) to the CARE clinical case reporting guideline. </w:t>
      </w:r>
      <w:r w:rsidRPr="0068145A">
        <w:rPr>
          <w:rFonts w:ascii="Times New Roman" w:eastAsia="Times New Roman" w:hAnsi="Times New Roman" w:cs="Times New Roman"/>
          <w:i/>
          <w:iCs/>
          <w:kern w:val="0"/>
          <w:lang w:eastAsia="en-GB"/>
          <w14:ligatures w14:val="none"/>
        </w:rPr>
        <w:t>Complement. Ther. Med.</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25</w:t>
      </w:r>
      <w:r w:rsidRPr="0068145A">
        <w:rPr>
          <w:rFonts w:ascii="Times New Roman" w:eastAsia="Times New Roman" w:hAnsi="Times New Roman" w:cs="Times New Roman"/>
          <w:kern w:val="0"/>
          <w:lang w:eastAsia="en-GB"/>
          <w14:ligatures w14:val="none"/>
        </w:rPr>
        <w:t>, 78–85 (2016).</w:t>
      </w:r>
    </w:p>
    <w:p w14:paraId="7865CCE5" w14:textId="77777777"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Brierley, J. D., </w:t>
      </w:r>
      <w:proofErr w:type="spellStart"/>
      <w:r w:rsidRPr="0068145A">
        <w:rPr>
          <w:rFonts w:ascii="Times New Roman" w:eastAsia="Times New Roman" w:hAnsi="Times New Roman" w:cs="Times New Roman"/>
          <w:kern w:val="0"/>
          <w:lang w:eastAsia="en-GB"/>
          <w14:ligatures w14:val="none"/>
        </w:rPr>
        <w:t>Gospodarowicz</w:t>
      </w:r>
      <w:proofErr w:type="spellEnd"/>
      <w:r w:rsidRPr="0068145A">
        <w:rPr>
          <w:rFonts w:ascii="Times New Roman" w:eastAsia="Times New Roman" w:hAnsi="Times New Roman" w:cs="Times New Roman"/>
          <w:kern w:val="0"/>
          <w:lang w:eastAsia="en-GB"/>
          <w14:ligatures w14:val="none"/>
        </w:rPr>
        <w:t xml:space="preserve">, M. K. &amp; Wittekind, C. </w:t>
      </w:r>
      <w:r w:rsidRPr="0068145A">
        <w:rPr>
          <w:rFonts w:ascii="Times New Roman" w:eastAsia="Times New Roman" w:hAnsi="Times New Roman" w:cs="Times New Roman"/>
          <w:i/>
          <w:iCs/>
          <w:kern w:val="0"/>
          <w:lang w:eastAsia="en-GB"/>
          <w14:ligatures w14:val="none"/>
        </w:rPr>
        <w:t>TNM Classification of Malignant Tumours</w:t>
      </w:r>
      <w:r w:rsidRPr="0068145A">
        <w:rPr>
          <w:rFonts w:ascii="Times New Roman" w:eastAsia="Times New Roman" w:hAnsi="Times New Roman" w:cs="Times New Roman"/>
          <w:kern w:val="0"/>
          <w:lang w:eastAsia="en-GB"/>
          <w14:ligatures w14:val="none"/>
        </w:rPr>
        <w:t xml:space="preserve"> 8th </w:t>
      </w:r>
      <w:proofErr w:type="spellStart"/>
      <w:r w:rsidRPr="0068145A">
        <w:rPr>
          <w:rFonts w:ascii="Times New Roman" w:eastAsia="Times New Roman" w:hAnsi="Times New Roman" w:cs="Times New Roman"/>
          <w:kern w:val="0"/>
          <w:lang w:eastAsia="en-GB"/>
          <w14:ligatures w14:val="none"/>
        </w:rPr>
        <w:t>edn</w:t>
      </w:r>
      <w:proofErr w:type="spellEnd"/>
      <w:r w:rsidRPr="0068145A">
        <w:rPr>
          <w:rFonts w:ascii="Times New Roman" w:eastAsia="Times New Roman" w:hAnsi="Times New Roman" w:cs="Times New Roman"/>
          <w:kern w:val="0"/>
          <w:lang w:eastAsia="en-GB"/>
          <w14:ligatures w14:val="none"/>
        </w:rPr>
        <w:t xml:space="preserve"> (Wiley-Blackwell, Oxford, 2017).</w:t>
      </w:r>
    </w:p>
    <w:p w14:paraId="74725F01" w14:textId="6B7AEB7E" w:rsidR="0068145A" w:rsidRPr="0068145A" w:rsidRDefault="0068145A" w:rsidP="0068145A">
      <w:pPr>
        <w:numPr>
          <w:ilvl w:val="0"/>
          <w:numId w:val="26"/>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68145A">
        <w:rPr>
          <w:rFonts w:ascii="Times New Roman" w:eastAsia="Times New Roman" w:hAnsi="Times New Roman" w:cs="Times New Roman"/>
          <w:kern w:val="0"/>
          <w:lang w:eastAsia="en-GB"/>
          <w14:ligatures w14:val="none"/>
        </w:rPr>
        <w:t xml:space="preserve">Stratigos, A. J. et al. European interdisciplinary guideline on invasive squamous cell carcinoma of the skin: part 1. Epidemiology, diagnostics and prevention. </w:t>
      </w:r>
      <w:r w:rsidRPr="0068145A">
        <w:rPr>
          <w:rFonts w:ascii="Times New Roman" w:eastAsia="Times New Roman" w:hAnsi="Times New Roman" w:cs="Times New Roman"/>
          <w:i/>
          <w:iCs/>
          <w:kern w:val="0"/>
          <w:lang w:eastAsia="en-GB"/>
          <w14:ligatures w14:val="none"/>
        </w:rPr>
        <w:t>Eur. J. Cancer</w:t>
      </w:r>
      <w:r w:rsidRPr="0068145A">
        <w:rPr>
          <w:rFonts w:ascii="Times New Roman" w:eastAsia="Times New Roman" w:hAnsi="Times New Roman" w:cs="Times New Roman"/>
          <w:kern w:val="0"/>
          <w:lang w:eastAsia="en-GB"/>
          <w14:ligatures w14:val="none"/>
        </w:rPr>
        <w:t xml:space="preserve"> </w:t>
      </w:r>
      <w:r w:rsidRPr="0068145A">
        <w:rPr>
          <w:rFonts w:ascii="Times New Roman" w:eastAsia="Times New Roman" w:hAnsi="Times New Roman" w:cs="Times New Roman"/>
          <w:b/>
          <w:bCs/>
          <w:kern w:val="0"/>
          <w:lang w:eastAsia="en-GB"/>
          <w14:ligatures w14:val="none"/>
        </w:rPr>
        <w:t>128</w:t>
      </w:r>
      <w:r w:rsidRPr="0068145A">
        <w:rPr>
          <w:rFonts w:ascii="Times New Roman" w:eastAsia="Times New Roman" w:hAnsi="Times New Roman" w:cs="Times New Roman"/>
          <w:kern w:val="0"/>
          <w:lang w:eastAsia="en-GB"/>
          <w14:ligatures w14:val="none"/>
        </w:rPr>
        <w:t>, 60–82 (2020).</w:t>
      </w:r>
      <w:r w:rsidR="006A537B">
        <w:rPr>
          <w:rFonts w:ascii="Times New Roman" w:eastAsia="Times New Roman" w:hAnsi="Times New Roman" w:cs="Times New Roman"/>
          <w:kern w:val="0"/>
          <w:lang w:eastAsia="en-GB"/>
          <w14:ligatures w14:val="none"/>
        </w:rPr>
        <w:t xml:space="preserve"> </w:t>
      </w:r>
    </w:p>
    <w:p w14:paraId="4E1A0698" w14:textId="2F778B5C" w:rsidR="007871D9" w:rsidRPr="0068145A" w:rsidRDefault="007871D9" w:rsidP="0068145A"/>
    <w:sectPr w:rsidR="007871D9" w:rsidRPr="0068145A" w:rsidSect="0002178C">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4FCF5" w14:textId="77777777" w:rsidR="00A175D8" w:rsidRDefault="00A175D8" w:rsidP="00704536">
      <w:pPr>
        <w:spacing w:after="0" w:line="240" w:lineRule="auto"/>
      </w:pPr>
      <w:r>
        <w:separator/>
      </w:r>
    </w:p>
  </w:endnote>
  <w:endnote w:type="continuationSeparator" w:id="0">
    <w:p w14:paraId="26B84B7A" w14:textId="77777777" w:rsidR="00A175D8" w:rsidRDefault="00A175D8" w:rsidP="0070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9472915"/>
      <w:docPartObj>
        <w:docPartGallery w:val="Page Numbers (Bottom of Page)"/>
        <w:docPartUnique/>
      </w:docPartObj>
    </w:sdtPr>
    <w:sdtContent>
      <w:p w14:paraId="7404B097" w14:textId="1D0F0F03"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9C5601B" w14:textId="77777777" w:rsidR="00704536" w:rsidRDefault="00704536" w:rsidP="007045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1486564"/>
      <w:docPartObj>
        <w:docPartGallery w:val="Page Numbers (Bottom of Page)"/>
        <w:docPartUnique/>
      </w:docPartObj>
    </w:sdtPr>
    <w:sdtContent>
      <w:p w14:paraId="3F3DFDDE" w14:textId="260C5414" w:rsidR="00704536" w:rsidRDefault="00704536" w:rsidP="00B25E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noProof/>
          </w:rPr>
          <w:t>2</w:t>
        </w:r>
        <w:r>
          <w:rPr>
            <w:rStyle w:val="PageNumber"/>
          </w:rPr>
          <w:fldChar w:fldCharType="end"/>
        </w:r>
      </w:p>
    </w:sdtContent>
  </w:sdt>
  <w:p w14:paraId="64F8FE3B" w14:textId="77777777" w:rsidR="00704536" w:rsidRDefault="00704536" w:rsidP="0070453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906E" w14:textId="77777777" w:rsidR="00A175D8" w:rsidRDefault="00A175D8" w:rsidP="00704536">
      <w:pPr>
        <w:spacing w:after="0" w:line="240" w:lineRule="auto"/>
      </w:pPr>
      <w:r>
        <w:separator/>
      </w:r>
    </w:p>
  </w:footnote>
  <w:footnote w:type="continuationSeparator" w:id="0">
    <w:p w14:paraId="1F9CBD7A" w14:textId="77777777" w:rsidR="00A175D8" w:rsidRDefault="00A175D8" w:rsidP="00704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47C1D00"/>
    <w:multiLevelType w:val="multilevel"/>
    <w:tmpl w:val="7264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FF347A"/>
    <w:multiLevelType w:val="multilevel"/>
    <w:tmpl w:val="D8D0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1513C"/>
    <w:multiLevelType w:val="multilevel"/>
    <w:tmpl w:val="3FC8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484A4B"/>
    <w:multiLevelType w:val="multilevel"/>
    <w:tmpl w:val="E110C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45F64"/>
    <w:multiLevelType w:val="multilevel"/>
    <w:tmpl w:val="A8703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C02B58"/>
    <w:multiLevelType w:val="multilevel"/>
    <w:tmpl w:val="EED0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DF45C9"/>
    <w:multiLevelType w:val="multilevel"/>
    <w:tmpl w:val="FC46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3AD"/>
    <w:multiLevelType w:val="multilevel"/>
    <w:tmpl w:val="EEDE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21392"/>
    <w:multiLevelType w:val="multilevel"/>
    <w:tmpl w:val="0EF42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EA5323"/>
    <w:multiLevelType w:val="multilevel"/>
    <w:tmpl w:val="3386E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373036"/>
    <w:multiLevelType w:val="multilevel"/>
    <w:tmpl w:val="8A4E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3772F8"/>
    <w:multiLevelType w:val="multilevel"/>
    <w:tmpl w:val="DB36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456A8C"/>
    <w:multiLevelType w:val="hybridMultilevel"/>
    <w:tmpl w:val="76146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3866BB"/>
    <w:multiLevelType w:val="multilevel"/>
    <w:tmpl w:val="D1E4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BB460B5"/>
    <w:multiLevelType w:val="multilevel"/>
    <w:tmpl w:val="801C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3B0D9E"/>
    <w:multiLevelType w:val="multilevel"/>
    <w:tmpl w:val="19D0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6C2433"/>
    <w:multiLevelType w:val="multilevel"/>
    <w:tmpl w:val="D01C4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3060430">
    <w:abstractNumId w:val="0"/>
  </w:num>
  <w:num w:numId="2" w16cid:durableId="1845433657">
    <w:abstractNumId w:val="1"/>
  </w:num>
  <w:num w:numId="3" w16cid:durableId="1574242178">
    <w:abstractNumId w:val="2"/>
  </w:num>
  <w:num w:numId="4" w16cid:durableId="806360239">
    <w:abstractNumId w:val="3"/>
  </w:num>
  <w:num w:numId="5" w16cid:durableId="805010810">
    <w:abstractNumId w:val="4"/>
  </w:num>
  <w:num w:numId="6" w16cid:durableId="341320223">
    <w:abstractNumId w:val="5"/>
  </w:num>
  <w:num w:numId="7" w16cid:durableId="628123579">
    <w:abstractNumId w:val="6"/>
  </w:num>
  <w:num w:numId="8" w16cid:durableId="1004627207">
    <w:abstractNumId w:val="7"/>
  </w:num>
  <w:num w:numId="9" w16cid:durableId="287323361">
    <w:abstractNumId w:val="8"/>
  </w:num>
  <w:num w:numId="10" w16cid:durableId="2072847303">
    <w:abstractNumId w:val="12"/>
  </w:num>
  <w:num w:numId="11" w16cid:durableId="1204633341">
    <w:abstractNumId w:val="21"/>
  </w:num>
  <w:num w:numId="12" w16cid:durableId="208886559">
    <w:abstractNumId w:val="20"/>
  </w:num>
  <w:num w:numId="13" w16cid:durableId="1744765193">
    <w:abstractNumId w:val="25"/>
  </w:num>
  <w:num w:numId="14" w16cid:durableId="1045105609">
    <w:abstractNumId w:val="24"/>
  </w:num>
  <w:num w:numId="15" w16cid:durableId="1295717666">
    <w:abstractNumId w:val="17"/>
  </w:num>
  <w:num w:numId="16" w16cid:durableId="768624350">
    <w:abstractNumId w:val="23"/>
  </w:num>
  <w:num w:numId="17" w16cid:durableId="1544177102">
    <w:abstractNumId w:val="22"/>
  </w:num>
  <w:num w:numId="18" w16cid:durableId="915751608">
    <w:abstractNumId w:val="13"/>
  </w:num>
  <w:num w:numId="19" w16cid:durableId="819343017">
    <w:abstractNumId w:val="11"/>
  </w:num>
  <w:num w:numId="20" w16cid:durableId="955868000">
    <w:abstractNumId w:val="16"/>
  </w:num>
  <w:num w:numId="21" w16cid:durableId="655305647">
    <w:abstractNumId w:val="15"/>
  </w:num>
  <w:num w:numId="22" w16cid:durableId="547107143">
    <w:abstractNumId w:val="19"/>
  </w:num>
  <w:num w:numId="23" w16cid:durableId="119423623">
    <w:abstractNumId w:val="14"/>
  </w:num>
  <w:num w:numId="24" w16cid:durableId="1185245701">
    <w:abstractNumId w:val="10"/>
  </w:num>
  <w:num w:numId="25" w16cid:durableId="1108084971">
    <w:abstractNumId w:val="9"/>
  </w:num>
  <w:num w:numId="26" w16cid:durableId="13203864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8C"/>
    <w:rsid w:val="0002178C"/>
    <w:rsid w:val="00026AA9"/>
    <w:rsid w:val="00044924"/>
    <w:rsid w:val="001553B8"/>
    <w:rsid w:val="001B7259"/>
    <w:rsid w:val="0023742B"/>
    <w:rsid w:val="00392DCC"/>
    <w:rsid w:val="004947E2"/>
    <w:rsid w:val="004B6647"/>
    <w:rsid w:val="0068145A"/>
    <w:rsid w:val="006A537B"/>
    <w:rsid w:val="006C06D3"/>
    <w:rsid w:val="00704536"/>
    <w:rsid w:val="007200C8"/>
    <w:rsid w:val="007871D9"/>
    <w:rsid w:val="007B6D1A"/>
    <w:rsid w:val="00800041"/>
    <w:rsid w:val="00841B8C"/>
    <w:rsid w:val="008955DF"/>
    <w:rsid w:val="009B11B0"/>
    <w:rsid w:val="009B3431"/>
    <w:rsid w:val="009F56D5"/>
    <w:rsid w:val="00A04FA3"/>
    <w:rsid w:val="00A175D8"/>
    <w:rsid w:val="00AB1F4A"/>
    <w:rsid w:val="00B5245A"/>
    <w:rsid w:val="00C017BF"/>
    <w:rsid w:val="00C20B24"/>
    <w:rsid w:val="00D22235"/>
    <w:rsid w:val="00DC142E"/>
    <w:rsid w:val="00DD118B"/>
    <w:rsid w:val="00E44D99"/>
    <w:rsid w:val="00F71D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B385"/>
  <w15:chartTrackingRefBased/>
  <w15:docId w15:val="{4D22918C-6902-6B41-AFC8-212413C8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1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1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78C"/>
    <w:rPr>
      <w:rFonts w:eastAsiaTheme="majorEastAsia" w:cstheme="majorBidi"/>
      <w:color w:val="272727" w:themeColor="text1" w:themeTint="D8"/>
    </w:rPr>
  </w:style>
  <w:style w:type="paragraph" w:styleId="Title">
    <w:name w:val="Title"/>
    <w:basedOn w:val="Normal"/>
    <w:next w:val="Normal"/>
    <w:link w:val="TitleChar"/>
    <w:uiPriority w:val="10"/>
    <w:qFormat/>
    <w:rsid w:val="00021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78C"/>
    <w:pPr>
      <w:spacing w:before="160"/>
      <w:jc w:val="center"/>
    </w:pPr>
    <w:rPr>
      <w:i/>
      <w:iCs/>
      <w:color w:val="404040" w:themeColor="text1" w:themeTint="BF"/>
    </w:rPr>
  </w:style>
  <w:style w:type="character" w:customStyle="1" w:styleId="QuoteChar">
    <w:name w:val="Quote Char"/>
    <w:basedOn w:val="DefaultParagraphFont"/>
    <w:link w:val="Quote"/>
    <w:uiPriority w:val="29"/>
    <w:rsid w:val="0002178C"/>
    <w:rPr>
      <w:i/>
      <w:iCs/>
      <w:color w:val="404040" w:themeColor="text1" w:themeTint="BF"/>
    </w:rPr>
  </w:style>
  <w:style w:type="paragraph" w:styleId="ListParagraph">
    <w:name w:val="List Paragraph"/>
    <w:basedOn w:val="Normal"/>
    <w:uiPriority w:val="34"/>
    <w:qFormat/>
    <w:rsid w:val="0002178C"/>
    <w:pPr>
      <w:ind w:left="720"/>
      <w:contextualSpacing/>
    </w:pPr>
  </w:style>
  <w:style w:type="character" w:styleId="IntenseEmphasis">
    <w:name w:val="Intense Emphasis"/>
    <w:basedOn w:val="DefaultParagraphFont"/>
    <w:uiPriority w:val="21"/>
    <w:qFormat/>
    <w:rsid w:val="0002178C"/>
    <w:rPr>
      <w:i/>
      <w:iCs/>
      <w:color w:val="0F4761" w:themeColor="accent1" w:themeShade="BF"/>
    </w:rPr>
  </w:style>
  <w:style w:type="paragraph" w:styleId="IntenseQuote">
    <w:name w:val="Intense Quote"/>
    <w:basedOn w:val="Normal"/>
    <w:next w:val="Normal"/>
    <w:link w:val="IntenseQuoteChar"/>
    <w:uiPriority w:val="30"/>
    <w:qFormat/>
    <w:rsid w:val="00021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78C"/>
    <w:rPr>
      <w:i/>
      <w:iCs/>
      <w:color w:val="0F4761" w:themeColor="accent1" w:themeShade="BF"/>
    </w:rPr>
  </w:style>
  <w:style w:type="character" w:styleId="IntenseReference">
    <w:name w:val="Intense Reference"/>
    <w:basedOn w:val="DefaultParagraphFont"/>
    <w:uiPriority w:val="32"/>
    <w:qFormat/>
    <w:rsid w:val="0002178C"/>
    <w:rPr>
      <w:b/>
      <w:bCs/>
      <w:smallCaps/>
      <w:color w:val="0F4761" w:themeColor="accent1" w:themeShade="BF"/>
      <w:spacing w:val="5"/>
    </w:rPr>
  </w:style>
  <w:style w:type="table" w:styleId="TableGrid">
    <w:name w:val="Table Grid"/>
    <w:basedOn w:val="TableNormal"/>
    <w:uiPriority w:val="59"/>
    <w:rsid w:val="00DC14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42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C142E"/>
    <w:rPr>
      <w:b/>
      <w:bCs/>
    </w:rPr>
  </w:style>
  <w:style w:type="character" w:styleId="Emphasis">
    <w:name w:val="Emphasis"/>
    <w:basedOn w:val="DefaultParagraphFont"/>
    <w:uiPriority w:val="20"/>
    <w:qFormat/>
    <w:rsid w:val="00841B8C"/>
    <w:rPr>
      <w:i/>
      <w:iCs/>
    </w:rPr>
  </w:style>
  <w:style w:type="character" w:styleId="Hyperlink">
    <w:name w:val="Hyperlink"/>
    <w:basedOn w:val="DefaultParagraphFont"/>
    <w:uiPriority w:val="99"/>
    <w:semiHidden/>
    <w:unhideWhenUsed/>
    <w:rsid w:val="009B3431"/>
    <w:rPr>
      <w:color w:val="0000FF"/>
      <w:u w:val="single"/>
    </w:rPr>
  </w:style>
  <w:style w:type="paragraph" w:styleId="Footer">
    <w:name w:val="footer"/>
    <w:basedOn w:val="Normal"/>
    <w:link w:val="FooterChar"/>
    <w:uiPriority w:val="99"/>
    <w:unhideWhenUsed/>
    <w:rsid w:val="0070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536"/>
  </w:style>
  <w:style w:type="character" w:styleId="PageNumber">
    <w:name w:val="page number"/>
    <w:basedOn w:val="DefaultParagraphFont"/>
    <w:uiPriority w:val="99"/>
    <w:semiHidden/>
    <w:unhideWhenUsed/>
    <w:rsid w:val="00704536"/>
  </w:style>
  <w:style w:type="table" w:styleId="PlainTable1">
    <w:name w:val="Plain Table 1"/>
    <w:basedOn w:val="TableNormal"/>
    <w:uiPriority w:val="41"/>
    <w:rsid w:val="00E44D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zmal12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14</Pages>
  <Words>3512</Words>
  <Characters>20024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Azmal Hossain</dc:creator>
  <cp:keywords/>
  <dc:description/>
  <cp:lastModifiedBy>Azmal Hossain</cp:lastModifiedBy>
  <cp:revision>24</cp:revision>
  <dcterms:created xsi:type="dcterms:W3CDTF">2026-03-23T03:02:00Z</dcterms:created>
  <dcterms:modified xsi:type="dcterms:W3CDTF">2026-05-13T16:57:00Z</dcterms:modified>
</cp:coreProperties>
</file>